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C12318">
      <w:pPr>
        <w:rPr>
          <w:rFonts w:hint="eastAsia" w:eastAsia="仿宋"/>
          <w:b/>
          <w:bCs/>
          <w:color w:val="auto"/>
          <w:sz w:val="72"/>
          <w:szCs w:val="72"/>
          <w:lang w:eastAsia="zh-CN"/>
        </w:rPr>
      </w:pPr>
    </w:p>
    <w:p w14:paraId="7EBA67D2">
      <w:pPr>
        <w:rPr>
          <w:rFonts w:hint="eastAsia" w:eastAsia="仿宋"/>
          <w:b/>
          <w:bCs/>
          <w:color w:val="auto"/>
          <w:sz w:val="72"/>
          <w:szCs w:val="72"/>
          <w:lang w:eastAsia="zh-CN"/>
        </w:rPr>
      </w:pPr>
    </w:p>
    <w:p w14:paraId="62034B66">
      <w:pPr>
        <w:rPr>
          <w:rFonts w:hint="eastAsia" w:eastAsia="仿宋"/>
          <w:b/>
          <w:bCs/>
          <w:color w:val="auto"/>
          <w:sz w:val="72"/>
          <w:szCs w:val="72"/>
          <w:lang w:eastAsia="zh-CN"/>
        </w:rPr>
      </w:pPr>
      <w:r>
        <w:rPr>
          <w:rFonts w:hint="eastAsia" w:eastAsia="仿宋"/>
          <w:b/>
          <w:bCs/>
          <w:color w:val="auto"/>
          <w:sz w:val="72"/>
          <w:szCs w:val="72"/>
          <w:lang w:eastAsia="zh-CN"/>
        </w:rPr>
        <w:drawing>
          <wp:inline distT="0" distB="0" distL="114300" distR="114300">
            <wp:extent cx="5995035" cy="6643370"/>
            <wp:effectExtent l="0" t="0" r="5715" b="5080"/>
            <wp:docPr id="2" name="图片 2" descr="盖章封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盖章封面"/>
                    <pic:cNvPicPr>
                      <a:picLocks noChangeAspect="1"/>
                    </pic:cNvPicPr>
                  </pic:nvPicPr>
                  <pic:blipFill>
                    <a:blip r:embed="rId8"/>
                    <a:srcRect t="12422" b="9229"/>
                    <a:stretch>
                      <a:fillRect/>
                    </a:stretch>
                  </pic:blipFill>
                  <pic:spPr>
                    <a:xfrm>
                      <a:off x="0" y="0"/>
                      <a:ext cx="5995035" cy="6643370"/>
                    </a:xfrm>
                    <a:prstGeom prst="rect">
                      <a:avLst/>
                    </a:prstGeom>
                  </pic:spPr>
                </pic:pic>
              </a:graphicData>
            </a:graphic>
          </wp:inline>
        </w:drawing>
      </w:r>
    </w:p>
    <w:p w14:paraId="18B9001A">
      <w:pPr>
        <w:rPr>
          <w:rFonts w:hint="eastAsia"/>
          <w:b/>
          <w:bCs/>
          <w:color w:val="auto"/>
          <w:sz w:val="72"/>
          <w:szCs w:val="72"/>
        </w:rPr>
      </w:pPr>
      <w:r>
        <w:rPr>
          <w:rFonts w:hint="eastAsia"/>
          <w:b/>
          <w:bCs/>
          <w:color w:val="auto"/>
          <w:sz w:val="72"/>
          <w:szCs w:val="72"/>
        </w:rPr>
        <w:br w:type="page"/>
      </w:r>
    </w:p>
    <w:p w14:paraId="520A4774">
      <w:pPr>
        <w:spacing w:line="360" w:lineRule="auto"/>
        <w:ind w:left="0" w:leftChars="0" w:firstLine="0" w:firstLineChars="0"/>
        <w:jc w:val="center"/>
        <w:rPr>
          <w:rFonts w:hint="eastAsia"/>
          <w:b/>
          <w:bCs/>
          <w:color w:val="auto"/>
          <w:sz w:val="72"/>
          <w:szCs w:val="72"/>
        </w:rPr>
      </w:pPr>
      <w:r>
        <w:rPr>
          <w:rFonts w:hint="eastAsia"/>
          <w:b/>
          <w:bCs/>
          <w:color w:val="auto"/>
          <w:sz w:val="72"/>
          <w:szCs w:val="72"/>
        </w:rPr>
        <w:t>目  录</w:t>
      </w:r>
    </w:p>
    <w:p w14:paraId="76364D56">
      <w:pPr>
        <w:pStyle w:val="89"/>
        <w:tabs>
          <w:tab w:val="right" w:leader="dot" w:pos="8306"/>
        </w:tabs>
        <w:spacing w:line="600" w:lineRule="exact"/>
        <w:jc w:val="center"/>
        <w:rPr>
          <w:rFonts w:hint="eastAsia"/>
          <w:color w:val="auto"/>
          <w:sz w:val="32"/>
          <w:szCs w:val="32"/>
        </w:rPr>
      </w:pPr>
    </w:p>
    <w:p w14:paraId="518B3FEA">
      <w:pPr>
        <w:pStyle w:val="89"/>
        <w:tabs>
          <w:tab w:val="right" w:leader="dot" w:pos="8306"/>
        </w:tabs>
        <w:spacing w:line="600" w:lineRule="exact"/>
        <w:ind w:left="1058" w:leftChars="504"/>
        <w:rPr>
          <w:rFonts w:hint="eastAsia"/>
          <w:color w:val="auto"/>
          <w:sz w:val="32"/>
          <w:szCs w:val="32"/>
        </w:rPr>
      </w:pPr>
      <w:r>
        <w:rPr>
          <w:rFonts w:hint="eastAsia"/>
          <w:color w:val="auto"/>
          <w:sz w:val="32"/>
          <w:szCs w:val="32"/>
        </w:rPr>
        <w:t>招标公告</w:t>
      </w:r>
    </w:p>
    <w:p w14:paraId="4DAF9D73">
      <w:pPr>
        <w:pStyle w:val="89"/>
        <w:tabs>
          <w:tab w:val="right" w:leader="dot" w:pos="8306"/>
        </w:tabs>
        <w:spacing w:line="600" w:lineRule="exact"/>
        <w:ind w:left="1058" w:leftChars="504"/>
        <w:rPr>
          <w:rFonts w:hint="eastAsia"/>
          <w:color w:val="auto"/>
          <w:sz w:val="32"/>
          <w:szCs w:val="32"/>
        </w:rPr>
      </w:pPr>
      <w:r>
        <w:rPr>
          <w:rFonts w:hint="eastAsia"/>
          <w:color w:val="auto"/>
          <w:sz w:val="32"/>
          <w:szCs w:val="32"/>
        </w:rPr>
        <w:t>第一章 投标人须知</w:t>
      </w:r>
    </w:p>
    <w:p w14:paraId="3A33D34E">
      <w:pPr>
        <w:pStyle w:val="89"/>
        <w:tabs>
          <w:tab w:val="right" w:leader="dot" w:pos="8306"/>
        </w:tabs>
        <w:spacing w:line="600" w:lineRule="exact"/>
        <w:ind w:left="1058" w:leftChars="504"/>
        <w:rPr>
          <w:rFonts w:hint="eastAsia"/>
          <w:color w:val="auto"/>
          <w:sz w:val="32"/>
          <w:szCs w:val="32"/>
        </w:rPr>
      </w:pPr>
      <w:r>
        <w:rPr>
          <w:rFonts w:hint="eastAsia"/>
          <w:color w:val="auto"/>
          <w:sz w:val="32"/>
          <w:szCs w:val="32"/>
        </w:rPr>
        <w:t>第二章 投标文件内容及格式</w:t>
      </w:r>
    </w:p>
    <w:p w14:paraId="6ACEB54B">
      <w:pPr>
        <w:pStyle w:val="89"/>
        <w:tabs>
          <w:tab w:val="right" w:leader="dot" w:pos="8306"/>
        </w:tabs>
        <w:spacing w:line="600" w:lineRule="exact"/>
        <w:ind w:left="1058" w:leftChars="504"/>
        <w:rPr>
          <w:rFonts w:hint="eastAsia" w:eastAsia="宋体"/>
          <w:color w:val="auto"/>
          <w:sz w:val="32"/>
          <w:szCs w:val="32"/>
          <w:lang w:eastAsia="zh-CN"/>
        </w:rPr>
      </w:pPr>
      <w:r>
        <w:rPr>
          <w:rFonts w:hint="eastAsia"/>
          <w:color w:val="auto"/>
          <w:sz w:val="32"/>
          <w:szCs w:val="32"/>
        </w:rPr>
        <w:t xml:space="preserve">第三章 </w:t>
      </w:r>
      <w:r>
        <w:rPr>
          <w:rFonts w:hint="eastAsia"/>
          <w:color w:val="auto"/>
          <w:sz w:val="32"/>
          <w:szCs w:val="32"/>
          <w:lang w:eastAsia="zh-CN"/>
        </w:rPr>
        <w:t>采购需求</w:t>
      </w:r>
    </w:p>
    <w:p w14:paraId="52FC4406">
      <w:pPr>
        <w:pStyle w:val="89"/>
        <w:tabs>
          <w:tab w:val="right" w:leader="dot" w:pos="8306"/>
        </w:tabs>
        <w:spacing w:line="600" w:lineRule="exact"/>
        <w:ind w:left="1058" w:leftChars="504"/>
        <w:rPr>
          <w:rFonts w:hint="eastAsia"/>
          <w:color w:val="auto"/>
          <w:sz w:val="32"/>
          <w:szCs w:val="32"/>
        </w:rPr>
      </w:pPr>
      <w:r>
        <w:rPr>
          <w:rFonts w:hint="eastAsia"/>
          <w:color w:val="auto"/>
          <w:sz w:val="32"/>
          <w:szCs w:val="32"/>
        </w:rPr>
        <w:t>第四章 评标方法</w:t>
      </w:r>
    </w:p>
    <w:p w14:paraId="4880CD40">
      <w:pPr>
        <w:pStyle w:val="89"/>
        <w:tabs>
          <w:tab w:val="right" w:leader="dot" w:pos="8306"/>
        </w:tabs>
        <w:spacing w:line="600" w:lineRule="exact"/>
        <w:ind w:left="1058" w:leftChars="504"/>
        <w:rPr>
          <w:color w:val="auto"/>
          <w:sz w:val="32"/>
          <w:szCs w:val="32"/>
        </w:rPr>
      </w:pPr>
      <w:r>
        <w:rPr>
          <w:rFonts w:hint="eastAsia"/>
          <w:color w:val="auto"/>
          <w:sz w:val="32"/>
          <w:szCs w:val="32"/>
        </w:rPr>
        <w:t>第五章 政府采购合同条款及格式</w:t>
      </w:r>
    </w:p>
    <w:p w14:paraId="72B63A83">
      <w:pPr>
        <w:pStyle w:val="89"/>
        <w:tabs>
          <w:tab w:val="right" w:leader="dot" w:pos="8306"/>
        </w:tabs>
        <w:spacing w:line="240" w:lineRule="auto"/>
        <w:rPr>
          <w:rFonts w:hint="eastAsia" w:ascii="宋体" w:hAnsi="宋体" w:eastAsia="宋体" w:cs="宋体"/>
          <w:b/>
          <w:bCs/>
          <w:color w:val="auto"/>
          <w:lang w:eastAsia="zh-CN"/>
        </w:rPr>
      </w:pPr>
    </w:p>
    <w:p w14:paraId="44C54061">
      <w:pPr>
        <w:pStyle w:val="3"/>
        <w:rPr>
          <w:rFonts w:hint="eastAsia" w:ascii="宋体" w:hAnsi="宋体" w:eastAsia="宋体" w:cs="宋体"/>
          <w:color w:val="auto"/>
        </w:rPr>
      </w:pPr>
      <w:r>
        <w:rPr>
          <w:rFonts w:ascii="宋体" w:hAnsi="宋体" w:eastAsia="宋体" w:cs="宋体"/>
          <w:color w:val="auto"/>
        </w:rPr>
        <w:br w:type="page"/>
      </w:r>
      <w:r>
        <w:rPr>
          <w:rFonts w:hint="eastAsia" w:ascii="宋体" w:hAnsi="宋体" w:eastAsia="宋体" w:cs="宋体"/>
          <w:color w:val="auto"/>
        </w:rPr>
        <w:t>招标公告</w:t>
      </w:r>
    </w:p>
    <w:p w14:paraId="4D64089C">
      <w:pPr>
        <w:pBdr>
          <w:top w:val="single" w:color="auto" w:sz="4" w:space="1"/>
          <w:left w:val="single" w:color="auto" w:sz="4" w:space="4"/>
          <w:bottom w:val="single" w:color="auto" w:sz="4" w:space="1"/>
          <w:right w:val="single" w:color="auto" w:sz="4" w:space="4"/>
        </w:pBdr>
        <w:spacing w:line="360" w:lineRule="auto"/>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项目概况</w:t>
      </w:r>
    </w:p>
    <w:p w14:paraId="4FAD2F21">
      <w:pPr>
        <w:pBdr>
          <w:top w:val="single" w:color="auto" w:sz="4" w:space="1"/>
          <w:left w:val="single" w:color="auto" w:sz="4" w:space="4"/>
          <w:bottom w:val="single" w:color="auto" w:sz="4" w:space="1"/>
          <w:right w:val="single" w:color="auto" w:sz="4" w:space="4"/>
        </w:pBd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single"/>
          <w:lang w:val="en-US" w:eastAsia="zh-CN"/>
        </w:rPr>
        <w:t xml:space="preserve">韶关市示范性综合实践基地委托运营管理项目  </w:t>
      </w:r>
      <w:r>
        <w:rPr>
          <w:rFonts w:hint="eastAsia" w:ascii="宋体" w:hAnsi="宋体" w:eastAsia="宋体" w:cs="宋体"/>
          <w:color w:val="auto"/>
          <w:sz w:val="21"/>
          <w:szCs w:val="21"/>
        </w:rPr>
        <w:t>招标项目的潜在投标人应在</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广东省公共资源交易平台</w:t>
      </w:r>
      <w:r>
        <w:rPr>
          <w:rFonts w:hint="eastAsia" w:ascii="宋体" w:hAnsi="宋体" w:eastAsia="宋体" w:cs="宋体"/>
          <w:color w:val="auto"/>
          <w:sz w:val="21"/>
          <w:szCs w:val="21"/>
          <w:u w:val="single"/>
          <w:lang w:eastAsia="zh-CN"/>
        </w:rPr>
        <w:t>（</w:t>
      </w:r>
      <w:r>
        <w:rPr>
          <w:rFonts w:hint="eastAsia" w:ascii="宋体" w:hAnsi="宋体" w:eastAsia="宋体" w:cs="宋体"/>
          <w:color w:val="auto"/>
          <w:sz w:val="21"/>
          <w:szCs w:val="21"/>
          <w:u w:val="single"/>
          <w:lang w:val="en-US" w:eastAsia="zh-CN"/>
        </w:rPr>
        <w:t>韶关市</w:t>
      </w:r>
      <w:r>
        <w:rPr>
          <w:rFonts w:hint="eastAsia" w:ascii="宋体" w:hAnsi="宋体" w:eastAsia="宋体" w:cs="宋体"/>
          <w:color w:val="auto"/>
          <w:sz w:val="21"/>
          <w:szCs w:val="21"/>
          <w:u w:val="single"/>
          <w:lang w:eastAsia="zh-CN"/>
        </w:rPr>
        <w:t>）（https://ygp.gdzwfw.gov.cn/ggzy-portal/#/440200/index）、</w:t>
      </w:r>
      <w:r>
        <w:rPr>
          <w:rFonts w:hint="eastAsia" w:ascii="宋体" w:hAnsi="宋体" w:eastAsia="宋体" w:cs="宋体"/>
          <w:color w:val="auto"/>
          <w:sz w:val="21"/>
          <w:szCs w:val="21"/>
          <w:u w:val="single"/>
        </w:rPr>
        <w:t>韶关市公共资源交易一体化平台（http://portal.ythpt.sg.gov.cn/）</w:t>
      </w:r>
      <w:r>
        <w:rPr>
          <w:rFonts w:hint="eastAsia" w:ascii="宋体" w:hAnsi="宋体" w:eastAsia="宋体" w:cs="宋体"/>
          <w:color w:val="auto"/>
          <w:sz w:val="21"/>
          <w:szCs w:val="21"/>
          <w:u w:val="single"/>
          <w:lang w:val="en-US" w:eastAsia="zh-CN"/>
        </w:rPr>
        <w:t xml:space="preserve"> </w:t>
      </w:r>
      <w:r>
        <w:rPr>
          <w:rFonts w:hint="eastAsia" w:ascii="宋体" w:hAnsi="宋体" w:eastAsia="宋体" w:cs="宋体"/>
          <w:color w:val="auto"/>
          <w:sz w:val="21"/>
          <w:szCs w:val="21"/>
          <w:u w:val="single"/>
        </w:rPr>
        <w:t xml:space="preserve"> </w:t>
      </w:r>
      <w:r>
        <w:rPr>
          <w:rFonts w:hint="eastAsia" w:ascii="宋体" w:hAnsi="宋体" w:eastAsia="宋体" w:cs="宋体"/>
          <w:color w:val="auto"/>
          <w:sz w:val="21"/>
          <w:szCs w:val="21"/>
          <w:u w:val="none"/>
        </w:rPr>
        <w:t xml:space="preserve"> </w:t>
      </w:r>
      <w:r>
        <w:rPr>
          <w:rFonts w:hint="eastAsia" w:ascii="宋体" w:hAnsi="宋体" w:eastAsia="宋体" w:cs="宋体"/>
          <w:color w:val="auto"/>
          <w:sz w:val="21"/>
          <w:szCs w:val="21"/>
        </w:rPr>
        <w:t>获取招标文件，并于</w:t>
      </w:r>
      <w:r>
        <w:rPr>
          <w:rFonts w:hint="eastAsia" w:ascii="宋体" w:hAnsi="宋体" w:eastAsia="宋体" w:cs="宋体"/>
          <w:color w:val="auto"/>
          <w:sz w:val="21"/>
          <w:szCs w:val="21"/>
          <w:u w:val="none"/>
        </w:rPr>
        <w:t xml:space="preserve"> 20</w:t>
      </w:r>
      <w:r>
        <w:rPr>
          <w:rFonts w:hint="eastAsia" w:ascii="宋体" w:hAnsi="宋体" w:eastAsia="宋体" w:cs="宋体"/>
          <w:color w:val="auto"/>
          <w:sz w:val="21"/>
          <w:szCs w:val="21"/>
          <w:u w:val="none"/>
          <w:lang w:val="en-US" w:eastAsia="zh-CN"/>
        </w:rPr>
        <w:t>25</w:t>
      </w:r>
      <w:r>
        <w:rPr>
          <w:rFonts w:hint="eastAsia" w:ascii="宋体" w:hAnsi="宋体" w:eastAsia="宋体" w:cs="宋体"/>
          <w:bCs/>
          <w:color w:val="auto"/>
          <w:sz w:val="21"/>
          <w:szCs w:val="21"/>
          <w:u w:val="none"/>
        </w:rPr>
        <w:t>年</w:t>
      </w:r>
      <w:r>
        <w:rPr>
          <w:rFonts w:hint="eastAsia" w:ascii="宋体" w:hAnsi="宋体" w:eastAsia="宋体" w:cs="宋体"/>
          <w:bCs/>
          <w:color w:val="auto"/>
          <w:sz w:val="21"/>
          <w:szCs w:val="21"/>
          <w:u w:val="none"/>
          <w:lang w:val="en-US" w:eastAsia="zh-CN"/>
        </w:rPr>
        <w:t>07</w:t>
      </w:r>
      <w:r>
        <w:rPr>
          <w:rFonts w:hint="eastAsia" w:ascii="宋体" w:hAnsi="宋体" w:eastAsia="宋体" w:cs="宋体"/>
          <w:bCs/>
          <w:color w:val="auto"/>
          <w:sz w:val="21"/>
          <w:szCs w:val="21"/>
          <w:u w:val="none"/>
        </w:rPr>
        <w:t>月</w:t>
      </w:r>
      <w:r>
        <w:rPr>
          <w:rFonts w:hint="eastAsia" w:ascii="宋体" w:hAnsi="宋体" w:eastAsia="宋体" w:cs="宋体"/>
          <w:bCs/>
          <w:color w:val="auto"/>
          <w:sz w:val="21"/>
          <w:szCs w:val="21"/>
          <w:u w:val="none"/>
          <w:lang w:val="en-US" w:eastAsia="zh-CN"/>
        </w:rPr>
        <w:t>18</w:t>
      </w:r>
      <w:r>
        <w:rPr>
          <w:rFonts w:hint="eastAsia" w:ascii="宋体" w:hAnsi="宋体" w:eastAsia="宋体" w:cs="宋体"/>
          <w:bCs/>
          <w:color w:val="auto"/>
          <w:sz w:val="21"/>
          <w:szCs w:val="21"/>
          <w:u w:val="none"/>
        </w:rPr>
        <w:t>日</w:t>
      </w:r>
      <w:r>
        <w:rPr>
          <w:rFonts w:hint="eastAsia" w:ascii="宋体" w:hAnsi="宋体" w:eastAsia="宋体" w:cs="宋体"/>
          <w:bCs/>
          <w:color w:val="auto"/>
          <w:sz w:val="21"/>
          <w:szCs w:val="21"/>
          <w:u w:val="none"/>
          <w:lang w:val="en-US" w:eastAsia="zh-CN"/>
        </w:rPr>
        <w:t>9点30</w:t>
      </w:r>
      <w:r>
        <w:rPr>
          <w:rFonts w:hint="eastAsia" w:ascii="宋体" w:hAnsi="宋体" w:eastAsia="宋体" w:cs="宋体"/>
          <w:bCs/>
          <w:color w:val="auto"/>
          <w:sz w:val="21"/>
          <w:szCs w:val="21"/>
          <w:u w:val="none"/>
        </w:rPr>
        <w:t>分（北</w:t>
      </w:r>
      <w:r>
        <w:rPr>
          <w:rFonts w:hint="eastAsia" w:ascii="宋体" w:hAnsi="宋体" w:eastAsia="宋体" w:cs="宋体"/>
          <w:bCs/>
          <w:color w:val="auto"/>
          <w:sz w:val="21"/>
          <w:szCs w:val="21"/>
        </w:rPr>
        <w:t>京时间）前递交投标文件</w:t>
      </w:r>
      <w:r>
        <w:rPr>
          <w:rFonts w:hint="eastAsia" w:ascii="宋体" w:hAnsi="宋体" w:eastAsia="宋体" w:cs="宋体"/>
          <w:color w:val="auto"/>
          <w:sz w:val="21"/>
          <w:szCs w:val="21"/>
        </w:rPr>
        <w:t>。</w:t>
      </w:r>
    </w:p>
    <w:p w14:paraId="65B29A64">
      <w:pPr>
        <w:keepNext/>
        <w:keepLines/>
        <w:pageBreakBefore w:val="0"/>
        <w:widowControl w:val="0"/>
        <w:kinsoku/>
        <w:wordWrap/>
        <w:overflowPunct/>
        <w:topLinePunct w:val="0"/>
        <w:autoSpaceDE/>
        <w:autoSpaceDN/>
        <w:bidi w:val="0"/>
        <w:adjustRightInd/>
        <w:snapToGrid/>
        <w:spacing w:after="0" w:line="360" w:lineRule="auto"/>
        <w:jc w:val="left"/>
        <w:textAlignment w:val="auto"/>
        <w:outlineLvl w:val="9"/>
        <w:rPr>
          <w:rFonts w:hint="eastAsia" w:ascii="宋体" w:hAnsi="宋体" w:eastAsia="宋体" w:cs="宋体"/>
          <w:b/>
          <w:bCs w:val="0"/>
          <w:color w:val="auto"/>
          <w:sz w:val="21"/>
          <w:szCs w:val="21"/>
        </w:rPr>
      </w:pPr>
      <w:bookmarkStart w:id="0" w:name="_Toc35393790"/>
      <w:bookmarkStart w:id="1" w:name="_Toc35393621"/>
      <w:bookmarkStart w:id="2" w:name="_Toc28359002"/>
      <w:bookmarkStart w:id="3" w:name="_Toc28359079"/>
      <w:bookmarkStart w:id="4" w:name="_Hlk24379207"/>
      <w:r>
        <w:rPr>
          <w:rFonts w:hint="eastAsia" w:ascii="宋体" w:hAnsi="宋体" w:eastAsia="宋体" w:cs="宋体"/>
          <w:b/>
          <w:bCs w:val="0"/>
          <w:color w:val="auto"/>
          <w:sz w:val="21"/>
          <w:szCs w:val="21"/>
        </w:rPr>
        <w:t>一、项目基本情况</w:t>
      </w:r>
      <w:bookmarkEnd w:id="0"/>
      <w:bookmarkEnd w:id="1"/>
      <w:bookmarkEnd w:id="2"/>
      <w:bookmarkEnd w:id="3"/>
    </w:p>
    <w:p w14:paraId="5DB76E27">
      <w:pPr>
        <w:spacing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项目编号：CQZB25000</w:t>
      </w:r>
      <w:r>
        <w:rPr>
          <w:rFonts w:hint="eastAsia" w:ascii="宋体" w:hAnsi="宋体" w:eastAsia="宋体" w:cs="宋体"/>
          <w:color w:val="auto"/>
          <w:sz w:val="21"/>
          <w:szCs w:val="21"/>
          <w:lang w:val="en-US" w:eastAsia="zh-CN"/>
        </w:rPr>
        <w:t>7</w:t>
      </w:r>
    </w:p>
    <w:p w14:paraId="6894ADC0">
      <w:p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项目名称：</w:t>
      </w:r>
      <w:bookmarkEnd w:id="4"/>
      <w:r>
        <w:rPr>
          <w:rFonts w:hint="eastAsia" w:ascii="宋体" w:hAnsi="宋体" w:eastAsia="宋体" w:cs="宋体"/>
          <w:color w:val="auto"/>
          <w:sz w:val="21"/>
          <w:szCs w:val="21"/>
          <w:lang w:eastAsia="zh-CN"/>
        </w:rPr>
        <w:t>韶关市示范性综合实践基地委托运营管理项目</w:t>
      </w:r>
    </w:p>
    <w:p w14:paraId="43AE64DB">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采购需求：(包括但不限于标的的名称、数量、简要技术需求或服务要求等)</w:t>
      </w:r>
    </w:p>
    <w:p w14:paraId="5EB8C9B3">
      <w:pPr>
        <w:numPr>
          <w:ilvl w:val="0"/>
          <w:numId w:val="3"/>
        </w:numPr>
        <w:spacing w:line="360" w:lineRule="auto"/>
        <w:ind w:firstLine="420" w:firstLineChars="200"/>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标的名称：</w:t>
      </w:r>
      <w:r>
        <w:rPr>
          <w:rFonts w:hint="eastAsia" w:ascii="宋体" w:hAnsi="宋体" w:eastAsia="宋体" w:cs="宋体"/>
          <w:color w:val="auto"/>
          <w:sz w:val="21"/>
          <w:szCs w:val="21"/>
          <w:lang w:eastAsia="zh-CN"/>
        </w:rPr>
        <w:t>韶关市示范性综合实践基地委托运营管理项目</w:t>
      </w:r>
    </w:p>
    <w:p w14:paraId="4AE70FC3">
      <w:pPr>
        <w:numPr>
          <w:ilvl w:val="0"/>
          <w:numId w:val="0"/>
        </w:num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2、标的数量：1项</w:t>
      </w:r>
    </w:p>
    <w:p w14:paraId="2003C021">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3、简要技术需求或服务要求：</w:t>
      </w:r>
    </w:p>
    <w:tbl>
      <w:tblPr>
        <w:tblStyle w:val="17"/>
        <w:tblW w:w="975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
        <w:gridCol w:w="1562"/>
        <w:gridCol w:w="900"/>
        <w:gridCol w:w="1481"/>
        <w:gridCol w:w="3263"/>
        <w:gridCol w:w="2090"/>
      </w:tblGrid>
      <w:tr w14:paraId="40ED4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57" w:type="dxa"/>
            <w:noWrap/>
            <w:vAlign w:val="center"/>
          </w:tcPr>
          <w:p w14:paraId="5B95CBEC">
            <w:pPr>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序号</w:t>
            </w:r>
          </w:p>
        </w:tc>
        <w:tc>
          <w:tcPr>
            <w:tcW w:w="1562" w:type="dxa"/>
            <w:noWrap/>
            <w:vAlign w:val="center"/>
          </w:tcPr>
          <w:p w14:paraId="2267CC8A">
            <w:pPr>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采购标的</w:t>
            </w:r>
          </w:p>
        </w:tc>
        <w:tc>
          <w:tcPr>
            <w:tcW w:w="900" w:type="dxa"/>
            <w:noWrap/>
            <w:vAlign w:val="center"/>
          </w:tcPr>
          <w:p w14:paraId="36F251C4">
            <w:pPr>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数量</w:t>
            </w:r>
          </w:p>
        </w:tc>
        <w:tc>
          <w:tcPr>
            <w:tcW w:w="1481" w:type="dxa"/>
            <w:noWrap/>
            <w:vAlign w:val="center"/>
          </w:tcPr>
          <w:p w14:paraId="42F27389">
            <w:pPr>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主要技术要求</w:t>
            </w:r>
          </w:p>
        </w:tc>
        <w:tc>
          <w:tcPr>
            <w:tcW w:w="3263" w:type="dxa"/>
            <w:noWrap/>
            <w:vAlign w:val="center"/>
          </w:tcPr>
          <w:p w14:paraId="66CDF170">
            <w:pPr>
              <w:jc w:val="center"/>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none"/>
                <w:shd w:val="clear" w:color="auto" w:fill="auto"/>
              </w:rPr>
              <w:t>服务期</w:t>
            </w:r>
          </w:p>
        </w:tc>
        <w:tc>
          <w:tcPr>
            <w:tcW w:w="2090" w:type="dxa"/>
            <w:noWrap/>
            <w:vAlign w:val="center"/>
          </w:tcPr>
          <w:p w14:paraId="19BA9B16">
            <w:pPr>
              <w:spacing w:line="360" w:lineRule="auto"/>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运营管理费收取</w:t>
            </w:r>
          </w:p>
          <w:p w14:paraId="62B7BA88">
            <w:pPr>
              <w:spacing w:line="360" w:lineRule="auto"/>
              <w:jc w:val="center"/>
              <w:rPr>
                <w:rFonts w:hint="eastAsia" w:ascii="宋体" w:hAnsi="宋体" w:eastAsia="宋体" w:cs="宋体"/>
                <w:b/>
                <w:bCs/>
                <w:color w:val="auto"/>
                <w:sz w:val="21"/>
                <w:szCs w:val="21"/>
                <w:highlight w:val="yellow"/>
              </w:rPr>
            </w:pPr>
            <w:r>
              <w:rPr>
                <w:rFonts w:hint="eastAsia" w:ascii="宋体" w:hAnsi="宋体" w:eastAsia="宋体" w:cs="宋体"/>
                <w:b/>
                <w:bCs/>
                <w:color w:val="auto"/>
                <w:sz w:val="21"/>
                <w:szCs w:val="21"/>
                <w:highlight w:val="none"/>
                <w:lang w:val="en-US" w:eastAsia="zh-CN"/>
              </w:rPr>
              <w:t>（三年合计）</w:t>
            </w:r>
          </w:p>
        </w:tc>
      </w:tr>
      <w:tr w14:paraId="009DB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457" w:type="dxa"/>
            <w:noWrap/>
            <w:vAlign w:val="center"/>
          </w:tcPr>
          <w:p w14:paraId="4C80D0F0">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562" w:type="dxa"/>
            <w:noWrap/>
            <w:vAlign w:val="center"/>
          </w:tcPr>
          <w:p w14:paraId="6FC8E92C">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韶关市示范性综合实践基地委托运营管理项目</w:t>
            </w:r>
          </w:p>
        </w:tc>
        <w:tc>
          <w:tcPr>
            <w:tcW w:w="900" w:type="dxa"/>
            <w:noWrap/>
            <w:vAlign w:val="center"/>
          </w:tcPr>
          <w:p w14:paraId="48BD13EB">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1项</w:t>
            </w:r>
          </w:p>
        </w:tc>
        <w:tc>
          <w:tcPr>
            <w:tcW w:w="1481" w:type="dxa"/>
            <w:noWrap/>
            <w:vAlign w:val="center"/>
          </w:tcPr>
          <w:p w14:paraId="089A15DA">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详见具体招标要求</w:t>
            </w:r>
          </w:p>
        </w:tc>
        <w:tc>
          <w:tcPr>
            <w:tcW w:w="3263" w:type="dxa"/>
            <w:noWrap/>
            <w:vAlign w:val="center"/>
          </w:tcPr>
          <w:p w14:paraId="1EFC22DC">
            <w:pPr>
              <w:jc w:val="center"/>
              <w:rPr>
                <w:rFonts w:hint="eastAsia" w:ascii="宋体" w:hAnsi="宋体" w:eastAsia="宋体" w:cs="宋体"/>
                <w:color w:val="auto"/>
                <w:kern w:val="16"/>
                <w:sz w:val="21"/>
                <w:szCs w:val="21"/>
                <w:highlight w:val="yellow"/>
                <w:lang w:eastAsia="zh-CN"/>
              </w:rPr>
            </w:pPr>
            <w:bookmarkStart w:id="5" w:name="OLE_LINK4"/>
            <w:r>
              <w:rPr>
                <w:rFonts w:hint="eastAsia" w:ascii="宋体" w:hAnsi="宋体" w:eastAsia="宋体" w:cs="宋体"/>
                <w:color w:val="auto"/>
                <w:kern w:val="16"/>
                <w:sz w:val="21"/>
                <w:szCs w:val="21"/>
                <w:highlight w:val="none"/>
                <w:shd w:val="clear" w:color="auto" w:fill="auto"/>
                <w:lang w:eastAsia="zh-CN"/>
              </w:rPr>
              <w:t>本项目委托运营管理期限为</w:t>
            </w:r>
            <w:r>
              <w:rPr>
                <w:rFonts w:hint="eastAsia" w:ascii="宋体" w:hAnsi="宋体" w:eastAsia="宋体" w:cs="宋体"/>
                <w:color w:val="auto"/>
                <w:kern w:val="16"/>
                <w:sz w:val="21"/>
                <w:szCs w:val="21"/>
                <w:highlight w:val="none"/>
                <w:shd w:val="clear" w:color="auto" w:fill="auto"/>
                <w:lang w:val="en-US" w:eastAsia="zh-CN"/>
              </w:rPr>
              <w:t>3+2模式，即合同签署3年服务期，经合法程序后再续签服务期2年的合同（与相关政策冲突情况除外）。</w:t>
            </w:r>
            <w:r>
              <w:rPr>
                <w:rFonts w:hint="eastAsia" w:ascii="宋体" w:hAnsi="宋体" w:eastAsia="宋体" w:cs="宋体"/>
                <w:color w:val="auto"/>
                <w:kern w:val="16"/>
                <w:sz w:val="21"/>
                <w:szCs w:val="21"/>
                <w:highlight w:val="none"/>
                <w:shd w:val="clear" w:color="auto" w:fill="auto"/>
                <w:lang w:eastAsia="zh-CN"/>
              </w:rPr>
              <w:t>自合同签订之日起</w:t>
            </w:r>
            <w:r>
              <w:rPr>
                <w:rFonts w:hint="eastAsia" w:ascii="宋体" w:hAnsi="宋体" w:eastAsia="宋体" w:cs="宋体"/>
                <w:color w:val="auto"/>
                <w:kern w:val="16"/>
                <w:sz w:val="21"/>
                <w:szCs w:val="21"/>
                <w:highlight w:val="none"/>
                <w:shd w:val="clear" w:color="auto" w:fill="auto"/>
                <w:lang w:val="en-US" w:eastAsia="zh-CN"/>
              </w:rPr>
              <w:t>2个月后开始</w:t>
            </w:r>
            <w:r>
              <w:rPr>
                <w:rFonts w:hint="eastAsia" w:ascii="宋体" w:hAnsi="宋体" w:eastAsia="宋体" w:cs="宋体"/>
                <w:color w:val="auto"/>
                <w:kern w:val="16"/>
                <w:sz w:val="21"/>
                <w:szCs w:val="21"/>
                <w:highlight w:val="none"/>
                <w:shd w:val="clear" w:color="auto" w:fill="auto"/>
                <w:lang w:eastAsia="zh-CN"/>
              </w:rPr>
              <w:t>计算，预留</w:t>
            </w:r>
            <w:r>
              <w:rPr>
                <w:rFonts w:hint="eastAsia" w:ascii="宋体" w:hAnsi="宋体" w:eastAsia="宋体" w:cs="宋体"/>
                <w:color w:val="auto"/>
                <w:kern w:val="16"/>
                <w:sz w:val="21"/>
                <w:szCs w:val="21"/>
                <w:highlight w:val="none"/>
                <w:shd w:val="clear" w:color="auto" w:fill="auto"/>
                <w:lang w:val="en-US" w:eastAsia="zh-CN"/>
              </w:rPr>
              <w:t>2个月的交接、改造时间。</w:t>
            </w:r>
            <w:bookmarkEnd w:id="5"/>
          </w:p>
        </w:tc>
        <w:tc>
          <w:tcPr>
            <w:tcW w:w="2090" w:type="dxa"/>
            <w:noWrap/>
            <w:vAlign w:val="center"/>
          </w:tcPr>
          <w:p w14:paraId="0A5A683C">
            <w:pPr>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不低于</w:t>
            </w:r>
          </w:p>
          <w:p w14:paraId="05447C62">
            <w:pPr>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color w:val="auto"/>
                <w:sz w:val="21"/>
                <w:szCs w:val="21"/>
                <w:highlight w:val="yellow"/>
              </w:rPr>
            </w:pPr>
            <w:r>
              <w:rPr>
                <w:rFonts w:hint="eastAsia" w:ascii="宋体" w:hAnsi="宋体" w:eastAsia="宋体" w:cs="宋体"/>
                <w:color w:val="auto"/>
                <w:sz w:val="21"/>
                <w:szCs w:val="21"/>
                <w:highlight w:val="none"/>
                <w:lang w:val="en-US" w:eastAsia="zh-CN"/>
              </w:rPr>
              <w:t>1157.19万元</w:t>
            </w:r>
          </w:p>
        </w:tc>
      </w:tr>
    </w:tbl>
    <w:p w14:paraId="27869699">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4、其他：无</w:t>
      </w:r>
    </w:p>
    <w:p w14:paraId="22BE13A5">
      <w:pPr>
        <w:spacing w:line="360" w:lineRule="auto"/>
        <w:ind w:firstLine="420" w:firstLineChars="200"/>
        <w:rPr>
          <w:rFonts w:hint="eastAsia" w:ascii="宋体" w:hAnsi="宋体" w:eastAsia="宋体" w:cs="宋体"/>
          <w:color w:val="auto"/>
          <w:sz w:val="21"/>
          <w:szCs w:val="21"/>
          <w:u w:val="single"/>
          <w:lang w:eastAsia="zh-CN"/>
        </w:rPr>
      </w:pPr>
      <w:r>
        <w:rPr>
          <w:rFonts w:hint="eastAsia" w:ascii="宋体" w:hAnsi="宋体" w:eastAsia="宋体" w:cs="宋体"/>
          <w:color w:val="auto"/>
          <w:sz w:val="21"/>
          <w:szCs w:val="21"/>
        </w:rPr>
        <w:t>合同履行期限：</w:t>
      </w:r>
      <w:r>
        <w:rPr>
          <w:rFonts w:hint="eastAsia" w:ascii="宋体" w:hAnsi="宋体" w:eastAsia="宋体" w:cs="宋体"/>
          <w:color w:val="auto"/>
          <w:kern w:val="16"/>
          <w:sz w:val="21"/>
          <w:szCs w:val="21"/>
          <w:highlight w:val="none"/>
          <w:shd w:val="clear" w:color="auto" w:fill="auto"/>
          <w:lang w:eastAsia="zh-CN"/>
        </w:rPr>
        <w:t>本项目委托运营管理期限为</w:t>
      </w:r>
      <w:r>
        <w:rPr>
          <w:rFonts w:hint="eastAsia" w:ascii="宋体" w:hAnsi="宋体" w:eastAsia="宋体" w:cs="宋体"/>
          <w:color w:val="auto"/>
          <w:kern w:val="16"/>
          <w:sz w:val="21"/>
          <w:szCs w:val="21"/>
          <w:highlight w:val="none"/>
          <w:shd w:val="clear" w:color="auto" w:fill="auto"/>
          <w:lang w:val="en-US" w:eastAsia="zh-CN"/>
        </w:rPr>
        <w:t>3+2模式，即合同签署3年服务期，经合法程序后再续签服务期2年的合同（与相关政策冲突情况除外）。</w:t>
      </w:r>
      <w:r>
        <w:rPr>
          <w:rFonts w:hint="eastAsia" w:ascii="宋体" w:hAnsi="宋体" w:eastAsia="宋体" w:cs="宋体"/>
          <w:color w:val="auto"/>
          <w:kern w:val="16"/>
          <w:sz w:val="21"/>
          <w:szCs w:val="21"/>
          <w:highlight w:val="none"/>
          <w:shd w:val="clear" w:color="auto" w:fill="auto"/>
          <w:lang w:eastAsia="zh-CN"/>
        </w:rPr>
        <w:t>自合同签订之日起</w:t>
      </w:r>
      <w:r>
        <w:rPr>
          <w:rFonts w:hint="eastAsia" w:ascii="宋体" w:hAnsi="宋体" w:eastAsia="宋体" w:cs="宋体"/>
          <w:color w:val="auto"/>
          <w:kern w:val="16"/>
          <w:sz w:val="21"/>
          <w:szCs w:val="21"/>
          <w:highlight w:val="none"/>
          <w:shd w:val="clear" w:color="auto" w:fill="auto"/>
          <w:lang w:val="en-US" w:eastAsia="zh-CN"/>
        </w:rPr>
        <w:t>2个月后开始</w:t>
      </w:r>
      <w:r>
        <w:rPr>
          <w:rFonts w:hint="eastAsia" w:ascii="宋体" w:hAnsi="宋体" w:eastAsia="宋体" w:cs="宋体"/>
          <w:color w:val="auto"/>
          <w:kern w:val="16"/>
          <w:sz w:val="21"/>
          <w:szCs w:val="21"/>
          <w:highlight w:val="none"/>
          <w:shd w:val="clear" w:color="auto" w:fill="auto"/>
          <w:lang w:eastAsia="zh-CN"/>
        </w:rPr>
        <w:t>计算，预留</w:t>
      </w:r>
      <w:r>
        <w:rPr>
          <w:rFonts w:hint="eastAsia" w:ascii="宋体" w:hAnsi="宋体" w:eastAsia="宋体" w:cs="宋体"/>
          <w:color w:val="auto"/>
          <w:kern w:val="16"/>
          <w:sz w:val="21"/>
          <w:szCs w:val="21"/>
          <w:highlight w:val="none"/>
          <w:shd w:val="clear" w:color="auto" w:fill="auto"/>
          <w:lang w:val="en-US" w:eastAsia="zh-CN"/>
        </w:rPr>
        <w:t>2个月的交接、改造时间。</w:t>
      </w:r>
    </w:p>
    <w:p w14:paraId="32CE81B3">
      <w:pPr>
        <w:spacing w:line="360" w:lineRule="auto"/>
        <w:ind w:firstLine="422" w:firstLineChars="200"/>
        <w:rPr>
          <w:rFonts w:hint="eastAsia" w:ascii="宋体" w:hAnsi="宋体" w:eastAsia="宋体" w:cs="宋体"/>
          <w:b/>
          <w:bCs/>
          <w:color w:val="auto"/>
          <w:sz w:val="21"/>
          <w:szCs w:val="21"/>
        </w:rPr>
      </w:pPr>
      <w:r>
        <w:rPr>
          <w:rFonts w:hint="eastAsia" w:ascii="宋体" w:hAnsi="宋体" w:eastAsia="宋体" w:cs="宋体"/>
          <w:b/>
          <w:bCs/>
          <w:color w:val="auto"/>
          <w:sz w:val="21"/>
          <w:szCs w:val="21"/>
        </w:rPr>
        <w:t>本项目接受不超过</w:t>
      </w:r>
      <w:r>
        <w:rPr>
          <w:rFonts w:hint="eastAsia" w:ascii="宋体" w:hAnsi="宋体" w:eastAsia="宋体" w:cs="宋体"/>
          <w:b/>
          <w:bCs/>
          <w:color w:val="auto"/>
          <w:sz w:val="21"/>
          <w:szCs w:val="21"/>
          <w:lang w:val="en-US" w:eastAsia="zh-CN"/>
        </w:rPr>
        <w:t>3</w:t>
      </w:r>
      <w:r>
        <w:rPr>
          <w:rFonts w:hint="eastAsia" w:ascii="宋体" w:hAnsi="宋体" w:eastAsia="宋体" w:cs="宋体"/>
          <w:b/>
          <w:bCs/>
          <w:color w:val="auto"/>
          <w:sz w:val="21"/>
          <w:szCs w:val="21"/>
        </w:rPr>
        <w:t>家供应商组成的联合体参与投标。投标时提交《联合体共同投标协议书》（格式详见投标文件格式）</w:t>
      </w:r>
      <w:r>
        <w:rPr>
          <w:rFonts w:hint="eastAsia" w:ascii="宋体" w:hAnsi="宋体" w:eastAsia="宋体" w:cs="宋体"/>
          <w:b/>
          <w:bCs/>
          <w:color w:val="auto"/>
          <w:sz w:val="21"/>
          <w:szCs w:val="21"/>
          <w:lang w:val="en-US" w:eastAsia="zh-CN"/>
        </w:rPr>
        <w:t>。</w:t>
      </w:r>
    </w:p>
    <w:p w14:paraId="342CA9C3">
      <w:pPr>
        <w:keepNext/>
        <w:keepLines/>
        <w:pageBreakBefore w:val="0"/>
        <w:widowControl w:val="0"/>
        <w:kinsoku/>
        <w:wordWrap/>
        <w:overflowPunct/>
        <w:topLinePunct w:val="0"/>
        <w:autoSpaceDE/>
        <w:autoSpaceDN/>
        <w:bidi w:val="0"/>
        <w:adjustRightInd/>
        <w:snapToGrid/>
        <w:spacing w:after="0" w:line="360" w:lineRule="auto"/>
        <w:jc w:val="left"/>
        <w:textAlignment w:val="auto"/>
        <w:outlineLvl w:val="9"/>
        <w:rPr>
          <w:rFonts w:hint="eastAsia" w:ascii="宋体" w:hAnsi="宋体" w:eastAsia="宋体" w:cs="宋体"/>
          <w:b/>
          <w:bCs w:val="0"/>
          <w:color w:val="auto"/>
          <w:sz w:val="21"/>
          <w:szCs w:val="21"/>
        </w:rPr>
      </w:pPr>
      <w:bookmarkStart w:id="6" w:name="_Toc28359080"/>
      <w:bookmarkStart w:id="7" w:name="_Toc28359003"/>
      <w:bookmarkStart w:id="8" w:name="_Toc35393622"/>
      <w:bookmarkStart w:id="9" w:name="_Toc35393791"/>
      <w:r>
        <w:rPr>
          <w:rFonts w:hint="eastAsia" w:ascii="宋体" w:hAnsi="宋体" w:eastAsia="宋体" w:cs="宋体"/>
          <w:b/>
          <w:bCs w:val="0"/>
          <w:color w:val="auto"/>
          <w:sz w:val="21"/>
          <w:szCs w:val="21"/>
        </w:rPr>
        <w:t>二、申请人的资格要求</w:t>
      </w:r>
      <w:bookmarkEnd w:id="6"/>
      <w:bookmarkEnd w:id="7"/>
      <w:bookmarkEnd w:id="8"/>
      <w:bookmarkEnd w:id="9"/>
    </w:p>
    <w:p w14:paraId="1CCA16DB">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1.满足《中华人民共和国政府采购法》第二十二条规定；</w:t>
      </w:r>
    </w:p>
    <w:tbl>
      <w:tblPr>
        <w:tblStyle w:val="18"/>
        <w:tblW w:w="93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0"/>
      </w:tblGrid>
      <w:tr w14:paraId="7096A7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90" w:type="dxa"/>
            <w:noWrap w:val="0"/>
            <w:vAlign w:val="top"/>
          </w:tcPr>
          <w:p w14:paraId="7CA309EF">
            <w:pPr>
              <w:keepNext w:val="0"/>
              <w:keepLines w:val="0"/>
              <w:pageBreakBefore w:val="0"/>
              <w:kinsoku/>
              <w:wordWrap/>
              <w:overflowPunct/>
              <w:topLinePunct w:val="0"/>
              <w:bidi w:val="0"/>
              <w:spacing w:afterAutospacing="0"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（1）投标人必须是具有独立承担民事责任能力的在中华人民共和国境内注册的法人、其他组织或自然人（营业执照或事业单位法人证书或执业许可证等证明文件或自然人的身份证明）。</w:t>
            </w:r>
            <w:r>
              <w:rPr>
                <w:rFonts w:hint="eastAsia" w:ascii="宋体" w:hAnsi="宋体" w:eastAsia="宋体" w:cs="宋体"/>
                <w:b/>
                <w:bCs/>
                <w:color w:val="auto"/>
                <w:sz w:val="21"/>
                <w:szCs w:val="21"/>
                <w:lang w:val="en-US" w:eastAsia="zh-CN"/>
              </w:rPr>
              <w:t>（如以联合体形式参与投标，联合体各方均须满足）</w:t>
            </w:r>
          </w:p>
          <w:p w14:paraId="1F755A8F">
            <w:pPr>
              <w:keepNext w:val="0"/>
              <w:keepLines w:val="0"/>
              <w:pageBreakBefore w:val="0"/>
              <w:kinsoku/>
              <w:wordWrap/>
              <w:overflowPunct/>
              <w:topLinePunct w:val="0"/>
              <w:bidi w:val="0"/>
              <w:spacing w:afterAutospacing="0"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（2）投标人必须具有良好的商业信誉和健全的财务会计制度（投标文件中提供《资格条件承诺函》）。</w:t>
            </w:r>
            <w:r>
              <w:rPr>
                <w:rFonts w:hint="eastAsia" w:ascii="宋体" w:hAnsi="宋体" w:eastAsia="宋体" w:cs="宋体"/>
                <w:b/>
                <w:bCs/>
                <w:color w:val="auto"/>
                <w:sz w:val="21"/>
                <w:szCs w:val="21"/>
                <w:lang w:val="en-US" w:eastAsia="zh-CN"/>
              </w:rPr>
              <w:t>（如以联合体形式参与投标，联合体各方均须满足）</w:t>
            </w:r>
          </w:p>
          <w:p w14:paraId="66AD19D5">
            <w:pPr>
              <w:keepNext w:val="0"/>
              <w:keepLines w:val="0"/>
              <w:pageBreakBefore w:val="0"/>
              <w:kinsoku/>
              <w:wordWrap/>
              <w:overflowPunct/>
              <w:topLinePunct w:val="0"/>
              <w:bidi w:val="0"/>
              <w:spacing w:afterAutospacing="0"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（3）有依法缴纳税收和社会保障资金的良好记录（投标文件中提供《资格条件承诺函》）。</w:t>
            </w:r>
            <w:r>
              <w:rPr>
                <w:rFonts w:hint="eastAsia" w:ascii="宋体" w:hAnsi="宋体" w:eastAsia="宋体" w:cs="宋体"/>
                <w:b/>
                <w:bCs/>
                <w:color w:val="auto"/>
                <w:sz w:val="21"/>
                <w:szCs w:val="21"/>
                <w:lang w:val="en-US" w:eastAsia="zh-CN"/>
              </w:rPr>
              <w:t>（如以联合体形式参与投标，联合体各方均须满足）</w:t>
            </w:r>
          </w:p>
          <w:p w14:paraId="754F63AF">
            <w:pPr>
              <w:keepNext w:val="0"/>
              <w:keepLines w:val="0"/>
              <w:pageBreakBefore w:val="0"/>
              <w:kinsoku/>
              <w:wordWrap/>
              <w:overflowPunct/>
              <w:topLinePunct w:val="0"/>
              <w:bidi w:val="0"/>
              <w:spacing w:afterAutospacing="0"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（4）具备履行合同所必需的设备和专业技术能力（投标文件中提供《资格条件承诺函》）。</w:t>
            </w:r>
            <w:r>
              <w:rPr>
                <w:rFonts w:hint="eastAsia" w:ascii="宋体" w:hAnsi="宋体" w:eastAsia="宋体" w:cs="宋体"/>
                <w:b/>
                <w:bCs/>
                <w:color w:val="auto"/>
                <w:sz w:val="21"/>
                <w:szCs w:val="21"/>
                <w:lang w:val="en-US" w:eastAsia="zh-CN"/>
              </w:rPr>
              <w:t>（如以联合体形式参与投标，联合体各方均须满足）</w:t>
            </w:r>
          </w:p>
          <w:p w14:paraId="6CA69924">
            <w:pPr>
              <w:keepNext w:val="0"/>
              <w:keepLines w:val="0"/>
              <w:pageBreakBefore w:val="0"/>
              <w:kinsoku/>
              <w:wordWrap/>
              <w:overflowPunct/>
              <w:topLinePunct w:val="0"/>
              <w:bidi w:val="0"/>
              <w:spacing w:afterAutospacing="0" w:line="360" w:lineRule="auto"/>
              <w:ind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投标人参加政府采购活动前三年内，在经营活动中没有重大违法记录（投标文件中提供《资格条件承诺函》）。重大违法记录，是指投标人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r>
              <w:rPr>
                <w:rFonts w:hint="eastAsia" w:ascii="宋体" w:hAnsi="宋体" w:eastAsia="宋体" w:cs="宋体"/>
                <w:b/>
                <w:bCs/>
                <w:color w:val="auto"/>
                <w:sz w:val="21"/>
                <w:szCs w:val="21"/>
                <w:lang w:val="en-US" w:eastAsia="zh-CN"/>
              </w:rPr>
              <w:t>（如以联合体形式参与投标，联合体各方均须满足）</w:t>
            </w:r>
          </w:p>
        </w:tc>
      </w:tr>
    </w:tbl>
    <w:p w14:paraId="6FBCE681">
      <w:pPr>
        <w:pStyle w:val="6"/>
        <w:rPr>
          <w:rFonts w:hint="eastAsia" w:ascii="宋体" w:hAnsi="宋体" w:eastAsia="宋体" w:cs="宋体"/>
          <w:color w:val="auto"/>
          <w:sz w:val="21"/>
          <w:szCs w:val="21"/>
        </w:rPr>
      </w:pPr>
    </w:p>
    <w:p w14:paraId="115486B8">
      <w:pPr>
        <w:spacing w:line="360" w:lineRule="auto"/>
        <w:ind w:firstLine="420" w:firstLineChars="200"/>
        <w:rPr>
          <w:rFonts w:hint="eastAsia" w:ascii="宋体" w:hAnsi="宋体" w:eastAsia="宋体" w:cs="宋体"/>
          <w:color w:val="auto"/>
          <w:sz w:val="21"/>
          <w:szCs w:val="21"/>
        </w:rPr>
      </w:pPr>
      <w:bookmarkStart w:id="10" w:name="_Toc28359081"/>
      <w:bookmarkStart w:id="11" w:name="_Toc28359004"/>
      <w:r>
        <w:rPr>
          <w:rFonts w:hint="eastAsia" w:ascii="宋体" w:hAnsi="宋体" w:eastAsia="宋体" w:cs="宋体"/>
          <w:color w:val="auto"/>
          <w:sz w:val="21"/>
          <w:szCs w:val="21"/>
        </w:rPr>
        <w:t>2.落实政府采购政策需满足的资格要求：（如属于专门面向中小企业采购的项目,</w:t>
      </w:r>
      <w:r>
        <w:rPr>
          <w:rFonts w:hint="eastAsia" w:ascii="宋体" w:hAnsi="宋体" w:eastAsia="宋体" w:cs="宋体"/>
          <w:color w:val="auto"/>
          <w:sz w:val="21"/>
          <w:szCs w:val="21"/>
          <w:lang w:eastAsia="zh-CN"/>
        </w:rPr>
        <w:t>投标人</w:t>
      </w:r>
      <w:r>
        <w:rPr>
          <w:rFonts w:hint="eastAsia" w:ascii="宋体" w:hAnsi="宋体" w:eastAsia="宋体" w:cs="宋体"/>
          <w:color w:val="auto"/>
          <w:sz w:val="21"/>
          <w:szCs w:val="21"/>
        </w:rPr>
        <w:t>应为中小微企业、监狱企业、残疾人福利性单位)</w:t>
      </w:r>
    </w:p>
    <w:tbl>
      <w:tblPr>
        <w:tblStyle w:val="17"/>
        <w:tblW w:w="93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0"/>
      </w:tblGrid>
      <w:tr w14:paraId="57B77D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390" w:type="dxa"/>
            <w:noWrap w:val="0"/>
            <w:vAlign w:val="top"/>
          </w:tcPr>
          <w:p w14:paraId="6028F251">
            <w:pPr>
              <w:spacing w:line="360" w:lineRule="auto"/>
              <w:ind w:firstLine="422" w:firstLineChars="200"/>
              <w:rPr>
                <w:rFonts w:hint="eastAsia" w:ascii="宋体" w:hAnsi="宋体" w:eastAsia="宋体" w:cs="宋体"/>
                <w:color w:val="auto"/>
                <w:sz w:val="21"/>
                <w:szCs w:val="21"/>
              </w:rPr>
            </w:pPr>
            <w:r>
              <w:rPr>
                <w:rFonts w:hint="eastAsia" w:ascii="宋体" w:hAnsi="宋体" w:eastAsia="宋体" w:cs="宋体"/>
                <w:b/>
                <w:bCs/>
                <w:color w:val="auto"/>
                <w:sz w:val="21"/>
                <w:szCs w:val="21"/>
                <w:highlight w:val="none"/>
                <w:lang w:val="en-US" w:eastAsia="zh-CN"/>
              </w:rPr>
              <w:t>本项目不属于专门面向中小企业的项目。</w:t>
            </w:r>
          </w:p>
        </w:tc>
      </w:tr>
    </w:tbl>
    <w:p w14:paraId="753D026D">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sz w:val="21"/>
          <w:szCs w:val="21"/>
        </w:rPr>
        <w:t>3.本项目的特定资格要求：</w:t>
      </w:r>
    </w:p>
    <w:tbl>
      <w:tblPr>
        <w:tblStyle w:val="17"/>
        <w:tblW w:w="93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90"/>
      </w:tblGrid>
      <w:tr w14:paraId="3CB38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9390" w:type="dxa"/>
            <w:noWrap w:val="0"/>
            <w:vAlign w:val="top"/>
          </w:tcPr>
          <w:p w14:paraId="69578D55">
            <w:pPr>
              <w:spacing w:line="360" w:lineRule="auto"/>
              <w:ind w:firstLine="420" w:firstLineChars="20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投标人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截止日当天在“信用中国”网站（www.creditchina.gov.cn）及中国政府采购网（http://www.ccgp.gov.cn/）查询结果为准，如相关失信记录已失效，投标人需提供相关证明资料）。</w:t>
            </w:r>
            <w:bookmarkStart w:id="12" w:name="OLE_LINK1"/>
            <w:r>
              <w:rPr>
                <w:rFonts w:hint="eastAsia" w:ascii="宋体" w:hAnsi="宋体" w:eastAsia="宋体" w:cs="宋体"/>
                <w:color w:val="auto"/>
                <w:kern w:val="2"/>
                <w:sz w:val="21"/>
                <w:szCs w:val="21"/>
                <w:lang w:val="en-US" w:eastAsia="zh-CN" w:bidi="ar-SA"/>
              </w:rPr>
              <w:t>（如以联合体形式参与投标，联合体各方均须满足）</w:t>
            </w:r>
            <w:bookmarkEnd w:id="12"/>
          </w:p>
          <w:p w14:paraId="17306D85">
            <w:pPr>
              <w:spacing w:line="360" w:lineRule="auto"/>
              <w:ind w:firstLine="420" w:firstLineChars="200"/>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2）①前期为本采购项目提供整体设计、规范编制或者项目管理、监理、检测等服务的供应商，不得参加本次采购活动。如以联合体形式参与投标（响应），联合体各方均须满足。（可参照投标（响应）函相关格式承诺。如联合体投标（响应），承诺须加盖联合体各方公章） ②单位负责人为同一人或者存在直接控股、管理关系的不同供应商，不得同时参加本采购项目投标。如以联合体形式投标（响应）时，联合体各方与其他供应商不得存在上述情形。（可参照投标（响应）函相关格式承诺。如联合体投标（响应），承诺须加盖联合体各方公章）</w:t>
            </w:r>
          </w:p>
          <w:p w14:paraId="707DACAA">
            <w:pPr>
              <w:spacing w:line="360" w:lineRule="auto"/>
              <w:ind w:firstLine="420" w:firstLineChars="200"/>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（3）已登记报名并获取本项目招标文件。</w:t>
            </w:r>
          </w:p>
        </w:tc>
      </w:tr>
    </w:tbl>
    <w:p w14:paraId="64798B55">
      <w:pPr>
        <w:keepNext/>
        <w:keepLines/>
        <w:pageBreakBefore w:val="0"/>
        <w:widowControl w:val="0"/>
        <w:kinsoku/>
        <w:wordWrap/>
        <w:overflowPunct/>
        <w:topLinePunct w:val="0"/>
        <w:autoSpaceDE/>
        <w:autoSpaceDN/>
        <w:bidi w:val="0"/>
        <w:adjustRightInd/>
        <w:snapToGrid/>
        <w:spacing w:after="0" w:line="360" w:lineRule="auto"/>
        <w:jc w:val="both"/>
        <w:textAlignment w:val="auto"/>
        <w:outlineLvl w:val="9"/>
        <w:rPr>
          <w:rFonts w:hint="eastAsia" w:ascii="宋体" w:hAnsi="宋体" w:eastAsia="宋体" w:cs="宋体"/>
          <w:b/>
          <w:bCs w:val="0"/>
          <w:color w:val="auto"/>
          <w:sz w:val="21"/>
          <w:szCs w:val="21"/>
        </w:rPr>
      </w:pPr>
      <w:bookmarkStart w:id="13" w:name="_Toc35393623"/>
      <w:bookmarkStart w:id="14" w:name="_Toc35393792"/>
      <w:r>
        <w:rPr>
          <w:rFonts w:hint="eastAsia" w:ascii="宋体" w:hAnsi="宋体" w:eastAsia="宋体" w:cs="宋体"/>
          <w:b/>
          <w:bCs w:val="0"/>
          <w:color w:val="auto"/>
          <w:sz w:val="21"/>
          <w:szCs w:val="21"/>
        </w:rPr>
        <w:t>三、获取招标文件</w:t>
      </w:r>
      <w:bookmarkEnd w:id="10"/>
      <w:bookmarkEnd w:id="11"/>
      <w:bookmarkEnd w:id="13"/>
      <w:bookmarkEnd w:id="14"/>
    </w:p>
    <w:p w14:paraId="76D7DE5A">
      <w:pPr>
        <w:spacing w:line="360" w:lineRule="auto"/>
        <w:ind w:firstLine="54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时间：2025年06月27日18:00起至2025年07月04日17:30（提供期限自本公告发布之日起不得少于5个工作日,北京时间，法定节假日除</w:t>
      </w:r>
      <w:bookmarkStart w:id="79" w:name="_GoBack"/>
      <w:bookmarkEnd w:id="79"/>
      <w:r>
        <w:rPr>
          <w:rFonts w:hint="eastAsia" w:ascii="宋体" w:hAnsi="宋体" w:eastAsia="宋体" w:cs="宋体"/>
          <w:color w:val="auto"/>
          <w:sz w:val="21"/>
          <w:szCs w:val="21"/>
        </w:rPr>
        <w:t>外）</w:t>
      </w:r>
      <w:r>
        <w:rPr>
          <w:rFonts w:hint="eastAsia" w:ascii="宋体" w:hAnsi="宋体" w:eastAsia="宋体" w:cs="宋体"/>
          <w:color w:val="auto"/>
          <w:sz w:val="21"/>
          <w:szCs w:val="21"/>
          <w:lang w:eastAsia="zh-CN"/>
        </w:rPr>
        <w:t>。</w:t>
      </w:r>
    </w:p>
    <w:p w14:paraId="5A377B43">
      <w:pPr>
        <w:spacing w:line="360" w:lineRule="auto"/>
        <w:ind w:firstLine="540"/>
        <w:rPr>
          <w:rFonts w:hint="eastAsia" w:ascii="宋体" w:hAnsi="宋体" w:eastAsia="宋体" w:cs="宋体"/>
          <w:color w:val="auto"/>
          <w:sz w:val="21"/>
          <w:szCs w:val="21"/>
          <w:u w:val="single"/>
          <w:lang w:eastAsia="zh-CN"/>
        </w:rPr>
      </w:pPr>
      <w:bookmarkStart w:id="15" w:name="_Toc28359082"/>
      <w:bookmarkStart w:id="16" w:name="_Toc28359005"/>
      <w:bookmarkStart w:id="17" w:name="_Toc35393793"/>
      <w:bookmarkStart w:id="18" w:name="_Toc35393624"/>
      <w:r>
        <w:rPr>
          <w:rFonts w:hint="eastAsia" w:ascii="宋体" w:hAnsi="宋体" w:eastAsia="宋体" w:cs="宋体"/>
          <w:color w:val="auto"/>
          <w:sz w:val="21"/>
          <w:szCs w:val="21"/>
        </w:rPr>
        <w:t>地点：本项目采用韶关市公共资源交易一体化平台“产权招标交易系统”进行网上报名，详见“六、其他补充事宜”</w:t>
      </w:r>
      <w:r>
        <w:rPr>
          <w:rFonts w:hint="eastAsia" w:ascii="宋体" w:hAnsi="宋体" w:eastAsia="宋体" w:cs="宋体"/>
          <w:color w:val="auto"/>
          <w:sz w:val="21"/>
          <w:szCs w:val="21"/>
          <w:lang w:eastAsia="zh-CN"/>
        </w:rPr>
        <w:t>。</w:t>
      </w:r>
    </w:p>
    <w:p w14:paraId="75A730AE">
      <w:pPr>
        <w:spacing w:line="360" w:lineRule="auto"/>
        <w:ind w:firstLine="540"/>
        <w:rPr>
          <w:rFonts w:hint="eastAsia" w:ascii="宋体" w:hAnsi="宋体" w:eastAsia="宋体" w:cs="宋体"/>
          <w:color w:val="auto"/>
          <w:sz w:val="21"/>
          <w:szCs w:val="21"/>
          <w:u w:val="single"/>
          <w:lang w:val="en-US" w:eastAsia="zh-CN"/>
        </w:rPr>
      </w:pPr>
      <w:r>
        <w:rPr>
          <w:rFonts w:hint="eastAsia" w:ascii="宋体" w:hAnsi="宋体" w:eastAsia="宋体" w:cs="宋体"/>
          <w:color w:val="auto"/>
          <w:sz w:val="21"/>
          <w:szCs w:val="21"/>
        </w:rPr>
        <w:t>方式：</w:t>
      </w:r>
      <w:r>
        <w:rPr>
          <w:rFonts w:hint="eastAsia" w:ascii="宋体" w:hAnsi="宋体" w:eastAsia="宋体" w:cs="宋体"/>
          <w:color w:val="auto"/>
          <w:sz w:val="21"/>
          <w:szCs w:val="21"/>
          <w:lang w:val="en-US" w:eastAsia="zh-CN"/>
        </w:rPr>
        <w:t>网上</w:t>
      </w:r>
      <w:r>
        <w:rPr>
          <w:rFonts w:hint="eastAsia" w:ascii="宋体" w:hAnsi="宋体" w:eastAsia="宋体" w:cs="宋体"/>
          <w:color w:val="auto"/>
          <w:sz w:val="21"/>
          <w:szCs w:val="21"/>
        </w:rPr>
        <w:t>报名</w:t>
      </w:r>
    </w:p>
    <w:p w14:paraId="030BA54C">
      <w:pPr>
        <w:spacing w:line="360" w:lineRule="auto"/>
        <w:ind w:firstLine="540"/>
        <w:rPr>
          <w:rFonts w:hint="eastAsia" w:ascii="宋体" w:hAnsi="宋体" w:eastAsia="宋体" w:cs="宋体"/>
          <w:b/>
          <w:bCs/>
          <w:color w:val="auto"/>
          <w:sz w:val="21"/>
          <w:szCs w:val="21"/>
        </w:rPr>
      </w:pPr>
      <w:r>
        <w:rPr>
          <w:rFonts w:hint="eastAsia" w:ascii="宋体" w:hAnsi="宋体" w:eastAsia="宋体" w:cs="宋体"/>
          <w:color w:val="auto"/>
          <w:sz w:val="21"/>
          <w:szCs w:val="21"/>
        </w:rPr>
        <w:t>售价（元）：</w:t>
      </w:r>
      <w:r>
        <w:rPr>
          <w:rFonts w:hint="eastAsia" w:ascii="宋体" w:hAnsi="宋体" w:eastAsia="宋体" w:cs="宋体"/>
          <w:color w:val="auto"/>
          <w:sz w:val="21"/>
          <w:szCs w:val="21"/>
          <w:lang w:val="en-US" w:eastAsia="zh-CN"/>
        </w:rPr>
        <w:t>0.00</w:t>
      </w:r>
    </w:p>
    <w:p w14:paraId="0A06E625">
      <w:pPr>
        <w:keepNext/>
        <w:keepLines/>
        <w:pageBreakBefore w:val="0"/>
        <w:widowControl w:val="0"/>
        <w:kinsoku/>
        <w:wordWrap/>
        <w:overflowPunct/>
        <w:topLinePunct w:val="0"/>
        <w:autoSpaceDE/>
        <w:autoSpaceDN/>
        <w:bidi w:val="0"/>
        <w:adjustRightInd/>
        <w:snapToGrid/>
        <w:spacing w:after="0" w:line="360" w:lineRule="auto"/>
        <w:jc w:val="both"/>
        <w:textAlignment w:val="auto"/>
        <w:outlineLvl w:val="9"/>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四、提交投标文件</w:t>
      </w:r>
      <w:bookmarkEnd w:id="15"/>
      <w:bookmarkEnd w:id="16"/>
      <w:r>
        <w:rPr>
          <w:rFonts w:hint="eastAsia" w:ascii="宋体" w:hAnsi="宋体" w:eastAsia="宋体" w:cs="宋体"/>
          <w:b/>
          <w:bCs w:val="0"/>
          <w:color w:val="auto"/>
          <w:sz w:val="21"/>
          <w:szCs w:val="21"/>
        </w:rPr>
        <w:t>截止时间、开标时间和地点</w:t>
      </w:r>
      <w:bookmarkEnd w:id="17"/>
      <w:bookmarkEnd w:id="18"/>
    </w:p>
    <w:p w14:paraId="3F5FE7EA">
      <w:pPr>
        <w:spacing w:line="360" w:lineRule="auto"/>
        <w:ind w:firstLine="420" w:firstLineChars="200"/>
        <w:rPr>
          <w:rFonts w:hint="eastAsia" w:ascii="宋体" w:hAnsi="宋体" w:eastAsia="宋体" w:cs="宋体"/>
          <w:bCs/>
          <w:color w:val="auto"/>
          <w:sz w:val="21"/>
          <w:szCs w:val="21"/>
          <w:u w:val="none"/>
          <w:lang w:val="en-US" w:eastAsia="zh-CN"/>
        </w:rPr>
      </w:pPr>
      <w:r>
        <w:rPr>
          <w:rFonts w:hint="eastAsia" w:ascii="宋体" w:hAnsi="宋体" w:eastAsia="宋体" w:cs="宋体"/>
          <w:color w:val="auto"/>
          <w:sz w:val="21"/>
          <w:szCs w:val="21"/>
          <w:u w:val="none"/>
        </w:rPr>
        <w:t xml:space="preserve"> </w:t>
      </w:r>
      <w:r>
        <w:rPr>
          <w:rFonts w:hint="eastAsia" w:ascii="宋体" w:hAnsi="宋体" w:eastAsia="宋体" w:cs="宋体"/>
          <w:color w:val="auto"/>
          <w:sz w:val="21"/>
          <w:szCs w:val="21"/>
          <w:lang w:val="en-US" w:eastAsia="zh-CN"/>
        </w:rPr>
        <w:t>2025</w:t>
      </w:r>
      <w:r>
        <w:rPr>
          <w:rFonts w:hint="eastAsia" w:ascii="宋体" w:hAnsi="宋体" w:eastAsia="宋体" w:cs="宋体"/>
          <w:color w:val="auto"/>
          <w:sz w:val="21"/>
          <w:szCs w:val="21"/>
        </w:rPr>
        <w:t>年</w:t>
      </w:r>
      <w:r>
        <w:rPr>
          <w:rFonts w:hint="eastAsia" w:ascii="宋体" w:hAnsi="宋体" w:eastAsia="宋体" w:cs="宋体"/>
          <w:color w:val="auto"/>
          <w:sz w:val="21"/>
          <w:szCs w:val="21"/>
          <w:lang w:val="en-US" w:eastAsia="zh-CN"/>
        </w:rPr>
        <w:t>07</w:t>
      </w:r>
      <w:r>
        <w:rPr>
          <w:rFonts w:hint="eastAsia" w:ascii="宋体" w:hAnsi="宋体" w:eastAsia="宋体" w:cs="宋体"/>
          <w:color w:val="auto"/>
          <w:sz w:val="21"/>
          <w:szCs w:val="21"/>
        </w:rPr>
        <w:t>月</w:t>
      </w:r>
      <w:r>
        <w:rPr>
          <w:rFonts w:hint="eastAsia" w:ascii="宋体" w:hAnsi="宋体" w:eastAsia="宋体" w:cs="宋体"/>
          <w:color w:val="auto"/>
          <w:sz w:val="21"/>
          <w:szCs w:val="21"/>
          <w:lang w:val="en-US" w:eastAsia="zh-CN"/>
        </w:rPr>
        <w:t>18</w:t>
      </w:r>
      <w:r>
        <w:rPr>
          <w:rFonts w:hint="eastAsia" w:ascii="宋体" w:hAnsi="宋体" w:eastAsia="宋体" w:cs="宋体"/>
          <w:color w:val="auto"/>
          <w:sz w:val="21"/>
          <w:szCs w:val="21"/>
        </w:rPr>
        <w:t>日</w:t>
      </w:r>
      <w:r>
        <w:rPr>
          <w:rFonts w:hint="eastAsia" w:ascii="宋体" w:hAnsi="宋体" w:eastAsia="宋体" w:cs="宋体"/>
          <w:bCs/>
          <w:color w:val="auto"/>
          <w:sz w:val="21"/>
          <w:szCs w:val="21"/>
          <w:u w:val="none"/>
          <w:lang w:val="en-US" w:eastAsia="zh-CN"/>
        </w:rPr>
        <w:t>9点30</w:t>
      </w:r>
      <w:r>
        <w:rPr>
          <w:rFonts w:hint="eastAsia" w:ascii="宋体" w:hAnsi="宋体" w:eastAsia="宋体" w:cs="宋体"/>
          <w:bCs/>
          <w:color w:val="auto"/>
          <w:sz w:val="21"/>
          <w:szCs w:val="21"/>
          <w:u w:val="none"/>
        </w:rPr>
        <w:t>分</w:t>
      </w:r>
      <w:r>
        <w:rPr>
          <w:rFonts w:hint="eastAsia" w:ascii="宋体" w:hAnsi="宋体" w:eastAsia="宋体" w:cs="宋体"/>
          <w:bCs/>
          <w:color w:val="auto"/>
          <w:sz w:val="21"/>
          <w:szCs w:val="21"/>
        </w:rPr>
        <w:t>（北京时间</w:t>
      </w:r>
      <w:r>
        <w:rPr>
          <w:rFonts w:hint="eastAsia" w:ascii="宋体" w:hAnsi="宋体" w:eastAsia="宋体" w:cs="宋体"/>
          <w:bCs/>
          <w:color w:val="auto"/>
          <w:sz w:val="21"/>
          <w:szCs w:val="21"/>
          <w:u w:val="none"/>
          <w:lang w:val="en-US" w:eastAsia="zh-CN"/>
        </w:rPr>
        <w:t>）</w:t>
      </w:r>
    </w:p>
    <w:p w14:paraId="12464085">
      <w:pPr>
        <w:pStyle w:val="4"/>
        <w:spacing w:line="360" w:lineRule="auto"/>
        <w:ind w:firstLine="420" w:firstLineChars="200"/>
        <w:jc w:val="both"/>
        <w:rPr>
          <w:rFonts w:hint="eastAsia" w:ascii="宋体" w:hAnsi="宋体" w:eastAsia="宋体" w:cs="宋体"/>
          <w:b w:val="0"/>
          <w:bCs/>
          <w:color w:val="auto"/>
          <w:kern w:val="2"/>
          <w:sz w:val="21"/>
          <w:szCs w:val="21"/>
          <w:u w:val="none"/>
          <w:lang w:val="en-US" w:eastAsia="zh-CN" w:bidi="ar-SA"/>
        </w:rPr>
      </w:pPr>
      <w:r>
        <w:rPr>
          <w:rFonts w:hint="eastAsia" w:ascii="宋体" w:hAnsi="宋体" w:eastAsia="宋体" w:cs="宋体"/>
          <w:b w:val="0"/>
          <w:bCs/>
          <w:color w:val="auto"/>
          <w:kern w:val="2"/>
          <w:sz w:val="21"/>
          <w:szCs w:val="21"/>
          <w:u w:val="none"/>
          <w:lang w:val="en-US" w:eastAsia="zh-CN" w:bidi="ar-SA"/>
        </w:rPr>
        <w:t>地点：广东省韶关市曲江区马坝镇鞍山路曲江文化中心一楼（韶关市公共资源交易中心曲江分中心）</w:t>
      </w:r>
    </w:p>
    <w:p w14:paraId="0753002D">
      <w:pPr>
        <w:spacing w:line="360" w:lineRule="auto"/>
        <w:rPr>
          <w:rFonts w:hint="eastAsia"/>
          <w:color w:val="auto"/>
          <w:lang w:val="en-US" w:eastAsia="zh-CN"/>
        </w:rPr>
      </w:pPr>
      <w:r>
        <w:rPr>
          <w:rFonts w:hint="eastAsia" w:ascii="宋体" w:hAnsi="宋体" w:eastAsia="宋体" w:cs="宋体"/>
          <w:b/>
          <w:bCs w:val="0"/>
          <w:color w:val="auto"/>
          <w:sz w:val="21"/>
          <w:szCs w:val="21"/>
          <w:lang w:val="en-US" w:eastAsia="zh-CN"/>
        </w:rPr>
        <w:t>五</w:t>
      </w:r>
      <w:r>
        <w:rPr>
          <w:rFonts w:hint="eastAsia" w:ascii="宋体" w:hAnsi="宋体" w:eastAsia="宋体" w:cs="宋体"/>
          <w:b/>
          <w:bCs w:val="0"/>
          <w:color w:val="auto"/>
          <w:sz w:val="21"/>
          <w:szCs w:val="21"/>
        </w:rPr>
        <w:t>、</w:t>
      </w:r>
      <w:r>
        <w:rPr>
          <w:rFonts w:hint="eastAsia" w:ascii="宋体" w:hAnsi="宋体" w:eastAsia="宋体" w:cs="宋体"/>
          <w:b/>
          <w:bCs w:val="0"/>
          <w:color w:val="auto"/>
          <w:sz w:val="21"/>
          <w:szCs w:val="21"/>
          <w:lang w:val="en-US" w:eastAsia="zh-CN"/>
        </w:rPr>
        <w:t>公告期限</w:t>
      </w:r>
    </w:p>
    <w:p w14:paraId="205A9365">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宋体"/>
          <w:b w:val="0"/>
          <w:bCs/>
          <w:color w:val="auto"/>
          <w:kern w:val="2"/>
          <w:sz w:val="21"/>
          <w:szCs w:val="21"/>
          <w:u w:val="none"/>
          <w:lang w:val="en-US" w:eastAsia="zh-CN" w:bidi="ar-SA"/>
        </w:rPr>
      </w:pPr>
      <w:r>
        <w:rPr>
          <w:rFonts w:hint="eastAsia" w:ascii="宋体" w:hAnsi="宋体" w:eastAsia="宋体" w:cs="宋体"/>
          <w:b w:val="0"/>
          <w:bCs/>
          <w:color w:val="auto"/>
          <w:kern w:val="2"/>
          <w:sz w:val="21"/>
          <w:szCs w:val="21"/>
          <w:u w:val="none"/>
          <w:lang w:val="en-US" w:eastAsia="zh-CN" w:bidi="ar-SA"/>
        </w:rPr>
        <w:t>自本公告发布之日起5个工作日。</w:t>
      </w:r>
      <w:bookmarkStart w:id="19" w:name="_Toc35393795"/>
      <w:bookmarkStart w:id="20" w:name="_Toc35393626"/>
    </w:p>
    <w:p w14:paraId="79D09E2A">
      <w:pPr>
        <w:keepNext/>
        <w:keepLines/>
        <w:pageBreakBefore w:val="0"/>
        <w:widowControl w:val="0"/>
        <w:kinsoku/>
        <w:wordWrap/>
        <w:overflowPunct/>
        <w:topLinePunct w:val="0"/>
        <w:autoSpaceDE/>
        <w:autoSpaceDN/>
        <w:bidi w:val="0"/>
        <w:adjustRightInd/>
        <w:snapToGrid/>
        <w:spacing w:after="0" w:line="360" w:lineRule="auto"/>
        <w:jc w:val="both"/>
        <w:textAlignment w:val="auto"/>
        <w:outlineLvl w:val="9"/>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六、其他补充事宜</w:t>
      </w:r>
      <w:bookmarkEnd w:id="19"/>
      <w:bookmarkEnd w:id="20"/>
    </w:p>
    <w:tbl>
      <w:tblPr>
        <w:tblStyle w:val="17"/>
        <w:tblW w:w="937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375"/>
      </w:tblGrid>
      <w:tr w14:paraId="5F21F0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75" w:type="dxa"/>
            <w:noWrap w:val="0"/>
            <w:vAlign w:val="top"/>
          </w:tcPr>
          <w:p w14:paraId="78168524">
            <w:pPr>
              <w:pStyle w:val="85"/>
              <w:snapToGrid w:val="0"/>
              <w:spacing w:line="360" w:lineRule="auto"/>
              <w:ind w:firstLine="422" w:firstLineChars="200"/>
              <w:rPr>
                <w:rFonts w:hint="eastAsia" w:ascii="宋体" w:hAnsi="宋体" w:eastAsia="宋体" w:cs="宋体"/>
                <w:b/>
                <w:bCs/>
                <w:color w:val="auto"/>
                <w:kern w:val="16"/>
                <w:sz w:val="21"/>
                <w:szCs w:val="21"/>
                <w:highlight w:val="none"/>
                <w:lang w:eastAsia="zh-CN"/>
              </w:rPr>
            </w:pPr>
            <w:r>
              <w:rPr>
                <w:rFonts w:hint="eastAsia" w:ascii="宋体" w:hAnsi="宋体" w:eastAsia="宋体" w:cs="宋体"/>
                <w:b/>
                <w:bCs/>
                <w:color w:val="auto"/>
                <w:kern w:val="16"/>
                <w:sz w:val="21"/>
                <w:szCs w:val="21"/>
                <w:highlight w:val="none"/>
                <w:lang w:eastAsia="zh-CN"/>
              </w:rPr>
              <w:t>(一）采购项目注意事项</w:t>
            </w:r>
          </w:p>
          <w:p w14:paraId="51DCD93F">
            <w:pPr>
              <w:pStyle w:val="16"/>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12" w:lineRule="auto"/>
              <w:ind w:left="0" w:firstLine="420" w:firstLineChars="200"/>
              <w:jc w:val="both"/>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bidi="ar-SA"/>
              </w:rPr>
              <w:t>1、参与本项目的投标人须采用韶关市公共资源交易一体化平台“产权招标交易系统”进行网上报名。</w:t>
            </w:r>
          </w:p>
          <w:p w14:paraId="60FFE521">
            <w:pPr>
              <w:pStyle w:val="16"/>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12" w:lineRule="auto"/>
              <w:ind w:left="0" w:firstLine="420" w:firstLineChars="200"/>
              <w:jc w:val="both"/>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bidi="ar-SA"/>
              </w:rPr>
              <w:t>（1）报名事宜</w:t>
            </w:r>
          </w:p>
          <w:p w14:paraId="5923AF35">
            <w:pPr>
              <w:pStyle w:val="16"/>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12" w:lineRule="auto"/>
              <w:ind w:left="0" w:firstLine="420" w:firstLineChars="200"/>
              <w:jc w:val="both"/>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bidi="ar-SA"/>
              </w:rPr>
              <w:t>①报名流程：投标人必须在报名时间内登录广东省公共资源交易平台（韶关市）（https://ygp.gdzwfw.gov.cn/ggzy-portal/#/440200/index），韶关市公共资源交易一体化平台（</w:t>
            </w:r>
            <w:r>
              <w:rPr>
                <w:rFonts w:hint="eastAsia" w:eastAsia="宋体" w:cs="宋体"/>
                <w:b w:val="0"/>
                <w:bCs w:val="0"/>
                <w:color w:val="auto"/>
                <w:kern w:val="0"/>
                <w:sz w:val="21"/>
                <w:szCs w:val="21"/>
                <w:highlight w:val="none"/>
                <w:lang w:val="en-US" w:eastAsia="zh-CN" w:bidi="ar-SA"/>
              </w:rPr>
              <w:t>http://ythpt.sg.gov.cn/</w:t>
            </w:r>
            <w:r>
              <w:rPr>
                <w:rFonts w:hint="eastAsia" w:ascii="宋体" w:hAnsi="宋体" w:eastAsia="宋体" w:cs="宋体"/>
                <w:b w:val="0"/>
                <w:bCs w:val="0"/>
                <w:color w:val="auto"/>
                <w:kern w:val="0"/>
                <w:sz w:val="21"/>
                <w:szCs w:val="21"/>
                <w:highlight w:val="none"/>
                <w:lang w:val="en-US" w:eastAsia="zh-CN" w:bidi="ar-SA"/>
              </w:rPr>
              <w:t>），在用户登录窗口登录。登录成功后，点击“产权招标交易系统”进入产权招标交易系统，点击“系统功能菜单”中的“投标报名 &gt; 项目列表”查看可报名的项目，选择需参与的项目分包，点击“报名”，输入联系人、联系电话，输入Pin码验证成功后，点击“确认”即可。在“已报项目”栏中看到已报项目，即为报名成功。</w:t>
            </w:r>
          </w:p>
          <w:p w14:paraId="0611BDFE">
            <w:pPr>
              <w:pStyle w:val="16"/>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12" w:lineRule="auto"/>
              <w:ind w:left="0" w:firstLine="420" w:firstLineChars="200"/>
              <w:jc w:val="both"/>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bidi="ar-SA"/>
              </w:rPr>
              <w:t>②未在韶关市公共资源交易中心办理韶关市电子交易平台数字证书和产权招标交易系统供应商入库手续的，投标人应当登录广东省公共资源交易平台（韶关市）（https://ygp.gdzwfw.gov.cn/ggzy-portal/#/440200/index）、韶关市公共资源交易一体化平台（</w:t>
            </w:r>
            <w:r>
              <w:rPr>
                <w:rFonts w:hint="eastAsia" w:eastAsia="宋体" w:cs="宋体"/>
                <w:b w:val="0"/>
                <w:bCs w:val="0"/>
                <w:color w:val="auto"/>
                <w:kern w:val="0"/>
                <w:sz w:val="21"/>
                <w:szCs w:val="21"/>
                <w:highlight w:val="none"/>
                <w:lang w:val="en-US" w:eastAsia="zh-CN" w:bidi="ar-SA"/>
              </w:rPr>
              <w:t>http://ythpt.sg.gov.cn/</w:t>
            </w:r>
            <w:r>
              <w:rPr>
                <w:rFonts w:hint="eastAsia" w:ascii="宋体" w:hAnsi="宋体" w:eastAsia="宋体" w:cs="宋体"/>
                <w:b w:val="0"/>
                <w:bCs w:val="0"/>
                <w:color w:val="auto"/>
                <w:kern w:val="0"/>
                <w:sz w:val="21"/>
                <w:szCs w:val="21"/>
                <w:highlight w:val="none"/>
                <w:lang w:val="en-US" w:eastAsia="zh-CN" w:bidi="ar-SA"/>
              </w:rPr>
              <w:t>）用户注册及完善企业信息、上传资料，携带相关资料到韶关市公共资源交易中心1号楼一楼办事大厅办理相关手续（详见韶关市公共资源交易一体化平台的《韶关市公共资源交易一体化平台使用产权招标交易系统注意事项》的附件《韶关市公共资源交易一体化平台产权招标交易-投标人用户手册》）。</w:t>
            </w:r>
          </w:p>
          <w:p w14:paraId="38D19452">
            <w:pPr>
              <w:pStyle w:val="16"/>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12" w:lineRule="auto"/>
              <w:ind w:left="0" w:firstLine="420" w:firstLineChars="200"/>
              <w:jc w:val="both"/>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bidi="ar-SA"/>
              </w:rPr>
              <w:t>③报名成功后，投标人自行登录广东省公共资源交易平台（韶关市）（https://ygp.gdzwfw.gov.cn/ggzy-portal/#/440200/index）、韶关市公共资源交易一体化平台（</w:t>
            </w:r>
            <w:r>
              <w:rPr>
                <w:rFonts w:hint="eastAsia" w:eastAsia="宋体" w:cs="宋体"/>
                <w:b w:val="0"/>
                <w:bCs w:val="0"/>
                <w:color w:val="auto"/>
                <w:kern w:val="0"/>
                <w:sz w:val="21"/>
                <w:szCs w:val="21"/>
                <w:highlight w:val="none"/>
                <w:lang w:val="en-US" w:eastAsia="zh-CN" w:bidi="ar-SA"/>
              </w:rPr>
              <w:t>http://ythpt.sg.gov.cn/</w:t>
            </w:r>
            <w:r>
              <w:rPr>
                <w:rFonts w:hint="eastAsia" w:ascii="宋体" w:hAnsi="宋体" w:eastAsia="宋体" w:cs="宋体"/>
                <w:b w:val="0"/>
                <w:bCs w:val="0"/>
                <w:color w:val="auto"/>
                <w:kern w:val="0"/>
                <w:sz w:val="21"/>
                <w:szCs w:val="21"/>
                <w:highlight w:val="none"/>
                <w:lang w:val="en-US" w:eastAsia="zh-CN" w:bidi="ar-SA"/>
              </w:rPr>
              <w:t>）或产权招标交易系统下载招标文件、操作指南（以最新日期版本为准）参加投标活动。</w:t>
            </w:r>
          </w:p>
          <w:p w14:paraId="22FE3F01">
            <w:pPr>
              <w:pStyle w:val="16"/>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12" w:lineRule="auto"/>
              <w:ind w:left="0" w:firstLine="420" w:firstLineChars="200"/>
              <w:jc w:val="both"/>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bidi="ar-SA"/>
              </w:rPr>
              <w:t>④供应商应当在参与采购活动前详细研究了招标文件的所有内容，包括澄清、修改文件（如果有）和所有已提供的参考资料以及有关附件，且不存在任何含糊不清和误解之处，否则，由此产生的一切后果由供应商自行承担。</w:t>
            </w:r>
          </w:p>
          <w:p w14:paraId="3627F10B">
            <w:pPr>
              <w:pStyle w:val="16"/>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12" w:lineRule="auto"/>
              <w:ind w:left="0" w:firstLine="420" w:firstLineChars="200"/>
              <w:jc w:val="both"/>
              <w:textAlignment w:val="auto"/>
              <w:rPr>
                <w:rFonts w:hint="eastAsia" w:ascii="宋体" w:hAnsi="宋体" w:eastAsia="宋体" w:cs="宋体"/>
                <w:b w:val="0"/>
                <w:bCs w:val="0"/>
                <w:color w:val="auto"/>
                <w:kern w:val="0"/>
                <w:sz w:val="21"/>
                <w:szCs w:val="21"/>
                <w:highlight w:val="none"/>
                <w:lang w:val="en-US" w:eastAsia="zh-CN" w:bidi="ar-SA"/>
              </w:rPr>
            </w:pPr>
            <w:r>
              <w:rPr>
                <w:rFonts w:hint="eastAsia" w:ascii="宋体" w:hAnsi="宋体" w:eastAsia="宋体" w:cs="宋体"/>
                <w:b w:val="0"/>
                <w:bCs w:val="0"/>
                <w:color w:val="auto"/>
                <w:kern w:val="0"/>
                <w:sz w:val="21"/>
                <w:szCs w:val="21"/>
                <w:highlight w:val="none"/>
                <w:lang w:val="en-US" w:eastAsia="zh-CN" w:bidi="ar-SA"/>
              </w:rPr>
              <w:t>⑤其他事宜（技术支持：0751-8379671/13288134927 伍工）</w:t>
            </w:r>
          </w:p>
          <w:p w14:paraId="60CC206B">
            <w:pPr>
              <w:keepNext w:val="0"/>
              <w:keepLines w:val="0"/>
              <w:pageBreakBefore w:val="0"/>
              <w:widowControl/>
              <w:kinsoku/>
              <w:wordWrap/>
              <w:overflowPunct/>
              <w:topLinePunct w:val="0"/>
              <w:autoSpaceDE/>
              <w:autoSpaceDN/>
              <w:bidi w:val="0"/>
              <w:adjustRightInd/>
              <w:snapToGrid w:val="0"/>
              <w:spacing w:before="157" w:beforeLines="50" w:after="157" w:afterLines="50" w:line="240" w:lineRule="auto"/>
              <w:ind w:firstLine="420" w:firstLineChars="200"/>
              <w:jc w:val="left"/>
              <w:textAlignment w:val="auto"/>
              <w:outlineLvl w:val="3"/>
              <w:rPr>
                <w:rFonts w:hint="eastAsia" w:ascii="宋体" w:hAnsi="宋体" w:eastAsia="宋体" w:cs="宋体"/>
                <w:b w:val="0"/>
                <w:bCs w:val="0"/>
                <w:color w:val="auto"/>
                <w:kern w:val="0"/>
                <w:szCs w:val="21"/>
                <w:highlight w:val="none"/>
                <w:lang w:val="en-US" w:eastAsia="zh-CN"/>
              </w:rPr>
            </w:pPr>
            <w:r>
              <w:rPr>
                <w:rFonts w:hint="eastAsia" w:ascii="宋体" w:hAnsi="宋体" w:eastAsia="宋体" w:cs="宋体"/>
                <w:b w:val="0"/>
                <w:bCs w:val="0"/>
                <w:color w:val="auto"/>
                <w:kern w:val="0"/>
                <w:szCs w:val="21"/>
                <w:highlight w:val="none"/>
                <w:lang w:val="en-US" w:eastAsia="zh-CN"/>
              </w:rPr>
              <w:t>2、投标保证金</w:t>
            </w:r>
          </w:p>
          <w:p w14:paraId="0A325F6F">
            <w:pPr>
              <w:pStyle w:val="16"/>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12"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（1）投标保证金交纳截止时间：2025年</w:t>
            </w:r>
            <w:r>
              <w:rPr>
                <w:rFonts w:hint="eastAsia" w:cs="宋体"/>
                <w:color w:val="auto"/>
                <w:kern w:val="0"/>
                <w:sz w:val="21"/>
                <w:szCs w:val="21"/>
                <w:highlight w:val="none"/>
                <w:lang w:val="en-US" w:eastAsia="zh-CN" w:bidi="ar-SA"/>
              </w:rPr>
              <w:t>07</w:t>
            </w:r>
            <w:r>
              <w:rPr>
                <w:rFonts w:hint="eastAsia" w:ascii="宋体" w:hAnsi="宋体" w:cs="宋体"/>
                <w:color w:val="auto"/>
                <w:kern w:val="0"/>
                <w:szCs w:val="21"/>
                <w:highlight w:val="none"/>
              </w:rPr>
              <w:t>月</w:t>
            </w:r>
            <w:r>
              <w:rPr>
                <w:rFonts w:hint="eastAsia" w:cs="宋体"/>
                <w:color w:val="auto"/>
                <w:kern w:val="0"/>
                <w:szCs w:val="21"/>
                <w:highlight w:val="none"/>
                <w:lang w:val="en-US" w:eastAsia="zh-CN"/>
              </w:rPr>
              <w:t>17</w:t>
            </w:r>
            <w:r>
              <w:rPr>
                <w:rFonts w:hint="eastAsia" w:ascii="宋体" w:hAnsi="宋体" w:cs="宋体"/>
                <w:color w:val="auto"/>
                <w:kern w:val="0"/>
                <w:szCs w:val="21"/>
                <w:highlight w:val="none"/>
              </w:rPr>
              <w:t>日</w:t>
            </w:r>
            <w:r>
              <w:rPr>
                <w:rFonts w:hint="eastAsia" w:ascii="宋体" w:hAnsi="宋体" w:cs="宋体"/>
                <w:color w:val="auto"/>
                <w:kern w:val="0"/>
                <w:szCs w:val="21"/>
                <w:highlight w:val="none"/>
                <w:lang w:val="en-US" w:eastAsia="zh-CN"/>
              </w:rPr>
              <w:t>09</w:t>
            </w:r>
            <w:r>
              <w:rPr>
                <w:rFonts w:hint="eastAsia" w:ascii="宋体" w:hAnsi="宋体" w:cs="宋体"/>
                <w:color w:val="auto"/>
                <w:kern w:val="0"/>
                <w:szCs w:val="21"/>
                <w:highlight w:val="none"/>
              </w:rPr>
              <w:t>时</w:t>
            </w:r>
            <w:r>
              <w:rPr>
                <w:rFonts w:hint="eastAsia" w:ascii="宋体" w:hAnsi="宋体" w:cs="宋体"/>
                <w:color w:val="auto"/>
                <w:kern w:val="0"/>
                <w:szCs w:val="21"/>
                <w:highlight w:val="none"/>
                <w:lang w:val="en-US" w:eastAsia="zh-CN"/>
              </w:rPr>
              <w:t>30</w:t>
            </w:r>
            <w:r>
              <w:rPr>
                <w:rFonts w:hint="eastAsia" w:ascii="宋体" w:hAnsi="宋体" w:cs="宋体"/>
                <w:color w:val="auto"/>
                <w:kern w:val="0"/>
                <w:szCs w:val="21"/>
                <w:highlight w:val="none"/>
              </w:rPr>
              <w:t>分</w:t>
            </w:r>
            <w:r>
              <w:rPr>
                <w:rFonts w:hint="eastAsia" w:ascii="宋体" w:hAnsi="宋体" w:eastAsia="宋体" w:cs="宋体"/>
                <w:color w:val="auto"/>
                <w:kern w:val="0"/>
                <w:sz w:val="21"/>
                <w:szCs w:val="21"/>
                <w:highlight w:val="none"/>
                <w:lang w:val="en-US" w:eastAsia="zh-CN" w:bidi="ar-SA"/>
              </w:rPr>
              <w:t>（北京时间）</w:t>
            </w:r>
          </w:p>
          <w:p w14:paraId="28462342">
            <w:pPr>
              <w:pStyle w:val="16"/>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12"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（2）本项目投标保证金金额为：¥</w:t>
            </w:r>
            <w:r>
              <w:rPr>
                <w:rFonts w:hint="eastAsia" w:eastAsia="宋体" w:cs="宋体"/>
                <w:color w:val="auto"/>
                <w:kern w:val="0"/>
                <w:sz w:val="21"/>
                <w:szCs w:val="21"/>
                <w:highlight w:val="none"/>
                <w:lang w:val="en-US" w:eastAsia="zh-CN" w:bidi="ar-SA"/>
              </w:rPr>
              <w:t>2</w:t>
            </w:r>
            <w:r>
              <w:rPr>
                <w:rFonts w:hint="eastAsia" w:ascii="宋体" w:hAnsi="宋体" w:eastAsia="宋体" w:cs="宋体"/>
                <w:color w:val="auto"/>
                <w:kern w:val="0"/>
                <w:sz w:val="21"/>
                <w:szCs w:val="21"/>
                <w:highlight w:val="none"/>
                <w:lang w:val="en-US" w:eastAsia="zh-CN" w:bidi="ar-SA"/>
              </w:rPr>
              <w:t>0,000.00元（人民币</w:t>
            </w:r>
            <w:r>
              <w:rPr>
                <w:rFonts w:hint="eastAsia" w:eastAsia="宋体" w:cs="宋体"/>
                <w:color w:val="auto"/>
                <w:kern w:val="0"/>
                <w:sz w:val="21"/>
                <w:szCs w:val="21"/>
                <w:highlight w:val="none"/>
                <w:lang w:val="en-US" w:eastAsia="zh-CN" w:bidi="ar-SA"/>
              </w:rPr>
              <w:t>贰</w:t>
            </w:r>
            <w:r>
              <w:rPr>
                <w:rFonts w:hint="eastAsia" w:ascii="宋体" w:hAnsi="宋体" w:eastAsia="宋体" w:cs="宋体"/>
                <w:color w:val="auto"/>
                <w:kern w:val="0"/>
                <w:sz w:val="21"/>
                <w:szCs w:val="21"/>
                <w:highlight w:val="none"/>
                <w:lang w:val="en-US" w:eastAsia="zh-CN" w:bidi="ar-SA"/>
              </w:rPr>
              <w:t>万元整）</w:t>
            </w:r>
          </w:p>
          <w:p w14:paraId="0D6C88FC">
            <w:pPr>
              <w:pStyle w:val="16"/>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12"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（3）交纳投标保证金流程：投标人在已报项目处理页面中，点击“缴纳保证金”按钮，可以进入缴纳投标保证金页面。</w:t>
            </w:r>
          </w:p>
          <w:p w14:paraId="123570EF">
            <w:pPr>
              <w:pStyle w:val="16"/>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12"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（4）缴纳投标保证金方式：①转账、②保函</w:t>
            </w:r>
          </w:p>
          <w:p w14:paraId="2128E198">
            <w:pPr>
              <w:pStyle w:val="16"/>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12" w:lineRule="auto"/>
              <w:ind w:left="0" w:firstLine="420" w:firstLineChars="200"/>
              <w:jc w:val="both"/>
              <w:textAlignment w:val="auto"/>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①转账：</w:t>
            </w:r>
            <w:r>
              <w:rPr>
                <w:rFonts w:hint="default" w:ascii="宋体" w:hAnsi="宋体" w:eastAsia="宋体" w:cs="宋体"/>
                <w:color w:val="auto"/>
                <w:kern w:val="0"/>
                <w:sz w:val="21"/>
                <w:szCs w:val="21"/>
                <w:highlight w:val="none"/>
                <w:lang w:val="en-US" w:eastAsia="zh-CN" w:bidi="ar-SA"/>
              </w:rPr>
              <w:t>转账方式缴纳保证金时，需选择一家缴纳保证金的银行。选中银行后，点击“确认，下一步”按钮，可以生成保证金付款子账号信息。转账方式支付保证金，需要使用投标人公司账户，在保证金缴纳截止时间之前，一次性打入足额保证金到保证金收款子账号中，才能缴纳成功。</w:t>
            </w:r>
          </w:p>
          <w:p w14:paraId="59D4EFA7">
            <w:pPr>
              <w:pStyle w:val="16"/>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12" w:lineRule="auto"/>
              <w:ind w:left="0" w:firstLine="420" w:firstLineChars="200"/>
              <w:jc w:val="both"/>
              <w:textAlignment w:val="auto"/>
              <w:rPr>
                <w:rFonts w:hint="eastAsia" w:ascii="宋体" w:hAnsi="宋体" w:eastAsia="宋体" w:cs="宋体"/>
                <w:color w:val="auto"/>
                <w:kern w:val="0"/>
                <w:sz w:val="21"/>
                <w:szCs w:val="21"/>
                <w:highlight w:val="none"/>
                <w:lang w:val="en-US" w:eastAsia="zh-CN" w:bidi="ar-SA"/>
              </w:rPr>
            </w:pPr>
            <w:r>
              <w:rPr>
                <w:rFonts w:hint="default" w:ascii="宋体" w:hAnsi="宋体" w:eastAsia="宋体" w:cs="宋体"/>
                <w:color w:val="auto"/>
                <w:kern w:val="0"/>
                <w:sz w:val="21"/>
                <w:szCs w:val="21"/>
                <w:highlight w:val="none"/>
                <w:lang w:val="en-US" w:eastAsia="zh-CN" w:bidi="ar-SA"/>
              </w:rPr>
              <w:t>②保函</w:t>
            </w:r>
            <w:r>
              <w:rPr>
                <w:rFonts w:hint="eastAsia" w:ascii="宋体" w:hAnsi="宋体" w:eastAsia="宋体" w:cs="宋体"/>
                <w:color w:val="auto"/>
                <w:kern w:val="0"/>
                <w:sz w:val="21"/>
                <w:szCs w:val="21"/>
                <w:highlight w:val="none"/>
                <w:lang w:val="en-US" w:eastAsia="zh-CN" w:bidi="ar-SA"/>
              </w:rPr>
              <w:t>：保函方式缴纳保证金时，填写开具保函银行、保函担保费、保函有效期、保函编号，上传保函扫描件。保证金缴纳成功，才能参与评标。</w:t>
            </w:r>
          </w:p>
          <w:p w14:paraId="7A7C2B4B">
            <w:pPr>
              <w:pStyle w:val="16"/>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12" w:lineRule="auto"/>
              <w:ind w:left="0" w:firstLine="420" w:firstLineChars="200"/>
              <w:jc w:val="both"/>
              <w:textAlignment w:val="auto"/>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具体操作流程：登录广东省公共资源交易平台（韶关市）（https://ygp.gdzwfw.gov.cn/ggzy-portal/#/440200/index）－服务指南－下载《韶关市公共资源交易一体化平台产权招标交易-投标人用户手册》</w:t>
            </w:r>
          </w:p>
          <w:p w14:paraId="339B86B7">
            <w:pPr>
              <w:pStyle w:val="16"/>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12" w:lineRule="auto"/>
              <w:ind w:left="0" w:firstLine="420" w:firstLineChars="200"/>
              <w:jc w:val="both"/>
              <w:textAlignment w:val="auto"/>
              <w:rPr>
                <w:rFonts w:hint="eastAsia" w:ascii="宋体" w:hAnsi="宋体" w:eastAsia="宋体" w:cs="宋体"/>
                <w:color w:val="auto"/>
                <w:kern w:val="16"/>
                <w:sz w:val="21"/>
                <w:szCs w:val="21"/>
                <w:lang w:eastAsia="zh-CN"/>
              </w:rPr>
            </w:pPr>
            <w:r>
              <w:rPr>
                <w:rFonts w:hint="eastAsia" w:ascii="宋体" w:hAnsi="宋体" w:eastAsia="宋体" w:cs="宋体"/>
                <w:color w:val="auto"/>
                <w:kern w:val="0"/>
                <w:sz w:val="21"/>
                <w:szCs w:val="21"/>
                <w:highlight w:val="none"/>
                <w:lang w:val="en-US" w:eastAsia="zh-CN" w:bidi="ar-SA"/>
              </w:rPr>
              <w:t>（4）技术支持：0751-8379671/13288134927 伍工</w:t>
            </w:r>
          </w:p>
        </w:tc>
      </w:tr>
    </w:tbl>
    <w:p w14:paraId="521656F5">
      <w:pPr>
        <w:keepNext/>
        <w:keepLines/>
        <w:pageBreakBefore w:val="0"/>
        <w:widowControl w:val="0"/>
        <w:kinsoku/>
        <w:wordWrap/>
        <w:overflowPunct/>
        <w:topLinePunct w:val="0"/>
        <w:autoSpaceDE/>
        <w:autoSpaceDN/>
        <w:bidi w:val="0"/>
        <w:adjustRightInd/>
        <w:snapToGrid/>
        <w:spacing w:after="0" w:line="360" w:lineRule="auto"/>
        <w:jc w:val="both"/>
        <w:textAlignment w:val="auto"/>
        <w:outlineLvl w:val="9"/>
        <w:rPr>
          <w:rFonts w:hint="eastAsia" w:ascii="宋体" w:hAnsi="宋体" w:eastAsia="宋体" w:cs="宋体"/>
          <w:b/>
          <w:bCs w:val="0"/>
          <w:color w:val="auto"/>
          <w:sz w:val="21"/>
          <w:szCs w:val="21"/>
        </w:rPr>
      </w:pPr>
      <w:bookmarkStart w:id="21" w:name="_Toc28359085"/>
      <w:bookmarkStart w:id="22" w:name="_Toc35393627"/>
      <w:bookmarkStart w:id="23" w:name="_Toc35393796"/>
      <w:bookmarkStart w:id="24" w:name="_Toc28359008"/>
    </w:p>
    <w:p w14:paraId="2E8208D8">
      <w:pPr>
        <w:keepNext/>
        <w:keepLines/>
        <w:pageBreakBefore w:val="0"/>
        <w:widowControl w:val="0"/>
        <w:kinsoku/>
        <w:wordWrap/>
        <w:overflowPunct/>
        <w:topLinePunct w:val="0"/>
        <w:autoSpaceDE/>
        <w:autoSpaceDN/>
        <w:bidi w:val="0"/>
        <w:adjustRightInd/>
        <w:snapToGrid/>
        <w:spacing w:after="0" w:line="360" w:lineRule="auto"/>
        <w:jc w:val="both"/>
        <w:textAlignment w:val="auto"/>
        <w:outlineLvl w:val="9"/>
        <w:rPr>
          <w:rFonts w:hint="eastAsia" w:ascii="宋体" w:hAnsi="宋体" w:eastAsia="宋体" w:cs="宋体"/>
          <w:b/>
          <w:bCs w:val="0"/>
          <w:color w:val="auto"/>
          <w:sz w:val="21"/>
          <w:szCs w:val="21"/>
        </w:rPr>
      </w:pPr>
      <w:r>
        <w:rPr>
          <w:rFonts w:hint="eastAsia" w:ascii="宋体" w:hAnsi="宋体" w:eastAsia="宋体" w:cs="宋体"/>
          <w:b/>
          <w:bCs w:val="0"/>
          <w:color w:val="auto"/>
          <w:sz w:val="21"/>
          <w:szCs w:val="21"/>
        </w:rPr>
        <w:t>七、对本次招标提出询问，请按以下方式联系。</w:t>
      </w:r>
      <w:bookmarkEnd w:id="21"/>
      <w:bookmarkEnd w:id="22"/>
      <w:bookmarkEnd w:id="23"/>
      <w:bookmarkEnd w:id="24"/>
    </w:p>
    <w:p w14:paraId="76F50E40">
      <w:pPr>
        <w:pStyle w:val="85"/>
        <w:snapToGrid w:val="0"/>
        <w:spacing w:line="360" w:lineRule="auto"/>
        <w:ind w:firstLine="210" w:firstLineChars="100"/>
        <w:rPr>
          <w:rFonts w:hint="eastAsia" w:ascii="宋体" w:hAnsi="宋体" w:eastAsia="宋体" w:cs="宋体"/>
          <w:color w:val="auto"/>
          <w:kern w:val="16"/>
          <w:sz w:val="21"/>
          <w:szCs w:val="21"/>
        </w:rPr>
      </w:pPr>
      <w:r>
        <w:rPr>
          <w:rFonts w:hint="eastAsia" w:ascii="宋体" w:hAnsi="宋体" w:eastAsia="宋体" w:cs="宋体"/>
          <w:color w:val="auto"/>
          <w:kern w:val="16"/>
          <w:sz w:val="21"/>
          <w:szCs w:val="21"/>
        </w:rPr>
        <w:t>1.采购人信息</w:t>
      </w:r>
    </w:p>
    <w:p w14:paraId="4F360D02">
      <w:pPr>
        <w:pStyle w:val="85"/>
        <w:snapToGrid w:val="0"/>
        <w:spacing w:line="360" w:lineRule="auto"/>
        <w:ind w:firstLine="420" w:firstLineChars="200"/>
        <w:rPr>
          <w:rFonts w:hint="eastAsia" w:ascii="宋体" w:hAnsi="宋体" w:eastAsia="宋体" w:cs="宋体"/>
          <w:color w:val="auto"/>
          <w:kern w:val="16"/>
          <w:sz w:val="21"/>
          <w:szCs w:val="21"/>
          <w:highlight w:val="none"/>
          <w:lang w:eastAsia="zh-CN"/>
        </w:rPr>
      </w:pPr>
      <w:bookmarkStart w:id="25" w:name="_Toc28359009"/>
      <w:bookmarkStart w:id="26" w:name="_Toc28359086"/>
      <w:r>
        <w:rPr>
          <w:rFonts w:hint="eastAsia" w:ascii="宋体" w:hAnsi="宋体" w:eastAsia="宋体" w:cs="宋体"/>
          <w:color w:val="auto"/>
          <w:kern w:val="16"/>
          <w:sz w:val="21"/>
          <w:szCs w:val="21"/>
          <w:highlight w:val="none"/>
        </w:rPr>
        <w:t>名 称：</w:t>
      </w:r>
      <w:r>
        <w:rPr>
          <w:rFonts w:hint="eastAsia" w:ascii="宋体" w:hAnsi="宋体" w:cs="宋体"/>
          <w:color w:val="auto"/>
          <w:kern w:val="16"/>
          <w:sz w:val="21"/>
          <w:szCs w:val="21"/>
          <w:highlight w:val="none"/>
          <w:lang w:eastAsia="zh-CN"/>
        </w:rPr>
        <w:t>韶关市示范性综合实践基地</w:t>
      </w:r>
    </w:p>
    <w:p w14:paraId="4A5B3183">
      <w:pPr>
        <w:pStyle w:val="85"/>
        <w:snapToGrid w:val="0"/>
        <w:spacing w:line="360" w:lineRule="auto"/>
        <w:ind w:firstLine="420" w:firstLineChars="200"/>
        <w:rPr>
          <w:rFonts w:hint="eastAsia" w:ascii="宋体" w:hAnsi="宋体" w:eastAsia="宋体" w:cs="宋体"/>
          <w:color w:val="auto"/>
          <w:kern w:val="16"/>
          <w:sz w:val="21"/>
          <w:szCs w:val="21"/>
          <w:highlight w:val="none"/>
          <w:lang w:eastAsia="zh-CN"/>
        </w:rPr>
      </w:pPr>
      <w:r>
        <w:rPr>
          <w:rFonts w:hint="eastAsia" w:ascii="宋体" w:hAnsi="宋体" w:eastAsia="宋体" w:cs="宋体"/>
          <w:color w:val="auto"/>
          <w:kern w:val="16"/>
          <w:sz w:val="21"/>
          <w:szCs w:val="21"/>
          <w:highlight w:val="none"/>
        </w:rPr>
        <w:t>地址：</w:t>
      </w:r>
      <w:r>
        <w:rPr>
          <w:rFonts w:hint="eastAsia" w:ascii="宋体" w:hAnsi="宋体" w:cs="宋体"/>
          <w:color w:val="auto"/>
          <w:kern w:val="16"/>
          <w:sz w:val="21"/>
          <w:szCs w:val="21"/>
          <w:highlight w:val="none"/>
          <w:lang w:eastAsia="zh-CN"/>
        </w:rPr>
        <w:t>韶关市曲江区马坝镇狮岩路63号</w:t>
      </w:r>
    </w:p>
    <w:p w14:paraId="5B9F48AF">
      <w:pPr>
        <w:pStyle w:val="85"/>
        <w:snapToGrid w:val="0"/>
        <w:spacing w:line="360" w:lineRule="auto"/>
        <w:ind w:firstLine="420" w:firstLineChars="200"/>
        <w:rPr>
          <w:rFonts w:hint="eastAsia" w:ascii="宋体" w:hAnsi="宋体" w:eastAsia="宋体" w:cs="宋体"/>
          <w:color w:val="auto"/>
          <w:kern w:val="16"/>
          <w:sz w:val="21"/>
          <w:szCs w:val="21"/>
          <w:highlight w:val="yellow"/>
        </w:rPr>
      </w:pPr>
      <w:r>
        <w:rPr>
          <w:rFonts w:hint="eastAsia" w:ascii="宋体" w:hAnsi="宋体" w:eastAsia="宋体" w:cs="宋体"/>
          <w:color w:val="auto"/>
          <w:kern w:val="16"/>
          <w:sz w:val="21"/>
          <w:szCs w:val="21"/>
          <w:highlight w:val="none"/>
        </w:rPr>
        <w:t>联系方式：</w:t>
      </w:r>
      <w:r>
        <w:rPr>
          <w:rFonts w:hint="eastAsia" w:ascii="宋体" w:hAnsi="宋体" w:cs="宋体"/>
          <w:color w:val="auto"/>
          <w:kern w:val="16"/>
          <w:sz w:val="21"/>
          <w:szCs w:val="21"/>
          <w:highlight w:val="none"/>
          <w:lang w:eastAsia="zh-CN"/>
        </w:rPr>
        <w:t>0751-6639563</w:t>
      </w:r>
    </w:p>
    <w:p w14:paraId="43E0B0C2">
      <w:pPr>
        <w:pStyle w:val="85"/>
        <w:snapToGrid w:val="0"/>
        <w:spacing w:line="360" w:lineRule="auto"/>
        <w:ind w:firstLine="210" w:firstLineChars="100"/>
        <w:rPr>
          <w:rFonts w:hint="eastAsia" w:ascii="宋体" w:hAnsi="宋体" w:eastAsia="宋体" w:cs="宋体"/>
          <w:color w:val="auto"/>
          <w:kern w:val="16"/>
          <w:sz w:val="21"/>
          <w:szCs w:val="21"/>
        </w:rPr>
      </w:pPr>
    </w:p>
    <w:p w14:paraId="0B3CF903">
      <w:pPr>
        <w:pStyle w:val="85"/>
        <w:snapToGrid w:val="0"/>
        <w:spacing w:line="360" w:lineRule="auto"/>
        <w:ind w:firstLine="210" w:firstLineChars="100"/>
        <w:rPr>
          <w:rFonts w:hint="eastAsia" w:ascii="宋体" w:hAnsi="宋体" w:eastAsia="宋体" w:cs="宋体"/>
          <w:color w:val="auto"/>
          <w:kern w:val="16"/>
          <w:sz w:val="21"/>
          <w:szCs w:val="21"/>
        </w:rPr>
      </w:pPr>
      <w:r>
        <w:rPr>
          <w:rFonts w:hint="eastAsia" w:ascii="宋体" w:hAnsi="宋体" w:eastAsia="宋体" w:cs="宋体"/>
          <w:color w:val="auto"/>
          <w:kern w:val="16"/>
          <w:sz w:val="21"/>
          <w:szCs w:val="21"/>
        </w:rPr>
        <w:t>2.采购代理机构信息</w:t>
      </w:r>
      <w:bookmarkEnd w:id="25"/>
      <w:bookmarkEnd w:id="26"/>
    </w:p>
    <w:p w14:paraId="17F17138">
      <w:pPr>
        <w:pStyle w:val="85"/>
        <w:snapToGrid w:val="0"/>
        <w:spacing w:line="360" w:lineRule="auto"/>
        <w:ind w:firstLine="420" w:firstLineChars="200"/>
        <w:rPr>
          <w:rFonts w:hint="eastAsia" w:ascii="宋体" w:hAnsi="宋体" w:eastAsia="宋体" w:cs="宋体"/>
          <w:color w:val="auto"/>
          <w:kern w:val="16"/>
          <w:sz w:val="21"/>
          <w:szCs w:val="21"/>
          <w:lang w:eastAsia="zh-CN"/>
        </w:rPr>
      </w:pPr>
      <w:r>
        <w:rPr>
          <w:rFonts w:hint="eastAsia" w:ascii="宋体" w:hAnsi="宋体" w:eastAsia="宋体" w:cs="宋体"/>
          <w:color w:val="auto"/>
          <w:kern w:val="16"/>
          <w:sz w:val="21"/>
          <w:szCs w:val="21"/>
        </w:rPr>
        <w:t>名 称：</w:t>
      </w:r>
      <w:r>
        <w:rPr>
          <w:rFonts w:hint="eastAsia" w:ascii="宋体" w:hAnsi="宋体" w:cs="宋体"/>
          <w:color w:val="auto"/>
          <w:kern w:val="16"/>
          <w:sz w:val="21"/>
          <w:szCs w:val="21"/>
          <w:lang w:eastAsia="zh-CN"/>
        </w:rPr>
        <w:t>广东合正项目管理有限公司</w:t>
      </w:r>
    </w:p>
    <w:p w14:paraId="12788CBE">
      <w:pPr>
        <w:pStyle w:val="85"/>
        <w:snapToGrid w:val="0"/>
        <w:spacing w:line="360" w:lineRule="auto"/>
        <w:ind w:firstLine="420" w:firstLineChars="200"/>
        <w:rPr>
          <w:rFonts w:hint="eastAsia" w:ascii="宋体" w:hAnsi="宋体" w:eastAsia="宋体" w:cs="宋体"/>
          <w:color w:val="auto"/>
          <w:kern w:val="16"/>
          <w:sz w:val="21"/>
          <w:szCs w:val="21"/>
        </w:rPr>
      </w:pPr>
      <w:r>
        <w:rPr>
          <w:rFonts w:hint="eastAsia" w:ascii="宋体" w:hAnsi="宋体" w:eastAsia="宋体" w:cs="宋体"/>
          <w:color w:val="auto"/>
          <w:kern w:val="16"/>
          <w:sz w:val="21"/>
          <w:szCs w:val="21"/>
        </w:rPr>
        <w:t>地　址：广东省韶关市武江区百旺大道42号莞韶双创中心研发办公楼5楼</w:t>
      </w:r>
      <w:r>
        <w:rPr>
          <w:rFonts w:hint="eastAsia" w:ascii="宋体" w:hAnsi="宋体" w:cs="宋体"/>
          <w:color w:val="auto"/>
          <w:kern w:val="16"/>
          <w:sz w:val="21"/>
          <w:szCs w:val="21"/>
          <w:lang w:val="en-US" w:eastAsia="zh-CN"/>
        </w:rPr>
        <w:t>3</w:t>
      </w:r>
      <w:r>
        <w:rPr>
          <w:rFonts w:hint="eastAsia" w:ascii="宋体" w:hAnsi="宋体" w:eastAsia="宋体" w:cs="宋体"/>
          <w:color w:val="auto"/>
          <w:kern w:val="16"/>
          <w:sz w:val="21"/>
          <w:szCs w:val="21"/>
        </w:rPr>
        <w:t>号</w:t>
      </w:r>
    </w:p>
    <w:p w14:paraId="7F1A1D0C">
      <w:pPr>
        <w:pStyle w:val="85"/>
        <w:snapToGrid w:val="0"/>
        <w:spacing w:line="360" w:lineRule="auto"/>
        <w:ind w:firstLine="420" w:firstLineChars="200"/>
        <w:rPr>
          <w:rFonts w:hint="eastAsia" w:ascii="宋体" w:hAnsi="宋体" w:eastAsia="宋体" w:cs="宋体"/>
          <w:color w:val="auto"/>
          <w:kern w:val="16"/>
          <w:sz w:val="21"/>
          <w:szCs w:val="21"/>
        </w:rPr>
      </w:pPr>
      <w:r>
        <w:rPr>
          <w:rFonts w:hint="eastAsia" w:ascii="宋体" w:hAnsi="宋体" w:eastAsia="宋体" w:cs="宋体"/>
          <w:color w:val="auto"/>
          <w:kern w:val="16"/>
          <w:sz w:val="21"/>
          <w:szCs w:val="21"/>
        </w:rPr>
        <w:t>联系方式：</w:t>
      </w:r>
      <w:bookmarkStart w:id="27" w:name="_Toc28359010"/>
      <w:bookmarkStart w:id="28" w:name="_Toc28359087"/>
      <w:r>
        <w:rPr>
          <w:rFonts w:hint="eastAsia" w:ascii="宋体" w:hAnsi="宋体" w:eastAsia="宋体" w:cs="宋体"/>
          <w:color w:val="auto"/>
          <w:kern w:val="16"/>
          <w:sz w:val="21"/>
          <w:szCs w:val="21"/>
        </w:rPr>
        <w:t>0751-8219991</w:t>
      </w:r>
    </w:p>
    <w:p w14:paraId="29D4E323">
      <w:pPr>
        <w:pStyle w:val="85"/>
        <w:snapToGrid w:val="0"/>
        <w:spacing w:line="360" w:lineRule="auto"/>
        <w:ind w:firstLine="210" w:firstLineChars="100"/>
        <w:rPr>
          <w:rFonts w:hint="eastAsia" w:ascii="宋体" w:hAnsi="宋体" w:eastAsia="宋体" w:cs="宋体"/>
          <w:color w:val="auto"/>
          <w:kern w:val="16"/>
          <w:sz w:val="21"/>
          <w:szCs w:val="21"/>
        </w:rPr>
      </w:pPr>
    </w:p>
    <w:p w14:paraId="05FCCE94">
      <w:pPr>
        <w:pStyle w:val="85"/>
        <w:snapToGrid w:val="0"/>
        <w:spacing w:line="360" w:lineRule="auto"/>
        <w:ind w:firstLine="210" w:firstLineChars="100"/>
        <w:rPr>
          <w:rFonts w:hint="eastAsia" w:ascii="宋体" w:hAnsi="宋体" w:eastAsia="宋体" w:cs="宋体"/>
          <w:color w:val="auto"/>
          <w:kern w:val="16"/>
          <w:sz w:val="21"/>
          <w:szCs w:val="21"/>
        </w:rPr>
      </w:pPr>
      <w:r>
        <w:rPr>
          <w:rFonts w:hint="eastAsia" w:ascii="宋体" w:hAnsi="宋体" w:eastAsia="宋体" w:cs="宋体"/>
          <w:color w:val="auto"/>
          <w:kern w:val="16"/>
          <w:sz w:val="21"/>
          <w:szCs w:val="21"/>
        </w:rPr>
        <w:t>3.项目联系方式</w:t>
      </w:r>
      <w:bookmarkEnd w:id="27"/>
      <w:bookmarkEnd w:id="28"/>
    </w:p>
    <w:p w14:paraId="345276BE">
      <w:pPr>
        <w:pStyle w:val="85"/>
        <w:snapToGrid w:val="0"/>
        <w:spacing w:line="360" w:lineRule="auto"/>
        <w:ind w:firstLine="420" w:firstLineChars="200"/>
        <w:rPr>
          <w:rFonts w:hint="eastAsia" w:ascii="宋体" w:hAnsi="宋体" w:eastAsia="宋体" w:cs="宋体"/>
          <w:color w:val="auto"/>
          <w:kern w:val="16"/>
          <w:sz w:val="21"/>
          <w:szCs w:val="21"/>
        </w:rPr>
      </w:pPr>
      <w:r>
        <w:rPr>
          <w:rFonts w:hint="eastAsia" w:ascii="宋体" w:hAnsi="宋体" w:eastAsia="宋体" w:cs="宋体"/>
          <w:color w:val="auto"/>
          <w:kern w:val="16"/>
          <w:sz w:val="21"/>
          <w:szCs w:val="21"/>
        </w:rPr>
        <w:t>项目联系人：</w:t>
      </w:r>
      <w:r>
        <w:rPr>
          <w:rFonts w:hint="eastAsia" w:ascii="宋体" w:hAnsi="宋体" w:cs="宋体"/>
          <w:color w:val="auto"/>
          <w:kern w:val="16"/>
          <w:sz w:val="21"/>
          <w:szCs w:val="21"/>
          <w:lang w:val="en-US" w:eastAsia="zh-CN"/>
        </w:rPr>
        <w:t>何小姐</w:t>
      </w:r>
    </w:p>
    <w:p w14:paraId="08F94A58">
      <w:pPr>
        <w:pStyle w:val="85"/>
        <w:snapToGrid w:val="0"/>
        <w:spacing w:line="360" w:lineRule="auto"/>
        <w:ind w:firstLine="420" w:firstLineChars="200"/>
        <w:rPr>
          <w:rFonts w:hint="eastAsia" w:ascii="宋体" w:hAnsi="宋体" w:eastAsia="宋体" w:cs="宋体"/>
          <w:color w:val="auto"/>
          <w:kern w:val="16"/>
          <w:sz w:val="21"/>
          <w:szCs w:val="21"/>
        </w:rPr>
      </w:pPr>
      <w:r>
        <w:rPr>
          <w:rFonts w:hint="eastAsia" w:ascii="宋体" w:hAnsi="宋体" w:eastAsia="宋体" w:cs="宋体"/>
          <w:color w:val="auto"/>
          <w:kern w:val="16"/>
          <w:sz w:val="21"/>
          <w:szCs w:val="21"/>
        </w:rPr>
        <w:t>电　话：0751-8219991</w:t>
      </w:r>
    </w:p>
    <w:p w14:paraId="2F08710E">
      <w:pPr>
        <w:pStyle w:val="85"/>
        <w:snapToGrid w:val="0"/>
        <w:spacing w:line="360" w:lineRule="auto"/>
        <w:ind w:firstLine="420" w:firstLineChars="200"/>
        <w:rPr>
          <w:rFonts w:hint="eastAsia" w:ascii="宋体" w:hAnsi="宋体" w:eastAsia="宋体" w:cs="宋体"/>
          <w:color w:val="auto"/>
          <w:kern w:val="16"/>
          <w:sz w:val="21"/>
          <w:szCs w:val="21"/>
        </w:rPr>
      </w:pPr>
    </w:p>
    <w:p w14:paraId="3EE9C06B">
      <w:pPr>
        <w:pStyle w:val="16"/>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12" w:lineRule="auto"/>
        <w:ind w:firstLine="420" w:firstLineChars="200"/>
        <w:jc w:val="both"/>
        <w:textAlignment w:val="auto"/>
        <w:rPr>
          <w:rFonts w:hint="eastAsia"/>
          <w:color w:val="auto"/>
          <w:sz w:val="21"/>
          <w:szCs w:val="21"/>
          <w:highlight w:val="none"/>
          <w:lang w:val="en-US" w:eastAsia="zh-CN"/>
        </w:rPr>
      </w:pPr>
      <w:r>
        <w:rPr>
          <w:rFonts w:hint="eastAsia"/>
          <w:color w:val="auto"/>
          <w:sz w:val="21"/>
          <w:szCs w:val="21"/>
          <w:highlight w:val="none"/>
          <w:lang w:val="en-US" w:eastAsia="zh-CN"/>
        </w:rPr>
        <w:t>注：1.首次在韶关市公共资源交易一体化平台“产权招标交易”招标投标活动的投标人，必须在平台系统上传企业相关资料办理企业入库事宜。投标人可登录全国公共资源交易平台（广东省·韶关市）（https://ygp.gdzwfw.gov.cn/#/440200/index）办理办理企业入库、数字证书及电子印章事宜，具体请在平台查阅相应的交易指引。已入库企业有关信息（如单位名称、基本账号、资质、人员等）发生变化的，须及时在交易系统进行相应变更。投标人未及时变更信息而造成的损失和后果，由投标人自行承担。</w:t>
      </w:r>
      <w:r>
        <w:rPr>
          <w:rFonts w:hint="eastAsia"/>
          <w:b/>
          <w:bCs/>
          <w:color w:val="auto"/>
          <w:sz w:val="21"/>
          <w:szCs w:val="21"/>
          <w:highlight w:val="none"/>
          <w:lang w:val="en-US" w:eastAsia="zh-CN"/>
        </w:rPr>
        <w:t>（请及时办理相关电子印章）</w:t>
      </w:r>
    </w:p>
    <w:p w14:paraId="690CF828">
      <w:pPr>
        <w:pStyle w:val="16"/>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12" w:lineRule="auto"/>
        <w:ind w:left="0" w:firstLine="420" w:firstLineChars="200"/>
        <w:jc w:val="both"/>
        <w:textAlignment w:val="auto"/>
        <w:rPr>
          <w:rFonts w:hint="default"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具体操作流程：登录广东省公共资源交易平台（韶关市）（https://ygp.gdzwfw.gov.cn/ggzy-portal/#/440200/index）－服务指南－下载《韶关市公共资源交易一体化平台产权招标交易-投标人用户手册》</w:t>
      </w:r>
    </w:p>
    <w:p w14:paraId="39347DFE">
      <w:pPr>
        <w:pStyle w:val="16"/>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12" w:lineRule="auto"/>
        <w:ind w:firstLine="420" w:firstLineChars="200"/>
        <w:jc w:val="both"/>
        <w:textAlignment w:val="auto"/>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w:t>
      </w:r>
      <w:r>
        <w:rPr>
          <w:rFonts w:hint="eastAsia" w:cs="Times New Roman"/>
          <w:color w:val="auto"/>
          <w:sz w:val="21"/>
          <w:szCs w:val="21"/>
          <w:highlight w:val="none"/>
          <w:lang w:val="en-US" w:eastAsia="zh-CN"/>
        </w:rPr>
        <w:t>.</w:t>
      </w:r>
      <w:r>
        <w:rPr>
          <w:rFonts w:hint="default" w:ascii="宋体" w:hAnsi="宋体" w:eastAsia="宋体" w:cs="Times New Roman"/>
          <w:color w:val="auto"/>
          <w:sz w:val="21"/>
          <w:szCs w:val="21"/>
          <w:highlight w:val="none"/>
          <w:lang w:val="en-US" w:eastAsia="zh-CN"/>
        </w:rPr>
        <w:t>补救方案</w:t>
      </w:r>
      <w:r>
        <w:rPr>
          <w:rFonts w:hint="eastAsia" w:ascii="宋体" w:hAnsi="宋体" w:eastAsia="宋体" w:cs="Times New Roman"/>
          <w:color w:val="auto"/>
          <w:sz w:val="21"/>
          <w:szCs w:val="21"/>
          <w:highlight w:val="none"/>
          <w:lang w:val="en-US" w:eastAsia="zh-CN"/>
        </w:rPr>
        <w:t>：</w:t>
      </w:r>
    </w:p>
    <w:p w14:paraId="594014C7">
      <w:pPr>
        <w:pStyle w:val="16"/>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12" w:lineRule="auto"/>
        <w:ind w:firstLine="420" w:firstLineChars="200"/>
        <w:jc w:val="both"/>
        <w:textAlignment w:val="auto"/>
        <w:rPr>
          <w:rFonts w:hint="default" w:ascii="宋体" w:hAnsi="宋体" w:eastAsia="宋体" w:cs="Times New Roman"/>
          <w:color w:val="auto"/>
          <w:sz w:val="21"/>
          <w:szCs w:val="21"/>
          <w:highlight w:val="none"/>
          <w:lang w:val="en-US" w:eastAsia="zh-CN"/>
        </w:rPr>
      </w:pPr>
      <w:r>
        <w:rPr>
          <w:rFonts w:hint="default" w:ascii="宋体" w:hAnsi="宋体" w:eastAsia="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1</w:t>
      </w:r>
      <w:r>
        <w:rPr>
          <w:rFonts w:hint="default" w:ascii="宋体" w:hAnsi="宋体" w:eastAsia="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开</w:t>
      </w:r>
      <w:r>
        <w:rPr>
          <w:rFonts w:hint="default" w:ascii="宋体" w:hAnsi="宋体" w:eastAsia="宋体" w:cs="Times New Roman"/>
          <w:color w:val="auto"/>
          <w:sz w:val="21"/>
          <w:szCs w:val="21"/>
          <w:highlight w:val="none"/>
          <w:lang w:val="en-US" w:eastAsia="zh-CN"/>
        </w:rPr>
        <w:t>评标时突发情况的补救方案</w:t>
      </w:r>
    </w:p>
    <w:p w14:paraId="64E84910">
      <w:pPr>
        <w:pStyle w:val="16"/>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12" w:lineRule="auto"/>
        <w:ind w:firstLine="420" w:firstLineChars="200"/>
        <w:jc w:val="both"/>
        <w:textAlignment w:val="auto"/>
        <w:rPr>
          <w:rFonts w:hint="default" w:ascii="宋体" w:hAnsi="宋体" w:eastAsia="宋体" w:cs="Times New Roman"/>
          <w:color w:val="auto"/>
          <w:sz w:val="21"/>
          <w:szCs w:val="21"/>
          <w:highlight w:val="none"/>
          <w:lang w:val="en-US" w:eastAsia="zh-CN"/>
        </w:rPr>
      </w:pPr>
      <w:r>
        <w:rPr>
          <w:rFonts w:hint="default" w:ascii="宋体" w:hAnsi="宋体" w:eastAsia="宋体" w:cs="Times New Roman"/>
          <w:color w:val="auto"/>
          <w:sz w:val="21"/>
          <w:szCs w:val="21"/>
          <w:highlight w:val="none"/>
          <w:lang w:val="en-US" w:eastAsia="zh-CN"/>
        </w:rPr>
        <w:t>在</w:t>
      </w:r>
      <w:r>
        <w:rPr>
          <w:rFonts w:hint="eastAsia" w:ascii="宋体" w:hAnsi="宋体" w:eastAsia="宋体" w:cs="Times New Roman"/>
          <w:color w:val="auto"/>
          <w:sz w:val="21"/>
          <w:szCs w:val="21"/>
          <w:highlight w:val="none"/>
          <w:lang w:val="en-US" w:eastAsia="zh-CN"/>
        </w:rPr>
        <w:t>开</w:t>
      </w:r>
      <w:r>
        <w:rPr>
          <w:rFonts w:hint="default" w:ascii="宋体" w:hAnsi="宋体" w:eastAsia="宋体" w:cs="Times New Roman"/>
          <w:color w:val="auto"/>
          <w:sz w:val="21"/>
          <w:szCs w:val="21"/>
          <w:highlight w:val="none"/>
          <w:lang w:val="en-US" w:eastAsia="zh-CN"/>
        </w:rPr>
        <w:t>评标过程中，因主场或副场网络故障、电子设备或者评标系统故障，以及其他原因导致无法继续进行</w:t>
      </w:r>
      <w:r>
        <w:rPr>
          <w:rFonts w:hint="eastAsia" w:ascii="宋体" w:hAnsi="宋体" w:eastAsia="宋体" w:cs="Times New Roman"/>
          <w:color w:val="auto"/>
          <w:sz w:val="21"/>
          <w:szCs w:val="21"/>
          <w:highlight w:val="none"/>
          <w:lang w:val="en-US" w:eastAsia="zh-CN"/>
        </w:rPr>
        <w:t>开</w:t>
      </w:r>
      <w:r>
        <w:rPr>
          <w:rFonts w:hint="default" w:ascii="宋体" w:hAnsi="宋体" w:eastAsia="宋体" w:cs="Times New Roman"/>
          <w:color w:val="auto"/>
          <w:sz w:val="21"/>
          <w:szCs w:val="21"/>
          <w:highlight w:val="none"/>
          <w:lang w:val="en-US" w:eastAsia="zh-CN"/>
        </w:rPr>
        <w:t>评标</w:t>
      </w:r>
      <w:r>
        <w:rPr>
          <w:rFonts w:hint="eastAsia" w:ascii="宋体" w:hAnsi="宋体" w:eastAsia="宋体" w:cs="Times New Roman"/>
          <w:color w:val="auto"/>
          <w:sz w:val="21"/>
          <w:szCs w:val="21"/>
          <w:highlight w:val="none"/>
          <w:lang w:val="en-US" w:eastAsia="zh-CN"/>
        </w:rPr>
        <w:t>活动</w:t>
      </w:r>
      <w:r>
        <w:rPr>
          <w:rFonts w:hint="default" w:ascii="宋体" w:hAnsi="宋体" w:eastAsia="宋体" w:cs="Times New Roman"/>
          <w:color w:val="auto"/>
          <w:sz w:val="21"/>
          <w:szCs w:val="21"/>
          <w:highlight w:val="none"/>
          <w:lang w:val="en-US" w:eastAsia="zh-CN"/>
        </w:rPr>
        <w:t>时，在</w:t>
      </w:r>
      <w:r>
        <w:rPr>
          <w:rFonts w:hint="eastAsia" w:ascii="宋体" w:hAnsi="宋体" w:eastAsia="宋体" w:cs="Times New Roman"/>
          <w:color w:val="auto"/>
          <w:sz w:val="21"/>
          <w:szCs w:val="21"/>
          <w:highlight w:val="none"/>
          <w:lang w:val="en-US" w:eastAsia="zh-CN"/>
        </w:rPr>
        <w:t>短时间</w:t>
      </w:r>
      <w:r>
        <w:rPr>
          <w:rFonts w:hint="default" w:ascii="宋体" w:hAnsi="宋体" w:eastAsia="宋体" w:cs="Times New Roman"/>
          <w:color w:val="auto"/>
          <w:sz w:val="21"/>
          <w:szCs w:val="21"/>
          <w:highlight w:val="none"/>
          <w:lang w:val="en-US" w:eastAsia="zh-CN"/>
        </w:rPr>
        <w:t>内无法解除故障的，</w:t>
      </w:r>
      <w:r>
        <w:rPr>
          <w:rFonts w:hint="eastAsia" w:ascii="宋体" w:hAnsi="宋体" w:eastAsia="宋体" w:cs="Times New Roman"/>
          <w:color w:val="auto"/>
          <w:sz w:val="21"/>
          <w:szCs w:val="21"/>
          <w:highlight w:val="none"/>
          <w:lang w:val="en-US" w:eastAsia="zh-CN"/>
        </w:rPr>
        <w:t>则转为线下评审</w:t>
      </w:r>
      <w:r>
        <w:rPr>
          <w:rFonts w:hint="default" w:ascii="宋体" w:hAnsi="宋体" w:eastAsia="宋体" w:cs="Times New Roman"/>
          <w:color w:val="auto"/>
          <w:sz w:val="21"/>
          <w:szCs w:val="21"/>
          <w:highlight w:val="none"/>
          <w:lang w:val="en-US" w:eastAsia="zh-CN"/>
        </w:rPr>
        <w:t>。</w:t>
      </w:r>
    </w:p>
    <w:p w14:paraId="3EF392B6">
      <w:pPr>
        <w:pStyle w:val="16"/>
        <w:keepNext w:val="0"/>
        <w:keepLines w:val="0"/>
        <w:pageBreakBefore w:val="0"/>
        <w:widowControl/>
        <w:suppressLineNumbers w:val="0"/>
        <w:shd w:val="clear" w:color="auto" w:fill="FFFFFF"/>
        <w:kinsoku/>
        <w:wordWrap w:val="0"/>
        <w:overflowPunct/>
        <w:topLinePunct w:val="0"/>
        <w:autoSpaceDE/>
        <w:autoSpaceDN/>
        <w:bidi w:val="0"/>
        <w:adjustRightInd/>
        <w:snapToGrid/>
        <w:spacing w:before="0" w:beforeAutospacing="0" w:after="0" w:afterAutospacing="0" w:line="312" w:lineRule="auto"/>
        <w:ind w:firstLine="420" w:firstLineChars="200"/>
        <w:jc w:val="both"/>
        <w:textAlignment w:val="auto"/>
        <w:rPr>
          <w:rFonts w:hint="default" w:ascii="宋体" w:hAnsi="宋体" w:eastAsia="宋体" w:cs="Times New Roman"/>
          <w:color w:val="auto"/>
          <w:sz w:val="21"/>
          <w:szCs w:val="21"/>
          <w:highlight w:val="none"/>
          <w:lang w:val="en-US" w:eastAsia="zh-CN"/>
        </w:rPr>
      </w:pPr>
      <w:r>
        <w:rPr>
          <w:rFonts w:hint="default" w:ascii="宋体" w:hAnsi="宋体" w:eastAsia="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2</w:t>
      </w:r>
      <w:r>
        <w:rPr>
          <w:rFonts w:hint="default" w:ascii="宋体" w:hAnsi="宋体" w:eastAsia="宋体" w:cs="Times New Roman"/>
          <w:color w:val="auto"/>
          <w:sz w:val="21"/>
          <w:szCs w:val="21"/>
          <w:highlight w:val="none"/>
          <w:lang w:val="en-US" w:eastAsia="zh-CN"/>
        </w:rPr>
        <w:t>）本次招标实行电子投标，开标评标均以投标人通过交易平台</w:t>
      </w:r>
      <w:r>
        <w:rPr>
          <w:rFonts w:hint="eastAsia" w:ascii="宋体" w:hAnsi="宋体" w:eastAsia="宋体" w:cs="Times New Roman"/>
          <w:color w:val="auto"/>
          <w:sz w:val="21"/>
          <w:szCs w:val="21"/>
          <w:highlight w:val="none"/>
          <w:lang w:val="en-US" w:eastAsia="zh-CN"/>
        </w:rPr>
        <w:t>上传的</w:t>
      </w:r>
      <w:r>
        <w:rPr>
          <w:rFonts w:hint="default" w:ascii="宋体" w:hAnsi="宋体" w:eastAsia="宋体" w:cs="Times New Roman"/>
          <w:color w:val="auto"/>
          <w:sz w:val="21"/>
          <w:szCs w:val="21"/>
          <w:highlight w:val="none"/>
          <w:lang w:val="en-US" w:eastAsia="zh-CN"/>
        </w:rPr>
        <w:t>电子投标文件为准</w:t>
      </w:r>
      <w:r>
        <w:rPr>
          <w:rFonts w:hint="eastAsia" w:ascii="宋体" w:hAnsi="宋体" w:eastAsia="宋体" w:cs="Times New Roman"/>
          <w:color w:val="auto"/>
          <w:sz w:val="21"/>
          <w:szCs w:val="21"/>
          <w:highlight w:val="none"/>
          <w:lang w:val="en-US" w:eastAsia="zh-CN"/>
        </w:rPr>
        <w:t>，若因系统故障转为线下评审，则以递交的纸质投标文件为准</w:t>
      </w:r>
      <w:r>
        <w:rPr>
          <w:rFonts w:hint="default" w:ascii="宋体" w:hAnsi="宋体" w:eastAsia="宋体" w:cs="Times New Roman"/>
          <w:color w:val="auto"/>
          <w:sz w:val="21"/>
          <w:szCs w:val="21"/>
          <w:highlight w:val="none"/>
          <w:lang w:val="en-US" w:eastAsia="zh-CN"/>
        </w:rPr>
        <w:t>。</w:t>
      </w:r>
      <w:bookmarkStart w:id="29" w:name="_Hlt88627590"/>
      <w:bookmarkEnd w:id="29"/>
    </w:p>
    <w:p w14:paraId="3767AA0E">
      <w:pPr>
        <w:pStyle w:val="85"/>
        <w:snapToGrid w:val="0"/>
        <w:spacing w:line="360" w:lineRule="auto"/>
        <w:ind w:firstLine="420" w:firstLineChars="200"/>
        <w:rPr>
          <w:rFonts w:hint="eastAsia" w:ascii="宋体" w:hAnsi="宋体" w:eastAsia="宋体" w:cs="宋体"/>
          <w:color w:val="auto"/>
          <w:kern w:val="16"/>
          <w:sz w:val="21"/>
          <w:szCs w:val="21"/>
        </w:rPr>
      </w:pPr>
    </w:p>
    <w:p w14:paraId="2795D6DD">
      <w:pPr>
        <w:pStyle w:val="85"/>
        <w:snapToGrid w:val="0"/>
        <w:spacing w:line="360" w:lineRule="auto"/>
        <w:rPr>
          <w:rFonts w:hint="eastAsia" w:ascii="宋体" w:hAnsi="宋体" w:eastAsia="宋体" w:cs="宋体"/>
          <w:color w:val="auto"/>
          <w:kern w:val="16"/>
          <w:sz w:val="21"/>
          <w:szCs w:val="21"/>
        </w:rPr>
      </w:pPr>
    </w:p>
    <w:p w14:paraId="261148EF">
      <w:pPr>
        <w:pStyle w:val="80"/>
        <w:numPr>
          <w:ins w:id="0" w:author="Sky123.Org" w:date=""/>
        </w:numPr>
        <w:snapToGrid w:val="0"/>
        <w:spacing w:before="0" w:after="0" w:line="360" w:lineRule="auto"/>
        <w:ind w:firstLine="420"/>
        <w:jc w:val="right"/>
        <w:rPr>
          <w:rFonts w:hint="eastAsia" w:ascii="宋体" w:hAnsi="宋体" w:eastAsia="宋体" w:cs="宋体"/>
          <w:color w:val="auto"/>
          <w:kern w:val="16"/>
          <w:sz w:val="21"/>
          <w:szCs w:val="21"/>
          <w:lang w:eastAsia="zh-CN"/>
        </w:rPr>
      </w:pPr>
      <w:r>
        <w:rPr>
          <w:rFonts w:hint="eastAsia" w:ascii="宋体" w:hAnsi="宋体" w:eastAsia="宋体" w:cs="宋体"/>
          <w:color w:val="auto"/>
          <w:kern w:val="16"/>
          <w:sz w:val="21"/>
          <w:szCs w:val="21"/>
        </w:rPr>
        <w:t>发布人：</w:t>
      </w:r>
      <w:r>
        <w:rPr>
          <w:rFonts w:hint="eastAsia" w:ascii="宋体" w:hAnsi="宋体" w:cs="宋体"/>
          <w:color w:val="auto"/>
          <w:kern w:val="16"/>
          <w:sz w:val="21"/>
          <w:szCs w:val="21"/>
          <w:lang w:eastAsia="zh-CN"/>
        </w:rPr>
        <w:t>广东合正项目管理有限公司</w:t>
      </w:r>
    </w:p>
    <w:p w14:paraId="1838E22E">
      <w:pPr>
        <w:pStyle w:val="80"/>
        <w:snapToGrid w:val="0"/>
        <w:spacing w:before="0" w:after="0" w:line="360" w:lineRule="auto"/>
        <w:ind w:firstLine="420"/>
        <w:jc w:val="right"/>
        <w:rPr>
          <w:rFonts w:hint="eastAsia" w:ascii="宋体" w:hAnsi="宋体" w:eastAsia="宋体" w:cs="宋体"/>
          <w:color w:val="auto"/>
          <w:sz w:val="21"/>
          <w:szCs w:val="21"/>
        </w:rPr>
      </w:pPr>
      <w:r>
        <w:rPr>
          <w:rFonts w:hint="eastAsia" w:ascii="宋体" w:hAnsi="宋体" w:eastAsia="宋体" w:cs="宋体"/>
          <w:color w:val="auto"/>
          <w:kern w:val="16"/>
          <w:sz w:val="21"/>
          <w:szCs w:val="21"/>
        </w:rPr>
        <w:t>发布时间：</w:t>
      </w:r>
      <w:r>
        <w:rPr>
          <w:rFonts w:hint="eastAsia" w:ascii="宋体" w:hAnsi="宋体" w:eastAsia="宋体" w:cs="宋体"/>
          <w:color w:val="auto"/>
          <w:sz w:val="21"/>
          <w:szCs w:val="21"/>
        </w:rPr>
        <w:t>202</w:t>
      </w:r>
      <w:r>
        <w:rPr>
          <w:rFonts w:hint="eastAsia" w:ascii="宋体" w:hAnsi="宋体" w:cs="宋体"/>
          <w:color w:val="auto"/>
          <w:sz w:val="21"/>
          <w:szCs w:val="21"/>
          <w:lang w:val="en-US" w:eastAsia="zh-CN"/>
        </w:rPr>
        <w:t>5</w:t>
      </w:r>
      <w:r>
        <w:rPr>
          <w:rFonts w:hint="eastAsia" w:ascii="宋体" w:hAnsi="宋体" w:eastAsia="宋体" w:cs="宋体"/>
          <w:color w:val="auto"/>
          <w:sz w:val="21"/>
          <w:szCs w:val="21"/>
        </w:rPr>
        <w:t>年</w:t>
      </w:r>
      <w:r>
        <w:rPr>
          <w:rFonts w:hint="eastAsia" w:ascii="宋体" w:hAnsi="宋体" w:cs="宋体"/>
          <w:color w:val="auto"/>
          <w:sz w:val="21"/>
          <w:szCs w:val="21"/>
          <w:lang w:val="en-US" w:eastAsia="zh-CN"/>
        </w:rPr>
        <w:t>06</w:t>
      </w:r>
      <w:r>
        <w:rPr>
          <w:rFonts w:hint="eastAsia" w:ascii="宋体" w:hAnsi="宋体" w:eastAsia="宋体" w:cs="宋体"/>
          <w:color w:val="auto"/>
          <w:sz w:val="21"/>
          <w:szCs w:val="21"/>
        </w:rPr>
        <w:t>月</w:t>
      </w:r>
      <w:r>
        <w:rPr>
          <w:rFonts w:hint="eastAsia" w:ascii="宋体" w:hAnsi="宋体" w:cs="宋体"/>
          <w:color w:val="auto"/>
          <w:sz w:val="21"/>
          <w:szCs w:val="21"/>
          <w:lang w:val="en-US" w:eastAsia="zh-CN"/>
        </w:rPr>
        <w:t>27</w:t>
      </w:r>
      <w:r>
        <w:rPr>
          <w:rFonts w:hint="eastAsia" w:ascii="宋体" w:hAnsi="宋体" w:eastAsia="宋体" w:cs="宋体"/>
          <w:color w:val="auto"/>
          <w:sz w:val="21"/>
          <w:szCs w:val="21"/>
        </w:rPr>
        <w:t>日</w:t>
      </w:r>
    </w:p>
    <w:p w14:paraId="2A076936">
      <w:pPr>
        <w:pStyle w:val="80"/>
        <w:snapToGrid w:val="0"/>
        <w:spacing w:before="0" w:after="0" w:line="360" w:lineRule="auto"/>
        <w:ind w:firstLine="420"/>
        <w:jc w:val="right"/>
        <w:rPr>
          <w:rFonts w:hint="eastAsia" w:ascii="宋体" w:hAnsi="宋体" w:eastAsia="宋体" w:cs="宋体"/>
          <w:color w:val="auto"/>
          <w:sz w:val="21"/>
          <w:szCs w:val="21"/>
        </w:rPr>
        <w:sectPr>
          <w:headerReference r:id="rId3" w:type="default"/>
          <w:footerReference r:id="rId4" w:type="default"/>
          <w:pgSz w:w="11906" w:h="16839"/>
          <w:pgMar w:top="1134" w:right="1175" w:bottom="1185" w:left="1330" w:header="969" w:footer="970" w:gutter="0"/>
          <w:pgNumType w:fmt="decimal" w:start="1"/>
          <w:cols w:space="720" w:num="1"/>
        </w:sectPr>
      </w:pPr>
    </w:p>
    <w:p w14:paraId="25CA5C3E">
      <w:pPr>
        <w:pStyle w:val="3"/>
        <w:jc w:val="center"/>
        <w:rPr>
          <w:rFonts w:hint="eastAsia" w:ascii="宋体" w:hAnsi="宋体" w:eastAsia="宋体" w:cs="宋体"/>
          <w:color w:val="auto"/>
        </w:rPr>
      </w:pPr>
      <w:r>
        <w:rPr>
          <w:rFonts w:hint="eastAsia" w:ascii="宋体" w:hAnsi="宋体" w:eastAsia="宋体" w:cs="宋体"/>
          <w:color w:val="auto"/>
        </w:rPr>
        <w:t>第一章 投标人须知</w:t>
      </w:r>
    </w:p>
    <w:p w14:paraId="284ABB35">
      <w:pPr>
        <w:pStyle w:val="4"/>
        <w:rPr>
          <w:rFonts w:hint="eastAsia" w:ascii="宋体" w:hAnsi="宋体" w:eastAsia="宋体" w:cs="宋体"/>
          <w:color w:val="auto"/>
        </w:rPr>
      </w:pPr>
      <w:r>
        <w:rPr>
          <w:rFonts w:hint="eastAsia" w:ascii="宋体" w:hAnsi="宋体" w:eastAsia="宋体" w:cs="宋体"/>
          <w:color w:val="auto"/>
        </w:rPr>
        <w:t>一 投标人须知表</w:t>
      </w:r>
    </w:p>
    <w:tbl>
      <w:tblPr>
        <w:tblStyle w:val="17"/>
        <w:tblW w:w="8656" w:type="dxa"/>
        <w:jc w:val="center"/>
        <w:tblLayout w:type="fixed"/>
        <w:tblCellMar>
          <w:top w:w="0" w:type="dxa"/>
          <w:left w:w="108" w:type="dxa"/>
          <w:bottom w:w="0" w:type="dxa"/>
          <w:right w:w="108" w:type="dxa"/>
        </w:tblCellMar>
      </w:tblPr>
      <w:tblGrid>
        <w:gridCol w:w="951"/>
        <w:gridCol w:w="1895"/>
        <w:gridCol w:w="5810"/>
      </w:tblGrid>
      <w:tr w14:paraId="24415681">
        <w:tblPrEx>
          <w:tblCellMar>
            <w:top w:w="0" w:type="dxa"/>
            <w:left w:w="108" w:type="dxa"/>
            <w:bottom w:w="0" w:type="dxa"/>
            <w:right w:w="108" w:type="dxa"/>
          </w:tblCellMar>
        </w:tblPrEx>
        <w:trPr>
          <w:trHeight w:val="23" w:hRule="atLeast"/>
          <w:jc w:val="center"/>
        </w:trPr>
        <w:tc>
          <w:tcPr>
            <w:tcW w:w="951" w:type="dxa"/>
            <w:tcBorders>
              <w:top w:val="single" w:color="auto" w:sz="4" w:space="0"/>
              <w:left w:val="single" w:color="auto" w:sz="4" w:space="0"/>
              <w:bottom w:val="single" w:color="auto" w:sz="4" w:space="0"/>
              <w:right w:val="single" w:color="auto" w:sz="4" w:space="0"/>
            </w:tcBorders>
            <w:noWrap w:val="0"/>
            <w:vAlign w:val="center"/>
          </w:tcPr>
          <w:p w14:paraId="05792E91">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条款号</w:t>
            </w:r>
          </w:p>
        </w:tc>
        <w:tc>
          <w:tcPr>
            <w:tcW w:w="1895" w:type="dxa"/>
            <w:tcBorders>
              <w:top w:val="single" w:color="auto" w:sz="4" w:space="0"/>
              <w:left w:val="single" w:color="auto" w:sz="4" w:space="0"/>
              <w:bottom w:val="single" w:color="auto" w:sz="4" w:space="0"/>
              <w:right w:val="single" w:color="auto" w:sz="4" w:space="0"/>
            </w:tcBorders>
            <w:noWrap w:val="0"/>
            <w:vAlign w:val="center"/>
          </w:tcPr>
          <w:p w14:paraId="6B88A908">
            <w:pPr>
              <w:jc w:val="center"/>
              <w:rPr>
                <w:rFonts w:hint="eastAsia" w:ascii="宋体" w:hAnsi="宋体" w:eastAsia="宋体" w:cs="宋体"/>
                <w:color w:val="auto"/>
                <w:kern w:val="0"/>
                <w:szCs w:val="21"/>
              </w:rPr>
            </w:pPr>
            <w:r>
              <w:rPr>
                <w:rFonts w:hint="eastAsia" w:ascii="宋体" w:hAnsi="宋体" w:eastAsia="宋体" w:cs="宋体"/>
                <w:color w:val="auto"/>
                <w:kern w:val="0"/>
                <w:szCs w:val="21"/>
              </w:rPr>
              <w:t>项   目</w:t>
            </w:r>
          </w:p>
        </w:tc>
        <w:tc>
          <w:tcPr>
            <w:tcW w:w="5810" w:type="dxa"/>
            <w:tcBorders>
              <w:top w:val="single" w:color="auto" w:sz="4" w:space="0"/>
              <w:left w:val="single" w:color="auto" w:sz="4" w:space="0"/>
              <w:bottom w:val="single" w:color="auto" w:sz="4" w:space="0"/>
              <w:right w:val="single" w:color="auto" w:sz="4" w:space="0"/>
            </w:tcBorders>
            <w:noWrap w:val="0"/>
            <w:vAlign w:val="center"/>
          </w:tcPr>
          <w:p w14:paraId="0C506A24">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内     容</w:t>
            </w:r>
          </w:p>
        </w:tc>
      </w:tr>
      <w:tr w14:paraId="1E46BA5B">
        <w:tblPrEx>
          <w:tblCellMar>
            <w:top w:w="0" w:type="dxa"/>
            <w:left w:w="108" w:type="dxa"/>
            <w:bottom w:w="0" w:type="dxa"/>
            <w:right w:w="108" w:type="dxa"/>
          </w:tblCellMar>
        </w:tblPrEx>
        <w:trPr>
          <w:trHeight w:val="23" w:hRule="atLeast"/>
          <w:jc w:val="center"/>
        </w:trPr>
        <w:tc>
          <w:tcPr>
            <w:tcW w:w="951" w:type="dxa"/>
            <w:tcBorders>
              <w:top w:val="single" w:color="auto" w:sz="4" w:space="0"/>
              <w:left w:val="single" w:color="auto" w:sz="4" w:space="0"/>
              <w:bottom w:val="single" w:color="auto" w:sz="4" w:space="0"/>
              <w:right w:val="single" w:color="auto" w:sz="4" w:space="0"/>
            </w:tcBorders>
            <w:noWrap w:val="0"/>
            <w:vAlign w:val="center"/>
          </w:tcPr>
          <w:p w14:paraId="5657EB3B">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1.1</w:t>
            </w:r>
          </w:p>
        </w:tc>
        <w:tc>
          <w:tcPr>
            <w:tcW w:w="1895" w:type="dxa"/>
            <w:tcBorders>
              <w:top w:val="single" w:color="auto" w:sz="4" w:space="0"/>
              <w:left w:val="single" w:color="auto" w:sz="4" w:space="0"/>
              <w:bottom w:val="single" w:color="auto" w:sz="4" w:space="0"/>
              <w:right w:val="single" w:color="auto" w:sz="4" w:space="0"/>
            </w:tcBorders>
            <w:noWrap w:val="0"/>
            <w:vAlign w:val="center"/>
          </w:tcPr>
          <w:p w14:paraId="53274263">
            <w:pPr>
              <w:jc w:val="center"/>
              <w:rPr>
                <w:rFonts w:hint="eastAsia" w:ascii="宋体" w:hAnsi="宋体" w:eastAsia="宋体" w:cs="宋体"/>
                <w:color w:val="auto"/>
                <w:kern w:val="0"/>
                <w:szCs w:val="21"/>
              </w:rPr>
            </w:pPr>
            <w:r>
              <w:rPr>
                <w:rFonts w:hint="eastAsia" w:ascii="宋体" w:hAnsi="宋体" w:eastAsia="宋体" w:cs="宋体"/>
                <w:color w:val="auto"/>
                <w:kern w:val="0"/>
                <w:szCs w:val="21"/>
              </w:rPr>
              <w:t>采购人</w:t>
            </w:r>
          </w:p>
        </w:tc>
        <w:tc>
          <w:tcPr>
            <w:tcW w:w="5810" w:type="dxa"/>
            <w:tcBorders>
              <w:top w:val="single" w:color="auto" w:sz="4" w:space="0"/>
              <w:left w:val="single" w:color="auto" w:sz="4" w:space="0"/>
              <w:bottom w:val="single" w:color="auto" w:sz="4" w:space="0"/>
              <w:right w:val="single" w:color="auto" w:sz="4" w:space="0"/>
            </w:tcBorders>
            <w:noWrap w:val="0"/>
            <w:vAlign w:val="center"/>
          </w:tcPr>
          <w:p w14:paraId="165E8A7B">
            <w:pPr>
              <w:widowControl/>
              <w:jc w:val="left"/>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eastAsia="zh-CN"/>
              </w:rPr>
              <w:t>韶关市示范性综合实践基地</w:t>
            </w:r>
          </w:p>
        </w:tc>
      </w:tr>
      <w:tr w14:paraId="17162268">
        <w:tblPrEx>
          <w:tblCellMar>
            <w:top w:w="0" w:type="dxa"/>
            <w:left w:w="108" w:type="dxa"/>
            <w:bottom w:w="0" w:type="dxa"/>
            <w:right w:w="108" w:type="dxa"/>
          </w:tblCellMar>
        </w:tblPrEx>
        <w:trPr>
          <w:trHeight w:val="23" w:hRule="atLeast"/>
          <w:jc w:val="center"/>
        </w:trPr>
        <w:tc>
          <w:tcPr>
            <w:tcW w:w="951" w:type="dxa"/>
            <w:tcBorders>
              <w:top w:val="single" w:color="auto" w:sz="4" w:space="0"/>
              <w:left w:val="single" w:color="auto" w:sz="4" w:space="0"/>
              <w:bottom w:val="single" w:color="auto" w:sz="4" w:space="0"/>
              <w:right w:val="single" w:color="auto" w:sz="4" w:space="0"/>
            </w:tcBorders>
            <w:noWrap w:val="0"/>
            <w:vAlign w:val="center"/>
          </w:tcPr>
          <w:p w14:paraId="37A1CA7A">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1.2</w:t>
            </w:r>
          </w:p>
        </w:tc>
        <w:tc>
          <w:tcPr>
            <w:tcW w:w="1895" w:type="dxa"/>
            <w:tcBorders>
              <w:top w:val="single" w:color="auto" w:sz="4" w:space="0"/>
              <w:left w:val="single" w:color="auto" w:sz="4" w:space="0"/>
              <w:bottom w:val="single" w:color="auto" w:sz="4" w:space="0"/>
              <w:right w:val="single" w:color="auto" w:sz="4" w:space="0"/>
            </w:tcBorders>
            <w:noWrap w:val="0"/>
            <w:vAlign w:val="center"/>
          </w:tcPr>
          <w:p w14:paraId="4E713913">
            <w:pPr>
              <w:jc w:val="center"/>
              <w:rPr>
                <w:rFonts w:hint="eastAsia" w:ascii="宋体" w:hAnsi="宋体" w:eastAsia="宋体" w:cs="宋体"/>
                <w:color w:val="auto"/>
                <w:kern w:val="0"/>
                <w:szCs w:val="21"/>
              </w:rPr>
            </w:pPr>
            <w:r>
              <w:rPr>
                <w:rFonts w:hint="eastAsia" w:ascii="宋体" w:hAnsi="宋体" w:eastAsia="宋体" w:cs="宋体"/>
                <w:color w:val="auto"/>
                <w:kern w:val="0"/>
                <w:szCs w:val="21"/>
              </w:rPr>
              <w:t>采购代理机构</w:t>
            </w:r>
          </w:p>
        </w:tc>
        <w:tc>
          <w:tcPr>
            <w:tcW w:w="5810" w:type="dxa"/>
            <w:tcBorders>
              <w:top w:val="single" w:color="auto" w:sz="4" w:space="0"/>
              <w:left w:val="single" w:color="auto" w:sz="4" w:space="0"/>
              <w:bottom w:val="single" w:color="auto" w:sz="4" w:space="0"/>
              <w:right w:val="single" w:color="auto" w:sz="4" w:space="0"/>
            </w:tcBorders>
            <w:noWrap w:val="0"/>
            <w:vAlign w:val="center"/>
          </w:tcPr>
          <w:p w14:paraId="48F4E970">
            <w:pPr>
              <w:widowControl/>
              <w:jc w:val="left"/>
              <w:rPr>
                <w:rFonts w:hint="eastAsia" w:ascii="宋体" w:hAnsi="宋体" w:eastAsia="宋体" w:cs="宋体"/>
                <w:color w:val="auto"/>
                <w:kern w:val="0"/>
                <w:szCs w:val="21"/>
                <w:lang w:eastAsia="zh-CN"/>
              </w:rPr>
            </w:pPr>
            <w:r>
              <w:rPr>
                <w:rFonts w:hint="eastAsia" w:ascii="宋体" w:hAnsi="宋体" w:eastAsia="宋体" w:cs="宋体"/>
                <w:color w:val="auto"/>
                <w:kern w:val="0"/>
                <w:szCs w:val="21"/>
                <w:lang w:eastAsia="zh-CN"/>
              </w:rPr>
              <w:t>广东合正项目管理有限公司</w:t>
            </w:r>
          </w:p>
        </w:tc>
      </w:tr>
      <w:tr w14:paraId="51B4BBC4">
        <w:tblPrEx>
          <w:tblCellMar>
            <w:top w:w="0" w:type="dxa"/>
            <w:left w:w="108" w:type="dxa"/>
            <w:bottom w:w="0" w:type="dxa"/>
            <w:right w:w="108" w:type="dxa"/>
          </w:tblCellMar>
        </w:tblPrEx>
        <w:trPr>
          <w:trHeight w:val="23" w:hRule="atLeast"/>
          <w:jc w:val="center"/>
        </w:trPr>
        <w:tc>
          <w:tcPr>
            <w:tcW w:w="951" w:type="dxa"/>
            <w:tcBorders>
              <w:top w:val="single" w:color="auto" w:sz="4" w:space="0"/>
              <w:left w:val="single" w:color="auto" w:sz="4" w:space="0"/>
              <w:bottom w:val="single" w:color="auto" w:sz="4" w:space="0"/>
              <w:right w:val="single" w:color="auto" w:sz="4" w:space="0"/>
            </w:tcBorders>
            <w:noWrap w:val="0"/>
            <w:vAlign w:val="center"/>
          </w:tcPr>
          <w:p w14:paraId="46A5EA86">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1.3.5</w:t>
            </w:r>
          </w:p>
        </w:tc>
        <w:tc>
          <w:tcPr>
            <w:tcW w:w="1895" w:type="dxa"/>
            <w:tcBorders>
              <w:top w:val="single" w:color="auto" w:sz="4" w:space="0"/>
              <w:left w:val="single" w:color="auto" w:sz="4" w:space="0"/>
              <w:bottom w:val="single" w:color="auto" w:sz="4" w:space="0"/>
              <w:right w:val="single" w:color="auto" w:sz="4" w:space="0"/>
            </w:tcBorders>
            <w:noWrap w:val="0"/>
            <w:vAlign w:val="center"/>
          </w:tcPr>
          <w:p w14:paraId="5AEAEC5B">
            <w:pPr>
              <w:tabs>
                <w:tab w:val="left" w:pos="1425"/>
              </w:tabs>
              <w:jc w:val="center"/>
              <w:rPr>
                <w:rFonts w:hint="eastAsia" w:ascii="宋体" w:hAnsi="宋体" w:eastAsia="宋体" w:cs="宋体"/>
                <w:bCs/>
                <w:color w:val="auto"/>
                <w:kern w:val="0"/>
                <w:szCs w:val="21"/>
              </w:rPr>
            </w:pPr>
            <w:r>
              <w:rPr>
                <w:rFonts w:hint="eastAsia" w:ascii="宋体" w:hAnsi="宋体" w:eastAsia="宋体" w:cs="宋体"/>
                <w:bCs/>
                <w:color w:val="auto"/>
                <w:kern w:val="0"/>
                <w:szCs w:val="21"/>
              </w:rPr>
              <w:t>是否允许采购进口产品</w:t>
            </w:r>
          </w:p>
        </w:tc>
        <w:tc>
          <w:tcPr>
            <w:tcW w:w="5810" w:type="dxa"/>
            <w:tcBorders>
              <w:top w:val="single" w:color="auto" w:sz="4" w:space="0"/>
              <w:left w:val="single" w:color="auto" w:sz="4" w:space="0"/>
              <w:bottom w:val="single" w:color="auto" w:sz="4" w:space="0"/>
              <w:right w:val="single" w:color="auto" w:sz="4" w:space="0"/>
            </w:tcBorders>
            <w:noWrap w:val="0"/>
            <w:vAlign w:val="center"/>
          </w:tcPr>
          <w:p w14:paraId="2CB56BE2">
            <w:pPr>
              <w:widowControl/>
              <w:jc w:val="left"/>
              <w:rPr>
                <w:rFonts w:hint="eastAsia" w:ascii="宋体" w:hAnsi="宋体" w:eastAsia="宋体" w:cs="宋体"/>
                <w:color w:val="auto"/>
                <w:kern w:val="0"/>
                <w:szCs w:val="21"/>
              </w:rPr>
            </w:pPr>
            <w:r>
              <w:rPr>
                <w:rFonts w:hint="eastAsia" w:ascii="宋体" w:hAnsi="宋体" w:eastAsia="宋体" w:cs="宋体"/>
                <w:color w:val="auto"/>
                <w:kern w:val="0"/>
                <w:szCs w:val="21"/>
              </w:rPr>
              <w:t>■否</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lang w:val="en-US" w:eastAsia="zh-CN"/>
              </w:rPr>
              <w:t>注：项目不允许采购进口产品的，投标人在分项报价表中须注明所投产品</w:t>
            </w:r>
            <w:r>
              <w:rPr>
                <w:rFonts w:hint="eastAsia" w:ascii="宋体" w:hAnsi="宋体" w:eastAsia="宋体" w:cs="宋体"/>
                <w:b/>
                <w:bCs/>
                <w:color w:val="auto"/>
                <w:kern w:val="0"/>
                <w:szCs w:val="21"/>
                <w:lang w:val="en-US" w:eastAsia="zh-CN"/>
              </w:rPr>
              <w:t>产地为中国或国内具体产地</w:t>
            </w:r>
            <w:r>
              <w:rPr>
                <w:rFonts w:hint="eastAsia" w:ascii="宋体" w:hAnsi="宋体" w:eastAsia="宋体" w:cs="宋体"/>
                <w:color w:val="auto"/>
                <w:kern w:val="0"/>
                <w:szCs w:val="21"/>
                <w:lang w:val="en-US" w:eastAsia="zh-CN"/>
              </w:rPr>
              <w:t>。</w:t>
            </w:r>
            <w:r>
              <w:rPr>
                <w:rFonts w:hint="eastAsia" w:ascii="宋体" w:hAnsi="宋体" w:eastAsia="宋体" w:cs="宋体"/>
                <w:b/>
                <w:bCs/>
                <w:color w:val="auto"/>
                <w:kern w:val="0"/>
                <w:szCs w:val="21"/>
                <w:lang w:val="en-US" w:eastAsia="zh-CN"/>
              </w:rPr>
              <w:t>产地为国外或外国的</w:t>
            </w:r>
            <w:r>
              <w:rPr>
                <w:rFonts w:hint="eastAsia" w:ascii="宋体" w:hAnsi="宋体" w:eastAsia="宋体" w:cs="宋体"/>
                <w:color w:val="auto"/>
                <w:kern w:val="0"/>
                <w:szCs w:val="21"/>
                <w:lang w:val="en-US" w:eastAsia="zh-CN"/>
              </w:rPr>
              <w:t>将被认定</w:t>
            </w:r>
            <w:r>
              <w:rPr>
                <w:rFonts w:hint="eastAsia" w:ascii="宋体" w:hAnsi="宋体" w:eastAsia="宋体" w:cs="宋体"/>
                <w:b/>
                <w:bCs/>
                <w:color w:val="auto"/>
                <w:kern w:val="0"/>
                <w:szCs w:val="21"/>
                <w:lang w:val="en-US" w:eastAsia="zh-CN"/>
              </w:rPr>
              <w:t>所投产品为进口产品</w:t>
            </w:r>
            <w:r>
              <w:rPr>
                <w:rFonts w:hint="eastAsia" w:ascii="宋体" w:hAnsi="宋体" w:eastAsia="宋体" w:cs="宋体"/>
                <w:color w:val="auto"/>
                <w:kern w:val="0"/>
                <w:szCs w:val="21"/>
                <w:lang w:val="en-US" w:eastAsia="zh-CN"/>
              </w:rPr>
              <w:t>，投标文件则视为</w:t>
            </w:r>
            <w:r>
              <w:rPr>
                <w:rFonts w:hint="eastAsia" w:ascii="宋体" w:hAnsi="宋体" w:eastAsia="宋体" w:cs="宋体"/>
                <w:b/>
                <w:bCs/>
                <w:color w:val="auto"/>
                <w:kern w:val="0"/>
                <w:szCs w:val="21"/>
                <w:lang w:val="en-US" w:eastAsia="zh-CN"/>
              </w:rPr>
              <w:t>不通过符合性审查</w:t>
            </w:r>
            <w:r>
              <w:rPr>
                <w:rFonts w:hint="eastAsia" w:ascii="宋体" w:hAnsi="宋体" w:eastAsia="宋体" w:cs="宋体"/>
                <w:color w:val="auto"/>
                <w:kern w:val="0"/>
                <w:szCs w:val="21"/>
                <w:lang w:val="en-US" w:eastAsia="zh-CN"/>
              </w:rPr>
              <w:t>，投标文件做被认定为</w:t>
            </w:r>
            <w:r>
              <w:rPr>
                <w:rFonts w:hint="eastAsia" w:ascii="宋体" w:hAnsi="宋体" w:eastAsia="宋体" w:cs="宋体"/>
                <w:b/>
                <w:bCs/>
                <w:color w:val="auto"/>
                <w:kern w:val="0"/>
                <w:szCs w:val="21"/>
              </w:rPr>
              <w:t>投标无效</w:t>
            </w:r>
            <w:r>
              <w:rPr>
                <w:rFonts w:hint="eastAsia" w:ascii="宋体" w:hAnsi="宋体" w:eastAsia="宋体" w:cs="宋体"/>
                <w:color w:val="auto"/>
                <w:kern w:val="0"/>
                <w:szCs w:val="21"/>
                <w:lang w:val="en-US" w:eastAsia="zh-CN"/>
              </w:rPr>
              <w:t>。</w:t>
            </w:r>
          </w:p>
        </w:tc>
      </w:tr>
      <w:tr w14:paraId="08F8C66F">
        <w:tblPrEx>
          <w:tblCellMar>
            <w:top w:w="0" w:type="dxa"/>
            <w:left w:w="108" w:type="dxa"/>
            <w:bottom w:w="0" w:type="dxa"/>
            <w:right w:w="108" w:type="dxa"/>
          </w:tblCellMar>
        </w:tblPrEx>
        <w:trPr>
          <w:trHeight w:val="23" w:hRule="atLeast"/>
          <w:jc w:val="center"/>
        </w:trPr>
        <w:tc>
          <w:tcPr>
            <w:tcW w:w="951" w:type="dxa"/>
            <w:tcBorders>
              <w:top w:val="single" w:color="auto" w:sz="4" w:space="0"/>
              <w:left w:val="single" w:color="auto" w:sz="4" w:space="0"/>
              <w:bottom w:val="single" w:color="auto" w:sz="4" w:space="0"/>
              <w:right w:val="single" w:color="auto" w:sz="4" w:space="0"/>
            </w:tcBorders>
            <w:noWrap w:val="0"/>
            <w:vAlign w:val="center"/>
          </w:tcPr>
          <w:p w14:paraId="16F75639">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1.3.6</w:t>
            </w:r>
          </w:p>
        </w:tc>
        <w:tc>
          <w:tcPr>
            <w:tcW w:w="1895" w:type="dxa"/>
            <w:tcBorders>
              <w:top w:val="single" w:color="auto" w:sz="4" w:space="0"/>
              <w:left w:val="single" w:color="auto" w:sz="4" w:space="0"/>
              <w:bottom w:val="single" w:color="auto" w:sz="4" w:space="0"/>
              <w:right w:val="single" w:color="auto" w:sz="4" w:space="0"/>
            </w:tcBorders>
            <w:noWrap w:val="0"/>
            <w:vAlign w:val="center"/>
          </w:tcPr>
          <w:p w14:paraId="739F7050">
            <w:pPr>
              <w:tabs>
                <w:tab w:val="left" w:pos="1425"/>
              </w:tabs>
              <w:jc w:val="center"/>
              <w:rPr>
                <w:rFonts w:hint="eastAsia" w:ascii="宋体" w:hAnsi="宋体" w:eastAsia="宋体" w:cs="宋体"/>
                <w:bCs/>
                <w:color w:val="auto"/>
                <w:kern w:val="0"/>
                <w:szCs w:val="21"/>
              </w:rPr>
            </w:pPr>
            <w:r>
              <w:rPr>
                <w:rFonts w:hint="eastAsia" w:ascii="宋体" w:hAnsi="宋体" w:eastAsia="宋体" w:cs="宋体"/>
                <w:bCs/>
                <w:color w:val="auto"/>
                <w:kern w:val="0"/>
                <w:szCs w:val="21"/>
              </w:rPr>
              <w:t>是否为专门面向中小企业采购</w:t>
            </w:r>
          </w:p>
        </w:tc>
        <w:tc>
          <w:tcPr>
            <w:tcW w:w="5810" w:type="dxa"/>
            <w:tcBorders>
              <w:top w:val="single" w:color="auto" w:sz="4" w:space="0"/>
              <w:left w:val="single" w:color="auto" w:sz="4" w:space="0"/>
              <w:bottom w:val="single" w:color="auto" w:sz="4" w:space="0"/>
              <w:right w:val="single" w:color="auto" w:sz="4" w:space="0"/>
            </w:tcBorders>
            <w:noWrap w:val="0"/>
            <w:vAlign w:val="center"/>
          </w:tcPr>
          <w:p w14:paraId="2B8837F1">
            <w:pPr>
              <w:rPr>
                <w:rFonts w:hint="eastAsia" w:ascii="宋体" w:hAnsi="宋体" w:eastAsia="宋体" w:cs="宋体"/>
                <w:bCs/>
                <w:color w:val="auto"/>
                <w:kern w:val="0"/>
                <w:szCs w:val="21"/>
              </w:rPr>
            </w:pPr>
            <w:r>
              <w:rPr>
                <w:rFonts w:hint="eastAsia" w:ascii="宋体" w:hAnsi="宋体" w:eastAsia="宋体" w:cs="宋体"/>
                <w:color w:val="auto"/>
              </w:rPr>
              <w:t>■</w:t>
            </w:r>
            <w:r>
              <w:rPr>
                <w:rFonts w:hint="eastAsia" w:ascii="宋体" w:hAnsi="宋体" w:eastAsia="宋体" w:cs="宋体"/>
                <w:color w:val="auto"/>
                <w:kern w:val="0"/>
                <w:szCs w:val="21"/>
              </w:rPr>
              <w:t>否</w:t>
            </w:r>
          </w:p>
        </w:tc>
      </w:tr>
      <w:tr w14:paraId="7D279175">
        <w:tblPrEx>
          <w:tblCellMar>
            <w:top w:w="0" w:type="dxa"/>
            <w:left w:w="108" w:type="dxa"/>
            <w:bottom w:w="0" w:type="dxa"/>
            <w:right w:w="108" w:type="dxa"/>
          </w:tblCellMar>
        </w:tblPrEx>
        <w:trPr>
          <w:trHeight w:val="23" w:hRule="atLeast"/>
          <w:jc w:val="center"/>
        </w:trPr>
        <w:tc>
          <w:tcPr>
            <w:tcW w:w="951" w:type="dxa"/>
            <w:tcBorders>
              <w:top w:val="single" w:color="auto" w:sz="4" w:space="0"/>
              <w:left w:val="single" w:color="auto" w:sz="4" w:space="0"/>
              <w:bottom w:val="single" w:color="auto" w:sz="4" w:space="0"/>
              <w:right w:val="single" w:color="auto" w:sz="4" w:space="0"/>
            </w:tcBorders>
            <w:noWrap w:val="0"/>
            <w:vAlign w:val="center"/>
          </w:tcPr>
          <w:p w14:paraId="2502ABE5">
            <w:pPr>
              <w:widowControl/>
              <w:jc w:val="center"/>
              <w:rPr>
                <w:rFonts w:hint="default"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1.3.6.1</w:t>
            </w:r>
          </w:p>
        </w:tc>
        <w:tc>
          <w:tcPr>
            <w:tcW w:w="1895" w:type="dxa"/>
            <w:tcBorders>
              <w:top w:val="single" w:color="auto" w:sz="4" w:space="0"/>
              <w:left w:val="single" w:color="auto" w:sz="4" w:space="0"/>
              <w:bottom w:val="single" w:color="auto" w:sz="4" w:space="0"/>
              <w:right w:val="single" w:color="auto" w:sz="4" w:space="0"/>
            </w:tcBorders>
            <w:noWrap w:val="0"/>
            <w:vAlign w:val="center"/>
          </w:tcPr>
          <w:p w14:paraId="6635A3BA">
            <w:pPr>
              <w:tabs>
                <w:tab w:val="left" w:pos="1425"/>
              </w:tabs>
              <w:jc w:val="center"/>
              <w:rPr>
                <w:rFonts w:hint="default" w:ascii="宋体" w:hAnsi="宋体" w:eastAsia="宋体" w:cs="宋体"/>
                <w:bCs/>
                <w:color w:val="auto"/>
                <w:kern w:val="0"/>
                <w:szCs w:val="21"/>
                <w:lang w:val="en-US" w:eastAsia="zh-CN"/>
              </w:rPr>
            </w:pPr>
            <w:r>
              <w:rPr>
                <w:rFonts w:hint="eastAsia" w:ascii="宋体" w:hAnsi="宋体" w:eastAsia="宋体" w:cs="宋体"/>
                <w:bCs/>
                <w:color w:val="auto"/>
                <w:kern w:val="0"/>
                <w:szCs w:val="21"/>
                <w:lang w:val="en-US" w:eastAsia="zh-CN"/>
              </w:rPr>
              <w:t>采购标的属性</w:t>
            </w:r>
          </w:p>
        </w:tc>
        <w:tc>
          <w:tcPr>
            <w:tcW w:w="5810" w:type="dxa"/>
            <w:tcBorders>
              <w:top w:val="single" w:color="auto" w:sz="4" w:space="0"/>
              <w:left w:val="single" w:color="auto" w:sz="4" w:space="0"/>
              <w:bottom w:val="single" w:color="auto" w:sz="4" w:space="0"/>
              <w:right w:val="single" w:color="auto" w:sz="4" w:space="0"/>
            </w:tcBorders>
            <w:noWrap w:val="0"/>
            <w:vAlign w:val="center"/>
          </w:tcPr>
          <w:p w14:paraId="499A168A">
            <w:pPr>
              <w:rPr>
                <w:rFonts w:hint="default" w:ascii="宋体" w:hAnsi="宋体" w:eastAsia="宋体" w:cs="宋体"/>
                <w:color w:val="auto"/>
                <w:kern w:val="0"/>
                <w:szCs w:val="21"/>
                <w:lang w:val="en-US" w:eastAsia="zh-CN"/>
              </w:rPr>
            </w:pPr>
            <w:r>
              <w:rPr>
                <w:rFonts w:hint="eastAsia" w:ascii="宋体" w:hAnsi="宋体" w:eastAsia="宋体" w:cs="宋体"/>
                <w:color w:val="auto"/>
                <w:kern w:val="0"/>
                <w:szCs w:val="21"/>
                <w:highlight w:val="none"/>
                <w:lang w:val="en-US" w:eastAsia="zh-CN"/>
              </w:rPr>
              <w:t>口</w:t>
            </w:r>
            <w:r>
              <w:rPr>
                <w:rFonts w:hint="eastAsia" w:eastAsia="宋体" w:cs="宋体"/>
                <w:color w:val="auto"/>
                <w:highlight w:val="none"/>
                <w:lang w:val="en-US" w:eastAsia="zh-CN"/>
              </w:rPr>
              <w:t xml:space="preserve"> </w:t>
            </w:r>
            <w:r>
              <w:rPr>
                <w:rFonts w:hint="eastAsia" w:ascii="宋体" w:hAnsi="宋体" w:eastAsia="宋体" w:cs="宋体"/>
                <w:color w:val="auto"/>
                <w:kern w:val="0"/>
                <w:szCs w:val="21"/>
                <w:highlight w:val="none"/>
                <w:lang w:val="en-US" w:eastAsia="zh-CN"/>
              </w:rPr>
              <w:t xml:space="preserve">货物类  </w:t>
            </w:r>
            <w:r>
              <w:rPr>
                <w:rFonts w:hint="eastAsia" w:eastAsia="宋体" w:cs="宋体"/>
                <w:color w:val="auto"/>
                <w:highlight w:val="none"/>
                <w:lang w:val="en-US" w:eastAsia="zh-CN"/>
              </w:rPr>
              <w:t xml:space="preserve"> </w:t>
            </w:r>
            <w:r>
              <w:rPr>
                <w:rFonts w:hint="eastAsia" w:ascii="宋体" w:hAnsi="宋体" w:eastAsia="宋体" w:cs="宋体"/>
                <w:color w:val="auto"/>
                <w:highlight w:val="none"/>
              </w:rPr>
              <w:t>■</w:t>
            </w:r>
            <w:r>
              <w:rPr>
                <w:rFonts w:hint="eastAsia" w:eastAsia="宋体" w:cs="宋体"/>
                <w:color w:val="auto"/>
                <w:kern w:val="0"/>
                <w:szCs w:val="21"/>
                <w:highlight w:val="none"/>
                <w:lang w:val="en-US" w:eastAsia="zh-CN"/>
              </w:rPr>
              <w:t xml:space="preserve"> </w:t>
            </w:r>
            <w:r>
              <w:rPr>
                <w:rFonts w:hint="eastAsia" w:ascii="宋体" w:hAnsi="宋体" w:eastAsia="宋体" w:cs="宋体"/>
                <w:color w:val="auto"/>
                <w:highlight w:val="none"/>
                <w:lang w:val="en-US" w:eastAsia="zh-CN"/>
              </w:rPr>
              <w:t>服务类</w:t>
            </w:r>
            <w:r>
              <w:rPr>
                <w:rFonts w:hint="eastAsia" w:eastAsia="宋体" w:cs="宋体"/>
                <w:color w:val="auto"/>
                <w:highlight w:val="none"/>
                <w:lang w:val="en-US" w:eastAsia="zh-CN"/>
              </w:rPr>
              <w:t xml:space="preserve">   </w:t>
            </w:r>
            <w:r>
              <w:rPr>
                <w:rFonts w:hint="eastAsia" w:ascii="宋体" w:hAnsi="宋体" w:eastAsia="宋体" w:cs="宋体"/>
                <w:color w:val="auto"/>
                <w:kern w:val="0"/>
                <w:szCs w:val="21"/>
                <w:highlight w:val="none"/>
                <w:lang w:val="en-US" w:eastAsia="zh-CN"/>
              </w:rPr>
              <w:t>口</w:t>
            </w:r>
            <w:r>
              <w:rPr>
                <w:rFonts w:hint="eastAsia" w:eastAsia="宋体" w:cs="宋体"/>
                <w:color w:val="auto"/>
                <w:kern w:val="0"/>
                <w:szCs w:val="21"/>
                <w:highlight w:val="none"/>
                <w:lang w:val="en-US" w:eastAsia="zh-CN"/>
              </w:rPr>
              <w:t xml:space="preserve"> </w:t>
            </w:r>
            <w:r>
              <w:rPr>
                <w:rFonts w:hint="eastAsia" w:eastAsia="宋体" w:cs="宋体"/>
                <w:color w:val="auto"/>
                <w:highlight w:val="none"/>
                <w:lang w:val="en-US" w:eastAsia="zh-CN"/>
              </w:rPr>
              <w:t>工程类</w:t>
            </w:r>
          </w:p>
        </w:tc>
      </w:tr>
      <w:tr w14:paraId="34D2FB3E">
        <w:tblPrEx>
          <w:tblCellMar>
            <w:top w:w="0" w:type="dxa"/>
            <w:left w:w="108" w:type="dxa"/>
            <w:bottom w:w="0" w:type="dxa"/>
            <w:right w:w="108" w:type="dxa"/>
          </w:tblCellMar>
        </w:tblPrEx>
        <w:trPr>
          <w:trHeight w:val="23" w:hRule="atLeast"/>
          <w:jc w:val="center"/>
        </w:trPr>
        <w:tc>
          <w:tcPr>
            <w:tcW w:w="951" w:type="dxa"/>
            <w:tcBorders>
              <w:top w:val="single" w:color="auto" w:sz="4" w:space="0"/>
              <w:left w:val="single" w:color="auto" w:sz="4" w:space="0"/>
              <w:bottom w:val="single" w:color="auto" w:sz="4" w:space="0"/>
              <w:right w:val="single" w:color="auto" w:sz="4" w:space="0"/>
            </w:tcBorders>
            <w:noWrap w:val="0"/>
            <w:vAlign w:val="center"/>
          </w:tcPr>
          <w:p w14:paraId="3FFAB72D">
            <w:pPr>
              <w:widowControl/>
              <w:jc w:val="center"/>
              <w:rPr>
                <w:rFonts w:hint="default"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1.3.6.2</w:t>
            </w:r>
          </w:p>
        </w:tc>
        <w:tc>
          <w:tcPr>
            <w:tcW w:w="1895" w:type="dxa"/>
            <w:tcBorders>
              <w:top w:val="single" w:color="auto" w:sz="4" w:space="0"/>
              <w:left w:val="single" w:color="auto" w:sz="4" w:space="0"/>
              <w:bottom w:val="single" w:color="auto" w:sz="4" w:space="0"/>
              <w:right w:val="single" w:color="auto" w:sz="4" w:space="0"/>
            </w:tcBorders>
            <w:noWrap w:val="0"/>
            <w:vAlign w:val="center"/>
          </w:tcPr>
          <w:p w14:paraId="22949169">
            <w:pPr>
              <w:tabs>
                <w:tab w:val="left" w:pos="1425"/>
              </w:tabs>
              <w:jc w:val="center"/>
              <w:rPr>
                <w:rFonts w:hint="eastAsia" w:ascii="宋体" w:hAnsi="宋体" w:eastAsia="宋体" w:cs="宋体"/>
                <w:bCs/>
                <w:color w:val="auto"/>
                <w:kern w:val="0"/>
                <w:szCs w:val="21"/>
              </w:rPr>
            </w:pPr>
            <w:r>
              <w:rPr>
                <w:rFonts w:hint="eastAsia" w:ascii="宋体" w:hAnsi="宋体" w:eastAsia="宋体" w:cs="宋体"/>
                <w:bCs/>
                <w:color w:val="auto"/>
                <w:kern w:val="0"/>
                <w:szCs w:val="21"/>
              </w:rPr>
              <w:t>采购标的对应的中小企业划分标准所属行业</w:t>
            </w:r>
          </w:p>
        </w:tc>
        <w:tc>
          <w:tcPr>
            <w:tcW w:w="5810" w:type="dxa"/>
            <w:tcBorders>
              <w:top w:val="single" w:color="auto" w:sz="4" w:space="0"/>
              <w:left w:val="single" w:color="auto" w:sz="4" w:space="0"/>
              <w:bottom w:val="single" w:color="auto" w:sz="4" w:space="0"/>
              <w:right w:val="single" w:color="auto" w:sz="4" w:space="0"/>
            </w:tcBorders>
            <w:noWrap w:val="0"/>
            <w:vAlign w:val="center"/>
          </w:tcPr>
          <w:p w14:paraId="35786743">
            <w:pPr>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口农、林、牧、渔业</w:t>
            </w:r>
          </w:p>
          <w:p w14:paraId="4B092DFE">
            <w:pPr>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口工业</w:t>
            </w:r>
          </w:p>
          <w:p w14:paraId="2BA0118B">
            <w:pPr>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口建筑业</w:t>
            </w:r>
          </w:p>
          <w:p w14:paraId="44E9D405">
            <w:pPr>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口批发业</w:t>
            </w:r>
          </w:p>
          <w:p w14:paraId="3DD9FD63">
            <w:pPr>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口零售业</w:t>
            </w:r>
          </w:p>
          <w:p w14:paraId="3322C601">
            <w:pPr>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口交通运输业</w:t>
            </w:r>
          </w:p>
          <w:p w14:paraId="4832148D">
            <w:pPr>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口仓储业</w:t>
            </w:r>
          </w:p>
          <w:p w14:paraId="72AD62BB">
            <w:pPr>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口邮政业</w:t>
            </w:r>
          </w:p>
          <w:p w14:paraId="4C4DCABB">
            <w:pPr>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口住宿业</w:t>
            </w:r>
          </w:p>
          <w:p w14:paraId="2FD0DDF6">
            <w:pPr>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口餐饮业</w:t>
            </w:r>
          </w:p>
          <w:p w14:paraId="50E9051E">
            <w:pPr>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口信息传输业</w:t>
            </w:r>
          </w:p>
          <w:p w14:paraId="3B3E7CD5">
            <w:pPr>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口软件和信息技术服务业</w:t>
            </w:r>
          </w:p>
          <w:p w14:paraId="31C1E6F0">
            <w:pPr>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口房地产开发经营</w:t>
            </w:r>
          </w:p>
          <w:p w14:paraId="501CF505">
            <w:pPr>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口物业管理</w:t>
            </w:r>
          </w:p>
          <w:p w14:paraId="12676226">
            <w:pPr>
              <w:rPr>
                <w:rFonts w:hint="eastAsia" w:ascii="宋体" w:hAnsi="宋体" w:eastAsia="宋体" w:cs="宋体"/>
                <w:color w:val="auto"/>
                <w:kern w:val="0"/>
                <w:szCs w:val="21"/>
                <w:lang w:val="en-US" w:eastAsia="zh-CN"/>
              </w:rPr>
            </w:pPr>
            <w:r>
              <w:rPr>
                <w:rFonts w:hint="eastAsia" w:ascii="宋体" w:hAnsi="宋体" w:eastAsia="宋体" w:cs="宋体"/>
                <w:color w:val="auto"/>
              </w:rPr>
              <w:t>■</w:t>
            </w:r>
            <w:bookmarkStart w:id="30" w:name="OLE_LINK46"/>
            <w:r>
              <w:rPr>
                <w:rFonts w:hint="eastAsia" w:ascii="宋体" w:hAnsi="宋体" w:eastAsia="宋体" w:cs="宋体"/>
                <w:color w:val="auto"/>
                <w:kern w:val="0"/>
                <w:szCs w:val="21"/>
                <w:lang w:val="en-US" w:eastAsia="zh-CN"/>
              </w:rPr>
              <w:t>租赁和商务服务业</w:t>
            </w:r>
            <w:bookmarkEnd w:id="30"/>
          </w:p>
          <w:p w14:paraId="5E50A5E5">
            <w:pPr>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口其他未列明行业。</w:t>
            </w:r>
          </w:p>
        </w:tc>
      </w:tr>
      <w:tr w14:paraId="3E4C29A2">
        <w:tblPrEx>
          <w:tblCellMar>
            <w:top w:w="0" w:type="dxa"/>
            <w:left w:w="108" w:type="dxa"/>
            <w:bottom w:w="0" w:type="dxa"/>
            <w:right w:w="108" w:type="dxa"/>
          </w:tblCellMar>
        </w:tblPrEx>
        <w:trPr>
          <w:trHeight w:val="23" w:hRule="atLeast"/>
          <w:jc w:val="center"/>
        </w:trPr>
        <w:tc>
          <w:tcPr>
            <w:tcW w:w="951" w:type="dxa"/>
            <w:tcBorders>
              <w:top w:val="single" w:color="auto" w:sz="4" w:space="0"/>
              <w:left w:val="single" w:color="auto" w:sz="4" w:space="0"/>
              <w:bottom w:val="single" w:color="auto" w:sz="4" w:space="0"/>
              <w:right w:val="single" w:color="auto" w:sz="4" w:space="0"/>
            </w:tcBorders>
            <w:noWrap w:val="0"/>
            <w:vAlign w:val="center"/>
          </w:tcPr>
          <w:p w14:paraId="7F41D279">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1.3.7</w:t>
            </w:r>
          </w:p>
        </w:tc>
        <w:tc>
          <w:tcPr>
            <w:tcW w:w="1895" w:type="dxa"/>
            <w:tcBorders>
              <w:top w:val="single" w:color="auto" w:sz="4" w:space="0"/>
              <w:left w:val="single" w:color="auto" w:sz="4" w:space="0"/>
              <w:bottom w:val="single" w:color="auto" w:sz="4" w:space="0"/>
              <w:right w:val="single" w:color="auto" w:sz="4" w:space="0"/>
            </w:tcBorders>
            <w:noWrap w:val="0"/>
            <w:vAlign w:val="center"/>
          </w:tcPr>
          <w:p w14:paraId="093BCCF8">
            <w:pPr>
              <w:tabs>
                <w:tab w:val="left" w:pos="1425"/>
              </w:tabs>
              <w:jc w:val="center"/>
              <w:rPr>
                <w:rFonts w:hint="eastAsia" w:ascii="宋体" w:hAnsi="宋体" w:eastAsia="宋体" w:cs="宋体"/>
                <w:color w:val="auto"/>
                <w:szCs w:val="21"/>
              </w:rPr>
            </w:pPr>
            <w:r>
              <w:rPr>
                <w:rFonts w:hint="eastAsia" w:ascii="宋体" w:hAnsi="宋体" w:eastAsia="宋体" w:cs="宋体"/>
                <w:color w:val="auto"/>
                <w:szCs w:val="21"/>
              </w:rPr>
              <w:t>是否有政府强制采购的节能产品</w:t>
            </w:r>
          </w:p>
        </w:tc>
        <w:tc>
          <w:tcPr>
            <w:tcW w:w="5810" w:type="dxa"/>
            <w:tcBorders>
              <w:top w:val="single" w:color="auto" w:sz="4" w:space="0"/>
              <w:left w:val="single" w:color="auto" w:sz="4" w:space="0"/>
              <w:bottom w:val="single" w:color="auto" w:sz="4" w:space="0"/>
              <w:right w:val="single" w:color="auto" w:sz="4" w:space="0"/>
            </w:tcBorders>
            <w:noWrap w:val="0"/>
            <w:vAlign w:val="center"/>
          </w:tcPr>
          <w:p w14:paraId="2EBE4A6F">
            <w:pPr>
              <w:rPr>
                <w:rFonts w:hint="eastAsia" w:ascii="宋体" w:hAnsi="宋体" w:eastAsia="宋体" w:cs="宋体"/>
                <w:color w:val="auto"/>
                <w:kern w:val="0"/>
                <w:szCs w:val="21"/>
              </w:rPr>
            </w:pPr>
            <w:r>
              <w:rPr>
                <w:rFonts w:hint="eastAsia" w:ascii="宋体" w:hAnsi="宋体" w:eastAsia="宋体" w:cs="宋体"/>
                <w:color w:val="auto"/>
                <w:kern w:val="0"/>
                <w:szCs w:val="21"/>
              </w:rPr>
              <w:t>■否</w:t>
            </w:r>
          </w:p>
        </w:tc>
      </w:tr>
      <w:tr w14:paraId="6439F741">
        <w:tblPrEx>
          <w:tblCellMar>
            <w:top w:w="0" w:type="dxa"/>
            <w:left w:w="108" w:type="dxa"/>
            <w:bottom w:w="0" w:type="dxa"/>
            <w:right w:w="108" w:type="dxa"/>
          </w:tblCellMar>
        </w:tblPrEx>
        <w:trPr>
          <w:trHeight w:val="23" w:hRule="atLeast"/>
          <w:jc w:val="center"/>
        </w:trPr>
        <w:tc>
          <w:tcPr>
            <w:tcW w:w="951" w:type="dxa"/>
            <w:tcBorders>
              <w:top w:val="single" w:color="auto" w:sz="4" w:space="0"/>
              <w:left w:val="single" w:color="auto" w:sz="4" w:space="0"/>
              <w:bottom w:val="single" w:color="auto" w:sz="4" w:space="0"/>
              <w:right w:val="single" w:color="auto" w:sz="4" w:space="0"/>
            </w:tcBorders>
            <w:noWrap w:val="0"/>
            <w:vAlign w:val="center"/>
          </w:tcPr>
          <w:p w14:paraId="5F444611">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4</w:t>
            </w:r>
          </w:p>
        </w:tc>
        <w:tc>
          <w:tcPr>
            <w:tcW w:w="1895" w:type="dxa"/>
            <w:tcBorders>
              <w:top w:val="single" w:color="auto" w:sz="4" w:space="0"/>
              <w:left w:val="single" w:color="auto" w:sz="4" w:space="0"/>
              <w:bottom w:val="single" w:color="auto" w:sz="4" w:space="0"/>
              <w:right w:val="single" w:color="auto" w:sz="4" w:space="0"/>
            </w:tcBorders>
            <w:noWrap w:val="0"/>
            <w:vAlign w:val="center"/>
          </w:tcPr>
          <w:p w14:paraId="2A3BCCF8">
            <w:pPr>
              <w:tabs>
                <w:tab w:val="left" w:pos="1425"/>
              </w:tabs>
              <w:jc w:val="center"/>
              <w:rPr>
                <w:rFonts w:hint="eastAsia" w:ascii="宋体" w:hAnsi="宋体" w:eastAsia="宋体" w:cs="宋体"/>
                <w:bCs/>
                <w:color w:val="auto"/>
                <w:kern w:val="0"/>
                <w:szCs w:val="21"/>
              </w:rPr>
            </w:pPr>
            <w:r>
              <w:rPr>
                <w:rFonts w:hint="eastAsia" w:ascii="宋体" w:hAnsi="宋体" w:eastAsia="宋体" w:cs="宋体"/>
                <w:bCs/>
                <w:color w:val="auto"/>
                <w:kern w:val="0"/>
                <w:szCs w:val="21"/>
              </w:rPr>
              <w:t>计量单位</w:t>
            </w:r>
          </w:p>
        </w:tc>
        <w:tc>
          <w:tcPr>
            <w:tcW w:w="5810" w:type="dxa"/>
            <w:tcBorders>
              <w:top w:val="single" w:color="auto" w:sz="4" w:space="0"/>
              <w:left w:val="single" w:color="auto" w:sz="4" w:space="0"/>
              <w:bottom w:val="single" w:color="auto" w:sz="4" w:space="0"/>
              <w:right w:val="single" w:color="auto" w:sz="4" w:space="0"/>
            </w:tcBorders>
            <w:noWrap w:val="0"/>
            <w:vAlign w:val="center"/>
          </w:tcPr>
          <w:p w14:paraId="024801D6">
            <w:pPr>
              <w:rPr>
                <w:rFonts w:hint="eastAsia" w:ascii="宋体" w:hAnsi="宋体" w:eastAsia="宋体" w:cs="宋体"/>
                <w:bCs/>
                <w:color w:val="auto"/>
                <w:kern w:val="0"/>
                <w:szCs w:val="21"/>
              </w:rPr>
            </w:pPr>
            <w:r>
              <w:rPr>
                <w:rFonts w:hint="eastAsia" w:ascii="宋体" w:hAnsi="宋体" w:eastAsia="宋体" w:cs="宋体"/>
                <w:color w:val="auto"/>
              </w:rPr>
              <w:t>■</w:t>
            </w:r>
            <w:r>
              <w:rPr>
                <w:rFonts w:hint="eastAsia" w:ascii="宋体" w:hAnsi="宋体" w:eastAsia="宋体" w:cs="宋体"/>
                <w:bCs/>
                <w:color w:val="auto"/>
                <w:kern w:val="0"/>
                <w:szCs w:val="21"/>
              </w:rPr>
              <w:t>中华人民共和国法定计量单位</w:t>
            </w:r>
          </w:p>
        </w:tc>
      </w:tr>
      <w:tr w14:paraId="7C28A750">
        <w:tblPrEx>
          <w:tblCellMar>
            <w:top w:w="0" w:type="dxa"/>
            <w:left w:w="108" w:type="dxa"/>
            <w:bottom w:w="0" w:type="dxa"/>
            <w:right w:w="108" w:type="dxa"/>
          </w:tblCellMar>
        </w:tblPrEx>
        <w:trPr>
          <w:trHeight w:val="23" w:hRule="atLeast"/>
          <w:jc w:val="center"/>
        </w:trPr>
        <w:tc>
          <w:tcPr>
            <w:tcW w:w="951" w:type="dxa"/>
            <w:tcBorders>
              <w:top w:val="single" w:color="auto" w:sz="4" w:space="0"/>
              <w:left w:val="single" w:color="auto" w:sz="4" w:space="0"/>
              <w:bottom w:val="single" w:color="auto" w:sz="4" w:space="0"/>
              <w:right w:val="single" w:color="auto" w:sz="4" w:space="0"/>
            </w:tcBorders>
            <w:noWrap w:val="0"/>
            <w:vAlign w:val="center"/>
          </w:tcPr>
          <w:p w14:paraId="6EEFBBCB">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6.1</w:t>
            </w:r>
          </w:p>
        </w:tc>
        <w:tc>
          <w:tcPr>
            <w:tcW w:w="1895" w:type="dxa"/>
            <w:tcBorders>
              <w:top w:val="single" w:color="auto" w:sz="4" w:space="0"/>
              <w:left w:val="single" w:color="auto" w:sz="4" w:space="0"/>
              <w:bottom w:val="single" w:color="auto" w:sz="4" w:space="0"/>
              <w:right w:val="single" w:color="auto" w:sz="4" w:space="0"/>
            </w:tcBorders>
            <w:noWrap w:val="0"/>
            <w:vAlign w:val="center"/>
          </w:tcPr>
          <w:p w14:paraId="354739A0">
            <w:pPr>
              <w:shd w:val="clear" w:color="auto" w:fill="FFFFFF"/>
              <w:jc w:val="center"/>
              <w:rPr>
                <w:rFonts w:hint="eastAsia" w:ascii="宋体" w:hAnsi="宋体" w:eastAsia="宋体" w:cs="宋体"/>
                <w:color w:val="auto"/>
                <w:szCs w:val="21"/>
              </w:rPr>
            </w:pPr>
            <w:r>
              <w:rPr>
                <w:rFonts w:hint="eastAsia" w:ascii="宋体" w:hAnsi="宋体" w:eastAsia="宋体" w:cs="宋体"/>
                <w:color w:val="auto"/>
                <w:kern w:val="0"/>
                <w:szCs w:val="21"/>
              </w:rPr>
              <w:t>现场考察、开标前答疑会</w:t>
            </w:r>
          </w:p>
        </w:tc>
        <w:tc>
          <w:tcPr>
            <w:tcW w:w="5810" w:type="dxa"/>
            <w:tcBorders>
              <w:top w:val="single" w:color="auto" w:sz="4" w:space="0"/>
              <w:left w:val="single" w:color="auto" w:sz="4" w:space="0"/>
              <w:bottom w:val="single" w:color="auto" w:sz="4" w:space="0"/>
              <w:right w:val="single" w:color="auto" w:sz="4" w:space="0"/>
            </w:tcBorders>
            <w:noWrap w:val="0"/>
            <w:vAlign w:val="center"/>
          </w:tcPr>
          <w:p w14:paraId="43175AA7">
            <w:pPr>
              <w:rPr>
                <w:rFonts w:hint="eastAsia" w:ascii="宋体" w:hAnsi="宋体" w:eastAsia="宋体" w:cs="宋体"/>
                <w:color w:val="auto"/>
                <w:kern w:val="0"/>
                <w:szCs w:val="21"/>
              </w:rPr>
            </w:pPr>
            <w:r>
              <w:rPr>
                <w:rFonts w:hint="eastAsia" w:ascii="宋体" w:hAnsi="宋体" w:eastAsia="宋体" w:cs="宋体"/>
                <w:color w:val="auto"/>
              </w:rPr>
              <w:t>■</w:t>
            </w:r>
            <w:r>
              <w:rPr>
                <w:rFonts w:hint="eastAsia" w:ascii="宋体" w:hAnsi="宋体" w:eastAsia="宋体" w:cs="宋体"/>
                <w:color w:val="auto"/>
                <w:kern w:val="0"/>
                <w:szCs w:val="21"/>
              </w:rPr>
              <w:t>不组织</w:t>
            </w:r>
          </w:p>
        </w:tc>
      </w:tr>
      <w:tr w14:paraId="084EE85E">
        <w:tblPrEx>
          <w:tblCellMar>
            <w:top w:w="0" w:type="dxa"/>
            <w:left w:w="108" w:type="dxa"/>
            <w:bottom w:w="0" w:type="dxa"/>
            <w:right w:w="108" w:type="dxa"/>
          </w:tblCellMar>
        </w:tblPrEx>
        <w:trPr>
          <w:trHeight w:val="23" w:hRule="atLeast"/>
          <w:jc w:val="center"/>
        </w:trPr>
        <w:tc>
          <w:tcPr>
            <w:tcW w:w="951" w:type="dxa"/>
            <w:tcBorders>
              <w:top w:val="single" w:color="auto" w:sz="4" w:space="0"/>
              <w:left w:val="single" w:color="auto" w:sz="4" w:space="0"/>
              <w:bottom w:val="single" w:color="auto" w:sz="4" w:space="0"/>
              <w:right w:val="single" w:color="auto" w:sz="4" w:space="0"/>
            </w:tcBorders>
            <w:noWrap w:val="0"/>
            <w:vAlign w:val="center"/>
          </w:tcPr>
          <w:p w14:paraId="7A03C77F">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8</w:t>
            </w:r>
            <w:r>
              <w:rPr>
                <w:rFonts w:ascii="宋体" w:hAnsi="宋体" w:eastAsia="宋体" w:cs="宋体"/>
                <w:color w:val="auto"/>
                <w:kern w:val="0"/>
                <w:szCs w:val="21"/>
              </w:rPr>
              <w:t>.3</w:t>
            </w:r>
          </w:p>
        </w:tc>
        <w:tc>
          <w:tcPr>
            <w:tcW w:w="1895" w:type="dxa"/>
            <w:tcBorders>
              <w:top w:val="single" w:color="auto" w:sz="4" w:space="0"/>
              <w:left w:val="single" w:color="auto" w:sz="4" w:space="0"/>
              <w:bottom w:val="single" w:color="auto" w:sz="4" w:space="0"/>
              <w:right w:val="single" w:color="auto" w:sz="4" w:space="0"/>
            </w:tcBorders>
            <w:noWrap w:val="0"/>
            <w:vAlign w:val="center"/>
          </w:tcPr>
          <w:p w14:paraId="370B9CC9">
            <w:pPr>
              <w:shd w:val="clear" w:color="auto" w:fill="FFFFFF"/>
              <w:jc w:val="center"/>
              <w:rPr>
                <w:rFonts w:hint="eastAsia" w:ascii="宋体" w:hAnsi="宋体" w:eastAsia="宋体" w:cs="宋体"/>
                <w:color w:val="auto"/>
                <w:kern w:val="0"/>
                <w:szCs w:val="21"/>
              </w:rPr>
            </w:pPr>
            <w:r>
              <w:rPr>
                <w:rFonts w:hint="eastAsia" w:ascii="宋体" w:hAnsi="宋体" w:eastAsia="宋体" w:cs="宋体"/>
                <w:color w:val="auto"/>
                <w:kern w:val="0"/>
                <w:szCs w:val="21"/>
              </w:rPr>
              <w:t>招标公告发布媒体</w:t>
            </w:r>
          </w:p>
        </w:tc>
        <w:tc>
          <w:tcPr>
            <w:tcW w:w="5810" w:type="dxa"/>
            <w:tcBorders>
              <w:top w:val="single" w:color="auto" w:sz="4" w:space="0"/>
              <w:left w:val="single" w:color="auto" w:sz="4" w:space="0"/>
              <w:bottom w:val="single" w:color="auto" w:sz="4" w:space="0"/>
              <w:right w:val="single" w:color="auto" w:sz="4" w:space="0"/>
            </w:tcBorders>
            <w:noWrap w:val="0"/>
            <w:vAlign w:val="center"/>
          </w:tcPr>
          <w:p w14:paraId="53E247BA">
            <w:pPr>
              <w:rPr>
                <w:rFonts w:hint="default" w:ascii="宋体" w:hAnsi="宋体" w:eastAsia="宋体" w:cs="宋体"/>
                <w:color w:val="auto"/>
                <w:lang w:val="en-US" w:eastAsia="zh-CN"/>
              </w:rPr>
            </w:pPr>
            <w:r>
              <w:rPr>
                <w:rFonts w:hint="eastAsia" w:ascii="宋体" w:hAnsi="宋体" w:eastAsia="宋体" w:cs="宋体"/>
                <w:color w:val="auto"/>
              </w:rPr>
              <w:t>■韶关市公共资源交易一体化平台</w:t>
            </w:r>
            <w:r>
              <w:rPr>
                <w:rFonts w:hint="eastAsia" w:ascii="宋体" w:hAnsi="宋体" w:eastAsia="宋体" w:cs="宋体"/>
                <w:color w:val="auto"/>
                <w:lang w:val="en-US" w:eastAsia="zh-CN"/>
              </w:rPr>
              <w:t xml:space="preserve">    </w:t>
            </w:r>
          </w:p>
          <w:p w14:paraId="4C3CE796">
            <w:pPr>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 xml:space="preserve">■广东省公共资源交易平台（韶关）  </w:t>
            </w:r>
          </w:p>
          <w:p w14:paraId="6906E6E6">
            <w:pPr>
              <w:rPr>
                <w:rFonts w:hint="eastAsia" w:ascii="宋体" w:hAnsi="宋体" w:eastAsia="宋体" w:cs="宋体"/>
                <w:color w:val="auto"/>
                <w:kern w:val="0"/>
                <w:szCs w:val="21"/>
              </w:rPr>
            </w:pPr>
            <w:r>
              <w:rPr>
                <w:rFonts w:hint="eastAsia" w:ascii="宋体" w:hAnsi="宋体" w:eastAsia="宋体" w:cs="宋体"/>
                <w:color w:val="auto"/>
                <w:kern w:val="2"/>
                <w:sz w:val="21"/>
                <w:szCs w:val="24"/>
                <w:lang w:val="en-US" w:eastAsia="zh-CN" w:bidi="ar-SA"/>
              </w:rPr>
              <w:t>■采购代理机构官网</w:t>
            </w:r>
          </w:p>
        </w:tc>
      </w:tr>
      <w:tr w14:paraId="69F10A10">
        <w:tblPrEx>
          <w:tblCellMar>
            <w:top w:w="0" w:type="dxa"/>
            <w:left w:w="108" w:type="dxa"/>
            <w:bottom w:w="0" w:type="dxa"/>
            <w:right w:w="108" w:type="dxa"/>
          </w:tblCellMar>
        </w:tblPrEx>
        <w:trPr>
          <w:trHeight w:val="23" w:hRule="atLeast"/>
          <w:jc w:val="center"/>
        </w:trPr>
        <w:tc>
          <w:tcPr>
            <w:tcW w:w="951" w:type="dxa"/>
            <w:tcBorders>
              <w:top w:val="single" w:color="auto" w:sz="4" w:space="0"/>
              <w:left w:val="single" w:color="auto" w:sz="4" w:space="0"/>
              <w:bottom w:val="single" w:color="auto" w:sz="4" w:space="0"/>
              <w:right w:val="single" w:color="auto" w:sz="4" w:space="0"/>
            </w:tcBorders>
            <w:noWrap w:val="0"/>
            <w:vAlign w:val="center"/>
          </w:tcPr>
          <w:p w14:paraId="7E38351F">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10.3</w:t>
            </w:r>
          </w:p>
        </w:tc>
        <w:tc>
          <w:tcPr>
            <w:tcW w:w="1895" w:type="dxa"/>
            <w:tcBorders>
              <w:top w:val="single" w:color="auto" w:sz="4" w:space="0"/>
              <w:left w:val="single" w:color="auto" w:sz="4" w:space="0"/>
              <w:bottom w:val="single" w:color="auto" w:sz="4" w:space="0"/>
              <w:right w:val="single" w:color="auto" w:sz="4" w:space="0"/>
            </w:tcBorders>
            <w:noWrap w:val="0"/>
            <w:vAlign w:val="center"/>
          </w:tcPr>
          <w:p w14:paraId="306EDDDA">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核心产品</w:t>
            </w:r>
          </w:p>
        </w:tc>
        <w:tc>
          <w:tcPr>
            <w:tcW w:w="5810" w:type="dxa"/>
            <w:tcBorders>
              <w:top w:val="single" w:color="auto" w:sz="4" w:space="0"/>
              <w:left w:val="single" w:color="auto" w:sz="4" w:space="0"/>
              <w:bottom w:val="single" w:color="auto" w:sz="4" w:space="0"/>
              <w:right w:val="single" w:color="auto" w:sz="4" w:space="0"/>
            </w:tcBorders>
            <w:noWrap w:val="0"/>
            <w:vAlign w:val="center"/>
          </w:tcPr>
          <w:p w14:paraId="7C7D0959">
            <w:pPr>
              <w:widowControl/>
              <w:rPr>
                <w:rFonts w:hint="eastAsia" w:ascii="宋体" w:hAnsi="宋体" w:eastAsia="宋体" w:cs="宋体"/>
                <w:color w:val="auto"/>
                <w:kern w:val="0"/>
                <w:szCs w:val="21"/>
                <w:lang w:eastAsia="zh-CN"/>
              </w:rPr>
            </w:pPr>
            <w:r>
              <w:rPr>
                <w:rFonts w:hint="eastAsia" w:ascii="宋体" w:hAnsi="宋体" w:eastAsia="宋体" w:cs="宋体"/>
                <w:color w:val="auto"/>
                <w:kern w:val="0"/>
                <w:szCs w:val="21"/>
              </w:rPr>
              <w:t xml:space="preserve">详见第三章 </w:t>
            </w:r>
            <w:r>
              <w:rPr>
                <w:rFonts w:hint="eastAsia" w:ascii="宋体" w:hAnsi="宋体" w:eastAsia="宋体" w:cs="宋体"/>
                <w:color w:val="auto"/>
                <w:kern w:val="0"/>
                <w:szCs w:val="21"/>
                <w:lang w:eastAsia="zh-CN"/>
              </w:rPr>
              <w:t>采购需求</w:t>
            </w:r>
          </w:p>
        </w:tc>
      </w:tr>
      <w:tr w14:paraId="09E7CD3E">
        <w:tblPrEx>
          <w:tblCellMar>
            <w:top w:w="0" w:type="dxa"/>
            <w:left w:w="108" w:type="dxa"/>
            <w:bottom w:w="0" w:type="dxa"/>
            <w:right w:w="108" w:type="dxa"/>
          </w:tblCellMar>
        </w:tblPrEx>
        <w:trPr>
          <w:trHeight w:val="23" w:hRule="atLeast"/>
          <w:jc w:val="center"/>
        </w:trPr>
        <w:tc>
          <w:tcPr>
            <w:tcW w:w="951" w:type="dxa"/>
            <w:vMerge w:val="restart"/>
            <w:tcBorders>
              <w:top w:val="single" w:color="auto" w:sz="4" w:space="0"/>
              <w:left w:val="single" w:color="auto" w:sz="4" w:space="0"/>
              <w:right w:val="single" w:color="auto" w:sz="4" w:space="0"/>
            </w:tcBorders>
            <w:noWrap w:val="0"/>
            <w:vAlign w:val="center"/>
          </w:tcPr>
          <w:p w14:paraId="7B4EA455">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11.3</w:t>
            </w:r>
          </w:p>
        </w:tc>
        <w:tc>
          <w:tcPr>
            <w:tcW w:w="1895" w:type="dxa"/>
            <w:vMerge w:val="restart"/>
            <w:tcBorders>
              <w:top w:val="single" w:color="auto" w:sz="4" w:space="0"/>
              <w:left w:val="single" w:color="auto" w:sz="4" w:space="0"/>
              <w:right w:val="single" w:color="auto" w:sz="4" w:space="0"/>
            </w:tcBorders>
            <w:noWrap w:val="0"/>
            <w:vAlign w:val="center"/>
          </w:tcPr>
          <w:p w14:paraId="2EAB9AFC">
            <w:pPr>
              <w:shd w:val="clear" w:color="auto" w:fill="FFFFFF"/>
              <w:jc w:val="center"/>
              <w:rPr>
                <w:rFonts w:hint="eastAsia" w:ascii="宋体" w:hAnsi="宋体" w:eastAsia="宋体" w:cs="宋体"/>
                <w:color w:val="auto"/>
                <w:kern w:val="0"/>
                <w:szCs w:val="21"/>
              </w:rPr>
            </w:pPr>
            <w:r>
              <w:rPr>
                <w:rFonts w:hint="eastAsia" w:ascii="宋体" w:hAnsi="宋体" w:eastAsia="宋体" w:cs="宋体"/>
                <w:color w:val="auto"/>
                <w:kern w:val="0"/>
                <w:szCs w:val="21"/>
              </w:rPr>
              <w:t>样品或演示</w:t>
            </w:r>
          </w:p>
        </w:tc>
        <w:tc>
          <w:tcPr>
            <w:tcW w:w="5810" w:type="dxa"/>
            <w:tcBorders>
              <w:top w:val="single" w:color="auto" w:sz="4" w:space="0"/>
              <w:left w:val="single" w:color="auto" w:sz="4" w:space="0"/>
              <w:bottom w:val="single" w:color="auto" w:sz="4" w:space="0"/>
              <w:right w:val="single" w:color="auto" w:sz="4" w:space="0"/>
            </w:tcBorders>
            <w:noWrap w:val="0"/>
            <w:vAlign w:val="center"/>
          </w:tcPr>
          <w:p w14:paraId="59D2708A">
            <w:pPr>
              <w:rPr>
                <w:rFonts w:hint="eastAsia" w:ascii="宋体" w:hAnsi="宋体" w:eastAsia="宋体" w:cs="宋体"/>
                <w:color w:val="auto"/>
                <w:kern w:val="0"/>
                <w:szCs w:val="21"/>
              </w:rPr>
            </w:pPr>
            <w:r>
              <w:rPr>
                <w:rFonts w:hint="eastAsia" w:ascii="宋体" w:hAnsi="宋体" w:eastAsia="宋体" w:cs="宋体"/>
                <w:color w:val="auto"/>
              </w:rPr>
              <w:t>■</w:t>
            </w:r>
            <w:r>
              <w:rPr>
                <w:rFonts w:hint="eastAsia" w:ascii="宋体" w:hAnsi="宋体" w:eastAsia="宋体" w:cs="宋体"/>
                <w:color w:val="auto"/>
                <w:kern w:val="0"/>
                <w:szCs w:val="21"/>
              </w:rPr>
              <w:t>不需要</w:t>
            </w:r>
            <w:r>
              <w:rPr>
                <w:rFonts w:hint="eastAsia" w:ascii="宋体" w:hAnsi="宋体" w:eastAsia="宋体" w:cs="宋体"/>
                <w:bCs/>
                <w:color w:val="auto"/>
                <w:kern w:val="0"/>
                <w:szCs w:val="21"/>
              </w:rPr>
              <w:t>提供样品</w:t>
            </w:r>
          </w:p>
        </w:tc>
      </w:tr>
      <w:tr w14:paraId="4F0BCAFD">
        <w:tblPrEx>
          <w:tblCellMar>
            <w:top w:w="0" w:type="dxa"/>
            <w:left w:w="108" w:type="dxa"/>
            <w:bottom w:w="0" w:type="dxa"/>
            <w:right w:w="108" w:type="dxa"/>
          </w:tblCellMar>
        </w:tblPrEx>
        <w:trPr>
          <w:trHeight w:val="23" w:hRule="atLeast"/>
          <w:jc w:val="center"/>
        </w:trPr>
        <w:tc>
          <w:tcPr>
            <w:tcW w:w="951" w:type="dxa"/>
            <w:vMerge w:val="continue"/>
            <w:tcBorders>
              <w:left w:val="single" w:color="auto" w:sz="4" w:space="0"/>
              <w:bottom w:val="single" w:color="auto" w:sz="4" w:space="0"/>
              <w:right w:val="single" w:color="auto" w:sz="4" w:space="0"/>
            </w:tcBorders>
            <w:noWrap w:val="0"/>
            <w:vAlign w:val="center"/>
          </w:tcPr>
          <w:p w14:paraId="295222B4">
            <w:pPr>
              <w:widowControl/>
              <w:jc w:val="center"/>
              <w:rPr>
                <w:rFonts w:hint="eastAsia" w:ascii="宋体" w:hAnsi="宋体" w:eastAsia="宋体" w:cs="宋体"/>
                <w:color w:val="auto"/>
                <w:kern w:val="0"/>
                <w:szCs w:val="21"/>
              </w:rPr>
            </w:pPr>
          </w:p>
        </w:tc>
        <w:tc>
          <w:tcPr>
            <w:tcW w:w="1895" w:type="dxa"/>
            <w:vMerge w:val="continue"/>
            <w:tcBorders>
              <w:left w:val="single" w:color="auto" w:sz="4" w:space="0"/>
              <w:bottom w:val="single" w:color="auto" w:sz="4" w:space="0"/>
              <w:right w:val="single" w:color="auto" w:sz="4" w:space="0"/>
            </w:tcBorders>
            <w:noWrap w:val="0"/>
            <w:vAlign w:val="center"/>
          </w:tcPr>
          <w:p w14:paraId="5A270307">
            <w:pPr>
              <w:shd w:val="clear" w:color="auto" w:fill="FFFFFF"/>
              <w:jc w:val="center"/>
              <w:rPr>
                <w:rFonts w:hint="eastAsia" w:ascii="宋体" w:hAnsi="宋体" w:eastAsia="宋体" w:cs="宋体"/>
                <w:color w:val="auto"/>
                <w:kern w:val="0"/>
                <w:szCs w:val="21"/>
              </w:rPr>
            </w:pPr>
          </w:p>
        </w:tc>
        <w:tc>
          <w:tcPr>
            <w:tcW w:w="5810" w:type="dxa"/>
            <w:tcBorders>
              <w:top w:val="single" w:color="auto" w:sz="4" w:space="0"/>
              <w:left w:val="single" w:color="auto" w:sz="4" w:space="0"/>
              <w:bottom w:val="single" w:color="auto" w:sz="4" w:space="0"/>
              <w:right w:val="single" w:color="auto" w:sz="4" w:space="0"/>
            </w:tcBorders>
            <w:noWrap w:val="0"/>
            <w:vAlign w:val="center"/>
          </w:tcPr>
          <w:p w14:paraId="0938E681">
            <w:pPr>
              <w:rPr>
                <w:rFonts w:hint="eastAsia" w:ascii="宋体" w:hAnsi="宋体" w:eastAsia="宋体" w:cs="宋体"/>
                <w:color w:val="auto"/>
                <w:kern w:val="0"/>
                <w:szCs w:val="21"/>
                <w:lang w:val="en-US" w:eastAsia="zh-CN"/>
              </w:rPr>
            </w:pPr>
            <w:r>
              <w:rPr>
                <w:rFonts w:hint="eastAsia" w:ascii="宋体" w:hAnsi="宋体" w:eastAsia="宋体" w:cs="宋体"/>
                <w:color w:val="auto"/>
              </w:rPr>
              <w:t>■</w:t>
            </w:r>
            <w:r>
              <w:rPr>
                <w:rFonts w:hint="eastAsia" w:ascii="宋体" w:hAnsi="宋体" w:eastAsia="宋体" w:cs="宋体"/>
                <w:color w:val="auto"/>
                <w:kern w:val="0"/>
                <w:szCs w:val="21"/>
              </w:rPr>
              <w:t>不</w:t>
            </w:r>
            <w:r>
              <w:rPr>
                <w:rFonts w:hint="eastAsia" w:ascii="宋体" w:hAnsi="宋体" w:eastAsia="宋体" w:cs="宋体"/>
                <w:bCs/>
                <w:color w:val="auto"/>
                <w:kern w:val="0"/>
                <w:szCs w:val="21"/>
              </w:rPr>
              <w:t>需要提供演示</w:t>
            </w:r>
          </w:p>
        </w:tc>
      </w:tr>
      <w:tr w14:paraId="074F3F06">
        <w:tblPrEx>
          <w:tblCellMar>
            <w:top w:w="0" w:type="dxa"/>
            <w:left w:w="108" w:type="dxa"/>
            <w:bottom w:w="0" w:type="dxa"/>
            <w:right w:w="108" w:type="dxa"/>
          </w:tblCellMar>
        </w:tblPrEx>
        <w:trPr>
          <w:trHeight w:val="23" w:hRule="atLeast"/>
          <w:jc w:val="center"/>
        </w:trPr>
        <w:tc>
          <w:tcPr>
            <w:tcW w:w="951" w:type="dxa"/>
            <w:tcBorders>
              <w:top w:val="single" w:color="auto" w:sz="4" w:space="0"/>
              <w:left w:val="single" w:color="auto" w:sz="4" w:space="0"/>
              <w:bottom w:val="single" w:color="auto" w:sz="4" w:space="0"/>
              <w:right w:val="single" w:color="auto" w:sz="4" w:space="0"/>
            </w:tcBorders>
            <w:noWrap w:val="0"/>
            <w:vAlign w:val="center"/>
          </w:tcPr>
          <w:p w14:paraId="2438A097">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12.1</w:t>
            </w:r>
          </w:p>
        </w:tc>
        <w:tc>
          <w:tcPr>
            <w:tcW w:w="1895" w:type="dxa"/>
            <w:tcBorders>
              <w:top w:val="single" w:color="auto" w:sz="4" w:space="0"/>
              <w:left w:val="single" w:color="auto" w:sz="4" w:space="0"/>
              <w:bottom w:val="single" w:color="auto" w:sz="4" w:space="0"/>
              <w:right w:val="single" w:color="auto" w:sz="4" w:space="0"/>
            </w:tcBorders>
            <w:noWrap w:val="0"/>
            <w:vAlign w:val="center"/>
          </w:tcPr>
          <w:p w14:paraId="41E3B77A">
            <w:pPr>
              <w:shd w:val="clear" w:color="auto" w:fill="FFFFFF"/>
              <w:jc w:val="center"/>
              <w:rPr>
                <w:rFonts w:hint="eastAsia" w:ascii="宋体" w:hAnsi="宋体" w:eastAsia="宋体" w:cs="宋体"/>
                <w:color w:val="auto"/>
                <w:kern w:val="0"/>
                <w:szCs w:val="21"/>
              </w:rPr>
            </w:pPr>
            <w:r>
              <w:rPr>
                <w:rFonts w:hint="eastAsia" w:ascii="宋体" w:hAnsi="宋体" w:eastAsia="宋体" w:cs="宋体"/>
                <w:color w:val="auto"/>
                <w:kern w:val="0"/>
                <w:szCs w:val="21"/>
              </w:rPr>
              <w:t>投标报价货币要求</w:t>
            </w:r>
          </w:p>
        </w:tc>
        <w:tc>
          <w:tcPr>
            <w:tcW w:w="5810" w:type="dxa"/>
            <w:tcBorders>
              <w:top w:val="single" w:color="auto" w:sz="4" w:space="0"/>
              <w:left w:val="single" w:color="auto" w:sz="4" w:space="0"/>
              <w:bottom w:val="single" w:color="auto" w:sz="4" w:space="0"/>
              <w:right w:val="single" w:color="auto" w:sz="4" w:space="0"/>
            </w:tcBorders>
            <w:noWrap w:val="0"/>
            <w:vAlign w:val="center"/>
          </w:tcPr>
          <w:p w14:paraId="32C7AF61">
            <w:pPr>
              <w:rPr>
                <w:rFonts w:hint="eastAsia" w:ascii="宋体" w:hAnsi="宋体" w:eastAsia="宋体" w:cs="宋体"/>
                <w:color w:val="auto"/>
                <w:kern w:val="0"/>
                <w:szCs w:val="21"/>
                <w:u w:val="single"/>
              </w:rPr>
            </w:pPr>
            <w:r>
              <w:rPr>
                <w:rFonts w:hint="eastAsia" w:ascii="宋体" w:hAnsi="宋体" w:eastAsia="宋体" w:cs="宋体"/>
                <w:color w:val="auto"/>
              </w:rPr>
              <w:t>■</w:t>
            </w:r>
            <w:r>
              <w:rPr>
                <w:rFonts w:hint="eastAsia" w:ascii="宋体" w:hAnsi="宋体" w:eastAsia="宋体" w:cs="宋体"/>
                <w:color w:val="auto"/>
                <w:kern w:val="0"/>
                <w:szCs w:val="21"/>
              </w:rPr>
              <w:t>所有投标均按</w:t>
            </w:r>
            <w:r>
              <w:rPr>
                <w:rFonts w:hint="eastAsia" w:ascii="宋体" w:hAnsi="宋体" w:eastAsia="宋体" w:cs="宋体"/>
                <w:color w:val="auto"/>
                <w:kern w:val="0"/>
                <w:szCs w:val="21"/>
                <w:u w:val="single"/>
              </w:rPr>
              <w:t xml:space="preserve"> 人民币 </w:t>
            </w:r>
            <w:r>
              <w:rPr>
                <w:rFonts w:hint="eastAsia" w:ascii="宋体" w:hAnsi="宋体" w:eastAsia="宋体" w:cs="宋体"/>
                <w:color w:val="auto"/>
                <w:kern w:val="0"/>
                <w:szCs w:val="21"/>
              </w:rPr>
              <w:t>货币进行报价。</w:t>
            </w:r>
          </w:p>
        </w:tc>
      </w:tr>
      <w:tr w14:paraId="2040FF70">
        <w:tblPrEx>
          <w:tblCellMar>
            <w:top w:w="0" w:type="dxa"/>
            <w:left w:w="108" w:type="dxa"/>
            <w:bottom w:w="0" w:type="dxa"/>
            <w:right w:w="108" w:type="dxa"/>
          </w:tblCellMar>
        </w:tblPrEx>
        <w:trPr>
          <w:trHeight w:val="23" w:hRule="atLeast"/>
          <w:jc w:val="center"/>
        </w:trPr>
        <w:tc>
          <w:tcPr>
            <w:tcW w:w="951" w:type="dxa"/>
            <w:tcBorders>
              <w:top w:val="single" w:color="auto" w:sz="4" w:space="0"/>
              <w:left w:val="single" w:color="auto" w:sz="8" w:space="0"/>
              <w:bottom w:val="single" w:color="auto" w:sz="8" w:space="0"/>
              <w:right w:val="single" w:color="auto" w:sz="4" w:space="0"/>
            </w:tcBorders>
            <w:noWrap w:val="0"/>
            <w:vAlign w:val="center"/>
          </w:tcPr>
          <w:p w14:paraId="19BFAF8F">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13.1</w:t>
            </w:r>
          </w:p>
        </w:tc>
        <w:tc>
          <w:tcPr>
            <w:tcW w:w="1895" w:type="dxa"/>
            <w:tcBorders>
              <w:top w:val="single" w:color="auto" w:sz="4" w:space="0"/>
              <w:left w:val="single" w:color="auto" w:sz="4" w:space="0"/>
              <w:bottom w:val="single" w:color="auto" w:sz="8" w:space="0"/>
              <w:right w:val="single" w:color="auto" w:sz="8" w:space="0"/>
            </w:tcBorders>
            <w:noWrap w:val="0"/>
            <w:vAlign w:val="center"/>
          </w:tcPr>
          <w:p w14:paraId="209B509A">
            <w:pPr>
              <w:jc w:val="center"/>
              <w:rPr>
                <w:rFonts w:hint="eastAsia" w:ascii="宋体" w:hAnsi="宋体" w:eastAsia="宋体" w:cs="宋体"/>
                <w:bCs/>
                <w:color w:val="auto"/>
                <w:kern w:val="0"/>
                <w:szCs w:val="21"/>
              </w:rPr>
            </w:pPr>
            <w:r>
              <w:rPr>
                <w:rFonts w:hint="eastAsia" w:ascii="宋体" w:hAnsi="宋体" w:eastAsia="宋体" w:cs="宋体"/>
                <w:bCs/>
                <w:color w:val="auto"/>
                <w:kern w:val="0"/>
                <w:szCs w:val="21"/>
              </w:rPr>
              <w:t>投标保证金</w:t>
            </w:r>
          </w:p>
        </w:tc>
        <w:tc>
          <w:tcPr>
            <w:tcW w:w="5810" w:type="dxa"/>
            <w:tcBorders>
              <w:top w:val="single" w:color="auto" w:sz="4" w:space="0"/>
              <w:left w:val="nil"/>
              <w:bottom w:val="single" w:color="auto" w:sz="8" w:space="0"/>
              <w:right w:val="single" w:color="auto" w:sz="8" w:space="0"/>
            </w:tcBorders>
            <w:noWrap w:val="0"/>
            <w:vAlign w:val="center"/>
          </w:tcPr>
          <w:p w14:paraId="771BF060">
            <w:pPr>
              <w:rPr>
                <w:rFonts w:hint="eastAsia" w:ascii="宋体" w:hAnsi="宋体" w:eastAsia="宋体" w:cs="宋体"/>
                <w:bCs/>
                <w:color w:val="auto"/>
                <w:kern w:val="0"/>
                <w:szCs w:val="21"/>
              </w:rPr>
            </w:pPr>
            <w:r>
              <w:rPr>
                <w:rFonts w:hint="eastAsia" w:ascii="宋体" w:hAnsi="宋体" w:eastAsia="宋体" w:cs="宋体"/>
                <w:bCs/>
                <w:color w:val="auto"/>
                <w:kern w:val="0"/>
                <w:szCs w:val="21"/>
                <w:lang w:val="en-US" w:eastAsia="zh-CN"/>
              </w:rPr>
              <w:t>1.</w:t>
            </w:r>
            <w:r>
              <w:rPr>
                <w:rFonts w:hint="eastAsia" w:ascii="宋体" w:hAnsi="宋体" w:eastAsia="宋体" w:cs="宋体"/>
                <w:bCs/>
                <w:color w:val="auto"/>
                <w:kern w:val="0"/>
                <w:szCs w:val="21"/>
              </w:rPr>
              <w:t xml:space="preserve">投标保证金金额： </w:t>
            </w:r>
            <w:r>
              <w:rPr>
                <w:rFonts w:hint="eastAsia" w:ascii="宋体" w:hAnsi="宋体" w:eastAsia="宋体" w:cs="宋体"/>
                <w:bCs/>
                <w:color w:val="auto"/>
                <w:kern w:val="0"/>
                <w:szCs w:val="21"/>
                <w:lang w:eastAsia="zh-CN"/>
              </w:rPr>
              <w:t>￥</w:t>
            </w:r>
            <w:r>
              <w:rPr>
                <w:rFonts w:hint="eastAsia" w:ascii="宋体" w:hAnsi="宋体" w:eastAsia="宋体" w:cs="宋体"/>
                <w:bCs/>
                <w:color w:val="auto"/>
                <w:kern w:val="0"/>
                <w:szCs w:val="21"/>
                <w:lang w:val="en-US" w:eastAsia="zh-CN"/>
              </w:rPr>
              <w:t>2</w:t>
            </w:r>
            <w:r>
              <w:rPr>
                <w:rFonts w:hint="eastAsia" w:ascii="宋体" w:hAnsi="宋体" w:eastAsia="宋体" w:cs="宋体"/>
                <w:bCs/>
                <w:color w:val="auto"/>
                <w:kern w:val="0"/>
                <w:szCs w:val="21"/>
              </w:rPr>
              <w:t xml:space="preserve">0,000.00元  </w:t>
            </w:r>
          </w:p>
          <w:p w14:paraId="117D6D45">
            <w:pPr>
              <w:rPr>
                <w:rFonts w:hint="eastAsia" w:ascii="宋体" w:hAnsi="宋体" w:eastAsia="宋体" w:cs="宋体"/>
                <w:bCs/>
                <w:color w:val="auto"/>
                <w:kern w:val="0"/>
                <w:szCs w:val="21"/>
              </w:rPr>
            </w:pPr>
            <w:r>
              <w:rPr>
                <w:rFonts w:hint="eastAsia" w:ascii="宋体" w:hAnsi="宋体" w:eastAsia="宋体" w:cs="宋体"/>
                <w:bCs/>
                <w:color w:val="auto"/>
                <w:kern w:val="0"/>
                <w:szCs w:val="21"/>
                <w:lang w:val="en-US" w:eastAsia="zh-CN"/>
              </w:rPr>
              <w:t>2.</w:t>
            </w:r>
            <w:r>
              <w:rPr>
                <w:rFonts w:hint="eastAsia" w:ascii="宋体" w:hAnsi="宋体" w:eastAsia="宋体" w:cs="宋体"/>
                <w:bCs/>
                <w:color w:val="auto"/>
                <w:kern w:val="0"/>
                <w:szCs w:val="21"/>
              </w:rPr>
              <w:t>采用投标保证金的，</w:t>
            </w:r>
            <w:r>
              <w:rPr>
                <w:rFonts w:hint="eastAsia" w:ascii="宋体" w:hAnsi="宋体" w:eastAsia="宋体" w:cs="宋体"/>
                <w:bCs/>
                <w:color w:val="auto"/>
                <w:kern w:val="0"/>
                <w:szCs w:val="21"/>
                <w:lang w:val="en-US" w:eastAsia="zh-CN"/>
              </w:rPr>
              <w:t>详见招标公告 “六、其他补充事宜”。</w:t>
            </w:r>
          </w:p>
        </w:tc>
      </w:tr>
      <w:tr w14:paraId="1E89D204">
        <w:tblPrEx>
          <w:tblCellMar>
            <w:top w:w="0" w:type="dxa"/>
            <w:left w:w="108" w:type="dxa"/>
            <w:bottom w:w="0" w:type="dxa"/>
            <w:right w:w="108" w:type="dxa"/>
          </w:tblCellMar>
        </w:tblPrEx>
        <w:trPr>
          <w:trHeight w:val="23" w:hRule="atLeast"/>
          <w:jc w:val="center"/>
        </w:trPr>
        <w:tc>
          <w:tcPr>
            <w:tcW w:w="951" w:type="dxa"/>
            <w:tcBorders>
              <w:top w:val="single" w:color="auto" w:sz="4" w:space="0"/>
              <w:left w:val="single" w:color="auto" w:sz="8" w:space="0"/>
              <w:bottom w:val="single" w:color="auto" w:sz="8" w:space="0"/>
              <w:right w:val="single" w:color="auto" w:sz="4" w:space="0"/>
            </w:tcBorders>
            <w:noWrap w:val="0"/>
            <w:vAlign w:val="center"/>
          </w:tcPr>
          <w:p w14:paraId="69399F9B">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15.1</w:t>
            </w:r>
          </w:p>
        </w:tc>
        <w:tc>
          <w:tcPr>
            <w:tcW w:w="1895" w:type="dxa"/>
            <w:tcBorders>
              <w:top w:val="single" w:color="auto" w:sz="4" w:space="0"/>
              <w:left w:val="single" w:color="auto" w:sz="4" w:space="0"/>
              <w:bottom w:val="single" w:color="auto" w:sz="8" w:space="0"/>
              <w:right w:val="single" w:color="auto" w:sz="8" w:space="0"/>
            </w:tcBorders>
            <w:noWrap w:val="0"/>
            <w:vAlign w:val="center"/>
          </w:tcPr>
          <w:p w14:paraId="23E1A7E9">
            <w:pPr>
              <w:jc w:val="center"/>
              <w:rPr>
                <w:rFonts w:hint="eastAsia" w:ascii="宋体" w:hAnsi="宋体" w:eastAsia="宋体" w:cs="宋体"/>
                <w:color w:val="auto"/>
                <w:szCs w:val="21"/>
              </w:rPr>
            </w:pPr>
            <w:r>
              <w:rPr>
                <w:rFonts w:hint="eastAsia" w:ascii="宋体" w:hAnsi="宋体" w:eastAsia="宋体" w:cs="宋体"/>
                <w:color w:val="auto"/>
                <w:szCs w:val="21"/>
              </w:rPr>
              <w:t>投标有效期</w:t>
            </w:r>
          </w:p>
        </w:tc>
        <w:tc>
          <w:tcPr>
            <w:tcW w:w="5810" w:type="dxa"/>
            <w:tcBorders>
              <w:top w:val="single" w:color="auto" w:sz="4" w:space="0"/>
              <w:left w:val="nil"/>
              <w:bottom w:val="single" w:color="auto" w:sz="8" w:space="0"/>
              <w:right w:val="single" w:color="auto" w:sz="8" w:space="0"/>
            </w:tcBorders>
            <w:noWrap w:val="0"/>
            <w:vAlign w:val="center"/>
          </w:tcPr>
          <w:p w14:paraId="44D9CEBF">
            <w:pPr>
              <w:pStyle w:val="8"/>
              <w:rPr>
                <w:rFonts w:hint="eastAsia" w:ascii="宋体" w:hAnsi="宋体" w:eastAsia="宋体" w:cs="宋体"/>
                <w:color w:val="auto"/>
                <w:kern w:val="0"/>
                <w:szCs w:val="21"/>
                <w:lang w:eastAsia="zh-CN"/>
              </w:rPr>
            </w:pPr>
            <w:r>
              <w:rPr>
                <w:rFonts w:hint="eastAsia" w:ascii="宋体" w:hAnsi="宋体" w:eastAsia="宋体" w:cs="宋体"/>
                <w:color w:val="auto"/>
                <w:kern w:val="0"/>
                <w:szCs w:val="21"/>
                <w:u w:val="single"/>
              </w:rPr>
              <w:t xml:space="preserve">  90  </w:t>
            </w:r>
            <w:r>
              <w:rPr>
                <w:rFonts w:hint="eastAsia" w:ascii="宋体" w:hAnsi="宋体" w:eastAsia="宋体" w:cs="宋体"/>
                <w:color w:val="auto"/>
                <w:kern w:val="0"/>
                <w:szCs w:val="21"/>
                <w:lang w:eastAsia="zh-CN"/>
              </w:rPr>
              <w:t>日</w:t>
            </w:r>
          </w:p>
        </w:tc>
      </w:tr>
      <w:tr w14:paraId="7A188CD3">
        <w:tblPrEx>
          <w:tblCellMar>
            <w:top w:w="0" w:type="dxa"/>
            <w:left w:w="108" w:type="dxa"/>
            <w:bottom w:w="0" w:type="dxa"/>
            <w:right w:w="108" w:type="dxa"/>
          </w:tblCellMar>
        </w:tblPrEx>
        <w:trPr>
          <w:trHeight w:val="23" w:hRule="atLeast"/>
          <w:jc w:val="center"/>
        </w:trPr>
        <w:tc>
          <w:tcPr>
            <w:tcW w:w="951" w:type="dxa"/>
            <w:vMerge w:val="restart"/>
            <w:tcBorders>
              <w:top w:val="nil"/>
              <w:left w:val="single" w:color="auto" w:sz="8" w:space="0"/>
              <w:right w:val="single" w:color="auto" w:sz="4" w:space="0"/>
            </w:tcBorders>
            <w:noWrap w:val="0"/>
            <w:vAlign w:val="center"/>
          </w:tcPr>
          <w:p w14:paraId="55A99E01">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16.1</w:t>
            </w:r>
          </w:p>
        </w:tc>
        <w:tc>
          <w:tcPr>
            <w:tcW w:w="1895" w:type="dxa"/>
            <w:tcBorders>
              <w:top w:val="nil"/>
              <w:left w:val="single" w:color="auto" w:sz="4" w:space="0"/>
              <w:bottom w:val="single" w:color="auto" w:sz="4" w:space="0"/>
              <w:right w:val="single" w:color="auto" w:sz="8" w:space="0"/>
            </w:tcBorders>
            <w:noWrap w:val="0"/>
            <w:vAlign w:val="center"/>
          </w:tcPr>
          <w:p w14:paraId="60B5A76A">
            <w:pPr>
              <w:widowControl/>
              <w:jc w:val="center"/>
              <w:rPr>
                <w:rFonts w:hint="eastAsia" w:ascii="宋体" w:hAnsi="宋体" w:eastAsia="宋体" w:cs="宋体"/>
                <w:color w:val="auto"/>
                <w:kern w:val="0"/>
                <w:szCs w:val="21"/>
              </w:rPr>
            </w:pPr>
            <w:r>
              <w:rPr>
                <w:rFonts w:hint="eastAsia" w:ascii="宋体" w:hAnsi="宋体" w:eastAsia="宋体" w:cs="宋体"/>
                <w:color w:val="auto"/>
                <w:szCs w:val="21"/>
              </w:rPr>
              <w:t>投标文件</w:t>
            </w:r>
            <w:r>
              <w:rPr>
                <w:rFonts w:hint="eastAsia" w:ascii="宋体" w:hAnsi="宋体" w:eastAsia="宋体" w:cs="宋体"/>
                <w:color w:val="auto"/>
                <w:szCs w:val="21"/>
                <w:lang w:val="en-US" w:eastAsia="zh-CN"/>
              </w:rPr>
              <w:t>纸质文档</w:t>
            </w:r>
            <w:r>
              <w:rPr>
                <w:rFonts w:hint="eastAsia" w:ascii="宋体" w:hAnsi="宋体" w:eastAsia="宋体" w:cs="宋体"/>
                <w:color w:val="auto"/>
                <w:szCs w:val="21"/>
              </w:rPr>
              <w:t>份数</w:t>
            </w:r>
          </w:p>
        </w:tc>
        <w:tc>
          <w:tcPr>
            <w:tcW w:w="5810" w:type="dxa"/>
            <w:tcBorders>
              <w:top w:val="nil"/>
              <w:left w:val="nil"/>
              <w:bottom w:val="single" w:color="auto" w:sz="4" w:space="0"/>
              <w:right w:val="single" w:color="auto" w:sz="8" w:space="0"/>
            </w:tcBorders>
            <w:noWrap w:val="0"/>
            <w:vAlign w:val="center"/>
          </w:tcPr>
          <w:p w14:paraId="14AC9E45">
            <w:pPr>
              <w:widowControl/>
              <w:rPr>
                <w:rFonts w:hint="eastAsia" w:ascii="宋体" w:hAnsi="宋体" w:eastAsia="宋体" w:cs="宋体"/>
                <w:b/>
                <w:bCs/>
                <w:color w:val="auto"/>
                <w:kern w:val="0"/>
                <w:szCs w:val="21"/>
              </w:rPr>
            </w:pPr>
            <w:r>
              <w:rPr>
                <w:rFonts w:hint="eastAsia" w:ascii="宋体" w:hAnsi="宋体" w:eastAsia="宋体" w:cs="宋体"/>
                <w:b/>
                <w:bCs/>
                <w:color w:val="auto"/>
                <w:szCs w:val="21"/>
                <w:lang w:val="en-US" w:eastAsia="zh-CN"/>
              </w:rPr>
              <w:t>现场须递交</w:t>
            </w:r>
            <w:r>
              <w:rPr>
                <w:rFonts w:hint="eastAsia" w:ascii="宋体" w:hAnsi="宋体" w:eastAsia="宋体" w:cs="宋体"/>
                <w:b/>
                <w:bCs/>
                <w:color w:val="auto"/>
                <w:szCs w:val="21"/>
              </w:rPr>
              <w:t>投标文件正本</w:t>
            </w:r>
            <w:r>
              <w:rPr>
                <w:rFonts w:hint="eastAsia" w:ascii="宋体" w:hAnsi="宋体" w:eastAsia="宋体" w:cs="宋体"/>
                <w:b/>
                <w:bCs/>
                <w:color w:val="auto"/>
                <w:szCs w:val="21"/>
                <w:u w:val="single"/>
              </w:rPr>
              <w:t xml:space="preserve">  1  </w:t>
            </w:r>
            <w:r>
              <w:rPr>
                <w:rFonts w:hint="eastAsia" w:ascii="宋体" w:hAnsi="宋体" w:eastAsia="宋体" w:cs="宋体"/>
                <w:b/>
                <w:bCs/>
                <w:color w:val="auto"/>
                <w:szCs w:val="21"/>
              </w:rPr>
              <w:t>份,副本</w:t>
            </w:r>
            <w:r>
              <w:rPr>
                <w:rFonts w:hint="eastAsia" w:ascii="宋体" w:hAnsi="宋体" w:eastAsia="宋体" w:cs="宋体"/>
                <w:b/>
                <w:bCs/>
                <w:color w:val="auto"/>
                <w:szCs w:val="21"/>
                <w:u w:val="single"/>
              </w:rPr>
              <w:t xml:space="preserve">  </w:t>
            </w:r>
            <w:r>
              <w:rPr>
                <w:rFonts w:hint="eastAsia" w:ascii="宋体" w:hAnsi="宋体" w:eastAsia="宋体" w:cs="宋体"/>
                <w:b/>
                <w:bCs/>
                <w:color w:val="auto"/>
                <w:szCs w:val="21"/>
                <w:u w:val="single"/>
                <w:lang w:val="en-US" w:eastAsia="zh-CN"/>
              </w:rPr>
              <w:t>6</w:t>
            </w:r>
            <w:r>
              <w:rPr>
                <w:rFonts w:hint="eastAsia" w:ascii="宋体" w:hAnsi="宋体" w:eastAsia="宋体" w:cs="宋体"/>
                <w:b/>
                <w:bCs/>
                <w:color w:val="auto"/>
                <w:szCs w:val="21"/>
                <w:u w:val="single"/>
              </w:rPr>
              <w:t xml:space="preserve">  </w:t>
            </w:r>
            <w:r>
              <w:rPr>
                <w:rFonts w:hint="eastAsia" w:ascii="宋体" w:hAnsi="宋体" w:eastAsia="宋体" w:cs="宋体"/>
                <w:b/>
                <w:bCs/>
                <w:color w:val="auto"/>
                <w:szCs w:val="21"/>
              </w:rPr>
              <w:t>份</w:t>
            </w:r>
            <w:r>
              <w:rPr>
                <w:rFonts w:hint="eastAsia" w:ascii="宋体" w:hAnsi="宋体" w:eastAsia="宋体" w:cs="宋体"/>
                <w:b/>
                <w:bCs/>
                <w:color w:val="auto"/>
                <w:szCs w:val="21"/>
                <w:lang w:eastAsia="zh-CN"/>
              </w:rPr>
              <w:t>，</w:t>
            </w:r>
          </w:p>
        </w:tc>
      </w:tr>
      <w:tr w14:paraId="55C83087">
        <w:tblPrEx>
          <w:tblCellMar>
            <w:top w:w="0" w:type="dxa"/>
            <w:left w:w="108" w:type="dxa"/>
            <w:bottom w:w="0" w:type="dxa"/>
            <w:right w:w="108" w:type="dxa"/>
          </w:tblCellMar>
        </w:tblPrEx>
        <w:trPr>
          <w:trHeight w:val="23" w:hRule="atLeast"/>
          <w:jc w:val="center"/>
        </w:trPr>
        <w:tc>
          <w:tcPr>
            <w:tcW w:w="951" w:type="dxa"/>
            <w:vMerge w:val="continue"/>
            <w:tcBorders>
              <w:left w:val="single" w:color="auto" w:sz="8" w:space="0"/>
              <w:right w:val="single" w:color="auto" w:sz="4" w:space="0"/>
            </w:tcBorders>
            <w:noWrap w:val="0"/>
            <w:vAlign w:val="center"/>
          </w:tcPr>
          <w:p w14:paraId="7CF4BD48">
            <w:pPr>
              <w:widowControl/>
              <w:jc w:val="center"/>
              <w:rPr>
                <w:rFonts w:hint="eastAsia" w:ascii="宋体" w:hAnsi="宋体" w:eastAsia="宋体" w:cs="宋体"/>
                <w:color w:val="auto"/>
                <w:kern w:val="0"/>
                <w:szCs w:val="21"/>
              </w:rPr>
            </w:pPr>
          </w:p>
        </w:tc>
        <w:tc>
          <w:tcPr>
            <w:tcW w:w="1895" w:type="dxa"/>
            <w:vMerge w:val="restart"/>
            <w:tcBorders>
              <w:top w:val="nil"/>
              <w:left w:val="single" w:color="auto" w:sz="4" w:space="0"/>
              <w:right w:val="single" w:color="auto" w:sz="8" w:space="0"/>
            </w:tcBorders>
            <w:noWrap w:val="0"/>
            <w:vAlign w:val="center"/>
          </w:tcPr>
          <w:p w14:paraId="0A6976ED">
            <w:pPr>
              <w:widowControl/>
              <w:jc w:val="center"/>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投标文件电子文档份数</w:t>
            </w:r>
          </w:p>
        </w:tc>
        <w:tc>
          <w:tcPr>
            <w:tcW w:w="5810" w:type="dxa"/>
            <w:tcBorders>
              <w:top w:val="nil"/>
              <w:left w:val="nil"/>
              <w:bottom w:val="single" w:color="auto" w:sz="4" w:space="0"/>
              <w:right w:val="single" w:color="auto" w:sz="8" w:space="0"/>
            </w:tcBorders>
            <w:noWrap w:val="0"/>
            <w:vAlign w:val="center"/>
          </w:tcPr>
          <w:p w14:paraId="265D3B1F">
            <w:pPr>
              <w:widowControl/>
              <w:rPr>
                <w:rFonts w:hint="eastAsia" w:ascii="宋体" w:hAnsi="宋体" w:eastAsia="宋体" w:cs="宋体"/>
                <w:b/>
                <w:bCs/>
                <w:color w:val="auto"/>
              </w:rPr>
            </w:pPr>
            <w:r>
              <w:rPr>
                <w:rFonts w:hint="eastAsia" w:ascii="宋体" w:hAnsi="宋体" w:eastAsia="宋体" w:cs="宋体"/>
                <w:b/>
                <w:bCs/>
                <w:color w:val="auto"/>
              </w:rPr>
              <w:t>■</w:t>
            </w:r>
            <w:r>
              <w:rPr>
                <w:rFonts w:hint="eastAsia" w:ascii="宋体" w:hAnsi="宋体" w:eastAsia="宋体" w:cs="宋体"/>
                <w:b/>
                <w:bCs/>
                <w:color w:val="auto"/>
                <w:szCs w:val="21"/>
                <w:lang w:val="en-US" w:eastAsia="zh-CN"/>
              </w:rPr>
              <w:t>需要提供：</w:t>
            </w:r>
            <w:r>
              <w:rPr>
                <w:rFonts w:hint="eastAsia" w:ascii="宋体" w:hAnsi="宋体" w:eastAsia="宋体" w:cs="宋体"/>
                <w:b/>
                <w:bCs/>
                <w:color w:val="auto"/>
                <w:szCs w:val="21"/>
                <w:u w:val="single"/>
                <w:lang w:val="en-US" w:eastAsia="zh-CN"/>
              </w:rPr>
              <w:t xml:space="preserve">  1  </w:t>
            </w:r>
            <w:r>
              <w:rPr>
                <w:rFonts w:hint="eastAsia" w:ascii="宋体" w:hAnsi="宋体" w:eastAsia="宋体" w:cs="宋体"/>
                <w:b/>
                <w:bCs/>
                <w:color w:val="auto"/>
                <w:szCs w:val="21"/>
                <w:lang w:val="en-US" w:eastAsia="zh-CN"/>
              </w:rPr>
              <w:t>份，</w:t>
            </w:r>
            <w:r>
              <w:rPr>
                <w:rFonts w:hint="eastAsia" w:ascii="宋体" w:hAnsi="宋体" w:eastAsia="宋体" w:cs="宋体"/>
                <w:b/>
                <w:bCs/>
                <w:color w:val="auto"/>
                <w:kern w:val="0"/>
                <w:szCs w:val="21"/>
                <w:lang w:val="en-US" w:eastAsia="zh-CN"/>
              </w:rPr>
              <w:t>电子文档必须是正本签署盖章后扫描后制作的PDF电子文档格式和WORD版，以U盘或光盘为载体随投标文件正副本一起提交，未按要求提交电子文档的投</w:t>
            </w:r>
            <w:r>
              <w:rPr>
                <w:rFonts w:hint="eastAsia" w:ascii="宋体" w:hAnsi="宋体" w:eastAsia="宋体" w:cs="宋体"/>
                <w:b/>
                <w:bCs/>
                <w:color w:val="auto"/>
                <w:kern w:val="0"/>
                <w:szCs w:val="21"/>
              </w:rPr>
              <w:t>标</w:t>
            </w:r>
            <w:r>
              <w:rPr>
                <w:rFonts w:hint="eastAsia" w:ascii="宋体" w:hAnsi="宋体" w:eastAsia="宋体" w:cs="宋体"/>
                <w:b/>
                <w:bCs/>
                <w:color w:val="auto"/>
                <w:kern w:val="0"/>
                <w:szCs w:val="21"/>
                <w:lang w:val="en-US" w:eastAsia="zh-CN"/>
              </w:rPr>
              <w:t>文件</w:t>
            </w:r>
            <w:r>
              <w:rPr>
                <w:rFonts w:hint="eastAsia" w:ascii="宋体" w:hAnsi="宋体" w:eastAsia="宋体" w:cs="宋体"/>
                <w:b/>
                <w:bCs/>
                <w:color w:val="auto"/>
                <w:kern w:val="0"/>
                <w:szCs w:val="21"/>
              </w:rPr>
              <w:t>将被认定为投标无效</w:t>
            </w:r>
            <w:r>
              <w:rPr>
                <w:rFonts w:hint="eastAsia" w:ascii="宋体" w:hAnsi="宋体" w:eastAsia="宋体" w:cs="宋体"/>
                <w:b/>
                <w:bCs/>
                <w:color w:val="auto"/>
                <w:kern w:val="0"/>
                <w:szCs w:val="21"/>
                <w:lang w:eastAsia="zh-CN"/>
              </w:rPr>
              <w:t>。</w:t>
            </w:r>
          </w:p>
        </w:tc>
      </w:tr>
      <w:tr w14:paraId="7A8100D6">
        <w:tblPrEx>
          <w:tblCellMar>
            <w:top w:w="0" w:type="dxa"/>
            <w:left w:w="108" w:type="dxa"/>
            <w:bottom w:w="0" w:type="dxa"/>
            <w:right w:w="108" w:type="dxa"/>
          </w:tblCellMar>
        </w:tblPrEx>
        <w:trPr>
          <w:trHeight w:val="23" w:hRule="atLeast"/>
          <w:jc w:val="center"/>
        </w:trPr>
        <w:tc>
          <w:tcPr>
            <w:tcW w:w="951" w:type="dxa"/>
            <w:vMerge w:val="continue"/>
            <w:tcBorders>
              <w:left w:val="single" w:color="auto" w:sz="8" w:space="0"/>
              <w:bottom w:val="single" w:color="auto" w:sz="4" w:space="0"/>
              <w:right w:val="single" w:color="auto" w:sz="4" w:space="0"/>
            </w:tcBorders>
            <w:noWrap w:val="0"/>
            <w:vAlign w:val="center"/>
          </w:tcPr>
          <w:p w14:paraId="08872877">
            <w:pPr>
              <w:widowControl/>
              <w:jc w:val="center"/>
              <w:rPr>
                <w:rFonts w:hint="eastAsia" w:ascii="宋体" w:hAnsi="宋体" w:eastAsia="宋体" w:cs="宋体"/>
                <w:color w:val="auto"/>
                <w:kern w:val="0"/>
                <w:szCs w:val="21"/>
              </w:rPr>
            </w:pPr>
          </w:p>
        </w:tc>
        <w:tc>
          <w:tcPr>
            <w:tcW w:w="1895" w:type="dxa"/>
            <w:vMerge w:val="continue"/>
            <w:tcBorders>
              <w:left w:val="single" w:color="auto" w:sz="4" w:space="0"/>
              <w:bottom w:val="single" w:color="auto" w:sz="4" w:space="0"/>
              <w:right w:val="single" w:color="auto" w:sz="8" w:space="0"/>
            </w:tcBorders>
            <w:noWrap w:val="0"/>
            <w:vAlign w:val="center"/>
          </w:tcPr>
          <w:p w14:paraId="06588BAC">
            <w:pPr>
              <w:widowControl/>
              <w:jc w:val="center"/>
              <w:rPr>
                <w:rFonts w:hint="eastAsia" w:ascii="宋体" w:hAnsi="宋体" w:eastAsia="宋体" w:cs="宋体"/>
                <w:color w:val="auto"/>
                <w:szCs w:val="21"/>
                <w:lang w:val="en-US" w:eastAsia="zh-CN"/>
              </w:rPr>
            </w:pPr>
          </w:p>
        </w:tc>
        <w:tc>
          <w:tcPr>
            <w:tcW w:w="5810" w:type="dxa"/>
            <w:tcBorders>
              <w:top w:val="nil"/>
              <w:left w:val="nil"/>
              <w:bottom w:val="single" w:color="auto" w:sz="4" w:space="0"/>
              <w:right w:val="single" w:color="auto" w:sz="8" w:space="0"/>
            </w:tcBorders>
            <w:noWrap w:val="0"/>
            <w:vAlign w:val="center"/>
          </w:tcPr>
          <w:p w14:paraId="7E75C411">
            <w:pPr>
              <w:widowControl/>
              <w:rPr>
                <w:rFonts w:hint="default"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口不需要</w:t>
            </w:r>
          </w:p>
        </w:tc>
      </w:tr>
      <w:tr w14:paraId="1A924FC6">
        <w:tblPrEx>
          <w:tblCellMar>
            <w:top w:w="0" w:type="dxa"/>
            <w:left w:w="108" w:type="dxa"/>
            <w:bottom w:w="0" w:type="dxa"/>
            <w:right w:w="108" w:type="dxa"/>
          </w:tblCellMar>
        </w:tblPrEx>
        <w:trPr>
          <w:trHeight w:val="23" w:hRule="atLeast"/>
          <w:jc w:val="center"/>
        </w:trPr>
        <w:tc>
          <w:tcPr>
            <w:tcW w:w="951" w:type="dxa"/>
            <w:tcBorders>
              <w:top w:val="nil"/>
              <w:left w:val="single" w:color="auto" w:sz="8" w:space="0"/>
              <w:bottom w:val="single" w:color="auto" w:sz="4" w:space="0"/>
              <w:right w:val="single" w:color="auto" w:sz="4" w:space="0"/>
            </w:tcBorders>
            <w:noWrap w:val="0"/>
            <w:vAlign w:val="center"/>
          </w:tcPr>
          <w:p w14:paraId="07843627">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21</w:t>
            </w:r>
          </w:p>
        </w:tc>
        <w:tc>
          <w:tcPr>
            <w:tcW w:w="1895" w:type="dxa"/>
            <w:tcBorders>
              <w:top w:val="nil"/>
              <w:left w:val="single" w:color="auto" w:sz="4" w:space="0"/>
              <w:bottom w:val="single" w:color="auto" w:sz="4" w:space="0"/>
              <w:right w:val="single" w:color="auto" w:sz="8" w:space="0"/>
            </w:tcBorders>
            <w:noWrap w:val="0"/>
            <w:vAlign w:val="center"/>
          </w:tcPr>
          <w:p w14:paraId="0F659209">
            <w:pPr>
              <w:widowControl/>
              <w:jc w:val="center"/>
              <w:rPr>
                <w:rFonts w:hint="eastAsia" w:ascii="宋体" w:hAnsi="宋体" w:eastAsia="宋体" w:cs="宋体"/>
                <w:color w:val="auto"/>
                <w:szCs w:val="21"/>
              </w:rPr>
            </w:pPr>
            <w:r>
              <w:rPr>
                <w:rFonts w:hint="eastAsia" w:ascii="宋体" w:hAnsi="宋体" w:eastAsia="宋体" w:cs="宋体"/>
                <w:color w:val="auto"/>
                <w:szCs w:val="21"/>
              </w:rPr>
              <w:t>评标委员会组成</w:t>
            </w:r>
          </w:p>
        </w:tc>
        <w:tc>
          <w:tcPr>
            <w:tcW w:w="5810" w:type="dxa"/>
            <w:tcBorders>
              <w:top w:val="nil"/>
              <w:left w:val="nil"/>
              <w:bottom w:val="single" w:color="auto" w:sz="4" w:space="0"/>
              <w:right w:val="single" w:color="auto" w:sz="8" w:space="0"/>
            </w:tcBorders>
            <w:noWrap w:val="0"/>
            <w:vAlign w:val="center"/>
          </w:tcPr>
          <w:p w14:paraId="5BD0C7C8">
            <w:pPr>
              <w:widowControl/>
              <w:rPr>
                <w:rFonts w:hint="eastAsia" w:ascii="宋体" w:hAnsi="宋体" w:eastAsia="宋体" w:cs="宋体"/>
                <w:color w:val="auto"/>
                <w:kern w:val="0"/>
                <w:szCs w:val="21"/>
              </w:rPr>
            </w:pPr>
            <w:r>
              <w:rPr>
                <w:rFonts w:hint="eastAsia" w:ascii="宋体" w:hAnsi="宋体" w:eastAsia="宋体" w:cs="宋体"/>
                <w:color w:val="auto"/>
                <w:szCs w:val="21"/>
              </w:rPr>
              <w:t>按《政府采购货物和服务招标投标管理办法》（财政部令第87号）第四十七条</w:t>
            </w:r>
            <w:r>
              <w:rPr>
                <w:rFonts w:hint="eastAsia" w:ascii="宋体" w:hAnsi="宋体" w:eastAsia="宋体" w:cs="宋体"/>
                <w:color w:val="auto"/>
                <w:szCs w:val="21"/>
                <w:lang w:val="en-US" w:eastAsia="zh-CN"/>
              </w:rPr>
              <w:t>组成</w:t>
            </w:r>
            <w:r>
              <w:rPr>
                <w:rFonts w:hint="eastAsia" w:ascii="宋体" w:hAnsi="宋体" w:eastAsia="宋体" w:cs="宋体"/>
                <w:color w:val="auto"/>
                <w:szCs w:val="21"/>
              </w:rPr>
              <w:t xml:space="preserve">。 </w:t>
            </w:r>
          </w:p>
        </w:tc>
      </w:tr>
      <w:tr w14:paraId="7A98FDF2">
        <w:tblPrEx>
          <w:tblCellMar>
            <w:top w:w="0" w:type="dxa"/>
            <w:left w:w="108" w:type="dxa"/>
            <w:bottom w:w="0" w:type="dxa"/>
            <w:right w:w="108" w:type="dxa"/>
          </w:tblCellMar>
        </w:tblPrEx>
        <w:trPr>
          <w:trHeight w:val="23" w:hRule="atLeast"/>
          <w:jc w:val="center"/>
        </w:trPr>
        <w:tc>
          <w:tcPr>
            <w:tcW w:w="951" w:type="dxa"/>
            <w:vMerge w:val="restart"/>
            <w:tcBorders>
              <w:top w:val="single" w:color="auto" w:sz="4" w:space="0"/>
              <w:left w:val="single" w:color="auto" w:sz="4" w:space="0"/>
              <w:bottom w:val="single" w:color="auto" w:sz="4" w:space="0"/>
              <w:right w:val="single" w:color="auto" w:sz="4" w:space="0"/>
            </w:tcBorders>
            <w:noWrap w:val="0"/>
            <w:vAlign w:val="center"/>
          </w:tcPr>
          <w:p w14:paraId="5D1E9274">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25.1</w:t>
            </w:r>
          </w:p>
        </w:tc>
        <w:tc>
          <w:tcPr>
            <w:tcW w:w="1895" w:type="dxa"/>
            <w:tcBorders>
              <w:top w:val="single" w:color="auto" w:sz="4" w:space="0"/>
              <w:left w:val="single" w:color="auto" w:sz="4" w:space="0"/>
              <w:bottom w:val="single" w:color="auto" w:sz="4" w:space="0"/>
              <w:right w:val="single" w:color="auto" w:sz="4" w:space="0"/>
            </w:tcBorders>
            <w:noWrap w:val="0"/>
            <w:vAlign w:val="center"/>
          </w:tcPr>
          <w:p w14:paraId="2D4E742E">
            <w:pPr>
              <w:shd w:val="clear" w:color="auto" w:fill="FFFFFF"/>
              <w:jc w:val="center"/>
              <w:rPr>
                <w:rFonts w:hint="eastAsia" w:ascii="宋体" w:hAnsi="宋体" w:eastAsia="宋体" w:cs="宋体"/>
                <w:color w:val="auto"/>
                <w:szCs w:val="21"/>
              </w:rPr>
            </w:pPr>
            <w:r>
              <w:rPr>
                <w:rFonts w:hint="eastAsia" w:ascii="宋体" w:hAnsi="宋体" w:eastAsia="宋体" w:cs="宋体"/>
                <w:color w:val="auto"/>
                <w:szCs w:val="21"/>
              </w:rPr>
              <w:t>样品的评审方法以及评审标准</w:t>
            </w:r>
          </w:p>
        </w:tc>
        <w:tc>
          <w:tcPr>
            <w:tcW w:w="5810" w:type="dxa"/>
            <w:tcBorders>
              <w:top w:val="single" w:color="auto" w:sz="4" w:space="0"/>
              <w:left w:val="single" w:color="auto" w:sz="4" w:space="0"/>
              <w:bottom w:val="single" w:color="auto" w:sz="4" w:space="0"/>
              <w:right w:val="single" w:color="auto" w:sz="4" w:space="0"/>
            </w:tcBorders>
            <w:noWrap w:val="0"/>
            <w:vAlign w:val="center"/>
          </w:tcPr>
          <w:p w14:paraId="7F7C86A1">
            <w:pPr>
              <w:shd w:val="clear" w:color="auto" w:fill="FFFFFF"/>
              <w:jc w:val="both"/>
              <w:rPr>
                <w:rFonts w:hint="eastAsia" w:ascii="宋体" w:hAnsi="宋体" w:eastAsia="宋体" w:cs="宋体"/>
                <w:color w:val="auto"/>
                <w:kern w:val="0"/>
                <w:szCs w:val="21"/>
                <w:u w:val="single"/>
              </w:rPr>
            </w:pPr>
            <w:r>
              <w:rPr>
                <w:rFonts w:hint="eastAsia" w:ascii="宋体" w:hAnsi="宋体" w:eastAsia="宋体" w:cs="宋体"/>
                <w:color w:val="auto"/>
                <w:szCs w:val="21"/>
              </w:rPr>
              <w:t>样品的评审方法以及评审标准</w:t>
            </w:r>
            <w:r>
              <w:rPr>
                <w:rFonts w:hint="eastAsia" w:ascii="宋体" w:hAnsi="宋体" w:eastAsia="宋体" w:cs="宋体"/>
                <w:bCs/>
                <w:color w:val="auto"/>
                <w:kern w:val="0"/>
                <w:szCs w:val="21"/>
                <w:lang w:eastAsia="zh-CN"/>
              </w:rPr>
              <w:t>：</w:t>
            </w:r>
            <w:r>
              <w:rPr>
                <w:rFonts w:hint="eastAsia" w:ascii="宋体" w:hAnsi="宋体" w:eastAsia="宋体" w:cs="宋体"/>
                <w:bCs/>
                <w:color w:val="auto"/>
                <w:kern w:val="0"/>
                <w:szCs w:val="21"/>
                <w:lang w:val="en-US" w:eastAsia="zh-CN"/>
              </w:rPr>
              <w:t>详见《采购需求》或《评标标准》</w:t>
            </w:r>
          </w:p>
        </w:tc>
      </w:tr>
      <w:tr w14:paraId="4CC9C212">
        <w:tblPrEx>
          <w:tblCellMar>
            <w:top w:w="0" w:type="dxa"/>
            <w:left w:w="108" w:type="dxa"/>
            <w:bottom w:w="0" w:type="dxa"/>
            <w:right w:w="108" w:type="dxa"/>
          </w:tblCellMar>
        </w:tblPrEx>
        <w:trPr>
          <w:trHeight w:val="23" w:hRule="atLeast"/>
          <w:jc w:val="center"/>
        </w:trPr>
        <w:tc>
          <w:tcPr>
            <w:tcW w:w="951" w:type="dxa"/>
            <w:vMerge w:val="continue"/>
            <w:tcBorders>
              <w:top w:val="single" w:color="auto" w:sz="4" w:space="0"/>
              <w:left w:val="single" w:color="auto" w:sz="4" w:space="0"/>
              <w:bottom w:val="single" w:color="auto" w:sz="4" w:space="0"/>
              <w:right w:val="single" w:color="auto" w:sz="4" w:space="0"/>
            </w:tcBorders>
            <w:noWrap w:val="0"/>
            <w:vAlign w:val="center"/>
          </w:tcPr>
          <w:p w14:paraId="083BCC87">
            <w:pPr>
              <w:widowControl/>
              <w:jc w:val="center"/>
              <w:rPr>
                <w:rFonts w:hint="eastAsia" w:ascii="宋体" w:hAnsi="宋体" w:eastAsia="宋体" w:cs="宋体"/>
                <w:color w:val="auto"/>
                <w:kern w:val="0"/>
                <w:szCs w:val="21"/>
              </w:rPr>
            </w:pPr>
          </w:p>
        </w:tc>
        <w:tc>
          <w:tcPr>
            <w:tcW w:w="1895" w:type="dxa"/>
            <w:tcBorders>
              <w:top w:val="single" w:color="auto" w:sz="4" w:space="0"/>
              <w:left w:val="single" w:color="auto" w:sz="4" w:space="0"/>
              <w:bottom w:val="single" w:color="auto" w:sz="4" w:space="0"/>
              <w:right w:val="single" w:color="auto" w:sz="4" w:space="0"/>
            </w:tcBorders>
            <w:noWrap w:val="0"/>
            <w:vAlign w:val="center"/>
          </w:tcPr>
          <w:p w14:paraId="4C439BAE">
            <w:pPr>
              <w:shd w:val="clear" w:color="auto" w:fill="FFFFFF"/>
              <w:jc w:val="center"/>
              <w:rPr>
                <w:rFonts w:hint="eastAsia" w:ascii="宋体" w:hAnsi="宋体" w:eastAsia="宋体" w:cs="宋体"/>
                <w:color w:val="auto"/>
                <w:szCs w:val="21"/>
              </w:rPr>
            </w:pPr>
            <w:r>
              <w:rPr>
                <w:rFonts w:hint="eastAsia" w:ascii="宋体" w:hAnsi="宋体" w:eastAsia="宋体" w:cs="宋体"/>
                <w:color w:val="auto"/>
                <w:szCs w:val="21"/>
              </w:rPr>
              <w:t>演示的评审方法及评审标准</w:t>
            </w:r>
          </w:p>
        </w:tc>
        <w:tc>
          <w:tcPr>
            <w:tcW w:w="5810" w:type="dxa"/>
            <w:tcBorders>
              <w:top w:val="single" w:color="auto" w:sz="4" w:space="0"/>
              <w:left w:val="single" w:color="auto" w:sz="4" w:space="0"/>
              <w:bottom w:val="single" w:color="auto" w:sz="4" w:space="0"/>
              <w:right w:val="single" w:color="auto" w:sz="4" w:space="0"/>
            </w:tcBorders>
            <w:noWrap w:val="0"/>
            <w:vAlign w:val="center"/>
          </w:tcPr>
          <w:p w14:paraId="253203FD">
            <w:pPr>
              <w:rPr>
                <w:rFonts w:hint="eastAsia" w:ascii="宋体" w:hAnsi="宋体" w:eastAsia="宋体" w:cs="宋体"/>
                <w:color w:val="auto"/>
                <w:kern w:val="0"/>
                <w:szCs w:val="21"/>
              </w:rPr>
            </w:pPr>
            <w:r>
              <w:rPr>
                <w:rFonts w:hint="eastAsia" w:ascii="宋体" w:hAnsi="宋体" w:eastAsia="宋体" w:cs="宋体"/>
                <w:color w:val="auto"/>
                <w:kern w:val="0"/>
                <w:szCs w:val="21"/>
              </w:rPr>
              <w:t>演示</w:t>
            </w:r>
            <w:r>
              <w:rPr>
                <w:rFonts w:hint="eastAsia" w:ascii="宋体" w:hAnsi="宋体" w:eastAsia="宋体" w:cs="宋体"/>
                <w:color w:val="auto"/>
                <w:szCs w:val="21"/>
              </w:rPr>
              <w:t>的评审方法以及评审标准</w:t>
            </w:r>
            <w:r>
              <w:rPr>
                <w:rFonts w:hint="eastAsia" w:ascii="宋体" w:hAnsi="宋体" w:eastAsia="宋体" w:cs="宋体"/>
                <w:bCs/>
                <w:color w:val="auto"/>
                <w:kern w:val="0"/>
                <w:szCs w:val="21"/>
                <w:lang w:eastAsia="zh-CN"/>
              </w:rPr>
              <w:t>：</w:t>
            </w:r>
            <w:r>
              <w:rPr>
                <w:rFonts w:hint="eastAsia" w:ascii="宋体" w:hAnsi="宋体" w:eastAsia="宋体" w:cs="宋体"/>
                <w:bCs/>
                <w:color w:val="auto"/>
                <w:kern w:val="0"/>
                <w:szCs w:val="21"/>
                <w:lang w:val="en-US" w:eastAsia="zh-CN"/>
              </w:rPr>
              <w:t>详见《采购需求》或《评标标准》</w:t>
            </w:r>
          </w:p>
        </w:tc>
      </w:tr>
      <w:tr w14:paraId="44A3ED5C">
        <w:tblPrEx>
          <w:tblCellMar>
            <w:top w:w="0" w:type="dxa"/>
            <w:left w:w="108" w:type="dxa"/>
            <w:bottom w:w="0" w:type="dxa"/>
            <w:right w:w="108" w:type="dxa"/>
          </w:tblCellMar>
        </w:tblPrEx>
        <w:trPr>
          <w:trHeight w:val="23" w:hRule="atLeast"/>
          <w:jc w:val="center"/>
        </w:trPr>
        <w:tc>
          <w:tcPr>
            <w:tcW w:w="951" w:type="dxa"/>
            <w:tcBorders>
              <w:top w:val="single" w:color="auto" w:sz="4" w:space="0"/>
              <w:left w:val="single" w:color="auto" w:sz="4" w:space="0"/>
              <w:bottom w:val="single" w:color="auto" w:sz="4" w:space="0"/>
              <w:right w:val="single" w:color="auto" w:sz="4" w:space="0"/>
            </w:tcBorders>
            <w:noWrap w:val="0"/>
            <w:vAlign w:val="center"/>
          </w:tcPr>
          <w:p w14:paraId="5629A369">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27.2</w:t>
            </w:r>
          </w:p>
        </w:tc>
        <w:tc>
          <w:tcPr>
            <w:tcW w:w="1895" w:type="dxa"/>
            <w:tcBorders>
              <w:top w:val="single" w:color="auto" w:sz="4" w:space="0"/>
              <w:left w:val="single" w:color="auto" w:sz="4" w:space="0"/>
              <w:bottom w:val="single" w:color="auto" w:sz="4" w:space="0"/>
              <w:right w:val="single" w:color="auto" w:sz="4" w:space="0"/>
            </w:tcBorders>
            <w:noWrap w:val="0"/>
            <w:vAlign w:val="center"/>
          </w:tcPr>
          <w:p w14:paraId="41115AA7">
            <w:pPr>
              <w:widowControl/>
              <w:jc w:val="center"/>
              <w:rPr>
                <w:rFonts w:hint="eastAsia" w:ascii="宋体" w:hAnsi="宋体" w:eastAsia="宋体" w:cs="宋体"/>
                <w:color w:val="auto"/>
                <w:szCs w:val="21"/>
              </w:rPr>
            </w:pPr>
            <w:r>
              <w:rPr>
                <w:rFonts w:hint="eastAsia" w:ascii="宋体" w:hAnsi="宋体" w:eastAsia="宋体" w:cs="宋体"/>
                <w:color w:val="auto"/>
                <w:szCs w:val="21"/>
              </w:rPr>
              <w:t>评标办法</w:t>
            </w:r>
          </w:p>
        </w:tc>
        <w:tc>
          <w:tcPr>
            <w:tcW w:w="5810" w:type="dxa"/>
            <w:tcBorders>
              <w:top w:val="single" w:color="auto" w:sz="4" w:space="0"/>
              <w:left w:val="single" w:color="auto" w:sz="4" w:space="0"/>
              <w:bottom w:val="single" w:color="auto" w:sz="4" w:space="0"/>
              <w:right w:val="single" w:color="auto" w:sz="4" w:space="0"/>
            </w:tcBorders>
            <w:noWrap w:val="0"/>
            <w:vAlign w:val="center"/>
          </w:tcPr>
          <w:p w14:paraId="36477F4E">
            <w:pPr>
              <w:widowControl/>
              <w:rPr>
                <w:rFonts w:hint="eastAsia" w:ascii="宋体" w:hAnsi="宋体" w:eastAsia="宋体" w:cs="宋体"/>
                <w:color w:val="auto"/>
                <w:szCs w:val="21"/>
              </w:rPr>
            </w:pPr>
            <w:r>
              <w:rPr>
                <w:rFonts w:hint="eastAsia" w:ascii="宋体" w:hAnsi="宋体" w:eastAsia="宋体" w:cs="宋体"/>
                <w:color w:val="auto"/>
              </w:rPr>
              <w:t>■</w:t>
            </w:r>
            <w:r>
              <w:rPr>
                <w:rFonts w:hint="eastAsia" w:ascii="宋体" w:hAnsi="宋体" w:eastAsia="宋体" w:cs="宋体"/>
                <w:color w:val="auto"/>
                <w:szCs w:val="21"/>
              </w:rPr>
              <w:t xml:space="preserve">综合评分法              </w:t>
            </w:r>
          </w:p>
        </w:tc>
      </w:tr>
      <w:tr w14:paraId="4F2B97C9">
        <w:tblPrEx>
          <w:tblCellMar>
            <w:top w:w="0" w:type="dxa"/>
            <w:left w:w="108" w:type="dxa"/>
            <w:bottom w:w="0" w:type="dxa"/>
            <w:right w:w="108" w:type="dxa"/>
          </w:tblCellMar>
        </w:tblPrEx>
        <w:trPr>
          <w:trHeight w:val="23" w:hRule="atLeast"/>
          <w:jc w:val="center"/>
        </w:trPr>
        <w:tc>
          <w:tcPr>
            <w:tcW w:w="951" w:type="dxa"/>
            <w:tcBorders>
              <w:top w:val="single" w:color="auto" w:sz="4" w:space="0"/>
              <w:left w:val="single" w:color="auto" w:sz="4" w:space="0"/>
              <w:bottom w:val="single" w:color="auto" w:sz="4" w:space="0"/>
              <w:right w:val="single" w:color="auto" w:sz="4" w:space="0"/>
            </w:tcBorders>
            <w:noWrap w:val="0"/>
            <w:vAlign w:val="center"/>
          </w:tcPr>
          <w:p w14:paraId="338215BD">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29.2</w:t>
            </w:r>
          </w:p>
        </w:tc>
        <w:tc>
          <w:tcPr>
            <w:tcW w:w="1895" w:type="dxa"/>
            <w:tcBorders>
              <w:top w:val="single" w:color="auto" w:sz="4" w:space="0"/>
              <w:left w:val="single" w:color="auto" w:sz="4" w:space="0"/>
              <w:bottom w:val="single" w:color="auto" w:sz="4" w:space="0"/>
              <w:right w:val="single" w:color="auto" w:sz="4" w:space="0"/>
            </w:tcBorders>
            <w:noWrap w:val="0"/>
            <w:vAlign w:val="center"/>
          </w:tcPr>
          <w:p w14:paraId="413BA22D">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推荐中标候选人的数量</w:t>
            </w:r>
          </w:p>
        </w:tc>
        <w:tc>
          <w:tcPr>
            <w:tcW w:w="5810" w:type="dxa"/>
            <w:tcBorders>
              <w:top w:val="single" w:color="auto" w:sz="4" w:space="0"/>
              <w:left w:val="single" w:color="auto" w:sz="4" w:space="0"/>
              <w:bottom w:val="single" w:color="auto" w:sz="4" w:space="0"/>
              <w:right w:val="single" w:color="auto" w:sz="4" w:space="0"/>
            </w:tcBorders>
            <w:noWrap w:val="0"/>
            <w:vAlign w:val="center"/>
          </w:tcPr>
          <w:p w14:paraId="0A31997D">
            <w:pPr>
              <w:widowControl/>
              <w:rPr>
                <w:rFonts w:hint="eastAsia" w:ascii="宋体" w:hAnsi="宋体" w:eastAsia="宋体" w:cs="宋体"/>
                <w:color w:val="auto"/>
                <w:kern w:val="0"/>
                <w:szCs w:val="21"/>
              </w:rPr>
            </w:pPr>
            <w:r>
              <w:rPr>
                <w:rFonts w:hint="eastAsia" w:ascii="宋体" w:hAnsi="宋体" w:eastAsia="宋体" w:cs="宋体"/>
                <w:color w:val="auto"/>
                <w:kern w:val="0"/>
                <w:szCs w:val="21"/>
              </w:rPr>
              <w:t>中标候选人的数量</w:t>
            </w:r>
            <w:r>
              <w:rPr>
                <w:rFonts w:hint="eastAsia" w:ascii="宋体" w:hAnsi="宋体" w:eastAsia="宋体" w:cs="宋体"/>
                <w:color w:val="auto"/>
                <w:kern w:val="0"/>
                <w:szCs w:val="21"/>
                <w:lang w:eastAsia="zh-CN"/>
              </w:rPr>
              <w:t>：</w:t>
            </w:r>
            <w:r>
              <w:rPr>
                <w:rFonts w:hint="eastAsia" w:ascii="宋体" w:hAnsi="宋体" w:eastAsia="宋体" w:cs="宋体"/>
                <w:color w:val="auto"/>
                <w:kern w:val="0"/>
                <w:szCs w:val="21"/>
              </w:rPr>
              <w:t>3</w:t>
            </w:r>
          </w:p>
        </w:tc>
      </w:tr>
      <w:tr w14:paraId="6CA54956">
        <w:tblPrEx>
          <w:tblCellMar>
            <w:top w:w="0" w:type="dxa"/>
            <w:left w:w="108" w:type="dxa"/>
            <w:bottom w:w="0" w:type="dxa"/>
            <w:right w:w="108" w:type="dxa"/>
          </w:tblCellMar>
        </w:tblPrEx>
        <w:trPr>
          <w:trHeight w:val="23" w:hRule="atLeast"/>
          <w:jc w:val="center"/>
        </w:trPr>
        <w:tc>
          <w:tcPr>
            <w:tcW w:w="951" w:type="dxa"/>
            <w:tcBorders>
              <w:top w:val="single" w:color="auto" w:sz="4" w:space="0"/>
              <w:left w:val="single" w:color="auto" w:sz="4" w:space="0"/>
              <w:bottom w:val="single" w:color="auto" w:sz="4" w:space="0"/>
              <w:right w:val="single" w:color="auto" w:sz="4" w:space="0"/>
            </w:tcBorders>
            <w:noWrap w:val="0"/>
            <w:vAlign w:val="center"/>
          </w:tcPr>
          <w:p w14:paraId="440E07E6">
            <w:pPr>
              <w:widowControl/>
              <w:jc w:val="center"/>
              <w:rPr>
                <w:rFonts w:hint="default" w:ascii="宋体" w:hAnsi="宋体" w:eastAsia="宋体" w:cs="宋体"/>
                <w:color w:val="auto"/>
                <w:kern w:val="0"/>
                <w:szCs w:val="21"/>
                <w:lang w:val="en-US" w:eastAsia="zh-CN"/>
              </w:rPr>
            </w:pPr>
            <w:r>
              <w:rPr>
                <w:rFonts w:hint="eastAsia" w:ascii="宋体" w:hAnsi="宋体" w:eastAsia="宋体" w:cs="宋体"/>
                <w:color w:val="auto"/>
                <w:kern w:val="0"/>
                <w:szCs w:val="21"/>
              </w:rPr>
              <w:t>31</w:t>
            </w:r>
            <w:r>
              <w:rPr>
                <w:rFonts w:hint="eastAsia" w:ascii="宋体" w:hAnsi="宋体" w:eastAsia="宋体" w:cs="宋体"/>
                <w:color w:val="auto"/>
                <w:kern w:val="0"/>
                <w:szCs w:val="21"/>
                <w:lang w:val="en-US" w:eastAsia="zh-CN"/>
              </w:rPr>
              <w:t>.1</w:t>
            </w:r>
          </w:p>
        </w:tc>
        <w:tc>
          <w:tcPr>
            <w:tcW w:w="1895" w:type="dxa"/>
            <w:tcBorders>
              <w:top w:val="single" w:color="auto" w:sz="4" w:space="0"/>
              <w:left w:val="single" w:color="auto" w:sz="4" w:space="0"/>
              <w:bottom w:val="single" w:color="auto" w:sz="4" w:space="0"/>
              <w:right w:val="single" w:color="auto" w:sz="4" w:space="0"/>
            </w:tcBorders>
            <w:noWrap w:val="0"/>
            <w:vAlign w:val="center"/>
          </w:tcPr>
          <w:p w14:paraId="02E0F10D">
            <w:pPr>
              <w:widowControl/>
              <w:jc w:val="center"/>
              <w:rPr>
                <w:rFonts w:hint="eastAsia" w:ascii="宋体" w:hAnsi="宋体" w:eastAsia="宋体" w:cs="宋体"/>
                <w:color w:val="auto"/>
                <w:kern w:val="0"/>
                <w:szCs w:val="21"/>
                <w:lang w:eastAsia="zh-CN"/>
              </w:rPr>
            </w:pPr>
            <w:r>
              <w:rPr>
                <w:rFonts w:hint="eastAsia" w:ascii="宋体" w:hAnsi="宋体" w:eastAsia="宋体" w:cs="宋体"/>
                <w:color w:val="auto"/>
                <w:kern w:val="0"/>
                <w:szCs w:val="21"/>
              </w:rPr>
              <w:t>确定中标人的</w:t>
            </w:r>
            <w:r>
              <w:rPr>
                <w:rFonts w:hint="eastAsia" w:ascii="宋体" w:hAnsi="宋体" w:eastAsia="宋体" w:cs="宋体"/>
                <w:color w:val="auto"/>
                <w:kern w:val="0"/>
                <w:szCs w:val="21"/>
                <w:lang w:val="en-US" w:eastAsia="zh-CN"/>
              </w:rPr>
              <w:t>数量</w:t>
            </w:r>
          </w:p>
        </w:tc>
        <w:tc>
          <w:tcPr>
            <w:tcW w:w="5810" w:type="dxa"/>
            <w:tcBorders>
              <w:top w:val="single" w:color="auto" w:sz="4" w:space="0"/>
              <w:left w:val="single" w:color="auto" w:sz="4" w:space="0"/>
              <w:bottom w:val="single" w:color="auto" w:sz="4" w:space="0"/>
              <w:right w:val="single" w:color="auto" w:sz="4" w:space="0"/>
            </w:tcBorders>
            <w:noWrap w:val="0"/>
            <w:vAlign w:val="center"/>
          </w:tcPr>
          <w:p w14:paraId="07FB2402">
            <w:pPr>
              <w:widowControl/>
              <w:rPr>
                <w:rFonts w:hint="eastAsia" w:ascii="宋体" w:hAnsi="宋体" w:eastAsia="宋体" w:cs="宋体"/>
                <w:color w:val="auto"/>
                <w:kern w:val="0"/>
                <w:szCs w:val="21"/>
                <w:lang w:val="en-US" w:eastAsia="zh-CN"/>
              </w:rPr>
            </w:pPr>
            <w:r>
              <w:rPr>
                <w:rFonts w:hint="eastAsia" w:ascii="宋体" w:hAnsi="宋体" w:eastAsia="宋体" w:cs="宋体"/>
                <w:color w:val="auto"/>
                <w:kern w:val="0"/>
                <w:szCs w:val="21"/>
              </w:rPr>
              <w:t>中标人</w:t>
            </w:r>
            <w:r>
              <w:rPr>
                <w:rFonts w:hint="eastAsia" w:ascii="宋体" w:hAnsi="宋体" w:eastAsia="宋体" w:cs="宋体"/>
                <w:color w:val="auto"/>
                <w:kern w:val="0"/>
                <w:szCs w:val="21"/>
                <w:lang w:val="en-US" w:eastAsia="zh-CN"/>
              </w:rPr>
              <w:t>的数量：1</w:t>
            </w:r>
          </w:p>
        </w:tc>
      </w:tr>
      <w:tr w14:paraId="34DACBDB">
        <w:tblPrEx>
          <w:tblCellMar>
            <w:top w:w="0" w:type="dxa"/>
            <w:left w:w="108" w:type="dxa"/>
            <w:bottom w:w="0" w:type="dxa"/>
            <w:right w:w="108" w:type="dxa"/>
          </w:tblCellMar>
        </w:tblPrEx>
        <w:trPr>
          <w:trHeight w:val="23" w:hRule="atLeast"/>
          <w:jc w:val="center"/>
        </w:trPr>
        <w:tc>
          <w:tcPr>
            <w:tcW w:w="951" w:type="dxa"/>
            <w:tcBorders>
              <w:top w:val="single" w:color="auto" w:sz="4" w:space="0"/>
              <w:left w:val="single" w:color="auto" w:sz="4" w:space="0"/>
              <w:bottom w:val="single" w:color="auto" w:sz="4" w:space="0"/>
              <w:right w:val="single" w:color="auto" w:sz="4" w:space="0"/>
            </w:tcBorders>
            <w:noWrap w:val="0"/>
            <w:vAlign w:val="center"/>
          </w:tcPr>
          <w:p w14:paraId="13D56445">
            <w:pPr>
              <w:widowControl/>
              <w:jc w:val="center"/>
              <w:rPr>
                <w:rFonts w:hint="default"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31.2</w:t>
            </w:r>
          </w:p>
        </w:tc>
        <w:tc>
          <w:tcPr>
            <w:tcW w:w="1895" w:type="dxa"/>
            <w:tcBorders>
              <w:top w:val="single" w:color="auto" w:sz="4" w:space="0"/>
              <w:left w:val="single" w:color="auto" w:sz="4" w:space="0"/>
              <w:bottom w:val="single" w:color="auto" w:sz="4" w:space="0"/>
              <w:right w:val="single" w:color="auto" w:sz="4" w:space="0"/>
            </w:tcBorders>
            <w:noWrap w:val="0"/>
            <w:vAlign w:val="center"/>
          </w:tcPr>
          <w:p w14:paraId="671873D3">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确定中标人的方式</w:t>
            </w:r>
          </w:p>
        </w:tc>
        <w:tc>
          <w:tcPr>
            <w:tcW w:w="5810" w:type="dxa"/>
            <w:tcBorders>
              <w:top w:val="single" w:color="auto" w:sz="4" w:space="0"/>
              <w:left w:val="single" w:color="auto" w:sz="4" w:space="0"/>
              <w:bottom w:val="single" w:color="auto" w:sz="4" w:space="0"/>
              <w:right w:val="single" w:color="auto" w:sz="4" w:space="0"/>
            </w:tcBorders>
            <w:noWrap w:val="0"/>
            <w:vAlign w:val="center"/>
          </w:tcPr>
          <w:p w14:paraId="68E41030">
            <w:pPr>
              <w:widowControl/>
              <w:rPr>
                <w:rFonts w:hint="eastAsia" w:ascii="宋体" w:hAnsi="宋体" w:eastAsia="宋体" w:cs="宋体"/>
                <w:color w:val="auto"/>
                <w:kern w:val="0"/>
                <w:szCs w:val="21"/>
              </w:rPr>
            </w:pPr>
            <w:r>
              <w:rPr>
                <w:rFonts w:hint="eastAsia" w:ascii="宋体" w:hAnsi="宋体" w:eastAsia="宋体" w:cs="宋体"/>
                <w:color w:val="auto"/>
                <w:kern w:val="0"/>
                <w:szCs w:val="21"/>
                <w:u w:val="none"/>
                <w:lang w:val="en-US" w:eastAsia="zh-CN"/>
              </w:rPr>
              <w:t>确定方式按本</w:t>
            </w:r>
            <w:r>
              <w:rPr>
                <w:rFonts w:hint="eastAsia" w:ascii="宋体" w:hAnsi="宋体" w:eastAsia="宋体" w:cs="宋体"/>
                <w:color w:val="auto"/>
                <w:kern w:val="0"/>
                <w:szCs w:val="21"/>
                <w:lang w:val="en-US" w:eastAsia="zh-CN"/>
              </w:rPr>
              <w:t>项目《委托代理协议》约定。</w:t>
            </w:r>
          </w:p>
        </w:tc>
      </w:tr>
      <w:tr w14:paraId="7FB61F60">
        <w:tblPrEx>
          <w:tblCellMar>
            <w:top w:w="0" w:type="dxa"/>
            <w:left w:w="108" w:type="dxa"/>
            <w:bottom w:w="0" w:type="dxa"/>
            <w:right w:w="108" w:type="dxa"/>
          </w:tblCellMar>
        </w:tblPrEx>
        <w:trPr>
          <w:trHeight w:val="23" w:hRule="atLeast"/>
          <w:jc w:val="center"/>
        </w:trPr>
        <w:tc>
          <w:tcPr>
            <w:tcW w:w="951" w:type="dxa"/>
            <w:tcBorders>
              <w:top w:val="single" w:color="auto" w:sz="4" w:space="0"/>
              <w:left w:val="single" w:color="auto" w:sz="4" w:space="0"/>
              <w:bottom w:val="single" w:color="auto" w:sz="4" w:space="0"/>
              <w:right w:val="single" w:color="auto" w:sz="4" w:space="0"/>
            </w:tcBorders>
            <w:noWrap w:val="0"/>
            <w:vAlign w:val="center"/>
          </w:tcPr>
          <w:p w14:paraId="3DBDA6BD">
            <w:pPr>
              <w:widowControl/>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35.1</w:t>
            </w:r>
          </w:p>
        </w:tc>
        <w:tc>
          <w:tcPr>
            <w:tcW w:w="1895" w:type="dxa"/>
            <w:tcBorders>
              <w:top w:val="single" w:color="auto" w:sz="4" w:space="0"/>
              <w:left w:val="single" w:color="auto" w:sz="4" w:space="0"/>
              <w:bottom w:val="single" w:color="auto" w:sz="4" w:space="0"/>
              <w:right w:val="single" w:color="auto" w:sz="4" w:space="0"/>
            </w:tcBorders>
            <w:noWrap w:val="0"/>
            <w:vAlign w:val="center"/>
          </w:tcPr>
          <w:p w14:paraId="0ACDFF81">
            <w:pPr>
              <w:shd w:val="clear" w:color="auto" w:fill="FFFFFF"/>
              <w:jc w:val="center"/>
              <w:rPr>
                <w:rFonts w:hint="eastAsia" w:ascii="宋体" w:hAnsi="宋体" w:eastAsia="宋体" w:cs="宋体"/>
                <w:color w:val="auto"/>
                <w:kern w:val="0"/>
                <w:szCs w:val="21"/>
                <w:highlight w:val="none"/>
              </w:rPr>
            </w:pPr>
            <w:r>
              <w:rPr>
                <w:rFonts w:hint="eastAsia" w:ascii="宋体" w:hAnsi="宋体" w:eastAsia="宋体" w:cs="宋体"/>
                <w:color w:val="auto"/>
                <w:szCs w:val="21"/>
                <w:highlight w:val="none"/>
              </w:rPr>
              <w:t>履约保证金</w:t>
            </w:r>
          </w:p>
        </w:tc>
        <w:tc>
          <w:tcPr>
            <w:tcW w:w="5810" w:type="dxa"/>
            <w:tcBorders>
              <w:top w:val="single" w:color="auto" w:sz="4" w:space="0"/>
              <w:left w:val="single" w:color="auto" w:sz="4" w:space="0"/>
              <w:bottom w:val="single" w:color="auto" w:sz="4" w:space="0"/>
              <w:right w:val="single" w:color="auto" w:sz="4" w:space="0"/>
            </w:tcBorders>
            <w:noWrap w:val="0"/>
            <w:vAlign w:val="center"/>
          </w:tcPr>
          <w:p w14:paraId="5A4CD12D">
            <w:pP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口本项目不收取履约保证金</w:t>
            </w:r>
          </w:p>
          <w:p w14:paraId="46C49C01">
            <w:pP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■本项目收取履约保证金</w:t>
            </w:r>
          </w:p>
          <w:p w14:paraId="040DBDA8">
            <w:pPr>
              <w:rPr>
                <w:rFonts w:hint="eastAsia"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1、中标人须在领取中标通知书之日起 10个工作日内、签订合同前向招标人提交1,000,000.00元的履约保证。履约保证的形式包括履约保证金、履约保证担保、履约保证保险三种，由中标人自主选择。否则将视为中标人放弃中标的权利，招标人有权选择按规定选出的中标候选人为本项目的中标人或对本项目重新进行招标。</w:t>
            </w:r>
          </w:p>
          <w:p w14:paraId="275976FA">
            <w:pPr>
              <w:rPr>
                <w:color w:val="auto"/>
                <w:highlight w:val="none"/>
              </w:rPr>
            </w:pPr>
            <w:r>
              <w:rPr>
                <w:rFonts w:hint="eastAsia" w:ascii="宋体" w:hAnsi="宋体" w:eastAsia="宋体" w:cs="宋体"/>
                <w:color w:val="auto"/>
                <w:kern w:val="0"/>
                <w:szCs w:val="21"/>
                <w:highlight w:val="none"/>
                <w:lang w:val="en-US" w:eastAsia="zh-CN"/>
              </w:rPr>
              <w:t>2、履约保证金有效期比合同有效期延长1个月。履约保证金将在中标人履行完合同义务，有效期期满后，</w:t>
            </w:r>
            <w:r>
              <w:rPr>
                <w:rFonts w:hint="eastAsia" w:ascii="宋体" w:hAnsi="宋体" w:eastAsia="宋体" w:cs="宋体"/>
                <w:color w:val="auto"/>
                <w:sz w:val="21"/>
                <w:szCs w:val="21"/>
                <w:highlight w:val="none"/>
                <w:u w:val="none"/>
                <w:shd w:val="clear" w:color="auto" w:fill="auto"/>
                <w:lang w:val="en-US" w:eastAsia="zh-CN"/>
              </w:rPr>
              <w:t>7个工作日内按原路返还。</w:t>
            </w:r>
          </w:p>
        </w:tc>
      </w:tr>
      <w:tr w14:paraId="463F0038">
        <w:tblPrEx>
          <w:tblCellMar>
            <w:top w:w="0" w:type="dxa"/>
            <w:left w:w="108" w:type="dxa"/>
            <w:bottom w:w="0" w:type="dxa"/>
            <w:right w:w="108" w:type="dxa"/>
          </w:tblCellMar>
        </w:tblPrEx>
        <w:trPr>
          <w:trHeight w:val="23" w:hRule="atLeast"/>
          <w:jc w:val="center"/>
        </w:trPr>
        <w:tc>
          <w:tcPr>
            <w:tcW w:w="951" w:type="dxa"/>
            <w:tcBorders>
              <w:top w:val="nil"/>
              <w:left w:val="single" w:color="auto" w:sz="8" w:space="0"/>
              <w:bottom w:val="single" w:color="auto" w:sz="8" w:space="0"/>
              <w:right w:val="single" w:color="auto" w:sz="4" w:space="0"/>
            </w:tcBorders>
            <w:noWrap w:val="0"/>
            <w:vAlign w:val="center"/>
          </w:tcPr>
          <w:p w14:paraId="538488D1">
            <w:pPr>
              <w:widowControl/>
              <w:jc w:val="center"/>
              <w:rPr>
                <w:rFonts w:hint="default" w:ascii="宋体" w:hAnsi="宋体" w:eastAsia="宋体" w:cs="宋体"/>
                <w:color w:val="auto"/>
                <w:kern w:val="0"/>
                <w:szCs w:val="21"/>
                <w:lang w:val="en-US" w:eastAsia="zh-CN"/>
              </w:rPr>
            </w:pPr>
            <w:r>
              <w:rPr>
                <w:rFonts w:hint="eastAsia" w:ascii="宋体" w:hAnsi="宋体" w:eastAsia="宋体" w:cs="宋体"/>
                <w:color w:val="auto"/>
                <w:kern w:val="0"/>
                <w:szCs w:val="21"/>
              </w:rPr>
              <w:t>36</w:t>
            </w:r>
            <w:r>
              <w:rPr>
                <w:rFonts w:hint="eastAsia" w:ascii="宋体" w:hAnsi="宋体" w:eastAsia="宋体" w:cs="宋体"/>
                <w:color w:val="auto"/>
                <w:kern w:val="0"/>
                <w:szCs w:val="21"/>
                <w:lang w:val="en-US" w:eastAsia="zh-CN"/>
              </w:rPr>
              <w:t>.1</w:t>
            </w:r>
          </w:p>
        </w:tc>
        <w:tc>
          <w:tcPr>
            <w:tcW w:w="1895" w:type="dxa"/>
            <w:tcBorders>
              <w:top w:val="nil"/>
              <w:left w:val="single" w:color="auto" w:sz="4" w:space="0"/>
              <w:bottom w:val="single" w:color="auto" w:sz="8" w:space="0"/>
              <w:right w:val="single" w:color="auto" w:sz="8" w:space="0"/>
            </w:tcBorders>
            <w:noWrap w:val="0"/>
            <w:vAlign w:val="center"/>
          </w:tcPr>
          <w:p w14:paraId="3487E676">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招标代理服务费</w:t>
            </w:r>
            <w:r>
              <w:rPr>
                <w:rFonts w:hint="eastAsia" w:ascii="宋体" w:hAnsi="宋体" w:eastAsia="宋体" w:cs="宋体"/>
                <w:color w:val="auto"/>
                <w:szCs w:val="21"/>
                <w:lang w:val="en-US" w:eastAsia="zh-CN"/>
              </w:rPr>
              <w:t>支付方</w:t>
            </w:r>
          </w:p>
        </w:tc>
        <w:tc>
          <w:tcPr>
            <w:tcW w:w="5810" w:type="dxa"/>
            <w:tcBorders>
              <w:top w:val="nil"/>
              <w:left w:val="nil"/>
              <w:bottom w:val="single" w:color="auto" w:sz="8" w:space="0"/>
              <w:right w:val="single" w:color="auto" w:sz="8" w:space="0"/>
            </w:tcBorders>
            <w:noWrap w:val="0"/>
            <w:vAlign w:val="center"/>
          </w:tcPr>
          <w:p w14:paraId="6FDD2A4A">
            <w:pPr>
              <w:widowControl/>
              <w:numPr>
                <w:ilvl w:val="0"/>
                <w:numId w:val="0"/>
              </w:numPr>
              <w:snapToGrid w:val="0"/>
              <w:rPr>
                <w:rFonts w:hint="default"/>
                <w:color w:val="auto"/>
                <w:lang w:val="en-US"/>
              </w:rPr>
            </w:pPr>
            <w:r>
              <w:rPr>
                <w:rFonts w:hint="eastAsia" w:ascii="宋体" w:hAnsi="宋体" w:eastAsia="宋体" w:cs="宋体"/>
                <w:color w:val="auto"/>
              </w:rPr>
              <w:t>■</w:t>
            </w:r>
            <w:r>
              <w:rPr>
                <w:rFonts w:hint="eastAsia" w:ascii="宋体" w:hAnsi="宋体" w:eastAsia="宋体" w:cs="宋体"/>
                <w:color w:val="auto"/>
                <w:szCs w:val="21"/>
                <w:lang w:val="en-US" w:eastAsia="zh-CN"/>
              </w:rPr>
              <w:t xml:space="preserve"> 中标人</w:t>
            </w:r>
          </w:p>
        </w:tc>
      </w:tr>
      <w:tr w14:paraId="67928B00">
        <w:tblPrEx>
          <w:tblCellMar>
            <w:top w:w="0" w:type="dxa"/>
            <w:left w:w="108" w:type="dxa"/>
            <w:bottom w:w="0" w:type="dxa"/>
            <w:right w:w="108" w:type="dxa"/>
          </w:tblCellMar>
        </w:tblPrEx>
        <w:trPr>
          <w:trHeight w:val="23" w:hRule="atLeast"/>
          <w:jc w:val="center"/>
        </w:trPr>
        <w:tc>
          <w:tcPr>
            <w:tcW w:w="951" w:type="dxa"/>
            <w:tcBorders>
              <w:top w:val="nil"/>
              <w:left w:val="single" w:color="auto" w:sz="8" w:space="0"/>
              <w:bottom w:val="single" w:color="auto" w:sz="8" w:space="0"/>
              <w:right w:val="single" w:color="auto" w:sz="4" w:space="0"/>
            </w:tcBorders>
            <w:noWrap w:val="0"/>
            <w:vAlign w:val="center"/>
          </w:tcPr>
          <w:p w14:paraId="2E7F3418">
            <w:pPr>
              <w:widowControl/>
              <w:jc w:val="center"/>
              <w:rPr>
                <w:rFonts w:hint="default"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36.2</w:t>
            </w:r>
          </w:p>
        </w:tc>
        <w:tc>
          <w:tcPr>
            <w:tcW w:w="1895" w:type="dxa"/>
            <w:tcBorders>
              <w:top w:val="nil"/>
              <w:left w:val="single" w:color="auto" w:sz="4" w:space="0"/>
              <w:bottom w:val="single" w:color="auto" w:sz="8" w:space="0"/>
              <w:right w:val="single" w:color="auto" w:sz="8" w:space="0"/>
            </w:tcBorders>
            <w:noWrap w:val="0"/>
            <w:vAlign w:val="center"/>
          </w:tcPr>
          <w:p w14:paraId="5DE3DB3C">
            <w:pPr>
              <w:widowControl/>
              <w:jc w:val="center"/>
              <w:rPr>
                <w:rFonts w:hint="default"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招标代理服务费收费标准</w:t>
            </w:r>
          </w:p>
        </w:tc>
        <w:tc>
          <w:tcPr>
            <w:tcW w:w="5810" w:type="dxa"/>
            <w:tcBorders>
              <w:top w:val="nil"/>
              <w:left w:val="nil"/>
              <w:bottom w:val="single" w:color="auto" w:sz="8" w:space="0"/>
              <w:right w:val="single" w:color="auto" w:sz="8" w:space="0"/>
            </w:tcBorders>
            <w:noWrap w:val="0"/>
            <w:vAlign w:val="center"/>
          </w:tcPr>
          <w:p w14:paraId="3976EEAA">
            <w:pPr>
              <w:widowControl/>
              <w:snapToGrid w:val="0"/>
              <w:jc w:val="both"/>
              <w:rPr>
                <w:rFonts w:hint="default" w:ascii="宋体" w:hAnsi="宋体" w:eastAsia="宋体" w:cs="宋体"/>
                <w:color w:val="auto"/>
                <w:szCs w:val="21"/>
                <w:lang w:val="en-US" w:eastAsia="zh-CN"/>
              </w:rPr>
            </w:pPr>
            <w:r>
              <w:rPr>
                <w:rFonts w:hint="eastAsia" w:ascii="宋体" w:hAnsi="宋体" w:eastAsia="宋体" w:cs="宋体"/>
                <w:color w:val="auto"/>
                <w:szCs w:val="21"/>
                <w:lang w:val="en-US" w:eastAsia="zh-CN"/>
              </w:rPr>
              <w:t>本项目固定收取招标代理服务费为65090.00元。</w:t>
            </w:r>
          </w:p>
        </w:tc>
      </w:tr>
      <w:tr w14:paraId="62BE295A">
        <w:tblPrEx>
          <w:tblCellMar>
            <w:top w:w="0" w:type="dxa"/>
            <w:left w:w="108" w:type="dxa"/>
            <w:bottom w:w="0" w:type="dxa"/>
            <w:right w:w="108" w:type="dxa"/>
          </w:tblCellMar>
        </w:tblPrEx>
        <w:trPr>
          <w:trHeight w:val="23" w:hRule="atLeast"/>
          <w:jc w:val="center"/>
        </w:trPr>
        <w:tc>
          <w:tcPr>
            <w:tcW w:w="951" w:type="dxa"/>
            <w:tcBorders>
              <w:top w:val="nil"/>
              <w:left w:val="single" w:color="auto" w:sz="8" w:space="0"/>
              <w:bottom w:val="single" w:color="auto" w:sz="8" w:space="0"/>
              <w:right w:val="single" w:color="auto" w:sz="4" w:space="0"/>
            </w:tcBorders>
            <w:noWrap w:val="0"/>
            <w:vAlign w:val="center"/>
          </w:tcPr>
          <w:p w14:paraId="06ECDEC1">
            <w:pPr>
              <w:widowControl/>
              <w:jc w:val="center"/>
              <w:rPr>
                <w:rFonts w:hint="default" w:ascii="宋体" w:hAnsi="宋体" w:eastAsia="宋体" w:cs="宋体"/>
                <w:color w:val="auto"/>
                <w:kern w:val="0"/>
                <w:szCs w:val="21"/>
                <w:lang w:val="en-US" w:eastAsia="zh-CN"/>
              </w:rPr>
            </w:pPr>
            <w:r>
              <w:rPr>
                <w:rFonts w:hint="eastAsia" w:ascii="宋体" w:hAnsi="宋体" w:eastAsia="宋体" w:cs="宋体"/>
                <w:color w:val="auto"/>
                <w:kern w:val="0"/>
                <w:szCs w:val="21"/>
                <w:lang w:val="en-US" w:eastAsia="zh-CN"/>
              </w:rPr>
              <w:t>36.3</w:t>
            </w:r>
          </w:p>
        </w:tc>
        <w:tc>
          <w:tcPr>
            <w:tcW w:w="1895" w:type="dxa"/>
            <w:tcBorders>
              <w:top w:val="nil"/>
              <w:left w:val="single" w:color="auto" w:sz="4" w:space="0"/>
              <w:bottom w:val="single" w:color="auto" w:sz="8" w:space="0"/>
              <w:right w:val="single" w:color="auto" w:sz="8" w:space="0"/>
            </w:tcBorders>
            <w:noWrap w:val="0"/>
            <w:vAlign w:val="center"/>
          </w:tcPr>
          <w:p w14:paraId="2EAF0EBF">
            <w:pPr>
              <w:widowControl/>
              <w:jc w:val="center"/>
              <w:rPr>
                <w:rFonts w:hint="eastAsia" w:ascii="宋体" w:hAnsi="宋体" w:eastAsia="宋体" w:cs="宋体"/>
                <w:color w:val="auto"/>
                <w:kern w:val="0"/>
                <w:szCs w:val="21"/>
              </w:rPr>
            </w:pPr>
            <w:r>
              <w:rPr>
                <w:rFonts w:hint="eastAsia" w:ascii="宋体" w:hAnsi="宋体" w:eastAsia="宋体" w:cs="宋体"/>
                <w:color w:val="auto"/>
                <w:szCs w:val="21"/>
              </w:rPr>
              <w:t>招标代理服务费支付形式、支付时间</w:t>
            </w:r>
          </w:p>
        </w:tc>
        <w:tc>
          <w:tcPr>
            <w:tcW w:w="5810" w:type="dxa"/>
            <w:tcBorders>
              <w:top w:val="nil"/>
              <w:left w:val="nil"/>
              <w:bottom w:val="single" w:color="auto" w:sz="8" w:space="0"/>
              <w:right w:val="single" w:color="auto" w:sz="8" w:space="0"/>
            </w:tcBorders>
            <w:noWrap w:val="0"/>
            <w:vAlign w:val="center"/>
          </w:tcPr>
          <w:p w14:paraId="7EA454E1">
            <w:pPr>
              <w:widowControl/>
              <w:numPr>
                <w:ilvl w:val="0"/>
                <w:numId w:val="0"/>
              </w:numPr>
              <w:snapToGrid w:val="0"/>
              <w:rPr>
                <w:rFonts w:hint="eastAsia" w:ascii="宋体" w:hAnsi="宋体" w:eastAsia="宋体" w:cs="宋体"/>
                <w:color w:val="auto"/>
                <w:szCs w:val="21"/>
                <w:lang w:val="en-US" w:eastAsia="zh-CN"/>
              </w:rPr>
            </w:pPr>
            <w:r>
              <w:rPr>
                <w:rFonts w:hint="eastAsia" w:ascii="宋体" w:hAnsi="宋体" w:eastAsia="宋体" w:cs="宋体"/>
                <w:color w:val="auto"/>
                <w:szCs w:val="21"/>
              </w:rPr>
              <w:t>详见《</w:t>
            </w:r>
            <w:r>
              <w:rPr>
                <w:rFonts w:hint="eastAsia" w:ascii="宋体" w:hAnsi="宋体" w:eastAsia="宋体" w:cs="宋体"/>
                <w:color w:val="auto"/>
                <w:szCs w:val="21"/>
                <w:lang w:val="en-US" w:eastAsia="zh-CN"/>
              </w:rPr>
              <w:t>招标</w:t>
            </w:r>
            <w:r>
              <w:rPr>
                <w:rFonts w:hint="eastAsia" w:ascii="宋体" w:hAnsi="宋体" w:eastAsia="宋体" w:cs="宋体"/>
                <w:color w:val="auto"/>
                <w:szCs w:val="21"/>
              </w:rPr>
              <w:t>代理服务缴费通知书》。</w:t>
            </w:r>
          </w:p>
        </w:tc>
      </w:tr>
      <w:tr w14:paraId="211F4B91">
        <w:tblPrEx>
          <w:tblCellMar>
            <w:top w:w="0" w:type="dxa"/>
            <w:left w:w="108" w:type="dxa"/>
            <w:bottom w:w="0" w:type="dxa"/>
            <w:right w:w="108" w:type="dxa"/>
          </w:tblCellMar>
        </w:tblPrEx>
        <w:trPr>
          <w:trHeight w:val="23" w:hRule="atLeast"/>
          <w:jc w:val="center"/>
        </w:trPr>
        <w:tc>
          <w:tcPr>
            <w:tcW w:w="951" w:type="dxa"/>
            <w:tcBorders>
              <w:top w:val="single" w:color="auto" w:sz="4" w:space="0"/>
              <w:left w:val="single" w:color="auto" w:sz="8" w:space="0"/>
              <w:bottom w:val="single" w:color="auto" w:sz="4" w:space="0"/>
              <w:right w:val="single" w:color="auto" w:sz="4" w:space="0"/>
            </w:tcBorders>
            <w:noWrap w:val="0"/>
            <w:vAlign w:val="center"/>
          </w:tcPr>
          <w:p w14:paraId="1E74065E">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39.3</w:t>
            </w:r>
          </w:p>
        </w:tc>
        <w:tc>
          <w:tcPr>
            <w:tcW w:w="1895" w:type="dxa"/>
            <w:tcBorders>
              <w:top w:val="single" w:color="auto" w:sz="4" w:space="0"/>
              <w:left w:val="single" w:color="auto" w:sz="4" w:space="0"/>
              <w:bottom w:val="single" w:color="auto" w:sz="4" w:space="0"/>
              <w:right w:val="single" w:color="auto" w:sz="8" w:space="0"/>
            </w:tcBorders>
            <w:noWrap w:val="0"/>
            <w:vAlign w:val="center"/>
          </w:tcPr>
          <w:p w14:paraId="0AF5436A">
            <w:pPr>
              <w:widowControl/>
              <w:jc w:val="center"/>
              <w:rPr>
                <w:rFonts w:hint="eastAsia" w:ascii="宋体" w:hAnsi="宋体" w:eastAsia="宋体" w:cs="宋体"/>
                <w:color w:val="auto"/>
                <w:kern w:val="0"/>
                <w:szCs w:val="21"/>
              </w:rPr>
            </w:pPr>
            <w:r>
              <w:rPr>
                <w:rFonts w:hint="eastAsia" w:ascii="宋体" w:hAnsi="宋体" w:eastAsia="宋体" w:cs="宋体"/>
                <w:color w:val="auto"/>
                <w:kern w:val="0"/>
                <w:szCs w:val="21"/>
              </w:rPr>
              <w:t>质疑</w:t>
            </w:r>
          </w:p>
        </w:tc>
        <w:tc>
          <w:tcPr>
            <w:tcW w:w="5810" w:type="dxa"/>
            <w:tcBorders>
              <w:top w:val="single" w:color="auto" w:sz="4" w:space="0"/>
              <w:left w:val="nil"/>
              <w:bottom w:val="single" w:color="auto" w:sz="4" w:space="0"/>
              <w:right w:val="single" w:color="auto" w:sz="8" w:space="0"/>
            </w:tcBorders>
            <w:noWrap w:val="0"/>
            <w:vAlign w:val="center"/>
          </w:tcPr>
          <w:p w14:paraId="30A085AD">
            <w:pPr>
              <w:widowControl/>
              <w:snapToGrid w:val="0"/>
              <w:rPr>
                <w:rFonts w:hint="eastAsia" w:ascii="宋体" w:hAnsi="宋体" w:eastAsia="宋体" w:cs="宋体"/>
                <w:color w:val="auto"/>
                <w:szCs w:val="21"/>
              </w:rPr>
            </w:pPr>
            <w:r>
              <w:rPr>
                <w:rFonts w:hint="eastAsia" w:ascii="宋体" w:hAnsi="宋体" w:eastAsia="宋体" w:cs="宋体"/>
                <w:color w:val="auto"/>
                <w:szCs w:val="21"/>
              </w:rPr>
              <w:t>一、投标人认为自己的权益受到损害的，可以在知道或者应知其权益受到损害之日起七个工作日内，向采购代理机构提出质疑。</w:t>
            </w:r>
          </w:p>
          <w:p w14:paraId="6E8A1522">
            <w:pPr>
              <w:widowControl/>
              <w:snapToGrid w:val="0"/>
              <w:rPr>
                <w:rFonts w:hint="eastAsia" w:ascii="宋体" w:hAnsi="宋体" w:eastAsia="宋体" w:cs="宋体"/>
                <w:color w:val="auto"/>
                <w:szCs w:val="21"/>
              </w:rPr>
            </w:pPr>
            <w:r>
              <w:rPr>
                <w:rFonts w:hint="eastAsia" w:ascii="宋体" w:hAnsi="宋体" w:eastAsia="宋体" w:cs="宋体"/>
                <w:color w:val="auto"/>
                <w:szCs w:val="21"/>
              </w:rPr>
              <w:t>1.接收质疑函的方式：接收加盖单位公章的书面纸质疑函</w:t>
            </w:r>
          </w:p>
          <w:p w14:paraId="71656A29">
            <w:pPr>
              <w:widowControl/>
              <w:snapToGrid w:val="0"/>
              <w:ind w:firstLine="210" w:firstLineChars="100"/>
              <w:rPr>
                <w:rFonts w:hint="eastAsia" w:ascii="宋体" w:hAnsi="宋体" w:eastAsia="宋体" w:cs="宋体"/>
                <w:color w:val="auto"/>
                <w:szCs w:val="21"/>
              </w:rPr>
            </w:pPr>
            <w:r>
              <w:rPr>
                <w:rFonts w:hint="eastAsia" w:ascii="宋体" w:hAnsi="宋体" w:eastAsia="宋体" w:cs="宋体"/>
                <w:color w:val="auto"/>
                <w:szCs w:val="21"/>
              </w:rPr>
              <w:t>联系单位：</w:t>
            </w:r>
            <w:r>
              <w:rPr>
                <w:rFonts w:hint="eastAsia" w:ascii="宋体" w:hAnsi="宋体" w:eastAsia="宋体" w:cs="宋体"/>
                <w:color w:val="auto"/>
                <w:szCs w:val="21"/>
                <w:lang w:eastAsia="zh-CN"/>
              </w:rPr>
              <w:t>广东合正项目管理有限公司</w:t>
            </w:r>
            <w:r>
              <w:rPr>
                <w:rFonts w:hint="eastAsia" w:ascii="宋体" w:hAnsi="宋体" w:eastAsia="宋体" w:cs="宋体"/>
                <w:color w:val="auto"/>
                <w:szCs w:val="21"/>
              </w:rPr>
              <w:t xml:space="preserve"> </w:t>
            </w:r>
          </w:p>
          <w:p w14:paraId="750793F3">
            <w:pPr>
              <w:widowControl/>
              <w:snapToGrid w:val="0"/>
              <w:ind w:firstLine="210" w:firstLineChars="100"/>
              <w:rPr>
                <w:rFonts w:ascii="宋体" w:hAnsi="宋体" w:eastAsia="宋体" w:cs="宋体"/>
                <w:color w:val="auto"/>
                <w:szCs w:val="21"/>
              </w:rPr>
            </w:pPr>
            <w:r>
              <w:rPr>
                <w:rFonts w:hint="eastAsia" w:ascii="宋体" w:hAnsi="宋体" w:eastAsia="宋体" w:cs="宋体"/>
                <w:color w:val="auto"/>
                <w:szCs w:val="21"/>
              </w:rPr>
              <w:t>联系电话： 0751-8219991</w:t>
            </w:r>
          </w:p>
          <w:p w14:paraId="78BFD20B">
            <w:pPr>
              <w:widowControl/>
              <w:snapToGrid w:val="0"/>
              <w:ind w:firstLine="210" w:firstLineChars="100"/>
              <w:rPr>
                <w:rFonts w:hint="eastAsia" w:ascii="宋体" w:hAnsi="宋体" w:eastAsia="宋体" w:cs="宋体"/>
                <w:color w:val="auto"/>
                <w:szCs w:val="21"/>
                <w:lang w:eastAsia="zh-CN"/>
              </w:rPr>
            </w:pPr>
            <w:r>
              <w:rPr>
                <w:rFonts w:hint="eastAsia" w:ascii="宋体" w:hAnsi="宋体" w:eastAsia="宋体" w:cs="宋体"/>
                <w:color w:val="auto"/>
                <w:szCs w:val="21"/>
              </w:rPr>
              <w:t>通讯地址：</w:t>
            </w:r>
            <w:r>
              <w:rPr>
                <w:rFonts w:hint="eastAsia" w:ascii="宋体" w:hAnsi="宋体" w:eastAsia="宋体" w:cs="宋体"/>
                <w:color w:val="auto"/>
                <w:szCs w:val="21"/>
                <w:lang w:eastAsia="zh-CN"/>
              </w:rPr>
              <w:t>广东省韶关市武江区百旺大道42号莞韶双创中心研发办公楼5楼03号</w:t>
            </w:r>
          </w:p>
          <w:p w14:paraId="7364C9EA">
            <w:pPr>
              <w:widowControl/>
              <w:snapToGrid w:val="0"/>
              <w:rPr>
                <w:rFonts w:hint="eastAsia" w:ascii="宋体" w:hAnsi="宋体" w:eastAsia="宋体" w:cs="宋体"/>
                <w:color w:val="auto"/>
                <w:szCs w:val="21"/>
              </w:rPr>
            </w:pPr>
            <w:r>
              <w:rPr>
                <w:rFonts w:hint="eastAsia" w:ascii="宋体" w:hAnsi="宋体" w:eastAsia="宋体" w:cs="宋体"/>
                <w:color w:val="auto"/>
                <w:szCs w:val="21"/>
              </w:rPr>
              <w:t>2.质疑函的内容、格式：应符合《政府采购质疑和投诉办法》相关规定和财政部门制定的《政府采购质疑函范本》格式。</w:t>
            </w:r>
          </w:p>
          <w:p w14:paraId="5B2C5F01">
            <w:pPr>
              <w:pStyle w:val="8"/>
              <w:rPr>
                <w:rFonts w:hint="eastAsia" w:ascii="宋体" w:hAnsi="宋体" w:eastAsia="宋体" w:cs="宋体"/>
                <w:color w:val="auto"/>
                <w:kern w:val="0"/>
                <w:szCs w:val="21"/>
              </w:rPr>
            </w:pPr>
            <w:r>
              <w:rPr>
                <w:rFonts w:hint="eastAsia" w:ascii="宋体" w:hAnsi="宋体" w:eastAsia="宋体" w:cs="宋体"/>
                <w:color w:val="auto"/>
                <w:szCs w:val="21"/>
              </w:rPr>
              <w:t>二、投标人应在法定质疑期内一次性针对同一采购程序环节提出质疑，否则针对再次提出质疑将不予接收。（采购程序环节分为：</w:t>
            </w:r>
            <w:r>
              <w:rPr>
                <w:rFonts w:hint="eastAsia" w:ascii="宋体" w:hAnsi="宋体" w:eastAsia="宋体" w:cs="宋体"/>
                <w:color w:val="auto"/>
                <w:szCs w:val="21"/>
                <w:lang w:val="en-US" w:eastAsia="zh-CN"/>
              </w:rPr>
              <w:t>招标</w:t>
            </w:r>
            <w:r>
              <w:rPr>
                <w:rFonts w:hint="eastAsia" w:ascii="宋体" w:hAnsi="宋体" w:eastAsia="宋体" w:cs="宋体"/>
                <w:color w:val="auto"/>
                <w:szCs w:val="21"/>
              </w:rPr>
              <w:t>公告、招标文件、招标过程、中标结果）</w:t>
            </w:r>
          </w:p>
        </w:tc>
      </w:tr>
    </w:tbl>
    <w:p w14:paraId="2A7719B2">
      <w:pPr>
        <w:rPr>
          <w:rFonts w:hint="eastAsia" w:ascii="宋体" w:hAnsi="宋体" w:eastAsia="宋体" w:cs="宋体"/>
          <w:color w:val="auto"/>
        </w:rPr>
      </w:pPr>
      <w:r>
        <w:rPr>
          <w:rFonts w:hint="eastAsia" w:ascii="宋体" w:hAnsi="宋体" w:eastAsia="宋体" w:cs="宋体"/>
          <w:color w:val="auto"/>
        </w:rPr>
        <w:t>注：表格中“</w:t>
      </w:r>
      <w:r>
        <w:rPr>
          <w:rFonts w:hint="eastAsia" w:ascii="宋体" w:hAnsi="宋体" w:eastAsia="宋体" w:cs="宋体"/>
          <w:color w:val="auto"/>
        </w:rPr>
        <w:sym w:font="Wingdings" w:char="00FE"/>
      </w:r>
      <w:r>
        <w:rPr>
          <w:rFonts w:hint="eastAsia" w:ascii="宋体" w:hAnsi="宋体" w:eastAsia="宋体" w:cs="宋体"/>
          <w:color w:val="auto"/>
        </w:rPr>
        <w:t>”项或“■”项为被选中项。</w:t>
      </w:r>
    </w:p>
    <w:p w14:paraId="46585EEF">
      <w:pPr>
        <w:pStyle w:val="4"/>
        <w:adjustRightInd w:val="0"/>
        <w:snapToGrid w:val="0"/>
        <w:spacing w:before="0" w:after="0" w:line="240" w:lineRule="auto"/>
        <w:rPr>
          <w:rFonts w:hint="eastAsia" w:ascii="宋体" w:hAnsi="宋体" w:eastAsia="宋体" w:cs="宋体"/>
          <w:color w:val="auto"/>
        </w:rPr>
        <w:sectPr>
          <w:pgSz w:w="11906" w:h="16839"/>
          <w:pgMar w:top="1134" w:right="1175" w:bottom="1185" w:left="1330" w:header="969" w:footer="970" w:gutter="0"/>
          <w:pgNumType w:fmt="decimal" w:start="1"/>
          <w:cols w:space="720" w:num="1"/>
        </w:sectPr>
      </w:pPr>
    </w:p>
    <w:p w14:paraId="45D7617F">
      <w:pPr>
        <w:pStyle w:val="4"/>
        <w:adjustRightInd w:val="0"/>
        <w:snapToGrid w:val="0"/>
        <w:spacing w:before="0" w:after="0" w:line="240" w:lineRule="auto"/>
        <w:jc w:val="center"/>
        <w:rPr>
          <w:rFonts w:hint="eastAsia" w:ascii="宋体" w:hAnsi="宋体" w:eastAsia="宋体" w:cs="宋体"/>
          <w:color w:val="auto"/>
        </w:rPr>
      </w:pPr>
      <w:r>
        <w:rPr>
          <w:rFonts w:hint="eastAsia" w:ascii="宋体" w:hAnsi="宋体" w:eastAsia="宋体" w:cs="宋体"/>
          <w:color w:val="auto"/>
        </w:rPr>
        <w:t>二 总则</w:t>
      </w:r>
    </w:p>
    <w:p w14:paraId="539C0EB4">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1.采购人、采购代理机构及投标人</w:t>
      </w:r>
    </w:p>
    <w:p w14:paraId="74C83661">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1.1采购人：是指依法进行政府采购的国家机关、事业单位、团体组织。本项目采购人见投标人须知表1.1款。</w:t>
      </w:r>
    </w:p>
    <w:p w14:paraId="702A9950">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1.2采购代理机构：是指集中采购机构或从事采购代理业务的社会中介机构，本项目的采购代理机构见投标人须知表1.2款。</w:t>
      </w:r>
    </w:p>
    <w:p w14:paraId="11ED124C">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1.3 投标人：是指向采购人提供货物、工程或者服务的法人、非法人组织或者自然人。本项目的投标人及其投标货物须满足以下条件：</w:t>
      </w:r>
    </w:p>
    <w:p w14:paraId="55411998">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1.3.1 在中华人民共和国境内注册，能够独立承担民事责任，有生产或供应能力的本国供应商。</w:t>
      </w:r>
    </w:p>
    <w:p w14:paraId="33F0E83B">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1.3.2 具备《中华人民共和国政府采购法》第二十二条关于供应商条件的规定，遵守本项目采购人本级和上级财政部门政府采购的有关规定。</w:t>
      </w:r>
    </w:p>
    <w:p w14:paraId="733B849D">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1.3.3 以采购代理机构认可的方式获得了本项目的招标文件。</w:t>
      </w:r>
    </w:p>
    <w:p w14:paraId="68A23469">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1.3.4 符合投标人须知表1.3.4款中规定的资格条件。</w:t>
      </w:r>
    </w:p>
    <w:p w14:paraId="7504A549">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1.3.5 若投标人须知表1.3.5款中写明允许采购进口产品（凡在海关特殊监管区域内企业生产或加工（包括从境外进口料件）销往境内其他地区的产品，不作为政府采购项下进口产品。对从境外进入海关特殊监管区域，再经办理报关手续后从海关特殊监管区进入境内其他地区的产品，应当认定为进口产品），投标人应保证所投进口产品可履行合法报通关手续进入中国关境内，但不限制满足招标文件要求的国内产品参与投标。</w:t>
      </w:r>
    </w:p>
    <w:p w14:paraId="35F653C5">
      <w:pPr>
        <w:adjustRightInd w:val="0"/>
        <w:snapToGrid w:val="0"/>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若投标人须知表1.3.5款中未写明允许采购进口产品，如投标人所投产品为进口产品，其投标将被认定为投标无效。</w:t>
      </w:r>
    </w:p>
    <w:p w14:paraId="3B6CA790">
      <w:pPr>
        <w:adjustRightInd w:val="0"/>
        <w:snapToGrid w:val="0"/>
        <w:rPr>
          <w:rFonts w:hint="eastAsia" w:ascii="宋体" w:hAnsi="宋体" w:eastAsia="宋体" w:cs="宋体"/>
          <w:b/>
          <w:bCs/>
          <w:color w:val="auto"/>
          <w:szCs w:val="21"/>
          <w:lang w:val="en-US" w:eastAsia="zh-CN"/>
        </w:rPr>
      </w:pPr>
      <w:r>
        <w:rPr>
          <w:rFonts w:hint="eastAsia" w:ascii="宋体" w:hAnsi="宋体" w:eastAsia="宋体" w:cs="宋体"/>
          <w:b/>
          <w:bCs/>
          <w:color w:val="auto"/>
          <w:szCs w:val="21"/>
        </w:rPr>
        <w:t>1.3.6 若投标人须知表1.3.6款中写明专门面向中小企业采购的</w:t>
      </w:r>
      <w:r>
        <w:rPr>
          <w:rFonts w:hint="eastAsia" w:ascii="宋体" w:hAnsi="宋体" w:eastAsia="宋体" w:cs="宋体"/>
          <w:b/>
          <w:bCs/>
          <w:color w:val="auto"/>
          <w:szCs w:val="21"/>
          <w:lang w:val="en-US" w:eastAsia="zh-CN"/>
        </w:rPr>
        <w:t xml:space="preserve">，投标人所提供货物、工程、服务非为中小企业制造、承建、承接的，其投标将被认定为投标无效： </w:t>
      </w:r>
    </w:p>
    <w:p w14:paraId="3FA700B5">
      <w:pPr>
        <w:adjustRightInd w:val="0"/>
        <w:snapToGrid w:val="0"/>
        <w:rPr>
          <w:rFonts w:hint="eastAsia" w:ascii="宋体" w:hAnsi="宋体" w:eastAsia="宋体" w:cs="宋体"/>
          <w:b w:val="0"/>
          <w:bCs w:val="0"/>
          <w:color w:val="auto"/>
          <w:szCs w:val="21"/>
          <w:lang w:val="en-US" w:eastAsia="zh-CN"/>
        </w:rPr>
      </w:pPr>
      <w:r>
        <w:rPr>
          <w:rFonts w:hint="eastAsia" w:ascii="宋体" w:hAnsi="宋体" w:eastAsia="宋体" w:cs="宋体"/>
          <w:b w:val="0"/>
          <w:bCs w:val="0"/>
          <w:color w:val="auto"/>
          <w:szCs w:val="21"/>
          <w:lang w:val="en-US" w:eastAsia="zh-CN"/>
        </w:rPr>
        <w:t>1.3.6.1投标人须知表1.3.6.1写明采购标的的类别：</w:t>
      </w:r>
    </w:p>
    <w:p w14:paraId="4B6CD9A6">
      <w:pPr>
        <w:adjustRightInd w:val="0"/>
        <w:snapToGrid w:val="0"/>
        <w:ind w:firstLine="42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（1）在货物采购项目中，货物应当由中小企业制造，不对其中涉及的服务的承接商作出要求；</w:t>
      </w:r>
    </w:p>
    <w:p w14:paraId="0F2CB81F">
      <w:pPr>
        <w:adjustRightInd w:val="0"/>
        <w:snapToGrid w:val="0"/>
        <w:ind w:firstLine="42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（2）在服务采购项目中，服务的承接商应当为中小企业，不对其中涉及的货物的制造商作出要求。</w:t>
      </w:r>
    </w:p>
    <w:p w14:paraId="7DED4F91">
      <w:pPr>
        <w:adjustRightInd w:val="0"/>
        <w:snapToGrid w:val="0"/>
        <w:rPr>
          <w:rFonts w:hint="eastAsia" w:ascii="宋体" w:hAnsi="宋体" w:eastAsia="宋体" w:cs="宋体"/>
          <w:color w:val="auto"/>
          <w:szCs w:val="21"/>
          <w:lang w:val="en-US" w:eastAsia="zh-CN"/>
        </w:rPr>
      </w:pPr>
      <w:r>
        <w:rPr>
          <w:rFonts w:hint="eastAsia" w:ascii="宋体" w:hAnsi="宋体" w:eastAsia="宋体" w:cs="宋体"/>
          <w:b w:val="0"/>
          <w:bCs w:val="0"/>
          <w:color w:val="auto"/>
          <w:szCs w:val="21"/>
          <w:lang w:val="en-US" w:eastAsia="zh-CN"/>
        </w:rPr>
        <w:t>1.3.6.2投标人须知表1.3.6款中明确采</w:t>
      </w:r>
      <w:r>
        <w:rPr>
          <w:rFonts w:hint="eastAsia" w:ascii="宋体" w:hAnsi="宋体" w:eastAsia="宋体" w:cs="宋体"/>
          <w:color w:val="auto"/>
          <w:szCs w:val="21"/>
          <w:lang w:val="en-US" w:eastAsia="zh-CN"/>
        </w:rPr>
        <w:t>购标的对应的中小企业划分标准所属行业。投标人根据招标文件中明确的行业所对应的划分标准，判断是否属于中小企业。</w:t>
      </w:r>
    </w:p>
    <w:p w14:paraId="2F539942">
      <w:pPr>
        <w:adjustRightInd w:val="0"/>
        <w:snapToGrid w:val="0"/>
        <w:ind w:firstLine="420" w:firstLineChars="20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现行中小企业划分标准行业包括农、林、牧、渔业，工业，建筑业，批发业，零售业，交通运输业，仓储业，邮政业，住宿业，餐饮业，信息传输业，软件和信息技术服务业，房地产开发经营，物业管理，租赁和商业服务业和其他未列明行业等十六类。</w:t>
      </w:r>
    </w:p>
    <w:p w14:paraId="6780AF6D">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1.3.7若投标人须知表1.3.7款中写明采购的产品为财政部、发展改革委、生态环境部等部门发布的品目清单中属于实施政府强制采购品目清单范围的节能产品，如投标人所投产品不具备依据国家确定的认证机构出具的、处于有效期之内的节能产品认证证书，其投标将被认定为投标无效。</w:t>
      </w:r>
    </w:p>
    <w:p w14:paraId="5A267D54">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1.4 如投标人须知表1.4款中允许联合体投标，对联合体规定如下：</w:t>
      </w:r>
    </w:p>
    <w:p w14:paraId="027247A8">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1.4.1 两个以上供应商可以组成一个投标联合体，以一个投标人的身份投标。</w:t>
      </w:r>
    </w:p>
    <w:p w14:paraId="5017BCD0">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1.4.2 联合体各方均应符合《中华人民共和国政府采购法》第二十二条规定的条件。</w:t>
      </w:r>
    </w:p>
    <w:p w14:paraId="4330B432">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1.4.3 采购人根据采购项目对投标人的特殊要求，联合体中至少应当有一方符合相关规定。</w:t>
      </w:r>
    </w:p>
    <w:p w14:paraId="0CFAF385">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1.4.4 联合体各方应签订共同投标协议，明确约定联合体各方承担的工作和相应的责任。</w:t>
      </w:r>
    </w:p>
    <w:p w14:paraId="61CB977B">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1.4.5 大中型企业、其他自然人、法人或者非法人组织与小型、微型企业组成联合体共同参加投标，共同投标协议中应写明小型、微型企业的协议合同金额占到共同投标协议投标总金额的比例。</w:t>
      </w:r>
    </w:p>
    <w:p w14:paraId="512B2B24">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1.4.6 联合体中有同类资质的供应商按照联合体分工承担相同工作的，按照较低的资质等级确定联合体的资质等级。</w:t>
      </w:r>
    </w:p>
    <w:p w14:paraId="332F17FD">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1.4.7 以联合体形式参加政府采购活动的，联合体各方不得再单独参加或者与其他供应商另外组成联合体参加本项目投标，否则相关投标将被认定为投标无效。</w:t>
      </w:r>
    </w:p>
    <w:p w14:paraId="15AD8E39">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（1）两个以上的自然人、法人或者其他组织可以组成一个联合体，以一个投标人的身份共同参加政府采购活动。</w:t>
      </w:r>
    </w:p>
    <w:p w14:paraId="1CDF1C70">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（2）联合体中标的，联合体各方应共同与采购人签订采购合同，就采购合同约定的事项对采购人承担连带责任。</w:t>
      </w:r>
    </w:p>
    <w:p w14:paraId="3A7F9DC8">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1.4.8 对联合体投标的其他资格要求见投标人须知表1.4.8款。</w:t>
      </w:r>
    </w:p>
    <w:p w14:paraId="6AAF51D8">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1.5 单位负责人为同一人或者存在直接控股、管理关系的不同供应商，其相关投标将被认定为投标无效。</w:t>
      </w:r>
    </w:p>
    <w:p w14:paraId="605B238B">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1.6 为本项目提供过整体设计、规范编制或者项目管理、监理、检测等服务的供应商，不得再参加本项目上述服务以外的其他采购活动。否则其投标将被认定为投标无效。</w:t>
      </w:r>
    </w:p>
    <w:p w14:paraId="3D45BB14">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1.7 投标人在投标过程中不得向采购人提供、给予任何有价值的物品，影响其正常决策行为。一经发现，其将被认定为投标无效。</w:t>
      </w:r>
    </w:p>
    <w:p w14:paraId="57E5E706">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2.资金来源</w:t>
      </w:r>
    </w:p>
    <w:p w14:paraId="49ABEB12">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2.1  本项目的采购人已获得足以支付本次招标后所签订的合同项下的资金（包括财政性资金和本项目采购中无法与财政性资金分割的非财政性资金）。</w:t>
      </w:r>
    </w:p>
    <w:p w14:paraId="5B11B6CC">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2.2项目预算金额和分项或分包最高限价见投标人须知表2.2款。</w:t>
      </w:r>
    </w:p>
    <w:p w14:paraId="29FF1895">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2.3投标人报价超过招标文件规定的预算金额或者分项、分包最高限价的，其投标将被认定为投标无效。</w:t>
      </w:r>
    </w:p>
    <w:p w14:paraId="00FB76CE">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3.语言文字</w:t>
      </w:r>
    </w:p>
    <w:p w14:paraId="6FE01465">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除专用术语外，与投标有关的语言均使用中文。必要时专用术语应附有中文注释。对不同文字文本投标文件的解释发生异议的，以中文文本为准。</w:t>
      </w:r>
    </w:p>
    <w:p w14:paraId="7828CCE0">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4.计量单位</w:t>
      </w:r>
    </w:p>
    <w:p w14:paraId="08C2CE7C">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除投标人须知表4款中有特殊要求外，投标文件中所使用的计量单位，应采用中华人民共和国法定计量单位。</w:t>
      </w:r>
    </w:p>
    <w:p w14:paraId="1A6198F7">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5.投标费用</w:t>
      </w:r>
    </w:p>
    <w:p w14:paraId="30E47641">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不论投标的结果如何，投标人应承担所有与准备和参加投标有关的费用。</w:t>
      </w:r>
    </w:p>
    <w:p w14:paraId="67CC5171">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6.现场考察、开标前答疑会</w:t>
      </w:r>
    </w:p>
    <w:p w14:paraId="6F9A4985">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6.1</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\l "_踏勘现场" </w:instrText>
      </w:r>
      <w:r>
        <w:rPr>
          <w:rFonts w:hint="eastAsia" w:ascii="宋体" w:hAnsi="宋体" w:eastAsia="宋体" w:cs="宋体"/>
          <w:color w:val="auto"/>
        </w:rPr>
        <w:fldChar w:fldCharType="separate"/>
      </w:r>
      <w:r>
        <w:rPr>
          <w:rFonts w:hint="eastAsia" w:ascii="宋体" w:hAnsi="宋体" w:eastAsia="宋体" w:cs="宋体"/>
          <w:color w:val="auto"/>
          <w:szCs w:val="21"/>
        </w:rPr>
        <w:t>投标人须知表</w:t>
      </w:r>
      <w:r>
        <w:rPr>
          <w:rFonts w:hint="eastAsia" w:ascii="宋体" w:hAnsi="宋体" w:eastAsia="宋体" w:cs="宋体"/>
          <w:color w:val="auto"/>
          <w:szCs w:val="21"/>
        </w:rPr>
        <w:fldChar w:fldCharType="end"/>
      </w:r>
      <w:r>
        <w:rPr>
          <w:rFonts w:hint="eastAsia" w:ascii="宋体" w:hAnsi="宋体" w:eastAsia="宋体" w:cs="宋体"/>
          <w:color w:val="auto"/>
          <w:szCs w:val="21"/>
        </w:rPr>
        <w:t>6.1款规定组织现场考察或开标前答疑会的，采购人按规定的时间、地点组织投标人现场考察或开标前答疑会，或者在领取招标文件期限截止后以书面形式通知所有获取招标文件的潜在投标人。</w:t>
      </w:r>
    </w:p>
    <w:p w14:paraId="386FEF61">
      <w:pPr>
        <w:adjustRightInd w:val="0"/>
        <w:snapToGrid w:val="0"/>
        <w:rPr>
          <w:rFonts w:hint="eastAsia" w:ascii="宋体" w:hAnsi="宋体" w:eastAsia="宋体" w:cs="宋体"/>
          <w:b/>
          <w:bCs/>
          <w:color w:val="auto"/>
          <w:szCs w:val="21"/>
        </w:rPr>
      </w:pPr>
      <w:r>
        <w:rPr>
          <w:rFonts w:hint="eastAsia" w:ascii="宋体" w:hAnsi="宋体" w:eastAsia="宋体" w:cs="宋体"/>
          <w:color w:val="auto"/>
          <w:szCs w:val="21"/>
        </w:rPr>
        <w:t>6.2</w:t>
      </w:r>
      <w:r>
        <w:rPr>
          <w:rFonts w:hint="eastAsia" w:ascii="宋体" w:hAnsi="宋体" w:eastAsia="宋体" w:cs="宋体"/>
          <w:color w:val="auto"/>
          <w:kern w:val="0"/>
          <w:szCs w:val="21"/>
        </w:rPr>
        <w:t>由于未参加现场踏勘或标前答疑而导致对项目实际情况不了解，影响技术文件编制、</w:t>
      </w:r>
      <w:r>
        <w:rPr>
          <w:rFonts w:hint="eastAsia" w:ascii="宋体" w:hAnsi="宋体" w:eastAsia="宋体" w:cs="宋体"/>
          <w:color w:val="auto"/>
        </w:rPr>
        <w:fldChar w:fldCharType="begin"/>
      </w:r>
      <w:r>
        <w:rPr>
          <w:rFonts w:hint="eastAsia" w:ascii="宋体" w:hAnsi="宋体" w:eastAsia="宋体" w:cs="宋体"/>
          <w:color w:val="auto"/>
        </w:rPr>
        <w:instrText xml:space="preserve"> HYPERLINK "https://www.baidu.com/s?wd=%E6%8A%95%E6%A0%87%E6%8A%A5%E4%BB%B7&amp;tn=44039180_cpr&amp;fenlei=mv6quAkxTZn0IZRqIHckPjm4nH00T1dWuyfdP1u9uyPBrjKhmvDv0ZwV5Hcvrjm3rH6sPfKWUMw85HfYnjn4nH6sgvPsT6KdThsqpZwYTjCEQLGCpyw9Uz4Bmy-bIi4WUvYETgN-TLwGUv3EPj63P1RkPH6Y" \t "_blank" </w:instrText>
      </w:r>
      <w:r>
        <w:rPr>
          <w:rFonts w:hint="eastAsia" w:ascii="宋体" w:hAnsi="宋体" w:eastAsia="宋体" w:cs="宋体"/>
          <w:color w:val="auto"/>
        </w:rPr>
        <w:fldChar w:fldCharType="separate"/>
      </w:r>
      <w:r>
        <w:rPr>
          <w:rFonts w:hint="eastAsia" w:ascii="宋体" w:hAnsi="宋体" w:eastAsia="宋体" w:cs="宋体"/>
          <w:color w:val="auto"/>
          <w:kern w:val="0"/>
          <w:szCs w:val="21"/>
        </w:rPr>
        <w:t>投标报价</w:t>
      </w:r>
      <w:r>
        <w:rPr>
          <w:rFonts w:hint="eastAsia" w:ascii="宋体" w:hAnsi="宋体" w:eastAsia="宋体" w:cs="宋体"/>
          <w:color w:val="auto"/>
          <w:kern w:val="0"/>
          <w:szCs w:val="21"/>
        </w:rPr>
        <w:fldChar w:fldCharType="end"/>
      </w:r>
      <w:r>
        <w:rPr>
          <w:rFonts w:hint="eastAsia" w:ascii="宋体" w:hAnsi="宋体" w:eastAsia="宋体" w:cs="宋体"/>
          <w:color w:val="auto"/>
          <w:kern w:val="0"/>
          <w:szCs w:val="21"/>
        </w:rPr>
        <w:t>准确性、综合因素响应不全面等问题的，由投标人自行承担相应后果。</w:t>
      </w:r>
    </w:p>
    <w:p w14:paraId="3F2A9E9B">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6.3现场考察及参加标前答疑会所发生的费用及一切责任由投标人自行承担。</w:t>
      </w:r>
    </w:p>
    <w:p w14:paraId="7EA2592E">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7.适用法律</w:t>
      </w:r>
    </w:p>
    <w:p w14:paraId="67979C29">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本项目的采购人、采购代理机构、投标人、评标委员会的相关行为均受《中华人民共和国政府采购法》、《中华人民共和国政府采购法实施条例》及本项目本级和上级财政部门政府采购有关规定的约束，其权利受到上述法律法规的保护。</w:t>
      </w:r>
    </w:p>
    <w:p w14:paraId="1DB13A4F">
      <w:pPr>
        <w:pStyle w:val="4"/>
        <w:spacing w:line="240" w:lineRule="auto"/>
        <w:rPr>
          <w:rFonts w:hint="eastAsia" w:ascii="宋体" w:hAnsi="宋体" w:eastAsia="宋体" w:cs="宋体"/>
          <w:color w:val="auto"/>
        </w:rPr>
      </w:pPr>
      <w:r>
        <w:rPr>
          <w:rFonts w:hint="eastAsia" w:ascii="宋体" w:hAnsi="宋体" w:eastAsia="宋体" w:cs="宋体"/>
          <w:color w:val="auto"/>
        </w:rPr>
        <w:t>三 招标文件</w:t>
      </w:r>
    </w:p>
    <w:p w14:paraId="2D73A6B4">
      <w:pPr>
        <w:numPr>
          <w:ilvl w:val="0"/>
          <w:numId w:val="4"/>
        </w:num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招标文件构成</w:t>
      </w:r>
    </w:p>
    <w:p w14:paraId="0C08A89A">
      <w:pPr>
        <w:numPr>
          <w:ilvl w:val="1"/>
          <w:numId w:val="4"/>
        </w:numPr>
        <w:adjustRightInd w:val="0"/>
        <w:snapToGrid w:val="0"/>
        <w:rPr>
          <w:rFonts w:hint="eastAsia" w:ascii="宋体" w:hAnsi="宋体" w:eastAsia="宋体" w:cs="宋体"/>
          <w:color w:val="auto"/>
        </w:rPr>
      </w:pPr>
      <w:r>
        <w:rPr>
          <w:rFonts w:hint="eastAsia" w:ascii="宋体" w:hAnsi="宋体" w:eastAsia="宋体" w:cs="宋体"/>
          <w:color w:val="auto"/>
          <w:szCs w:val="21"/>
        </w:rPr>
        <w:t>招标</w:t>
      </w:r>
      <w:r>
        <w:rPr>
          <w:rFonts w:hint="eastAsia" w:ascii="宋体" w:hAnsi="宋体" w:eastAsia="宋体" w:cs="宋体"/>
          <w:color w:val="auto"/>
        </w:rPr>
        <w:t>文件内容如下:</w:t>
      </w:r>
    </w:p>
    <w:p w14:paraId="12C30120">
      <w:pPr>
        <w:adjustRightInd w:val="0"/>
        <w:snapToGrid w:val="0"/>
        <w:ind w:firstLine="420" w:firstLineChars="200"/>
        <w:rPr>
          <w:rFonts w:hint="eastAsia" w:ascii="宋体" w:hAnsi="宋体" w:eastAsia="宋体" w:cs="宋体"/>
          <w:color w:val="auto"/>
        </w:rPr>
      </w:pPr>
      <w:r>
        <w:rPr>
          <w:rFonts w:hint="eastAsia" w:ascii="宋体" w:hAnsi="宋体" w:eastAsia="宋体" w:cs="宋体"/>
          <w:color w:val="auto"/>
        </w:rPr>
        <w:t>招标公告</w:t>
      </w:r>
    </w:p>
    <w:p w14:paraId="4A8E2EA0">
      <w:pPr>
        <w:numPr>
          <w:ilvl w:val="0"/>
          <w:numId w:val="5"/>
        </w:numPr>
        <w:adjustRightInd w:val="0"/>
        <w:snapToGrid w:val="0"/>
        <w:ind w:firstLine="420" w:firstLineChars="200"/>
        <w:rPr>
          <w:rFonts w:hint="eastAsia" w:ascii="宋体" w:hAnsi="宋体" w:eastAsia="宋体" w:cs="宋体"/>
          <w:color w:val="auto"/>
        </w:rPr>
      </w:pPr>
      <w:r>
        <w:rPr>
          <w:rFonts w:hint="eastAsia" w:ascii="宋体" w:hAnsi="宋体" w:eastAsia="宋体" w:cs="宋体"/>
          <w:color w:val="auto"/>
        </w:rPr>
        <w:t>投标人须知</w:t>
      </w:r>
    </w:p>
    <w:p w14:paraId="54287952">
      <w:pPr>
        <w:adjustRightInd w:val="0"/>
        <w:snapToGrid w:val="0"/>
        <w:ind w:firstLine="420" w:firstLineChars="200"/>
        <w:rPr>
          <w:rFonts w:hint="eastAsia" w:ascii="宋体" w:hAnsi="宋体" w:eastAsia="宋体" w:cs="宋体"/>
          <w:color w:val="auto"/>
        </w:rPr>
      </w:pPr>
      <w:r>
        <w:rPr>
          <w:rFonts w:hint="eastAsia" w:ascii="宋体" w:hAnsi="宋体" w:eastAsia="宋体" w:cs="宋体"/>
          <w:color w:val="auto"/>
        </w:rPr>
        <w:t>第二章 投标文件内容及格式</w:t>
      </w:r>
    </w:p>
    <w:p w14:paraId="4315069C">
      <w:pPr>
        <w:adjustRightInd w:val="0"/>
        <w:snapToGrid w:val="0"/>
        <w:ind w:firstLine="420" w:firstLineChars="200"/>
        <w:rPr>
          <w:rFonts w:hint="eastAsia" w:ascii="宋体" w:hAnsi="宋体" w:eastAsia="宋体" w:cs="宋体"/>
          <w:color w:val="auto"/>
          <w:lang w:eastAsia="zh-CN"/>
        </w:rPr>
      </w:pPr>
      <w:r>
        <w:rPr>
          <w:rFonts w:hint="eastAsia" w:ascii="宋体" w:hAnsi="宋体" w:eastAsia="宋体" w:cs="宋体"/>
          <w:color w:val="auto"/>
        </w:rPr>
        <w:t xml:space="preserve">第三章 </w:t>
      </w:r>
      <w:r>
        <w:rPr>
          <w:rFonts w:hint="eastAsia" w:ascii="宋体" w:hAnsi="宋体" w:eastAsia="宋体" w:cs="宋体"/>
          <w:color w:val="auto"/>
          <w:lang w:eastAsia="zh-CN"/>
        </w:rPr>
        <w:t>采购需求</w:t>
      </w:r>
    </w:p>
    <w:p w14:paraId="636D6DBF">
      <w:pPr>
        <w:adjustRightInd w:val="0"/>
        <w:snapToGrid w:val="0"/>
        <w:ind w:firstLine="420" w:firstLineChars="200"/>
        <w:rPr>
          <w:rFonts w:hint="eastAsia" w:ascii="宋体" w:hAnsi="宋体" w:eastAsia="宋体" w:cs="宋体"/>
          <w:color w:val="auto"/>
        </w:rPr>
      </w:pPr>
      <w:r>
        <w:rPr>
          <w:rFonts w:hint="eastAsia" w:ascii="宋体" w:hAnsi="宋体" w:eastAsia="宋体" w:cs="宋体"/>
          <w:color w:val="auto"/>
        </w:rPr>
        <w:t>第四章 评标方法</w:t>
      </w:r>
    </w:p>
    <w:p w14:paraId="04B84CA3">
      <w:pPr>
        <w:adjustRightInd w:val="0"/>
        <w:snapToGrid w:val="0"/>
        <w:ind w:firstLine="420" w:firstLineChars="200"/>
        <w:rPr>
          <w:rFonts w:hint="eastAsia" w:ascii="宋体" w:hAnsi="宋体" w:eastAsia="宋体" w:cs="宋体"/>
          <w:color w:val="auto"/>
        </w:rPr>
      </w:pPr>
      <w:r>
        <w:rPr>
          <w:rFonts w:hint="eastAsia" w:ascii="宋体" w:hAnsi="宋体" w:eastAsia="宋体" w:cs="宋体"/>
          <w:color w:val="auto"/>
        </w:rPr>
        <w:t>第五章 政府采购合同条款及格式</w:t>
      </w:r>
    </w:p>
    <w:p w14:paraId="1B8BCA16">
      <w:pPr>
        <w:adjustRightInd w:val="0"/>
        <w:snapToGrid w:val="0"/>
        <w:rPr>
          <w:rFonts w:ascii="宋体" w:hAnsi="宋体" w:eastAsia="宋体" w:cs="宋体"/>
          <w:color w:val="auto"/>
          <w:szCs w:val="21"/>
        </w:rPr>
      </w:pPr>
      <w:r>
        <w:rPr>
          <w:rFonts w:hint="eastAsia" w:ascii="宋体" w:hAnsi="宋体" w:eastAsia="宋体" w:cs="宋体"/>
          <w:color w:val="auto"/>
          <w:szCs w:val="21"/>
        </w:rPr>
        <w:t>8.2 投标人应认真阅读招标文件所有的事项、格式、条款等。如投标人没有按照招标文件要求提交资料，或者投标文件没有对招标文件做出实质性响应，可能导致其投标被认定为投标无效。</w:t>
      </w:r>
    </w:p>
    <w:p w14:paraId="245A6D3C">
      <w:pPr>
        <w:adjustRightInd w:val="0"/>
        <w:snapToGrid w:val="0"/>
        <w:rPr>
          <w:rFonts w:hint="eastAsia" w:ascii="宋体" w:hAnsi="宋体" w:eastAsia="宋体" w:cs="宋体"/>
          <w:color w:val="auto"/>
          <w:szCs w:val="21"/>
          <w:lang w:eastAsia="zh-CN"/>
        </w:rPr>
      </w:pPr>
      <w:bookmarkStart w:id="31" w:name="_Hlk30060307"/>
      <w:r>
        <w:rPr>
          <w:rFonts w:ascii="宋体" w:hAnsi="宋体" w:eastAsia="宋体" w:cs="宋体"/>
          <w:color w:val="auto"/>
          <w:szCs w:val="21"/>
        </w:rPr>
        <w:t xml:space="preserve">8.3 </w:t>
      </w:r>
      <w:r>
        <w:rPr>
          <w:rFonts w:hint="eastAsia" w:ascii="宋体" w:hAnsi="宋体" w:eastAsia="宋体" w:cs="宋体"/>
          <w:color w:val="auto"/>
          <w:szCs w:val="21"/>
        </w:rPr>
        <w:t>本项目招标公告发布媒体见投标人须知表8.3款。</w:t>
      </w:r>
      <w:bookmarkEnd w:id="31"/>
    </w:p>
    <w:p w14:paraId="04E931FE">
      <w:pPr>
        <w:adjustRightInd w:val="0"/>
        <w:snapToGrid w:val="0"/>
        <w:rPr>
          <w:rFonts w:hint="eastAsia" w:ascii="宋体" w:hAnsi="宋体" w:eastAsia="宋体" w:cs="宋体"/>
          <w:b/>
          <w:bCs/>
          <w:color w:val="auto"/>
          <w:szCs w:val="21"/>
          <w:lang w:eastAsia="zh-CN"/>
        </w:rPr>
      </w:pPr>
      <w:r>
        <w:rPr>
          <w:rFonts w:hint="eastAsia" w:ascii="宋体" w:hAnsi="宋体" w:eastAsia="宋体" w:cs="宋体"/>
          <w:b/>
          <w:bCs/>
          <w:color w:val="auto"/>
          <w:szCs w:val="21"/>
        </w:rPr>
        <w:t>9.招标文件的澄清与修改</w:t>
      </w:r>
    </w:p>
    <w:p w14:paraId="1B46E1F5">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9.1 采购人或者采购代理机构可以对已发出的招标文件进行澄清或者修改。澄清或者修改的内容可能影响投标文件编制的，应当在投标截止时间至少15日前，在原公告发布媒体上发布变更公告，并以书面形式通知所有获取招标文件的潜在投标人；不足15日的，采购人或者采购代理机构应当顺延提交投标文件的截止时间。</w:t>
      </w:r>
    </w:p>
    <w:p w14:paraId="0BFA7D1E">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9.2澄清或者修改的内容为招标文件的组成部分，对所有招标文件的收受人具有约束力。投标人在收到上述通知后，应及时向采购代理机构回函确认。</w:t>
      </w:r>
    </w:p>
    <w:p w14:paraId="412A6795">
      <w:pPr>
        <w:pStyle w:val="4"/>
        <w:spacing w:line="240" w:lineRule="auto"/>
        <w:rPr>
          <w:rFonts w:hint="eastAsia" w:ascii="宋体" w:hAnsi="宋体" w:eastAsia="宋体" w:cs="宋体"/>
          <w:color w:val="auto"/>
        </w:rPr>
      </w:pPr>
      <w:r>
        <w:rPr>
          <w:rFonts w:hint="eastAsia" w:ascii="宋体" w:hAnsi="宋体" w:eastAsia="宋体" w:cs="宋体"/>
          <w:color w:val="auto"/>
        </w:rPr>
        <w:t>四  投标文件的编制</w:t>
      </w:r>
    </w:p>
    <w:p w14:paraId="13A386F2">
      <w:pPr>
        <w:adjustRightInd w:val="0"/>
        <w:snapToGrid w:val="0"/>
        <w:rPr>
          <w:rFonts w:hint="eastAsia" w:ascii="宋体" w:hAnsi="宋体" w:eastAsia="宋体" w:cs="宋体"/>
          <w:b/>
          <w:bCs/>
          <w:color w:val="auto"/>
          <w:szCs w:val="21"/>
          <w:lang w:eastAsia="zh-CN"/>
        </w:rPr>
      </w:pPr>
      <w:r>
        <w:rPr>
          <w:rFonts w:hint="eastAsia" w:ascii="宋体" w:hAnsi="宋体" w:eastAsia="宋体" w:cs="宋体"/>
          <w:b/>
          <w:bCs/>
          <w:color w:val="auto"/>
          <w:szCs w:val="21"/>
        </w:rPr>
        <w:t>10. 投标范围</w:t>
      </w:r>
    </w:p>
    <w:p w14:paraId="40A7CF97">
      <w:pPr>
        <w:adjustRightInd w:val="0"/>
        <w:snapToGrid w:val="0"/>
        <w:rPr>
          <w:rFonts w:hint="eastAsia" w:ascii="宋体" w:hAnsi="宋体" w:eastAsia="宋体" w:cs="宋体"/>
          <w:color w:val="auto"/>
          <w:szCs w:val="21"/>
          <w:lang w:eastAsia="zh-CN"/>
        </w:rPr>
      </w:pPr>
      <w:r>
        <w:rPr>
          <w:rFonts w:hint="eastAsia" w:ascii="宋体" w:hAnsi="宋体" w:eastAsia="宋体" w:cs="宋体"/>
          <w:color w:val="auto"/>
          <w:szCs w:val="21"/>
        </w:rPr>
        <w:t>10.1 项目有分包的，投标人可对招标文件其中某一个分包或几个分包进行投标。</w:t>
      </w:r>
    </w:p>
    <w:p w14:paraId="7948CFEE">
      <w:pPr>
        <w:adjustRightInd w:val="0"/>
        <w:snapToGrid w:val="0"/>
        <w:rPr>
          <w:rFonts w:hint="eastAsia" w:ascii="宋体" w:hAnsi="宋体" w:eastAsia="宋体" w:cs="宋体"/>
          <w:color w:val="auto"/>
          <w:szCs w:val="21"/>
        </w:rPr>
      </w:pPr>
      <w:r>
        <w:rPr>
          <w:rFonts w:hint="eastAsia" w:ascii="宋体" w:hAnsi="宋体" w:eastAsia="宋体" w:cs="宋体"/>
          <w:b/>
          <w:bCs/>
          <w:color w:val="auto"/>
          <w:szCs w:val="21"/>
        </w:rPr>
        <w:t>10.2 投标人应当对所投分包在招标文件中“</w:t>
      </w:r>
      <w:r>
        <w:rPr>
          <w:rFonts w:hint="eastAsia" w:ascii="宋体" w:hAnsi="宋体" w:eastAsia="宋体" w:cs="宋体"/>
          <w:b/>
          <w:bCs/>
          <w:color w:val="auto"/>
          <w:szCs w:val="21"/>
          <w:lang w:eastAsia="zh-CN"/>
        </w:rPr>
        <w:t>采购需求</w:t>
      </w:r>
      <w:r>
        <w:rPr>
          <w:rFonts w:hint="eastAsia" w:ascii="宋体" w:hAnsi="宋体" w:eastAsia="宋体" w:cs="宋体"/>
          <w:b/>
          <w:bCs/>
          <w:color w:val="auto"/>
          <w:szCs w:val="21"/>
        </w:rPr>
        <w:t>”所列的所有货物内容进行投标，如仅响应分包中某一部分内容，其该包投标将被认定为投标无效。</w:t>
      </w:r>
    </w:p>
    <w:p w14:paraId="4C6D3999">
      <w:pPr>
        <w:pStyle w:val="8"/>
        <w:adjustRightInd w:val="0"/>
        <w:snapToGrid w:val="0"/>
        <w:rPr>
          <w:rFonts w:hint="eastAsia" w:ascii="宋体" w:hAnsi="宋体" w:eastAsia="宋体" w:cs="宋体"/>
          <w:color w:val="auto"/>
          <w:szCs w:val="21"/>
        </w:rPr>
      </w:pPr>
      <w:r>
        <w:rPr>
          <w:rFonts w:hint="eastAsia" w:ascii="宋体" w:hAnsi="宋体" w:eastAsia="宋体" w:cs="宋体"/>
          <w:color w:val="auto"/>
          <w:szCs w:val="21"/>
        </w:rPr>
        <w:t>10.3 如一个分包内包含多种产品的，采购人或采购代理机构将在投标人须知表10.3款中载明核心产品，多家投标人提供的核心产品品牌相同的，按照第四章“评标办法”第3款“同一品牌产品”规定处理。</w:t>
      </w:r>
    </w:p>
    <w:p w14:paraId="4DBDEA1C">
      <w:pPr>
        <w:adjustRightInd w:val="0"/>
        <w:snapToGrid w:val="0"/>
        <w:rPr>
          <w:rFonts w:hint="eastAsia" w:ascii="宋体" w:hAnsi="宋体" w:eastAsia="宋体" w:cs="宋体"/>
          <w:color w:val="auto"/>
          <w:szCs w:val="21"/>
          <w:lang w:eastAsia="zh-CN"/>
        </w:rPr>
      </w:pPr>
      <w:r>
        <w:rPr>
          <w:rFonts w:hint="eastAsia" w:ascii="宋体" w:hAnsi="宋体" w:eastAsia="宋体" w:cs="宋体"/>
          <w:color w:val="auto"/>
          <w:szCs w:val="21"/>
        </w:rPr>
        <w:t>10.4 无论招标文件第三章</w:t>
      </w:r>
      <w:r>
        <w:rPr>
          <w:rFonts w:hint="eastAsia" w:ascii="宋体" w:hAnsi="宋体" w:eastAsia="宋体" w:cs="宋体"/>
          <w:color w:val="auto"/>
          <w:szCs w:val="21"/>
          <w:lang w:eastAsia="zh-CN"/>
        </w:rPr>
        <w:t>采购需求</w:t>
      </w:r>
      <w:r>
        <w:rPr>
          <w:rFonts w:hint="eastAsia" w:ascii="宋体" w:hAnsi="宋体" w:eastAsia="宋体" w:cs="宋体"/>
          <w:color w:val="auto"/>
          <w:szCs w:val="21"/>
        </w:rPr>
        <w:t>中是否要求，投标人所投货物均应符合国家强制性标准。</w:t>
      </w:r>
    </w:p>
    <w:p w14:paraId="068DACAA">
      <w:pPr>
        <w:adjustRightInd w:val="0"/>
        <w:snapToGrid w:val="0"/>
        <w:rPr>
          <w:rFonts w:hint="eastAsia" w:ascii="宋体" w:hAnsi="宋体" w:eastAsia="宋体" w:cs="宋体"/>
          <w:b/>
          <w:bCs/>
          <w:color w:val="auto"/>
          <w:szCs w:val="21"/>
          <w:lang w:eastAsia="zh-CN"/>
        </w:rPr>
      </w:pPr>
      <w:r>
        <w:rPr>
          <w:rFonts w:hint="eastAsia" w:ascii="宋体" w:hAnsi="宋体" w:eastAsia="宋体" w:cs="宋体"/>
          <w:b/>
          <w:bCs/>
          <w:color w:val="auto"/>
          <w:szCs w:val="21"/>
        </w:rPr>
        <w:t>11.投标文件构成</w:t>
      </w:r>
    </w:p>
    <w:p w14:paraId="08EF0218">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11.1 投标人应完整地按招标文件提供的投标文件格式及要求编写投标文件。投标文件应包括资格证明文件、符合性证明文件、其它材料</w:t>
      </w:r>
      <w:r>
        <w:rPr>
          <w:rFonts w:hint="eastAsia" w:ascii="宋体" w:hAnsi="宋体" w:eastAsia="宋体" w:cs="宋体"/>
          <w:color w:val="auto"/>
          <w:szCs w:val="21"/>
          <w:lang w:val="en-US" w:eastAsia="zh-CN"/>
        </w:rPr>
        <w:t>及落实政府采购政策证明材料四</w:t>
      </w:r>
      <w:r>
        <w:rPr>
          <w:rFonts w:hint="eastAsia" w:ascii="宋体" w:hAnsi="宋体" w:eastAsia="宋体" w:cs="宋体"/>
          <w:color w:val="auto"/>
          <w:szCs w:val="21"/>
        </w:rPr>
        <w:t>部分。具体见第二章 投标文件内容及格式。</w:t>
      </w:r>
    </w:p>
    <w:p w14:paraId="3FC42048">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11.2 投标人应按招标文件提供的格式编写投标文件。招标文件提供标准格式的按标准格式填列，未提供标准格式的可自行拟定。</w:t>
      </w:r>
    </w:p>
    <w:p w14:paraId="3BEF75C4">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11.3 样品或演示要求详见投标人须知表11.3款。</w:t>
      </w:r>
    </w:p>
    <w:p w14:paraId="39534F6F">
      <w:pPr>
        <w:adjustRightInd w:val="0"/>
        <w:snapToGrid w:val="0"/>
        <w:rPr>
          <w:rFonts w:hint="eastAsia" w:ascii="宋体" w:hAnsi="宋体" w:eastAsia="宋体" w:cs="宋体"/>
          <w:b/>
          <w:bCs/>
          <w:color w:val="auto"/>
          <w:szCs w:val="21"/>
          <w:lang w:eastAsia="zh-CN"/>
        </w:rPr>
      </w:pPr>
      <w:r>
        <w:rPr>
          <w:rFonts w:hint="eastAsia" w:ascii="宋体" w:hAnsi="宋体" w:eastAsia="宋体" w:cs="宋体"/>
          <w:b/>
          <w:bCs/>
          <w:color w:val="auto"/>
          <w:szCs w:val="21"/>
        </w:rPr>
        <w:t>12.投标报价</w:t>
      </w:r>
    </w:p>
    <w:p w14:paraId="130E3635">
      <w:pPr>
        <w:adjustRightInd w:val="0"/>
        <w:snapToGrid w:val="0"/>
        <w:rPr>
          <w:rFonts w:hint="eastAsia" w:ascii="宋体" w:hAnsi="宋体" w:eastAsia="宋体" w:cs="宋体"/>
          <w:color w:val="auto"/>
          <w:szCs w:val="21"/>
        </w:rPr>
      </w:pPr>
      <w:r>
        <w:rPr>
          <w:rFonts w:hint="eastAsia" w:ascii="宋体" w:hAnsi="宋体" w:eastAsia="宋体" w:cs="宋体"/>
          <w:b/>
          <w:bCs/>
          <w:color w:val="auto"/>
          <w:szCs w:val="21"/>
        </w:rPr>
        <w:t>12.1 所有投标均按投标人须知表12.1款中要求货币进行报价。投标人的投标报价应遵守《中华人民共和国价格法》。同时，根据《中华人民共和国政府采购法》第三条的规定，为保证公平竞争，如有货物主体部分的赠与行为，其投标将被认定为投标无效。</w:t>
      </w:r>
    </w:p>
    <w:p w14:paraId="7FD94B87">
      <w:pPr>
        <w:adjustRightInd w:val="0"/>
        <w:snapToGrid w:val="0"/>
        <w:rPr>
          <w:rFonts w:hint="eastAsia" w:ascii="宋体" w:hAnsi="宋体" w:eastAsia="宋体" w:cs="宋体"/>
          <w:color w:val="auto"/>
          <w:szCs w:val="21"/>
          <w:lang w:eastAsia="zh-CN"/>
        </w:rPr>
      </w:pPr>
      <w:r>
        <w:rPr>
          <w:rFonts w:hint="eastAsia" w:ascii="宋体" w:hAnsi="宋体" w:eastAsia="宋体" w:cs="宋体"/>
          <w:color w:val="auto"/>
          <w:szCs w:val="21"/>
        </w:rPr>
        <w:t>12.2投标价格应为投标货物（包括备品备件、专用工具等）的出厂价格（包括已在中国国内的进口货物完税后的交货价）、购买货物和伴随服务需缴纳的所有税费、运输费、保险费、装卸费、安装及调试费、检验费、技术服务费和培训费等完成所需的一切费用。</w:t>
      </w:r>
    </w:p>
    <w:p w14:paraId="5AEBE25A">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12.3 投标人应按招标文件要求在相关表格中标明投标货物及伴随服务的单价和总价，并由法定代表人（非法人组织的负责人）或其委托代理人签署。</w:t>
      </w:r>
    </w:p>
    <w:p w14:paraId="353929D5">
      <w:pPr>
        <w:adjustRightInd w:val="0"/>
        <w:snapToGrid w:val="0"/>
        <w:rPr>
          <w:rFonts w:hint="eastAsia" w:ascii="宋体" w:hAnsi="宋体" w:eastAsia="宋体" w:cs="宋体"/>
          <w:b/>
          <w:bCs/>
          <w:color w:val="auto"/>
          <w:szCs w:val="21"/>
          <w:lang w:eastAsia="zh-CN"/>
        </w:rPr>
      </w:pPr>
      <w:r>
        <w:rPr>
          <w:rFonts w:hint="eastAsia" w:ascii="宋体" w:hAnsi="宋体" w:eastAsia="宋体" w:cs="宋体"/>
          <w:b/>
          <w:bCs/>
          <w:color w:val="auto"/>
          <w:szCs w:val="21"/>
        </w:rPr>
        <w:t>12.4  投标人所报的各分项投标单价在合同履行过程中是固定不变的，不得以任何理由予以变更。任何包含价格调整要求的投标，其投标将被认定为投标无效。</w:t>
      </w:r>
    </w:p>
    <w:p w14:paraId="28CB28F5">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12.5  每种货物只能有一个投标报价。采购人不接受具有附加条件的报价。</w:t>
      </w:r>
    </w:p>
    <w:p w14:paraId="3DFDF11A">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12.6除非招标文件另有规定，报价原则上精确到小数点后两位。</w:t>
      </w:r>
    </w:p>
    <w:p w14:paraId="1285A066">
      <w:pPr>
        <w:adjustRightInd w:val="0"/>
        <w:snapToGrid w:val="0"/>
        <w:rPr>
          <w:rFonts w:hint="eastAsia" w:ascii="宋体" w:hAnsi="宋体" w:eastAsia="宋体" w:cs="宋体"/>
          <w:b/>
          <w:bCs/>
          <w:color w:val="auto"/>
          <w:szCs w:val="21"/>
          <w:lang w:eastAsia="zh-CN"/>
        </w:rPr>
      </w:pPr>
      <w:r>
        <w:rPr>
          <w:rFonts w:hint="eastAsia" w:ascii="宋体" w:hAnsi="宋体" w:eastAsia="宋体" w:cs="宋体"/>
          <w:b/>
          <w:bCs/>
          <w:color w:val="auto"/>
          <w:szCs w:val="21"/>
        </w:rPr>
        <w:t>13.投标保证金</w:t>
      </w:r>
    </w:p>
    <w:p w14:paraId="76A4F721">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13.1  投标人应提交投标人须知表13.1款中规定的投标保证金，并作为其投标的一部分。</w:t>
      </w:r>
    </w:p>
    <w:p w14:paraId="61E7A3DE">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rPr>
        <w:t>13.2投标保证金缴纳人、招标文件领取人、投标登记人和投标人必须为同一组织机构或联合体内不同成员单位，否则将视同未按招标文件规定交纳投标保证金。</w:t>
      </w:r>
    </w:p>
    <w:p w14:paraId="73147FEF">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13.3  投标人存在下列情形的，投标保证金不予退还:</w:t>
      </w:r>
    </w:p>
    <w:p w14:paraId="2843F7E8">
      <w:pPr>
        <w:adjustRightInd w:val="0"/>
        <w:snapToGrid w:val="0"/>
        <w:ind w:left="420" w:leftChars="200"/>
        <w:jc w:val="left"/>
        <w:rPr>
          <w:rFonts w:hint="eastAsia" w:ascii="宋体" w:hAnsi="宋体" w:eastAsia="宋体" w:cs="宋体"/>
          <w:color w:val="auto"/>
          <w:szCs w:val="21"/>
        </w:rPr>
      </w:pPr>
      <w:r>
        <w:rPr>
          <w:rFonts w:hint="eastAsia" w:ascii="宋体" w:hAnsi="宋体" w:eastAsia="宋体" w:cs="宋体"/>
          <w:color w:val="auto"/>
          <w:szCs w:val="21"/>
        </w:rPr>
        <w:t>(1)在投标有效期内，投标人撤销投标的;</w:t>
      </w:r>
    </w:p>
    <w:p w14:paraId="25C0D098">
      <w:pPr>
        <w:adjustRightInd w:val="0"/>
        <w:snapToGrid w:val="0"/>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(2)中标后不按本须知第34款的规定与采购人签订合同的;</w:t>
      </w:r>
    </w:p>
    <w:p w14:paraId="01B5B241">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(3)中标后不按本须知第35款的规定提交履约保证金的;</w:t>
      </w:r>
    </w:p>
    <w:p w14:paraId="3D614D6B">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(4)中标后不按本须知第36款的规定缴纳招标代理服务费的;</w:t>
      </w:r>
    </w:p>
    <w:p w14:paraId="7E72F6CC">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(5)存在其他违法违规行为的。</w:t>
      </w:r>
    </w:p>
    <w:p w14:paraId="4A667AA0">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13.4  联合体投标的，可以由联合体中的一方或者共同提交投标保证金。以一方名义提交投标保证金的，对联合体各方均具有约束力。</w:t>
      </w:r>
    </w:p>
    <w:p w14:paraId="5E1C6595">
      <w:pPr>
        <w:adjustRightInd w:val="0"/>
        <w:snapToGrid w:val="0"/>
        <w:rPr>
          <w:rFonts w:hint="eastAsia" w:ascii="宋体" w:hAnsi="宋体" w:eastAsia="宋体" w:cs="宋体"/>
          <w:color w:val="auto"/>
          <w:szCs w:val="21"/>
          <w:lang w:eastAsia="zh-CN"/>
        </w:rPr>
      </w:pPr>
      <w:r>
        <w:rPr>
          <w:rFonts w:hint="eastAsia" w:ascii="宋体" w:hAnsi="宋体" w:eastAsia="宋体" w:cs="宋体"/>
          <w:color w:val="auto"/>
          <w:szCs w:val="21"/>
        </w:rPr>
        <w:t>13.5  投标保证金的退还</w:t>
      </w:r>
    </w:p>
    <w:p w14:paraId="25934F28">
      <w:pPr>
        <w:adjustRightInd w:val="0"/>
        <w:snapToGrid w:val="0"/>
        <w:rPr>
          <w:rFonts w:hint="eastAsia" w:ascii="宋体" w:hAnsi="宋体" w:eastAsia="宋体" w:cs="宋体"/>
          <w:color w:val="auto"/>
          <w:szCs w:val="21"/>
          <w:lang w:eastAsia="zh-CN"/>
        </w:rPr>
      </w:pPr>
      <w:r>
        <w:rPr>
          <w:rFonts w:hint="eastAsia" w:ascii="宋体" w:hAnsi="宋体" w:eastAsia="宋体" w:cs="宋体"/>
          <w:color w:val="auto"/>
          <w:szCs w:val="21"/>
        </w:rPr>
        <w:t>13.5.1  中标人应在与采购人签订合同之日起5个工作日内，及时联系保证金收受机构办理投标保证金退还手续。</w:t>
      </w:r>
    </w:p>
    <w:p w14:paraId="031B9C7D">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13.5.2 未中标投标人的投标保证金将在中标通知书发出之日暨中标结果公告公布之日起5个工作日内无息退还。投标人应及时联系保证金收受机构办理退还投标保证金手续。</w:t>
      </w:r>
    </w:p>
    <w:p w14:paraId="4B4404CC">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13.5.3投标人在投标截止时间前撤回已提交的投标文件的，投标人应自采购人或者采购代理机构收到投标人书面撤回通知之日起５个工作日内，及时联系保证金收受机构办理投标保证金退还手续。</w:t>
      </w:r>
    </w:p>
    <w:p w14:paraId="3046EFBB">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13.5.4 政府采购投标担保函不予退回。</w:t>
      </w:r>
    </w:p>
    <w:p w14:paraId="4A2C5D93">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13.6 因投标人自身原因导致无法及时退还的，采购人或采购代理机构将不承担相应责任。</w:t>
      </w:r>
    </w:p>
    <w:p w14:paraId="246AEC08">
      <w:pPr>
        <w:adjustRightInd w:val="0"/>
        <w:snapToGrid w:val="0"/>
        <w:rPr>
          <w:rFonts w:hint="eastAsia" w:ascii="宋体" w:hAnsi="宋体" w:eastAsia="宋体" w:cs="宋体"/>
          <w:b/>
          <w:bCs/>
          <w:color w:val="auto"/>
          <w:szCs w:val="21"/>
          <w:lang w:eastAsia="zh-CN"/>
        </w:rPr>
      </w:pPr>
      <w:r>
        <w:rPr>
          <w:rFonts w:hint="eastAsia" w:ascii="宋体" w:hAnsi="宋体" w:eastAsia="宋体" w:cs="宋体"/>
          <w:b/>
          <w:bCs/>
          <w:color w:val="auto"/>
          <w:szCs w:val="21"/>
        </w:rPr>
        <w:t>14. 证明投标标的的合格性和符合招标文件规定的技术文件</w:t>
      </w:r>
    </w:p>
    <w:p w14:paraId="0F321D5E">
      <w:pPr>
        <w:adjustRightInd w:val="0"/>
        <w:snapToGrid w:val="0"/>
        <w:rPr>
          <w:rFonts w:hint="eastAsia" w:ascii="宋体" w:hAnsi="宋体" w:eastAsia="宋体" w:cs="宋体"/>
          <w:color w:val="auto"/>
          <w:szCs w:val="21"/>
          <w:lang w:eastAsia="zh-CN"/>
        </w:rPr>
      </w:pPr>
      <w:r>
        <w:rPr>
          <w:rFonts w:hint="eastAsia" w:ascii="宋体" w:hAnsi="宋体" w:eastAsia="宋体" w:cs="宋体"/>
          <w:color w:val="auto"/>
          <w:szCs w:val="21"/>
        </w:rPr>
        <w:t>14.1  投标人应提交证明文件，证明其投标内容符合招标文件规定。该证明文件是投标文件的一部分。</w:t>
      </w:r>
    </w:p>
    <w:p w14:paraId="661BD6E9">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14.2 上款所述的证明文件，可以是文字资料、图纸和数据，它包括：</w:t>
      </w:r>
    </w:p>
    <w:p w14:paraId="1465DEF6">
      <w:pPr>
        <w:adjustRightInd w:val="0"/>
        <w:snapToGrid w:val="0"/>
        <w:rPr>
          <w:rFonts w:hint="eastAsia" w:ascii="宋体" w:hAnsi="宋体" w:eastAsia="宋体" w:cs="宋体"/>
          <w:color w:val="auto"/>
          <w:szCs w:val="21"/>
          <w:lang w:eastAsia="zh-CN"/>
        </w:rPr>
      </w:pPr>
      <w:r>
        <w:rPr>
          <w:rFonts w:hint="eastAsia" w:ascii="宋体" w:hAnsi="宋体" w:eastAsia="宋体" w:cs="宋体"/>
          <w:color w:val="auto"/>
          <w:szCs w:val="21"/>
        </w:rPr>
        <w:t>14.2.1货物主要技术指标和性能的详细说明；</w:t>
      </w:r>
    </w:p>
    <w:p w14:paraId="3C1943A8">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14.2.2 货物从采购人开始使用至招标文件规定的保质期内正常、连续地使用所必须的备件和专用工具清单，包括备件和专用工具的货源及现行价格;</w:t>
      </w:r>
    </w:p>
    <w:p w14:paraId="3A2C9437">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14.2.3 对照招标文件技术规格，逐条说明所提供货物及伴随的工程和服务已对招标文件的技术规格做出了实质性的响应，或申明与技术规格条文的偏差和例外。</w:t>
      </w:r>
    </w:p>
    <w:p w14:paraId="191B7287">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15.投标有效期</w:t>
      </w:r>
    </w:p>
    <w:p w14:paraId="644E9347">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15.1 投标应在投标人须知表15.1款中规定的投标有效期内保持有效。投标有效期不满足要求的投标，其投标将被认定为投标无效。</w:t>
      </w:r>
    </w:p>
    <w:p w14:paraId="4DE820FB">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15.2 在特殊情况下，采购人或采购代理机构可根据实际情况，在原投标有效期截止之前，要求投标人延长投标文件的有效期。接受该要求的投标人将不会被要求和允许修正其投标，且本须知中有关投标保证金的要求须在延长的有效期内继续有效。投标人可以拒绝延长投标有效期的要求，其投标保证金将及时无息退还。上述要求和答复都应以书面形式提交。</w:t>
      </w:r>
    </w:p>
    <w:p w14:paraId="7C6D7453">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16.投标文件的签署及规定</w:t>
      </w:r>
    </w:p>
    <w:p w14:paraId="2B228164">
      <w:pPr>
        <w:adjustRightInd w:val="0"/>
        <w:snapToGrid w:val="0"/>
        <w:rPr>
          <w:rFonts w:hint="default" w:ascii="宋体" w:hAnsi="宋体" w:eastAsia="宋体" w:cs="宋体"/>
          <w:color w:val="auto"/>
          <w:szCs w:val="21"/>
          <w:lang w:val="en-US" w:eastAsia="zh-CN"/>
        </w:rPr>
      </w:pPr>
      <w:r>
        <w:rPr>
          <w:rFonts w:hint="eastAsia" w:ascii="宋体" w:hAnsi="宋体" w:eastAsia="宋体" w:cs="宋体"/>
          <w:color w:val="auto"/>
          <w:szCs w:val="21"/>
        </w:rPr>
        <w:t>16.1 投标人应按投标人须知表16.1款中的规定，准备和递交投标文件正本、副本</w:t>
      </w:r>
      <w:r>
        <w:rPr>
          <w:rFonts w:hint="eastAsia" w:ascii="宋体" w:hAnsi="宋体" w:eastAsia="宋体" w:cs="宋体"/>
          <w:color w:val="auto"/>
          <w:szCs w:val="21"/>
          <w:lang w:val="en-US" w:eastAsia="zh-CN"/>
        </w:rPr>
        <w:t>和电子文档</w:t>
      </w:r>
      <w:r>
        <w:rPr>
          <w:rFonts w:hint="eastAsia" w:ascii="宋体" w:hAnsi="宋体" w:eastAsia="宋体" w:cs="宋体"/>
          <w:color w:val="auto"/>
          <w:szCs w:val="21"/>
        </w:rPr>
        <w:t>，每份投标文件封皮须清楚地标明“正本”或“副本”。若正本和副本不符，以正本为准。</w:t>
      </w:r>
    </w:p>
    <w:p w14:paraId="0DA9CDEC">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16.2 投标文件的正本需打印或用不褪色墨水书写，并由投标人的法定代表人（非法人组织负责人）或经其正式委托代理人按招标文件规定在投标文件上签字或盖章，并加盖单位印章。委托代理人须持有书面的“法定代表人（非法人组织负责人）授权委托书”，并将其附在投标文件中。如对投标文件进行了修改，则应由投标人的法定代表人（非法人组织负责人）或其委托代理人在每一修改处签字。投标文件的副本可采用正本的复印件。</w:t>
      </w:r>
    </w:p>
    <w:p w14:paraId="41285BBC">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16.3 所有投标文件采用不可拆装的胶订方式装订，否则其投标将被认定为投标无效。</w:t>
      </w:r>
    </w:p>
    <w:p w14:paraId="14275898">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16.4 投标文件因字迹潦草无法辨认、表达不清或装订不当所引起的后果由投标人负责。</w:t>
      </w:r>
    </w:p>
    <w:p w14:paraId="2FD9D556">
      <w:pPr>
        <w:pStyle w:val="4"/>
        <w:spacing w:line="240" w:lineRule="auto"/>
        <w:rPr>
          <w:rFonts w:hint="eastAsia" w:ascii="宋体" w:hAnsi="宋体" w:eastAsia="宋体" w:cs="宋体"/>
          <w:color w:val="auto"/>
        </w:rPr>
      </w:pPr>
      <w:r>
        <w:rPr>
          <w:rFonts w:hint="eastAsia" w:ascii="宋体" w:hAnsi="宋体" w:eastAsia="宋体" w:cs="宋体"/>
          <w:color w:val="auto"/>
        </w:rPr>
        <w:t>五 投标文件的递交</w:t>
      </w:r>
    </w:p>
    <w:p w14:paraId="4FBD5439">
      <w:pPr>
        <w:adjustRightInd w:val="0"/>
        <w:snapToGrid w:val="0"/>
        <w:rPr>
          <w:rFonts w:hint="default" w:ascii="宋体" w:hAnsi="宋体" w:eastAsia="宋体" w:cs="宋体"/>
          <w:b/>
          <w:bCs/>
          <w:color w:val="auto"/>
          <w:szCs w:val="21"/>
          <w:lang w:val="en-US" w:eastAsia="zh-CN"/>
        </w:rPr>
      </w:pPr>
      <w:r>
        <w:rPr>
          <w:rFonts w:hint="eastAsia" w:ascii="宋体" w:hAnsi="宋体" w:eastAsia="宋体" w:cs="宋体"/>
          <w:b/>
          <w:bCs/>
          <w:color w:val="auto"/>
          <w:szCs w:val="21"/>
        </w:rPr>
        <w:t>17.投标文件的密封</w:t>
      </w:r>
      <w:r>
        <w:rPr>
          <w:rFonts w:hint="eastAsia" w:ascii="宋体" w:hAnsi="宋体" w:eastAsia="宋体" w:cs="宋体"/>
          <w:b/>
          <w:bCs/>
          <w:color w:val="auto"/>
          <w:szCs w:val="21"/>
          <w:lang w:eastAsia="zh-CN"/>
        </w:rPr>
        <w:t>、</w:t>
      </w:r>
      <w:r>
        <w:rPr>
          <w:rFonts w:hint="eastAsia" w:ascii="宋体" w:hAnsi="宋体" w:eastAsia="宋体" w:cs="宋体"/>
          <w:b/>
          <w:bCs/>
          <w:color w:val="auto"/>
          <w:szCs w:val="21"/>
        </w:rPr>
        <w:t>标记</w:t>
      </w:r>
      <w:r>
        <w:rPr>
          <w:rFonts w:hint="eastAsia" w:ascii="宋体" w:hAnsi="宋体" w:eastAsia="宋体" w:cs="宋体"/>
          <w:b/>
          <w:bCs/>
          <w:color w:val="auto"/>
          <w:szCs w:val="21"/>
          <w:lang w:val="en-US" w:eastAsia="zh-CN"/>
        </w:rPr>
        <w:t>及递交</w:t>
      </w:r>
    </w:p>
    <w:p w14:paraId="1A2CCF5A">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17.1 投标人应将投标文件装订成册、密封，将正本和所有的副本密封，并进行包封。</w:t>
      </w:r>
    </w:p>
    <w:p w14:paraId="614930BA">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17.2 所有包装封皮上均应：</w:t>
      </w:r>
    </w:p>
    <w:p w14:paraId="289E0AEE">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（1）注明采购项目名称、</w:t>
      </w:r>
      <w:r>
        <w:rPr>
          <w:rFonts w:hint="eastAsia" w:ascii="宋体" w:hAnsi="宋体" w:eastAsia="宋体" w:cs="宋体"/>
          <w:color w:val="auto"/>
          <w:szCs w:val="21"/>
          <w:lang w:eastAsia="zh-CN"/>
        </w:rPr>
        <w:t>采购计划编号</w:t>
      </w:r>
      <w:r>
        <w:rPr>
          <w:rFonts w:hint="eastAsia" w:ascii="宋体" w:hAnsi="宋体" w:eastAsia="宋体" w:cs="宋体"/>
          <w:color w:val="auto"/>
          <w:szCs w:val="21"/>
        </w:rPr>
        <w:t>、包组号、投标人名称和“在（开标时间）之前不得启封”的字样。</w:t>
      </w:r>
    </w:p>
    <w:p w14:paraId="1B7766C8">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（2）在封口处加盖投标人单位公章。</w:t>
      </w:r>
    </w:p>
    <w:p w14:paraId="2722D9B8">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17.3 如果投标人未按上述要求密封，其投标文件将被</w:t>
      </w:r>
      <w:r>
        <w:rPr>
          <w:rFonts w:hint="eastAsia" w:ascii="宋体" w:hAnsi="宋体" w:eastAsia="宋体" w:cs="宋体"/>
          <w:b/>
          <w:bCs/>
          <w:color w:val="auto"/>
          <w:szCs w:val="21"/>
        </w:rPr>
        <w:t>拒绝接收</w:t>
      </w:r>
      <w:r>
        <w:rPr>
          <w:rFonts w:hint="eastAsia" w:ascii="宋体" w:hAnsi="宋体" w:eastAsia="宋体" w:cs="宋体"/>
          <w:color w:val="auto"/>
          <w:szCs w:val="21"/>
        </w:rPr>
        <w:t>。</w:t>
      </w:r>
    </w:p>
    <w:p w14:paraId="32CDB2E3">
      <w:pPr>
        <w:pStyle w:val="2"/>
        <w:rPr>
          <w:rFonts w:hint="default"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17.4在投标文件提交截止时间前，投标人应通过韶关市公共资源交易一体化平台“产权招标交易系统”上传电子投标文件。逾期提交的电子投标文件，韶关市公共资源交易一体化平台将予以拒收。</w:t>
      </w:r>
    </w:p>
    <w:p w14:paraId="099F04A8">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18.投标截止</w:t>
      </w:r>
    </w:p>
    <w:p w14:paraId="4AE840E4">
      <w:pPr>
        <w:adjustRightInd w:val="0"/>
        <w:snapToGrid w:val="0"/>
        <w:rPr>
          <w:rFonts w:hint="eastAsia" w:ascii="宋体" w:hAnsi="宋体" w:eastAsia="宋体" w:cs="宋体"/>
          <w:b/>
          <w:bCs/>
          <w:color w:val="auto"/>
          <w:szCs w:val="21"/>
        </w:rPr>
      </w:pPr>
      <w:r>
        <w:rPr>
          <w:rFonts w:hint="eastAsia" w:ascii="宋体" w:hAnsi="宋体" w:eastAsia="宋体" w:cs="宋体"/>
          <w:color w:val="auto"/>
          <w:szCs w:val="21"/>
        </w:rPr>
        <w:t xml:space="preserve">18.1 </w:t>
      </w:r>
      <w:r>
        <w:rPr>
          <w:rFonts w:hint="eastAsia" w:ascii="宋体" w:hAnsi="宋体" w:eastAsia="宋体" w:cs="宋体"/>
          <w:b/>
          <w:bCs/>
          <w:color w:val="auto"/>
          <w:szCs w:val="21"/>
        </w:rPr>
        <w:t>投标人须于投标截止时间前将电子投标文件上传到产权招标交易系统并完成在线投标。</w:t>
      </w:r>
    </w:p>
    <w:p w14:paraId="4F577D6E">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18.2 采购人和采购代理机构有权按本须知的规定，延迟投标截止时间。在此情况下，采购人、采购代理机构和投标人受投标截止时间制约的所有权利和义务均应延长至新的截止时间。</w:t>
      </w:r>
    </w:p>
    <w:p w14:paraId="2BC169B4">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19. 投标文件的接收、修改与撤回</w:t>
      </w:r>
    </w:p>
    <w:p w14:paraId="455AF2BC">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19.1 在投标截止时间后送达的投标文件，采购人和采购代理机构将</w:t>
      </w:r>
      <w:r>
        <w:rPr>
          <w:rFonts w:hint="eastAsia" w:ascii="宋体" w:hAnsi="宋体" w:eastAsia="宋体" w:cs="宋体"/>
          <w:b/>
          <w:bCs/>
          <w:color w:val="auto"/>
          <w:szCs w:val="21"/>
        </w:rPr>
        <w:t>拒绝接收</w:t>
      </w:r>
      <w:r>
        <w:rPr>
          <w:rFonts w:hint="eastAsia" w:ascii="宋体" w:hAnsi="宋体" w:eastAsia="宋体" w:cs="宋体"/>
          <w:color w:val="auto"/>
          <w:szCs w:val="21"/>
        </w:rPr>
        <w:t>。</w:t>
      </w:r>
    </w:p>
    <w:p w14:paraId="4D947FA3">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19.2 采购人或者采购代理机构收到投标文件后，应当如实记载投标文件的送达时间和密封情况，并向投标人出具以下签收回执。</w:t>
      </w:r>
    </w:p>
    <w:p w14:paraId="54660696">
      <w:pPr>
        <w:adjustRightInd w:val="0"/>
        <w:snapToGrid w:val="0"/>
        <w:jc w:val="center"/>
        <w:rPr>
          <w:rFonts w:hint="eastAsia" w:ascii="宋体" w:hAnsi="宋体" w:eastAsia="宋体" w:cs="宋体"/>
          <w:b/>
          <w:bCs/>
          <w:color w:val="auto"/>
          <w:szCs w:val="21"/>
        </w:rPr>
      </w:pPr>
      <w:r>
        <w:rPr>
          <w:rFonts w:hint="eastAsia" w:ascii="宋体" w:hAnsi="宋体" w:eastAsia="宋体" w:cs="宋体"/>
          <w:b/>
          <w:bCs/>
          <w:color w:val="auto"/>
          <w:szCs w:val="21"/>
        </w:rPr>
        <w:t>接收投标文件回执单</w:t>
      </w:r>
    </w:p>
    <w:tbl>
      <w:tblPr>
        <w:tblStyle w:val="17"/>
        <w:tblW w:w="70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44"/>
        <w:gridCol w:w="5396"/>
      </w:tblGrid>
      <w:tr w14:paraId="11040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44" w:type="dxa"/>
            <w:noWrap w:val="0"/>
            <w:vAlign w:val="center"/>
          </w:tcPr>
          <w:p w14:paraId="520762C5">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采购项目名称</w:t>
            </w:r>
          </w:p>
        </w:tc>
        <w:tc>
          <w:tcPr>
            <w:tcW w:w="5396" w:type="dxa"/>
            <w:noWrap w:val="0"/>
            <w:vAlign w:val="center"/>
          </w:tcPr>
          <w:p w14:paraId="52EEC4D9">
            <w:pPr>
              <w:adjustRightInd w:val="0"/>
              <w:snapToGrid w:val="0"/>
              <w:jc w:val="center"/>
              <w:rPr>
                <w:rFonts w:hint="eastAsia" w:ascii="宋体" w:hAnsi="宋体" w:eastAsia="宋体" w:cs="宋体"/>
                <w:color w:val="auto"/>
                <w:szCs w:val="21"/>
              </w:rPr>
            </w:pPr>
          </w:p>
        </w:tc>
      </w:tr>
      <w:tr w14:paraId="64E21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44" w:type="dxa"/>
            <w:noWrap w:val="0"/>
            <w:vAlign w:val="center"/>
          </w:tcPr>
          <w:p w14:paraId="06809592">
            <w:pPr>
              <w:adjustRightInd w:val="0"/>
              <w:snapToGrid w:val="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采购计划编号</w:t>
            </w:r>
          </w:p>
        </w:tc>
        <w:tc>
          <w:tcPr>
            <w:tcW w:w="5396" w:type="dxa"/>
            <w:noWrap w:val="0"/>
            <w:vAlign w:val="center"/>
          </w:tcPr>
          <w:p w14:paraId="582863CA">
            <w:pPr>
              <w:adjustRightInd w:val="0"/>
              <w:snapToGrid w:val="0"/>
              <w:jc w:val="center"/>
              <w:rPr>
                <w:rFonts w:hint="eastAsia" w:ascii="宋体" w:hAnsi="宋体" w:eastAsia="宋体" w:cs="宋体"/>
                <w:color w:val="auto"/>
                <w:szCs w:val="21"/>
              </w:rPr>
            </w:pPr>
          </w:p>
        </w:tc>
      </w:tr>
      <w:tr w14:paraId="228B0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44" w:type="dxa"/>
            <w:noWrap w:val="0"/>
            <w:vAlign w:val="center"/>
          </w:tcPr>
          <w:p w14:paraId="703F5973">
            <w:pPr>
              <w:adjustRightInd w:val="0"/>
              <w:snapToGrid w:val="0"/>
              <w:jc w:val="center"/>
              <w:rPr>
                <w:rFonts w:hint="eastAsia" w:ascii="宋体" w:hAnsi="宋体" w:eastAsia="宋体" w:cs="宋体"/>
                <w:color w:val="auto"/>
                <w:szCs w:val="21"/>
                <w:lang w:eastAsia="zh-CN"/>
              </w:rPr>
            </w:pPr>
            <w:r>
              <w:rPr>
                <w:rFonts w:hint="eastAsia" w:ascii="宋体" w:hAnsi="宋体" w:eastAsia="宋体" w:cs="宋体"/>
                <w:color w:val="auto"/>
                <w:szCs w:val="21"/>
                <w:lang w:eastAsia="zh-CN"/>
              </w:rPr>
              <w:t>项目编号</w:t>
            </w:r>
          </w:p>
        </w:tc>
        <w:tc>
          <w:tcPr>
            <w:tcW w:w="5396" w:type="dxa"/>
            <w:noWrap w:val="0"/>
            <w:vAlign w:val="center"/>
          </w:tcPr>
          <w:p w14:paraId="7566E972">
            <w:pPr>
              <w:adjustRightInd w:val="0"/>
              <w:snapToGrid w:val="0"/>
              <w:jc w:val="center"/>
              <w:rPr>
                <w:rFonts w:hint="eastAsia" w:ascii="宋体" w:hAnsi="宋体" w:eastAsia="宋体" w:cs="宋体"/>
                <w:color w:val="auto"/>
                <w:szCs w:val="21"/>
              </w:rPr>
            </w:pPr>
          </w:p>
        </w:tc>
      </w:tr>
      <w:tr w14:paraId="34FB6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44" w:type="dxa"/>
            <w:noWrap w:val="0"/>
            <w:vAlign w:val="center"/>
          </w:tcPr>
          <w:p w14:paraId="3A3781F1">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投标人名称</w:t>
            </w:r>
          </w:p>
        </w:tc>
        <w:tc>
          <w:tcPr>
            <w:tcW w:w="5396" w:type="dxa"/>
            <w:noWrap w:val="0"/>
            <w:vAlign w:val="center"/>
          </w:tcPr>
          <w:p w14:paraId="26B74879">
            <w:pPr>
              <w:adjustRightInd w:val="0"/>
              <w:snapToGrid w:val="0"/>
              <w:jc w:val="center"/>
              <w:rPr>
                <w:rFonts w:hint="eastAsia" w:ascii="宋体" w:hAnsi="宋体" w:eastAsia="宋体" w:cs="宋体"/>
                <w:color w:val="auto"/>
                <w:szCs w:val="21"/>
              </w:rPr>
            </w:pPr>
          </w:p>
        </w:tc>
      </w:tr>
      <w:tr w14:paraId="3158E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44" w:type="dxa"/>
            <w:noWrap w:val="0"/>
            <w:vAlign w:val="center"/>
          </w:tcPr>
          <w:p w14:paraId="4D51FD89">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递交时间</w:t>
            </w:r>
          </w:p>
        </w:tc>
        <w:tc>
          <w:tcPr>
            <w:tcW w:w="5396" w:type="dxa"/>
            <w:noWrap w:val="0"/>
            <w:vAlign w:val="center"/>
          </w:tcPr>
          <w:p w14:paraId="27582541">
            <w:pPr>
              <w:adjustRightInd w:val="0"/>
              <w:snapToGrid w:val="0"/>
              <w:jc w:val="center"/>
              <w:rPr>
                <w:rFonts w:hint="eastAsia" w:ascii="宋体" w:hAnsi="宋体" w:eastAsia="宋体" w:cs="宋体"/>
                <w:color w:val="auto"/>
                <w:szCs w:val="21"/>
              </w:rPr>
            </w:pPr>
          </w:p>
        </w:tc>
      </w:tr>
      <w:tr w14:paraId="05B5E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44" w:type="dxa"/>
            <w:noWrap w:val="0"/>
            <w:vAlign w:val="center"/>
          </w:tcPr>
          <w:p w14:paraId="29F00CCF">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接收单位</w:t>
            </w:r>
          </w:p>
        </w:tc>
        <w:tc>
          <w:tcPr>
            <w:tcW w:w="5396" w:type="dxa"/>
            <w:noWrap w:val="0"/>
            <w:vAlign w:val="center"/>
          </w:tcPr>
          <w:p w14:paraId="1A279C35">
            <w:pPr>
              <w:adjustRightInd w:val="0"/>
              <w:snapToGrid w:val="0"/>
              <w:jc w:val="center"/>
              <w:rPr>
                <w:rFonts w:hint="eastAsia" w:ascii="宋体" w:hAnsi="宋体" w:eastAsia="宋体" w:cs="宋体"/>
                <w:color w:val="auto"/>
                <w:szCs w:val="21"/>
              </w:rPr>
            </w:pPr>
          </w:p>
        </w:tc>
      </w:tr>
      <w:tr w14:paraId="483D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644" w:type="dxa"/>
            <w:noWrap w:val="0"/>
            <w:vAlign w:val="center"/>
          </w:tcPr>
          <w:p w14:paraId="23FCF6E5">
            <w:pPr>
              <w:adjustRightInd w:val="0"/>
              <w:snapToGrid w:val="0"/>
              <w:jc w:val="center"/>
              <w:rPr>
                <w:rFonts w:hint="eastAsia" w:ascii="宋体" w:hAnsi="宋体" w:eastAsia="宋体" w:cs="宋体"/>
                <w:color w:val="auto"/>
                <w:szCs w:val="21"/>
              </w:rPr>
            </w:pPr>
            <w:r>
              <w:rPr>
                <w:rFonts w:hint="eastAsia" w:ascii="宋体" w:hAnsi="宋体" w:eastAsia="宋体" w:cs="宋体"/>
                <w:color w:val="auto"/>
                <w:szCs w:val="21"/>
              </w:rPr>
              <w:t>接收人签字</w:t>
            </w:r>
          </w:p>
        </w:tc>
        <w:tc>
          <w:tcPr>
            <w:tcW w:w="5396" w:type="dxa"/>
            <w:noWrap w:val="0"/>
            <w:vAlign w:val="center"/>
          </w:tcPr>
          <w:p w14:paraId="5A0F0139">
            <w:pPr>
              <w:adjustRightInd w:val="0"/>
              <w:snapToGrid w:val="0"/>
              <w:jc w:val="center"/>
              <w:rPr>
                <w:rFonts w:hint="eastAsia" w:ascii="宋体" w:hAnsi="宋体" w:eastAsia="宋体" w:cs="宋体"/>
                <w:color w:val="auto"/>
                <w:szCs w:val="21"/>
              </w:rPr>
            </w:pPr>
          </w:p>
        </w:tc>
      </w:tr>
    </w:tbl>
    <w:p w14:paraId="234346B3">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19.3 递交投标文件以后，如果投标人要进行修改或撤回投标，须提出书面申请并在投标截止时间前送达开标地点，投标人对投标文件的修改或撤回通知应按本须知规定编制、密封、标记。采购人和采购代理机构将予以接收，并视为投标文件的组成部分。否则，修改后的投标文件或撤回行为无效。</w:t>
      </w:r>
    </w:p>
    <w:p w14:paraId="27017D2F">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19.4 在投标截止时间之后，投标人不得对其投标文件做任何修改。</w:t>
      </w:r>
    </w:p>
    <w:p w14:paraId="4BA5E44A">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19.5 采购人和采购代理机构对所接收并当众宣读投标内容的投标文件概不退回。</w:t>
      </w:r>
    </w:p>
    <w:p w14:paraId="59C97450">
      <w:pPr>
        <w:pStyle w:val="2"/>
        <w:rPr>
          <w:rFonts w:hint="default"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19.6投标人在韶关市公共资源交易一体化平台“产权招标交易系统”成功上传投标文件后，在电子投标截止时间前可以撤回其投标。</w:t>
      </w:r>
    </w:p>
    <w:p w14:paraId="07F3F0B4">
      <w:pPr>
        <w:pStyle w:val="2"/>
        <w:rPr>
          <w:rFonts w:hint="eastAsia"/>
          <w:color w:val="auto"/>
        </w:rPr>
      </w:pPr>
    </w:p>
    <w:p w14:paraId="3A15C0D4">
      <w:pPr>
        <w:pStyle w:val="4"/>
        <w:spacing w:line="240" w:lineRule="auto"/>
        <w:rPr>
          <w:rFonts w:hint="eastAsia" w:ascii="宋体" w:hAnsi="宋体" w:eastAsia="宋体" w:cs="宋体"/>
          <w:color w:val="auto"/>
        </w:rPr>
      </w:pPr>
      <w:r>
        <w:rPr>
          <w:rFonts w:hint="eastAsia" w:ascii="宋体" w:hAnsi="宋体" w:eastAsia="宋体" w:cs="宋体"/>
          <w:color w:val="auto"/>
        </w:rPr>
        <w:t>六 开标及评标</w:t>
      </w:r>
    </w:p>
    <w:p w14:paraId="1D09130D">
      <w:pPr>
        <w:pStyle w:val="10"/>
        <w:adjustRightInd w:val="0"/>
        <w:snapToGrid w:val="0"/>
        <w:spacing w:line="360" w:lineRule="auto"/>
        <w:ind w:left="420" w:hanging="422" w:hangingChars="200"/>
        <w:rPr>
          <w:rFonts w:hint="eastAsia" w:ascii="宋体" w:hAnsi="宋体" w:eastAsia="宋体" w:cs="宋体"/>
          <w:b/>
          <w:bCs/>
          <w:color w:val="auto"/>
          <w:kern w:val="2"/>
          <w:sz w:val="21"/>
          <w:szCs w:val="21"/>
          <w:lang w:val="en-US" w:eastAsia="zh-CN" w:bidi="ar-SA"/>
        </w:rPr>
      </w:pPr>
      <w:r>
        <w:rPr>
          <w:rFonts w:hint="eastAsia" w:ascii="宋体" w:hAnsi="宋体" w:eastAsia="宋体" w:cs="宋体"/>
          <w:b/>
          <w:bCs/>
          <w:color w:val="auto"/>
          <w:kern w:val="2"/>
          <w:sz w:val="21"/>
          <w:szCs w:val="21"/>
          <w:lang w:val="en-US" w:eastAsia="zh-CN" w:bidi="ar-SA"/>
        </w:rPr>
        <w:t>20. 开标（电子开标）</w:t>
      </w:r>
    </w:p>
    <w:p w14:paraId="5ECF3C92">
      <w:pPr>
        <w:adjustRightInd w:val="0"/>
        <w:snapToGrid w:val="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20.1采购代理机构在《招标公告》中规定的日期、时间和地点组织公开开标。开标时原则上应当有采购人代表和投标人代表参加。参加开标的代表应签到以证明其出席。</w:t>
      </w:r>
    </w:p>
    <w:p w14:paraId="6A265823">
      <w:pPr>
        <w:adjustRightInd w:val="0"/>
        <w:snapToGrid w:val="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20.2开标时，主持人进入开标会议后，页面上将进行开标倒计时。到达开标时间后，主持人宣读“开标会议议程”，议程宣读完成后进行开标，点击“开始开标，下一步”，显示投标企业公司名，授权代表名称等信息，下一步进入“文件解密”环节。主持人点击“主持人解密”环节，并插入 CA 进行认证后，对投标电子标书进行解密操作。文件解密完成后，参会人员确认内容和电子投标书的有效性。点击“文件解密完成，进入评标环节”，进入评标环节。纸质标书由投标人或其推选的代表检查投标文件的密封情况，或由采购人委托的机构检查并见证，经确认无误后由采购代理机构保管，在电子评标过程无异常时，不需要拆封使用。</w:t>
      </w:r>
    </w:p>
    <w:p w14:paraId="4FDBB3C3">
      <w:pPr>
        <w:adjustRightInd w:val="0"/>
        <w:snapToGrid w:val="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20.3开标结束后，采购人或者采购代理机构或评标委员会依法对投标人的资格进行审查。</w:t>
      </w:r>
    </w:p>
    <w:p w14:paraId="5FD92A1A">
      <w:pPr>
        <w:adjustRightInd w:val="0"/>
        <w:snapToGrid w:val="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20.4开标截止后发现投标人不足三家或通过符合性审查的投标人少于三家时，作废标处理。</w:t>
      </w:r>
    </w:p>
    <w:p w14:paraId="3A2D19D2">
      <w:pPr>
        <w:adjustRightInd w:val="0"/>
        <w:snapToGrid w:val="0"/>
        <w:rPr>
          <w:rFonts w:hint="eastAsia" w:ascii="宋体" w:hAnsi="宋体" w:eastAsia="宋体" w:cs="宋体"/>
          <w:color w:val="auto"/>
          <w:szCs w:val="21"/>
          <w:lang w:val="en-US" w:eastAsia="zh-CN"/>
        </w:rPr>
      </w:pPr>
      <w:r>
        <w:rPr>
          <w:rFonts w:hint="eastAsia" w:ascii="宋体" w:hAnsi="宋体" w:eastAsia="宋体" w:cs="宋体"/>
          <w:color w:val="auto"/>
          <w:szCs w:val="21"/>
          <w:lang w:val="en-US" w:eastAsia="zh-CN"/>
        </w:rPr>
        <w:t>20.5采购代理机构做好开标记录，开标记录由各投标人签字确认。</w:t>
      </w:r>
    </w:p>
    <w:p w14:paraId="2D2F975B">
      <w:pPr>
        <w:adjustRightInd w:val="0"/>
        <w:snapToGrid w:val="0"/>
        <w:rPr>
          <w:rFonts w:hint="eastAsia" w:ascii="宋体" w:hAnsi="宋体" w:eastAsia="宋体" w:cs="宋体"/>
          <w:b/>
          <w:bCs/>
          <w:color w:val="auto"/>
          <w:szCs w:val="21"/>
        </w:rPr>
      </w:pPr>
    </w:p>
    <w:p w14:paraId="6817EE36">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21. 组建评标委员会</w:t>
      </w:r>
    </w:p>
    <w:p w14:paraId="6E713DD2">
      <w:pPr>
        <w:adjustRightInd w:val="0"/>
        <w:snapToGrid w:val="0"/>
        <w:rPr>
          <w:rFonts w:hint="eastAsia" w:ascii="宋体" w:hAnsi="宋体" w:eastAsia="宋体" w:cs="宋体"/>
          <w:color w:val="auto"/>
          <w:szCs w:val="21"/>
          <w:lang w:val="en-US" w:eastAsia="zh-CN"/>
        </w:rPr>
      </w:pPr>
      <w:r>
        <w:rPr>
          <w:rFonts w:hint="eastAsia" w:ascii="宋体" w:hAnsi="宋体" w:eastAsia="宋体" w:cs="宋体"/>
          <w:color w:val="auto"/>
          <w:szCs w:val="21"/>
        </w:rPr>
        <w:t>按照《中华人民共和国政府采购法》、《中华人民共和国政府采购法实施条例》有关规定依法组建评标委员会，负责本项目评标工作。</w:t>
      </w:r>
      <w:r>
        <w:rPr>
          <w:rFonts w:hint="eastAsia" w:ascii="宋体" w:hAnsi="宋体" w:eastAsia="宋体" w:cs="宋体"/>
          <w:b/>
          <w:bCs/>
          <w:color w:val="auto"/>
          <w:szCs w:val="21"/>
          <w:lang w:val="en-US" w:eastAsia="zh-CN"/>
        </w:rPr>
        <w:t>评标委员会成员由</w:t>
      </w:r>
      <w:r>
        <w:rPr>
          <w:rFonts w:hint="eastAsia" w:ascii="宋体" w:hAnsi="宋体" w:eastAsia="宋体" w:cs="宋体"/>
          <w:b/>
          <w:bCs/>
          <w:color w:val="auto"/>
          <w:szCs w:val="21"/>
          <w:u w:val="single"/>
          <w:lang w:val="en-US" w:eastAsia="zh-CN"/>
        </w:rPr>
        <w:t xml:space="preserve"> 7 </w:t>
      </w:r>
      <w:r>
        <w:rPr>
          <w:rFonts w:hint="eastAsia" w:ascii="宋体" w:hAnsi="宋体" w:eastAsia="宋体" w:cs="宋体"/>
          <w:b/>
          <w:bCs/>
          <w:color w:val="auto"/>
          <w:szCs w:val="21"/>
        </w:rPr>
        <w:t>名</w:t>
      </w:r>
      <w:r>
        <w:rPr>
          <w:rFonts w:hint="eastAsia" w:ascii="宋体" w:hAnsi="宋体" w:eastAsia="宋体" w:cs="宋体"/>
          <w:b/>
          <w:bCs/>
          <w:color w:val="auto"/>
          <w:szCs w:val="21"/>
          <w:lang w:eastAsia="zh-CN"/>
        </w:rPr>
        <w:t>单数成员组成</w:t>
      </w:r>
      <w:r>
        <w:rPr>
          <w:rFonts w:hint="eastAsia" w:ascii="宋体" w:hAnsi="宋体" w:eastAsia="宋体" w:cs="宋体"/>
          <w:b/>
          <w:bCs/>
          <w:color w:val="auto"/>
          <w:szCs w:val="21"/>
          <w:lang w:val="en-US" w:eastAsia="zh-CN"/>
        </w:rPr>
        <w:t>。</w:t>
      </w:r>
    </w:p>
    <w:p w14:paraId="22B31524">
      <w:pPr>
        <w:adjustRightInd w:val="0"/>
        <w:snapToGrid w:val="0"/>
        <w:rPr>
          <w:rFonts w:hint="eastAsia" w:ascii="宋体" w:hAnsi="宋体" w:eastAsia="宋体" w:cs="宋体"/>
          <w:color w:val="auto"/>
          <w:szCs w:val="21"/>
        </w:rPr>
      </w:pPr>
      <w:r>
        <w:rPr>
          <w:rFonts w:hint="eastAsia" w:ascii="宋体" w:hAnsi="宋体" w:eastAsia="宋体" w:cs="宋体"/>
          <w:b/>
          <w:bCs/>
          <w:color w:val="auto"/>
          <w:szCs w:val="21"/>
        </w:rPr>
        <w:t>22. 资格审查</w:t>
      </w:r>
    </w:p>
    <w:p w14:paraId="60CC6B06">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22.1 采购人或采购代理机构依据法律法规和招标文件中规定的内容，对投标人的资格进行审查，投标人应按照第二章《投标文件内容及格式》中的相应要求提交资格证明材料。未通过资格审查的投标人不能进入评标，其投标将被认定为投标无效；通过资格审查的投标人不足3家的，不得评标。</w:t>
      </w:r>
    </w:p>
    <w:p w14:paraId="06610419">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22.2 采购人或采购代理机构将在投标截止日当天查询投标人的信用记录。投标人存在不良信用记录的，其投标将被认定为投标无效。</w:t>
      </w:r>
    </w:p>
    <w:p w14:paraId="74F0CA80">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22.2.1 不良信用记录指：投标人在中国政府采购网（www.ccgp.gov.cn）被列入政府采购严重违法失信行为记录名单，或在“信用中国”网站（www.creditchina.gov.cn）被列入失信被执行人、重大税收违法案件当事人名单，以及存在《中华人民共和国政府采购法实施条例》第十九条规定的行政处罚记录。</w:t>
      </w:r>
    </w:p>
    <w:p w14:paraId="0591CECA">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以联合体形式参加投标的，联合体任何成员存在以上不良信用记录的，联合体投标将被认定为</w:t>
      </w:r>
      <w:r>
        <w:rPr>
          <w:rFonts w:hint="eastAsia" w:ascii="宋体" w:hAnsi="宋体" w:eastAsia="宋体" w:cs="宋体"/>
          <w:b/>
          <w:bCs/>
          <w:color w:val="auto"/>
          <w:szCs w:val="21"/>
        </w:rPr>
        <w:t>投标无效</w:t>
      </w:r>
      <w:r>
        <w:rPr>
          <w:rFonts w:hint="eastAsia" w:ascii="宋体" w:hAnsi="宋体" w:eastAsia="宋体" w:cs="宋体"/>
          <w:color w:val="auto"/>
          <w:szCs w:val="21"/>
        </w:rPr>
        <w:t>。</w:t>
      </w:r>
    </w:p>
    <w:p w14:paraId="10FDCFA5">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22.2.2 查询及记录方式：采购人或采购代理机构经办人将查询网页打印并存档备查。投标人不良信用记录以采购人或采购代理机构查询结果为准。</w:t>
      </w:r>
    </w:p>
    <w:p w14:paraId="30740E9B">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在本招标文件规定的查询时间之后，网站信息发生的任何变更均不再作为评标依据。</w:t>
      </w:r>
    </w:p>
    <w:p w14:paraId="4C4C5EBD">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投标人自行提供的与网站信息不一致的其他证明材料亦不作为资格审查依据。</w:t>
      </w:r>
    </w:p>
    <w:p w14:paraId="7E946C99">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23.符合性审查</w:t>
      </w:r>
    </w:p>
    <w:p w14:paraId="1327DBA1">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 xml:space="preserve">    符合性检查是指依据招标文件的规定，从投标文件的有效性和完整性对招标文件的响应程度进行审查，以确定是否对招标文件的实质性要求做出响应。投标人应按照第二章《投标文件内容及格式》中的相应要求，提交符合性证明材料。未通过符合性审查的投标人不能进入下一阶段评审，其投标将被认定为投标无效；通过符合性审查的投标人数量不足3家的，不得作进一步的比较和评价。</w:t>
      </w:r>
    </w:p>
    <w:p w14:paraId="0DF3793D">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24 投标文件的澄清</w:t>
      </w:r>
    </w:p>
    <w:p w14:paraId="22E6AF15">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24.1 在评标期间，评标委员会将以书面方式要求投标人对其投标文件中含义不明确、对同类问题表述不一致或者有明显文字和计算错误的内容作必要的澄清、说明或补正。投标人的澄清、说明或补正应在评标委员会规定的时间内以书面方式进行，并不得超出投标文件范围或者改变投标文件的实质性内容。</w:t>
      </w:r>
      <w:r>
        <w:rPr>
          <w:rFonts w:hint="eastAsia" w:ascii="宋体" w:hAnsi="宋体" w:eastAsia="宋体" w:cs="宋体"/>
          <w:b/>
          <w:bCs/>
          <w:color w:val="auto"/>
          <w:szCs w:val="21"/>
        </w:rPr>
        <w:t>投标人拒不进行澄清、说明、补正的，或者不能在规定时间内作出书面澄清、说明、补正的，其投标将被作为无效投标处理。</w:t>
      </w:r>
    </w:p>
    <w:p w14:paraId="3CFA9651">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24.2 投标人的澄清、说明或补正将作为投标文件的一部分。</w:t>
      </w:r>
    </w:p>
    <w:p w14:paraId="4C905731">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24.3 投标文件报价出现前后不一致的，按照下列规定修正：</w:t>
      </w:r>
    </w:p>
    <w:p w14:paraId="691B711A">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（1）投标文件中开标一览表内容与投标文件中相应内容不一致的，以开标一览表为准；</w:t>
      </w:r>
    </w:p>
    <w:p w14:paraId="65074103">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（2）大写金额和小写金额不一致的，以大写金额为准；</w:t>
      </w:r>
    </w:p>
    <w:p w14:paraId="236FA259">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（3）单价金额小数点或者百分比有明显错位的，以开标一览表的总价为准，并修改单价；</w:t>
      </w:r>
    </w:p>
    <w:p w14:paraId="4CF486BC">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（4）总价金额与按单价汇总金额不一致的，以单价金额计算结果为准。</w:t>
      </w:r>
    </w:p>
    <w:p w14:paraId="15ACF09E">
      <w:pPr>
        <w:adjustRightInd w:val="0"/>
        <w:snapToGrid w:val="0"/>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同时出现两种以上不一致的，按照前款规定的顺序修正。修正后的报价经投标人确认后产生约束力，投标人不确认的，其投标将被认定为投标无效。</w:t>
      </w:r>
    </w:p>
    <w:p w14:paraId="5C207FE4">
      <w:pPr>
        <w:adjustRightInd w:val="0"/>
        <w:snapToGrid w:val="0"/>
        <w:rPr>
          <w:rFonts w:hint="eastAsia" w:ascii="宋体" w:hAnsi="宋体" w:eastAsia="宋体" w:cs="宋体"/>
          <w:color w:val="auto"/>
        </w:rPr>
      </w:pPr>
      <w:r>
        <w:rPr>
          <w:rFonts w:hint="eastAsia" w:ascii="宋体" w:hAnsi="宋体" w:eastAsia="宋体" w:cs="宋体"/>
          <w:color w:val="auto"/>
          <w:szCs w:val="21"/>
        </w:rPr>
        <w:t>24.4</w:t>
      </w:r>
      <w:r>
        <w:rPr>
          <w:rFonts w:hint="eastAsia" w:ascii="宋体" w:hAnsi="宋体" w:eastAsia="宋体" w:cs="宋体"/>
          <w:b/>
          <w:bCs/>
          <w:color w:val="auto"/>
          <w:szCs w:val="21"/>
        </w:rPr>
        <w:t>评标委员会认为</w:t>
      </w:r>
      <w:r>
        <w:rPr>
          <w:rFonts w:hint="eastAsia" w:ascii="宋体" w:hAnsi="宋体" w:eastAsia="宋体" w:cs="宋体"/>
          <w:color w:val="auto"/>
          <w:szCs w:val="21"/>
        </w:rPr>
        <w:t>投标人的报价明显低于其他通过符合性审查投标人的报价，有可能影响产品质量或者不能诚信履约的，应当要求其在评标现场合理的时间内提供书面说明，必要时提交相关证明材料；投标人在不能证明其报价合理性的，评标委员会应当将其作为</w:t>
      </w:r>
      <w:r>
        <w:rPr>
          <w:rFonts w:hint="eastAsia" w:ascii="宋体" w:hAnsi="宋体" w:eastAsia="宋体" w:cs="宋体"/>
          <w:b/>
          <w:bCs/>
          <w:color w:val="auto"/>
          <w:szCs w:val="21"/>
        </w:rPr>
        <w:t>无效投标</w:t>
      </w:r>
      <w:r>
        <w:rPr>
          <w:rFonts w:hint="eastAsia" w:ascii="宋体" w:hAnsi="宋体" w:eastAsia="宋体" w:cs="宋体"/>
          <w:color w:val="auto"/>
          <w:szCs w:val="21"/>
        </w:rPr>
        <w:t>处理。提交证明材料的合理时间按第四章 评标方法规定执行。</w:t>
      </w:r>
    </w:p>
    <w:p w14:paraId="08C51070">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25样品及演示</w:t>
      </w:r>
    </w:p>
    <w:p w14:paraId="183E302D">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25.1投标人须知表11.3款中要求投标人提供样品的，按照投标人须知表25.1款中样品的评审方法以及评审标准进行评审。</w:t>
      </w:r>
    </w:p>
    <w:p w14:paraId="6AE7DF3C">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25.2采购活动结束后，对于未中标人提供的样品，应当及时退还或者经未中标人同意后自行处理；对于中标人提供的样品，应当按招标文件规定进行保管、封存，并作为履约验收的参考。</w:t>
      </w:r>
    </w:p>
    <w:p w14:paraId="247B02E8">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25.3演示的评审方法以及评审标准具体内容见投标人须知表25.1款。</w:t>
      </w:r>
    </w:p>
    <w:p w14:paraId="098297DA">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26.投标无效</w:t>
      </w:r>
    </w:p>
    <w:p w14:paraId="585CBF56">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26.1 在比较与评价之前，根据本须知的规定，评标委员会将审查每份投标文件是否实质上响应了招标文件的要求。</w:t>
      </w:r>
    </w:p>
    <w:p w14:paraId="1CCBA119">
      <w:pPr>
        <w:adjustRightInd w:val="0"/>
        <w:snapToGrid w:val="0"/>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实质性要求是指招标文件中带有★号标识内容（包括本级及其下级编号中所有内容）等文字说明的要求。</w:t>
      </w:r>
    </w:p>
    <w:p w14:paraId="782858E4">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kern w:val="0"/>
          <w:szCs w:val="21"/>
        </w:rPr>
        <w:t>对招标文件的实质性要求进行响应是指与招标文件中带有★号标识内容的文字说明、条款、条件和规格等要求相符。</w:t>
      </w:r>
    </w:p>
    <w:p w14:paraId="7A683976">
      <w:pPr>
        <w:adjustRightInd w:val="0"/>
        <w:snapToGrid w:val="0"/>
        <w:ind w:firstLine="422" w:firstLineChars="200"/>
        <w:rPr>
          <w:rFonts w:hint="eastAsia" w:ascii="宋体" w:hAnsi="宋体" w:eastAsia="宋体" w:cs="宋体"/>
          <w:b/>
          <w:bCs/>
          <w:color w:val="auto"/>
          <w:szCs w:val="21"/>
        </w:rPr>
      </w:pPr>
      <w:r>
        <w:rPr>
          <w:rFonts w:hint="eastAsia" w:ascii="宋体" w:hAnsi="宋体" w:eastAsia="宋体" w:cs="宋体"/>
          <w:b/>
          <w:bCs/>
          <w:color w:val="auto"/>
          <w:szCs w:val="21"/>
        </w:rPr>
        <w:t>如果投标文件没有对招标文件的实质性要求进行响应，将作为无效投标处理，投标人不得再对投标文件进行任何修正从而使其投标成为实质上响应的投标。</w:t>
      </w:r>
    </w:p>
    <w:p w14:paraId="3F6FB660">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评标委员会决定投标的响应性只根据招标文件要求、投标文件内容及财政主管部门指定媒体发布的相关信息。</w:t>
      </w:r>
    </w:p>
    <w:p w14:paraId="2B39A74A">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26.2 如发现下列情况之一的，其投标将被认定为投标无效：</w:t>
      </w:r>
    </w:p>
    <w:p w14:paraId="7BDEB7DE">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 未按招标文件的规定提交投标保证金的；</w:t>
      </w:r>
    </w:p>
    <w:p w14:paraId="68A035C2">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（2） 未按照招标文件规定要求签署、盖章的；</w:t>
      </w:r>
    </w:p>
    <w:p w14:paraId="1F2C7164">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（3） 投标人的报价超过了招标文件中规定的预算金额或者最高限价的；</w:t>
      </w:r>
    </w:p>
    <w:p w14:paraId="26BF2449">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（4） 不具备招标文件中规定的资格要求的；</w:t>
      </w:r>
    </w:p>
    <w:p w14:paraId="7DCDCD23">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（5） 不符合法规和招标文件中规定的其他实质性要求的。</w:t>
      </w:r>
    </w:p>
    <w:p w14:paraId="3AF0E985">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（6） 与其他投标人串通投标，或者与采购人串通投标；</w:t>
      </w:r>
    </w:p>
    <w:p w14:paraId="3E5EB644">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（7） 评标委员会认为投标人的报价明显低于其他通过符合性检查投标人的报价，有可能影响履约的，且投标人未按照规定证明其报价合理性的；</w:t>
      </w:r>
    </w:p>
    <w:p w14:paraId="304006B8">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（8） 投标文件含有采购人不能接受的附加条件的；</w:t>
      </w:r>
    </w:p>
    <w:p w14:paraId="7E2CCEEA">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（9） 属于法律、法规和招标文件规定的其他投标无效情形；</w:t>
      </w:r>
    </w:p>
    <w:p w14:paraId="64818736">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27.比较与评价</w:t>
      </w:r>
    </w:p>
    <w:p w14:paraId="4961BCAE">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27.1 经符合性审查合格的投标文件，评标委员会将根据招标文件确定的评标方法和标准，对其技术部分和商务部分作进一步的比较和评价。</w:t>
      </w:r>
    </w:p>
    <w:p w14:paraId="1DA58F89">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27.2 评标严格按照招标文件的要求和条件进行。根据实际情况，在投标人须知表27.2款中规定采用下列一种评标方法，详细评标标准见第四章 评标方法。</w:t>
      </w:r>
    </w:p>
    <w:p w14:paraId="212833C3">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（1） 最低评标价法，是指投标文件满足招标文件全部实质性要求，且投标报价最低的投标人为中标候选人的评标方法。</w:t>
      </w:r>
    </w:p>
    <w:p w14:paraId="1D4AFA9C">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（2） 综合评分法，是指投标文件满足招标文件全部实质性要求，且按照评审因素的量化指标评审得分最高的投标人为中标候选人的评标方法。</w:t>
      </w:r>
    </w:p>
    <w:p w14:paraId="25F280F4">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27.3 根据</w:t>
      </w:r>
      <w:r>
        <w:rPr>
          <w:rFonts w:hint="eastAsia" w:ascii="宋体" w:hAnsi="宋体" w:eastAsia="宋体" w:cs="宋体"/>
          <w:color w:val="auto"/>
          <w:szCs w:val="21"/>
          <w:lang w:eastAsia="zh-CN"/>
        </w:rPr>
        <w:t>《政府采购促进中小企业发展管理办法》（财库〔2020〕46号）</w:t>
      </w:r>
      <w:r>
        <w:rPr>
          <w:rFonts w:hint="eastAsia" w:ascii="宋体" w:hAnsi="宋体" w:eastAsia="宋体" w:cs="宋体"/>
          <w:color w:val="auto"/>
          <w:szCs w:val="21"/>
        </w:rPr>
        <w:t>、《财政部 司法部关于政府采购支持监狱企业发展有关问题的通知》（财库〔2014〕68 号）和《三部门联合发布关于促进残疾人就业政府采购政策的通知》（财库〔2017〕141 号）的规定，对于非专门面向中小企业的项目，在满足价格扣除条件且在投标文件中提交了《中小企业声明函》、《制造商企业（单位）类型声明函》（投标产品非投标人生产制造的须提供），或省级以上监狱管理局、戒毒管理局（含新疆生产建设兵团）出具的属于监狱企业的证明文件的投标人， 其投标报价扣除8%后参与评审。对具体办法详见第四章 评标方法。</w:t>
      </w:r>
    </w:p>
    <w:p w14:paraId="6EBA714C">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27.4 依据财政部、发展改革委、生态环境部等部门发布的品目清单和国家确定的认证机构出具的、处于有效期之内的节能产品、环境标志产品认证证书实施政府优先采购。具体优先采购办法见招标文件第四章 评标方法。</w:t>
      </w:r>
    </w:p>
    <w:p w14:paraId="69976CE9">
      <w:pPr>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highlight w:val="none"/>
        </w:rPr>
        <w:t>27.5依据财政部 国务院扶贫办《关于运用政府采购政策支持脱贫攻坚的通知》（财库〔2019〕27 号）的规定，对于非专门面向贫困地区采购农副产品的项目，在满足价格扣除条件且在投标文件中提交了《贫困地区农副产品声明函》的投标人，对其投标报价扣除后参与评审。对具体办法详见第四章 评标方法。</w:t>
      </w:r>
    </w:p>
    <w:p w14:paraId="7646FFE5">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28.废标</w:t>
      </w:r>
    </w:p>
    <w:p w14:paraId="31BF8830">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出现下列情形之一，将导致项目</w:t>
      </w:r>
      <w:r>
        <w:rPr>
          <w:rFonts w:hint="eastAsia" w:ascii="宋体" w:hAnsi="宋体" w:eastAsia="宋体" w:cs="宋体"/>
          <w:b/>
          <w:bCs/>
          <w:color w:val="auto"/>
          <w:szCs w:val="21"/>
        </w:rPr>
        <w:t>废标</w:t>
      </w:r>
      <w:r>
        <w:rPr>
          <w:rFonts w:hint="eastAsia" w:ascii="宋体" w:hAnsi="宋体" w:eastAsia="宋体" w:cs="宋体"/>
          <w:color w:val="auto"/>
          <w:szCs w:val="21"/>
        </w:rPr>
        <w:t>：</w:t>
      </w:r>
    </w:p>
    <w:p w14:paraId="02931E86">
      <w:pPr>
        <w:adjustRightInd w:val="0"/>
        <w:snapToGrid w:val="0"/>
        <w:ind w:firstLine="210" w:firstLineChars="100"/>
        <w:rPr>
          <w:rFonts w:hint="eastAsia" w:ascii="宋体" w:hAnsi="宋体" w:eastAsia="宋体" w:cs="宋体"/>
          <w:color w:val="auto"/>
          <w:szCs w:val="21"/>
        </w:rPr>
      </w:pPr>
      <w:r>
        <w:rPr>
          <w:rFonts w:hint="eastAsia" w:ascii="宋体" w:hAnsi="宋体" w:eastAsia="宋体" w:cs="宋体"/>
          <w:color w:val="auto"/>
          <w:szCs w:val="21"/>
        </w:rPr>
        <w:t>（1）符合专业条件的投标人或者对招标文件做实质性响应的投标人不足3家；</w:t>
      </w:r>
    </w:p>
    <w:p w14:paraId="0E0BB0B3">
      <w:pPr>
        <w:adjustRightInd w:val="0"/>
        <w:snapToGrid w:val="0"/>
        <w:ind w:firstLine="210" w:firstLineChars="100"/>
        <w:rPr>
          <w:rFonts w:hint="eastAsia" w:ascii="宋体" w:hAnsi="宋体" w:eastAsia="宋体" w:cs="宋体"/>
          <w:color w:val="auto"/>
          <w:szCs w:val="21"/>
        </w:rPr>
      </w:pPr>
      <w:r>
        <w:rPr>
          <w:rFonts w:hint="eastAsia" w:ascii="宋体" w:hAnsi="宋体" w:eastAsia="宋体" w:cs="宋体"/>
          <w:color w:val="auto"/>
          <w:szCs w:val="21"/>
        </w:rPr>
        <w:t>（2）出现影响采购公正的违法、违规行为的；</w:t>
      </w:r>
    </w:p>
    <w:p w14:paraId="090CAEC4">
      <w:pPr>
        <w:adjustRightInd w:val="0"/>
        <w:snapToGrid w:val="0"/>
        <w:ind w:firstLine="210" w:firstLineChars="100"/>
        <w:rPr>
          <w:rFonts w:hint="eastAsia" w:ascii="宋体" w:hAnsi="宋体" w:eastAsia="宋体" w:cs="宋体"/>
          <w:color w:val="auto"/>
          <w:szCs w:val="21"/>
        </w:rPr>
      </w:pPr>
      <w:r>
        <w:rPr>
          <w:rFonts w:hint="eastAsia" w:ascii="宋体" w:hAnsi="宋体" w:eastAsia="宋体" w:cs="宋体"/>
          <w:color w:val="auto"/>
          <w:szCs w:val="21"/>
        </w:rPr>
        <w:t>（3）投标人的报价均超过了采购预算或最高限价，采购人不能支付的；</w:t>
      </w:r>
    </w:p>
    <w:p w14:paraId="686CA0EE">
      <w:pPr>
        <w:adjustRightInd w:val="0"/>
        <w:snapToGrid w:val="0"/>
        <w:ind w:firstLine="210" w:firstLineChars="100"/>
        <w:rPr>
          <w:rFonts w:hint="eastAsia" w:ascii="宋体" w:hAnsi="宋体" w:eastAsia="宋体" w:cs="宋体"/>
          <w:color w:val="auto"/>
          <w:szCs w:val="21"/>
        </w:rPr>
      </w:pPr>
      <w:r>
        <w:rPr>
          <w:rFonts w:hint="eastAsia" w:ascii="宋体" w:hAnsi="宋体" w:eastAsia="宋体" w:cs="宋体"/>
          <w:color w:val="auto"/>
          <w:szCs w:val="21"/>
        </w:rPr>
        <w:t>（4）因重大变故，采购任务取消的。</w:t>
      </w:r>
    </w:p>
    <w:p w14:paraId="34727529">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29.中标候选人的推荐原则及标准</w:t>
      </w:r>
    </w:p>
    <w:p w14:paraId="1AE86EBD">
      <w:pPr>
        <w:adjustRightInd w:val="0"/>
        <w:snapToGrid w:val="0"/>
        <w:rPr>
          <w:rFonts w:hint="eastAsia" w:ascii="宋体" w:hAnsi="宋体" w:eastAsia="宋体" w:cs="宋体"/>
          <w:color w:val="auto"/>
          <w:szCs w:val="21"/>
          <w:highlight w:val="none"/>
        </w:rPr>
      </w:pPr>
      <w:r>
        <w:rPr>
          <w:rFonts w:hint="eastAsia" w:ascii="宋体" w:hAnsi="宋体" w:eastAsia="宋体" w:cs="宋体"/>
          <w:color w:val="auto"/>
          <w:szCs w:val="21"/>
        </w:rPr>
        <w:t>29.1除第32条规定外，评标委员会将根据评标标准，对实质上响应招标文件的投标人按下</w:t>
      </w:r>
      <w:r>
        <w:rPr>
          <w:rFonts w:hint="eastAsia" w:ascii="宋体" w:hAnsi="宋体" w:eastAsia="宋体" w:cs="宋体"/>
          <w:color w:val="auto"/>
          <w:szCs w:val="21"/>
          <w:highlight w:val="none"/>
        </w:rPr>
        <w:t>列方法进行排序，推荐中标候选人：</w:t>
      </w:r>
    </w:p>
    <w:p w14:paraId="48BE69EC">
      <w:pPr>
        <w:adjustRightInd w:val="0"/>
        <w:snapToGrid w:val="0"/>
        <w:ind w:firstLine="210" w:firstLineChars="100"/>
        <w:rPr>
          <w:rFonts w:hint="eastAsia" w:ascii="宋体" w:hAnsi="宋体" w:eastAsia="宋体" w:cs="宋体"/>
          <w:color w:val="auto"/>
          <w:szCs w:val="21"/>
          <w:highlight w:val="none"/>
        </w:rPr>
      </w:pPr>
      <w:r>
        <w:rPr>
          <w:rFonts w:hint="eastAsia" w:ascii="宋体" w:hAnsi="宋体" w:eastAsia="宋体" w:cs="宋体"/>
          <w:color w:val="auto"/>
          <w:szCs w:val="21"/>
          <w:highlight w:val="none"/>
        </w:rPr>
        <w:t>（1）采用最低评标价法的，除了算数修正和落实政府采购政策需进行的价格扣除外，不对投标人的投标价格进行任何调整。评标结果按修正和扣除后的投标报价由低到高顺序排列。报价相同的，按第四章评标办法规定执行。</w:t>
      </w:r>
    </w:p>
    <w:p w14:paraId="13768DEF">
      <w:pPr>
        <w:adjustRightInd w:val="0"/>
        <w:snapToGrid w:val="0"/>
        <w:ind w:firstLine="210" w:firstLineChars="100"/>
        <w:rPr>
          <w:rFonts w:hint="eastAsia" w:ascii="宋体" w:hAnsi="宋体" w:eastAsia="宋体" w:cs="宋体"/>
          <w:color w:val="auto"/>
          <w:szCs w:val="21"/>
        </w:rPr>
      </w:pPr>
      <w:r>
        <w:rPr>
          <w:rFonts w:hint="eastAsia" w:ascii="宋体" w:hAnsi="宋体" w:eastAsia="宋体" w:cs="宋体"/>
          <w:color w:val="auto"/>
          <w:szCs w:val="21"/>
          <w:highlight w:val="none"/>
        </w:rPr>
        <w:t>（2）采用综合评分法的</w:t>
      </w:r>
      <w:r>
        <w:rPr>
          <w:rFonts w:hint="eastAsia" w:ascii="宋体" w:hAnsi="宋体" w:eastAsia="宋体" w:cs="宋体"/>
          <w:color w:val="auto"/>
          <w:szCs w:val="21"/>
        </w:rPr>
        <w:t>，评标结果按评审后得分由高到低顺序排列。得分相同的，按第四章评标办法规定执行。</w:t>
      </w:r>
    </w:p>
    <w:p w14:paraId="3D05814C">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29.2评标委员会将根据评标标准，按投标人须知表29.2款中规定的数量推荐中标候选人。</w:t>
      </w:r>
    </w:p>
    <w:p w14:paraId="67A91947">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29.3因推荐中标候选人名单产生其他问题，由评标委员会集体研究处理。</w:t>
      </w:r>
    </w:p>
    <w:p w14:paraId="07997A4B">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30.保密原则</w:t>
      </w:r>
    </w:p>
    <w:p w14:paraId="1B248BA5">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30.1 评标将在严格保密的情况下进行。</w:t>
      </w:r>
    </w:p>
    <w:p w14:paraId="6484B771">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30.2 有关人员应当遵守评标工作纪律，不得泄露评审文件、评标情况和评标过程中获悉的国家秘密、商业秘密。</w:t>
      </w:r>
    </w:p>
    <w:p w14:paraId="038F1022">
      <w:pPr>
        <w:pStyle w:val="4"/>
        <w:spacing w:line="240" w:lineRule="auto"/>
        <w:rPr>
          <w:rFonts w:hint="eastAsia" w:ascii="宋体" w:hAnsi="宋体" w:eastAsia="宋体" w:cs="宋体"/>
          <w:color w:val="auto"/>
        </w:rPr>
      </w:pPr>
      <w:r>
        <w:rPr>
          <w:rFonts w:hint="eastAsia" w:ascii="宋体" w:hAnsi="宋体" w:eastAsia="宋体" w:cs="宋体"/>
          <w:color w:val="auto"/>
        </w:rPr>
        <w:t>七 确定中标</w:t>
      </w:r>
    </w:p>
    <w:p w14:paraId="32FB415A">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31.确定中标人</w:t>
      </w:r>
    </w:p>
    <w:p w14:paraId="7AC5FA82">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由采购人或者采购人委托评标委员会按照投标人须知表31中规定的方式确定中标人。</w:t>
      </w:r>
    </w:p>
    <w:p w14:paraId="4BBF07D3">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采购人在收到评标报告5个工作日内未按评标报告推荐的中标候选人顺序确定中标人，又不能说明合法理由的，视同按评标报告推荐的顺序确定排名第一的中标候选人为中标人。</w:t>
      </w:r>
    </w:p>
    <w:p w14:paraId="55C38C01">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32.采购任务取消</w:t>
      </w:r>
    </w:p>
    <w:p w14:paraId="78E531BB">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因重大变故采购任务取消时，采购人有权拒绝任何供应商中标，且对受影响的投标人不承担任何责任。</w:t>
      </w:r>
    </w:p>
    <w:p w14:paraId="53FDABCE">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33.中标通知书</w:t>
      </w:r>
    </w:p>
    <w:p w14:paraId="49A36CB2">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33.1 采购人或者采购代理机构应当自中标人确定之日起2个工作日内，在</w:t>
      </w:r>
      <w:r>
        <w:rPr>
          <w:rFonts w:hint="eastAsia" w:ascii="宋体" w:hAnsi="宋体" w:eastAsia="宋体" w:cs="宋体"/>
          <w:color w:val="auto"/>
          <w:szCs w:val="21"/>
          <w:lang w:val="en-US" w:eastAsia="zh-CN"/>
        </w:rPr>
        <w:t>相关</w:t>
      </w:r>
      <w:r>
        <w:rPr>
          <w:rFonts w:hint="eastAsia" w:ascii="宋体" w:hAnsi="宋体" w:eastAsia="宋体" w:cs="宋体"/>
          <w:color w:val="auto"/>
          <w:szCs w:val="21"/>
        </w:rPr>
        <w:t>媒体上公告中标结果。同时向中标人发出中标通知书。</w:t>
      </w:r>
    </w:p>
    <w:p w14:paraId="2E7C0D01">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33.2 中标通知书是合同的组成部分。</w:t>
      </w:r>
    </w:p>
    <w:p w14:paraId="3944EEC7">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34.签订合同</w:t>
      </w:r>
    </w:p>
    <w:p w14:paraId="387EB3A1">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 xml:space="preserve">34.1 中标人应当自发出中标通知书之日起 </w:t>
      </w:r>
      <w:r>
        <w:rPr>
          <w:rFonts w:hint="eastAsia" w:ascii="宋体" w:hAnsi="宋体" w:eastAsia="宋体" w:cs="宋体"/>
          <w:color w:val="auto"/>
          <w:szCs w:val="21"/>
          <w:lang w:val="en-US" w:eastAsia="zh-CN"/>
        </w:rPr>
        <w:t>15</w:t>
      </w:r>
      <w:r>
        <w:rPr>
          <w:rFonts w:hint="eastAsia" w:ascii="宋体" w:hAnsi="宋体" w:eastAsia="宋体" w:cs="宋体"/>
          <w:color w:val="auto"/>
          <w:szCs w:val="21"/>
        </w:rPr>
        <w:t xml:space="preserve"> 日内，与采购人签订书面合同。</w:t>
      </w:r>
    </w:p>
    <w:p w14:paraId="32195ACA">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34.2 招标文件、中标人的投标文件及其澄清文件等，均为签订合同的依据。所签订的合同不得对招标文件确定的事项和中标人投标文件作实质性修改。采购人不得向中标人提出任何不合理的要求，作为签订合同的条件。</w:t>
      </w:r>
    </w:p>
    <w:p w14:paraId="4628C929">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34.3 中标人拒绝与采购人签订合同的，采购人可以按照评审报告推荐的中标候选人名单排序，确定下一中标候选人为中标人，也可以重新开展政府采购活动。</w:t>
      </w:r>
    </w:p>
    <w:p w14:paraId="2ADEEB93">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35.履约保证金</w:t>
      </w:r>
    </w:p>
    <w:p w14:paraId="7DDAE1FF">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35.1 中标人应按照投标人须知表35.1款规定向采购人缴纳履约保证金。</w:t>
      </w:r>
    </w:p>
    <w:p w14:paraId="69B31BD9">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35.2 如果中标人没有按照上述履约保证金的规定执行，将视为拒绝签订放弃中标资格，中标人的投标保证金将不予退还。在此情况下，采购人可确定下一中标候选人为中标人，也可以重新开展采购活动。</w:t>
      </w:r>
    </w:p>
    <w:p w14:paraId="34D02B9D">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36.采购代理服务费</w:t>
      </w:r>
    </w:p>
    <w:p w14:paraId="03E6F6CE">
      <w:pPr>
        <w:adjustRightInd w:val="0"/>
        <w:snapToGrid w:val="0"/>
        <w:ind w:firstLine="210" w:firstLineChars="100"/>
        <w:rPr>
          <w:rFonts w:hint="eastAsia" w:ascii="宋体" w:hAnsi="宋体" w:eastAsia="宋体" w:cs="宋体"/>
          <w:color w:val="auto"/>
          <w:szCs w:val="21"/>
        </w:rPr>
      </w:pPr>
      <w:r>
        <w:rPr>
          <w:rFonts w:hint="eastAsia" w:ascii="宋体" w:hAnsi="宋体" w:eastAsia="宋体" w:cs="宋体"/>
          <w:color w:val="auto"/>
          <w:szCs w:val="21"/>
        </w:rPr>
        <w:t>中标人须按照投标人须知表36款规定，向采购代理机构支付招标代理服务费。</w:t>
      </w:r>
    </w:p>
    <w:p w14:paraId="7F8C6868">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37.廉洁自律规定</w:t>
      </w:r>
    </w:p>
    <w:p w14:paraId="57126F1D">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37.1 采购代理机构工作人员不得以不正当手段获取政府采购代理业务，不得与采购人、投标人恶意串通操纵政府采购活动。</w:t>
      </w:r>
    </w:p>
    <w:p w14:paraId="330238BF">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37.2 采购代理机构工作人员不得接受采购人或者投标人组织的宴请、旅游、娱乐，不得收受礼品、现金、有价证券等，不得向采购人或者投标人报销应当由个人承担的费用。</w:t>
      </w:r>
    </w:p>
    <w:p w14:paraId="4D22D688">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38.人员回避</w:t>
      </w:r>
    </w:p>
    <w:p w14:paraId="42275F11">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投标人认为采购人及其相关人员有法律法规所列与其他投标人有利害关系的，可以向采购人或采购代理机构书面提出回避申请，并说明理由。</w:t>
      </w:r>
    </w:p>
    <w:p w14:paraId="3F42A572">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39.质疑与接收</w:t>
      </w:r>
    </w:p>
    <w:p w14:paraId="43758607">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39.1 投标人认为招标文件、招标过程和中标结果使自己的权益受到损害的，可以根据《中华人民共和国政府采购法》、《中华人民共和国政府采购法实施条例》和《政府采购质疑和投诉办法》的有关规定，依法向采购人或其委托的采购代理机构提出质疑。</w:t>
      </w:r>
    </w:p>
    <w:p w14:paraId="09F19513">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39.2 质疑投标人应按照财政部门制定的《政府采购质疑函范本》格式（详见广东政府采购网）和《政府采购质疑和投诉办法》的要求，在法定质疑期内以纸质形式提出质疑，针对同一采购程序环节的质疑应一次性提出。</w:t>
      </w:r>
    </w:p>
    <w:p w14:paraId="4196CD5D">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超出法定质疑期的、重复提出的、分次提出的或内容、形式不符合《政府采购质疑和投诉办法》的，质疑投标人将依法承担不利后果。</w:t>
      </w:r>
    </w:p>
    <w:p w14:paraId="54A76907">
      <w:pPr>
        <w:adjustRightInd w:val="0"/>
        <w:snapToGrid w:val="0"/>
        <w:rPr>
          <w:rFonts w:hint="eastAsia" w:ascii="宋体" w:hAnsi="宋体" w:eastAsia="宋体" w:cs="宋体"/>
          <w:color w:val="auto"/>
          <w:szCs w:val="21"/>
        </w:rPr>
      </w:pPr>
      <w:r>
        <w:rPr>
          <w:rFonts w:hint="eastAsia" w:ascii="宋体" w:hAnsi="宋体" w:eastAsia="宋体" w:cs="宋体"/>
          <w:color w:val="auto"/>
          <w:szCs w:val="21"/>
        </w:rPr>
        <w:t>39.3 采购代理机构质疑函接收部门、联系电话和通讯地址, 见投标人须知表39.3款。</w:t>
      </w:r>
    </w:p>
    <w:p w14:paraId="3B657A57">
      <w:pPr>
        <w:adjustRightInd w:val="0"/>
        <w:snapToGrid w:val="0"/>
        <w:rPr>
          <w:rFonts w:hint="eastAsia" w:ascii="宋体" w:hAnsi="宋体" w:eastAsia="宋体" w:cs="宋体"/>
          <w:b/>
          <w:bCs/>
          <w:color w:val="auto"/>
          <w:szCs w:val="21"/>
        </w:rPr>
      </w:pPr>
      <w:r>
        <w:rPr>
          <w:rFonts w:hint="eastAsia" w:ascii="宋体" w:hAnsi="宋体" w:eastAsia="宋体" w:cs="宋体"/>
          <w:b/>
          <w:bCs/>
          <w:color w:val="auto"/>
          <w:szCs w:val="21"/>
        </w:rPr>
        <w:t>40.履约验收</w:t>
      </w:r>
    </w:p>
    <w:p w14:paraId="4A8400A2">
      <w:pPr>
        <w:adjustRightInd w:val="0"/>
        <w:snapToGrid w:val="0"/>
        <w:jc w:val="left"/>
        <w:rPr>
          <w:rFonts w:hint="eastAsia" w:ascii="宋体" w:hAnsi="宋体" w:eastAsia="宋体" w:cs="宋体"/>
          <w:color w:val="auto"/>
          <w:szCs w:val="21"/>
        </w:rPr>
      </w:pPr>
      <w:r>
        <w:rPr>
          <w:rFonts w:hint="eastAsia" w:ascii="宋体" w:hAnsi="宋体" w:eastAsia="宋体" w:cs="宋体"/>
          <w:color w:val="auto"/>
          <w:szCs w:val="21"/>
        </w:rPr>
        <w:t>本项目采购人及其委托的采购代理机构将严格按照政府采购相关法律法规以及本项目招标文件的要求进行验收。</w:t>
      </w:r>
    </w:p>
    <w:p w14:paraId="35CD7DE3">
      <w:pPr>
        <w:pStyle w:val="3"/>
        <w:jc w:val="center"/>
        <w:rPr>
          <w:rFonts w:hint="eastAsia" w:ascii="宋体" w:hAnsi="宋体" w:eastAsia="宋体" w:cs="宋体"/>
          <w:color w:val="auto"/>
        </w:rPr>
      </w:pPr>
      <w:r>
        <w:rPr>
          <w:rFonts w:hint="eastAsia" w:ascii="宋体" w:hAnsi="宋体" w:eastAsia="宋体" w:cs="宋体"/>
          <w:color w:val="auto"/>
        </w:rPr>
        <w:br w:type="page"/>
      </w:r>
      <w:r>
        <w:rPr>
          <w:rFonts w:hint="eastAsia" w:ascii="宋体" w:hAnsi="宋体" w:eastAsia="宋体" w:cs="宋体"/>
          <w:color w:val="auto"/>
        </w:rPr>
        <w:t>第二章 投标文件内容及格式</w:t>
      </w:r>
    </w:p>
    <w:p w14:paraId="46D36BF3">
      <w:pPr>
        <w:pStyle w:val="3"/>
        <w:rPr>
          <w:rFonts w:hint="eastAsia" w:ascii="宋体" w:hAnsi="宋体" w:eastAsia="宋体" w:cs="宋体"/>
          <w:color w:val="auto"/>
        </w:rPr>
      </w:pPr>
    </w:p>
    <w:p w14:paraId="19B07C12">
      <w:pPr>
        <w:pStyle w:val="3"/>
        <w:rPr>
          <w:rFonts w:hint="eastAsia" w:ascii="宋体" w:hAnsi="宋体" w:eastAsia="宋体" w:cs="宋体"/>
          <w:color w:val="auto"/>
        </w:rPr>
      </w:pPr>
    </w:p>
    <w:p w14:paraId="1B4CE655">
      <w:pPr>
        <w:pStyle w:val="3"/>
        <w:rPr>
          <w:rFonts w:hint="eastAsia" w:ascii="宋体" w:hAnsi="宋体" w:eastAsia="宋体" w:cs="宋体"/>
          <w:color w:val="auto"/>
        </w:rPr>
      </w:pPr>
    </w:p>
    <w:p w14:paraId="13EA4BA9">
      <w:pPr>
        <w:pStyle w:val="3"/>
        <w:rPr>
          <w:rFonts w:hint="eastAsia" w:ascii="宋体" w:hAnsi="宋体" w:eastAsia="宋体" w:cs="宋体"/>
          <w:color w:val="auto"/>
        </w:rPr>
      </w:pPr>
    </w:p>
    <w:p w14:paraId="716AE5C2">
      <w:pPr>
        <w:pStyle w:val="3"/>
        <w:rPr>
          <w:rFonts w:hint="eastAsia" w:ascii="宋体" w:hAnsi="宋体" w:eastAsia="宋体" w:cs="宋体"/>
          <w:color w:val="auto"/>
        </w:rPr>
      </w:pPr>
    </w:p>
    <w:p w14:paraId="4095BDC6">
      <w:pPr>
        <w:pStyle w:val="3"/>
        <w:rPr>
          <w:rFonts w:hint="eastAsia" w:ascii="宋体" w:hAnsi="宋体" w:eastAsia="宋体" w:cs="宋体"/>
          <w:color w:val="auto"/>
          <w:sz w:val="32"/>
          <w:szCs w:val="32"/>
        </w:rPr>
      </w:pPr>
      <w:r>
        <w:rPr>
          <w:rFonts w:hint="eastAsia" w:ascii="宋体" w:hAnsi="宋体" w:eastAsia="宋体" w:cs="宋体"/>
          <w:color w:val="auto"/>
          <w:sz w:val="32"/>
          <w:szCs w:val="32"/>
        </w:rPr>
        <w:t>投标文件内容及格式详见：</w:t>
      </w:r>
    </w:p>
    <w:p w14:paraId="017E68CB">
      <w:pPr>
        <w:pStyle w:val="3"/>
        <w:rPr>
          <w:color w:val="auto"/>
          <w:sz w:val="32"/>
          <w:szCs w:val="32"/>
        </w:rPr>
      </w:pPr>
      <w:r>
        <w:rPr>
          <w:rFonts w:hint="eastAsia" w:ascii="宋体" w:hAnsi="宋体" w:eastAsia="宋体" w:cs="宋体"/>
          <w:color w:val="auto"/>
          <w:sz w:val="32"/>
          <w:szCs w:val="32"/>
        </w:rPr>
        <w:t>附件《投标文件格式范本》</w:t>
      </w:r>
    </w:p>
    <w:p w14:paraId="258E76DD">
      <w:pPr>
        <w:jc w:val="center"/>
        <w:rPr>
          <w:rFonts w:hint="eastAsia" w:ascii="宋体" w:hAnsi="宋体" w:eastAsia="宋体" w:cs="宋体"/>
          <w:color w:val="auto"/>
          <w:lang w:eastAsia="zh-CN"/>
        </w:rPr>
      </w:pPr>
      <w:r>
        <w:rPr>
          <w:rFonts w:hint="eastAsia" w:ascii="宋体" w:hAnsi="宋体" w:eastAsia="宋体" w:cs="宋体"/>
          <w:color w:val="auto"/>
          <w:szCs w:val="21"/>
          <w:u w:val="single"/>
        </w:rPr>
        <w:br w:type="page"/>
      </w:r>
      <w:bookmarkStart w:id="32" w:name="OLE_LINK37"/>
      <w:r>
        <w:rPr>
          <w:rFonts w:hint="eastAsia" w:ascii="宋体" w:hAnsi="宋体" w:eastAsia="宋体" w:cs="宋体"/>
          <w:b/>
          <w:color w:val="auto"/>
          <w:kern w:val="44"/>
          <w:sz w:val="44"/>
        </w:rPr>
        <w:t xml:space="preserve">第三章 </w:t>
      </w:r>
      <w:r>
        <w:rPr>
          <w:rFonts w:hint="eastAsia" w:ascii="宋体" w:hAnsi="宋体" w:eastAsia="宋体" w:cs="宋体"/>
          <w:b/>
          <w:color w:val="auto"/>
          <w:kern w:val="44"/>
          <w:sz w:val="44"/>
          <w:lang w:eastAsia="zh-CN"/>
        </w:rPr>
        <w:t>采购需求</w:t>
      </w:r>
    </w:p>
    <w:p w14:paraId="3AC96565">
      <w:pPr>
        <w:spacing w:line="420" w:lineRule="exact"/>
        <w:rPr>
          <w:rFonts w:hint="eastAsia" w:ascii="宋体" w:hAnsi="宋体" w:eastAsia="宋体" w:cs="宋体"/>
          <w:color w:val="auto"/>
          <w:szCs w:val="21"/>
        </w:rPr>
      </w:pPr>
      <w:r>
        <w:rPr>
          <w:rFonts w:hint="eastAsia" w:ascii="宋体" w:hAnsi="宋体" w:eastAsia="宋体" w:cs="宋体"/>
          <w:color w:val="auto"/>
          <w:szCs w:val="21"/>
        </w:rPr>
        <w:t>编制说明：</w:t>
      </w:r>
    </w:p>
    <w:p w14:paraId="448DB94D">
      <w:pPr>
        <w:spacing w:line="420" w:lineRule="exact"/>
        <w:ind w:firstLine="420" w:firstLineChars="200"/>
        <w:rPr>
          <w:rFonts w:hint="eastAsia" w:ascii="宋体" w:hAnsi="宋体" w:eastAsia="宋体" w:cs="宋体"/>
          <w:color w:val="auto"/>
          <w:szCs w:val="21"/>
          <w:lang w:val="zh-CN"/>
        </w:rPr>
      </w:pPr>
      <w:r>
        <w:rPr>
          <w:rFonts w:hint="eastAsia" w:ascii="宋体" w:hAnsi="宋体" w:eastAsia="宋体" w:cs="宋体"/>
          <w:color w:val="auto"/>
          <w:szCs w:val="21"/>
          <w:lang w:val="zh-CN"/>
        </w:rPr>
        <w:t>《采购需求》中所涉及的设备品牌及型号，仅供参考，并无任何限制性。供应商可以选用其他替代标准、品牌或型号，但这些替代在质量和性能上不得低于《采购需求》的要求。</w:t>
      </w:r>
    </w:p>
    <w:p w14:paraId="5663E579">
      <w:pPr>
        <w:spacing w:line="420" w:lineRule="exact"/>
        <w:ind w:firstLine="420" w:firstLineChars="200"/>
        <w:rPr>
          <w:rFonts w:hint="eastAsia" w:ascii="宋体" w:hAnsi="宋体" w:eastAsia="宋体" w:cs="宋体"/>
          <w:color w:val="auto"/>
          <w:szCs w:val="21"/>
          <w:lang w:val="zh-CN"/>
        </w:rPr>
      </w:pPr>
      <w:r>
        <w:rPr>
          <w:rFonts w:hint="eastAsia" w:ascii="宋体" w:hAnsi="宋体" w:eastAsia="宋体" w:cs="宋体"/>
          <w:color w:val="auto"/>
          <w:szCs w:val="21"/>
          <w:lang w:val="zh-CN"/>
        </w:rPr>
        <w:t>《采购需求》中凡标注有“★”的地方为实质性响应条款，作为投标无效条款，请投标人注意，必须实质性点对点响应；否则将导致无效投标。</w:t>
      </w:r>
    </w:p>
    <w:p w14:paraId="0AFEBEB7">
      <w:pPr>
        <w:spacing w:line="420" w:lineRule="exact"/>
        <w:ind w:firstLine="420" w:firstLineChars="200"/>
        <w:rPr>
          <w:rFonts w:hint="eastAsia" w:ascii="宋体" w:hAnsi="宋体" w:eastAsia="宋体" w:cs="宋体"/>
          <w:color w:val="auto"/>
          <w:szCs w:val="21"/>
          <w:lang w:val="zh-CN"/>
        </w:rPr>
      </w:pPr>
      <w:r>
        <w:rPr>
          <w:rFonts w:hint="eastAsia" w:ascii="宋体" w:hAnsi="宋体" w:eastAsia="宋体" w:cs="宋体"/>
          <w:color w:val="auto"/>
          <w:szCs w:val="21"/>
          <w:lang w:val="zh-CN"/>
        </w:rPr>
        <w:t>《采购需求》中凡标注有“▲”的地方为重要条款，但不作为投标无效条款，请投标人注意，必须实质性点对点响应；否则将严重影响技术评分。</w:t>
      </w:r>
    </w:p>
    <w:p w14:paraId="1F301A24">
      <w:pPr>
        <w:spacing w:line="420" w:lineRule="exact"/>
        <w:ind w:firstLine="420" w:firstLineChars="200"/>
        <w:rPr>
          <w:rFonts w:hint="eastAsia" w:ascii="宋体" w:hAnsi="宋体" w:eastAsia="宋体" w:cs="宋体"/>
          <w:color w:val="auto"/>
          <w:szCs w:val="21"/>
          <w:lang w:val="zh-CN"/>
        </w:rPr>
      </w:pPr>
      <w:r>
        <w:rPr>
          <w:rFonts w:hint="eastAsia" w:ascii="宋体" w:hAnsi="宋体" w:eastAsia="宋体" w:cs="宋体"/>
          <w:color w:val="auto"/>
          <w:szCs w:val="21"/>
          <w:lang w:val="zh-CN"/>
        </w:rPr>
        <w:t>《采购需求》中凡标注有“◆”的地方为核心货物或服务，请投标人注意。</w:t>
      </w:r>
    </w:p>
    <w:p w14:paraId="608893DC">
      <w:pPr>
        <w:ind w:firstLine="420" w:firstLineChars="200"/>
        <w:rPr>
          <w:rFonts w:hint="eastAsia" w:ascii="宋体" w:hAnsi="宋体" w:eastAsia="宋体" w:cs="宋体"/>
          <w:color w:val="auto"/>
          <w:szCs w:val="21"/>
        </w:rPr>
      </w:pPr>
    </w:p>
    <w:p w14:paraId="7196BA38">
      <w:pPr>
        <w:numPr>
          <w:ilvl w:val="0"/>
          <w:numId w:val="0"/>
        </w:numPr>
        <w:spacing w:line="360" w:lineRule="auto"/>
        <w:rPr>
          <w:rFonts w:hint="eastAsia" w:ascii="宋体" w:hAnsi="宋体" w:eastAsia="宋体" w:cs="宋体"/>
          <w:b/>
          <w:color w:val="auto"/>
          <w:sz w:val="21"/>
          <w:szCs w:val="21"/>
          <w:lang w:val="en-US" w:eastAsia="zh-CN"/>
        </w:rPr>
      </w:pPr>
      <w:r>
        <w:rPr>
          <w:rFonts w:hint="eastAsia" w:ascii="宋体" w:hAnsi="宋体" w:eastAsia="宋体" w:cs="宋体"/>
          <w:b/>
          <w:color w:val="auto"/>
          <w:kern w:val="2"/>
          <w:sz w:val="21"/>
          <w:szCs w:val="21"/>
          <w:lang w:val="en-US" w:eastAsia="zh-CN" w:bidi="ar-SA"/>
        </w:rPr>
        <w:t>一、</w:t>
      </w:r>
      <w:r>
        <w:rPr>
          <w:rFonts w:hint="eastAsia" w:ascii="宋体" w:hAnsi="宋体" w:eastAsia="宋体" w:cs="宋体"/>
          <w:b/>
          <w:color w:val="auto"/>
          <w:sz w:val="21"/>
          <w:szCs w:val="21"/>
          <w:lang w:val="en-US" w:eastAsia="zh-CN"/>
        </w:rPr>
        <w:t>采购项目需求一览表</w:t>
      </w:r>
    </w:p>
    <w:tbl>
      <w:tblPr>
        <w:tblStyle w:val="17"/>
        <w:tblW w:w="9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7"/>
        <w:gridCol w:w="1562"/>
        <w:gridCol w:w="900"/>
        <w:gridCol w:w="1481"/>
        <w:gridCol w:w="3263"/>
        <w:gridCol w:w="1744"/>
      </w:tblGrid>
      <w:tr w14:paraId="48E66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457" w:type="dxa"/>
            <w:noWrap/>
            <w:vAlign w:val="center"/>
          </w:tcPr>
          <w:p w14:paraId="372841E3">
            <w:pPr>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序号</w:t>
            </w:r>
          </w:p>
        </w:tc>
        <w:tc>
          <w:tcPr>
            <w:tcW w:w="1562" w:type="dxa"/>
            <w:noWrap/>
            <w:vAlign w:val="center"/>
          </w:tcPr>
          <w:p w14:paraId="6038D96F">
            <w:pPr>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采购标的</w:t>
            </w:r>
          </w:p>
        </w:tc>
        <w:tc>
          <w:tcPr>
            <w:tcW w:w="900" w:type="dxa"/>
            <w:noWrap/>
            <w:vAlign w:val="center"/>
          </w:tcPr>
          <w:p w14:paraId="78FBD3B8">
            <w:pPr>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数量</w:t>
            </w:r>
          </w:p>
        </w:tc>
        <w:tc>
          <w:tcPr>
            <w:tcW w:w="1481" w:type="dxa"/>
            <w:noWrap/>
            <w:vAlign w:val="center"/>
          </w:tcPr>
          <w:p w14:paraId="591F53BB">
            <w:pPr>
              <w:jc w:val="center"/>
              <w:rPr>
                <w:rFonts w:hint="eastAsia" w:ascii="宋体" w:hAnsi="宋体" w:eastAsia="宋体" w:cs="宋体"/>
                <w:b/>
                <w:bCs/>
                <w:color w:val="auto"/>
                <w:sz w:val="21"/>
                <w:szCs w:val="21"/>
              </w:rPr>
            </w:pPr>
            <w:r>
              <w:rPr>
                <w:rFonts w:hint="eastAsia" w:ascii="宋体" w:hAnsi="宋体" w:eastAsia="宋体" w:cs="宋体"/>
                <w:b/>
                <w:bCs/>
                <w:color w:val="auto"/>
                <w:sz w:val="21"/>
                <w:szCs w:val="21"/>
              </w:rPr>
              <w:t>主要技术要求</w:t>
            </w:r>
          </w:p>
        </w:tc>
        <w:tc>
          <w:tcPr>
            <w:tcW w:w="3263" w:type="dxa"/>
            <w:noWrap/>
            <w:vAlign w:val="center"/>
          </w:tcPr>
          <w:p w14:paraId="01904BB5">
            <w:pPr>
              <w:jc w:val="center"/>
              <w:rPr>
                <w:rFonts w:hint="eastAsia" w:ascii="宋体" w:hAnsi="宋体" w:eastAsia="宋体" w:cs="宋体"/>
                <w:b/>
                <w:bCs/>
                <w:color w:val="auto"/>
                <w:sz w:val="21"/>
                <w:szCs w:val="21"/>
                <w:highlight w:val="none"/>
                <w:shd w:val="clear" w:color="auto" w:fill="auto"/>
              </w:rPr>
            </w:pPr>
            <w:r>
              <w:rPr>
                <w:rFonts w:hint="eastAsia" w:ascii="宋体" w:hAnsi="宋体" w:eastAsia="宋体" w:cs="宋体"/>
                <w:b/>
                <w:bCs/>
                <w:color w:val="auto"/>
                <w:sz w:val="21"/>
                <w:szCs w:val="21"/>
                <w:highlight w:val="none"/>
                <w:shd w:val="clear" w:color="auto" w:fill="auto"/>
              </w:rPr>
              <w:t>服务期</w:t>
            </w:r>
          </w:p>
        </w:tc>
        <w:tc>
          <w:tcPr>
            <w:tcW w:w="1744" w:type="dxa"/>
            <w:noWrap/>
            <w:vAlign w:val="center"/>
          </w:tcPr>
          <w:p w14:paraId="4D956358">
            <w:pPr>
              <w:spacing w:line="360" w:lineRule="auto"/>
              <w:jc w:val="center"/>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运营管理费收取</w:t>
            </w:r>
          </w:p>
          <w:p w14:paraId="03E1242A">
            <w:pPr>
              <w:spacing w:line="360" w:lineRule="auto"/>
              <w:jc w:val="center"/>
              <w:rPr>
                <w:rFonts w:hint="default" w:ascii="宋体" w:hAnsi="宋体" w:eastAsia="宋体" w:cs="宋体"/>
                <w:b/>
                <w:bCs/>
                <w:color w:val="auto"/>
                <w:sz w:val="21"/>
                <w:szCs w:val="21"/>
                <w:highlight w:val="none"/>
                <w:lang w:val="en-US"/>
              </w:rPr>
            </w:pPr>
            <w:r>
              <w:rPr>
                <w:rFonts w:hint="eastAsia" w:ascii="宋体" w:hAnsi="宋体" w:eastAsia="宋体" w:cs="宋体"/>
                <w:b/>
                <w:bCs/>
                <w:color w:val="auto"/>
                <w:sz w:val="21"/>
                <w:szCs w:val="21"/>
                <w:highlight w:val="none"/>
                <w:lang w:val="en-US" w:eastAsia="zh-CN"/>
              </w:rPr>
              <w:t>（三年合计）</w:t>
            </w:r>
          </w:p>
        </w:tc>
      </w:tr>
      <w:tr w14:paraId="35AE8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457" w:type="dxa"/>
            <w:noWrap/>
            <w:vAlign w:val="center"/>
          </w:tcPr>
          <w:p w14:paraId="7DB6648F">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1562" w:type="dxa"/>
            <w:noWrap/>
            <w:vAlign w:val="center"/>
          </w:tcPr>
          <w:p w14:paraId="6358C742">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韶关市示范性综合实践基地委托运营管理项目</w:t>
            </w:r>
          </w:p>
        </w:tc>
        <w:tc>
          <w:tcPr>
            <w:tcW w:w="900" w:type="dxa"/>
            <w:noWrap/>
            <w:vAlign w:val="center"/>
          </w:tcPr>
          <w:p w14:paraId="614A920E">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1项</w:t>
            </w:r>
          </w:p>
        </w:tc>
        <w:tc>
          <w:tcPr>
            <w:tcW w:w="1481" w:type="dxa"/>
            <w:noWrap/>
            <w:vAlign w:val="center"/>
          </w:tcPr>
          <w:p w14:paraId="3792E418">
            <w:pP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详见具体招标要求</w:t>
            </w:r>
          </w:p>
        </w:tc>
        <w:tc>
          <w:tcPr>
            <w:tcW w:w="3263" w:type="dxa"/>
            <w:noWrap/>
            <w:vAlign w:val="center"/>
          </w:tcPr>
          <w:p w14:paraId="489E385D">
            <w:pPr>
              <w:jc w:val="center"/>
              <w:rPr>
                <w:rFonts w:hint="eastAsia" w:ascii="宋体" w:hAnsi="宋体" w:eastAsia="宋体" w:cs="宋体"/>
                <w:color w:val="auto"/>
                <w:kern w:val="16"/>
                <w:sz w:val="21"/>
                <w:szCs w:val="21"/>
                <w:highlight w:val="none"/>
                <w:shd w:val="clear" w:color="auto" w:fill="auto"/>
                <w:lang w:eastAsia="zh-CN"/>
              </w:rPr>
            </w:pPr>
            <w:r>
              <w:rPr>
                <w:rFonts w:hint="eastAsia" w:ascii="宋体" w:hAnsi="宋体" w:eastAsia="宋体" w:cs="宋体"/>
                <w:color w:val="auto"/>
                <w:kern w:val="16"/>
                <w:sz w:val="21"/>
                <w:szCs w:val="21"/>
                <w:highlight w:val="none"/>
                <w:shd w:val="clear" w:color="auto" w:fill="auto"/>
                <w:lang w:eastAsia="zh-CN"/>
              </w:rPr>
              <w:t>本项目委托运营管理期限为</w:t>
            </w:r>
            <w:r>
              <w:rPr>
                <w:rFonts w:hint="eastAsia" w:ascii="宋体" w:hAnsi="宋体" w:eastAsia="宋体" w:cs="宋体"/>
                <w:color w:val="auto"/>
                <w:kern w:val="16"/>
                <w:sz w:val="21"/>
                <w:szCs w:val="21"/>
                <w:highlight w:val="none"/>
                <w:shd w:val="clear" w:color="auto" w:fill="auto"/>
                <w:lang w:val="en-US" w:eastAsia="zh-CN"/>
              </w:rPr>
              <w:t>3+2模式，即合同签署3年服务期，经合法程序后再续签服务期2年的合同（与相关政策冲突情况除外）。</w:t>
            </w:r>
            <w:r>
              <w:rPr>
                <w:rFonts w:hint="eastAsia" w:ascii="宋体" w:hAnsi="宋体" w:eastAsia="宋体" w:cs="宋体"/>
                <w:color w:val="auto"/>
                <w:kern w:val="16"/>
                <w:sz w:val="21"/>
                <w:szCs w:val="21"/>
                <w:highlight w:val="none"/>
                <w:shd w:val="clear" w:color="auto" w:fill="auto"/>
                <w:lang w:eastAsia="zh-CN"/>
              </w:rPr>
              <w:t>自合同签订之日起</w:t>
            </w:r>
            <w:r>
              <w:rPr>
                <w:rFonts w:hint="eastAsia" w:ascii="宋体" w:hAnsi="宋体" w:eastAsia="宋体" w:cs="宋体"/>
                <w:color w:val="auto"/>
                <w:kern w:val="16"/>
                <w:sz w:val="21"/>
                <w:szCs w:val="21"/>
                <w:highlight w:val="none"/>
                <w:shd w:val="clear" w:color="auto" w:fill="auto"/>
                <w:lang w:val="en-US" w:eastAsia="zh-CN"/>
              </w:rPr>
              <w:t>2个月后开始</w:t>
            </w:r>
            <w:r>
              <w:rPr>
                <w:rFonts w:hint="eastAsia" w:ascii="宋体" w:hAnsi="宋体" w:eastAsia="宋体" w:cs="宋体"/>
                <w:color w:val="auto"/>
                <w:kern w:val="16"/>
                <w:sz w:val="21"/>
                <w:szCs w:val="21"/>
                <w:highlight w:val="none"/>
                <w:shd w:val="clear" w:color="auto" w:fill="auto"/>
                <w:lang w:eastAsia="zh-CN"/>
              </w:rPr>
              <w:t>计算，预留</w:t>
            </w:r>
            <w:r>
              <w:rPr>
                <w:rFonts w:hint="eastAsia" w:ascii="宋体" w:hAnsi="宋体" w:eastAsia="宋体" w:cs="宋体"/>
                <w:color w:val="auto"/>
                <w:kern w:val="16"/>
                <w:sz w:val="21"/>
                <w:szCs w:val="21"/>
                <w:highlight w:val="none"/>
                <w:shd w:val="clear" w:color="auto" w:fill="auto"/>
                <w:lang w:val="en-US" w:eastAsia="zh-CN"/>
              </w:rPr>
              <w:t>2个月的交接、改造时间。</w:t>
            </w:r>
          </w:p>
        </w:tc>
        <w:tc>
          <w:tcPr>
            <w:tcW w:w="1744" w:type="dxa"/>
            <w:noWrap/>
            <w:vAlign w:val="center"/>
          </w:tcPr>
          <w:p w14:paraId="7F393D9C">
            <w:pPr>
              <w:keepNext w:val="0"/>
              <w:keepLines w:val="0"/>
              <w:widowControl w:val="0"/>
              <w:shd w:val="clear" w:color="auto" w:fill="auto"/>
              <w:bidi w:val="0"/>
              <w:spacing w:before="0" w:after="0" w:line="240" w:lineRule="auto"/>
              <w:ind w:left="0" w:leftChars="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不低于1157.19万元</w:t>
            </w:r>
          </w:p>
        </w:tc>
      </w:tr>
    </w:tbl>
    <w:p w14:paraId="278239AE">
      <w:pPr>
        <w:spacing w:line="420" w:lineRule="exact"/>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注：报价要求：第1年报价不低于377.81万元、第2年报价不低于385.65万元、第3年报价不低于393.73万元。第4年及后续年度租金以前一年租金为基数，根据供需状况及市场行情递增率不低于3%确定。本项目中标人负责实践基地提升改造、</w:t>
      </w:r>
      <w:r>
        <w:rPr>
          <w:rFonts w:hint="eastAsia" w:ascii="宋体" w:hAnsi="宋体" w:eastAsia="宋体" w:cs="宋体"/>
          <w:b/>
          <w:bCs/>
          <w:color w:val="auto"/>
          <w:kern w:val="0"/>
          <w:sz w:val="21"/>
          <w:szCs w:val="21"/>
        </w:rPr>
        <w:t>人工、</w:t>
      </w:r>
      <w:r>
        <w:rPr>
          <w:rFonts w:hint="eastAsia" w:ascii="宋体" w:hAnsi="宋体" w:eastAsia="宋体" w:cs="宋体"/>
          <w:b/>
          <w:bCs/>
          <w:color w:val="auto"/>
          <w:kern w:val="0"/>
          <w:sz w:val="21"/>
          <w:szCs w:val="21"/>
          <w:lang w:eastAsia="zh-CN"/>
        </w:rPr>
        <w:t>水电、燃料、</w:t>
      </w:r>
      <w:r>
        <w:rPr>
          <w:rFonts w:hint="eastAsia" w:ascii="宋体" w:hAnsi="宋体" w:eastAsia="宋体" w:cs="宋体"/>
          <w:b/>
          <w:bCs/>
          <w:color w:val="auto"/>
          <w:kern w:val="0"/>
          <w:sz w:val="21"/>
          <w:szCs w:val="21"/>
        </w:rPr>
        <w:t>管理、卫生清洁</w:t>
      </w:r>
      <w:r>
        <w:rPr>
          <w:rFonts w:hint="eastAsia" w:ascii="宋体" w:hAnsi="宋体" w:eastAsia="宋体" w:cs="宋体"/>
          <w:b/>
          <w:bCs/>
          <w:color w:val="auto"/>
          <w:kern w:val="0"/>
          <w:sz w:val="21"/>
          <w:szCs w:val="21"/>
          <w:lang w:eastAsia="zh-CN"/>
        </w:rPr>
        <w:t>、设备维修、</w:t>
      </w:r>
      <w:r>
        <w:rPr>
          <w:rFonts w:hint="eastAsia" w:ascii="宋体" w:hAnsi="宋体" w:eastAsia="宋体" w:cs="宋体"/>
          <w:b/>
          <w:bCs/>
          <w:color w:val="auto"/>
          <w:sz w:val="21"/>
          <w:szCs w:val="21"/>
          <w:lang w:val="en-US" w:eastAsia="zh-CN"/>
        </w:rPr>
        <w:t>耗材、医疗卫生与安全保障、课程教学、活动组织等费用，因委托运营管理项目涉及的前期基地资产评估费用也由中标人支付。</w:t>
      </w:r>
    </w:p>
    <w:p w14:paraId="05EB4C41">
      <w:pPr>
        <w:numPr>
          <w:ilvl w:val="0"/>
          <w:numId w:val="0"/>
        </w:numPr>
        <w:spacing w:line="360" w:lineRule="auto"/>
        <w:rPr>
          <w:rFonts w:hint="eastAsia" w:ascii="宋体" w:hAnsi="宋体" w:eastAsia="宋体" w:cs="宋体"/>
          <w:b/>
          <w:color w:val="auto"/>
          <w:kern w:val="2"/>
          <w:sz w:val="21"/>
          <w:szCs w:val="21"/>
          <w:lang w:val="en-US" w:eastAsia="zh-CN" w:bidi="ar-SA"/>
        </w:rPr>
      </w:pPr>
      <w:bookmarkStart w:id="33" w:name="OLE_LINK47"/>
    </w:p>
    <w:p w14:paraId="473E2F1D">
      <w:pPr>
        <w:numPr>
          <w:ilvl w:val="0"/>
          <w:numId w:val="0"/>
        </w:numPr>
        <w:spacing w:line="360" w:lineRule="auto"/>
        <w:rPr>
          <w:rFonts w:hint="eastAsia" w:ascii="宋体" w:hAnsi="宋体" w:eastAsia="宋体" w:cs="宋体"/>
          <w:b/>
          <w:color w:val="auto"/>
          <w:sz w:val="21"/>
          <w:szCs w:val="21"/>
          <w:lang w:val="en-US" w:eastAsia="zh-CN"/>
        </w:rPr>
      </w:pPr>
      <w:r>
        <w:rPr>
          <w:rFonts w:hint="eastAsia" w:ascii="宋体" w:hAnsi="宋体" w:eastAsia="宋体" w:cs="宋体"/>
          <w:b/>
          <w:color w:val="auto"/>
          <w:kern w:val="2"/>
          <w:sz w:val="21"/>
          <w:szCs w:val="21"/>
          <w:lang w:val="en-US" w:eastAsia="zh-CN" w:bidi="ar-SA"/>
        </w:rPr>
        <w:t>二、</w:t>
      </w:r>
      <w:r>
        <w:rPr>
          <w:rFonts w:hint="eastAsia" w:ascii="宋体" w:hAnsi="宋体" w:eastAsia="宋体" w:cs="宋体"/>
          <w:b/>
          <w:color w:val="auto"/>
          <w:sz w:val="21"/>
          <w:szCs w:val="21"/>
          <w:lang w:val="en-US" w:eastAsia="zh-CN"/>
        </w:rPr>
        <w:t>项目概述</w:t>
      </w:r>
    </w:p>
    <w:p w14:paraId="183A12C9">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left="0" w:leftChars="0" w:firstLine="422" w:firstLineChars="200"/>
        <w:textAlignment w:val="auto"/>
        <w:rPr>
          <w:rFonts w:hint="eastAsia" w:ascii="宋体" w:hAnsi="宋体" w:eastAsia="宋体" w:cs="宋体"/>
          <w:b/>
          <w:bCs/>
          <w:color w:val="auto"/>
          <w:sz w:val="21"/>
          <w:szCs w:val="21"/>
          <w:u w:val="none"/>
          <w:shd w:val="clear" w:color="auto" w:fill="auto"/>
          <w:lang w:eastAsia="zh-CN"/>
        </w:rPr>
      </w:pPr>
      <w:r>
        <w:rPr>
          <w:rFonts w:hint="eastAsia" w:ascii="宋体" w:hAnsi="宋体" w:eastAsia="宋体" w:cs="宋体"/>
          <w:b/>
          <w:bCs/>
          <w:color w:val="auto"/>
          <w:sz w:val="21"/>
          <w:szCs w:val="21"/>
          <w:u w:val="none"/>
          <w:shd w:val="clear" w:color="auto" w:fill="auto"/>
          <w:lang w:val="en-US" w:eastAsia="zh-CN"/>
        </w:rPr>
        <w:t>1.</w:t>
      </w:r>
      <w:r>
        <w:rPr>
          <w:rFonts w:hint="eastAsia" w:ascii="宋体" w:hAnsi="宋体" w:eastAsia="宋体" w:cs="宋体"/>
          <w:b/>
          <w:bCs/>
          <w:color w:val="auto"/>
          <w:sz w:val="21"/>
          <w:szCs w:val="21"/>
          <w:u w:val="none"/>
          <w:shd w:val="clear" w:color="auto" w:fill="auto"/>
        </w:rPr>
        <w:t>项目背景</w:t>
      </w:r>
      <w:r>
        <w:rPr>
          <w:rFonts w:hint="eastAsia" w:ascii="宋体" w:hAnsi="宋体" w:eastAsia="宋体" w:cs="宋体"/>
          <w:b/>
          <w:bCs/>
          <w:color w:val="auto"/>
          <w:sz w:val="21"/>
          <w:szCs w:val="21"/>
          <w:u w:val="none"/>
          <w:shd w:val="clear" w:color="auto" w:fill="auto"/>
          <w:lang w:eastAsia="zh-CN"/>
        </w:rPr>
        <w:t>：</w:t>
      </w:r>
    </w:p>
    <w:p w14:paraId="25069BD1">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highlight w:val="yellow"/>
          <w:u w:val="none"/>
          <w:shd w:val="clear" w:color="auto" w:fill="auto"/>
          <w:lang w:val="en-US" w:eastAsia="zh-CN"/>
        </w:rPr>
      </w:pPr>
      <w:r>
        <w:rPr>
          <w:rFonts w:hint="eastAsia" w:ascii="宋体" w:hAnsi="宋体" w:eastAsia="宋体" w:cs="宋体"/>
          <w:color w:val="auto"/>
          <w:sz w:val="21"/>
          <w:szCs w:val="21"/>
          <w:u w:val="none"/>
          <w:shd w:val="clear" w:color="auto" w:fill="auto"/>
        </w:rPr>
        <w:t>以习近平新时代中国特色社会主义思想为指导，深入贯彻党的二十大</w:t>
      </w:r>
      <w:r>
        <w:rPr>
          <w:rFonts w:hint="eastAsia" w:ascii="宋体" w:hAnsi="宋体" w:eastAsia="宋体" w:cs="宋体"/>
          <w:color w:val="auto"/>
          <w:sz w:val="21"/>
          <w:szCs w:val="21"/>
          <w:u w:val="none"/>
          <w:shd w:val="clear" w:color="auto" w:fill="auto"/>
          <w:lang w:eastAsia="zh-CN"/>
        </w:rPr>
        <w:t>、二中、三中全会</w:t>
      </w:r>
      <w:r>
        <w:rPr>
          <w:rFonts w:hint="eastAsia" w:ascii="宋体" w:hAnsi="宋体" w:eastAsia="宋体" w:cs="宋体"/>
          <w:color w:val="auto"/>
          <w:sz w:val="21"/>
          <w:szCs w:val="21"/>
          <w:u w:val="none"/>
          <w:shd w:val="clear" w:color="auto" w:fill="auto"/>
        </w:rPr>
        <w:t>精神，贯彻</w:t>
      </w:r>
      <w:r>
        <w:rPr>
          <w:rFonts w:hint="eastAsia" w:ascii="宋体" w:hAnsi="宋体" w:eastAsia="宋体" w:cs="宋体"/>
          <w:color w:val="auto"/>
          <w:sz w:val="21"/>
          <w:szCs w:val="21"/>
          <w:u w:val="none"/>
          <w:shd w:val="clear" w:color="auto" w:fill="auto"/>
          <w:lang w:eastAsia="zh-CN"/>
        </w:rPr>
        <w:t>落实</w:t>
      </w:r>
      <w:r>
        <w:rPr>
          <w:rFonts w:hint="eastAsia" w:ascii="宋体" w:hAnsi="宋体" w:eastAsia="宋体" w:cs="宋体"/>
          <w:color w:val="auto"/>
          <w:sz w:val="21"/>
          <w:szCs w:val="21"/>
          <w:u w:val="none"/>
          <w:shd w:val="clear" w:color="auto" w:fill="auto"/>
        </w:rPr>
        <w:t>新发展理念，加快推进行政事业单位各类</w:t>
      </w:r>
      <w:bookmarkStart w:id="34" w:name="OLE_LINK32"/>
      <w:r>
        <w:rPr>
          <w:rFonts w:hint="eastAsia" w:ascii="宋体" w:hAnsi="宋体" w:eastAsia="宋体" w:cs="宋体"/>
          <w:color w:val="auto"/>
          <w:sz w:val="21"/>
          <w:szCs w:val="21"/>
          <w:u w:val="none"/>
          <w:shd w:val="clear" w:color="auto" w:fill="auto"/>
        </w:rPr>
        <w:t>国有资产</w:t>
      </w:r>
      <w:bookmarkEnd w:id="34"/>
      <w:r>
        <w:rPr>
          <w:rFonts w:hint="eastAsia" w:ascii="宋体" w:hAnsi="宋体" w:eastAsia="宋体" w:cs="宋体"/>
          <w:color w:val="auto"/>
          <w:sz w:val="21"/>
          <w:szCs w:val="21"/>
          <w:u w:val="none"/>
          <w:shd w:val="clear" w:color="auto" w:fill="auto"/>
        </w:rPr>
        <w:t>盘活利用，提升实践基地</w:t>
      </w:r>
      <w:bookmarkStart w:id="35" w:name="OLE_LINK35"/>
      <w:r>
        <w:rPr>
          <w:rFonts w:hint="eastAsia" w:ascii="宋体" w:hAnsi="宋体" w:eastAsia="宋体" w:cs="宋体"/>
          <w:color w:val="auto"/>
          <w:sz w:val="21"/>
          <w:szCs w:val="21"/>
          <w:u w:val="none"/>
          <w:shd w:val="clear" w:color="auto" w:fill="auto"/>
        </w:rPr>
        <w:t>国有资产</w:t>
      </w:r>
      <w:bookmarkEnd w:id="35"/>
      <w:r>
        <w:rPr>
          <w:rFonts w:hint="eastAsia" w:ascii="宋体" w:hAnsi="宋体" w:eastAsia="宋体" w:cs="宋体"/>
          <w:color w:val="auto"/>
          <w:sz w:val="21"/>
          <w:szCs w:val="21"/>
          <w:u w:val="none"/>
          <w:shd w:val="clear" w:color="auto" w:fill="auto"/>
          <w:lang w:eastAsia="zh-CN"/>
        </w:rPr>
        <w:t>的</w:t>
      </w:r>
      <w:r>
        <w:rPr>
          <w:rFonts w:hint="eastAsia" w:ascii="宋体" w:hAnsi="宋体" w:eastAsia="宋体" w:cs="宋体"/>
          <w:color w:val="auto"/>
          <w:sz w:val="21"/>
          <w:szCs w:val="21"/>
          <w:u w:val="none"/>
          <w:shd w:val="clear" w:color="auto" w:fill="auto"/>
        </w:rPr>
        <w:t>利用效率，增加财政收入，拉动区域内消费，激发曲江经济活力</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为保障行政事业单位履职和事业发展、促进经济社会发展提供更加坚实的物质基础。</w:t>
      </w:r>
      <w:r>
        <w:rPr>
          <w:rFonts w:hint="eastAsia" w:ascii="宋体" w:hAnsi="宋体" w:eastAsia="宋体" w:cs="宋体"/>
          <w:color w:val="auto"/>
          <w:sz w:val="21"/>
          <w:szCs w:val="21"/>
          <w:u w:val="none"/>
          <w:shd w:val="clear" w:color="auto" w:fill="auto"/>
          <w:lang w:eastAsia="zh-CN"/>
        </w:rPr>
        <w:t>现</w:t>
      </w:r>
      <w:r>
        <w:rPr>
          <w:rFonts w:hint="eastAsia" w:ascii="宋体" w:hAnsi="宋体" w:eastAsia="宋体" w:cs="宋体"/>
          <w:color w:val="auto"/>
          <w:sz w:val="21"/>
          <w:szCs w:val="21"/>
          <w:u w:val="none"/>
          <w:shd w:val="clear" w:color="auto" w:fill="auto"/>
        </w:rPr>
        <w:t>决定在保持</w:t>
      </w:r>
      <w:bookmarkStart w:id="36" w:name="OLE_LINK34"/>
      <w:r>
        <w:rPr>
          <w:rFonts w:hint="eastAsia" w:ascii="宋体" w:hAnsi="宋体" w:eastAsia="宋体" w:cs="宋体"/>
          <w:color w:val="auto"/>
          <w:sz w:val="21"/>
          <w:szCs w:val="21"/>
          <w:u w:val="none"/>
          <w:shd w:val="clear" w:color="auto" w:fill="auto"/>
        </w:rPr>
        <w:t>实践基地现有功能</w:t>
      </w:r>
      <w:bookmarkEnd w:id="36"/>
      <w:r>
        <w:rPr>
          <w:rFonts w:hint="eastAsia" w:ascii="宋体" w:hAnsi="宋体" w:eastAsia="宋体" w:cs="宋体"/>
          <w:color w:val="auto"/>
          <w:sz w:val="21"/>
          <w:szCs w:val="21"/>
          <w:u w:val="none"/>
          <w:shd w:val="clear" w:color="auto" w:fill="auto"/>
          <w:lang w:eastAsia="zh-CN"/>
        </w:rPr>
        <w:t>前提下、以</w:t>
      </w:r>
      <w:r>
        <w:rPr>
          <w:rFonts w:hint="eastAsia" w:ascii="宋体" w:hAnsi="宋体" w:eastAsia="宋体" w:cs="宋体"/>
          <w:color w:val="auto"/>
          <w:sz w:val="21"/>
          <w:szCs w:val="21"/>
          <w:u w:val="none"/>
          <w:shd w:val="clear" w:color="auto" w:fill="auto"/>
        </w:rPr>
        <w:t>实践基地现有国有资产</w:t>
      </w:r>
      <w:r>
        <w:rPr>
          <w:rFonts w:hint="eastAsia" w:ascii="宋体" w:hAnsi="宋体" w:eastAsia="宋体" w:cs="宋体"/>
          <w:color w:val="auto"/>
          <w:sz w:val="21"/>
          <w:szCs w:val="21"/>
          <w:u w:val="none"/>
          <w:shd w:val="clear" w:color="auto" w:fill="auto"/>
          <w:lang w:eastAsia="zh-CN"/>
        </w:rPr>
        <w:t>为</w:t>
      </w:r>
      <w:r>
        <w:rPr>
          <w:rFonts w:hint="eastAsia" w:ascii="宋体" w:hAnsi="宋体" w:eastAsia="宋体" w:cs="宋体"/>
          <w:color w:val="auto"/>
          <w:sz w:val="21"/>
          <w:szCs w:val="21"/>
          <w:u w:val="none"/>
          <w:shd w:val="clear" w:color="auto" w:fill="auto"/>
        </w:rPr>
        <w:t>基础</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通过公开招标的方式引进优质的社会资源和专业团队对基地进行提升改造并以委托运营的模式对</w:t>
      </w:r>
      <w:r>
        <w:rPr>
          <w:rFonts w:hint="eastAsia" w:ascii="宋体" w:hAnsi="宋体" w:eastAsia="宋体" w:cs="宋体"/>
          <w:color w:val="auto"/>
          <w:sz w:val="21"/>
          <w:szCs w:val="21"/>
          <w:u w:val="none"/>
          <w:shd w:val="clear" w:color="auto" w:fill="auto"/>
          <w:lang w:eastAsia="zh-CN"/>
        </w:rPr>
        <w:t>实践</w:t>
      </w:r>
      <w:r>
        <w:rPr>
          <w:rFonts w:hint="eastAsia" w:ascii="宋体" w:hAnsi="宋体" w:eastAsia="宋体" w:cs="宋体"/>
          <w:color w:val="auto"/>
          <w:sz w:val="21"/>
          <w:szCs w:val="21"/>
          <w:u w:val="none"/>
          <w:shd w:val="clear" w:color="auto" w:fill="auto"/>
        </w:rPr>
        <w:t>基地进行运营和管理。</w:t>
      </w:r>
    </w:p>
    <w:p w14:paraId="32F70751">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left="0" w:leftChars="0" w:firstLine="422" w:firstLineChars="200"/>
        <w:textAlignment w:val="auto"/>
        <w:rPr>
          <w:rFonts w:hint="eastAsia" w:ascii="宋体" w:hAnsi="宋体" w:eastAsia="宋体" w:cs="宋体"/>
          <w:b/>
          <w:bCs/>
          <w:color w:val="auto"/>
          <w:sz w:val="21"/>
          <w:szCs w:val="21"/>
          <w:u w:val="none"/>
          <w:shd w:val="clear" w:color="auto" w:fill="auto"/>
          <w:lang w:eastAsia="zh-CN"/>
        </w:rPr>
      </w:pPr>
      <w:r>
        <w:rPr>
          <w:rFonts w:hint="eastAsia" w:ascii="宋体" w:hAnsi="宋体" w:eastAsia="宋体" w:cs="宋体"/>
          <w:b/>
          <w:bCs/>
          <w:color w:val="auto"/>
          <w:sz w:val="21"/>
          <w:szCs w:val="21"/>
          <w:u w:val="none"/>
          <w:shd w:val="clear" w:color="auto" w:fill="auto"/>
          <w:lang w:val="en-US" w:eastAsia="zh-CN"/>
        </w:rPr>
        <w:t>2.</w:t>
      </w:r>
      <w:r>
        <w:rPr>
          <w:rFonts w:hint="eastAsia" w:ascii="宋体" w:hAnsi="宋体" w:eastAsia="宋体" w:cs="宋体"/>
          <w:b/>
          <w:bCs/>
          <w:color w:val="auto"/>
          <w:sz w:val="21"/>
          <w:szCs w:val="21"/>
          <w:u w:val="none"/>
          <w:shd w:val="clear" w:color="auto" w:fill="auto"/>
        </w:rPr>
        <w:t>政策文件</w:t>
      </w:r>
      <w:r>
        <w:rPr>
          <w:rFonts w:hint="eastAsia" w:ascii="宋体" w:hAnsi="宋体" w:eastAsia="宋体" w:cs="宋体"/>
          <w:b/>
          <w:bCs/>
          <w:color w:val="auto"/>
          <w:sz w:val="21"/>
          <w:szCs w:val="21"/>
          <w:u w:val="none"/>
          <w:shd w:val="clear" w:color="auto" w:fill="auto"/>
          <w:lang w:eastAsia="zh-CN"/>
        </w:rPr>
        <w:t>：</w:t>
      </w:r>
    </w:p>
    <w:p w14:paraId="18474ED3">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left="0" w:leftChars="0" w:firstLine="420" w:firstLineChars="200"/>
        <w:textAlignment w:val="auto"/>
        <w:rPr>
          <w:rFonts w:hint="eastAsia" w:ascii="宋体" w:hAnsi="宋体" w:eastAsia="宋体" w:cs="宋体"/>
          <w:bCs/>
          <w:color w:val="auto"/>
          <w:kern w:val="0"/>
          <w:sz w:val="21"/>
          <w:szCs w:val="21"/>
          <w:u w:val="none"/>
          <w:shd w:val="clear" w:color="auto" w:fill="auto"/>
          <w:lang w:eastAsia="zh-CN"/>
        </w:rPr>
      </w:pPr>
      <w:r>
        <w:rPr>
          <w:rFonts w:hint="eastAsia" w:ascii="宋体" w:hAnsi="宋体" w:eastAsia="宋体" w:cs="宋体"/>
          <w:bCs/>
          <w:color w:val="auto"/>
          <w:kern w:val="0"/>
          <w:sz w:val="21"/>
          <w:szCs w:val="21"/>
          <w:u w:val="none"/>
          <w:shd w:val="clear" w:color="auto" w:fill="auto"/>
          <w:lang w:eastAsia="zh-CN"/>
        </w:rPr>
        <w:t>（</w:t>
      </w:r>
      <w:r>
        <w:rPr>
          <w:rFonts w:hint="eastAsia" w:ascii="宋体" w:hAnsi="宋体" w:eastAsia="宋体" w:cs="宋体"/>
          <w:bCs/>
          <w:color w:val="auto"/>
          <w:kern w:val="0"/>
          <w:sz w:val="21"/>
          <w:szCs w:val="21"/>
          <w:u w:val="none"/>
          <w:shd w:val="clear" w:color="auto" w:fill="auto"/>
          <w:lang w:val="en-US" w:eastAsia="zh-CN"/>
        </w:rPr>
        <w:t>1）</w:t>
      </w:r>
      <w:r>
        <w:rPr>
          <w:rFonts w:hint="eastAsia" w:ascii="宋体" w:hAnsi="宋体" w:eastAsia="宋体" w:cs="宋体"/>
          <w:bCs/>
          <w:color w:val="auto"/>
          <w:kern w:val="0"/>
          <w:sz w:val="21"/>
          <w:szCs w:val="21"/>
          <w:u w:val="none"/>
          <w:shd w:val="clear" w:color="auto" w:fill="auto"/>
        </w:rPr>
        <w:t>中共中央办公厅国务院办公厅</w:t>
      </w:r>
      <w:bookmarkStart w:id="37" w:name="OLE_LINK36"/>
      <w:r>
        <w:rPr>
          <w:rFonts w:hint="eastAsia" w:ascii="宋体" w:hAnsi="宋体" w:eastAsia="宋体" w:cs="宋体"/>
          <w:bCs/>
          <w:color w:val="auto"/>
          <w:kern w:val="0"/>
          <w:sz w:val="21"/>
          <w:szCs w:val="21"/>
          <w:u w:val="none"/>
          <w:shd w:val="clear" w:color="auto" w:fill="auto"/>
        </w:rPr>
        <w:t>印发</w:t>
      </w:r>
      <w:bookmarkEnd w:id="37"/>
      <w:r>
        <w:rPr>
          <w:rFonts w:hint="eastAsia" w:ascii="宋体" w:hAnsi="宋体" w:eastAsia="宋体" w:cs="宋体"/>
          <w:bCs/>
          <w:color w:val="auto"/>
          <w:kern w:val="0"/>
          <w:sz w:val="21"/>
          <w:szCs w:val="21"/>
          <w:u w:val="none"/>
          <w:shd w:val="clear" w:color="auto" w:fill="auto"/>
        </w:rPr>
        <w:t>《关于进一步加强和改进未成年人校外活动场所建设和管理工作的意见》</w:t>
      </w:r>
      <w:r>
        <w:rPr>
          <w:rFonts w:hint="eastAsia" w:ascii="宋体" w:hAnsi="宋体" w:eastAsia="宋体" w:cs="宋体"/>
          <w:bCs/>
          <w:color w:val="auto"/>
          <w:kern w:val="0"/>
          <w:sz w:val="21"/>
          <w:szCs w:val="21"/>
          <w:u w:val="none"/>
          <w:shd w:val="clear" w:color="auto" w:fill="auto"/>
          <w:lang w:eastAsia="zh-CN"/>
        </w:rPr>
        <w:t>；</w:t>
      </w:r>
    </w:p>
    <w:p w14:paraId="6A33FA7E">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lang w:val="en-US" w:eastAsia="zh-CN"/>
        </w:rPr>
      </w:pPr>
      <w:r>
        <w:rPr>
          <w:rFonts w:hint="eastAsia" w:ascii="宋体" w:hAnsi="宋体" w:eastAsia="宋体" w:cs="宋体"/>
          <w:bCs/>
          <w:color w:val="auto"/>
          <w:kern w:val="0"/>
          <w:sz w:val="21"/>
          <w:szCs w:val="21"/>
          <w:u w:val="none"/>
          <w:shd w:val="clear" w:color="auto" w:fill="auto"/>
          <w:lang w:eastAsia="zh-CN"/>
        </w:rPr>
        <w:t>（</w:t>
      </w:r>
      <w:r>
        <w:rPr>
          <w:rFonts w:hint="eastAsia" w:ascii="宋体" w:hAnsi="宋体" w:eastAsia="宋体" w:cs="宋体"/>
          <w:bCs/>
          <w:color w:val="auto"/>
          <w:kern w:val="0"/>
          <w:sz w:val="21"/>
          <w:szCs w:val="21"/>
          <w:u w:val="none"/>
          <w:shd w:val="clear" w:color="auto" w:fill="auto"/>
          <w:lang w:val="en-US" w:eastAsia="zh-CN"/>
        </w:rPr>
        <w:t>2</w:t>
      </w:r>
      <w:r>
        <w:rPr>
          <w:rFonts w:hint="eastAsia" w:ascii="宋体" w:hAnsi="宋体" w:eastAsia="宋体" w:cs="宋体"/>
          <w:bCs/>
          <w:color w:val="auto"/>
          <w:kern w:val="0"/>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eastAsia="zh-CN"/>
        </w:rPr>
        <w:t>教育部</w:t>
      </w:r>
      <w:r>
        <w:rPr>
          <w:rFonts w:hint="eastAsia" w:ascii="宋体" w:hAnsi="宋体" w:eastAsia="宋体" w:cs="宋体"/>
          <w:bCs/>
          <w:color w:val="auto"/>
          <w:kern w:val="0"/>
          <w:sz w:val="21"/>
          <w:szCs w:val="21"/>
          <w:u w:val="none"/>
          <w:shd w:val="clear" w:color="auto" w:fill="auto"/>
        </w:rPr>
        <w:t>印发</w:t>
      </w:r>
      <w:r>
        <w:rPr>
          <w:rFonts w:hint="eastAsia" w:ascii="宋体" w:hAnsi="宋体" w:eastAsia="宋体" w:cs="宋体"/>
          <w:color w:val="auto"/>
          <w:sz w:val="21"/>
          <w:szCs w:val="21"/>
          <w:u w:val="none"/>
          <w:shd w:val="clear" w:color="auto" w:fill="auto"/>
          <w:lang w:val="en-US" w:eastAsia="zh-CN"/>
        </w:rPr>
        <w:t>《中小学德育工作指南》；</w:t>
      </w:r>
    </w:p>
    <w:p w14:paraId="2D9FE391">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lang w:eastAsia="zh-CN"/>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3</w:t>
      </w:r>
      <w:r>
        <w:rPr>
          <w:rFonts w:hint="eastAsia" w:ascii="宋体" w:hAnsi="宋体" w:eastAsia="宋体" w:cs="宋体"/>
          <w:color w:val="auto"/>
          <w:sz w:val="21"/>
          <w:szCs w:val="21"/>
          <w:u w:val="none"/>
          <w:shd w:val="clear" w:color="auto" w:fill="auto"/>
          <w:lang w:eastAsia="zh-CN"/>
        </w:rPr>
        <w:t>）教育部基础教育一司印发</w:t>
      </w:r>
      <w:r>
        <w:rPr>
          <w:rFonts w:hint="eastAsia" w:ascii="宋体" w:hAnsi="宋体" w:eastAsia="宋体" w:cs="宋体"/>
          <w:color w:val="auto"/>
          <w:sz w:val="21"/>
          <w:szCs w:val="21"/>
          <w:u w:val="none"/>
          <w:shd w:val="clear" w:color="auto" w:fill="auto"/>
        </w:rPr>
        <w:t>《示范性综合实践基地</w:t>
      </w:r>
      <w:r>
        <w:rPr>
          <w:rFonts w:hint="eastAsia" w:ascii="宋体" w:hAnsi="宋体" w:eastAsia="宋体" w:cs="宋体"/>
          <w:color w:val="auto"/>
          <w:sz w:val="21"/>
          <w:szCs w:val="21"/>
          <w:u w:val="none"/>
          <w:shd w:val="clear" w:color="auto" w:fill="auto"/>
          <w:lang w:eastAsia="zh-CN"/>
        </w:rPr>
        <w:t>实践</w:t>
      </w:r>
      <w:r>
        <w:rPr>
          <w:rFonts w:hint="eastAsia" w:ascii="宋体" w:hAnsi="宋体" w:eastAsia="宋体" w:cs="宋体"/>
          <w:color w:val="auto"/>
          <w:sz w:val="21"/>
          <w:szCs w:val="21"/>
          <w:u w:val="none"/>
          <w:shd w:val="clear" w:color="auto" w:fill="auto"/>
        </w:rPr>
        <w:t>活动指南》</w:t>
      </w:r>
      <w:r>
        <w:rPr>
          <w:rFonts w:hint="eastAsia" w:ascii="宋体" w:hAnsi="宋体" w:eastAsia="宋体" w:cs="宋体"/>
          <w:color w:val="auto"/>
          <w:sz w:val="21"/>
          <w:szCs w:val="21"/>
          <w:u w:val="none"/>
          <w:shd w:val="clear" w:color="auto" w:fill="auto"/>
          <w:lang w:eastAsia="zh-CN"/>
        </w:rPr>
        <w:t>（试行）；</w:t>
      </w:r>
    </w:p>
    <w:p w14:paraId="054AFC07">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lang w:eastAsia="zh-CN"/>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4</w:t>
      </w:r>
      <w:r>
        <w:rPr>
          <w:rFonts w:hint="eastAsia" w:ascii="宋体" w:hAnsi="宋体" w:eastAsia="宋体" w:cs="宋体"/>
          <w:color w:val="auto"/>
          <w:sz w:val="21"/>
          <w:szCs w:val="21"/>
          <w:u w:val="none"/>
          <w:shd w:val="clear" w:color="auto" w:fill="auto"/>
          <w:lang w:eastAsia="zh-CN"/>
        </w:rPr>
        <w:t>）教育部印发</w:t>
      </w:r>
      <w:r>
        <w:rPr>
          <w:rFonts w:hint="eastAsia" w:ascii="宋体" w:hAnsi="宋体" w:eastAsia="宋体" w:cs="宋体"/>
          <w:color w:val="auto"/>
          <w:sz w:val="21"/>
          <w:szCs w:val="21"/>
          <w:u w:val="none"/>
          <w:shd w:val="clear" w:color="auto" w:fill="auto"/>
        </w:rPr>
        <w:t>《中小学综合实践活动课程指导纲要》</w:t>
      </w:r>
      <w:bookmarkStart w:id="38" w:name="OLE_LINK39"/>
      <w:r>
        <w:rPr>
          <w:rFonts w:hint="eastAsia" w:ascii="宋体" w:hAnsi="宋体" w:eastAsia="宋体" w:cs="宋体"/>
          <w:color w:val="auto"/>
          <w:sz w:val="21"/>
          <w:szCs w:val="21"/>
          <w:u w:val="none"/>
          <w:shd w:val="clear" w:color="auto" w:fill="auto"/>
          <w:lang w:eastAsia="zh-CN"/>
        </w:rPr>
        <w:t>；</w:t>
      </w:r>
    </w:p>
    <w:p w14:paraId="0E0BE2AB">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lang w:eastAsia="zh-CN"/>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5</w:t>
      </w:r>
      <w:r>
        <w:rPr>
          <w:rFonts w:hint="eastAsia" w:ascii="宋体" w:hAnsi="宋体" w:eastAsia="宋体" w:cs="宋体"/>
          <w:color w:val="auto"/>
          <w:sz w:val="21"/>
          <w:szCs w:val="21"/>
          <w:u w:val="none"/>
          <w:shd w:val="clear" w:color="auto" w:fill="auto"/>
          <w:lang w:eastAsia="zh-CN"/>
        </w:rPr>
        <w:t>）广东省教育厅印发</w:t>
      </w:r>
      <w:bookmarkEnd w:id="38"/>
      <w:r>
        <w:rPr>
          <w:rFonts w:hint="eastAsia" w:ascii="宋体" w:hAnsi="宋体" w:eastAsia="宋体" w:cs="宋体"/>
          <w:color w:val="auto"/>
          <w:sz w:val="21"/>
          <w:szCs w:val="21"/>
          <w:u w:val="none"/>
          <w:shd w:val="clear" w:color="auto" w:fill="auto"/>
          <w:lang w:eastAsia="zh-CN"/>
        </w:rPr>
        <w:t>《</w:t>
      </w:r>
      <w:bookmarkStart w:id="39" w:name="OLE_LINK38"/>
      <w:r>
        <w:rPr>
          <w:rFonts w:hint="eastAsia" w:ascii="宋体" w:hAnsi="宋体" w:eastAsia="宋体" w:cs="宋体"/>
          <w:color w:val="auto"/>
          <w:sz w:val="21"/>
          <w:szCs w:val="21"/>
          <w:u w:val="none"/>
          <w:shd w:val="clear" w:color="auto" w:fill="auto"/>
          <w:lang w:eastAsia="zh-CN"/>
        </w:rPr>
        <w:t>广东省</w:t>
      </w:r>
      <w:bookmarkEnd w:id="39"/>
      <w:r>
        <w:rPr>
          <w:rFonts w:hint="eastAsia" w:ascii="宋体" w:hAnsi="宋体" w:eastAsia="宋体" w:cs="宋体"/>
          <w:color w:val="auto"/>
          <w:sz w:val="21"/>
          <w:szCs w:val="21"/>
          <w:u w:val="none"/>
          <w:shd w:val="clear" w:color="auto" w:fill="auto"/>
          <w:lang w:eastAsia="zh-CN"/>
        </w:rPr>
        <w:t>关于加强全省中小学生研学实践教育活动管理的通知》；</w:t>
      </w:r>
      <w:bookmarkStart w:id="40" w:name="OLE_LINK40"/>
    </w:p>
    <w:p w14:paraId="744B98CB">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lang w:eastAsia="zh-CN"/>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6</w:t>
      </w:r>
      <w:r>
        <w:rPr>
          <w:rFonts w:hint="eastAsia" w:ascii="宋体" w:hAnsi="宋体" w:eastAsia="宋体" w:cs="宋体"/>
          <w:color w:val="auto"/>
          <w:sz w:val="21"/>
          <w:szCs w:val="21"/>
          <w:u w:val="none"/>
          <w:shd w:val="clear" w:color="auto" w:fill="auto"/>
          <w:lang w:eastAsia="zh-CN"/>
        </w:rPr>
        <w:t>）广东省教育厅印发</w:t>
      </w:r>
      <w:bookmarkEnd w:id="40"/>
      <w:r>
        <w:rPr>
          <w:rFonts w:hint="eastAsia" w:ascii="宋体" w:hAnsi="宋体" w:eastAsia="宋体" w:cs="宋体"/>
          <w:color w:val="auto"/>
          <w:sz w:val="21"/>
          <w:szCs w:val="21"/>
          <w:u w:val="none"/>
          <w:shd w:val="clear" w:color="auto" w:fill="auto"/>
          <w:lang w:eastAsia="zh-CN"/>
        </w:rPr>
        <w:t>《广东省中小学研学实践教育基（营）地申报标准》；</w:t>
      </w:r>
    </w:p>
    <w:p w14:paraId="16BF6C3E">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lang w:eastAsia="zh-CN"/>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7</w:t>
      </w:r>
      <w:r>
        <w:rPr>
          <w:rFonts w:hint="eastAsia" w:ascii="宋体" w:hAnsi="宋体" w:eastAsia="宋体" w:cs="宋体"/>
          <w:color w:val="auto"/>
          <w:sz w:val="21"/>
          <w:szCs w:val="21"/>
          <w:u w:val="none"/>
          <w:shd w:val="clear" w:color="auto" w:fill="auto"/>
          <w:lang w:eastAsia="zh-CN"/>
        </w:rPr>
        <w:t>）韶关市《研学旅行服务规范》；</w:t>
      </w:r>
    </w:p>
    <w:p w14:paraId="019937A5">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firstLine="420" w:firstLineChars="200"/>
        <w:textAlignment w:val="auto"/>
        <w:rPr>
          <w:rFonts w:hint="eastAsia" w:ascii="宋体" w:hAnsi="宋体" w:eastAsia="宋体" w:cs="宋体"/>
          <w:color w:val="auto"/>
          <w:sz w:val="21"/>
          <w:szCs w:val="21"/>
          <w:u w:val="none"/>
          <w:shd w:val="clear" w:color="auto" w:fill="auto"/>
        </w:rPr>
      </w:pPr>
      <w:r>
        <w:rPr>
          <w:rFonts w:hint="eastAsia" w:ascii="宋体" w:hAnsi="宋体" w:eastAsia="宋体" w:cs="宋体"/>
          <w:color w:val="auto"/>
          <w:sz w:val="21"/>
          <w:szCs w:val="21"/>
          <w:u w:val="none"/>
          <w:shd w:val="clear" w:color="auto" w:fill="auto"/>
          <w:lang w:val="en-US" w:eastAsia="zh-CN"/>
        </w:rPr>
        <w:t>(8）</w:t>
      </w:r>
      <w:r>
        <w:rPr>
          <w:rFonts w:hint="eastAsia" w:ascii="宋体" w:hAnsi="宋体" w:eastAsia="宋体" w:cs="宋体"/>
          <w:color w:val="auto"/>
          <w:sz w:val="21"/>
          <w:szCs w:val="21"/>
          <w:u w:val="none"/>
          <w:shd w:val="clear" w:color="auto" w:fill="auto"/>
          <w:lang w:eastAsia="zh-CN"/>
        </w:rPr>
        <w:t>广东省教育厅印发</w:t>
      </w:r>
      <w:r>
        <w:rPr>
          <w:rFonts w:hint="eastAsia" w:ascii="宋体" w:hAnsi="宋体" w:eastAsia="宋体" w:cs="宋体"/>
          <w:color w:val="auto"/>
          <w:sz w:val="21"/>
          <w:szCs w:val="21"/>
          <w:u w:val="none"/>
          <w:shd w:val="clear" w:color="auto" w:fill="auto"/>
        </w:rPr>
        <w:t>《</w:t>
      </w:r>
      <w:r>
        <w:rPr>
          <w:rFonts w:hint="eastAsia" w:ascii="宋体" w:hAnsi="宋体" w:eastAsia="宋体" w:cs="宋体"/>
          <w:color w:val="auto"/>
          <w:sz w:val="21"/>
          <w:szCs w:val="21"/>
          <w:u w:val="none"/>
          <w:shd w:val="clear" w:color="auto" w:fill="auto"/>
          <w:lang w:eastAsia="zh-CN"/>
        </w:rPr>
        <w:t>广东省</w:t>
      </w:r>
      <w:r>
        <w:rPr>
          <w:rFonts w:hint="eastAsia" w:ascii="宋体" w:hAnsi="宋体" w:eastAsia="宋体" w:cs="宋体"/>
          <w:color w:val="auto"/>
          <w:sz w:val="21"/>
          <w:szCs w:val="21"/>
          <w:u w:val="none"/>
          <w:shd w:val="clear" w:color="auto" w:fill="auto"/>
        </w:rPr>
        <w:t>基础教育课程教学改革深化行动</w:t>
      </w:r>
      <w:r>
        <w:rPr>
          <w:rFonts w:hint="eastAsia" w:ascii="宋体" w:hAnsi="宋体" w:eastAsia="宋体" w:cs="宋体"/>
          <w:color w:val="auto"/>
          <w:sz w:val="21"/>
          <w:szCs w:val="21"/>
          <w:u w:val="none"/>
          <w:shd w:val="clear" w:color="auto" w:fill="auto"/>
          <w:lang w:eastAsia="zh-CN"/>
        </w:rPr>
        <w:t>实施</w:t>
      </w:r>
      <w:r>
        <w:rPr>
          <w:rFonts w:hint="eastAsia" w:ascii="宋体" w:hAnsi="宋体" w:eastAsia="宋体" w:cs="宋体"/>
          <w:color w:val="auto"/>
          <w:sz w:val="21"/>
          <w:szCs w:val="21"/>
          <w:u w:val="none"/>
          <w:shd w:val="clear" w:color="auto" w:fill="auto"/>
        </w:rPr>
        <w:t>方案</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2024～2027年</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w:t>
      </w:r>
    </w:p>
    <w:p w14:paraId="1C74F73B">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lang w:val="en-US" w:eastAsia="zh-CN"/>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9</w:t>
      </w:r>
      <w:r>
        <w:rPr>
          <w:rFonts w:hint="eastAsia" w:ascii="宋体" w:hAnsi="宋体" w:eastAsia="宋体" w:cs="宋体"/>
          <w:color w:val="auto"/>
          <w:sz w:val="21"/>
          <w:szCs w:val="21"/>
          <w:u w:val="none"/>
          <w:shd w:val="clear" w:color="auto" w:fill="auto"/>
          <w:lang w:eastAsia="zh-CN"/>
        </w:rPr>
        <w:t>）韶关市曲江区财政局印发《韶关市曲江区行政事业单位非经营性国有资产管理暂行办法》。</w:t>
      </w:r>
    </w:p>
    <w:p w14:paraId="0238AC77">
      <w:pPr>
        <w:keepNext w:val="0"/>
        <w:keepLines w:val="0"/>
        <w:pageBreakBefore w:val="0"/>
        <w:widowControl w:val="0"/>
        <w:kinsoku/>
        <w:wordWrap/>
        <w:overflowPunct/>
        <w:topLinePunct w:val="0"/>
        <w:autoSpaceDE w:val="0"/>
        <w:autoSpaceDN/>
        <w:bidi w:val="0"/>
        <w:adjustRightInd/>
        <w:snapToGrid/>
        <w:spacing w:line="560" w:lineRule="exact"/>
        <w:ind w:left="0" w:leftChars="0" w:firstLine="422" w:firstLineChars="200"/>
        <w:textAlignment w:val="auto"/>
        <w:rPr>
          <w:rFonts w:hint="eastAsia" w:ascii="宋体" w:hAnsi="宋体" w:eastAsia="宋体" w:cs="宋体"/>
          <w:b/>
          <w:bCs/>
          <w:color w:val="auto"/>
          <w:sz w:val="21"/>
          <w:szCs w:val="21"/>
          <w:u w:val="none"/>
          <w:shd w:val="clear" w:color="auto" w:fill="auto"/>
          <w:lang w:eastAsia="zh-CN"/>
        </w:rPr>
      </w:pPr>
      <w:r>
        <w:rPr>
          <w:rFonts w:hint="eastAsia" w:ascii="宋体" w:hAnsi="宋体" w:eastAsia="宋体" w:cs="宋体"/>
          <w:b/>
          <w:bCs/>
          <w:color w:val="auto"/>
          <w:sz w:val="21"/>
          <w:szCs w:val="21"/>
          <w:u w:val="none"/>
          <w:shd w:val="clear" w:color="auto" w:fill="auto"/>
          <w:lang w:val="en-US" w:eastAsia="zh-CN"/>
        </w:rPr>
        <w:t>3</w:t>
      </w:r>
      <w:r>
        <w:rPr>
          <w:rFonts w:hint="eastAsia" w:ascii="宋体" w:hAnsi="宋体" w:eastAsia="宋体" w:cs="宋体"/>
          <w:b/>
          <w:bCs/>
          <w:color w:val="auto"/>
          <w:sz w:val="21"/>
          <w:szCs w:val="21"/>
          <w:u w:val="none"/>
          <w:shd w:val="clear" w:color="auto" w:fill="auto"/>
        </w:rPr>
        <w:t>.基地现状</w:t>
      </w:r>
      <w:r>
        <w:rPr>
          <w:rFonts w:hint="eastAsia" w:ascii="宋体" w:hAnsi="宋体" w:eastAsia="宋体" w:cs="宋体"/>
          <w:b/>
          <w:bCs/>
          <w:color w:val="auto"/>
          <w:sz w:val="21"/>
          <w:szCs w:val="21"/>
          <w:u w:val="none"/>
          <w:shd w:val="clear" w:color="auto" w:fill="auto"/>
          <w:lang w:eastAsia="zh-CN"/>
        </w:rPr>
        <w:t>：</w:t>
      </w:r>
    </w:p>
    <w:p w14:paraId="45322A65">
      <w:pPr>
        <w:keepNext w:val="0"/>
        <w:keepLines w:val="0"/>
        <w:pageBreakBefore w:val="0"/>
        <w:widowControl w:val="0"/>
        <w:kinsoku/>
        <w:wordWrap/>
        <w:overflowPunct/>
        <w:topLinePunct w:val="0"/>
        <w:autoSpaceDE w:val="0"/>
        <w:autoSpaceDN/>
        <w:bidi w:val="0"/>
        <w:adjustRightInd/>
        <w:snapToGrid/>
        <w:spacing w:line="560" w:lineRule="exact"/>
        <w:ind w:left="0" w:leftChars="0" w:firstLine="420" w:firstLineChars="200"/>
        <w:textAlignment w:val="auto"/>
        <w:outlineLvl w:val="9"/>
        <w:rPr>
          <w:rFonts w:hint="eastAsia" w:ascii="宋体" w:hAnsi="宋体" w:eastAsia="宋体" w:cs="宋体"/>
          <w:color w:val="auto"/>
          <w:kern w:val="2"/>
          <w:sz w:val="21"/>
          <w:szCs w:val="21"/>
          <w:u w:val="none"/>
          <w:shd w:val="clear" w:color="auto" w:fill="auto"/>
          <w:lang w:val="en-US" w:eastAsia="zh-CN" w:bidi="ar"/>
        </w:rPr>
      </w:pPr>
      <w:r>
        <w:rPr>
          <w:rFonts w:hint="eastAsia" w:ascii="宋体" w:hAnsi="宋体" w:eastAsia="宋体" w:cs="宋体"/>
          <w:b w:val="0"/>
          <w:bCs w:val="0"/>
          <w:color w:val="auto"/>
          <w:sz w:val="21"/>
          <w:szCs w:val="21"/>
          <w:u w:val="none"/>
          <w:shd w:val="clear" w:color="auto" w:fill="auto"/>
          <w:lang w:eastAsia="zh-CN"/>
        </w:rPr>
        <w:t>韶关市</w:t>
      </w:r>
      <w:r>
        <w:rPr>
          <w:rFonts w:hint="eastAsia" w:ascii="宋体" w:hAnsi="宋体" w:eastAsia="宋体" w:cs="宋体"/>
          <w:color w:val="auto"/>
          <w:sz w:val="21"/>
          <w:szCs w:val="21"/>
          <w:u w:val="none"/>
          <w:shd w:val="clear" w:color="auto" w:fill="auto"/>
        </w:rPr>
        <w:t>示范性综合实践基地</w:t>
      </w:r>
      <w:r>
        <w:rPr>
          <w:rFonts w:hint="eastAsia" w:ascii="宋体" w:hAnsi="宋体" w:eastAsia="宋体" w:cs="宋体"/>
          <w:color w:val="auto"/>
          <w:sz w:val="21"/>
          <w:szCs w:val="21"/>
          <w:u w:val="none"/>
          <w:shd w:val="clear" w:color="auto" w:fill="auto"/>
          <w:lang w:eastAsia="zh-CN"/>
        </w:rPr>
        <w:t>（下称实践基地）</w:t>
      </w:r>
      <w:r>
        <w:rPr>
          <w:rFonts w:hint="eastAsia" w:ascii="宋体" w:hAnsi="宋体" w:eastAsia="宋体" w:cs="宋体"/>
          <w:color w:val="auto"/>
          <w:sz w:val="21"/>
          <w:szCs w:val="21"/>
          <w:u w:val="none"/>
          <w:shd w:val="clear" w:color="auto" w:fill="auto"/>
        </w:rPr>
        <w:t>创办于1999年9月，原名韶关市德育基地，曾改名韶关市青少年社会实践活动中心</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kern w:val="2"/>
          <w:sz w:val="21"/>
          <w:szCs w:val="21"/>
          <w:u w:val="none"/>
          <w:shd w:val="clear" w:color="auto" w:fill="auto"/>
          <w:lang w:val="en-US" w:eastAsia="zh-CN" w:bidi="ar"/>
        </w:rPr>
        <w:t>是韶关市曲江区教育局下属公益一类事业单位，现有在编教职工18人，是国家示范性综合实践基地（149家）、省中小学生研学实践教育营地（7家）、省地震科普基地，韶关市人防教育基地、禁毒教育基地、法治教育基地、交通安全教育基地、少先队校外教育基地，曲江区消防科普教育基地。</w:t>
      </w:r>
    </w:p>
    <w:p w14:paraId="342AA5EC">
      <w:pPr>
        <w:keepNext w:val="0"/>
        <w:keepLines w:val="0"/>
        <w:pageBreakBefore w:val="0"/>
        <w:widowControl w:val="0"/>
        <w:kinsoku/>
        <w:wordWrap/>
        <w:overflowPunct/>
        <w:topLinePunct w:val="0"/>
        <w:autoSpaceDE w:val="0"/>
        <w:autoSpaceDN/>
        <w:bidi w:val="0"/>
        <w:adjustRightInd/>
        <w:snapToGrid/>
        <w:spacing w:line="560" w:lineRule="exact"/>
        <w:ind w:left="0" w:leftChars="0" w:firstLine="420" w:firstLineChars="200"/>
        <w:textAlignment w:val="auto"/>
        <w:outlineLvl w:val="9"/>
        <w:rPr>
          <w:rFonts w:hint="eastAsia" w:ascii="宋体" w:hAnsi="宋体" w:eastAsia="宋体" w:cs="宋体"/>
          <w:color w:val="auto"/>
          <w:sz w:val="21"/>
          <w:szCs w:val="21"/>
          <w:u w:val="none"/>
          <w:shd w:val="clear" w:color="auto" w:fill="auto"/>
        </w:rPr>
      </w:pPr>
      <w:r>
        <w:rPr>
          <w:rFonts w:hint="eastAsia" w:ascii="宋体" w:hAnsi="宋体" w:eastAsia="宋体" w:cs="宋体"/>
          <w:color w:val="auto"/>
          <w:kern w:val="2"/>
          <w:sz w:val="21"/>
          <w:szCs w:val="21"/>
          <w:u w:val="none"/>
          <w:shd w:val="clear" w:color="auto" w:fill="auto"/>
          <w:lang w:val="en-US" w:eastAsia="zh-CN" w:bidi="ar"/>
        </w:rPr>
        <w:t>实践</w:t>
      </w:r>
      <w:r>
        <w:rPr>
          <w:rFonts w:hint="eastAsia" w:ascii="宋体" w:hAnsi="宋体" w:eastAsia="宋体" w:cs="宋体"/>
          <w:color w:val="auto"/>
          <w:sz w:val="21"/>
          <w:szCs w:val="21"/>
          <w:u w:val="none"/>
          <w:shd w:val="clear" w:color="auto" w:fill="auto"/>
        </w:rPr>
        <w:t>基地是以推进中小学生素质教育，培养学生的社会责任感、创新精神和实践能力为目的，开展学工、学农、学军、生命安全教育等综合实践教育活动的公益性场所</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是学校教育的延伸和补充，是基础教育的重要组成部分。主要有四大功能：</w:t>
      </w:r>
      <w:r>
        <w:rPr>
          <w:rFonts w:hint="eastAsia" w:ascii="宋体" w:hAnsi="宋体" w:eastAsia="宋体" w:cs="宋体"/>
          <w:color w:val="auto"/>
          <w:sz w:val="21"/>
          <w:szCs w:val="21"/>
          <w:u w:val="none"/>
          <w:shd w:val="clear" w:color="auto" w:fill="auto"/>
          <w:lang w:eastAsia="zh-CN"/>
        </w:rPr>
        <w:t>一是</w:t>
      </w:r>
      <w:r>
        <w:rPr>
          <w:rFonts w:hint="eastAsia" w:ascii="宋体" w:hAnsi="宋体" w:eastAsia="宋体" w:cs="宋体"/>
          <w:color w:val="auto"/>
          <w:sz w:val="21"/>
          <w:szCs w:val="21"/>
          <w:u w:val="none"/>
          <w:shd w:val="clear" w:color="auto" w:fill="auto"/>
        </w:rPr>
        <w:t>承担中小学综合实践活动教育教学任务。现在主要</w:t>
      </w:r>
      <w:r>
        <w:rPr>
          <w:rFonts w:hint="eastAsia" w:ascii="宋体" w:hAnsi="宋体" w:eastAsia="宋体" w:cs="宋体"/>
          <w:color w:val="auto"/>
          <w:sz w:val="21"/>
          <w:szCs w:val="21"/>
          <w:u w:val="none"/>
          <w:shd w:val="clear" w:color="auto" w:fill="auto"/>
          <w:lang w:eastAsia="zh-CN"/>
        </w:rPr>
        <w:t>组织</w:t>
      </w:r>
      <w:r>
        <w:rPr>
          <w:rFonts w:hint="eastAsia" w:ascii="宋体" w:hAnsi="宋体" w:eastAsia="宋体" w:cs="宋体"/>
          <w:color w:val="auto"/>
          <w:sz w:val="21"/>
          <w:szCs w:val="21"/>
          <w:u w:val="none"/>
          <w:shd w:val="clear" w:color="auto" w:fill="auto"/>
        </w:rPr>
        <w:t>曲江区小学五年级、初中七年级的学生</w:t>
      </w:r>
      <w:r>
        <w:rPr>
          <w:rFonts w:hint="eastAsia" w:ascii="宋体" w:hAnsi="宋体" w:eastAsia="宋体" w:cs="宋体"/>
          <w:color w:val="auto"/>
          <w:sz w:val="21"/>
          <w:szCs w:val="21"/>
          <w:u w:val="none"/>
          <w:shd w:val="clear" w:color="auto" w:fill="auto"/>
          <w:lang w:eastAsia="zh-CN"/>
        </w:rPr>
        <w:t>开展</w:t>
      </w:r>
      <w:r>
        <w:rPr>
          <w:rFonts w:hint="eastAsia" w:ascii="宋体" w:hAnsi="宋体" w:eastAsia="宋体" w:cs="宋体"/>
          <w:color w:val="auto"/>
          <w:sz w:val="21"/>
          <w:szCs w:val="21"/>
          <w:u w:val="none"/>
          <w:shd w:val="clear" w:color="auto" w:fill="auto"/>
        </w:rPr>
        <w:t>为期</w:t>
      </w:r>
      <w:r>
        <w:rPr>
          <w:rFonts w:hint="eastAsia" w:ascii="宋体" w:hAnsi="宋体" w:eastAsia="宋体" w:cs="宋体"/>
          <w:color w:val="auto"/>
          <w:sz w:val="21"/>
          <w:szCs w:val="21"/>
          <w:u w:val="none"/>
          <w:shd w:val="clear" w:color="auto" w:fill="auto"/>
          <w:lang w:val="en-US" w:eastAsia="zh-CN"/>
        </w:rPr>
        <w:t>5</w:t>
      </w:r>
      <w:r>
        <w:rPr>
          <w:rFonts w:hint="eastAsia" w:ascii="宋体" w:hAnsi="宋体" w:eastAsia="宋体" w:cs="宋体"/>
          <w:color w:val="auto"/>
          <w:sz w:val="21"/>
          <w:szCs w:val="21"/>
          <w:u w:val="none"/>
          <w:shd w:val="clear" w:color="auto" w:fill="auto"/>
        </w:rPr>
        <w:t>天的实践活动。</w:t>
      </w:r>
      <w:r>
        <w:rPr>
          <w:rFonts w:hint="eastAsia" w:ascii="宋体" w:hAnsi="宋体" w:eastAsia="宋体" w:cs="宋体"/>
          <w:color w:val="auto"/>
          <w:sz w:val="21"/>
          <w:szCs w:val="21"/>
          <w:u w:val="none"/>
          <w:shd w:val="clear" w:color="auto" w:fill="auto"/>
          <w:lang w:eastAsia="zh-CN"/>
        </w:rPr>
        <w:t>二是</w:t>
      </w:r>
      <w:r>
        <w:rPr>
          <w:rFonts w:hint="eastAsia" w:ascii="宋体" w:hAnsi="宋体" w:eastAsia="宋体" w:cs="宋体"/>
          <w:color w:val="auto"/>
          <w:sz w:val="21"/>
          <w:szCs w:val="21"/>
          <w:u w:val="none"/>
          <w:shd w:val="clear" w:color="auto" w:fill="auto"/>
        </w:rPr>
        <w:t>配合政府相关职能部门开展专题教育活动。</w:t>
      </w:r>
      <w:r>
        <w:rPr>
          <w:rFonts w:hint="eastAsia" w:ascii="宋体" w:hAnsi="宋体" w:eastAsia="宋体" w:cs="宋体"/>
          <w:color w:val="auto"/>
          <w:sz w:val="21"/>
          <w:szCs w:val="21"/>
          <w:u w:val="none"/>
          <w:shd w:val="clear" w:color="auto" w:fill="auto"/>
          <w:lang w:eastAsia="zh-CN"/>
        </w:rPr>
        <w:t>三是</w:t>
      </w:r>
      <w:r>
        <w:rPr>
          <w:rFonts w:hint="eastAsia" w:ascii="宋体" w:hAnsi="宋体" w:eastAsia="宋体" w:cs="宋体"/>
          <w:color w:val="auto"/>
          <w:sz w:val="21"/>
          <w:szCs w:val="21"/>
          <w:u w:val="none"/>
          <w:shd w:val="clear" w:color="auto" w:fill="auto"/>
        </w:rPr>
        <w:t>开展研学实践教育活动。</w:t>
      </w:r>
      <w:r>
        <w:rPr>
          <w:rFonts w:hint="eastAsia" w:ascii="宋体" w:hAnsi="宋体" w:eastAsia="宋体" w:cs="宋体"/>
          <w:color w:val="auto"/>
          <w:sz w:val="21"/>
          <w:szCs w:val="21"/>
          <w:u w:val="none"/>
          <w:shd w:val="clear" w:color="auto" w:fill="auto"/>
          <w:lang w:eastAsia="zh-CN"/>
        </w:rPr>
        <w:t>四是</w:t>
      </w:r>
      <w:r>
        <w:rPr>
          <w:rFonts w:hint="eastAsia" w:ascii="宋体" w:hAnsi="宋体" w:eastAsia="宋体" w:cs="宋体"/>
          <w:color w:val="auto"/>
          <w:sz w:val="21"/>
          <w:szCs w:val="21"/>
          <w:u w:val="none"/>
          <w:shd w:val="clear" w:color="auto" w:fill="auto"/>
        </w:rPr>
        <w:t>开展劳动实践教育活动。</w:t>
      </w:r>
    </w:p>
    <w:p w14:paraId="3922A4C5">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rPr>
      </w:pPr>
      <w:r>
        <w:rPr>
          <w:rFonts w:hint="eastAsia" w:ascii="宋体" w:hAnsi="宋体" w:eastAsia="宋体" w:cs="宋体"/>
          <w:color w:val="auto"/>
          <w:kern w:val="2"/>
          <w:sz w:val="21"/>
          <w:szCs w:val="21"/>
          <w:u w:val="none"/>
          <w:shd w:val="clear" w:color="auto" w:fill="auto"/>
          <w:lang w:val="en-US" w:eastAsia="zh-CN" w:bidi="ar"/>
        </w:rPr>
        <w:t>为有效盘活实践基地现有设施资源，增强发展活力，充分发挥实践基地的育人功能，提高实践基地的服务质量和社会效益，拟在坚持公益用途不改变、国有资产不流失、业务监管不缺位、服务水平有提高的原则下，采取公开招标等竞争性方式，将实践基地委托给具备专业服务能力的企业（或机构等）进行运营管理。</w:t>
      </w:r>
    </w:p>
    <w:p w14:paraId="14D2909B">
      <w:pPr>
        <w:keepNext w:val="0"/>
        <w:keepLines w:val="0"/>
        <w:pageBreakBefore w:val="0"/>
        <w:widowControl w:val="0"/>
        <w:numPr>
          <w:ilvl w:val="0"/>
          <w:numId w:val="0"/>
        </w:numPr>
        <w:kinsoku/>
        <w:wordWrap/>
        <w:overflowPunct/>
        <w:topLinePunct w:val="0"/>
        <w:autoSpaceDN/>
        <w:bidi w:val="0"/>
        <w:adjustRightInd/>
        <w:snapToGrid/>
        <w:spacing w:line="560" w:lineRule="exact"/>
        <w:ind w:left="0" w:leftChars="0" w:firstLine="422" w:firstLineChars="200"/>
        <w:textAlignment w:val="auto"/>
        <w:rPr>
          <w:rFonts w:hint="eastAsia" w:ascii="宋体" w:hAnsi="宋体" w:eastAsia="宋体" w:cs="宋体"/>
          <w:b/>
          <w:bCs/>
          <w:color w:val="auto"/>
          <w:sz w:val="21"/>
          <w:szCs w:val="21"/>
          <w:u w:val="none"/>
          <w:shd w:val="clear" w:color="auto" w:fill="auto"/>
          <w:lang w:eastAsia="zh-CN"/>
        </w:rPr>
      </w:pPr>
      <w:r>
        <w:rPr>
          <w:rFonts w:hint="eastAsia" w:ascii="宋体" w:hAnsi="宋体" w:eastAsia="宋体" w:cs="宋体"/>
          <w:b/>
          <w:bCs/>
          <w:color w:val="auto"/>
          <w:sz w:val="21"/>
          <w:szCs w:val="21"/>
          <w:u w:val="none"/>
          <w:shd w:val="clear" w:color="auto" w:fill="auto"/>
          <w:lang w:val="en-US" w:eastAsia="zh-CN"/>
        </w:rPr>
        <w:t>4.</w:t>
      </w:r>
      <w:r>
        <w:rPr>
          <w:rFonts w:hint="eastAsia" w:ascii="宋体" w:hAnsi="宋体" w:eastAsia="宋体" w:cs="宋体"/>
          <w:b/>
          <w:bCs/>
          <w:color w:val="auto"/>
          <w:sz w:val="21"/>
          <w:szCs w:val="21"/>
          <w:u w:val="none"/>
          <w:shd w:val="clear" w:color="auto" w:fill="auto"/>
        </w:rPr>
        <w:t>项目地点</w:t>
      </w:r>
      <w:r>
        <w:rPr>
          <w:rFonts w:hint="eastAsia" w:ascii="宋体" w:hAnsi="宋体" w:eastAsia="宋体" w:cs="宋体"/>
          <w:b/>
          <w:bCs/>
          <w:color w:val="auto"/>
          <w:sz w:val="21"/>
          <w:szCs w:val="21"/>
          <w:u w:val="none"/>
          <w:shd w:val="clear" w:color="auto" w:fill="auto"/>
          <w:lang w:eastAsia="zh-CN"/>
        </w:rPr>
        <w:t>：</w:t>
      </w:r>
    </w:p>
    <w:p w14:paraId="02391124">
      <w:pPr>
        <w:keepNext w:val="0"/>
        <w:keepLines w:val="0"/>
        <w:pageBreakBefore w:val="0"/>
        <w:widowControl w:val="0"/>
        <w:numPr>
          <w:ilvl w:val="0"/>
          <w:numId w:val="0"/>
        </w:numPr>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b w:val="0"/>
          <w:bCs w:val="0"/>
          <w:color w:val="auto"/>
          <w:sz w:val="21"/>
          <w:szCs w:val="21"/>
          <w:u w:val="none"/>
          <w:shd w:val="clear" w:color="auto" w:fill="auto"/>
          <w:lang w:val="en-US" w:eastAsia="zh-CN"/>
        </w:rPr>
      </w:pPr>
      <w:r>
        <w:rPr>
          <w:rFonts w:hint="eastAsia" w:ascii="宋体" w:hAnsi="宋体" w:eastAsia="宋体" w:cs="宋体"/>
          <w:b w:val="0"/>
          <w:bCs w:val="0"/>
          <w:color w:val="auto"/>
          <w:sz w:val="21"/>
          <w:szCs w:val="21"/>
          <w:u w:val="none"/>
          <w:shd w:val="clear" w:color="auto" w:fill="auto"/>
          <w:lang w:eastAsia="zh-CN"/>
        </w:rPr>
        <w:t>韶关市曲江区马坝镇狮岩路</w:t>
      </w:r>
      <w:r>
        <w:rPr>
          <w:rFonts w:hint="eastAsia" w:ascii="宋体" w:hAnsi="宋体" w:eastAsia="宋体" w:cs="宋体"/>
          <w:b w:val="0"/>
          <w:bCs w:val="0"/>
          <w:color w:val="auto"/>
          <w:sz w:val="21"/>
          <w:szCs w:val="21"/>
          <w:u w:val="none"/>
          <w:shd w:val="clear" w:color="auto" w:fill="auto"/>
          <w:lang w:val="en-US" w:eastAsia="zh-CN"/>
        </w:rPr>
        <w:t>63号。</w:t>
      </w:r>
    </w:p>
    <w:p w14:paraId="79CF20DB">
      <w:pPr>
        <w:keepNext w:val="0"/>
        <w:keepLines w:val="0"/>
        <w:pageBreakBefore w:val="0"/>
        <w:widowControl w:val="0"/>
        <w:numPr>
          <w:ilvl w:val="0"/>
          <w:numId w:val="0"/>
        </w:numPr>
        <w:kinsoku/>
        <w:wordWrap/>
        <w:overflowPunct/>
        <w:topLinePunct w:val="0"/>
        <w:autoSpaceDN/>
        <w:bidi w:val="0"/>
        <w:adjustRightInd/>
        <w:snapToGrid/>
        <w:spacing w:line="560" w:lineRule="exact"/>
        <w:ind w:left="0" w:leftChars="0" w:firstLine="422" w:firstLineChars="200"/>
        <w:textAlignment w:val="auto"/>
        <w:rPr>
          <w:rFonts w:hint="eastAsia" w:ascii="宋体" w:hAnsi="宋体" w:eastAsia="宋体" w:cs="宋体"/>
          <w:b/>
          <w:bCs/>
          <w:color w:val="auto"/>
          <w:sz w:val="21"/>
          <w:szCs w:val="21"/>
          <w:u w:val="none"/>
          <w:shd w:val="clear" w:color="auto" w:fill="auto"/>
          <w:lang w:eastAsia="zh-CN"/>
        </w:rPr>
      </w:pPr>
      <w:r>
        <w:rPr>
          <w:rFonts w:hint="eastAsia" w:ascii="宋体" w:hAnsi="宋体" w:eastAsia="宋体" w:cs="宋体"/>
          <w:b/>
          <w:bCs/>
          <w:color w:val="auto"/>
          <w:sz w:val="21"/>
          <w:szCs w:val="21"/>
          <w:u w:val="none"/>
          <w:shd w:val="clear" w:color="auto" w:fill="auto"/>
          <w:lang w:val="en-US" w:eastAsia="zh-CN"/>
        </w:rPr>
        <w:t>5.</w:t>
      </w:r>
      <w:r>
        <w:rPr>
          <w:rFonts w:hint="eastAsia" w:ascii="宋体" w:hAnsi="宋体" w:eastAsia="宋体" w:cs="宋体"/>
          <w:b/>
          <w:bCs/>
          <w:color w:val="auto"/>
          <w:sz w:val="21"/>
          <w:szCs w:val="21"/>
          <w:u w:val="none"/>
          <w:shd w:val="clear" w:color="auto" w:fill="auto"/>
        </w:rPr>
        <w:t>项目规模及范围</w:t>
      </w:r>
      <w:r>
        <w:rPr>
          <w:rFonts w:hint="eastAsia" w:ascii="宋体" w:hAnsi="宋体" w:eastAsia="宋体" w:cs="宋体"/>
          <w:b/>
          <w:bCs/>
          <w:color w:val="auto"/>
          <w:sz w:val="21"/>
          <w:szCs w:val="21"/>
          <w:u w:val="none"/>
          <w:shd w:val="clear" w:color="auto" w:fill="auto"/>
          <w:lang w:eastAsia="zh-CN"/>
        </w:rPr>
        <w:t>：</w:t>
      </w:r>
    </w:p>
    <w:p w14:paraId="351A5E44">
      <w:pPr>
        <w:keepNext w:val="0"/>
        <w:keepLines w:val="0"/>
        <w:pageBreakBefore w:val="0"/>
        <w:widowControl w:val="0"/>
        <w:numPr>
          <w:ilvl w:val="0"/>
          <w:numId w:val="0"/>
        </w:numPr>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lang w:eastAsia="zh-CN"/>
        </w:rPr>
      </w:pPr>
      <w:r>
        <w:rPr>
          <w:rFonts w:hint="eastAsia" w:ascii="宋体" w:hAnsi="宋体" w:eastAsia="宋体" w:cs="宋体"/>
          <w:color w:val="auto"/>
          <w:sz w:val="21"/>
          <w:szCs w:val="21"/>
          <w:u w:val="none"/>
          <w:shd w:val="clear" w:color="auto" w:fill="auto"/>
        </w:rPr>
        <w:t>本次委托运营管理的实践基地占地</w:t>
      </w:r>
      <w:r>
        <w:rPr>
          <w:rFonts w:hint="eastAsia" w:ascii="宋体" w:hAnsi="宋体" w:eastAsia="宋体" w:cs="宋体"/>
          <w:color w:val="auto"/>
          <w:sz w:val="21"/>
          <w:szCs w:val="21"/>
          <w:u w:val="none"/>
          <w:shd w:val="clear" w:color="auto" w:fill="auto"/>
          <w:lang w:val="en-US" w:eastAsia="zh-CN"/>
        </w:rPr>
        <w:t>145</w:t>
      </w:r>
      <w:r>
        <w:rPr>
          <w:rFonts w:hint="eastAsia" w:ascii="宋体" w:hAnsi="宋体" w:eastAsia="宋体" w:cs="宋体"/>
          <w:color w:val="auto"/>
          <w:sz w:val="21"/>
          <w:szCs w:val="21"/>
          <w:u w:val="none"/>
          <w:shd w:val="clear" w:color="auto" w:fill="auto"/>
        </w:rPr>
        <w:t>亩</w:t>
      </w:r>
      <w:r>
        <w:rPr>
          <w:rFonts w:hint="eastAsia" w:ascii="宋体" w:hAnsi="宋体" w:eastAsia="宋体" w:cs="宋体"/>
          <w:color w:val="auto"/>
          <w:sz w:val="21"/>
          <w:szCs w:val="21"/>
          <w:u w:val="none"/>
          <w:shd w:val="clear" w:color="auto" w:fill="auto"/>
          <w:lang w:eastAsia="zh-CN"/>
        </w:rPr>
        <w:t>，其中</w:t>
      </w:r>
      <w:r>
        <w:rPr>
          <w:rFonts w:hint="eastAsia" w:ascii="宋体" w:hAnsi="宋体" w:eastAsia="宋体" w:cs="宋体"/>
          <w:color w:val="auto"/>
          <w:sz w:val="21"/>
          <w:szCs w:val="21"/>
          <w:u w:val="none"/>
          <w:shd w:val="clear" w:color="auto" w:fill="auto"/>
        </w:rPr>
        <w:t>南区45亩，建筑</w:t>
      </w:r>
      <w:r>
        <w:rPr>
          <w:rFonts w:hint="eastAsia" w:ascii="宋体" w:hAnsi="宋体" w:eastAsia="宋体" w:cs="宋体"/>
          <w:color w:val="auto"/>
          <w:sz w:val="21"/>
          <w:szCs w:val="21"/>
          <w:u w:val="none"/>
          <w:shd w:val="clear" w:color="auto" w:fill="auto"/>
          <w:lang w:eastAsia="zh-CN"/>
        </w:rPr>
        <w:t>面积</w:t>
      </w:r>
      <w:r>
        <w:rPr>
          <w:rFonts w:hint="eastAsia" w:ascii="宋体" w:hAnsi="宋体" w:eastAsia="宋体" w:cs="宋体"/>
          <w:color w:val="auto"/>
          <w:sz w:val="21"/>
          <w:szCs w:val="21"/>
          <w:u w:val="none"/>
          <w:shd w:val="clear" w:color="auto" w:fill="auto"/>
        </w:rPr>
        <w:t>2万多平方米</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有2栋学生宿舍楼、3个饭厅，可同时容纳1200多人食宿；有一栋集办公和场室为一体的烛光楼；建有一个1300多平方米的风雨操场，以及</w:t>
      </w:r>
      <w:r>
        <w:rPr>
          <w:rFonts w:hint="eastAsia" w:ascii="宋体" w:hAnsi="宋体" w:eastAsia="宋体" w:cs="宋体"/>
          <w:color w:val="auto"/>
          <w:sz w:val="21"/>
          <w:szCs w:val="21"/>
          <w:u w:val="none"/>
          <w:shd w:val="clear" w:color="auto" w:fill="auto"/>
          <w:lang w:eastAsia="zh-CN"/>
        </w:rPr>
        <w:t>利用</w:t>
      </w:r>
      <w:r>
        <w:rPr>
          <w:rFonts w:hint="eastAsia" w:ascii="宋体" w:hAnsi="宋体" w:eastAsia="宋体" w:cs="宋体"/>
          <w:color w:val="auto"/>
          <w:sz w:val="21"/>
          <w:szCs w:val="21"/>
          <w:u w:val="none"/>
          <w:shd w:val="clear" w:color="auto" w:fill="auto"/>
        </w:rPr>
        <w:t>中央专项彩票公益金建设</w:t>
      </w:r>
      <w:r>
        <w:rPr>
          <w:rFonts w:hint="eastAsia" w:ascii="宋体" w:hAnsi="宋体" w:eastAsia="宋体" w:cs="宋体"/>
          <w:color w:val="auto"/>
          <w:sz w:val="21"/>
          <w:szCs w:val="21"/>
          <w:u w:val="none"/>
          <w:shd w:val="clear" w:color="auto" w:fill="auto"/>
          <w:lang w:eastAsia="zh-CN"/>
        </w:rPr>
        <w:t>的</w:t>
      </w:r>
      <w:r>
        <w:rPr>
          <w:rFonts w:hint="eastAsia" w:ascii="宋体" w:hAnsi="宋体" w:eastAsia="宋体" w:cs="宋体"/>
          <w:color w:val="auto"/>
          <w:sz w:val="21"/>
          <w:szCs w:val="21"/>
          <w:u w:val="none"/>
          <w:shd w:val="clear" w:color="auto" w:fill="auto"/>
        </w:rPr>
        <w:t>综合实践楼、学员宿舍楼、多功能厅、安全教育馆。北</w:t>
      </w:r>
      <w:r>
        <w:rPr>
          <w:rFonts w:hint="eastAsia" w:ascii="宋体" w:hAnsi="宋体" w:eastAsia="宋体" w:cs="宋体"/>
          <w:color w:val="auto"/>
          <w:sz w:val="21"/>
          <w:szCs w:val="21"/>
          <w:u w:val="none"/>
          <w:shd w:val="clear" w:color="auto" w:fill="auto"/>
          <w:lang w:eastAsia="zh-CN"/>
        </w:rPr>
        <w:t>区约</w:t>
      </w:r>
      <w:r>
        <w:rPr>
          <w:rFonts w:hint="eastAsia" w:ascii="宋体" w:hAnsi="宋体" w:eastAsia="宋体" w:cs="宋体"/>
          <w:color w:val="auto"/>
          <w:sz w:val="21"/>
          <w:szCs w:val="21"/>
          <w:u w:val="none"/>
          <w:shd w:val="clear" w:color="auto" w:fill="auto"/>
        </w:rPr>
        <w:t>100</w:t>
      </w:r>
      <w:bookmarkStart w:id="41" w:name="OLE_LINK2"/>
      <w:r>
        <w:rPr>
          <w:rFonts w:hint="eastAsia" w:ascii="宋体" w:hAnsi="宋体" w:eastAsia="宋体" w:cs="宋体"/>
          <w:color w:val="auto"/>
          <w:sz w:val="21"/>
          <w:szCs w:val="21"/>
          <w:u w:val="none"/>
          <w:shd w:val="clear" w:color="auto" w:fill="auto"/>
        </w:rPr>
        <w:t>亩</w:t>
      </w:r>
      <w:bookmarkEnd w:id="41"/>
      <w:r>
        <w:rPr>
          <w:rFonts w:hint="eastAsia" w:ascii="宋体" w:hAnsi="宋体" w:eastAsia="宋体" w:cs="宋体"/>
          <w:color w:val="auto"/>
          <w:sz w:val="21"/>
          <w:szCs w:val="21"/>
          <w:u w:val="none"/>
          <w:shd w:val="clear" w:color="auto" w:fill="auto"/>
        </w:rPr>
        <w:t>，</w:t>
      </w:r>
      <w:r>
        <w:rPr>
          <w:rFonts w:hint="eastAsia" w:ascii="宋体" w:hAnsi="宋体" w:eastAsia="宋体" w:cs="宋体"/>
          <w:color w:val="auto"/>
          <w:sz w:val="21"/>
          <w:szCs w:val="21"/>
          <w:u w:val="none"/>
          <w:shd w:val="clear" w:color="auto" w:fill="auto"/>
          <w:lang w:eastAsia="zh-CN"/>
        </w:rPr>
        <w:t>是</w:t>
      </w:r>
      <w:r>
        <w:rPr>
          <w:rFonts w:hint="eastAsia" w:ascii="宋体" w:hAnsi="宋体" w:eastAsia="宋体" w:cs="宋体"/>
          <w:color w:val="auto"/>
          <w:sz w:val="21"/>
          <w:szCs w:val="21"/>
          <w:u w:val="none"/>
          <w:shd w:val="clear" w:color="auto" w:fill="auto"/>
        </w:rPr>
        <w:t>室外实践活动区</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建设了基础设施</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道路</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排水沟等</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野炊场</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可容纳300人</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菜地</w:t>
      </w:r>
      <w:r>
        <w:rPr>
          <w:rFonts w:hint="eastAsia" w:ascii="宋体" w:hAnsi="宋体" w:eastAsia="宋体" w:cs="宋体"/>
          <w:color w:val="auto"/>
          <w:sz w:val="21"/>
          <w:szCs w:val="21"/>
          <w:u w:val="none"/>
          <w:shd w:val="clear" w:color="auto" w:fill="auto"/>
          <w:lang w:eastAsia="zh-CN"/>
        </w:rPr>
        <w:t>（约</w:t>
      </w:r>
      <w:r>
        <w:rPr>
          <w:rFonts w:hint="eastAsia" w:ascii="宋体" w:hAnsi="宋体" w:eastAsia="宋体" w:cs="宋体"/>
          <w:color w:val="auto"/>
          <w:sz w:val="21"/>
          <w:szCs w:val="21"/>
          <w:u w:val="none"/>
          <w:shd w:val="clear" w:color="auto" w:fill="auto"/>
          <w:lang w:val="en-US" w:eastAsia="zh-CN"/>
        </w:rPr>
        <w:t>10</w:t>
      </w:r>
      <w:r>
        <w:rPr>
          <w:rFonts w:hint="eastAsia" w:ascii="宋体" w:hAnsi="宋体" w:eastAsia="宋体" w:cs="宋体"/>
          <w:color w:val="auto"/>
          <w:sz w:val="21"/>
          <w:szCs w:val="21"/>
          <w:u w:val="none"/>
          <w:shd w:val="clear" w:color="auto" w:fill="auto"/>
        </w:rPr>
        <w:t>亩</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人防训练场</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约2000平方米</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种植有近3000棵的果树</w:t>
      </w:r>
      <w:r>
        <w:rPr>
          <w:rFonts w:hint="eastAsia" w:ascii="宋体" w:hAnsi="宋体" w:eastAsia="宋体" w:cs="宋体"/>
          <w:color w:val="auto"/>
          <w:sz w:val="21"/>
          <w:szCs w:val="21"/>
          <w:u w:val="none"/>
          <w:shd w:val="clear" w:color="auto" w:fill="auto"/>
          <w:lang w:eastAsia="zh-CN"/>
        </w:rPr>
        <w:t>。</w:t>
      </w:r>
    </w:p>
    <w:p w14:paraId="058C6F8F">
      <w:pPr>
        <w:keepNext w:val="0"/>
        <w:keepLines w:val="0"/>
        <w:pageBreakBefore w:val="0"/>
        <w:widowControl w:val="0"/>
        <w:kinsoku/>
        <w:wordWrap/>
        <w:overflowPunct/>
        <w:topLinePunct w:val="0"/>
        <w:autoSpaceDE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rPr>
      </w:pPr>
      <w:bookmarkStart w:id="42" w:name="OLE_LINK3"/>
      <w:r>
        <w:rPr>
          <w:rFonts w:hint="eastAsia" w:ascii="宋体" w:hAnsi="宋体" w:eastAsia="宋体" w:cs="宋体"/>
          <w:color w:val="auto"/>
          <w:sz w:val="21"/>
          <w:szCs w:val="21"/>
          <w:u w:val="none"/>
          <w:shd w:val="clear" w:color="auto" w:fill="auto"/>
        </w:rPr>
        <w:t>运营管理</w:t>
      </w:r>
      <w:bookmarkEnd w:id="42"/>
      <w:r>
        <w:rPr>
          <w:rFonts w:hint="eastAsia" w:ascii="宋体" w:hAnsi="宋体" w:eastAsia="宋体" w:cs="宋体"/>
          <w:color w:val="auto"/>
          <w:sz w:val="21"/>
          <w:szCs w:val="21"/>
          <w:u w:val="none"/>
          <w:shd w:val="clear" w:color="auto" w:fill="auto"/>
        </w:rPr>
        <w:t>范围涵盖</w:t>
      </w:r>
      <w:r>
        <w:rPr>
          <w:rFonts w:hint="eastAsia" w:ascii="宋体" w:hAnsi="宋体" w:eastAsia="宋体" w:cs="宋体"/>
          <w:color w:val="auto"/>
          <w:sz w:val="21"/>
          <w:szCs w:val="21"/>
          <w:u w:val="none"/>
          <w:shd w:val="clear" w:color="auto" w:fill="auto"/>
          <w:lang w:eastAsia="zh-CN"/>
        </w:rPr>
        <w:t>实践</w:t>
      </w:r>
      <w:r>
        <w:rPr>
          <w:rFonts w:hint="eastAsia" w:ascii="宋体" w:hAnsi="宋体" w:eastAsia="宋体" w:cs="宋体"/>
          <w:color w:val="auto"/>
          <w:sz w:val="21"/>
          <w:szCs w:val="21"/>
          <w:u w:val="none"/>
          <w:shd w:val="clear" w:color="auto" w:fill="auto"/>
        </w:rPr>
        <w:t>基地的</w:t>
      </w:r>
      <w:bookmarkStart w:id="43" w:name="OLE_LINK42"/>
      <w:r>
        <w:rPr>
          <w:rFonts w:hint="eastAsia" w:ascii="宋体" w:hAnsi="宋体" w:eastAsia="宋体" w:cs="宋体"/>
          <w:color w:val="auto"/>
          <w:sz w:val="21"/>
          <w:szCs w:val="21"/>
          <w:highlight w:val="none"/>
          <w:u w:val="none"/>
          <w:shd w:val="clear" w:color="auto" w:fill="auto"/>
          <w:lang w:val="en-US" w:eastAsia="zh-CN"/>
        </w:rPr>
        <w:t>提升改造</w:t>
      </w:r>
      <w:bookmarkEnd w:id="43"/>
      <w:r>
        <w:rPr>
          <w:rFonts w:hint="eastAsia" w:ascii="宋体" w:hAnsi="宋体" w:eastAsia="宋体" w:cs="宋体"/>
          <w:color w:val="auto"/>
          <w:sz w:val="21"/>
          <w:szCs w:val="21"/>
          <w:highlight w:val="none"/>
          <w:u w:val="none"/>
          <w:shd w:val="clear" w:color="auto" w:fill="auto"/>
          <w:lang w:val="en-US" w:eastAsia="zh-CN"/>
        </w:rPr>
        <w:t>、</w:t>
      </w:r>
      <w:r>
        <w:rPr>
          <w:rFonts w:hint="eastAsia" w:ascii="宋体" w:hAnsi="宋体" w:eastAsia="宋体" w:cs="宋体"/>
          <w:color w:val="auto"/>
          <w:sz w:val="21"/>
          <w:szCs w:val="21"/>
          <w:u w:val="none"/>
          <w:shd w:val="clear" w:color="auto" w:fill="auto"/>
        </w:rPr>
        <w:t>日常运营、课程开发与实施、师资队伍建设、安全管理、设施设备维护</w:t>
      </w:r>
      <w:r>
        <w:rPr>
          <w:rFonts w:hint="eastAsia" w:ascii="宋体" w:hAnsi="宋体" w:eastAsia="宋体" w:cs="宋体"/>
          <w:color w:val="auto"/>
          <w:sz w:val="21"/>
          <w:szCs w:val="21"/>
          <w:u w:val="none"/>
          <w:shd w:val="clear" w:color="auto" w:fill="auto"/>
          <w:lang w:eastAsia="zh-CN"/>
        </w:rPr>
        <w:t>保养</w:t>
      </w:r>
      <w:r>
        <w:rPr>
          <w:rFonts w:hint="eastAsia" w:ascii="宋体" w:hAnsi="宋体" w:eastAsia="宋体" w:cs="宋体"/>
          <w:color w:val="auto"/>
          <w:sz w:val="21"/>
          <w:szCs w:val="21"/>
          <w:u w:val="none"/>
          <w:shd w:val="clear" w:color="auto" w:fill="auto"/>
        </w:rPr>
        <w:t>以及与中小学校的沟通协调等</w:t>
      </w:r>
      <w:r>
        <w:rPr>
          <w:rFonts w:hint="eastAsia" w:ascii="宋体" w:hAnsi="宋体" w:eastAsia="宋体" w:cs="宋体"/>
          <w:color w:val="auto"/>
          <w:sz w:val="21"/>
          <w:szCs w:val="21"/>
          <w:u w:val="none"/>
          <w:shd w:val="clear" w:color="auto" w:fill="auto"/>
          <w:lang w:eastAsia="zh-CN"/>
        </w:rPr>
        <w:t>实践基地全面</w:t>
      </w:r>
      <w:r>
        <w:rPr>
          <w:rFonts w:hint="eastAsia" w:ascii="宋体" w:hAnsi="宋体" w:eastAsia="宋体" w:cs="宋体"/>
          <w:color w:val="auto"/>
          <w:sz w:val="21"/>
          <w:szCs w:val="21"/>
          <w:u w:val="none"/>
          <w:shd w:val="clear" w:color="auto" w:fill="auto"/>
        </w:rPr>
        <w:t>运营管理工作。</w:t>
      </w:r>
    </w:p>
    <w:p w14:paraId="0C3D3120">
      <w:pPr>
        <w:rPr>
          <w:rFonts w:hint="eastAsia"/>
          <w:color w:val="auto"/>
        </w:rPr>
      </w:pPr>
    </w:p>
    <w:p w14:paraId="63531D83">
      <w:pPr>
        <w:keepNext w:val="0"/>
        <w:keepLines w:val="0"/>
        <w:pageBreakBefore w:val="0"/>
        <w:widowControl w:val="0"/>
        <w:kinsoku/>
        <w:wordWrap/>
        <w:overflowPunct/>
        <w:topLinePunct w:val="0"/>
        <w:autoSpaceDN/>
        <w:bidi w:val="0"/>
        <w:adjustRightInd/>
        <w:snapToGrid/>
        <w:spacing w:line="560" w:lineRule="exact"/>
        <w:ind w:left="0" w:leftChars="0" w:firstLine="422" w:firstLineChars="200"/>
        <w:textAlignment w:val="auto"/>
        <w:rPr>
          <w:rFonts w:hint="eastAsia" w:ascii="宋体" w:hAnsi="宋体" w:eastAsia="宋体" w:cs="宋体"/>
          <w:b/>
          <w:bCs/>
          <w:color w:val="auto"/>
          <w:sz w:val="21"/>
          <w:szCs w:val="21"/>
          <w:highlight w:val="none"/>
          <w:u w:val="none"/>
          <w:shd w:val="clear" w:color="auto" w:fill="auto"/>
          <w:lang w:eastAsia="zh-CN"/>
        </w:rPr>
      </w:pPr>
      <w:r>
        <w:rPr>
          <w:rFonts w:hint="eastAsia" w:ascii="宋体" w:hAnsi="宋体" w:eastAsia="宋体" w:cs="宋体"/>
          <w:b/>
          <w:bCs/>
          <w:color w:val="auto"/>
          <w:sz w:val="21"/>
          <w:szCs w:val="21"/>
          <w:highlight w:val="none"/>
          <w:u w:val="none"/>
          <w:shd w:val="clear" w:color="auto" w:fill="auto"/>
          <w:lang w:val="en-US" w:eastAsia="zh-CN"/>
        </w:rPr>
        <w:t>三、</w:t>
      </w:r>
      <w:r>
        <w:rPr>
          <w:rFonts w:hint="eastAsia" w:ascii="宋体" w:hAnsi="宋体" w:eastAsia="宋体" w:cs="宋体"/>
          <w:b/>
          <w:bCs/>
          <w:color w:val="auto"/>
          <w:sz w:val="21"/>
          <w:szCs w:val="21"/>
          <w:highlight w:val="none"/>
          <w:u w:val="none"/>
          <w:shd w:val="clear" w:color="auto" w:fill="auto"/>
        </w:rPr>
        <w:t>委托运营管理期限</w:t>
      </w:r>
      <w:r>
        <w:rPr>
          <w:rFonts w:hint="eastAsia" w:ascii="宋体" w:hAnsi="宋体" w:eastAsia="宋体" w:cs="宋体"/>
          <w:b/>
          <w:bCs/>
          <w:color w:val="auto"/>
          <w:sz w:val="21"/>
          <w:szCs w:val="21"/>
          <w:highlight w:val="none"/>
          <w:u w:val="none"/>
          <w:shd w:val="clear" w:color="auto" w:fill="auto"/>
          <w:lang w:eastAsia="zh-CN"/>
        </w:rPr>
        <w:t>和</w:t>
      </w:r>
      <w:r>
        <w:rPr>
          <w:rFonts w:hint="eastAsia" w:ascii="宋体" w:hAnsi="宋体" w:eastAsia="宋体" w:cs="宋体"/>
          <w:b/>
          <w:bCs/>
          <w:color w:val="auto"/>
          <w:sz w:val="21"/>
          <w:szCs w:val="21"/>
          <w:highlight w:val="none"/>
          <w:u w:val="none"/>
          <w:shd w:val="clear" w:color="auto" w:fill="auto"/>
          <w:lang w:val="en-US" w:eastAsia="zh-CN"/>
        </w:rPr>
        <w:t>履约保证金</w:t>
      </w:r>
    </w:p>
    <w:p w14:paraId="5DC1C67B">
      <w:pPr>
        <w:keepNext w:val="0"/>
        <w:keepLines w:val="0"/>
        <w:pageBreakBefore w:val="0"/>
        <w:widowControl w:val="0"/>
        <w:numPr>
          <w:ilvl w:val="0"/>
          <w:numId w:val="0"/>
        </w:numPr>
        <w:kinsoku/>
        <w:wordWrap/>
        <w:overflowPunct/>
        <w:topLinePunct w:val="0"/>
        <w:autoSpaceDN/>
        <w:bidi w:val="0"/>
        <w:adjustRightInd/>
        <w:snapToGrid/>
        <w:spacing w:line="560" w:lineRule="exact"/>
        <w:ind w:firstLine="420" w:firstLineChars="200"/>
        <w:textAlignment w:val="auto"/>
        <w:rPr>
          <w:rFonts w:hint="eastAsia" w:ascii="宋体" w:hAnsi="宋体" w:eastAsia="宋体" w:cs="宋体"/>
          <w:color w:val="auto"/>
          <w:kern w:val="16"/>
          <w:sz w:val="21"/>
          <w:szCs w:val="21"/>
          <w:highlight w:val="none"/>
          <w:shd w:val="clear" w:color="auto" w:fill="auto"/>
          <w:lang w:eastAsia="zh-CN"/>
        </w:rPr>
      </w:pPr>
      <w:r>
        <w:rPr>
          <w:rFonts w:hint="eastAsia" w:ascii="宋体" w:hAnsi="宋体" w:eastAsia="宋体" w:cs="宋体"/>
          <w:color w:val="auto"/>
          <w:kern w:val="16"/>
          <w:sz w:val="21"/>
          <w:szCs w:val="21"/>
          <w:highlight w:val="none"/>
          <w:shd w:val="clear" w:color="auto" w:fill="auto"/>
          <w:lang w:eastAsia="zh-CN"/>
        </w:rPr>
        <w:t>本项目委托运营管理期限为</w:t>
      </w:r>
      <w:r>
        <w:rPr>
          <w:rFonts w:hint="eastAsia" w:ascii="宋体" w:hAnsi="宋体" w:eastAsia="宋体" w:cs="宋体"/>
          <w:color w:val="auto"/>
          <w:kern w:val="16"/>
          <w:sz w:val="21"/>
          <w:szCs w:val="21"/>
          <w:highlight w:val="none"/>
          <w:shd w:val="clear" w:color="auto" w:fill="auto"/>
          <w:lang w:val="en-US" w:eastAsia="zh-CN"/>
        </w:rPr>
        <w:t>3+2模式，即合同签署3年服务期，经合法程序后再续签服务期2年的合同（与相关政策冲突情况除外）。</w:t>
      </w:r>
      <w:r>
        <w:rPr>
          <w:rFonts w:hint="eastAsia" w:ascii="宋体" w:hAnsi="宋体" w:eastAsia="宋体" w:cs="宋体"/>
          <w:color w:val="auto"/>
          <w:kern w:val="16"/>
          <w:sz w:val="21"/>
          <w:szCs w:val="21"/>
          <w:highlight w:val="none"/>
          <w:shd w:val="clear" w:color="auto" w:fill="auto"/>
          <w:lang w:eastAsia="zh-CN"/>
        </w:rPr>
        <w:t>自合同签订之日起2个月后开始计算，预留2个月的交接、改造时间。</w:t>
      </w:r>
    </w:p>
    <w:p w14:paraId="51194E30">
      <w:pPr>
        <w:keepNext w:val="0"/>
        <w:keepLines w:val="0"/>
        <w:pageBreakBefore w:val="0"/>
        <w:widowControl w:val="0"/>
        <w:numPr>
          <w:ilvl w:val="0"/>
          <w:numId w:val="0"/>
        </w:numPr>
        <w:kinsoku/>
        <w:wordWrap/>
        <w:overflowPunct/>
        <w:topLinePunct w:val="0"/>
        <w:autoSpaceDN/>
        <w:bidi w:val="0"/>
        <w:adjustRightInd/>
        <w:snapToGrid/>
        <w:spacing w:line="560" w:lineRule="exact"/>
        <w:ind w:firstLine="420" w:firstLineChars="200"/>
        <w:textAlignment w:val="auto"/>
        <w:rPr>
          <w:rFonts w:hint="eastAsia" w:ascii="宋体" w:hAnsi="宋体" w:eastAsia="宋体" w:cs="宋体"/>
          <w:color w:val="auto"/>
          <w:sz w:val="21"/>
          <w:szCs w:val="21"/>
          <w:highlight w:val="none"/>
          <w:u w:val="none"/>
          <w:shd w:val="clear" w:color="auto" w:fill="auto"/>
          <w:lang w:val="en-US" w:eastAsia="zh-CN"/>
        </w:rPr>
      </w:pPr>
      <w:r>
        <w:rPr>
          <w:rFonts w:hint="eastAsia" w:ascii="宋体" w:hAnsi="宋体" w:eastAsia="宋体" w:cs="宋体"/>
          <w:color w:val="auto"/>
          <w:sz w:val="21"/>
          <w:szCs w:val="21"/>
          <w:highlight w:val="none"/>
          <w:u w:val="none"/>
          <w:shd w:val="clear" w:color="auto" w:fill="auto"/>
          <w:lang w:val="en-US" w:eastAsia="zh-CN"/>
        </w:rPr>
        <w:t>中标人须在领取中标通知书之日起10个工作日内、签订合同前向招标人提交1,000,000.00元的履约保证。履约保证的形式包括履约保证金、履约保证担保、履约保证保险三种，由中标人自主选择。否则将视为中标人放弃中标的权利，招标人有权选择按规定选出的中标候选人为本项目的中标人或对本项目重新进行招标。</w:t>
      </w:r>
    </w:p>
    <w:p w14:paraId="32282BE8">
      <w:pPr>
        <w:keepNext w:val="0"/>
        <w:keepLines w:val="0"/>
        <w:pageBreakBefore w:val="0"/>
        <w:widowControl w:val="0"/>
        <w:numPr>
          <w:ilvl w:val="0"/>
          <w:numId w:val="0"/>
        </w:numPr>
        <w:kinsoku/>
        <w:wordWrap/>
        <w:overflowPunct/>
        <w:topLinePunct w:val="0"/>
        <w:autoSpaceDN/>
        <w:bidi w:val="0"/>
        <w:adjustRightInd/>
        <w:snapToGrid/>
        <w:spacing w:line="560" w:lineRule="exact"/>
        <w:ind w:firstLine="420" w:firstLineChars="200"/>
        <w:textAlignment w:val="auto"/>
        <w:rPr>
          <w:rFonts w:hint="eastAsia" w:ascii="宋体" w:hAnsi="宋体" w:eastAsia="宋体" w:cs="宋体"/>
          <w:b w:val="0"/>
          <w:bCs w:val="0"/>
          <w:color w:val="auto"/>
          <w:sz w:val="21"/>
          <w:szCs w:val="21"/>
          <w:highlight w:val="none"/>
          <w:u w:val="none"/>
          <w:shd w:val="clear" w:color="auto" w:fill="auto"/>
        </w:rPr>
      </w:pPr>
      <w:r>
        <w:rPr>
          <w:rFonts w:hint="eastAsia" w:ascii="宋体" w:hAnsi="宋体" w:eastAsia="宋体" w:cs="宋体"/>
          <w:color w:val="auto"/>
          <w:sz w:val="21"/>
          <w:szCs w:val="21"/>
          <w:highlight w:val="none"/>
          <w:u w:val="none"/>
          <w:shd w:val="clear" w:color="auto" w:fill="auto"/>
          <w:lang w:val="en-US" w:eastAsia="zh-CN"/>
        </w:rPr>
        <w:t>履约保证金有效期比合同有效期延长1个月。履约保证金将在中标人履行完合同义务，有效期期满后，7个工作日内按原路返还。</w:t>
      </w:r>
    </w:p>
    <w:p w14:paraId="5588D412">
      <w:pPr>
        <w:keepNext w:val="0"/>
        <w:keepLines w:val="0"/>
        <w:pageBreakBefore w:val="0"/>
        <w:widowControl w:val="0"/>
        <w:numPr>
          <w:ilvl w:val="0"/>
          <w:numId w:val="0"/>
        </w:numPr>
        <w:kinsoku/>
        <w:wordWrap/>
        <w:overflowPunct/>
        <w:topLinePunct w:val="0"/>
        <w:autoSpaceDN/>
        <w:bidi w:val="0"/>
        <w:adjustRightInd/>
        <w:snapToGrid/>
        <w:spacing w:line="560" w:lineRule="exact"/>
        <w:ind w:leftChars="200"/>
        <w:textAlignment w:val="auto"/>
        <w:rPr>
          <w:rFonts w:hint="eastAsia" w:ascii="宋体" w:hAnsi="宋体" w:eastAsia="宋体" w:cs="宋体"/>
          <w:color w:val="auto"/>
          <w:sz w:val="21"/>
          <w:szCs w:val="21"/>
          <w:u w:val="none"/>
          <w:shd w:val="clear" w:color="auto" w:fill="auto"/>
        </w:rPr>
      </w:pPr>
    </w:p>
    <w:p w14:paraId="2FEB26DF">
      <w:pPr>
        <w:keepNext w:val="0"/>
        <w:keepLines w:val="0"/>
        <w:pageBreakBefore w:val="0"/>
        <w:widowControl w:val="0"/>
        <w:numPr>
          <w:ilvl w:val="0"/>
          <w:numId w:val="0"/>
        </w:numPr>
        <w:kinsoku/>
        <w:wordWrap/>
        <w:overflowPunct/>
        <w:topLinePunct w:val="0"/>
        <w:autoSpaceDN/>
        <w:bidi w:val="0"/>
        <w:adjustRightInd/>
        <w:snapToGrid/>
        <w:spacing w:line="560" w:lineRule="exact"/>
        <w:ind w:firstLine="422" w:firstLineChars="200"/>
        <w:textAlignment w:val="auto"/>
        <w:rPr>
          <w:rFonts w:hint="eastAsia" w:ascii="宋体" w:hAnsi="宋体" w:eastAsia="宋体" w:cs="宋体"/>
          <w:b/>
          <w:bCs/>
          <w:color w:val="auto"/>
          <w:sz w:val="21"/>
          <w:szCs w:val="21"/>
          <w:u w:val="none"/>
          <w:shd w:val="clear" w:color="auto" w:fill="auto"/>
        </w:rPr>
      </w:pPr>
      <w:r>
        <w:rPr>
          <w:rFonts w:hint="eastAsia" w:ascii="宋体" w:hAnsi="宋体" w:eastAsia="宋体" w:cs="宋体"/>
          <w:b/>
          <w:bCs/>
          <w:color w:val="auto"/>
          <w:sz w:val="21"/>
          <w:szCs w:val="21"/>
          <w:u w:val="none"/>
          <w:shd w:val="clear" w:color="auto" w:fill="auto"/>
          <w:lang w:val="en-US" w:eastAsia="zh-CN"/>
        </w:rPr>
        <w:t>四、</w:t>
      </w:r>
      <w:r>
        <w:rPr>
          <w:rFonts w:hint="eastAsia" w:ascii="宋体" w:hAnsi="宋体" w:eastAsia="宋体" w:cs="宋体"/>
          <w:b/>
          <w:bCs/>
          <w:color w:val="auto"/>
          <w:sz w:val="21"/>
          <w:szCs w:val="21"/>
          <w:u w:val="none"/>
          <w:shd w:val="clear" w:color="auto" w:fill="auto"/>
        </w:rPr>
        <w:t>委托运营管理</w:t>
      </w:r>
      <w:r>
        <w:rPr>
          <w:rFonts w:hint="eastAsia" w:ascii="宋体" w:hAnsi="宋体" w:eastAsia="宋体" w:cs="宋体"/>
          <w:b/>
          <w:bCs/>
          <w:color w:val="auto"/>
          <w:sz w:val="21"/>
          <w:szCs w:val="21"/>
          <w:u w:val="none"/>
          <w:shd w:val="clear" w:color="auto" w:fill="auto"/>
          <w:lang w:eastAsia="zh-CN"/>
        </w:rPr>
        <w:t>的</w:t>
      </w:r>
      <w:r>
        <w:rPr>
          <w:rFonts w:hint="eastAsia" w:ascii="宋体" w:hAnsi="宋体" w:eastAsia="宋体" w:cs="宋体"/>
          <w:b/>
          <w:bCs/>
          <w:color w:val="auto"/>
          <w:sz w:val="21"/>
          <w:szCs w:val="21"/>
          <w:u w:val="none"/>
          <w:shd w:val="clear" w:color="auto" w:fill="auto"/>
          <w:lang w:val="en-US" w:eastAsia="zh-CN"/>
        </w:rPr>
        <w:t>国有</w:t>
      </w:r>
      <w:r>
        <w:rPr>
          <w:rFonts w:hint="eastAsia" w:ascii="宋体" w:hAnsi="宋体" w:eastAsia="宋体" w:cs="宋体"/>
          <w:b/>
          <w:bCs/>
          <w:color w:val="auto"/>
          <w:sz w:val="21"/>
          <w:szCs w:val="21"/>
          <w:u w:val="none"/>
          <w:shd w:val="clear" w:color="auto" w:fill="auto"/>
          <w:lang w:eastAsia="zh-CN"/>
        </w:rPr>
        <w:t>资产</w:t>
      </w:r>
      <w:r>
        <w:rPr>
          <w:rFonts w:hint="eastAsia" w:ascii="宋体" w:hAnsi="宋体" w:eastAsia="宋体" w:cs="宋体"/>
          <w:b/>
          <w:bCs/>
          <w:color w:val="auto"/>
          <w:sz w:val="21"/>
          <w:szCs w:val="21"/>
          <w:u w:val="none"/>
          <w:shd w:val="clear" w:color="auto" w:fill="auto"/>
        </w:rPr>
        <w:t>租赁费</w:t>
      </w:r>
    </w:p>
    <w:p w14:paraId="0E646385">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highlight w:val="yellow"/>
          <w:u w:val="none"/>
          <w:shd w:val="clear" w:color="auto" w:fill="auto"/>
        </w:rPr>
      </w:pPr>
      <w:r>
        <w:rPr>
          <w:rFonts w:hint="eastAsia" w:ascii="宋体" w:hAnsi="宋体" w:eastAsia="宋体" w:cs="宋体"/>
          <w:color w:val="auto"/>
          <w:sz w:val="21"/>
          <w:szCs w:val="21"/>
          <w:u w:val="none"/>
          <w:shd w:val="clear" w:color="auto" w:fill="auto"/>
        </w:rPr>
        <w:t>委托运营管理期</w:t>
      </w:r>
      <w:r>
        <w:rPr>
          <w:rFonts w:hint="eastAsia" w:ascii="宋体" w:hAnsi="宋体" w:eastAsia="宋体" w:cs="宋体"/>
          <w:color w:val="auto"/>
          <w:sz w:val="21"/>
          <w:szCs w:val="21"/>
          <w:u w:val="none"/>
          <w:shd w:val="clear" w:color="auto" w:fill="auto"/>
          <w:lang w:eastAsia="zh-CN"/>
        </w:rPr>
        <w:t>内，</w:t>
      </w:r>
      <w:r>
        <w:rPr>
          <w:rFonts w:hint="eastAsia" w:ascii="宋体" w:hAnsi="宋体" w:eastAsia="宋体" w:cs="宋体"/>
          <w:color w:val="auto"/>
          <w:sz w:val="21"/>
          <w:szCs w:val="21"/>
          <w:u w:val="none"/>
          <w:shd w:val="clear" w:color="auto" w:fill="auto"/>
        </w:rPr>
        <w:t>受托方</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中标</w:t>
      </w:r>
      <w:r>
        <w:rPr>
          <w:rFonts w:hint="eastAsia" w:ascii="宋体" w:hAnsi="宋体" w:eastAsia="宋体" w:cs="宋体"/>
          <w:color w:val="auto"/>
          <w:sz w:val="21"/>
          <w:szCs w:val="21"/>
          <w:u w:val="none"/>
          <w:shd w:val="clear" w:color="auto" w:fill="auto"/>
          <w:lang w:eastAsia="zh-CN"/>
        </w:rPr>
        <w:t>方）</w:t>
      </w:r>
      <w:r>
        <w:rPr>
          <w:rFonts w:hint="eastAsia" w:ascii="宋体" w:hAnsi="宋体" w:eastAsia="宋体" w:cs="宋体"/>
          <w:color w:val="auto"/>
          <w:sz w:val="21"/>
          <w:szCs w:val="21"/>
          <w:u w:val="none"/>
          <w:shd w:val="clear" w:color="auto" w:fill="auto"/>
        </w:rPr>
        <w:t>在完成委托方服务范围内的综合实践活动任务后，可以利用委托方</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实践基地</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的场地</w:t>
      </w:r>
      <w:r>
        <w:rPr>
          <w:rFonts w:hint="eastAsia" w:ascii="宋体" w:hAnsi="宋体" w:eastAsia="宋体" w:cs="宋体"/>
          <w:color w:val="auto"/>
          <w:sz w:val="21"/>
          <w:szCs w:val="21"/>
          <w:u w:val="none"/>
          <w:shd w:val="clear" w:color="auto" w:fill="auto"/>
          <w:lang w:eastAsia="zh-CN"/>
        </w:rPr>
        <w:t>、设施设备</w:t>
      </w:r>
      <w:r>
        <w:rPr>
          <w:rFonts w:hint="eastAsia" w:ascii="宋体" w:hAnsi="宋体" w:eastAsia="宋体" w:cs="宋体"/>
          <w:color w:val="auto"/>
          <w:sz w:val="21"/>
          <w:szCs w:val="21"/>
          <w:u w:val="none"/>
          <w:shd w:val="clear" w:color="auto" w:fill="auto"/>
        </w:rPr>
        <w:t>组织面向中小学生开展的研学实践活动</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夏</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冬</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令营等活动</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经委托第三方资产评估公司对基地整体评估，根据评估报告相关内容，本项目拟定每年受托方（中标人）向委托方（实践基地）缴</w:t>
      </w:r>
      <w:r>
        <w:rPr>
          <w:rFonts w:hint="eastAsia" w:ascii="宋体" w:hAnsi="宋体" w:eastAsia="宋体" w:cs="宋体"/>
          <w:color w:val="auto"/>
          <w:sz w:val="21"/>
          <w:szCs w:val="21"/>
          <w:highlight w:val="none"/>
          <w:u w:val="none"/>
          <w:shd w:val="clear" w:color="auto" w:fill="auto"/>
          <w:lang w:val="en-US" w:eastAsia="zh-CN"/>
        </w:rPr>
        <w:t>纳</w:t>
      </w:r>
      <w:bookmarkStart w:id="44" w:name="OLE_LINK5"/>
      <w:r>
        <w:rPr>
          <w:rFonts w:hint="eastAsia" w:ascii="宋体" w:hAnsi="宋体" w:eastAsia="宋体" w:cs="宋体"/>
          <w:color w:val="auto"/>
          <w:sz w:val="21"/>
          <w:szCs w:val="21"/>
          <w:highlight w:val="none"/>
          <w:u w:val="none"/>
          <w:shd w:val="clear" w:color="auto" w:fill="auto"/>
          <w:lang w:val="en-US" w:eastAsia="zh-CN"/>
        </w:rPr>
        <w:t>：第1年不低于377.81万元</w:t>
      </w:r>
      <w:bookmarkEnd w:id="44"/>
      <w:r>
        <w:rPr>
          <w:rFonts w:hint="eastAsia" w:ascii="宋体" w:hAnsi="宋体" w:eastAsia="宋体" w:cs="宋体"/>
          <w:color w:val="auto"/>
          <w:sz w:val="21"/>
          <w:szCs w:val="21"/>
          <w:highlight w:val="none"/>
          <w:u w:val="none"/>
          <w:shd w:val="clear" w:color="auto" w:fill="auto"/>
          <w:lang w:val="en-US" w:eastAsia="zh-CN"/>
        </w:rPr>
        <w:t>、第2年不低于385.65万元、第3年不低于393.73万元，3年期满后，第4年及后续年度租金以前一年租金为基数，根据供需状况及市场行情递增率不低于3%确定。</w:t>
      </w:r>
    </w:p>
    <w:p w14:paraId="0022C3C7">
      <w:pPr>
        <w:keepNext w:val="0"/>
        <w:keepLines w:val="0"/>
        <w:pageBreakBefore w:val="0"/>
        <w:widowControl w:val="0"/>
        <w:kinsoku/>
        <w:wordWrap/>
        <w:overflowPunct/>
        <w:topLinePunct w:val="0"/>
        <w:autoSpaceDN/>
        <w:bidi w:val="0"/>
        <w:adjustRightInd/>
        <w:snapToGrid/>
        <w:spacing w:line="560" w:lineRule="exact"/>
        <w:ind w:left="0" w:leftChars="0" w:firstLine="422" w:firstLineChars="200"/>
        <w:textAlignment w:val="auto"/>
        <w:rPr>
          <w:rFonts w:hint="eastAsia" w:ascii="宋体" w:hAnsi="宋体" w:eastAsia="宋体" w:cs="宋体"/>
          <w:b/>
          <w:bCs/>
          <w:color w:val="auto"/>
          <w:sz w:val="21"/>
          <w:szCs w:val="21"/>
          <w:u w:val="none"/>
          <w:shd w:val="clear" w:color="auto" w:fill="auto"/>
          <w:lang w:val="en-US" w:eastAsia="zh-CN"/>
        </w:rPr>
      </w:pPr>
    </w:p>
    <w:p w14:paraId="10A1C3FC">
      <w:pPr>
        <w:keepNext w:val="0"/>
        <w:keepLines w:val="0"/>
        <w:pageBreakBefore w:val="0"/>
        <w:widowControl w:val="0"/>
        <w:kinsoku/>
        <w:wordWrap/>
        <w:overflowPunct/>
        <w:topLinePunct w:val="0"/>
        <w:autoSpaceDN/>
        <w:bidi w:val="0"/>
        <w:adjustRightInd/>
        <w:snapToGrid/>
        <w:spacing w:line="560" w:lineRule="exact"/>
        <w:ind w:left="0" w:leftChars="0" w:firstLine="422" w:firstLineChars="200"/>
        <w:textAlignment w:val="auto"/>
        <w:rPr>
          <w:rFonts w:hint="eastAsia" w:ascii="宋体" w:hAnsi="宋体" w:eastAsia="宋体" w:cs="宋体"/>
          <w:b/>
          <w:bCs/>
          <w:color w:val="auto"/>
          <w:sz w:val="21"/>
          <w:szCs w:val="21"/>
          <w:u w:val="none"/>
          <w:shd w:val="clear" w:color="auto" w:fill="auto"/>
          <w:lang w:eastAsia="zh-CN"/>
        </w:rPr>
      </w:pPr>
      <w:r>
        <w:rPr>
          <w:rFonts w:hint="eastAsia" w:ascii="宋体" w:hAnsi="宋体" w:eastAsia="宋体" w:cs="宋体"/>
          <w:b/>
          <w:bCs/>
          <w:color w:val="auto"/>
          <w:sz w:val="21"/>
          <w:szCs w:val="21"/>
          <w:u w:val="none"/>
          <w:shd w:val="clear" w:color="auto" w:fill="auto"/>
          <w:lang w:val="en-US" w:eastAsia="zh-CN"/>
        </w:rPr>
        <w:t>五</w:t>
      </w:r>
      <w:r>
        <w:rPr>
          <w:rFonts w:hint="eastAsia" w:ascii="宋体" w:hAnsi="宋体" w:eastAsia="宋体" w:cs="宋体"/>
          <w:b/>
          <w:bCs/>
          <w:color w:val="auto"/>
          <w:sz w:val="21"/>
          <w:szCs w:val="21"/>
          <w:u w:val="none"/>
          <w:shd w:val="clear" w:color="auto" w:fill="auto"/>
          <w:lang w:eastAsia="zh-CN"/>
        </w:rPr>
        <w:t>、</w:t>
      </w:r>
      <w:r>
        <w:rPr>
          <w:rFonts w:hint="eastAsia" w:ascii="宋体" w:hAnsi="宋体" w:eastAsia="宋体" w:cs="宋体"/>
          <w:b/>
          <w:bCs/>
          <w:color w:val="auto"/>
          <w:sz w:val="21"/>
          <w:szCs w:val="21"/>
          <w:u w:val="none"/>
          <w:shd w:val="clear" w:color="auto" w:fill="auto"/>
        </w:rPr>
        <w:t>委托运营管理</w:t>
      </w:r>
      <w:r>
        <w:rPr>
          <w:rFonts w:hint="eastAsia" w:ascii="宋体" w:hAnsi="宋体" w:eastAsia="宋体" w:cs="宋体"/>
          <w:b/>
          <w:bCs/>
          <w:color w:val="auto"/>
          <w:sz w:val="21"/>
          <w:szCs w:val="21"/>
          <w:u w:val="none"/>
          <w:shd w:val="clear" w:color="auto" w:fill="auto"/>
          <w:lang w:eastAsia="zh-CN"/>
        </w:rPr>
        <w:t>原则</w:t>
      </w:r>
    </w:p>
    <w:p w14:paraId="1453B3A0">
      <w:pPr>
        <w:keepNext w:val="0"/>
        <w:keepLines w:val="0"/>
        <w:pageBreakBefore w:val="0"/>
        <w:widowControl w:val="0"/>
        <w:kinsoku/>
        <w:wordWrap/>
        <w:overflowPunct/>
        <w:topLinePunct w:val="0"/>
        <w:autoSpaceDN/>
        <w:bidi w:val="0"/>
        <w:adjustRightInd/>
        <w:snapToGrid/>
        <w:spacing w:line="560" w:lineRule="exact"/>
        <w:ind w:left="0" w:leftChars="0" w:firstLine="422" w:firstLineChars="200"/>
        <w:textAlignment w:val="auto"/>
        <w:rPr>
          <w:rFonts w:hint="eastAsia" w:ascii="宋体" w:hAnsi="宋体" w:eastAsia="宋体" w:cs="宋体"/>
          <w:b/>
          <w:bCs/>
          <w:color w:val="auto"/>
          <w:sz w:val="21"/>
          <w:szCs w:val="21"/>
          <w:u w:val="none"/>
          <w:shd w:val="clear" w:color="auto" w:fill="auto"/>
          <w:lang w:eastAsia="zh-CN"/>
        </w:rPr>
      </w:pPr>
      <w:r>
        <w:rPr>
          <w:rFonts w:hint="eastAsia" w:ascii="宋体" w:hAnsi="宋体" w:eastAsia="宋体" w:cs="宋体"/>
          <w:b/>
          <w:bCs/>
          <w:color w:val="auto"/>
          <w:sz w:val="21"/>
          <w:szCs w:val="21"/>
          <w:u w:val="none"/>
          <w:shd w:val="clear" w:color="auto" w:fill="auto"/>
        </w:rPr>
        <w:t>1.公益</w:t>
      </w:r>
      <w:r>
        <w:rPr>
          <w:rFonts w:hint="eastAsia" w:ascii="宋体" w:hAnsi="宋体" w:eastAsia="宋体" w:cs="宋体"/>
          <w:b/>
          <w:bCs/>
          <w:color w:val="auto"/>
          <w:sz w:val="21"/>
          <w:szCs w:val="21"/>
          <w:u w:val="none"/>
          <w:shd w:val="clear" w:color="auto" w:fill="auto"/>
          <w:lang w:eastAsia="zh-CN"/>
        </w:rPr>
        <w:t>用途</w:t>
      </w:r>
      <w:r>
        <w:rPr>
          <w:rFonts w:hint="eastAsia" w:ascii="宋体" w:hAnsi="宋体" w:eastAsia="宋体" w:cs="宋体"/>
          <w:b/>
          <w:bCs/>
          <w:color w:val="auto"/>
          <w:sz w:val="21"/>
          <w:szCs w:val="21"/>
          <w:u w:val="none"/>
          <w:shd w:val="clear" w:color="auto" w:fill="auto"/>
        </w:rPr>
        <w:t>不改变</w:t>
      </w:r>
      <w:r>
        <w:rPr>
          <w:rFonts w:hint="eastAsia" w:ascii="宋体" w:hAnsi="宋体" w:eastAsia="宋体" w:cs="宋体"/>
          <w:b/>
          <w:bCs/>
          <w:color w:val="auto"/>
          <w:sz w:val="21"/>
          <w:szCs w:val="21"/>
          <w:u w:val="none"/>
          <w:shd w:val="clear" w:color="auto" w:fill="auto"/>
          <w:lang w:eastAsia="zh-CN"/>
        </w:rPr>
        <w:t>：</w:t>
      </w:r>
    </w:p>
    <w:p w14:paraId="19B5DD73">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1</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确保</w:t>
      </w:r>
      <w:r>
        <w:rPr>
          <w:rFonts w:hint="eastAsia" w:ascii="宋体" w:hAnsi="宋体" w:eastAsia="宋体" w:cs="宋体"/>
          <w:color w:val="auto"/>
          <w:sz w:val="21"/>
          <w:szCs w:val="21"/>
          <w:u w:val="none"/>
          <w:shd w:val="clear" w:color="auto" w:fill="auto"/>
          <w:lang w:eastAsia="zh-CN"/>
        </w:rPr>
        <w:t>实践</w:t>
      </w:r>
      <w:r>
        <w:rPr>
          <w:rFonts w:hint="eastAsia" w:ascii="宋体" w:hAnsi="宋体" w:eastAsia="宋体" w:cs="宋体"/>
          <w:color w:val="auto"/>
          <w:sz w:val="21"/>
          <w:szCs w:val="21"/>
          <w:u w:val="none"/>
          <w:shd w:val="clear" w:color="auto" w:fill="auto"/>
        </w:rPr>
        <w:t>基地的运营始终以服务中小学素质教育为宗旨，</w:t>
      </w:r>
      <w:r>
        <w:rPr>
          <w:rFonts w:hint="eastAsia" w:ascii="宋体" w:hAnsi="宋体" w:eastAsia="宋体" w:cs="宋体"/>
          <w:color w:val="auto"/>
          <w:sz w:val="21"/>
          <w:szCs w:val="21"/>
          <w:u w:val="none"/>
          <w:shd w:val="clear" w:color="auto" w:fill="auto"/>
          <w:lang w:eastAsia="zh-CN"/>
        </w:rPr>
        <w:t>所开展的综合实践、研学实践活动符合公益性原则，</w:t>
      </w:r>
      <w:r>
        <w:rPr>
          <w:rFonts w:hint="eastAsia" w:ascii="宋体" w:hAnsi="宋体" w:eastAsia="宋体" w:cs="宋体"/>
          <w:color w:val="auto"/>
          <w:sz w:val="21"/>
          <w:szCs w:val="21"/>
          <w:u w:val="none"/>
          <w:shd w:val="clear" w:color="auto" w:fill="auto"/>
        </w:rPr>
        <w:t>不得</w:t>
      </w:r>
      <w:r>
        <w:rPr>
          <w:rFonts w:hint="eastAsia" w:ascii="宋体" w:hAnsi="宋体" w:eastAsia="宋体" w:cs="宋体"/>
          <w:color w:val="auto"/>
          <w:sz w:val="21"/>
          <w:szCs w:val="21"/>
          <w:u w:val="none"/>
          <w:shd w:val="clear" w:color="auto" w:fill="auto"/>
          <w:lang w:eastAsia="zh-CN"/>
        </w:rPr>
        <w:t>擅自</w:t>
      </w:r>
      <w:r>
        <w:rPr>
          <w:rFonts w:hint="eastAsia" w:ascii="宋体" w:hAnsi="宋体" w:eastAsia="宋体" w:cs="宋体"/>
          <w:color w:val="auto"/>
          <w:sz w:val="21"/>
          <w:szCs w:val="21"/>
          <w:u w:val="none"/>
          <w:shd w:val="clear" w:color="auto" w:fill="auto"/>
        </w:rPr>
        <w:t>改变</w:t>
      </w:r>
      <w:r>
        <w:rPr>
          <w:rFonts w:hint="eastAsia" w:ascii="宋体" w:hAnsi="宋体" w:eastAsia="宋体" w:cs="宋体"/>
          <w:color w:val="auto"/>
          <w:sz w:val="21"/>
          <w:szCs w:val="21"/>
          <w:u w:val="none"/>
          <w:shd w:val="clear" w:color="auto" w:fill="auto"/>
          <w:lang w:eastAsia="zh-CN"/>
        </w:rPr>
        <w:t>实践</w:t>
      </w:r>
      <w:r>
        <w:rPr>
          <w:rFonts w:hint="eastAsia" w:ascii="宋体" w:hAnsi="宋体" w:eastAsia="宋体" w:cs="宋体"/>
          <w:color w:val="auto"/>
          <w:sz w:val="21"/>
          <w:szCs w:val="21"/>
          <w:u w:val="none"/>
          <w:shd w:val="clear" w:color="auto" w:fill="auto"/>
        </w:rPr>
        <w:t>基地的公益</w:t>
      </w:r>
      <w:r>
        <w:rPr>
          <w:rFonts w:hint="eastAsia" w:ascii="宋体" w:hAnsi="宋体" w:eastAsia="宋体" w:cs="宋体"/>
          <w:color w:val="auto"/>
          <w:sz w:val="21"/>
          <w:szCs w:val="21"/>
          <w:u w:val="none"/>
          <w:shd w:val="clear" w:color="auto" w:fill="auto"/>
          <w:lang w:eastAsia="zh-CN"/>
        </w:rPr>
        <w:t>用途</w:t>
      </w:r>
      <w:r>
        <w:rPr>
          <w:rFonts w:hint="eastAsia" w:ascii="宋体" w:hAnsi="宋体" w:eastAsia="宋体" w:cs="宋体"/>
          <w:color w:val="auto"/>
          <w:sz w:val="21"/>
          <w:szCs w:val="21"/>
          <w:u w:val="none"/>
          <w:shd w:val="clear" w:color="auto" w:fill="auto"/>
        </w:rPr>
        <w:t>和收费标准。</w:t>
      </w:r>
    </w:p>
    <w:p w14:paraId="36627FD5">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2</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建立健全公益服务机制，定期向社会公众公开基地的运营管理情况和服务质量信息，接受社会监督。</w:t>
      </w:r>
    </w:p>
    <w:p w14:paraId="47D81369">
      <w:pPr>
        <w:keepNext w:val="0"/>
        <w:keepLines w:val="0"/>
        <w:pageBreakBefore w:val="0"/>
        <w:widowControl w:val="0"/>
        <w:kinsoku/>
        <w:wordWrap/>
        <w:overflowPunct/>
        <w:topLinePunct w:val="0"/>
        <w:autoSpaceDN/>
        <w:bidi w:val="0"/>
        <w:adjustRightInd/>
        <w:snapToGrid/>
        <w:spacing w:line="560" w:lineRule="exact"/>
        <w:ind w:left="0" w:leftChars="0" w:firstLine="422" w:firstLineChars="200"/>
        <w:textAlignment w:val="auto"/>
        <w:rPr>
          <w:rFonts w:hint="eastAsia" w:ascii="宋体" w:hAnsi="宋体" w:eastAsia="宋体" w:cs="宋体"/>
          <w:b/>
          <w:bCs/>
          <w:color w:val="auto"/>
          <w:sz w:val="21"/>
          <w:szCs w:val="21"/>
          <w:u w:val="none"/>
          <w:shd w:val="clear" w:color="auto" w:fill="auto"/>
          <w:lang w:eastAsia="zh-CN"/>
        </w:rPr>
      </w:pPr>
      <w:r>
        <w:rPr>
          <w:rFonts w:hint="eastAsia" w:ascii="宋体" w:hAnsi="宋体" w:eastAsia="宋体" w:cs="宋体"/>
          <w:b/>
          <w:bCs/>
          <w:color w:val="auto"/>
          <w:sz w:val="21"/>
          <w:szCs w:val="21"/>
          <w:u w:val="none"/>
          <w:shd w:val="clear" w:color="auto" w:fill="auto"/>
        </w:rPr>
        <w:t>2.国有资产不流失</w:t>
      </w:r>
      <w:r>
        <w:rPr>
          <w:rFonts w:hint="eastAsia" w:ascii="宋体" w:hAnsi="宋体" w:eastAsia="宋体" w:cs="宋体"/>
          <w:b/>
          <w:bCs/>
          <w:color w:val="auto"/>
          <w:sz w:val="21"/>
          <w:szCs w:val="21"/>
          <w:u w:val="none"/>
          <w:shd w:val="clear" w:color="auto" w:fill="auto"/>
          <w:lang w:eastAsia="zh-CN"/>
        </w:rPr>
        <w:t>：</w:t>
      </w:r>
    </w:p>
    <w:p w14:paraId="50D6BF62">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1</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制定完善国有资产管理制度，明确国有资产的登记、保管、使用、维护和处置等流程，确保国有资产的安全和完整。</w:t>
      </w:r>
    </w:p>
    <w:p w14:paraId="753FB04B">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2</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定期对</w:t>
      </w:r>
      <w:r>
        <w:rPr>
          <w:rFonts w:hint="eastAsia" w:ascii="宋体" w:hAnsi="宋体" w:eastAsia="宋体" w:cs="宋体"/>
          <w:color w:val="auto"/>
          <w:sz w:val="21"/>
          <w:szCs w:val="21"/>
          <w:u w:val="none"/>
          <w:shd w:val="clear" w:color="auto" w:fill="auto"/>
          <w:lang w:eastAsia="zh-CN"/>
        </w:rPr>
        <w:t>实践</w:t>
      </w:r>
      <w:r>
        <w:rPr>
          <w:rFonts w:hint="eastAsia" w:ascii="宋体" w:hAnsi="宋体" w:eastAsia="宋体" w:cs="宋体"/>
          <w:color w:val="auto"/>
          <w:sz w:val="21"/>
          <w:szCs w:val="21"/>
          <w:u w:val="none"/>
          <w:shd w:val="clear" w:color="auto" w:fill="auto"/>
        </w:rPr>
        <w:t>基地的国有资产进行清查盘点，及时发现和处理国有资产流失问题，如有国有资产损失或损坏，应按照相关规定及时报告并承担相应责任。</w:t>
      </w:r>
    </w:p>
    <w:p w14:paraId="684C88E1">
      <w:pPr>
        <w:keepNext w:val="0"/>
        <w:keepLines w:val="0"/>
        <w:pageBreakBefore w:val="0"/>
        <w:widowControl w:val="0"/>
        <w:kinsoku/>
        <w:wordWrap/>
        <w:overflowPunct/>
        <w:topLinePunct w:val="0"/>
        <w:autoSpaceDN/>
        <w:bidi w:val="0"/>
        <w:adjustRightInd/>
        <w:snapToGrid/>
        <w:spacing w:line="560" w:lineRule="exact"/>
        <w:ind w:left="0" w:leftChars="0" w:firstLine="422" w:firstLineChars="200"/>
        <w:textAlignment w:val="auto"/>
        <w:rPr>
          <w:rFonts w:hint="eastAsia" w:ascii="宋体" w:hAnsi="宋体" w:eastAsia="宋体" w:cs="宋体"/>
          <w:b/>
          <w:bCs/>
          <w:color w:val="auto"/>
          <w:sz w:val="21"/>
          <w:szCs w:val="21"/>
          <w:u w:val="none"/>
          <w:shd w:val="clear" w:color="auto" w:fill="auto"/>
          <w:lang w:eastAsia="zh-CN"/>
        </w:rPr>
      </w:pPr>
      <w:r>
        <w:rPr>
          <w:rFonts w:hint="eastAsia" w:ascii="宋体" w:hAnsi="宋体" w:eastAsia="宋体" w:cs="宋体"/>
          <w:b/>
          <w:bCs/>
          <w:color w:val="auto"/>
          <w:sz w:val="21"/>
          <w:szCs w:val="21"/>
          <w:u w:val="none"/>
          <w:shd w:val="clear" w:color="auto" w:fill="auto"/>
        </w:rPr>
        <w:t>3.业务监管不缺</w:t>
      </w:r>
      <w:r>
        <w:rPr>
          <w:rFonts w:hint="eastAsia" w:ascii="宋体" w:hAnsi="宋体" w:eastAsia="宋体" w:cs="宋体"/>
          <w:b/>
          <w:bCs/>
          <w:color w:val="auto"/>
          <w:sz w:val="21"/>
          <w:szCs w:val="21"/>
          <w:u w:val="none"/>
          <w:shd w:val="clear" w:color="auto" w:fill="auto"/>
          <w:lang w:eastAsia="zh-CN"/>
        </w:rPr>
        <w:t>位：</w:t>
      </w:r>
    </w:p>
    <w:p w14:paraId="736C878D">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1</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配合教育主管部门开展各类检查和评估工作，及时整改存在的问题，不断提高运营管理水平和服务质量。</w:t>
      </w:r>
    </w:p>
    <w:p w14:paraId="2711F786">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lang w:eastAsia="zh-CN"/>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2</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接受委托方</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实践基地</w:t>
      </w:r>
      <w:r>
        <w:rPr>
          <w:rFonts w:hint="eastAsia" w:ascii="宋体" w:hAnsi="宋体" w:eastAsia="宋体" w:cs="宋体"/>
          <w:color w:val="auto"/>
          <w:sz w:val="21"/>
          <w:szCs w:val="21"/>
          <w:u w:val="none"/>
          <w:shd w:val="clear" w:color="auto" w:fill="auto"/>
          <w:lang w:eastAsia="zh-CN"/>
        </w:rPr>
        <w:t>）对综合</w:t>
      </w:r>
      <w:r>
        <w:rPr>
          <w:rFonts w:hint="eastAsia" w:ascii="宋体" w:hAnsi="宋体" w:eastAsia="宋体" w:cs="宋体"/>
          <w:color w:val="auto"/>
          <w:sz w:val="21"/>
          <w:szCs w:val="21"/>
          <w:u w:val="none"/>
          <w:shd w:val="clear" w:color="auto" w:fill="auto"/>
        </w:rPr>
        <w:t>实践</w:t>
      </w:r>
      <w:r>
        <w:rPr>
          <w:rFonts w:hint="eastAsia" w:ascii="宋体" w:hAnsi="宋体" w:eastAsia="宋体" w:cs="宋体"/>
          <w:color w:val="auto"/>
          <w:sz w:val="21"/>
          <w:szCs w:val="21"/>
          <w:u w:val="none"/>
          <w:shd w:val="clear" w:color="auto" w:fill="auto"/>
          <w:lang w:eastAsia="zh-CN"/>
        </w:rPr>
        <w:t>、研学实践和劳动实践活动的业务</w:t>
      </w:r>
      <w:r>
        <w:rPr>
          <w:rFonts w:hint="eastAsia" w:ascii="宋体" w:hAnsi="宋体" w:eastAsia="宋体" w:cs="宋体"/>
          <w:color w:val="auto"/>
          <w:sz w:val="21"/>
          <w:szCs w:val="21"/>
          <w:u w:val="none"/>
          <w:shd w:val="clear" w:color="auto" w:fill="auto"/>
        </w:rPr>
        <w:t>指导和监督检查</w:t>
      </w:r>
      <w:r>
        <w:rPr>
          <w:rFonts w:hint="eastAsia" w:ascii="宋体" w:hAnsi="宋体" w:eastAsia="宋体" w:cs="宋体"/>
          <w:color w:val="auto"/>
          <w:sz w:val="21"/>
          <w:szCs w:val="21"/>
          <w:u w:val="none"/>
          <w:shd w:val="clear" w:color="auto" w:fill="auto"/>
          <w:lang w:eastAsia="zh-CN"/>
        </w:rPr>
        <w:t>，其他活动需提前一周向</w:t>
      </w:r>
      <w:r>
        <w:rPr>
          <w:rFonts w:hint="eastAsia" w:ascii="宋体" w:hAnsi="宋体" w:eastAsia="宋体" w:cs="宋体"/>
          <w:color w:val="auto"/>
          <w:sz w:val="21"/>
          <w:szCs w:val="21"/>
          <w:u w:val="none"/>
          <w:shd w:val="clear" w:color="auto" w:fill="auto"/>
        </w:rPr>
        <w:t>委托方</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实践基地</w:t>
      </w:r>
      <w:r>
        <w:rPr>
          <w:rFonts w:hint="eastAsia" w:ascii="宋体" w:hAnsi="宋体" w:eastAsia="宋体" w:cs="宋体"/>
          <w:color w:val="auto"/>
          <w:sz w:val="21"/>
          <w:szCs w:val="21"/>
          <w:u w:val="none"/>
          <w:shd w:val="clear" w:color="auto" w:fill="auto"/>
          <w:lang w:eastAsia="zh-CN"/>
        </w:rPr>
        <w:t>）报备。（考核办法见</w:t>
      </w:r>
      <w:r>
        <w:rPr>
          <w:rFonts w:hint="eastAsia" w:ascii="宋体" w:hAnsi="宋体" w:eastAsia="宋体" w:cs="宋体"/>
          <w:color w:val="auto"/>
          <w:sz w:val="21"/>
          <w:szCs w:val="21"/>
          <w:u w:val="none"/>
          <w:shd w:val="clear" w:color="auto" w:fill="auto"/>
          <w:lang w:val="en-US" w:eastAsia="zh-CN"/>
        </w:rPr>
        <w:t>《韶关市示范性综合实践基地委托运营管理项目服务合同》十七部分：考核标准</w:t>
      </w:r>
      <w:r>
        <w:rPr>
          <w:rFonts w:hint="eastAsia" w:ascii="宋体" w:hAnsi="宋体" w:eastAsia="宋体" w:cs="宋体"/>
          <w:color w:val="auto"/>
          <w:sz w:val="21"/>
          <w:szCs w:val="21"/>
          <w:u w:val="none"/>
          <w:shd w:val="clear" w:color="auto" w:fill="auto"/>
          <w:lang w:eastAsia="zh-CN"/>
        </w:rPr>
        <w:t>）</w:t>
      </w:r>
    </w:p>
    <w:p w14:paraId="267D5230">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lang w:eastAsia="zh-CN"/>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3</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受托方</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中标方</w:t>
      </w:r>
      <w:r>
        <w:rPr>
          <w:rFonts w:hint="eastAsia" w:ascii="宋体" w:hAnsi="宋体" w:eastAsia="宋体" w:cs="宋体"/>
          <w:color w:val="auto"/>
          <w:sz w:val="21"/>
          <w:szCs w:val="21"/>
          <w:u w:val="none"/>
          <w:shd w:val="clear" w:color="auto" w:fill="auto"/>
          <w:lang w:eastAsia="zh-CN"/>
        </w:rPr>
        <w:t>）要积极参加由教育行政部门或相关部门组织的业务活动，包括但不限于撰写论文、设计课例、说课比赛。</w:t>
      </w:r>
    </w:p>
    <w:p w14:paraId="50B57F91">
      <w:pPr>
        <w:keepNext w:val="0"/>
        <w:keepLines w:val="0"/>
        <w:pageBreakBefore w:val="0"/>
        <w:widowControl w:val="0"/>
        <w:kinsoku/>
        <w:wordWrap/>
        <w:overflowPunct/>
        <w:topLinePunct w:val="0"/>
        <w:autoSpaceDN/>
        <w:bidi w:val="0"/>
        <w:adjustRightInd/>
        <w:snapToGrid/>
        <w:spacing w:line="560" w:lineRule="exact"/>
        <w:ind w:left="0" w:leftChars="0" w:firstLine="422" w:firstLineChars="200"/>
        <w:textAlignment w:val="auto"/>
        <w:rPr>
          <w:rFonts w:hint="eastAsia" w:ascii="宋体" w:hAnsi="宋体" w:eastAsia="宋体" w:cs="宋体"/>
          <w:b/>
          <w:bCs/>
          <w:color w:val="auto"/>
          <w:sz w:val="21"/>
          <w:szCs w:val="21"/>
          <w:u w:val="none"/>
          <w:shd w:val="clear" w:color="auto" w:fill="auto"/>
          <w:lang w:eastAsia="zh-CN"/>
        </w:rPr>
      </w:pPr>
      <w:r>
        <w:rPr>
          <w:rFonts w:hint="eastAsia" w:ascii="宋体" w:hAnsi="宋体" w:eastAsia="宋体" w:cs="宋体"/>
          <w:b/>
          <w:bCs/>
          <w:color w:val="auto"/>
          <w:sz w:val="21"/>
          <w:szCs w:val="21"/>
          <w:u w:val="none"/>
          <w:shd w:val="clear" w:color="auto" w:fill="auto"/>
        </w:rPr>
        <w:t>4.服务质量有提升</w:t>
      </w:r>
      <w:r>
        <w:rPr>
          <w:rFonts w:hint="eastAsia" w:ascii="宋体" w:hAnsi="宋体" w:eastAsia="宋体" w:cs="宋体"/>
          <w:b/>
          <w:bCs/>
          <w:color w:val="auto"/>
          <w:sz w:val="21"/>
          <w:szCs w:val="21"/>
          <w:u w:val="none"/>
          <w:shd w:val="clear" w:color="auto" w:fill="auto"/>
          <w:lang w:eastAsia="zh-CN"/>
        </w:rPr>
        <w:t>：</w:t>
      </w:r>
    </w:p>
    <w:p w14:paraId="0217667F">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1</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依据《示范性综合实践基地</w:t>
      </w:r>
      <w:r>
        <w:rPr>
          <w:rFonts w:hint="eastAsia" w:ascii="宋体" w:hAnsi="宋体" w:eastAsia="宋体" w:cs="宋体"/>
          <w:color w:val="auto"/>
          <w:sz w:val="21"/>
          <w:szCs w:val="21"/>
          <w:u w:val="none"/>
          <w:shd w:val="clear" w:color="auto" w:fill="auto"/>
          <w:lang w:eastAsia="zh-CN"/>
        </w:rPr>
        <w:t>实践</w:t>
      </w:r>
      <w:r>
        <w:rPr>
          <w:rFonts w:hint="eastAsia" w:ascii="宋体" w:hAnsi="宋体" w:eastAsia="宋体" w:cs="宋体"/>
          <w:color w:val="auto"/>
          <w:sz w:val="21"/>
          <w:szCs w:val="21"/>
          <w:u w:val="none"/>
          <w:shd w:val="clear" w:color="auto" w:fill="auto"/>
        </w:rPr>
        <w:t>活动指南》《中小学综合实践活动</w:t>
      </w:r>
      <w:r>
        <w:rPr>
          <w:rFonts w:hint="eastAsia" w:ascii="宋体" w:hAnsi="宋体" w:eastAsia="宋体" w:cs="宋体"/>
          <w:color w:val="auto"/>
          <w:sz w:val="21"/>
          <w:szCs w:val="21"/>
          <w:u w:val="none"/>
          <w:shd w:val="clear" w:color="auto" w:fill="auto"/>
          <w:lang w:eastAsia="zh-CN"/>
        </w:rPr>
        <w:t>课程</w:t>
      </w:r>
      <w:r>
        <w:rPr>
          <w:rFonts w:hint="eastAsia" w:ascii="宋体" w:hAnsi="宋体" w:eastAsia="宋体" w:cs="宋体"/>
          <w:color w:val="auto"/>
          <w:sz w:val="21"/>
          <w:szCs w:val="21"/>
          <w:u w:val="none"/>
          <w:shd w:val="clear" w:color="auto" w:fill="auto"/>
        </w:rPr>
        <w:t>指导纲要》</w:t>
      </w:r>
      <w:r>
        <w:rPr>
          <w:rFonts w:hint="eastAsia" w:ascii="宋体" w:hAnsi="宋体" w:eastAsia="宋体" w:cs="宋体"/>
          <w:color w:val="auto"/>
          <w:sz w:val="21"/>
          <w:szCs w:val="21"/>
          <w:u w:val="none"/>
          <w:shd w:val="clear" w:color="auto" w:fill="auto"/>
          <w:lang w:eastAsia="zh-CN"/>
        </w:rPr>
        <w:t>《广东省关于加强全省中小学生研学实践教育活动管理的通知》《广东省中小学研学实践教育基（营）地申报标准》、韶关市《研学旅行服务规范》</w:t>
      </w:r>
      <w:r>
        <w:rPr>
          <w:rFonts w:hint="eastAsia" w:ascii="宋体" w:hAnsi="宋体" w:eastAsia="宋体" w:cs="宋体"/>
          <w:color w:val="auto"/>
          <w:sz w:val="21"/>
          <w:szCs w:val="21"/>
          <w:u w:val="none"/>
          <w:shd w:val="clear" w:color="auto" w:fill="auto"/>
        </w:rPr>
        <w:t>制定科学合理的课程体系和</w:t>
      </w:r>
      <w:r>
        <w:rPr>
          <w:rFonts w:hint="eastAsia" w:ascii="宋体" w:hAnsi="宋体" w:eastAsia="宋体" w:cs="宋体"/>
          <w:color w:val="auto"/>
          <w:sz w:val="21"/>
          <w:szCs w:val="21"/>
          <w:u w:val="none"/>
          <w:shd w:val="clear" w:color="auto" w:fill="auto"/>
          <w:lang w:eastAsia="zh-CN"/>
        </w:rPr>
        <w:t>实践活动</w:t>
      </w:r>
      <w:r>
        <w:rPr>
          <w:rFonts w:hint="eastAsia" w:ascii="宋体" w:hAnsi="宋体" w:eastAsia="宋体" w:cs="宋体"/>
          <w:color w:val="auto"/>
          <w:sz w:val="21"/>
          <w:szCs w:val="21"/>
          <w:u w:val="none"/>
          <w:shd w:val="clear" w:color="auto" w:fill="auto"/>
        </w:rPr>
        <w:t>计划，结合中小学生的年龄特点和认知水平，开发具有针对性和实效性的</w:t>
      </w:r>
      <w:r>
        <w:rPr>
          <w:rFonts w:hint="eastAsia" w:ascii="宋体" w:hAnsi="宋体" w:eastAsia="宋体" w:cs="宋体"/>
          <w:color w:val="auto"/>
          <w:sz w:val="21"/>
          <w:szCs w:val="21"/>
          <w:u w:val="none"/>
          <w:shd w:val="clear" w:color="auto" w:fill="auto"/>
          <w:lang w:eastAsia="zh-CN"/>
        </w:rPr>
        <w:t>综合</w:t>
      </w:r>
      <w:r>
        <w:rPr>
          <w:rFonts w:hint="eastAsia" w:ascii="宋体" w:hAnsi="宋体" w:eastAsia="宋体" w:cs="宋体"/>
          <w:color w:val="auto"/>
          <w:sz w:val="21"/>
          <w:szCs w:val="21"/>
          <w:u w:val="none"/>
          <w:shd w:val="clear" w:color="auto" w:fill="auto"/>
        </w:rPr>
        <w:t>实践</w:t>
      </w:r>
      <w:r>
        <w:rPr>
          <w:rFonts w:hint="eastAsia" w:ascii="宋体" w:hAnsi="宋体" w:eastAsia="宋体" w:cs="宋体"/>
          <w:color w:val="auto"/>
          <w:sz w:val="21"/>
          <w:szCs w:val="21"/>
          <w:u w:val="none"/>
          <w:shd w:val="clear" w:color="auto" w:fill="auto"/>
          <w:lang w:eastAsia="zh-CN"/>
        </w:rPr>
        <w:t>、研学实践和劳动实践活动课程</w:t>
      </w:r>
      <w:r>
        <w:rPr>
          <w:rFonts w:hint="eastAsia" w:ascii="宋体" w:hAnsi="宋体" w:eastAsia="宋体" w:cs="宋体"/>
          <w:color w:val="auto"/>
          <w:sz w:val="21"/>
          <w:szCs w:val="21"/>
          <w:u w:val="none"/>
          <w:shd w:val="clear" w:color="auto" w:fill="auto"/>
        </w:rPr>
        <w:t>，丰富实践教育内容和形式。</w:t>
      </w:r>
    </w:p>
    <w:p w14:paraId="40F6048E">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2</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加强师资队伍建设，招聘和培养一批具有专业素养和实践经验的教师队伍，定期组织教师培训和</w:t>
      </w:r>
      <w:r>
        <w:rPr>
          <w:rFonts w:hint="eastAsia" w:ascii="宋体" w:hAnsi="宋体" w:eastAsia="宋体" w:cs="宋体"/>
          <w:color w:val="auto"/>
          <w:sz w:val="21"/>
          <w:szCs w:val="21"/>
          <w:u w:val="none"/>
          <w:shd w:val="clear" w:color="auto" w:fill="auto"/>
          <w:lang w:eastAsia="zh-CN"/>
        </w:rPr>
        <w:t>研</w:t>
      </w:r>
      <w:r>
        <w:rPr>
          <w:rFonts w:hint="eastAsia" w:ascii="宋体" w:hAnsi="宋体" w:eastAsia="宋体" w:cs="宋体"/>
          <w:color w:val="auto"/>
          <w:sz w:val="21"/>
          <w:szCs w:val="21"/>
          <w:u w:val="none"/>
          <w:shd w:val="clear" w:color="auto" w:fill="auto"/>
        </w:rPr>
        <w:t>修活动，提高教师的教</w:t>
      </w:r>
      <w:r>
        <w:rPr>
          <w:rFonts w:hint="eastAsia" w:ascii="宋体" w:hAnsi="宋体" w:eastAsia="宋体" w:cs="宋体"/>
          <w:color w:val="auto"/>
          <w:sz w:val="21"/>
          <w:szCs w:val="21"/>
          <w:u w:val="none"/>
          <w:shd w:val="clear" w:color="auto" w:fill="auto"/>
          <w:lang w:eastAsia="zh-CN"/>
        </w:rPr>
        <w:t>育</w:t>
      </w:r>
      <w:r>
        <w:rPr>
          <w:rFonts w:hint="eastAsia" w:ascii="宋体" w:hAnsi="宋体" w:eastAsia="宋体" w:cs="宋体"/>
          <w:color w:val="auto"/>
          <w:sz w:val="21"/>
          <w:szCs w:val="21"/>
          <w:u w:val="none"/>
          <w:shd w:val="clear" w:color="auto" w:fill="auto"/>
        </w:rPr>
        <w:t>水平和实践</w:t>
      </w:r>
      <w:r>
        <w:rPr>
          <w:rFonts w:hint="eastAsia" w:ascii="宋体" w:hAnsi="宋体" w:eastAsia="宋体" w:cs="宋体"/>
          <w:color w:val="auto"/>
          <w:sz w:val="21"/>
          <w:szCs w:val="21"/>
          <w:u w:val="none"/>
          <w:shd w:val="clear" w:color="auto" w:fill="auto"/>
          <w:lang w:eastAsia="zh-CN"/>
        </w:rPr>
        <w:t>指导</w:t>
      </w:r>
      <w:r>
        <w:rPr>
          <w:rFonts w:hint="eastAsia" w:ascii="宋体" w:hAnsi="宋体" w:eastAsia="宋体" w:cs="宋体"/>
          <w:color w:val="auto"/>
          <w:sz w:val="21"/>
          <w:szCs w:val="21"/>
          <w:u w:val="none"/>
          <w:shd w:val="clear" w:color="auto" w:fill="auto"/>
        </w:rPr>
        <w:t>能力，确保教师能够按照相关要求开展</w:t>
      </w:r>
      <w:r>
        <w:rPr>
          <w:rFonts w:hint="eastAsia" w:ascii="宋体" w:hAnsi="宋体" w:eastAsia="宋体" w:cs="宋体"/>
          <w:color w:val="auto"/>
          <w:sz w:val="21"/>
          <w:szCs w:val="21"/>
          <w:u w:val="none"/>
          <w:shd w:val="clear" w:color="auto" w:fill="auto"/>
          <w:lang w:eastAsia="zh-CN"/>
        </w:rPr>
        <w:t>实践教育</w:t>
      </w:r>
      <w:r>
        <w:rPr>
          <w:rFonts w:hint="eastAsia" w:ascii="宋体" w:hAnsi="宋体" w:eastAsia="宋体" w:cs="宋体"/>
          <w:color w:val="auto"/>
          <w:sz w:val="21"/>
          <w:szCs w:val="21"/>
          <w:u w:val="none"/>
          <w:shd w:val="clear" w:color="auto" w:fill="auto"/>
        </w:rPr>
        <w:t>活动。</w:t>
      </w:r>
    </w:p>
    <w:p w14:paraId="165A970C">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3</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优化</w:t>
      </w:r>
      <w:r>
        <w:rPr>
          <w:rFonts w:hint="eastAsia" w:ascii="宋体" w:hAnsi="宋体" w:eastAsia="宋体" w:cs="宋体"/>
          <w:color w:val="auto"/>
          <w:sz w:val="21"/>
          <w:szCs w:val="21"/>
          <w:u w:val="none"/>
          <w:shd w:val="clear" w:color="auto" w:fill="auto"/>
          <w:lang w:eastAsia="zh-CN"/>
        </w:rPr>
        <w:t>实践</w:t>
      </w:r>
      <w:r>
        <w:rPr>
          <w:rFonts w:hint="eastAsia" w:ascii="宋体" w:hAnsi="宋体" w:eastAsia="宋体" w:cs="宋体"/>
          <w:color w:val="auto"/>
          <w:sz w:val="21"/>
          <w:szCs w:val="21"/>
          <w:u w:val="none"/>
          <w:shd w:val="clear" w:color="auto" w:fill="auto"/>
        </w:rPr>
        <w:t>基地的服务设施和</w:t>
      </w:r>
      <w:r>
        <w:rPr>
          <w:rFonts w:hint="eastAsia" w:ascii="宋体" w:hAnsi="宋体" w:eastAsia="宋体" w:cs="宋体"/>
          <w:color w:val="auto"/>
          <w:sz w:val="21"/>
          <w:szCs w:val="21"/>
          <w:u w:val="none"/>
          <w:shd w:val="clear" w:color="auto" w:fill="auto"/>
          <w:lang w:eastAsia="zh-CN"/>
        </w:rPr>
        <w:t>实践活动设施设备</w:t>
      </w:r>
      <w:r>
        <w:rPr>
          <w:rFonts w:hint="eastAsia" w:ascii="宋体" w:hAnsi="宋体" w:eastAsia="宋体" w:cs="宋体"/>
          <w:color w:val="auto"/>
          <w:sz w:val="21"/>
          <w:szCs w:val="21"/>
          <w:u w:val="none"/>
          <w:shd w:val="clear" w:color="auto" w:fill="auto"/>
        </w:rPr>
        <w:t>，为</w:t>
      </w:r>
      <w:r>
        <w:rPr>
          <w:rFonts w:hint="eastAsia" w:ascii="宋体" w:hAnsi="宋体" w:eastAsia="宋体" w:cs="宋体"/>
          <w:color w:val="auto"/>
          <w:sz w:val="21"/>
          <w:szCs w:val="21"/>
          <w:u w:val="none"/>
          <w:shd w:val="clear" w:color="auto" w:fill="auto"/>
          <w:lang w:eastAsia="zh-CN"/>
        </w:rPr>
        <w:t>提升</w:t>
      </w:r>
      <w:r>
        <w:rPr>
          <w:rFonts w:hint="eastAsia" w:ascii="宋体" w:hAnsi="宋体" w:eastAsia="宋体" w:cs="宋体"/>
          <w:color w:val="auto"/>
          <w:sz w:val="21"/>
          <w:szCs w:val="21"/>
          <w:u w:val="none"/>
          <w:shd w:val="clear" w:color="auto" w:fill="auto"/>
        </w:rPr>
        <w:t>中小学生</w:t>
      </w:r>
      <w:r>
        <w:rPr>
          <w:rFonts w:hint="eastAsia" w:ascii="宋体" w:hAnsi="宋体" w:eastAsia="宋体" w:cs="宋体"/>
          <w:color w:val="auto"/>
          <w:sz w:val="21"/>
          <w:szCs w:val="21"/>
          <w:u w:val="none"/>
          <w:shd w:val="clear" w:color="auto" w:fill="auto"/>
          <w:lang w:eastAsia="zh-CN"/>
        </w:rPr>
        <w:t>的实践活动（综合实践、研学实践及劳动实践）质量</w:t>
      </w:r>
      <w:r>
        <w:rPr>
          <w:rFonts w:hint="eastAsia" w:ascii="宋体" w:hAnsi="宋体" w:eastAsia="宋体" w:cs="宋体"/>
          <w:color w:val="auto"/>
          <w:sz w:val="21"/>
          <w:szCs w:val="21"/>
          <w:u w:val="none"/>
          <w:shd w:val="clear" w:color="auto" w:fill="auto"/>
        </w:rPr>
        <w:t>提供</w:t>
      </w:r>
      <w:r>
        <w:rPr>
          <w:rFonts w:hint="eastAsia" w:ascii="宋体" w:hAnsi="宋体" w:eastAsia="宋体" w:cs="宋体"/>
          <w:color w:val="auto"/>
          <w:sz w:val="21"/>
          <w:szCs w:val="21"/>
          <w:u w:val="none"/>
          <w:shd w:val="clear" w:color="auto" w:fill="auto"/>
          <w:lang w:eastAsia="zh-CN"/>
        </w:rPr>
        <w:t>良好的硬件</w:t>
      </w:r>
      <w:r>
        <w:rPr>
          <w:rFonts w:hint="eastAsia" w:ascii="宋体" w:hAnsi="宋体" w:eastAsia="宋体" w:cs="宋体"/>
          <w:color w:val="auto"/>
          <w:sz w:val="21"/>
          <w:szCs w:val="21"/>
          <w:u w:val="none"/>
          <w:shd w:val="clear" w:color="auto" w:fill="auto"/>
        </w:rPr>
        <w:t>。</w:t>
      </w:r>
    </w:p>
    <w:p w14:paraId="5DF34D98">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4</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建立健全服务质量反馈机制，及时收集学生、家长和学校的意见和建议，不断改进服务质量，提高学生和家长的满意度。</w:t>
      </w:r>
    </w:p>
    <w:p w14:paraId="7851DB57">
      <w:pPr>
        <w:pStyle w:val="9"/>
        <w:rPr>
          <w:rFonts w:hint="eastAsia"/>
          <w:color w:val="auto"/>
        </w:rPr>
      </w:pPr>
    </w:p>
    <w:p w14:paraId="09E29DA8">
      <w:pPr>
        <w:keepNext w:val="0"/>
        <w:keepLines w:val="0"/>
        <w:pageBreakBefore w:val="0"/>
        <w:widowControl w:val="0"/>
        <w:kinsoku/>
        <w:wordWrap/>
        <w:overflowPunct/>
        <w:topLinePunct w:val="0"/>
        <w:autoSpaceDN/>
        <w:bidi w:val="0"/>
        <w:adjustRightInd/>
        <w:snapToGrid/>
        <w:spacing w:line="560" w:lineRule="exact"/>
        <w:ind w:left="0" w:leftChars="0" w:firstLine="422" w:firstLineChars="200"/>
        <w:textAlignment w:val="auto"/>
        <w:rPr>
          <w:rFonts w:hint="eastAsia" w:ascii="宋体" w:hAnsi="宋体" w:eastAsia="宋体" w:cs="宋体"/>
          <w:b/>
          <w:bCs/>
          <w:color w:val="auto"/>
          <w:sz w:val="21"/>
          <w:szCs w:val="21"/>
          <w:u w:val="none"/>
          <w:shd w:val="clear" w:color="auto" w:fill="auto"/>
        </w:rPr>
      </w:pPr>
      <w:r>
        <w:rPr>
          <w:rFonts w:hint="eastAsia" w:ascii="宋体" w:hAnsi="宋体" w:eastAsia="宋体" w:cs="宋体"/>
          <w:b/>
          <w:bCs/>
          <w:color w:val="auto"/>
          <w:sz w:val="21"/>
          <w:szCs w:val="21"/>
          <w:u w:val="none"/>
          <w:shd w:val="clear" w:color="auto" w:fill="auto"/>
          <w:lang w:val="en-US" w:eastAsia="zh-CN"/>
        </w:rPr>
        <w:t>六</w:t>
      </w:r>
      <w:r>
        <w:rPr>
          <w:rFonts w:hint="eastAsia" w:ascii="宋体" w:hAnsi="宋体" w:eastAsia="宋体" w:cs="宋体"/>
          <w:b/>
          <w:bCs/>
          <w:color w:val="auto"/>
          <w:sz w:val="21"/>
          <w:szCs w:val="21"/>
          <w:u w:val="none"/>
          <w:shd w:val="clear" w:color="auto" w:fill="auto"/>
          <w:lang w:eastAsia="zh-CN"/>
        </w:rPr>
        <w:t>、委托</w:t>
      </w:r>
      <w:r>
        <w:rPr>
          <w:rFonts w:hint="eastAsia" w:ascii="宋体" w:hAnsi="宋体" w:eastAsia="宋体" w:cs="宋体"/>
          <w:b/>
          <w:bCs/>
          <w:color w:val="auto"/>
          <w:sz w:val="21"/>
          <w:szCs w:val="21"/>
          <w:u w:val="none"/>
          <w:shd w:val="clear" w:color="auto" w:fill="auto"/>
        </w:rPr>
        <w:t>运营管理具体</w:t>
      </w:r>
      <w:r>
        <w:rPr>
          <w:rFonts w:hint="eastAsia" w:ascii="宋体" w:hAnsi="宋体" w:eastAsia="宋体" w:cs="宋体"/>
          <w:b/>
          <w:bCs/>
          <w:color w:val="auto"/>
          <w:sz w:val="21"/>
          <w:szCs w:val="21"/>
          <w:u w:val="none"/>
          <w:shd w:val="clear" w:color="auto" w:fill="auto"/>
          <w:lang w:val="en-US" w:eastAsia="zh-CN"/>
        </w:rPr>
        <w:t>内容及</w:t>
      </w:r>
      <w:r>
        <w:rPr>
          <w:rFonts w:hint="eastAsia" w:ascii="宋体" w:hAnsi="宋体" w:eastAsia="宋体" w:cs="宋体"/>
          <w:b/>
          <w:bCs/>
          <w:color w:val="auto"/>
          <w:sz w:val="21"/>
          <w:szCs w:val="21"/>
          <w:u w:val="none"/>
          <w:shd w:val="clear" w:color="auto" w:fill="auto"/>
        </w:rPr>
        <w:t>要求</w:t>
      </w:r>
    </w:p>
    <w:p w14:paraId="0FE726E3">
      <w:pPr>
        <w:keepNext w:val="0"/>
        <w:keepLines w:val="0"/>
        <w:pageBreakBefore w:val="0"/>
        <w:widowControl w:val="0"/>
        <w:kinsoku/>
        <w:wordWrap/>
        <w:overflowPunct/>
        <w:topLinePunct w:val="0"/>
        <w:autoSpaceDE w:val="0"/>
        <w:autoSpaceDN/>
        <w:bidi w:val="0"/>
        <w:adjustRightInd/>
        <w:snapToGrid/>
        <w:spacing w:line="560" w:lineRule="exact"/>
        <w:ind w:left="0" w:leftChars="0" w:firstLine="422" w:firstLineChars="200"/>
        <w:textAlignment w:val="auto"/>
        <w:rPr>
          <w:rFonts w:hint="eastAsia" w:ascii="宋体" w:hAnsi="宋体" w:eastAsia="宋体" w:cs="宋体"/>
          <w:b/>
          <w:bCs/>
          <w:color w:val="auto"/>
          <w:sz w:val="21"/>
          <w:szCs w:val="21"/>
          <w:highlight w:val="none"/>
          <w:u w:val="none"/>
          <w:shd w:val="clear" w:color="auto" w:fill="auto"/>
          <w:lang w:val="en-US" w:eastAsia="zh-CN"/>
        </w:rPr>
      </w:pPr>
      <w:r>
        <w:rPr>
          <w:rFonts w:hint="eastAsia" w:ascii="宋体" w:hAnsi="宋体" w:eastAsia="宋体" w:cs="宋体"/>
          <w:b/>
          <w:bCs/>
          <w:color w:val="auto"/>
          <w:sz w:val="21"/>
          <w:szCs w:val="21"/>
          <w:highlight w:val="none"/>
          <w:u w:val="none"/>
          <w:shd w:val="clear" w:color="auto" w:fill="auto"/>
          <w:lang w:val="en-US" w:eastAsia="zh-CN"/>
        </w:rPr>
        <w:t>1.提升改造</w:t>
      </w:r>
      <w:r>
        <w:rPr>
          <w:rFonts w:hint="eastAsia" w:ascii="宋体" w:hAnsi="宋体" w:eastAsia="宋体" w:cs="宋体"/>
          <w:b/>
          <w:bCs/>
          <w:color w:val="auto"/>
          <w:sz w:val="21"/>
          <w:szCs w:val="21"/>
          <w:u w:val="none"/>
          <w:shd w:val="clear" w:color="auto" w:fill="auto"/>
          <w:lang w:eastAsia="zh-CN"/>
        </w:rPr>
        <w:t>：</w:t>
      </w:r>
    </w:p>
    <w:p w14:paraId="7112C74B">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lang w:val="en-US" w:eastAsia="zh-CN"/>
        </w:rPr>
      </w:pPr>
      <w:r>
        <w:rPr>
          <w:rFonts w:hint="eastAsia" w:ascii="宋体" w:hAnsi="宋体" w:eastAsia="宋体" w:cs="宋体"/>
          <w:color w:val="auto"/>
          <w:sz w:val="21"/>
          <w:szCs w:val="21"/>
          <w:u w:val="none"/>
          <w:shd w:val="clear" w:color="auto" w:fill="auto"/>
        </w:rPr>
        <w:t>在基地现有</w:t>
      </w:r>
      <w:r>
        <w:rPr>
          <w:rFonts w:hint="eastAsia" w:ascii="宋体" w:hAnsi="宋体" w:eastAsia="宋体" w:cs="宋体"/>
          <w:color w:val="auto"/>
          <w:sz w:val="21"/>
          <w:szCs w:val="21"/>
          <w:u w:val="none"/>
          <w:shd w:val="clear" w:color="auto" w:fill="auto"/>
          <w:lang w:val="en-US" w:eastAsia="zh-CN"/>
        </w:rPr>
        <w:t>硬件条件、</w:t>
      </w:r>
      <w:r>
        <w:rPr>
          <w:rFonts w:hint="eastAsia" w:ascii="宋体" w:hAnsi="宋体" w:eastAsia="宋体" w:cs="宋体"/>
          <w:color w:val="auto"/>
          <w:sz w:val="21"/>
          <w:szCs w:val="21"/>
          <w:u w:val="none"/>
          <w:shd w:val="clear" w:color="auto" w:fill="auto"/>
        </w:rPr>
        <w:t>设施设备和运营业务的基础上进行优化提升，</w:t>
      </w:r>
      <w:r>
        <w:rPr>
          <w:rFonts w:hint="eastAsia" w:ascii="宋体" w:hAnsi="宋体" w:eastAsia="宋体" w:cs="宋体"/>
          <w:color w:val="auto"/>
          <w:sz w:val="21"/>
          <w:szCs w:val="21"/>
          <w:u w:val="none"/>
          <w:shd w:val="clear" w:color="auto" w:fill="auto"/>
          <w:lang w:val="en-US" w:eastAsia="zh-CN"/>
        </w:rPr>
        <w:t>包括基地改造提升、</w:t>
      </w:r>
      <w:r>
        <w:rPr>
          <w:rFonts w:hint="eastAsia" w:ascii="宋体" w:hAnsi="宋体" w:eastAsia="宋体" w:cs="宋体"/>
          <w:color w:val="auto"/>
          <w:sz w:val="21"/>
          <w:szCs w:val="21"/>
          <w:u w:val="none"/>
          <w:shd w:val="clear" w:color="auto" w:fill="auto"/>
        </w:rPr>
        <w:t>设施设备</w:t>
      </w:r>
      <w:r>
        <w:rPr>
          <w:rFonts w:hint="eastAsia" w:ascii="宋体" w:hAnsi="宋体" w:eastAsia="宋体" w:cs="宋体"/>
          <w:color w:val="auto"/>
          <w:sz w:val="21"/>
          <w:szCs w:val="21"/>
          <w:u w:val="none"/>
          <w:shd w:val="clear" w:color="auto" w:fill="auto"/>
          <w:lang w:val="en-US" w:eastAsia="zh-CN"/>
        </w:rPr>
        <w:t>投入</w:t>
      </w:r>
      <w:r>
        <w:rPr>
          <w:rFonts w:hint="eastAsia" w:ascii="宋体" w:hAnsi="宋体" w:eastAsia="宋体" w:cs="宋体"/>
          <w:color w:val="auto"/>
          <w:sz w:val="21"/>
          <w:szCs w:val="21"/>
          <w:u w:val="none"/>
          <w:shd w:val="clear" w:color="auto" w:fill="auto"/>
        </w:rPr>
        <w:t>以及相关课程的</w:t>
      </w:r>
      <w:r>
        <w:rPr>
          <w:rFonts w:hint="eastAsia" w:ascii="宋体" w:hAnsi="宋体" w:eastAsia="宋体" w:cs="宋体"/>
          <w:color w:val="auto"/>
          <w:sz w:val="21"/>
          <w:szCs w:val="21"/>
          <w:u w:val="none"/>
          <w:shd w:val="clear" w:color="auto" w:fill="auto"/>
          <w:lang w:val="en-US" w:eastAsia="zh-CN"/>
        </w:rPr>
        <w:t>开发</w:t>
      </w:r>
      <w:r>
        <w:rPr>
          <w:rFonts w:hint="eastAsia" w:ascii="宋体" w:hAnsi="宋体" w:eastAsia="宋体" w:cs="宋体"/>
          <w:color w:val="auto"/>
          <w:sz w:val="21"/>
          <w:szCs w:val="21"/>
          <w:u w:val="none"/>
          <w:shd w:val="clear" w:color="auto" w:fill="auto"/>
        </w:rPr>
        <w:t>，</w:t>
      </w:r>
      <w:r>
        <w:rPr>
          <w:rFonts w:hint="eastAsia" w:ascii="宋体" w:hAnsi="宋体" w:eastAsia="宋体" w:cs="宋体"/>
          <w:color w:val="auto"/>
          <w:sz w:val="21"/>
          <w:szCs w:val="21"/>
          <w:u w:val="none"/>
          <w:shd w:val="clear" w:color="auto" w:fill="auto"/>
          <w:lang w:val="en-US" w:eastAsia="zh-CN"/>
        </w:rPr>
        <w:t>制定相应的提升改造方案，</w:t>
      </w:r>
      <w:r>
        <w:rPr>
          <w:rFonts w:hint="eastAsia" w:ascii="宋体" w:hAnsi="宋体" w:eastAsia="宋体" w:cs="宋体"/>
          <w:color w:val="auto"/>
          <w:sz w:val="21"/>
          <w:szCs w:val="21"/>
          <w:u w:val="none"/>
          <w:shd w:val="clear" w:color="auto" w:fill="auto"/>
        </w:rPr>
        <w:t>确保</w:t>
      </w:r>
      <w:r>
        <w:rPr>
          <w:rFonts w:hint="eastAsia" w:ascii="宋体" w:hAnsi="宋体" w:eastAsia="宋体" w:cs="宋体"/>
          <w:color w:val="auto"/>
          <w:sz w:val="21"/>
          <w:szCs w:val="21"/>
          <w:u w:val="none"/>
          <w:shd w:val="clear" w:color="auto" w:fill="auto"/>
          <w:lang w:val="en-US" w:eastAsia="zh-CN"/>
        </w:rPr>
        <w:t>为学生综合实践或研学活动提供更好的环境和条件，</w:t>
      </w:r>
      <w:r>
        <w:rPr>
          <w:rFonts w:hint="eastAsia" w:ascii="宋体" w:hAnsi="宋体" w:eastAsia="宋体" w:cs="宋体"/>
          <w:color w:val="auto"/>
          <w:sz w:val="21"/>
          <w:szCs w:val="21"/>
          <w:u w:val="none"/>
          <w:shd w:val="clear" w:color="auto" w:fill="auto"/>
        </w:rPr>
        <w:t>能够提升学生的</w:t>
      </w:r>
      <w:r>
        <w:rPr>
          <w:rFonts w:hint="eastAsia" w:ascii="宋体" w:hAnsi="宋体" w:eastAsia="宋体" w:cs="宋体"/>
          <w:color w:val="auto"/>
          <w:sz w:val="21"/>
          <w:szCs w:val="21"/>
          <w:u w:val="none"/>
          <w:shd w:val="clear" w:color="auto" w:fill="auto"/>
          <w:lang w:val="en-US" w:eastAsia="zh-CN"/>
        </w:rPr>
        <w:t>综合</w:t>
      </w:r>
      <w:r>
        <w:rPr>
          <w:rFonts w:hint="eastAsia" w:ascii="宋体" w:hAnsi="宋体" w:eastAsia="宋体" w:cs="宋体"/>
          <w:color w:val="auto"/>
          <w:sz w:val="21"/>
          <w:szCs w:val="21"/>
          <w:u w:val="none"/>
          <w:shd w:val="clear" w:color="auto" w:fill="auto"/>
        </w:rPr>
        <w:t>实践能力</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创新思维</w:t>
      </w:r>
      <w:r>
        <w:rPr>
          <w:rFonts w:hint="eastAsia" w:ascii="宋体" w:hAnsi="宋体" w:eastAsia="宋体" w:cs="宋体"/>
          <w:color w:val="auto"/>
          <w:sz w:val="21"/>
          <w:szCs w:val="21"/>
          <w:u w:val="none"/>
          <w:shd w:val="clear" w:color="auto" w:fill="auto"/>
          <w:lang w:val="en-US" w:eastAsia="zh-CN"/>
        </w:rPr>
        <w:t>等</w:t>
      </w:r>
      <w:r>
        <w:rPr>
          <w:rFonts w:hint="eastAsia" w:ascii="宋体" w:hAnsi="宋体" w:eastAsia="宋体" w:cs="宋体"/>
          <w:color w:val="auto"/>
          <w:sz w:val="21"/>
          <w:szCs w:val="21"/>
          <w:u w:val="none"/>
          <w:shd w:val="clear" w:color="auto" w:fill="auto"/>
        </w:rPr>
        <w:t>，促进</w:t>
      </w:r>
      <w:r>
        <w:rPr>
          <w:rFonts w:hint="eastAsia" w:ascii="宋体" w:hAnsi="宋体" w:eastAsia="宋体" w:cs="宋体"/>
          <w:color w:val="auto"/>
          <w:sz w:val="21"/>
          <w:szCs w:val="21"/>
          <w:u w:val="none"/>
          <w:shd w:val="clear" w:color="auto" w:fill="auto"/>
          <w:lang w:val="en-US" w:eastAsia="zh-CN"/>
        </w:rPr>
        <w:t>学生综合素质提升。</w:t>
      </w:r>
    </w:p>
    <w:p w14:paraId="0180B06D">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lang w:eastAsia="zh-CN"/>
        </w:rPr>
      </w:pPr>
      <w:r>
        <w:rPr>
          <w:rFonts w:hint="eastAsia" w:ascii="宋体" w:hAnsi="宋体" w:eastAsia="宋体" w:cs="宋体"/>
          <w:b w:val="0"/>
          <w:bCs w:val="0"/>
          <w:color w:val="auto"/>
          <w:sz w:val="21"/>
          <w:szCs w:val="21"/>
          <w:u w:val="none"/>
          <w:shd w:val="clear" w:color="auto" w:fill="auto"/>
          <w:lang w:eastAsia="zh-CN"/>
        </w:rPr>
        <w:t>（</w:t>
      </w:r>
      <w:r>
        <w:rPr>
          <w:rFonts w:hint="eastAsia" w:ascii="宋体" w:hAnsi="宋体" w:eastAsia="宋体" w:cs="宋体"/>
          <w:b w:val="0"/>
          <w:bCs w:val="0"/>
          <w:color w:val="auto"/>
          <w:sz w:val="21"/>
          <w:szCs w:val="21"/>
          <w:u w:val="none"/>
          <w:shd w:val="clear" w:color="auto" w:fill="auto"/>
          <w:lang w:val="en-US" w:eastAsia="zh-CN"/>
        </w:rPr>
        <w:t>1</w:t>
      </w:r>
      <w:r>
        <w:rPr>
          <w:rFonts w:hint="eastAsia" w:ascii="宋体" w:hAnsi="宋体" w:eastAsia="宋体" w:cs="宋体"/>
          <w:b w:val="0"/>
          <w:bCs w:val="0"/>
          <w:color w:val="auto"/>
          <w:sz w:val="21"/>
          <w:szCs w:val="21"/>
          <w:u w:val="none"/>
          <w:shd w:val="clear" w:color="auto" w:fill="auto"/>
          <w:lang w:eastAsia="zh-CN"/>
        </w:rPr>
        <w:t>）</w:t>
      </w:r>
      <w:bookmarkStart w:id="45" w:name="OLE_LINK43"/>
      <w:r>
        <w:rPr>
          <w:rFonts w:hint="eastAsia" w:ascii="宋体" w:hAnsi="宋体" w:eastAsia="宋体" w:cs="宋体"/>
          <w:b w:val="0"/>
          <w:bCs w:val="0"/>
          <w:color w:val="auto"/>
          <w:sz w:val="21"/>
          <w:szCs w:val="21"/>
          <w:u w:val="none"/>
          <w:shd w:val="clear" w:color="auto" w:fill="auto"/>
          <w:lang w:eastAsia="zh-CN"/>
        </w:rPr>
        <w:t>基础条件</w:t>
      </w:r>
      <w:bookmarkEnd w:id="45"/>
      <w:r>
        <w:rPr>
          <w:rFonts w:hint="eastAsia" w:ascii="宋体" w:hAnsi="宋体" w:eastAsia="宋体" w:cs="宋体"/>
          <w:b w:val="0"/>
          <w:bCs w:val="0"/>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对实践基地的</w:t>
      </w:r>
      <w:r>
        <w:rPr>
          <w:rFonts w:hint="eastAsia" w:ascii="宋体" w:hAnsi="宋体" w:eastAsia="宋体" w:cs="宋体"/>
          <w:b w:val="0"/>
          <w:bCs w:val="0"/>
          <w:color w:val="auto"/>
          <w:sz w:val="21"/>
          <w:szCs w:val="21"/>
          <w:u w:val="none"/>
          <w:shd w:val="clear" w:color="auto" w:fill="auto"/>
          <w:lang w:eastAsia="zh-CN"/>
        </w:rPr>
        <w:t>基础条件</w:t>
      </w:r>
      <w:r>
        <w:rPr>
          <w:rFonts w:hint="eastAsia" w:ascii="宋体" w:hAnsi="宋体" w:eastAsia="宋体" w:cs="宋体"/>
          <w:color w:val="auto"/>
          <w:sz w:val="21"/>
          <w:szCs w:val="21"/>
          <w:u w:val="none"/>
          <w:shd w:val="clear" w:color="auto" w:fill="auto"/>
        </w:rPr>
        <w:t>设施进行升级改造，包括但不限于男生宿舍</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基地楼，40间</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卫生间</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北区室外实践区内的</w:t>
      </w:r>
      <w:bookmarkStart w:id="46" w:name="OLE_LINK12"/>
      <w:r>
        <w:rPr>
          <w:rFonts w:hint="eastAsia" w:ascii="宋体" w:hAnsi="宋体" w:eastAsia="宋体" w:cs="宋体"/>
          <w:color w:val="auto"/>
          <w:sz w:val="21"/>
          <w:szCs w:val="21"/>
          <w:u w:val="none"/>
          <w:shd w:val="clear" w:color="auto" w:fill="auto"/>
        </w:rPr>
        <w:t>野炊</w:t>
      </w:r>
      <w:bookmarkEnd w:id="46"/>
      <w:r>
        <w:rPr>
          <w:rFonts w:hint="eastAsia" w:ascii="宋体" w:hAnsi="宋体" w:eastAsia="宋体" w:cs="宋体"/>
          <w:color w:val="auto"/>
          <w:sz w:val="21"/>
          <w:szCs w:val="21"/>
          <w:u w:val="none"/>
          <w:shd w:val="clear" w:color="auto" w:fill="auto"/>
        </w:rPr>
        <w:t>场</w:t>
      </w:r>
      <w:r>
        <w:rPr>
          <w:rFonts w:hint="eastAsia" w:ascii="宋体" w:hAnsi="宋体" w:eastAsia="宋体" w:cs="宋体"/>
          <w:color w:val="auto"/>
          <w:sz w:val="21"/>
          <w:szCs w:val="21"/>
          <w:u w:val="none"/>
          <w:shd w:val="clear" w:color="auto" w:fill="auto"/>
          <w:lang w:eastAsia="zh-CN"/>
        </w:rPr>
        <w:t>和</w:t>
      </w:r>
      <w:r>
        <w:rPr>
          <w:rFonts w:hint="eastAsia" w:ascii="宋体" w:hAnsi="宋体" w:eastAsia="宋体" w:cs="宋体"/>
          <w:color w:val="auto"/>
          <w:sz w:val="21"/>
          <w:szCs w:val="21"/>
          <w:u w:val="none"/>
          <w:shd w:val="clear" w:color="auto" w:fill="auto"/>
        </w:rPr>
        <w:t>公共厕所</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购置实践活动所需的物品</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包括但不限于学生宿舍的床上用品</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军服</w:t>
      </w:r>
      <w:r>
        <w:rPr>
          <w:rFonts w:hint="eastAsia" w:ascii="宋体" w:hAnsi="宋体" w:eastAsia="宋体" w:cs="宋体"/>
          <w:color w:val="auto"/>
          <w:sz w:val="21"/>
          <w:szCs w:val="21"/>
          <w:u w:val="none"/>
          <w:shd w:val="clear" w:color="auto" w:fill="auto"/>
          <w:lang w:eastAsia="zh-CN"/>
        </w:rPr>
        <w:t>。</w:t>
      </w:r>
    </w:p>
    <w:p w14:paraId="78FC4E23">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lang w:eastAsia="zh-CN"/>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2</w:t>
      </w:r>
      <w:r>
        <w:rPr>
          <w:rFonts w:hint="eastAsia" w:ascii="宋体" w:hAnsi="宋体" w:eastAsia="宋体" w:cs="宋体"/>
          <w:color w:val="auto"/>
          <w:sz w:val="21"/>
          <w:szCs w:val="21"/>
          <w:u w:val="none"/>
          <w:shd w:val="clear" w:color="auto" w:fill="auto"/>
          <w:lang w:eastAsia="zh-CN"/>
        </w:rPr>
        <w:t>）综合实践条件。</w:t>
      </w:r>
      <w:r>
        <w:rPr>
          <w:rFonts w:hint="eastAsia" w:ascii="宋体" w:hAnsi="宋体" w:eastAsia="宋体" w:cs="宋体"/>
          <w:color w:val="auto"/>
          <w:sz w:val="21"/>
          <w:szCs w:val="21"/>
          <w:u w:val="none"/>
          <w:shd w:val="clear" w:color="auto" w:fill="auto"/>
        </w:rPr>
        <w:t>添置</w:t>
      </w:r>
      <w:r>
        <w:rPr>
          <w:rFonts w:hint="eastAsia" w:ascii="宋体" w:hAnsi="宋体" w:eastAsia="宋体" w:cs="宋体"/>
          <w:color w:val="auto"/>
          <w:sz w:val="21"/>
          <w:szCs w:val="21"/>
          <w:u w:val="none"/>
          <w:shd w:val="clear" w:color="auto" w:fill="auto"/>
          <w:lang w:eastAsia="zh-CN"/>
        </w:rPr>
        <w:t>综合实践（含劳动实践）</w:t>
      </w:r>
      <w:r>
        <w:rPr>
          <w:rFonts w:hint="eastAsia" w:ascii="宋体" w:hAnsi="宋体" w:eastAsia="宋体" w:cs="宋体"/>
          <w:color w:val="auto"/>
          <w:sz w:val="21"/>
          <w:szCs w:val="21"/>
          <w:u w:val="none"/>
          <w:shd w:val="clear" w:color="auto" w:fill="auto"/>
        </w:rPr>
        <w:t>新开设课程所需要的设施设备</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包括但不限于科学实践</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野炊</w:t>
      </w:r>
      <w:r>
        <w:rPr>
          <w:rFonts w:hint="eastAsia" w:ascii="宋体" w:hAnsi="宋体" w:eastAsia="宋体" w:cs="宋体"/>
          <w:color w:val="auto"/>
          <w:sz w:val="21"/>
          <w:szCs w:val="21"/>
          <w:u w:val="none"/>
          <w:shd w:val="clear" w:color="auto" w:fill="auto"/>
          <w:lang w:eastAsia="zh-CN"/>
        </w:rPr>
        <w:t>活动。</w:t>
      </w:r>
    </w:p>
    <w:p w14:paraId="04C4D787">
      <w:pPr>
        <w:keepNext w:val="0"/>
        <w:keepLines w:val="0"/>
        <w:pageBreakBefore w:val="0"/>
        <w:widowControl w:val="0"/>
        <w:kinsoku/>
        <w:wordWrap/>
        <w:overflowPunct/>
        <w:topLinePunct w:val="0"/>
        <w:autoSpaceDE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highlight w:val="none"/>
          <w:u w:val="none"/>
          <w:shd w:val="clear" w:color="auto" w:fill="auto"/>
          <w:lang w:val="en-US" w:eastAsia="zh-CN"/>
        </w:rPr>
      </w:pPr>
      <w:r>
        <w:rPr>
          <w:rFonts w:hint="eastAsia" w:ascii="宋体" w:hAnsi="宋体" w:eastAsia="宋体" w:cs="宋体"/>
          <w:color w:val="auto"/>
          <w:sz w:val="21"/>
          <w:szCs w:val="21"/>
          <w:highlight w:val="none"/>
          <w:u w:val="none"/>
          <w:shd w:val="clear" w:color="auto" w:fill="auto"/>
          <w:lang w:val="en-US" w:eastAsia="zh-CN"/>
        </w:rPr>
        <w:t>（3）</w:t>
      </w:r>
      <w:bookmarkStart w:id="47" w:name="OLE_LINK44"/>
      <w:r>
        <w:rPr>
          <w:rFonts w:hint="eastAsia" w:ascii="宋体" w:hAnsi="宋体" w:eastAsia="宋体" w:cs="宋体"/>
          <w:color w:val="auto"/>
          <w:sz w:val="21"/>
          <w:szCs w:val="21"/>
          <w:highlight w:val="none"/>
          <w:u w:val="none"/>
          <w:shd w:val="clear" w:color="auto" w:fill="auto"/>
          <w:lang w:val="en-US" w:eastAsia="zh-CN"/>
        </w:rPr>
        <w:t>研学实践</w:t>
      </w:r>
      <w:bookmarkEnd w:id="47"/>
      <w:r>
        <w:rPr>
          <w:rFonts w:hint="eastAsia" w:ascii="宋体" w:hAnsi="宋体" w:eastAsia="宋体" w:cs="宋体"/>
          <w:color w:val="auto"/>
          <w:sz w:val="21"/>
          <w:szCs w:val="21"/>
          <w:highlight w:val="none"/>
          <w:u w:val="none"/>
          <w:shd w:val="clear" w:color="auto" w:fill="auto"/>
          <w:lang w:val="en-US" w:eastAsia="zh-CN"/>
        </w:rPr>
        <w:t>条件。按广东省研学实践教育营地标准丰富实践基地内研学实践课程，内容包括但不限于</w:t>
      </w:r>
      <w:r>
        <w:rPr>
          <w:rFonts w:hint="eastAsia" w:ascii="宋体" w:hAnsi="宋体" w:eastAsia="宋体" w:cs="宋体"/>
          <w:color w:val="auto"/>
          <w:sz w:val="21"/>
          <w:szCs w:val="21"/>
          <w:highlight w:val="none"/>
          <w:u w:val="none"/>
          <w:shd w:val="clear" w:color="auto" w:fill="auto"/>
        </w:rPr>
        <w:t>AI</w:t>
      </w:r>
      <w:r>
        <w:rPr>
          <w:rFonts w:hint="eastAsia" w:ascii="宋体" w:hAnsi="宋体" w:eastAsia="宋体" w:cs="宋体"/>
          <w:color w:val="auto"/>
          <w:sz w:val="21"/>
          <w:szCs w:val="21"/>
          <w:highlight w:val="none"/>
          <w:u w:val="none"/>
          <w:shd w:val="clear" w:color="auto" w:fill="auto"/>
          <w:lang w:val="en-US" w:eastAsia="zh-CN"/>
        </w:rPr>
        <w:t>人工智能、自然科普、航天航空、农耕劳动等方面，旨在</w:t>
      </w:r>
      <w:r>
        <w:rPr>
          <w:rFonts w:hint="eastAsia" w:ascii="宋体" w:hAnsi="宋体" w:eastAsia="宋体" w:cs="宋体"/>
          <w:color w:val="auto"/>
          <w:sz w:val="21"/>
          <w:szCs w:val="21"/>
          <w:highlight w:val="none"/>
          <w:u w:val="none"/>
          <w:shd w:val="clear" w:color="auto" w:fill="auto"/>
        </w:rPr>
        <w:t>为学生提供更</w:t>
      </w:r>
      <w:r>
        <w:rPr>
          <w:rFonts w:hint="eastAsia" w:ascii="宋体" w:hAnsi="宋体" w:eastAsia="宋体" w:cs="宋体"/>
          <w:color w:val="auto"/>
          <w:sz w:val="21"/>
          <w:szCs w:val="21"/>
          <w:highlight w:val="none"/>
          <w:u w:val="none"/>
          <w:shd w:val="clear" w:color="auto" w:fill="auto"/>
          <w:lang w:val="en-US" w:eastAsia="zh-CN"/>
        </w:rPr>
        <w:t>多体验式学习的机会</w:t>
      </w:r>
      <w:r>
        <w:rPr>
          <w:rFonts w:hint="eastAsia" w:ascii="宋体" w:hAnsi="宋体" w:eastAsia="宋体" w:cs="宋体"/>
          <w:color w:val="auto"/>
          <w:sz w:val="21"/>
          <w:szCs w:val="21"/>
          <w:highlight w:val="none"/>
          <w:u w:val="none"/>
          <w:shd w:val="clear" w:color="auto" w:fill="auto"/>
        </w:rPr>
        <w:t>，助力学生综合素质提升</w:t>
      </w:r>
      <w:r>
        <w:rPr>
          <w:rFonts w:hint="eastAsia" w:ascii="宋体" w:hAnsi="宋体" w:eastAsia="宋体" w:cs="宋体"/>
          <w:color w:val="auto"/>
          <w:sz w:val="21"/>
          <w:szCs w:val="21"/>
          <w:highlight w:val="none"/>
          <w:u w:val="none"/>
          <w:shd w:val="clear" w:color="auto" w:fill="auto"/>
          <w:lang w:eastAsia="zh-CN"/>
        </w:rPr>
        <w:t>。</w:t>
      </w:r>
    </w:p>
    <w:p w14:paraId="6F0D7B59">
      <w:pPr>
        <w:keepNext w:val="0"/>
        <w:keepLines w:val="0"/>
        <w:pageBreakBefore w:val="0"/>
        <w:widowControl w:val="0"/>
        <w:kinsoku/>
        <w:wordWrap/>
        <w:overflowPunct/>
        <w:topLinePunct w:val="0"/>
        <w:autoSpaceDN/>
        <w:bidi w:val="0"/>
        <w:adjustRightInd/>
        <w:snapToGrid/>
        <w:spacing w:line="560" w:lineRule="exact"/>
        <w:ind w:left="0" w:leftChars="0" w:firstLine="422" w:firstLineChars="200"/>
        <w:textAlignment w:val="auto"/>
        <w:rPr>
          <w:rFonts w:hint="eastAsia" w:ascii="宋体" w:hAnsi="宋体" w:eastAsia="宋体" w:cs="宋体"/>
          <w:b/>
          <w:bCs/>
          <w:color w:val="auto"/>
          <w:sz w:val="21"/>
          <w:szCs w:val="21"/>
          <w:u w:val="none"/>
          <w:shd w:val="clear" w:color="auto" w:fill="auto"/>
          <w:lang w:eastAsia="zh-CN"/>
        </w:rPr>
      </w:pPr>
      <w:r>
        <w:rPr>
          <w:rFonts w:hint="eastAsia" w:ascii="宋体" w:hAnsi="宋体" w:eastAsia="宋体" w:cs="宋体"/>
          <w:b/>
          <w:bCs/>
          <w:color w:val="auto"/>
          <w:sz w:val="21"/>
          <w:szCs w:val="21"/>
          <w:u w:val="none"/>
          <w:shd w:val="clear" w:color="auto" w:fill="auto"/>
          <w:lang w:val="en-US" w:eastAsia="zh-CN"/>
        </w:rPr>
        <w:t>2</w:t>
      </w:r>
      <w:r>
        <w:rPr>
          <w:rFonts w:hint="eastAsia" w:ascii="宋体" w:hAnsi="宋体" w:eastAsia="宋体" w:cs="宋体"/>
          <w:b/>
          <w:bCs/>
          <w:color w:val="auto"/>
          <w:sz w:val="21"/>
          <w:szCs w:val="21"/>
          <w:u w:val="none"/>
          <w:shd w:val="clear" w:color="auto" w:fill="auto"/>
        </w:rPr>
        <w:t>.日常运营管理</w:t>
      </w:r>
      <w:r>
        <w:rPr>
          <w:rFonts w:hint="eastAsia" w:ascii="宋体" w:hAnsi="宋体" w:eastAsia="宋体" w:cs="宋体"/>
          <w:b/>
          <w:bCs/>
          <w:color w:val="auto"/>
          <w:sz w:val="21"/>
          <w:szCs w:val="21"/>
          <w:u w:val="none"/>
          <w:shd w:val="clear" w:color="auto" w:fill="auto"/>
          <w:lang w:eastAsia="zh-CN"/>
        </w:rPr>
        <w:t>：</w:t>
      </w:r>
    </w:p>
    <w:p w14:paraId="6257D4F3">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lang w:eastAsia="zh-CN"/>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1</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制定基地的年度运营计划，并报</w:t>
      </w:r>
      <w:r>
        <w:rPr>
          <w:rFonts w:hint="eastAsia" w:ascii="宋体" w:hAnsi="宋体" w:eastAsia="宋体" w:cs="宋体"/>
          <w:color w:val="auto"/>
          <w:sz w:val="21"/>
          <w:szCs w:val="21"/>
          <w:u w:val="none"/>
          <w:shd w:val="clear" w:color="auto" w:fill="auto"/>
          <w:lang w:eastAsia="zh-CN"/>
        </w:rPr>
        <w:t>实践基地</w:t>
      </w:r>
      <w:r>
        <w:rPr>
          <w:rFonts w:hint="eastAsia" w:ascii="宋体" w:hAnsi="宋体" w:eastAsia="宋体" w:cs="宋体"/>
          <w:color w:val="auto"/>
          <w:sz w:val="21"/>
          <w:szCs w:val="21"/>
          <w:u w:val="none"/>
          <w:shd w:val="clear" w:color="auto" w:fill="auto"/>
        </w:rPr>
        <w:t>备案。按照计划组织实施基地的各项运营活动，确保基地的正常运转</w:t>
      </w:r>
      <w:r>
        <w:rPr>
          <w:rFonts w:hint="eastAsia" w:ascii="宋体" w:hAnsi="宋体" w:eastAsia="宋体" w:cs="宋体"/>
          <w:color w:val="auto"/>
          <w:sz w:val="21"/>
          <w:szCs w:val="21"/>
          <w:u w:val="none"/>
          <w:shd w:val="clear" w:color="auto" w:fill="auto"/>
          <w:lang w:eastAsia="zh-CN"/>
        </w:rPr>
        <w:t>。</w:t>
      </w:r>
    </w:p>
    <w:p w14:paraId="502271A5">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lang w:eastAsia="zh-CN"/>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2</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负责基地</w:t>
      </w:r>
      <w:r>
        <w:rPr>
          <w:rFonts w:hint="eastAsia" w:ascii="宋体" w:hAnsi="宋体" w:eastAsia="宋体" w:cs="宋体"/>
          <w:color w:val="auto"/>
          <w:sz w:val="21"/>
          <w:szCs w:val="21"/>
          <w:u w:val="none"/>
          <w:shd w:val="clear" w:color="auto" w:fill="auto"/>
          <w:lang w:eastAsia="zh-CN"/>
        </w:rPr>
        <w:t>运营团队</w:t>
      </w:r>
      <w:r>
        <w:rPr>
          <w:rFonts w:hint="eastAsia" w:ascii="宋体" w:hAnsi="宋体" w:eastAsia="宋体" w:cs="宋体"/>
          <w:color w:val="auto"/>
          <w:sz w:val="21"/>
          <w:szCs w:val="21"/>
          <w:u w:val="none"/>
          <w:shd w:val="clear" w:color="auto" w:fill="auto"/>
        </w:rPr>
        <w:t>人员管理，包括招聘、培训、考核、薪酬福利等方面的管理工作，建立一支高素质、专业化的运营管理团队</w:t>
      </w:r>
      <w:r>
        <w:rPr>
          <w:rFonts w:hint="eastAsia" w:ascii="宋体" w:hAnsi="宋体" w:eastAsia="宋体" w:cs="宋体"/>
          <w:color w:val="auto"/>
          <w:sz w:val="21"/>
          <w:szCs w:val="21"/>
          <w:u w:val="none"/>
          <w:shd w:val="clear" w:color="auto" w:fill="auto"/>
          <w:lang w:eastAsia="zh-CN"/>
        </w:rPr>
        <w:t>。</w:t>
      </w:r>
    </w:p>
    <w:p w14:paraId="53EDAE2F">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3</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建立健全基地的各项规章制度，加强对基地安全</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环境卫生等管理工作</w:t>
      </w:r>
      <w:r>
        <w:rPr>
          <w:rFonts w:hint="eastAsia" w:ascii="宋体" w:hAnsi="宋体" w:eastAsia="宋体" w:cs="宋体"/>
          <w:color w:val="auto"/>
          <w:sz w:val="21"/>
          <w:szCs w:val="21"/>
          <w:u w:val="none"/>
          <w:shd w:val="clear" w:color="auto" w:fill="auto"/>
          <w:lang w:eastAsia="zh-CN"/>
        </w:rPr>
        <w:t>，以及校舍、果树、绿化等维护工作</w:t>
      </w:r>
      <w:r>
        <w:rPr>
          <w:rFonts w:hint="eastAsia" w:ascii="宋体" w:hAnsi="宋体" w:eastAsia="宋体" w:cs="宋体"/>
          <w:color w:val="auto"/>
          <w:sz w:val="21"/>
          <w:szCs w:val="21"/>
          <w:u w:val="none"/>
          <w:shd w:val="clear" w:color="auto" w:fill="auto"/>
        </w:rPr>
        <w:t>，确保基地的安全、整洁和有序。</w:t>
      </w:r>
    </w:p>
    <w:p w14:paraId="2F939E85">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lang w:eastAsia="zh-CN"/>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4</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负责基地的宣传推广工作，通过多种渠道向社会公众和中小学校宣传基地的实践教育活动和特色课程，提高基地的知名度和影响力</w:t>
      </w:r>
      <w:r>
        <w:rPr>
          <w:rFonts w:hint="eastAsia" w:ascii="宋体" w:hAnsi="宋体" w:eastAsia="宋体" w:cs="宋体"/>
          <w:color w:val="auto"/>
          <w:sz w:val="21"/>
          <w:szCs w:val="21"/>
          <w:u w:val="none"/>
          <w:shd w:val="clear" w:color="auto" w:fill="auto"/>
          <w:lang w:eastAsia="zh-CN"/>
        </w:rPr>
        <w:t>。</w:t>
      </w:r>
    </w:p>
    <w:p w14:paraId="51F3FFB3">
      <w:pPr>
        <w:keepNext w:val="0"/>
        <w:keepLines w:val="0"/>
        <w:pageBreakBefore w:val="0"/>
        <w:widowControl w:val="0"/>
        <w:kinsoku/>
        <w:wordWrap/>
        <w:overflowPunct/>
        <w:topLinePunct w:val="0"/>
        <w:autoSpaceDN/>
        <w:bidi w:val="0"/>
        <w:adjustRightInd/>
        <w:snapToGrid/>
        <w:spacing w:line="560" w:lineRule="exact"/>
        <w:ind w:left="0" w:leftChars="0" w:firstLine="422" w:firstLineChars="200"/>
        <w:textAlignment w:val="auto"/>
        <w:rPr>
          <w:rFonts w:hint="eastAsia" w:ascii="宋体" w:hAnsi="宋体" w:eastAsia="宋体" w:cs="宋体"/>
          <w:b/>
          <w:bCs/>
          <w:color w:val="auto"/>
          <w:sz w:val="21"/>
          <w:szCs w:val="21"/>
          <w:u w:val="none"/>
          <w:shd w:val="clear" w:color="auto" w:fill="auto"/>
          <w:lang w:eastAsia="zh-CN"/>
        </w:rPr>
      </w:pPr>
      <w:r>
        <w:rPr>
          <w:rFonts w:hint="eastAsia" w:ascii="宋体" w:hAnsi="宋体" w:eastAsia="宋体" w:cs="宋体"/>
          <w:b/>
          <w:bCs/>
          <w:color w:val="auto"/>
          <w:sz w:val="21"/>
          <w:szCs w:val="21"/>
          <w:u w:val="none"/>
          <w:shd w:val="clear" w:color="auto" w:fill="auto"/>
          <w:lang w:val="en-US" w:eastAsia="zh-CN"/>
        </w:rPr>
        <w:t>3</w:t>
      </w:r>
      <w:r>
        <w:rPr>
          <w:rFonts w:hint="eastAsia" w:ascii="宋体" w:hAnsi="宋体" w:eastAsia="宋体" w:cs="宋体"/>
          <w:b/>
          <w:bCs/>
          <w:color w:val="auto"/>
          <w:sz w:val="21"/>
          <w:szCs w:val="21"/>
          <w:u w:val="none"/>
          <w:shd w:val="clear" w:color="auto" w:fill="auto"/>
        </w:rPr>
        <w:t>.</w:t>
      </w:r>
      <w:bookmarkStart w:id="48" w:name="OLE_LINK48"/>
      <w:r>
        <w:rPr>
          <w:rFonts w:hint="eastAsia" w:ascii="宋体" w:hAnsi="宋体" w:eastAsia="宋体" w:cs="宋体"/>
          <w:b/>
          <w:bCs/>
          <w:color w:val="auto"/>
          <w:sz w:val="21"/>
          <w:szCs w:val="21"/>
          <w:u w:val="none"/>
          <w:shd w:val="clear" w:color="auto" w:fill="auto"/>
        </w:rPr>
        <w:t>课程开发</w:t>
      </w:r>
      <w:bookmarkEnd w:id="48"/>
      <w:r>
        <w:rPr>
          <w:rFonts w:hint="eastAsia" w:ascii="宋体" w:hAnsi="宋体" w:eastAsia="宋体" w:cs="宋体"/>
          <w:b/>
          <w:bCs/>
          <w:color w:val="auto"/>
          <w:sz w:val="21"/>
          <w:szCs w:val="21"/>
          <w:u w:val="none"/>
          <w:shd w:val="clear" w:color="auto" w:fill="auto"/>
        </w:rPr>
        <w:t>与实施</w:t>
      </w:r>
      <w:r>
        <w:rPr>
          <w:rFonts w:hint="eastAsia" w:ascii="宋体" w:hAnsi="宋体" w:eastAsia="宋体" w:cs="宋体"/>
          <w:b/>
          <w:bCs/>
          <w:color w:val="auto"/>
          <w:sz w:val="21"/>
          <w:szCs w:val="21"/>
          <w:u w:val="none"/>
          <w:shd w:val="clear" w:color="auto" w:fill="auto"/>
          <w:lang w:eastAsia="zh-CN"/>
        </w:rPr>
        <w:t>：</w:t>
      </w:r>
    </w:p>
    <w:p w14:paraId="53E8D8AC">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1</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根据《示范性综合实践基地</w:t>
      </w:r>
      <w:r>
        <w:rPr>
          <w:rFonts w:hint="eastAsia" w:ascii="宋体" w:hAnsi="宋体" w:eastAsia="宋体" w:cs="宋体"/>
          <w:color w:val="auto"/>
          <w:sz w:val="21"/>
          <w:szCs w:val="21"/>
          <w:u w:val="none"/>
          <w:shd w:val="clear" w:color="auto" w:fill="auto"/>
          <w:lang w:eastAsia="zh-CN"/>
        </w:rPr>
        <w:t>实践</w:t>
      </w:r>
      <w:r>
        <w:rPr>
          <w:rFonts w:hint="eastAsia" w:ascii="宋体" w:hAnsi="宋体" w:eastAsia="宋体" w:cs="宋体"/>
          <w:color w:val="auto"/>
          <w:sz w:val="21"/>
          <w:szCs w:val="21"/>
          <w:u w:val="none"/>
          <w:shd w:val="clear" w:color="auto" w:fill="auto"/>
        </w:rPr>
        <w:t>活动指南》《中小学综合实践活动</w:t>
      </w:r>
      <w:r>
        <w:rPr>
          <w:rFonts w:hint="eastAsia" w:ascii="宋体" w:hAnsi="宋体" w:eastAsia="宋体" w:cs="宋体"/>
          <w:color w:val="auto"/>
          <w:sz w:val="21"/>
          <w:szCs w:val="21"/>
          <w:u w:val="none"/>
          <w:shd w:val="clear" w:color="auto" w:fill="auto"/>
          <w:lang w:eastAsia="zh-CN"/>
        </w:rPr>
        <w:t>课程</w:t>
      </w:r>
      <w:r>
        <w:rPr>
          <w:rFonts w:hint="eastAsia" w:ascii="宋体" w:hAnsi="宋体" w:eastAsia="宋体" w:cs="宋体"/>
          <w:color w:val="auto"/>
          <w:sz w:val="21"/>
          <w:szCs w:val="21"/>
          <w:u w:val="none"/>
          <w:shd w:val="clear" w:color="auto" w:fill="auto"/>
        </w:rPr>
        <w:t>指导纲要》</w:t>
      </w:r>
      <w:r>
        <w:rPr>
          <w:rFonts w:hint="eastAsia" w:ascii="宋体" w:hAnsi="宋体" w:eastAsia="宋体" w:cs="宋体"/>
          <w:color w:val="auto"/>
          <w:sz w:val="21"/>
          <w:szCs w:val="21"/>
          <w:u w:val="none"/>
          <w:shd w:val="clear" w:color="auto" w:fill="auto"/>
          <w:lang w:eastAsia="zh-CN"/>
        </w:rPr>
        <w:t>《广东省关于加强全省中小学生研学实践教育活动管理的通知》《广东省中小学研学实践教育</w:t>
      </w:r>
      <w:bookmarkStart w:id="49" w:name="OLE_LINK45"/>
      <w:r>
        <w:rPr>
          <w:rFonts w:hint="eastAsia" w:ascii="宋体" w:hAnsi="宋体" w:eastAsia="宋体" w:cs="宋体"/>
          <w:color w:val="auto"/>
          <w:sz w:val="21"/>
          <w:szCs w:val="21"/>
          <w:u w:val="none"/>
          <w:shd w:val="clear" w:color="auto" w:fill="auto"/>
          <w:lang w:eastAsia="zh-CN"/>
        </w:rPr>
        <w:t>基（营）地申报</w:t>
      </w:r>
      <w:bookmarkEnd w:id="49"/>
      <w:r>
        <w:rPr>
          <w:rFonts w:hint="eastAsia" w:ascii="宋体" w:hAnsi="宋体" w:eastAsia="宋体" w:cs="宋体"/>
          <w:color w:val="auto"/>
          <w:sz w:val="21"/>
          <w:szCs w:val="21"/>
          <w:u w:val="none"/>
          <w:shd w:val="clear" w:color="auto" w:fill="auto"/>
          <w:lang w:eastAsia="zh-CN"/>
        </w:rPr>
        <w:t>标准》、韶关市《研学旅行服务规范》</w:t>
      </w:r>
      <w:r>
        <w:rPr>
          <w:rFonts w:hint="eastAsia" w:ascii="宋体" w:hAnsi="宋体" w:eastAsia="宋体" w:cs="宋体"/>
          <w:color w:val="auto"/>
          <w:sz w:val="21"/>
          <w:szCs w:val="21"/>
          <w:u w:val="none"/>
          <w:shd w:val="clear" w:color="auto" w:fill="auto"/>
        </w:rPr>
        <w:t>的要求，结合基地实际，开发实践</w:t>
      </w:r>
      <w:r>
        <w:rPr>
          <w:rFonts w:hint="eastAsia" w:ascii="宋体" w:hAnsi="宋体" w:eastAsia="宋体" w:cs="宋体"/>
          <w:color w:val="auto"/>
          <w:sz w:val="21"/>
          <w:szCs w:val="21"/>
          <w:u w:val="none"/>
          <w:shd w:val="clear" w:color="auto" w:fill="auto"/>
          <w:lang w:eastAsia="zh-CN"/>
        </w:rPr>
        <w:t>活动</w:t>
      </w:r>
      <w:r>
        <w:rPr>
          <w:rFonts w:hint="eastAsia" w:ascii="宋体" w:hAnsi="宋体" w:eastAsia="宋体" w:cs="宋体"/>
          <w:color w:val="auto"/>
          <w:sz w:val="21"/>
          <w:szCs w:val="21"/>
          <w:u w:val="none"/>
          <w:shd w:val="clear" w:color="auto" w:fill="auto"/>
        </w:rPr>
        <w:t>课程</w:t>
      </w:r>
      <w:r>
        <w:rPr>
          <w:rFonts w:hint="eastAsia" w:ascii="宋体" w:hAnsi="宋体" w:eastAsia="宋体" w:cs="宋体"/>
          <w:color w:val="auto"/>
          <w:sz w:val="21"/>
          <w:szCs w:val="21"/>
          <w:u w:val="none"/>
          <w:shd w:val="clear" w:color="auto" w:fill="auto"/>
          <w:lang w:eastAsia="zh-CN"/>
        </w:rPr>
        <w:t>（</w:t>
      </w:r>
      <w:bookmarkStart w:id="50" w:name="OLE_LINK11"/>
      <w:r>
        <w:rPr>
          <w:rFonts w:hint="eastAsia" w:ascii="宋体" w:hAnsi="宋体" w:eastAsia="宋体" w:cs="宋体"/>
          <w:color w:val="auto"/>
          <w:sz w:val="21"/>
          <w:szCs w:val="21"/>
          <w:u w:val="none"/>
          <w:shd w:val="clear" w:color="auto" w:fill="auto"/>
          <w:lang w:eastAsia="zh-CN"/>
        </w:rPr>
        <w:t>综合实践、研学实践及劳动实践活动课程</w:t>
      </w:r>
      <w:bookmarkEnd w:id="50"/>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w:t>
      </w:r>
    </w:p>
    <w:p w14:paraId="72604E5A">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2</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编写课程教材，制作课件和视频资料，为教师的教</w:t>
      </w:r>
      <w:r>
        <w:rPr>
          <w:rFonts w:hint="eastAsia" w:ascii="宋体" w:hAnsi="宋体" w:eastAsia="宋体" w:cs="宋体"/>
          <w:color w:val="auto"/>
          <w:sz w:val="21"/>
          <w:szCs w:val="21"/>
          <w:u w:val="none"/>
          <w:shd w:val="clear" w:color="auto" w:fill="auto"/>
          <w:lang w:eastAsia="zh-CN"/>
        </w:rPr>
        <w:t>育</w:t>
      </w:r>
      <w:r>
        <w:rPr>
          <w:rFonts w:hint="eastAsia" w:ascii="宋体" w:hAnsi="宋体" w:eastAsia="宋体" w:cs="宋体"/>
          <w:color w:val="auto"/>
          <w:sz w:val="21"/>
          <w:szCs w:val="21"/>
          <w:u w:val="none"/>
          <w:shd w:val="clear" w:color="auto" w:fill="auto"/>
        </w:rPr>
        <w:t>活动提供支持和保障，编写过程中要充分体现</w:t>
      </w:r>
      <w:bookmarkStart w:id="51" w:name="OLE_LINK10"/>
      <w:r>
        <w:rPr>
          <w:rFonts w:hint="eastAsia" w:ascii="宋体" w:hAnsi="宋体" w:eastAsia="宋体" w:cs="宋体"/>
          <w:color w:val="auto"/>
          <w:sz w:val="21"/>
          <w:szCs w:val="21"/>
          <w:u w:val="none"/>
          <w:shd w:val="clear" w:color="auto" w:fill="auto"/>
          <w:lang w:eastAsia="zh-CN"/>
        </w:rPr>
        <w:t>相关</w:t>
      </w:r>
      <w:bookmarkEnd w:id="51"/>
      <w:r>
        <w:rPr>
          <w:rFonts w:hint="eastAsia" w:ascii="宋体" w:hAnsi="宋体" w:eastAsia="宋体" w:cs="宋体"/>
          <w:color w:val="auto"/>
          <w:sz w:val="21"/>
          <w:szCs w:val="21"/>
          <w:u w:val="none"/>
          <w:shd w:val="clear" w:color="auto" w:fill="auto"/>
          <w:lang w:eastAsia="zh-CN"/>
        </w:rPr>
        <w:t>文件</w:t>
      </w:r>
      <w:r>
        <w:rPr>
          <w:rFonts w:hint="eastAsia" w:ascii="宋体" w:hAnsi="宋体" w:eastAsia="宋体" w:cs="宋体"/>
          <w:color w:val="auto"/>
          <w:sz w:val="21"/>
          <w:szCs w:val="21"/>
          <w:u w:val="none"/>
          <w:shd w:val="clear" w:color="auto" w:fill="auto"/>
        </w:rPr>
        <w:t>的要求和理念。</w:t>
      </w:r>
    </w:p>
    <w:p w14:paraId="37B673D0">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3</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制定</w:t>
      </w:r>
      <w:r>
        <w:rPr>
          <w:rFonts w:hint="eastAsia" w:ascii="宋体" w:hAnsi="宋体" w:eastAsia="宋体" w:cs="宋体"/>
          <w:color w:val="auto"/>
          <w:sz w:val="21"/>
          <w:szCs w:val="21"/>
          <w:u w:val="none"/>
          <w:shd w:val="clear" w:color="auto" w:fill="auto"/>
          <w:lang w:eastAsia="zh-CN"/>
        </w:rPr>
        <w:t>实践活动</w:t>
      </w:r>
      <w:r>
        <w:rPr>
          <w:rFonts w:hint="eastAsia" w:ascii="宋体" w:hAnsi="宋体" w:eastAsia="宋体" w:cs="宋体"/>
          <w:color w:val="auto"/>
          <w:sz w:val="21"/>
          <w:szCs w:val="21"/>
          <w:u w:val="none"/>
          <w:shd w:val="clear" w:color="auto" w:fill="auto"/>
        </w:rPr>
        <w:t>计划和实施方案，合理安排</w:t>
      </w:r>
      <w:r>
        <w:rPr>
          <w:rFonts w:hint="eastAsia" w:ascii="宋体" w:hAnsi="宋体" w:eastAsia="宋体" w:cs="宋体"/>
          <w:color w:val="auto"/>
          <w:sz w:val="21"/>
          <w:szCs w:val="21"/>
          <w:u w:val="none"/>
          <w:shd w:val="clear" w:color="auto" w:fill="auto"/>
          <w:lang w:eastAsia="zh-CN"/>
        </w:rPr>
        <w:t>实践活动</w:t>
      </w:r>
      <w:r>
        <w:rPr>
          <w:rFonts w:hint="eastAsia" w:ascii="宋体" w:hAnsi="宋体" w:eastAsia="宋体" w:cs="宋体"/>
          <w:color w:val="auto"/>
          <w:sz w:val="21"/>
          <w:szCs w:val="21"/>
          <w:u w:val="none"/>
          <w:shd w:val="clear" w:color="auto" w:fill="auto"/>
        </w:rPr>
        <w:t>内容和时间，确保</w:t>
      </w:r>
      <w:r>
        <w:rPr>
          <w:rFonts w:hint="eastAsia" w:ascii="宋体" w:hAnsi="宋体" w:eastAsia="宋体" w:cs="宋体"/>
          <w:color w:val="auto"/>
          <w:sz w:val="21"/>
          <w:szCs w:val="21"/>
          <w:u w:val="none"/>
          <w:shd w:val="clear" w:color="auto" w:fill="auto"/>
          <w:lang w:eastAsia="zh-CN"/>
        </w:rPr>
        <w:t>实践活动</w:t>
      </w:r>
      <w:r>
        <w:rPr>
          <w:rFonts w:hint="eastAsia" w:ascii="宋体" w:hAnsi="宋体" w:eastAsia="宋体" w:cs="宋体"/>
          <w:color w:val="auto"/>
          <w:sz w:val="21"/>
          <w:szCs w:val="21"/>
          <w:u w:val="none"/>
          <w:shd w:val="clear" w:color="auto" w:fill="auto"/>
        </w:rPr>
        <w:t>的顺利进行，</w:t>
      </w:r>
      <w:r>
        <w:rPr>
          <w:rFonts w:hint="eastAsia" w:ascii="宋体" w:hAnsi="宋体" w:eastAsia="宋体" w:cs="宋体"/>
          <w:color w:val="auto"/>
          <w:sz w:val="21"/>
          <w:szCs w:val="21"/>
          <w:u w:val="none"/>
          <w:shd w:val="clear" w:color="auto" w:fill="auto"/>
          <w:lang w:eastAsia="zh-CN"/>
        </w:rPr>
        <w:t>实践活动</w:t>
      </w:r>
      <w:r>
        <w:rPr>
          <w:rFonts w:hint="eastAsia" w:ascii="宋体" w:hAnsi="宋体" w:eastAsia="宋体" w:cs="宋体"/>
          <w:color w:val="auto"/>
          <w:sz w:val="21"/>
          <w:szCs w:val="21"/>
          <w:u w:val="none"/>
          <w:shd w:val="clear" w:color="auto" w:fill="auto"/>
        </w:rPr>
        <w:t>计划和</w:t>
      </w:r>
      <w:r>
        <w:rPr>
          <w:rFonts w:hint="eastAsia" w:ascii="宋体" w:hAnsi="宋体" w:eastAsia="宋体" w:cs="宋体"/>
          <w:color w:val="auto"/>
          <w:sz w:val="21"/>
          <w:szCs w:val="21"/>
          <w:u w:val="none"/>
          <w:shd w:val="clear" w:color="auto" w:fill="auto"/>
          <w:lang w:eastAsia="zh-CN"/>
        </w:rPr>
        <w:t>实施</w:t>
      </w:r>
      <w:r>
        <w:rPr>
          <w:rFonts w:hint="eastAsia" w:ascii="宋体" w:hAnsi="宋体" w:eastAsia="宋体" w:cs="宋体"/>
          <w:color w:val="auto"/>
          <w:sz w:val="21"/>
          <w:szCs w:val="21"/>
          <w:u w:val="none"/>
          <w:shd w:val="clear" w:color="auto" w:fill="auto"/>
        </w:rPr>
        <w:t>方案应符合</w:t>
      </w:r>
      <w:r>
        <w:rPr>
          <w:rFonts w:hint="eastAsia" w:ascii="宋体" w:hAnsi="宋体" w:eastAsia="宋体" w:cs="宋体"/>
          <w:color w:val="auto"/>
          <w:sz w:val="21"/>
          <w:szCs w:val="21"/>
          <w:u w:val="none"/>
          <w:shd w:val="clear" w:color="auto" w:fill="auto"/>
          <w:lang w:eastAsia="zh-CN"/>
        </w:rPr>
        <w:t>相关</w:t>
      </w:r>
      <w:r>
        <w:rPr>
          <w:rFonts w:hint="eastAsia" w:ascii="宋体" w:hAnsi="宋体" w:eastAsia="宋体" w:cs="宋体"/>
          <w:color w:val="auto"/>
          <w:sz w:val="21"/>
          <w:szCs w:val="21"/>
          <w:u w:val="none"/>
          <w:shd w:val="clear" w:color="auto" w:fill="auto"/>
        </w:rPr>
        <w:t>文件的具体规定。</w:t>
      </w:r>
    </w:p>
    <w:p w14:paraId="67FDD6B0">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4</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组织实施</w:t>
      </w:r>
      <w:r>
        <w:rPr>
          <w:rFonts w:hint="eastAsia" w:ascii="宋体" w:hAnsi="宋体" w:eastAsia="宋体" w:cs="宋体"/>
          <w:color w:val="auto"/>
          <w:sz w:val="21"/>
          <w:szCs w:val="21"/>
          <w:u w:val="none"/>
          <w:shd w:val="clear" w:color="auto" w:fill="auto"/>
          <w:lang w:eastAsia="zh-CN"/>
        </w:rPr>
        <w:t>实践</w:t>
      </w:r>
      <w:r>
        <w:rPr>
          <w:rFonts w:hint="eastAsia" w:ascii="宋体" w:hAnsi="宋体" w:eastAsia="宋体" w:cs="宋体"/>
          <w:color w:val="auto"/>
          <w:sz w:val="21"/>
          <w:szCs w:val="21"/>
          <w:u w:val="none"/>
          <w:shd w:val="clear" w:color="auto" w:fill="auto"/>
        </w:rPr>
        <w:t>活动，</w:t>
      </w:r>
      <w:r>
        <w:rPr>
          <w:rFonts w:hint="eastAsia" w:ascii="宋体" w:hAnsi="宋体" w:eastAsia="宋体" w:cs="宋体"/>
          <w:color w:val="auto"/>
          <w:sz w:val="21"/>
          <w:szCs w:val="21"/>
          <w:u w:val="none"/>
          <w:shd w:val="clear" w:color="auto" w:fill="auto"/>
          <w:lang w:eastAsia="zh-CN"/>
        </w:rPr>
        <w:t>要</w:t>
      </w:r>
      <w:r>
        <w:rPr>
          <w:rFonts w:hint="eastAsia" w:ascii="宋体" w:hAnsi="宋体" w:eastAsia="宋体" w:cs="宋体"/>
          <w:color w:val="auto"/>
          <w:sz w:val="21"/>
          <w:szCs w:val="21"/>
          <w:u w:val="none"/>
          <w:shd w:val="clear" w:color="auto" w:fill="auto"/>
        </w:rPr>
        <w:t>采用多样化的方法和手段，注重学生的参与体验和实践操作，培养学生的创新精神和实践能力，</w:t>
      </w:r>
      <w:r>
        <w:rPr>
          <w:rFonts w:hint="eastAsia" w:ascii="宋体" w:hAnsi="宋体" w:eastAsia="宋体" w:cs="宋体"/>
          <w:color w:val="auto"/>
          <w:sz w:val="21"/>
          <w:szCs w:val="21"/>
          <w:u w:val="none"/>
          <w:shd w:val="clear" w:color="auto" w:fill="auto"/>
          <w:lang w:eastAsia="zh-CN"/>
        </w:rPr>
        <w:t>实践</w:t>
      </w:r>
      <w:r>
        <w:rPr>
          <w:rFonts w:hint="eastAsia" w:ascii="宋体" w:hAnsi="宋体" w:eastAsia="宋体" w:cs="宋体"/>
          <w:color w:val="auto"/>
          <w:sz w:val="21"/>
          <w:szCs w:val="21"/>
          <w:u w:val="none"/>
          <w:shd w:val="clear" w:color="auto" w:fill="auto"/>
        </w:rPr>
        <w:t>活动应严格按照文件的要求进行设计和组织。</w:t>
      </w:r>
    </w:p>
    <w:p w14:paraId="59971238">
      <w:pPr>
        <w:keepNext w:val="0"/>
        <w:keepLines w:val="0"/>
        <w:pageBreakBefore w:val="0"/>
        <w:widowControl w:val="0"/>
        <w:kinsoku/>
        <w:wordWrap/>
        <w:overflowPunct/>
        <w:topLinePunct w:val="0"/>
        <w:autoSpaceDN/>
        <w:bidi w:val="0"/>
        <w:adjustRightInd/>
        <w:snapToGrid/>
        <w:spacing w:line="560" w:lineRule="exact"/>
        <w:ind w:left="0" w:leftChars="0" w:firstLine="422" w:firstLineChars="200"/>
        <w:textAlignment w:val="auto"/>
        <w:rPr>
          <w:rFonts w:hint="eastAsia" w:ascii="宋体" w:hAnsi="宋体" w:eastAsia="宋体" w:cs="宋体"/>
          <w:b/>
          <w:bCs/>
          <w:color w:val="auto"/>
          <w:sz w:val="21"/>
          <w:szCs w:val="21"/>
          <w:u w:val="none"/>
          <w:shd w:val="clear" w:color="auto" w:fill="auto"/>
          <w:lang w:eastAsia="zh-CN"/>
        </w:rPr>
      </w:pPr>
      <w:r>
        <w:rPr>
          <w:rFonts w:hint="eastAsia" w:ascii="宋体" w:hAnsi="宋体" w:eastAsia="宋体" w:cs="宋体"/>
          <w:b/>
          <w:bCs/>
          <w:color w:val="auto"/>
          <w:sz w:val="21"/>
          <w:szCs w:val="21"/>
          <w:u w:val="none"/>
          <w:shd w:val="clear" w:color="auto" w:fill="auto"/>
          <w:lang w:val="en-US" w:eastAsia="zh-CN"/>
        </w:rPr>
        <w:t>4</w:t>
      </w:r>
      <w:r>
        <w:rPr>
          <w:rFonts w:hint="eastAsia" w:ascii="宋体" w:hAnsi="宋体" w:eastAsia="宋体" w:cs="宋体"/>
          <w:b/>
          <w:bCs/>
          <w:color w:val="auto"/>
          <w:sz w:val="21"/>
          <w:szCs w:val="21"/>
          <w:u w:val="none"/>
          <w:shd w:val="clear" w:color="auto" w:fill="auto"/>
        </w:rPr>
        <w:t>.师资队伍建设</w:t>
      </w:r>
      <w:r>
        <w:rPr>
          <w:rFonts w:hint="eastAsia" w:ascii="宋体" w:hAnsi="宋体" w:eastAsia="宋体" w:cs="宋体"/>
          <w:b/>
          <w:bCs/>
          <w:color w:val="auto"/>
          <w:sz w:val="21"/>
          <w:szCs w:val="21"/>
          <w:u w:val="none"/>
          <w:shd w:val="clear" w:color="auto" w:fill="auto"/>
          <w:lang w:eastAsia="zh-CN"/>
        </w:rPr>
        <w:t>：</w:t>
      </w:r>
    </w:p>
    <w:p w14:paraId="19589FA2">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1</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根据基地的运营管理需求和《中小学综合实践活动</w:t>
      </w:r>
      <w:r>
        <w:rPr>
          <w:rFonts w:hint="eastAsia" w:ascii="宋体" w:hAnsi="宋体" w:eastAsia="宋体" w:cs="宋体"/>
          <w:color w:val="auto"/>
          <w:sz w:val="21"/>
          <w:szCs w:val="21"/>
          <w:u w:val="none"/>
          <w:shd w:val="clear" w:color="auto" w:fill="auto"/>
          <w:lang w:eastAsia="zh-CN"/>
        </w:rPr>
        <w:t>课程</w:t>
      </w:r>
      <w:r>
        <w:rPr>
          <w:rFonts w:hint="eastAsia" w:ascii="宋体" w:hAnsi="宋体" w:eastAsia="宋体" w:cs="宋体"/>
          <w:color w:val="auto"/>
          <w:sz w:val="21"/>
          <w:szCs w:val="21"/>
          <w:u w:val="none"/>
          <w:shd w:val="clear" w:color="auto" w:fill="auto"/>
        </w:rPr>
        <w:t>指导纲要》</w:t>
      </w:r>
      <w:r>
        <w:rPr>
          <w:rFonts w:hint="eastAsia" w:ascii="宋体" w:hAnsi="宋体" w:eastAsia="宋体" w:cs="宋体"/>
          <w:color w:val="auto"/>
          <w:sz w:val="21"/>
          <w:szCs w:val="21"/>
          <w:u w:val="none"/>
          <w:shd w:val="clear" w:color="auto" w:fill="auto"/>
          <w:lang w:eastAsia="zh-CN"/>
        </w:rPr>
        <w:t>《广东省关于加强全省中小学生研学实践教育活动管理的通知》《广东省中小学研学实践教育基（营）地申报标准》、韶关市《研学旅行服务规范》</w:t>
      </w:r>
      <w:r>
        <w:rPr>
          <w:rFonts w:hint="eastAsia" w:ascii="宋体" w:hAnsi="宋体" w:eastAsia="宋体" w:cs="宋体"/>
          <w:color w:val="auto"/>
          <w:sz w:val="21"/>
          <w:szCs w:val="21"/>
          <w:u w:val="none"/>
          <w:shd w:val="clear" w:color="auto" w:fill="auto"/>
        </w:rPr>
        <w:t>对教师的要求，制定师资队伍招聘计划，招聘具有相关专业背景和实践经验的教师，确保教师具备实施相关课程的能力。</w:t>
      </w:r>
    </w:p>
    <w:p w14:paraId="29EC0759">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2</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建立教师培训体系，定期组织教师参加专业培训和</w:t>
      </w:r>
      <w:r>
        <w:rPr>
          <w:rFonts w:hint="eastAsia" w:ascii="宋体" w:hAnsi="宋体" w:eastAsia="宋体" w:cs="宋体"/>
          <w:color w:val="auto"/>
          <w:sz w:val="21"/>
          <w:szCs w:val="21"/>
          <w:u w:val="none"/>
          <w:shd w:val="clear" w:color="auto" w:fill="auto"/>
          <w:lang w:eastAsia="zh-CN"/>
        </w:rPr>
        <w:t>研</w:t>
      </w:r>
      <w:r>
        <w:rPr>
          <w:rFonts w:hint="eastAsia" w:ascii="宋体" w:hAnsi="宋体" w:eastAsia="宋体" w:cs="宋体"/>
          <w:color w:val="auto"/>
          <w:sz w:val="21"/>
          <w:szCs w:val="21"/>
          <w:u w:val="none"/>
          <w:shd w:val="clear" w:color="auto" w:fill="auto"/>
        </w:rPr>
        <w:t>修活动，培训内容应包括</w:t>
      </w:r>
      <w:r>
        <w:rPr>
          <w:rFonts w:hint="eastAsia" w:ascii="宋体" w:hAnsi="宋体" w:eastAsia="宋体" w:cs="宋体"/>
          <w:color w:val="auto"/>
          <w:sz w:val="21"/>
          <w:szCs w:val="21"/>
          <w:u w:val="none"/>
          <w:shd w:val="clear" w:color="auto" w:fill="auto"/>
          <w:lang w:eastAsia="zh-CN"/>
        </w:rPr>
        <w:t>但不限于</w:t>
      </w:r>
      <w:r>
        <w:rPr>
          <w:rFonts w:hint="eastAsia" w:ascii="宋体" w:hAnsi="宋体" w:eastAsia="宋体" w:cs="宋体"/>
          <w:color w:val="auto"/>
          <w:sz w:val="21"/>
          <w:szCs w:val="21"/>
          <w:u w:val="none"/>
          <w:shd w:val="clear" w:color="auto" w:fill="auto"/>
        </w:rPr>
        <w:t>文件的学习和解读，不断提高教师的教</w:t>
      </w:r>
      <w:r>
        <w:rPr>
          <w:rFonts w:hint="eastAsia" w:ascii="宋体" w:hAnsi="宋体" w:eastAsia="宋体" w:cs="宋体"/>
          <w:color w:val="auto"/>
          <w:sz w:val="21"/>
          <w:szCs w:val="21"/>
          <w:u w:val="none"/>
          <w:shd w:val="clear" w:color="auto" w:fill="auto"/>
          <w:lang w:eastAsia="zh-CN"/>
        </w:rPr>
        <w:t>育</w:t>
      </w:r>
      <w:r>
        <w:rPr>
          <w:rFonts w:hint="eastAsia" w:ascii="宋体" w:hAnsi="宋体" w:eastAsia="宋体" w:cs="宋体"/>
          <w:color w:val="auto"/>
          <w:sz w:val="21"/>
          <w:szCs w:val="21"/>
          <w:u w:val="none"/>
          <w:shd w:val="clear" w:color="auto" w:fill="auto"/>
        </w:rPr>
        <w:t>水平和实践</w:t>
      </w:r>
      <w:r>
        <w:rPr>
          <w:rFonts w:hint="eastAsia" w:ascii="宋体" w:hAnsi="宋体" w:eastAsia="宋体" w:cs="宋体"/>
          <w:color w:val="auto"/>
          <w:sz w:val="21"/>
          <w:szCs w:val="21"/>
          <w:u w:val="none"/>
          <w:shd w:val="clear" w:color="auto" w:fill="auto"/>
          <w:lang w:eastAsia="zh-CN"/>
        </w:rPr>
        <w:t>指导</w:t>
      </w:r>
      <w:r>
        <w:rPr>
          <w:rFonts w:hint="eastAsia" w:ascii="宋体" w:hAnsi="宋体" w:eastAsia="宋体" w:cs="宋体"/>
          <w:color w:val="auto"/>
          <w:sz w:val="21"/>
          <w:szCs w:val="21"/>
          <w:u w:val="none"/>
          <w:shd w:val="clear" w:color="auto" w:fill="auto"/>
        </w:rPr>
        <w:t>能力。</w:t>
      </w:r>
    </w:p>
    <w:p w14:paraId="4A157A48">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3</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制定教师考核评价机制，对教师的</w:t>
      </w:r>
      <w:r>
        <w:rPr>
          <w:rFonts w:hint="eastAsia" w:ascii="宋体" w:hAnsi="宋体" w:eastAsia="宋体" w:cs="宋体"/>
          <w:color w:val="auto"/>
          <w:sz w:val="21"/>
          <w:szCs w:val="21"/>
          <w:u w:val="none"/>
          <w:shd w:val="clear" w:color="auto" w:fill="auto"/>
          <w:lang w:eastAsia="zh-CN"/>
        </w:rPr>
        <w:t>带班、实践活动组织等</w:t>
      </w:r>
      <w:r>
        <w:rPr>
          <w:rFonts w:hint="eastAsia" w:ascii="宋体" w:hAnsi="宋体" w:eastAsia="宋体" w:cs="宋体"/>
          <w:color w:val="auto"/>
          <w:sz w:val="21"/>
          <w:szCs w:val="21"/>
          <w:u w:val="none"/>
          <w:shd w:val="clear" w:color="auto" w:fill="auto"/>
        </w:rPr>
        <w:t>工作进行定期考核评价，根据考核结果进行奖惩和激励，提高教师的工作积极性和责任心。</w:t>
      </w:r>
    </w:p>
    <w:p w14:paraId="62F485D3">
      <w:pPr>
        <w:keepNext w:val="0"/>
        <w:keepLines w:val="0"/>
        <w:pageBreakBefore w:val="0"/>
        <w:widowControl w:val="0"/>
        <w:kinsoku/>
        <w:wordWrap/>
        <w:overflowPunct/>
        <w:topLinePunct w:val="0"/>
        <w:autoSpaceDN/>
        <w:bidi w:val="0"/>
        <w:adjustRightInd/>
        <w:snapToGrid/>
        <w:spacing w:line="560" w:lineRule="exact"/>
        <w:ind w:left="0" w:leftChars="0" w:firstLine="422" w:firstLineChars="200"/>
        <w:textAlignment w:val="auto"/>
        <w:rPr>
          <w:rFonts w:hint="eastAsia" w:ascii="宋体" w:hAnsi="宋体" w:eastAsia="宋体" w:cs="宋体"/>
          <w:b/>
          <w:bCs/>
          <w:color w:val="auto"/>
          <w:sz w:val="21"/>
          <w:szCs w:val="21"/>
          <w:u w:val="none"/>
          <w:shd w:val="clear" w:color="auto" w:fill="auto"/>
          <w:lang w:eastAsia="zh-CN"/>
        </w:rPr>
      </w:pPr>
      <w:r>
        <w:rPr>
          <w:rFonts w:hint="eastAsia" w:ascii="宋体" w:hAnsi="宋体" w:eastAsia="宋体" w:cs="宋体"/>
          <w:b/>
          <w:bCs/>
          <w:color w:val="auto"/>
          <w:sz w:val="21"/>
          <w:szCs w:val="21"/>
          <w:u w:val="none"/>
          <w:shd w:val="clear" w:color="auto" w:fill="auto"/>
          <w:lang w:val="en-US" w:eastAsia="zh-CN"/>
        </w:rPr>
        <w:t>5</w:t>
      </w:r>
      <w:r>
        <w:rPr>
          <w:rFonts w:hint="eastAsia" w:ascii="宋体" w:hAnsi="宋体" w:eastAsia="宋体" w:cs="宋体"/>
          <w:b/>
          <w:bCs/>
          <w:color w:val="auto"/>
          <w:sz w:val="21"/>
          <w:szCs w:val="21"/>
          <w:u w:val="none"/>
          <w:shd w:val="clear" w:color="auto" w:fill="auto"/>
        </w:rPr>
        <w:t>.安全管理</w:t>
      </w:r>
      <w:r>
        <w:rPr>
          <w:rFonts w:hint="eastAsia" w:ascii="宋体" w:hAnsi="宋体" w:eastAsia="宋体" w:cs="宋体"/>
          <w:b/>
          <w:bCs/>
          <w:color w:val="auto"/>
          <w:sz w:val="21"/>
          <w:szCs w:val="21"/>
          <w:u w:val="none"/>
          <w:shd w:val="clear" w:color="auto" w:fill="auto"/>
          <w:lang w:eastAsia="zh-CN"/>
        </w:rPr>
        <w:t>：</w:t>
      </w:r>
    </w:p>
    <w:p w14:paraId="58FAADBB">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1</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建立健全基地的安全管理制度和应急预案，加强对基地的安全隐患排查和整改工作，确保基地的安全</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 xml:space="preserve">    </w:t>
      </w:r>
    </w:p>
    <w:p w14:paraId="4A91FBBE">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lang w:eastAsia="zh-CN"/>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2</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对学生进行安全教育和培训，提高学生的安全意识和自我保护能力</w:t>
      </w:r>
      <w:r>
        <w:rPr>
          <w:rFonts w:hint="eastAsia" w:ascii="宋体" w:hAnsi="宋体" w:eastAsia="宋体" w:cs="宋体"/>
          <w:color w:val="auto"/>
          <w:sz w:val="21"/>
          <w:szCs w:val="21"/>
          <w:u w:val="none"/>
          <w:shd w:val="clear" w:color="auto" w:fill="auto"/>
          <w:lang w:eastAsia="zh-CN"/>
        </w:rPr>
        <w:t>。</w:t>
      </w:r>
    </w:p>
    <w:p w14:paraId="66D5A619">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3</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加强对基地设施设备的安全检查和维护保养，确保设施设备的正常运行和使用安全。</w:t>
      </w:r>
    </w:p>
    <w:p w14:paraId="17A01947">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4</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在实践教育活动期间，安排专人负责学生的安全管理，确保学生的人身安全和财产安全。</w:t>
      </w:r>
    </w:p>
    <w:p w14:paraId="382B7B0E">
      <w:pPr>
        <w:keepNext w:val="0"/>
        <w:keepLines w:val="0"/>
        <w:pageBreakBefore w:val="0"/>
        <w:widowControl w:val="0"/>
        <w:kinsoku/>
        <w:wordWrap/>
        <w:overflowPunct/>
        <w:topLinePunct w:val="0"/>
        <w:autoSpaceDN/>
        <w:bidi w:val="0"/>
        <w:adjustRightInd/>
        <w:snapToGrid/>
        <w:spacing w:line="560" w:lineRule="exact"/>
        <w:ind w:left="0" w:leftChars="0" w:firstLine="422" w:firstLineChars="200"/>
        <w:textAlignment w:val="auto"/>
        <w:rPr>
          <w:rFonts w:hint="eastAsia" w:ascii="宋体" w:hAnsi="宋体" w:eastAsia="宋体" w:cs="宋体"/>
          <w:b/>
          <w:bCs/>
          <w:color w:val="auto"/>
          <w:sz w:val="21"/>
          <w:szCs w:val="21"/>
          <w:u w:val="none"/>
          <w:shd w:val="clear" w:color="auto" w:fill="auto"/>
          <w:lang w:eastAsia="zh-CN"/>
        </w:rPr>
      </w:pPr>
      <w:r>
        <w:rPr>
          <w:rFonts w:hint="eastAsia" w:ascii="宋体" w:hAnsi="宋体" w:eastAsia="宋体" w:cs="宋体"/>
          <w:b/>
          <w:bCs/>
          <w:color w:val="auto"/>
          <w:sz w:val="21"/>
          <w:szCs w:val="21"/>
          <w:u w:val="none"/>
          <w:shd w:val="clear" w:color="auto" w:fill="auto"/>
          <w:lang w:val="en-US" w:eastAsia="zh-CN"/>
        </w:rPr>
        <w:t>6</w:t>
      </w:r>
      <w:r>
        <w:rPr>
          <w:rFonts w:hint="eastAsia" w:ascii="宋体" w:hAnsi="宋体" w:eastAsia="宋体" w:cs="宋体"/>
          <w:b/>
          <w:bCs/>
          <w:color w:val="auto"/>
          <w:sz w:val="21"/>
          <w:szCs w:val="21"/>
          <w:u w:val="none"/>
          <w:shd w:val="clear" w:color="auto" w:fill="auto"/>
        </w:rPr>
        <w:t>.</w:t>
      </w:r>
      <w:bookmarkStart w:id="52" w:name="OLE_LINK7"/>
      <w:r>
        <w:rPr>
          <w:rFonts w:hint="eastAsia" w:ascii="宋体" w:hAnsi="宋体" w:eastAsia="宋体" w:cs="宋体"/>
          <w:b/>
          <w:bCs/>
          <w:color w:val="auto"/>
          <w:sz w:val="21"/>
          <w:szCs w:val="21"/>
          <w:u w:val="none"/>
          <w:shd w:val="clear" w:color="auto" w:fill="auto"/>
        </w:rPr>
        <w:t>设施设备</w:t>
      </w:r>
      <w:bookmarkEnd w:id="52"/>
      <w:r>
        <w:rPr>
          <w:rFonts w:hint="eastAsia" w:ascii="宋体" w:hAnsi="宋体" w:eastAsia="宋体" w:cs="宋体"/>
          <w:b/>
          <w:bCs/>
          <w:color w:val="auto"/>
          <w:sz w:val="21"/>
          <w:szCs w:val="21"/>
          <w:u w:val="none"/>
          <w:shd w:val="clear" w:color="auto" w:fill="auto"/>
        </w:rPr>
        <w:t>维护保养</w:t>
      </w:r>
      <w:r>
        <w:rPr>
          <w:rFonts w:hint="eastAsia" w:ascii="宋体" w:hAnsi="宋体" w:eastAsia="宋体" w:cs="宋体"/>
          <w:b/>
          <w:bCs/>
          <w:color w:val="auto"/>
          <w:sz w:val="21"/>
          <w:szCs w:val="21"/>
          <w:u w:val="none"/>
          <w:shd w:val="clear" w:color="auto" w:fill="auto"/>
          <w:lang w:eastAsia="zh-CN"/>
        </w:rPr>
        <w:t>：</w:t>
      </w:r>
    </w:p>
    <w:p w14:paraId="76D4F729">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1</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制定基地设施设备的</w:t>
      </w:r>
      <w:bookmarkStart w:id="53" w:name="OLE_LINK6"/>
      <w:r>
        <w:rPr>
          <w:rFonts w:hint="eastAsia" w:ascii="宋体" w:hAnsi="宋体" w:eastAsia="宋体" w:cs="宋体"/>
          <w:color w:val="auto"/>
          <w:sz w:val="21"/>
          <w:szCs w:val="21"/>
          <w:u w:val="none"/>
          <w:shd w:val="clear" w:color="auto" w:fill="auto"/>
        </w:rPr>
        <w:t>维护保养</w:t>
      </w:r>
      <w:bookmarkEnd w:id="53"/>
      <w:r>
        <w:rPr>
          <w:rFonts w:hint="eastAsia" w:ascii="宋体" w:hAnsi="宋体" w:eastAsia="宋体" w:cs="宋体"/>
          <w:color w:val="auto"/>
          <w:sz w:val="21"/>
          <w:szCs w:val="21"/>
          <w:u w:val="none"/>
          <w:shd w:val="clear" w:color="auto" w:fill="auto"/>
        </w:rPr>
        <w:t>计划，定期对设施设备进行检查、维护和保养，确保设施设备的正常运行和使用。</w:t>
      </w:r>
    </w:p>
    <w:p w14:paraId="4E13DACE">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2</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及时处理设施设备的故障和损坏问题，对于需要更换的设施设备，</w:t>
      </w:r>
      <w:r>
        <w:rPr>
          <w:rFonts w:hint="eastAsia" w:ascii="宋体" w:hAnsi="宋体" w:eastAsia="宋体" w:cs="宋体"/>
          <w:color w:val="auto"/>
          <w:sz w:val="21"/>
          <w:szCs w:val="21"/>
          <w:u w:val="none"/>
          <w:shd w:val="clear" w:color="auto" w:fill="auto"/>
          <w:lang w:eastAsia="zh-CN"/>
        </w:rPr>
        <w:t>及时</w:t>
      </w:r>
      <w:r>
        <w:rPr>
          <w:rFonts w:hint="eastAsia" w:ascii="宋体" w:hAnsi="宋体" w:eastAsia="宋体" w:cs="宋体"/>
          <w:color w:val="auto"/>
          <w:sz w:val="21"/>
          <w:szCs w:val="21"/>
          <w:u w:val="none"/>
          <w:shd w:val="clear" w:color="auto" w:fill="auto"/>
        </w:rPr>
        <w:t>采购和安装。</w:t>
      </w:r>
    </w:p>
    <w:p w14:paraId="2AB1D4AD">
      <w:pPr>
        <w:keepNext w:val="0"/>
        <w:keepLines w:val="0"/>
        <w:pageBreakBefore w:val="0"/>
        <w:widowControl w:val="0"/>
        <w:kinsoku/>
        <w:wordWrap/>
        <w:overflowPunct/>
        <w:topLinePunct w:val="0"/>
        <w:autoSpaceDN/>
        <w:bidi w:val="0"/>
        <w:adjustRightInd/>
        <w:snapToGrid/>
        <w:spacing w:line="560" w:lineRule="exact"/>
        <w:ind w:left="0" w:leftChars="0" w:firstLine="420" w:firstLineChars="200"/>
        <w:textAlignment w:val="auto"/>
        <w:rPr>
          <w:rFonts w:hint="eastAsia" w:ascii="宋体" w:hAnsi="宋体" w:eastAsia="宋体" w:cs="宋体"/>
          <w:color w:val="auto"/>
          <w:sz w:val="21"/>
          <w:szCs w:val="21"/>
          <w:u w:val="none"/>
          <w:shd w:val="clear" w:color="auto" w:fill="auto"/>
        </w:rPr>
      </w:pP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3</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建立设施设备档案，记录设施设备的购置、使用、维护和维修等情况，为设施设备的管理和维护提供依据。</w:t>
      </w:r>
    </w:p>
    <w:bookmarkEnd w:id="33"/>
    <w:p w14:paraId="0B730674">
      <w:pPr>
        <w:keepNext w:val="0"/>
        <w:keepLines w:val="0"/>
        <w:pageBreakBefore w:val="0"/>
        <w:widowControl w:val="0"/>
        <w:numPr>
          <w:ilvl w:val="0"/>
          <w:numId w:val="0"/>
        </w:numPr>
        <w:kinsoku/>
        <w:wordWrap/>
        <w:overflowPunct/>
        <w:topLinePunct w:val="0"/>
        <w:autoSpaceDN/>
        <w:bidi w:val="0"/>
        <w:adjustRightInd/>
        <w:snapToGrid/>
        <w:spacing w:line="560" w:lineRule="exact"/>
        <w:ind w:firstLine="422" w:firstLineChars="200"/>
        <w:textAlignment w:val="auto"/>
        <w:rPr>
          <w:rFonts w:hint="eastAsia" w:ascii="宋体" w:hAnsi="宋体" w:eastAsia="宋体" w:cs="宋体"/>
          <w:b/>
          <w:bCs/>
          <w:color w:val="auto"/>
          <w:sz w:val="21"/>
          <w:szCs w:val="21"/>
          <w:u w:val="none"/>
          <w:shd w:val="clear" w:color="auto" w:fill="auto"/>
          <w:lang w:val="en-US" w:eastAsia="zh-CN"/>
        </w:rPr>
      </w:pPr>
    </w:p>
    <w:p w14:paraId="60293D5B">
      <w:pPr>
        <w:keepNext w:val="0"/>
        <w:keepLines w:val="0"/>
        <w:pageBreakBefore w:val="0"/>
        <w:widowControl w:val="0"/>
        <w:numPr>
          <w:ilvl w:val="0"/>
          <w:numId w:val="0"/>
        </w:numPr>
        <w:kinsoku/>
        <w:wordWrap/>
        <w:overflowPunct/>
        <w:topLinePunct w:val="0"/>
        <w:autoSpaceDN/>
        <w:bidi w:val="0"/>
        <w:adjustRightInd/>
        <w:snapToGrid/>
        <w:spacing w:line="560" w:lineRule="exact"/>
        <w:ind w:firstLine="422" w:firstLineChars="200"/>
        <w:textAlignment w:val="auto"/>
        <w:rPr>
          <w:rFonts w:hint="eastAsia" w:ascii="宋体" w:hAnsi="宋体" w:eastAsia="宋体" w:cs="宋体"/>
          <w:b/>
          <w:bCs/>
          <w:color w:val="auto"/>
          <w:sz w:val="21"/>
          <w:szCs w:val="21"/>
          <w:u w:val="none"/>
          <w:shd w:val="clear" w:color="auto" w:fill="auto"/>
          <w:lang w:val="en-US" w:eastAsia="zh-CN"/>
        </w:rPr>
      </w:pPr>
      <w:r>
        <w:rPr>
          <w:rFonts w:hint="eastAsia" w:ascii="宋体" w:hAnsi="宋体" w:eastAsia="宋体" w:cs="宋体"/>
          <w:b/>
          <w:bCs/>
          <w:color w:val="auto"/>
          <w:sz w:val="21"/>
          <w:szCs w:val="21"/>
          <w:u w:val="none"/>
          <w:shd w:val="clear" w:color="auto" w:fill="auto"/>
          <w:lang w:val="en-US" w:eastAsia="zh-CN"/>
        </w:rPr>
        <w:t>七</w:t>
      </w:r>
      <w:r>
        <w:rPr>
          <w:rFonts w:hint="eastAsia" w:ascii="宋体" w:hAnsi="宋体" w:eastAsia="宋体" w:cs="宋体"/>
          <w:b/>
          <w:bCs/>
          <w:color w:val="auto"/>
          <w:sz w:val="21"/>
          <w:szCs w:val="21"/>
          <w:u w:val="none"/>
          <w:shd w:val="clear" w:color="auto" w:fill="auto"/>
          <w:lang w:eastAsia="zh-CN"/>
        </w:rPr>
        <w:t>、</w:t>
      </w:r>
      <w:r>
        <w:rPr>
          <w:rFonts w:hint="eastAsia" w:ascii="宋体" w:hAnsi="宋体" w:eastAsia="宋体" w:cs="宋体"/>
          <w:b/>
          <w:bCs/>
          <w:color w:val="auto"/>
          <w:sz w:val="21"/>
          <w:szCs w:val="21"/>
          <w:u w:val="none"/>
          <w:shd w:val="clear" w:color="auto" w:fill="auto"/>
          <w:lang w:val="en-US" w:eastAsia="zh-CN"/>
        </w:rPr>
        <w:t>委托</w:t>
      </w:r>
      <w:bookmarkStart w:id="54" w:name="OLE_LINK8"/>
      <w:r>
        <w:rPr>
          <w:rFonts w:hint="eastAsia" w:ascii="宋体" w:hAnsi="宋体" w:eastAsia="宋体" w:cs="宋体"/>
          <w:b/>
          <w:bCs/>
          <w:color w:val="auto"/>
          <w:sz w:val="21"/>
          <w:szCs w:val="21"/>
          <w:u w:val="none"/>
          <w:shd w:val="clear" w:color="auto" w:fill="auto"/>
          <w:lang w:val="en-US" w:eastAsia="zh-CN"/>
        </w:rPr>
        <w:t>运营</w:t>
      </w:r>
      <w:bookmarkEnd w:id="54"/>
      <w:r>
        <w:rPr>
          <w:rFonts w:hint="eastAsia" w:ascii="宋体" w:hAnsi="宋体" w:eastAsia="宋体" w:cs="宋体"/>
          <w:b/>
          <w:bCs/>
          <w:color w:val="auto"/>
          <w:sz w:val="21"/>
          <w:szCs w:val="21"/>
          <w:u w:val="none"/>
          <w:shd w:val="clear" w:color="auto" w:fill="auto"/>
          <w:lang w:val="en-US" w:eastAsia="zh-CN"/>
        </w:rPr>
        <w:t>管理期间的经费管理</w:t>
      </w:r>
    </w:p>
    <w:p w14:paraId="7A619A4A">
      <w:pPr>
        <w:spacing w:line="360" w:lineRule="auto"/>
        <w:ind w:firstLine="420" w:firstLineChars="200"/>
        <w:rPr>
          <w:rFonts w:hint="eastAsia" w:ascii="宋体" w:hAnsi="宋体" w:eastAsia="宋体" w:cs="宋体"/>
          <w:color w:val="auto"/>
          <w:sz w:val="21"/>
          <w:szCs w:val="21"/>
          <w:u w:val="none"/>
          <w:shd w:val="clear" w:color="auto" w:fill="auto"/>
          <w:lang w:val="en-US" w:eastAsia="zh-CN"/>
        </w:rPr>
      </w:pPr>
      <w:r>
        <w:rPr>
          <w:rFonts w:hint="eastAsia" w:ascii="宋体" w:hAnsi="宋体" w:eastAsia="宋体" w:cs="宋体"/>
          <w:color w:val="auto"/>
          <w:sz w:val="21"/>
          <w:szCs w:val="21"/>
          <w:u w:val="none"/>
          <w:shd w:val="clear" w:color="auto" w:fill="auto"/>
          <w:lang w:val="en-US" w:eastAsia="zh-CN"/>
        </w:rPr>
        <w:t>1.</w:t>
      </w:r>
      <w:bookmarkStart w:id="55" w:name="OLE_LINK16"/>
      <w:r>
        <w:rPr>
          <w:rFonts w:hint="eastAsia" w:ascii="宋体" w:hAnsi="宋体" w:eastAsia="宋体" w:cs="宋体"/>
          <w:color w:val="auto"/>
          <w:sz w:val="21"/>
          <w:szCs w:val="21"/>
          <w:u w:val="none"/>
          <w:shd w:val="clear" w:color="auto" w:fill="auto"/>
          <w:lang w:val="en-US" w:eastAsia="zh-CN"/>
        </w:rPr>
        <w:t>综合实践</w:t>
      </w:r>
      <w:bookmarkEnd w:id="55"/>
      <w:r>
        <w:rPr>
          <w:rFonts w:hint="eastAsia" w:ascii="宋体" w:hAnsi="宋体" w:eastAsia="宋体" w:cs="宋体"/>
          <w:color w:val="auto"/>
          <w:sz w:val="21"/>
          <w:szCs w:val="21"/>
          <w:u w:val="none"/>
          <w:shd w:val="clear" w:color="auto" w:fill="auto"/>
          <w:lang w:val="en-US" w:eastAsia="zh-CN"/>
        </w:rPr>
        <w:t>活动现行收费标准每生每天62元，其中伙食费25元（早餐5元、中晚餐各10元）。</w:t>
      </w:r>
    </w:p>
    <w:p w14:paraId="0FCA9195">
      <w:pPr>
        <w:spacing w:line="360" w:lineRule="auto"/>
        <w:ind w:firstLine="420" w:firstLineChars="200"/>
        <w:rPr>
          <w:rFonts w:hint="eastAsia" w:ascii="宋体" w:hAnsi="宋体" w:eastAsia="宋体" w:cs="宋体"/>
          <w:color w:val="auto"/>
          <w:sz w:val="21"/>
          <w:szCs w:val="21"/>
          <w:u w:val="none"/>
          <w:shd w:val="clear" w:color="auto" w:fill="auto"/>
          <w:lang w:val="en-US" w:eastAsia="zh-CN"/>
        </w:rPr>
      </w:pPr>
      <w:r>
        <w:rPr>
          <w:rFonts w:hint="eastAsia" w:ascii="宋体" w:hAnsi="宋体" w:eastAsia="宋体" w:cs="宋体"/>
          <w:color w:val="auto"/>
          <w:sz w:val="21"/>
          <w:szCs w:val="21"/>
          <w:u w:val="none"/>
          <w:shd w:val="clear" w:color="auto" w:fill="auto"/>
          <w:lang w:val="en-US" w:eastAsia="zh-CN"/>
        </w:rPr>
        <w:t>（1）由委托方</w:t>
      </w:r>
      <w:bookmarkStart w:id="56" w:name="OLE_LINK13"/>
      <w:r>
        <w:rPr>
          <w:rFonts w:hint="eastAsia" w:ascii="宋体" w:hAnsi="宋体" w:eastAsia="宋体" w:cs="宋体"/>
          <w:color w:val="auto"/>
          <w:sz w:val="21"/>
          <w:szCs w:val="21"/>
          <w:u w:val="none"/>
          <w:shd w:val="clear" w:color="auto" w:fill="auto"/>
          <w:lang w:val="en-US" w:eastAsia="zh-CN"/>
        </w:rPr>
        <w:t>（实践基地）</w:t>
      </w:r>
      <w:bookmarkEnd w:id="56"/>
      <w:bookmarkStart w:id="57" w:name="OLE_LINK17"/>
      <w:r>
        <w:rPr>
          <w:rFonts w:hint="eastAsia" w:ascii="宋体" w:hAnsi="宋体" w:eastAsia="宋体" w:cs="宋体"/>
          <w:color w:val="auto"/>
          <w:sz w:val="21"/>
          <w:szCs w:val="21"/>
          <w:u w:val="none"/>
          <w:shd w:val="clear" w:color="auto" w:fill="auto"/>
          <w:lang w:val="en-US" w:eastAsia="zh-CN"/>
        </w:rPr>
        <w:t>收取</w:t>
      </w:r>
      <w:bookmarkEnd w:id="57"/>
      <w:r>
        <w:rPr>
          <w:rFonts w:hint="eastAsia" w:ascii="宋体" w:hAnsi="宋体" w:eastAsia="宋体" w:cs="宋体"/>
          <w:color w:val="auto"/>
          <w:sz w:val="21"/>
          <w:szCs w:val="21"/>
          <w:u w:val="none"/>
          <w:shd w:val="clear" w:color="auto" w:fill="auto"/>
          <w:lang w:val="en-US" w:eastAsia="zh-CN"/>
        </w:rPr>
        <w:t>，次月10日前将上月收取的综合实践活动总收入汇入区财政局账户，执行收支两条线管理。</w:t>
      </w:r>
    </w:p>
    <w:p w14:paraId="3BC511DB">
      <w:pPr>
        <w:spacing w:line="360" w:lineRule="auto"/>
        <w:ind w:firstLine="420" w:firstLineChars="200"/>
        <w:rPr>
          <w:rFonts w:hint="eastAsia" w:ascii="宋体" w:hAnsi="宋体" w:eastAsia="宋体" w:cs="宋体"/>
          <w:color w:val="auto"/>
          <w:sz w:val="21"/>
          <w:szCs w:val="21"/>
          <w:u w:val="none"/>
          <w:shd w:val="clear" w:color="auto" w:fill="auto"/>
          <w:lang w:val="en-US" w:eastAsia="zh-CN"/>
        </w:rPr>
      </w:pPr>
      <w:r>
        <w:rPr>
          <w:rFonts w:hint="eastAsia" w:ascii="宋体" w:hAnsi="宋体" w:eastAsia="宋体" w:cs="宋体"/>
          <w:color w:val="auto"/>
          <w:sz w:val="21"/>
          <w:szCs w:val="21"/>
          <w:u w:val="none"/>
          <w:shd w:val="clear" w:color="auto" w:fill="auto"/>
          <w:lang w:val="en-US" w:eastAsia="zh-CN"/>
        </w:rPr>
        <w:t>（2）每月收到</w:t>
      </w:r>
      <w:bookmarkStart w:id="58" w:name="OLE_LINK18"/>
      <w:r>
        <w:rPr>
          <w:rFonts w:hint="eastAsia" w:ascii="宋体" w:hAnsi="宋体" w:eastAsia="宋体" w:cs="宋体"/>
          <w:color w:val="auto"/>
          <w:sz w:val="21"/>
          <w:szCs w:val="21"/>
          <w:u w:val="none"/>
          <w:shd w:val="clear" w:color="auto" w:fill="auto"/>
          <w:lang w:val="en-US" w:eastAsia="zh-CN"/>
        </w:rPr>
        <w:t>区财政局</w:t>
      </w:r>
      <w:bookmarkEnd w:id="58"/>
      <w:r>
        <w:rPr>
          <w:rFonts w:hint="eastAsia" w:ascii="宋体" w:hAnsi="宋体" w:eastAsia="宋体" w:cs="宋体"/>
          <w:color w:val="auto"/>
          <w:sz w:val="21"/>
          <w:szCs w:val="21"/>
          <w:u w:val="none"/>
          <w:shd w:val="clear" w:color="auto" w:fill="auto"/>
          <w:lang w:val="en-US" w:eastAsia="zh-CN"/>
        </w:rPr>
        <w:t>返拨款后，留取3%作为</w:t>
      </w:r>
      <w:bookmarkStart w:id="59" w:name="OLE_LINK19"/>
      <w:r>
        <w:rPr>
          <w:rFonts w:hint="eastAsia" w:ascii="宋体" w:hAnsi="宋体" w:eastAsia="宋体" w:cs="宋体"/>
          <w:color w:val="auto"/>
          <w:sz w:val="21"/>
          <w:szCs w:val="21"/>
          <w:u w:val="none"/>
          <w:shd w:val="clear" w:color="auto" w:fill="auto"/>
          <w:lang w:val="en-US" w:eastAsia="zh-CN"/>
        </w:rPr>
        <w:t>委托方（实践基地）的办公等经费</w:t>
      </w:r>
      <w:bookmarkEnd w:id="59"/>
      <w:r>
        <w:rPr>
          <w:rFonts w:hint="eastAsia" w:ascii="宋体" w:hAnsi="宋体" w:eastAsia="宋体" w:cs="宋体"/>
          <w:color w:val="auto"/>
          <w:sz w:val="21"/>
          <w:szCs w:val="21"/>
          <w:u w:val="none"/>
          <w:shd w:val="clear" w:color="auto" w:fill="auto"/>
          <w:lang w:val="en-US" w:eastAsia="zh-CN"/>
        </w:rPr>
        <w:t>。每年7月按标准（学年度参加综合实践活动学生人数累计2万人及以下计4%、2万人以上计3%）结算本学年度（每年8月1日—次年7月31日）委托方（实践基地）的办公等经费。</w:t>
      </w:r>
    </w:p>
    <w:p w14:paraId="008A9E29">
      <w:pPr>
        <w:spacing w:line="360" w:lineRule="auto"/>
        <w:ind w:firstLine="420" w:firstLineChars="200"/>
        <w:rPr>
          <w:rFonts w:hint="eastAsia" w:ascii="宋体" w:hAnsi="宋体" w:eastAsia="宋体" w:cs="宋体"/>
          <w:color w:val="auto"/>
          <w:sz w:val="21"/>
          <w:szCs w:val="21"/>
          <w:u w:val="none"/>
          <w:shd w:val="clear" w:color="auto" w:fill="auto"/>
          <w:lang w:val="en-US" w:eastAsia="zh-CN"/>
        </w:rPr>
      </w:pPr>
      <w:r>
        <w:rPr>
          <w:rFonts w:hint="eastAsia" w:ascii="宋体" w:hAnsi="宋体" w:eastAsia="宋体" w:cs="宋体"/>
          <w:color w:val="auto"/>
          <w:sz w:val="21"/>
          <w:szCs w:val="21"/>
          <w:u w:val="none"/>
          <w:shd w:val="clear" w:color="auto" w:fill="auto"/>
          <w:lang w:val="en-US" w:eastAsia="zh-CN"/>
        </w:rPr>
        <w:t>（3）每月委托方（实践基地）代</w:t>
      </w:r>
      <w:bookmarkStart w:id="60" w:name="OLE_LINK20"/>
      <w:r>
        <w:rPr>
          <w:rFonts w:hint="eastAsia" w:ascii="宋体" w:hAnsi="宋体" w:eastAsia="宋体" w:cs="宋体"/>
          <w:color w:val="auto"/>
          <w:sz w:val="21"/>
          <w:szCs w:val="21"/>
          <w:u w:val="none"/>
          <w:shd w:val="clear" w:color="auto" w:fill="auto"/>
          <w:lang w:val="en-US" w:eastAsia="zh-CN"/>
        </w:rPr>
        <w:t>受托方（中标方）</w:t>
      </w:r>
      <w:bookmarkEnd w:id="60"/>
      <w:r>
        <w:rPr>
          <w:rFonts w:hint="eastAsia" w:ascii="宋体" w:hAnsi="宋体" w:eastAsia="宋体" w:cs="宋体"/>
          <w:color w:val="auto"/>
          <w:sz w:val="21"/>
          <w:szCs w:val="21"/>
          <w:u w:val="none"/>
          <w:shd w:val="clear" w:color="auto" w:fill="auto"/>
          <w:lang w:val="en-US" w:eastAsia="zh-CN"/>
        </w:rPr>
        <w:t>支付实践基地的水电、网络等运营期间费用，在次月的15日前将剩余金额汇入受托方（中标方）账户。</w:t>
      </w:r>
    </w:p>
    <w:p w14:paraId="316212D5">
      <w:pPr>
        <w:spacing w:line="360" w:lineRule="auto"/>
        <w:ind w:firstLine="420" w:firstLineChars="200"/>
        <w:rPr>
          <w:rFonts w:hint="eastAsia" w:ascii="宋体" w:hAnsi="宋体" w:eastAsia="宋体" w:cs="宋体"/>
          <w:color w:val="auto"/>
          <w:sz w:val="21"/>
          <w:szCs w:val="21"/>
          <w:u w:val="none"/>
          <w:shd w:val="clear" w:color="auto" w:fill="auto"/>
          <w:lang w:val="en-US" w:eastAsia="zh-CN"/>
        </w:rPr>
      </w:pPr>
      <w:r>
        <w:rPr>
          <w:rFonts w:hint="eastAsia" w:ascii="宋体" w:hAnsi="宋体" w:eastAsia="宋体" w:cs="宋体"/>
          <w:color w:val="auto"/>
          <w:sz w:val="21"/>
          <w:szCs w:val="21"/>
          <w:u w:val="none"/>
          <w:shd w:val="clear" w:color="auto" w:fill="auto"/>
          <w:lang w:val="en-US" w:eastAsia="zh-CN"/>
        </w:rPr>
        <w:t>2.研学实践、夏（冬）令营等其他实践活动的收费由受托方（中标方）负责。</w:t>
      </w:r>
    </w:p>
    <w:p w14:paraId="44EC59D0">
      <w:pPr>
        <w:spacing w:line="360" w:lineRule="auto"/>
        <w:ind w:firstLine="422" w:firstLineChars="200"/>
        <w:rPr>
          <w:rFonts w:hint="eastAsia" w:ascii="宋体" w:hAnsi="宋体" w:eastAsia="宋体" w:cs="宋体"/>
          <w:b/>
          <w:bCs/>
          <w:color w:val="auto"/>
          <w:sz w:val="21"/>
          <w:szCs w:val="21"/>
          <w:u w:val="none"/>
          <w:shd w:val="clear" w:color="auto" w:fill="auto"/>
          <w:lang w:val="en-US" w:eastAsia="zh-CN"/>
        </w:rPr>
      </w:pPr>
    </w:p>
    <w:p w14:paraId="72B297AA">
      <w:pPr>
        <w:spacing w:line="360" w:lineRule="auto"/>
        <w:ind w:firstLine="422" w:firstLineChars="200"/>
        <w:rPr>
          <w:rFonts w:hint="eastAsia" w:ascii="宋体" w:hAnsi="宋体" w:eastAsia="宋体" w:cs="宋体"/>
          <w:b/>
          <w:bCs/>
          <w:color w:val="auto"/>
          <w:sz w:val="21"/>
          <w:szCs w:val="21"/>
          <w:u w:val="none"/>
          <w:shd w:val="clear" w:color="auto" w:fill="auto"/>
          <w:lang w:val="en-US" w:eastAsia="zh-CN"/>
        </w:rPr>
      </w:pPr>
      <w:r>
        <w:rPr>
          <w:rFonts w:hint="eastAsia" w:ascii="宋体" w:hAnsi="宋体" w:eastAsia="宋体" w:cs="宋体"/>
          <w:b/>
          <w:bCs/>
          <w:color w:val="auto"/>
          <w:sz w:val="21"/>
          <w:szCs w:val="21"/>
          <w:u w:val="none"/>
          <w:shd w:val="clear" w:color="auto" w:fill="auto"/>
          <w:lang w:val="en-US" w:eastAsia="zh-CN"/>
        </w:rPr>
        <w:t>八、其他事项</w:t>
      </w:r>
    </w:p>
    <w:p w14:paraId="32332A17">
      <w:pPr>
        <w:spacing w:line="360" w:lineRule="auto"/>
        <w:ind w:firstLine="420" w:firstLineChars="200"/>
        <w:rPr>
          <w:rFonts w:hint="eastAsia" w:ascii="宋体" w:hAnsi="宋体" w:eastAsia="宋体" w:cs="宋体"/>
          <w:color w:val="auto"/>
          <w:sz w:val="21"/>
          <w:szCs w:val="21"/>
          <w:u w:val="none"/>
          <w:shd w:val="clear" w:color="auto" w:fill="auto"/>
          <w:lang w:val="en-US" w:eastAsia="zh-CN"/>
        </w:rPr>
      </w:pPr>
      <w:r>
        <w:rPr>
          <w:rFonts w:hint="eastAsia" w:ascii="宋体" w:hAnsi="宋体" w:eastAsia="宋体" w:cs="宋体"/>
          <w:color w:val="auto"/>
          <w:sz w:val="21"/>
          <w:szCs w:val="21"/>
          <w:u w:val="none"/>
          <w:shd w:val="clear" w:color="auto" w:fill="auto"/>
          <w:lang w:val="en-US" w:eastAsia="zh-CN"/>
        </w:rPr>
        <w:t>1.委托方（实践基地）现有5个合同未执行完毕：</w:t>
      </w:r>
      <w:bookmarkStart w:id="61" w:name="OLE_LINK24"/>
      <w:r>
        <w:rPr>
          <w:rFonts w:hint="eastAsia" w:ascii="宋体" w:hAnsi="宋体" w:eastAsia="宋体" w:cs="宋体"/>
          <w:color w:val="auto"/>
          <w:sz w:val="21"/>
          <w:szCs w:val="21"/>
          <w:u w:val="none"/>
          <w:shd w:val="clear" w:color="auto" w:fill="auto"/>
          <w:lang w:val="en-US" w:eastAsia="zh-CN"/>
        </w:rPr>
        <w:t>饭堂</w:t>
      </w:r>
      <w:bookmarkEnd w:id="61"/>
      <w:r>
        <w:rPr>
          <w:rFonts w:hint="eastAsia" w:ascii="宋体" w:hAnsi="宋体" w:eastAsia="宋体" w:cs="宋体"/>
          <w:color w:val="auto"/>
          <w:sz w:val="21"/>
          <w:szCs w:val="21"/>
          <w:u w:val="none"/>
          <w:shd w:val="clear" w:color="auto" w:fill="auto"/>
          <w:lang w:val="en-US" w:eastAsia="zh-CN"/>
        </w:rPr>
        <w:t>小卖部承办经营项目</w:t>
      </w:r>
      <w:bookmarkStart w:id="62" w:name="OLE_LINK21"/>
      <w:r>
        <w:rPr>
          <w:rFonts w:hint="eastAsia" w:ascii="宋体" w:hAnsi="宋体" w:eastAsia="宋体" w:cs="宋体"/>
          <w:color w:val="auto"/>
          <w:sz w:val="21"/>
          <w:szCs w:val="21"/>
          <w:u w:val="none"/>
          <w:shd w:val="clear" w:color="auto" w:fill="auto"/>
          <w:lang w:val="en-US" w:eastAsia="zh-CN"/>
        </w:rPr>
        <w:t>（2026年9月30日合同到期）、</w:t>
      </w:r>
      <w:bookmarkEnd w:id="62"/>
      <w:bookmarkStart w:id="63" w:name="OLE_LINK22"/>
      <w:r>
        <w:rPr>
          <w:rFonts w:hint="eastAsia" w:ascii="宋体" w:hAnsi="宋体" w:eastAsia="宋体" w:cs="宋体"/>
          <w:color w:val="auto"/>
          <w:sz w:val="21"/>
          <w:szCs w:val="21"/>
          <w:u w:val="none"/>
          <w:shd w:val="clear" w:color="auto" w:fill="auto"/>
          <w:lang w:val="en-US" w:eastAsia="zh-CN"/>
        </w:rPr>
        <w:t>中小学综合实践活动课程组织实施团队项目</w:t>
      </w:r>
      <w:bookmarkEnd w:id="63"/>
      <w:r>
        <w:rPr>
          <w:rFonts w:hint="eastAsia" w:ascii="宋体" w:hAnsi="宋体" w:eastAsia="宋体" w:cs="宋体"/>
          <w:color w:val="auto"/>
          <w:sz w:val="21"/>
          <w:szCs w:val="21"/>
          <w:u w:val="none"/>
          <w:shd w:val="clear" w:color="auto" w:fill="auto"/>
          <w:lang w:val="en-US" w:eastAsia="zh-CN"/>
        </w:rPr>
        <w:t>（2026年7月31日合同到期）、</w:t>
      </w:r>
      <w:bookmarkStart w:id="64" w:name="OLE_LINK23"/>
      <w:r>
        <w:rPr>
          <w:rFonts w:hint="eastAsia" w:ascii="宋体" w:hAnsi="宋体" w:eastAsia="宋体" w:cs="宋体"/>
          <w:color w:val="auto"/>
          <w:sz w:val="21"/>
          <w:szCs w:val="21"/>
          <w:u w:val="none"/>
          <w:shd w:val="clear" w:color="auto" w:fill="auto"/>
          <w:lang w:val="en-US" w:eastAsia="zh-CN"/>
        </w:rPr>
        <w:t>物业服务</w:t>
      </w:r>
      <w:bookmarkEnd w:id="64"/>
      <w:r>
        <w:rPr>
          <w:rFonts w:hint="eastAsia" w:ascii="宋体" w:hAnsi="宋体" w:eastAsia="宋体" w:cs="宋体"/>
          <w:color w:val="auto"/>
          <w:sz w:val="21"/>
          <w:szCs w:val="21"/>
          <w:u w:val="none"/>
          <w:shd w:val="clear" w:color="auto" w:fill="auto"/>
          <w:lang w:val="en-US" w:eastAsia="zh-CN"/>
        </w:rPr>
        <w:t>、</w:t>
      </w:r>
      <w:bookmarkStart w:id="65" w:name="OLE_LINK25"/>
      <w:r>
        <w:rPr>
          <w:rFonts w:hint="eastAsia" w:ascii="宋体" w:hAnsi="宋体" w:eastAsia="宋体" w:cs="宋体"/>
          <w:color w:val="auto"/>
          <w:sz w:val="21"/>
          <w:szCs w:val="21"/>
          <w:u w:val="none"/>
          <w:shd w:val="clear" w:color="auto" w:fill="auto"/>
          <w:lang w:val="en-US" w:eastAsia="zh-CN"/>
        </w:rPr>
        <w:t>安保服务</w:t>
      </w:r>
      <w:bookmarkEnd w:id="65"/>
      <w:r>
        <w:rPr>
          <w:rFonts w:hint="eastAsia" w:ascii="宋体" w:hAnsi="宋体" w:eastAsia="宋体" w:cs="宋体"/>
          <w:color w:val="auto"/>
          <w:sz w:val="21"/>
          <w:szCs w:val="21"/>
          <w:u w:val="none"/>
          <w:shd w:val="clear" w:color="auto" w:fill="auto"/>
          <w:lang w:val="en-US" w:eastAsia="zh-CN"/>
        </w:rPr>
        <w:t>和</w:t>
      </w:r>
      <w:bookmarkStart w:id="66" w:name="OLE_LINK26"/>
      <w:r>
        <w:rPr>
          <w:rFonts w:hint="eastAsia" w:ascii="宋体" w:hAnsi="宋体" w:eastAsia="宋体" w:cs="宋体"/>
          <w:color w:val="auto"/>
          <w:sz w:val="21"/>
          <w:szCs w:val="21"/>
          <w:u w:val="none"/>
          <w:shd w:val="clear" w:color="auto" w:fill="auto"/>
          <w:lang w:val="en-US" w:eastAsia="zh-CN"/>
        </w:rPr>
        <w:t>消防维保及年度检测项目</w:t>
      </w:r>
      <w:bookmarkEnd w:id="66"/>
      <w:r>
        <w:rPr>
          <w:rFonts w:hint="eastAsia" w:ascii="宋体" w:hAnsi="宋体" w:eastAsia="宋体" w:cs="宋体"/>
          <w:color w:val="auto"/>
          <w:sz w:val="21"/>
          <w:szCs w:val="21"/>
          <w:u w:val="none"/>
          <w:shd w:val="clear" w:color="auto" w:fill="auto"/>
          <w:lang w:val="en-US" w:eastAsia="zh-CN"/>
        </w:rPr>
        <w:t>（以上3个合同2025年12月31日到期）。以上合同，受托方（中标方）在与相关服务单位（合同中的乙方）及</w:t>
      </w:r>
      <w:bookmarkStart w:id="67" w:name="OLE_LINK28"/>
      <w:r>
        <w:rPr>
          <w:rFonts w:hint="eastAsia" w:ascii="宋体" w:hAnsi="宋体" w:eastAsia="宋体" w:cs="宋体"/>
          <w:color w:val="auto"/>
          <w:sz w:val="21"/>
          <w:szCs w:val="21"/>
          <w:u w:val="none"/>
          <w:shd w:val="clear" w:color="auto" w:fill="auto"/>
          <w:lang w:val="en-US" w:eastAsia="zh-CN"/>
        </w:rPr>
        <w:t>委托方（实践基地）</w:t>
      </w:r>
      <w:bookmarkEnd w:id="67"/>
      <w:r>
        <w:rPr>
          <w:rFonts w:hint="eastAsia" w:ascii="宋体" w:hAnsi="宋体" w:eastAsia="宋体" w:cs="宋体"/>
          <w:color w:val="auto"/>
          <w:sz w:val="21"/>
          <w:szCs w:val="21"/>
          <w:u w:val="none"/>
          <w:shd w:val="clear" w:color="auto" w:fill="auto"/>
          <w:lang w:val="en-US" w:eastAsia="zh-CN"/>
        </w:rPr>
        <w:t>签订补充协议后，统一移交给</w:t>
      </w:r>
      <w:bookmarkStart w:id="68" w:name="OLE_LINK15"/>
      <w:r>
        <w:rPr>
          <w:rFonts w:hint="eastAsia" w:ascii="宋体" w:hAnsi="宋体" w:eastAsia="宋体" w:cs="宋体"/>
          <w:color w:val="auto"/>
          <w:sz w:val="21"/>
          <w:szCs w:val="21"/>
          <w:u w:val="none"/>
          <w:shd w:val="clear" w:color="auto" w:fill="auto"/>
          <w:lang w:val="en-US" w:eastAsia="zh-CN"/>
        </w:rPr>
        <w:t>受托方（中标方）</w:t>
      </w:r>
      <w:bookmarkEnd w:id="68"/>
      <w:r>
        <w:rPr>
          <w:rFonts w:hint="eastAsia" w:ascii="宋体" w:hAnsi="宋体" w:eastAsia="宋体" w:cs="宋体"/>
          <w:color w:val="auto"/>
          <w:sz w:val="21"/>
          <w:szCs w:val="21"/>
          <w:u w:val="none"/>
          <w:shd w:val="clear" w:color="auto" w:fill="auto"/>
          <w:lang w:val="en-US" w:eastAsia="zh-CN"/>
        </w:rPr>
        <w:t>，相关服务业务</w:t>
      </w:r>
      <w:bookmarkStart w:id="69" w:name="_Hlk198288843"/>
      <w:r>
        <w:rPr>
          <w:rFonts w:hint="eastAsia" w:ascii="宋体" w:hAnsi="宋体" w:eastAsia="宋体" w:cs="宋体"/>
          <w:color w:val="auto"/>
          <w:sz w:val="21"/>
          <w:szCs w:val="21"/>
          <w:u w:val="none"/>
          <w:shd w:val="clear" w:color="auto" w:fill="auto"/>
          <w:lang w:val="en-US" w:eastAsia="zh-CN"/>
        </w:rPr>
        <w:t>由受托方（中标方）</w:t>
      </w:r>
      <w:bookmarkEnd w:id="69"/>
      <w:r>
        <w:rPr>
          <w:rFonts w:hint="eastAsia" w:ascii="宋体" w:hAnsi="宋体" w:eastAsia="宋体" w:cs="宋体"/>
          <w:color w:val="auto"/>
          <w:sz w:val="21"/>
          <w:szCs w:val="21"/>
          <w:u w:val="none"/>
          <w:shd w:val="clear" w:color="auto" w:fill="auto"/>
          <w:lang w:val="en-US" w:eastAsia="zh-CN"/>
        </w:rPr>
        <w:t>管理，相关的服务费由受托方(中标方)在银行开设受委托方(实践基地)、受托方(中标方)与银行三方共管的账户，经</w:t>
      </w:r>
      <w:r>
        <w:rPr>
          <w:rFonts w:hint="eastAsia" w:ascii="宋体" w:hAnsi="宋体" w:eastAsia="宋体" w:cs="宋体"/>
          <w:color w:val="auto"/>
          <w:sz w:val="21"/>
          <w:szCs w:val="21"/>
          <w:highlight w:val="none"/>
          <w:u w:val="none"/>
          <w:shd w:val="clear" w:color="auto" w:fill="auto"/>
          <w:lang w:val="en-US" w:eastAsia="zh-CN"/>
        </w:rPr>
        <w:t>委托方</w:t>
      </w:r>
      <w:r>
        <w:rPr>
          <w:rFonts w:hint="eastAsia" w:ascii="宋体" w:hAnsi="宋体" w:eastAsia="宋体" w:cs="宋体"/>
          <w:color w:val="auto"/>
          <w:sz w:val="21"/>
          <w:szCs w:val="21"/>
          <w:u w:val="none"/>
          <w:shd w:val="clear" w:color="auto" w:fill="auto"/>
          <w:lang w:val="en-US" w:eastAsia="zh-CN"/>
        </w:rPr>
        <w:t>审核同意后从三方共管账户中支付。</w:t>
      </w:r>
    </w:p>
    <w:p w14:paraId="68C0772F">
      <w:pPr>
        <w:numPr>
          <w:ilvl w:val="0"/>
          <w:numId w:val="6"/>
        </w:numPr>
        <w:spacing w:line="360" w:lineRule="auto"/>
        <w:ind w:firstLine="420" w:firstLineChars="200"/>
        <w:rPr>
          <w:rFonts w:hint="eastAsia" w:ascii="宋体" w:hAnsi="宋体" w:eastAsia="宋体" w:cs="宋体"/>
          <w:color w:val="auto"/>
          <w:sz w:val="21"/>
          <w:szCs w:val="21"/>
          <w:u w:val="none"/>
          <w:shd w:val="clear" w:color="auto" w:fill="auto"/>
          <w:lang w:val="en-US" w:eastAsia="zh-CN"/>
        </w:rPr>
      </w:pPr>
      <w:r>
        <w:rPr>
          <w:rFonts w:hint="eastAsia" w:ascii="宋体" w:hAnsi="宋体" w:eastAsia="宋体" w:cs="宋体"/>
          <w:color w:val="auto"/>
          <w:sz w:val="21"/>
          <w:szCs w:val="21"/>
          <w:u w:val="none"/>
          <w:shd w:val="clear" w:color="auto" w:fill="auto"/>
          <w:lang w:val="en-US" w:eastAsia="zh-CN"/>
        </w:rPr>
        <w:t>待以上合同履约完成后，由</w:t>
      </w:r>
      <w:bookmarkStart w:id="70" w:name="OLE_LINK27"/>
      <w:r>
        <w:rPr>
          <w:rFonts w:hint="eastAsia" w:ascii="宋体" w:hAnsi="宋体" w:eastAsia="宋体" w:cs="宋体"/>
          <w:color w:val="auto"/>
          <w:sz w:val="21"/>
          <w:szCs w:val="21"/>
          <w:u w:val="none"/>
          <w:shd w:val="clear" w:color="auto" w:fill="auto"/>
          <w:lang w:val="en-US" w:eastAsia="zh-CN"/>
        </w:rPr>
        <w:t>受托方（中标方）</w:t>
      </w:r>
      <w:bookmarkEnd w:id="70"/>
      <w:r>
        <w:rPr>
          <w:rFonts w:hint="eastAsia" w:ascii="宋体" w:hAnsi="宋体" w:eastAsia="宋体" w:cs="宋体"/>
          <w:color w:val="auto"/>
          <w:sz w:val="21"/>
          <w:szCs w:val="21"/>
          <w:u w:val="none"/>
          <w:shd w:val="clear" w:color="auto" w:fill="auto"/>
          <w:lang w:val="en-US" w:eastAsia="zh-CN"/>
        </w:rPr>
        <w:t>依法依规，提供相对应的服务，相关的管理责任、费用由受托方（中标方）负责，接受委托方（实践基地）的监管。</w:t>
      </w:r>
    </w:p>
    <w:p w14:paraId="11A6E7E3">
      <w:pPr>
        <w:numPr>
          <w:ilvl w:val="0"/>
          <w:numId w:val="6"/>
        </w:numPr>
        <w:spacing w:line="360" w:lineRule="auto"/>
        <w:ind w:firstLine="420" w:firstLineChars="200"/>
        <w:rPr>
          <w:rFonts w:hint="eastAsia" w:ascii="宋体" w:hAnsi="宋体" w:eastAsia="宋体" w:cs="宋体"/>
          <w:color w:val="auto"/>
          <w:sz w:val="21"/>
          <w:szCs w:val="21"/>
          <w:u w:val="none"/>
          <w:shd w:val="clear" w:color="auto" w:fill="auto"/>
          <w:lang w:val="en-US" w:eastAsia="zh-CN"/>
        </w:rPr>
      </w:pPr>
      <w:r>
        <w:rPr>
          <w:rFonts w:hint="eastAsia" w:ascii="宋体" w:hAnsi="宋体" w:eastAsia="宋体" w:cs="宋体"/>
          <w:color w:val="auto"/>
          <w:sz w:val="21"/>
          <w:szCs w:val="21"/>
          <w:u w:val="none"/>
          <w:shd w:val="clear" w:color="auto" w:fill="auto"/>
          <w:lang w:val="en-US" w:eastAsia="zh-CN"/>
        </w:rPr>
        <w:t>投标人取得本项目中标资格后，合同签订前须在项目所在地（曲江区内）成立项目运营公司，项目公司享有中标人项下权力和承担的义务，且由项目公司负责本项目的运营、维护与移交，须签订三方协议。</w:t>
      </w:r>
    </w:p>
    <w:p w14:paraId="53330D8D">
      <w:pPr>
        <w:keepNext w:val="0"/>
        <w:keepLines w:val="0"/>
        <w:pageBreakBefore w:val="0"/>
        <w:widowControl w:val="0"/>
        <w:numPr>
          <w:ilvl w:val="0"/>
          <w:numId w:val="0"/>
        </w:numPr>
        <w:kinsoku/>
        <w:wordWrap/>
        <w:overflowPunct/>
        <w:topLinePunct w:val="0"/>
        <w:autoSpaceDN/>
        <w:bidi w:val="0"/>
        <w:adjustRightInd/>
        <w:snapToGrid/>
        <w:spacing w:line="560" w:lineRule="exact"/>
        <w:textAlignment w:val="auto"/>
        <w:rPr>
          <w:rFonts w:hint="default" w:ascii="宋体" w:hAnsi="宋体" w:eastAsia="宋体" w:cs="宋体"/>
          <w:b/>
          <w:bCs/>
          <w:color w:val="auto"/>
          <w:sz w:val="21"/>
          <w:szCs w:val="21"/>
          <w:u w:val="none"/>
          <w:shd w:val="clear" w:color="auto" w:fill="auto"/>
          <w:lang w:val="en-US" w:eastAsia="zh-CN"/>
        </w:rPr>
      </w:pPr>
      <w:r>
        <w:rPr>
          <w:rFonts w:hint="eastAsia" w:ascii="宋体" w:hAnsi="宋体" w:eastAsia="宋体" w:cs="宋体"/>
          <w:b/>
          <w:bCs/>
          <w:color w:val="auto"/>
          <w:sz w:val="21"/>
          <w:szCs w:val="21"/>
          <w:u w:val="none"/>
          <w:shd w:val="clear" w:color="auto" w:fill="auto"/>
          <w:lang w:val="en-US" w:eastAsia="zh-CN"/>
        </w:rPr>
        <w:t>九、退出机制（中标人出现以下情形之一，招标人可单方终止合同）</w:t>
      </w:r>
    </w:p>
    <w:p w14:paraId="61D53A6A">
      <w:pPr>
        <w:spacing w:line="360" w:lineRule="auto"/>
        <w:ind w:firstLine="420" w:firstLineChars="200"/>
        <w:rPr>
          <w:rFonts w:hint="eastAsia" w:ascii="宋体" w:hAnsi="宋体" w:eastAsia="宋体" w:cs="宋体"/>
          <w:color w:val="auto"/>
          <w:sz w:val="21"/>
          <w:szCs w:val="21"/>
          <w:u w:val="none"/>
          <w:shd w:val="clear" w:color="auto" w:fill="auto"/>
          <w:lang w:val="en-US" w:eastAsia="zh-CN"/>
        </w:rPr>
      </w:pPr>
      <w:r>
        <w:rPr>
          <w:rFonts w:hint="eastAsia" w:ascii="宋体" w:hAnsi="宋体" w:eastAsia="宋体" w:cs="宋体"/>
          <w:color w:val="auto"/>
          <w:sz w:val="21"/>
          <w:szCs w:val="21"/>
          <w:u w:val="none"/>
          <w:shd w:val="clear" w:color="auto" w:fill="auto"/>
          <w:lang w:val="en-US" w:eastAsia="zh-CN"/>
        </w:rPr>
        <w:t>1.在招投标过程中以弄虚作假等欺诈手段谋取中标的，或运营过程中，中标人未能按招标文件、投标文件及合同相关规定完成项目工作事项的，招标人有权单方面立即终止合同；</w:t>
      </w:r>
    </w:p>
    <w:p w14:paraId="3DFE6442">
      <w:pPr>
        <w:spacing w:line="360" w:lineRule="auto"/>
        <w:ind w:firstLine="420" w:firstLineChars="200"/>
        <w:rPr>
          <w:rFonts w:hint="eastAsia" w:ascii="宋体" w:hAnsi="宋体" w:eastAsia="宋体" w:cs="宋体"/>
          <w:color w:val="auto"/>
          <w:sz w:val="21"/>
          <w:szCs w:val="21"/>
          <w:u w:val="none"/>
          <w:shd w:val="clear" w:color="auto" w:fill="auto"/>
          <w:lang w:val="en-US" w:eastAsia="zh-CN"/>
        </w:rPr>
      </w:pPr>
      <w:r>
        <w:rPr>
          <w:rFonts w:hint="eastAsia" w:ascii="宋体" w:hAnsi="宋体" w:eastAsia="宋体" w:cs="宋体"/>
          <w:color w:val="auto"/>
          <w:sz w:val="21"/>
          <w:szCs w:val="21"/>
          <w:u w:val="none"/>
          <w:shd w:val="clear" w:color="auto" w:fill="auto"/>
          <w:lang w:val="en-US" w:eastAsia="zh-CN"/>
        </w:rPr>
        <w:t>2.中标人不得将本项目转包、分包，否则招标人有权单方面终止合同，由此产生的一切经济损失由中标人承担；</w:t>
      </w:r>
    </w:p>
    <w:p w14:paraId="36ABD0C6">
      <w:pPr>
        <w:spacing w:line="360" w:lineRule="auto"/>
        <w:ind w:firstLine="420" w:firstLineChars="200"/>
        <w:rPr>
          <w:rFonts w:hint="default" w:ascii="宋体" w:hAnsi="宋体" w:eastAsia="宋体" w:cs="宋体"/>
          <w:strike w:val="0"/>
          <w:color w:val="auto"/>
          <w:sz w:val="21"/>
          <w:szCs w:val="21"/>
          <w:u w:val="none"/>
          <w:shd w:val="clear" w:color="auto" w:fill="auto"/>
          <w:lang w:val="en-US" w:eastAsia="zh-CN"/>
        </w:rPr>
      </w:pPr>
      <w:r>
        <w:rPr>
          <w:rFonts w:hint="eastAsia" w:ascii="宋体" w:hAnsi="宋体" w:eastAsia="宋体" w:cs="宋体"/>
          <w:color w:val="auto"/>
          <w:sz w:val="21"/>
          <w:szCs w:val="21"/>
          <w:u w:val="none"/>
          <w:shd w:val="clear" w:color="auto" w:fill="auto"/>
          <w:lang w:val="en-US" w:eastAsia="zh-CN"/>
        </w:rPr>
        <w:t>3.</w:t>
      </w:r>
      <w:r>
        <w:rPr>
          <w:rFonts w:hint="eastAsia" w:ascii="宋体" w:hAnsi="宋体" w:eastAsia="宋体" w:cs="宋体"/>
          <w:strike w:val="0"/>
          <w:dstrike w:val="0"/>
          <w:color w:val="auto"/>
          <w:sz w:val="21"/>
          <w:szCs w:val="21"/>
          <w:u w:val="none"/>
          <w:shd w:val="clear" w:color="auto" w:fill="auto"/>
          <w:lang w:val="en-US" w:eastAsia="zh-CN"/>
        </w:rPr>
        <w:t>在服务期内的学期考核中连续2次不合格，招标人有权单方面终止合同</w:t>
      </w:r>
      <w:bookmarkStart w:id="71" w:name="OLE_LINK31"/>
      <w:r>
        <w:rPr>
          <w:rFonts w:hint="eastAsia" w:ascii="宋体" w:hAnsi="宋体" w:eastAsia="宋体" w:cs="宋体"/>
          <w:strike w:val="0"/>
          <w:dstrike w:val="0"/>
          <w:color w:val="auto"/>
          <w:sz w:val="21"/>
          <w:szCs w:val="21"/>
          <w:u w:val="none"/>
          <w:shd w:val="clear" w:color="auto" w:fill="auto"/>
          <w:lang w:val="en-US" w:eastAsia="zh-CN"/>
        </w:rPr>
        <w:t>；</w:t>
      </w:r>
      <w:bookmarkEnd w:id="71"/>
    </w:p>
    <w:p w14:paraId="04726A61">
      <w:pPr>
        <w:spacing w:line="360" w:lineRule="auto"/>
        <w:ind w:firstLine="420" w:firstLineChars="200"/>
        <w:rPr>
          <w:rFonts w:hint="default" w:ascii="宋体" w:hAnsi="宋体" w:eastAsia="宋体" w:cs="宋体"/>
          <w:color w:val="auto"/>
          <w:sz w:val="21"/>
          <w:szCs w:val="21"/>
          <w:u w:val="none"/>
          <w:shd w:val="clear" w:color="auto" w:fill="auto"/>
          <w:lang w:val="en-US" w:eastAsia="zh-CN"/>
        </w:rPr>
      </w:pPr>
      <w:r>
        <w:rPr>
          <w:rFonts w:hint="eastAsia" w:ascii="宋体" w:hAnsi="宋体" w:eastAsia="宋体" w:cs="宋体"/>
          <w:color w:val="auto"/>
          <w:sz w:val="21"/>
          <w:szCs w:val="21"/>
          <w:u w:val="none"/>
          <w:shd w:val="clear" w:color="auto" w:fill="auto"/>
          <w:lang w:val="en-US" w:eastAsia="zh-CN"/>
        </w:rPr>
        <w:t>4.发生重大安全责任事故(如食品安全、设施安全、管理不到位导致人员伤亡等)</w:t>
      </w:r>
      <w:r>
        <w:rPr>
          <w:rFonts w:hint="eastAsia" w:ascii="宋体" w:hAnsi="宋体" w:eastAsia="宋体" w:cs="宋体"/>
          <w:strike w:val="0"/>
          <w:dstrike w:val="0"/>
          <w:color w:val="auto"/>
          <w:sz w:val="21"/>
          <w:szCs w:val="21"/>
          <w:u w:val="none"/>
          <w:shd w:val="clear" w:color="auto" w:fill="auto"/>
          <w:lang w:val="en-US" w:eastAsia="zh-CN"/>
        </w:rPr>
        <w:t>；</w:t>
      </w:r>
    </w:p>
    <w:p w14:paraId="79BFA990">
      <w:pPr>
        <w:spacing w:line="360" w:lineRule="auto"/>
        <w:ind w:firstLine="420" w:firstLineChars="200"/>
        <w:rPr>
          <w:rFonts w:hint="eastAsia" w:ascii="宋体" w:hAnsi="宋体" w:eastAsia="宋体" w:cs="宋体"/>
          <w:color w:val="auto"/>
          <w:sz w:val="21"/>
          <w:szCs w:val="21"/>
          <w:u w:val="none"/>
          <w:shd w:val="clear" w:color="auto" w:fill="auto"/>
          <w:lang w:val="en-US" w:eastAsia="zh-CN"/>
        </w:rPr>
      </w:pPr>
      <w:r>
        <w:rPr>
          <w:rFonts w:hint="eastAsia" w:ascii="宋体" w:hAnsi="宋体" w:eastAsia="宋体" w:cs="宋体"/>
          <w:color w:val="auto"/>
          <w:sz w:val="21"/>
          <w:szCs w:val="21"/>
          <w:u w:val="none"/>
          <w:shd w:val="clear" w:color="auto" w:fill="auto"/>
          <w:lang w:val="en-US" w:eastAsia="zh-CN"/>
        </w:rPr>
        <w:t>5.列入行业重点整治对象的（含省、市研学营地复评不合格）；</w:t>
      </w:r>
    </w:p>
    <w:p w14:paraId="5F907738">
      <w:pPr>
        <w:spacing w:line="360" w:lineRule="auto"/>
        <w:ind w:firstLine="420" w:firstLineChars="200"/>
        <w:rPr>
          <w:rFonts w:hint="eastAsia" w:ascii="宋体" w:hAnsi="宋体" w:eastAsia="宋体" w:cs="宋体"/>
          <w:color w:val="auto"/>
          <w:sz w:val="21"/>
          <w:szCs w:val="21"/>
          <w:u w:val="none"/>
          <w:shd w:val="clear" w:color="auto" w:fill="auto"/>
          <w:lang w:val="en-US" w:eastAsia="zh-CN"/>
        </w:rPr>
      </w:pPr>
      <w:r>
        <w:rPr>
          <w:rFonts w:hint="eastAsia" w:ascii="宋体" w:hAnsi="宋体" w:eastAsia="宋体" w:cs="宋体"/>
          <w:color w:val="auto"/>
          <w:sz w:val="21"/>
          <w:szCs w:val="21"/>
          <w:u w:val="none"/>
          <w:shd w:val="clear" w:color="auto" w:fill="auto"/>
          <w:lang w:val="en-US" w:eastAsia="zh-CN"/>
        </w:rPr>
        <w:t>6.发生严重负面舆情事件的；</w:t>
      </w:r>
    </w:p>
    <w:p w14:paraId="17C96DF8">
      <w:pPr>
        <w:spacing w:line="360" w:lineRule="auto"/>
        <w:ind w:firstLine="420" w:firstLineChars="200"/>
        <w:rPr>
          <w:rFonts w:hint="eastAsia" w:ascii="宋体" w:hAnsi="宋体" w:eastAsia="宋体" w:cs="宋体"/>
          <w:color w:val="auto"/>
          <w:sz w:val="21"/>
          <w:szCs w:val="21"/>
          <w:u w:val="none"/>
          <w:shd w:val="clear" w:color="auto" w:fill="auto"/>
          <w:lang w:val="en-US" w:eastAsia="zh-CN"/>
        </w:rPr>
      </w:pPr>
      <w:r>
        <w:rPr>
          <w:rFonts w:hint="eastAsia" w:ascii="宋体" w:hAnsi="宋体" w:eastAsia="宋体" w:cs="宋体"/>
          <w:color w:val="auto"/>
          <w:sz w:val="21"/>
          <w:szCs w:val="21"/>
          <w:u w:val="none"/>
          <w:shd w:val="clear" w:color="auto" w:fill="auto"/>
          <w:lang w:val="en-US" w:eastAsia="zh-CN"/>
        </w:rPr>
        <w:t>7.发生意识形态安全事件的。</w:t>
      </w:r>
    </w:p>
    <w:p w14:paraId="6B3B400C">
      <w:pPr>
        <w:spacing w:line="360" w:lineRule="auto"/>
        <w:rPr>
          <w:rFonts w:hint="eastAsia" w:ascii="宋体" w:hAnsi="宋体" w:eastAsia="宋体" w:cs="宋体"/>
          <w:color w:val="auto"/>
        </w:rPr>
      </w:pPr>
    </w:p>
    <w:bookmarkEnd w:id="32"/>
    <w:p w14:paraId="15336F94">
      <w:pPr>
        <w:pStyle w:val="9"/>
        <w:rPr>
          <w:rFonts w:hint="eastAsia" w:ascii="宋体" w:hAnsi="宋体" w:eastAsia="宋体" w:cs="宋体"/>
          <w:color w:val="auto"/>
        </w:rPr>
      </w:pPr>
    </w:p>
    <w:p w14:paraId="15301CFF">
      <w:pPr>
        <w:rPr>
          <w:rFonts w:hint="eastAsia" w:ascii="宋体" w:hAnsi="宋体" w:eastAsia="宋体" w:cs="宋体"/>
          <w:color w:val="auto"/>
        </w:rPr>
      </w:pPr>
    </w:p>
    <w:p w14:paraId="17FFA136">
      <w:pPr>
        <w:pStyle w:val="9"/>
        <w:rPr>
          <w:rFonts w:hint="eastAsia" w:ascii="宋体" w:hAnsi="宋体" w:eastAsia="宋体" w:cs="宋体"/>
          <w:color w:val="auto"/>
        </w:rPr>
      </w:pPr>
    </w:p>
    <w:p w14:paraId="6ED055E3">
      <w:pPr>
        <w:rPr>
          <w:rFonts w:hint="eastAsia" w:ascii="宋体" w:hAnsi="宋体" w:eastAsia="宋体" w:cs="宋体"/>
          <w:color w:val="auto"/>
        </w:rPr>
      </w:pPr>
    </w:p>
    <w:p w14:paraId="5E2E8171">
      <w:pPr>
        <w:pStyle w:val="9"/>
        <w:rPr>
          <w:rFonts w:hint="eastAsia" w:ascii="宋体" w:hAnsi="宋体" w:eastAsia="宋体" w:cs="宋体"/>
          <w:color w:val="auto"/>
        </w:rPr>
      </w:pPr>
    </w:p>
    <w:p w14:paraId="29793DAA">
      <w:pPr>
        <w:rPr>
          <w:rFonts w:hint="eastAsia" w:ascii="宋体" w:hAnsi="宋体" w:eastAsia="宋体" w:cs="宋体"/>
          <w:color w:val="auto"/>
        </w:rPr>
      </w:pPr>
    </w:p>
    <w:p w14:paraId="2C65E6AB">
      <w:pPr>
        <w:rPr>
          <w:rFonts w:hint="eastAsia" w:ascii="宋体" w:hAnsi="宋体" w:eastAsia="宋体" w:cs="宋体"/>
          <w:color w:val="auto"/>
        </w:rPr>
      </w:pPr>
    </w:p>
    <w:p w14:paraId="0EB3B3AE">
      <w:pPr>
        <w:jc w:val="center"/>
        <w:rPr>
          <w:rFonts w:hint="eastAsia" w:ascii="宋体" w:hAnsi="宋体" w:eastAsia="宋体" w:cs="宋体"/>
          <w:color w:val="auto"/>
        </w:rPr>
      </w:pPr>
      <w:r>
        <w:rPr>
          <w:rFonts w:hint="eastAsia" w:ascii="宋体" w:hAnsi="宋体" w:eastAsia="宋体" w:cs="宋体"/>
          <w:b/>
          <w:color w:val="auto"/>
          <w:kern w:val="44"/>
          <w:sz w:val="44"/>
        </w:rPr>
        <w:t>第四章 评标方法</w:t>
      </w:r>
    </w:p>
    <w:p w14:paraId="4AA2A349">
      <w:pPr>
        <w:adjustRightInd w:val="0"/>
        <w:snapToGrid w:val="0"/>
        <w:ind w:firstLine="420" w:firstLineChars="200"/>
        <w:rPr>
          <w:rFonts w:hint="eastAsia" w:ascii="宋体" w:hAnsi="宋体" w:eastAsia="宋体" w:cs="宋体"/>
          <w:b/>
          <w:color w:val="auto"/>
          <w:kern w:val="0"/>
          <w:szCs w:val="21"/>
        </w:rPr>
      </w:pPr>
      <w:r>
        <w:rPr>
          <w:rFonts w:hint="eastAsia" w:ascii="宋体" w:hAnsi="宋体" w:eastAsia="宋体" w:cs="宋体"/>
          <w:bCs/>
          <w:color w:val="auto"/>
          <w:kern w:val="0"/>
          <w:szCs w:val="21"/>
        </w:rPr>
        <w:t>本项目将按照招标文件第一章投标人须知中“五 开标及评标”、“六 确定中标”及本章的规定评标。</w:t>
      </w:r>
    </w:p>
    <w:p w14:paraId="55621181">
      <w:pPr>
        <w:adjustRightInd w:val="0"/>
        <w:snapToGrid w:val="0"/>
        <w:ind w:firstLine="422" w:firstLineChars="200"/>
        <w:rPr>
          <w:rFonts w:hint="eastAsia" w:ascii="宋体" w:hAnsi="宋体" w:eastAsia="宋体" w:cs="宋体"/>
          <w:b/>
          <w:color w:val="auto"/>
          <w:kern w:val="0"/>
          <w:szCs w:val="21"/>
        </w:rPr>
      </w:pPr>
      <w:r>
        <w:rPr>
          <w:rFonts w:hint="eastAsia" w:ascii="宋体" w:hAnsi="宋体" w:eastAsia="宋体" w:cs="宋体"/>
          <w:b/>
          <w:color w:val="auto"/>
          <w:kern w:val="0"/>
          <w:szCs w:val="21"/>
        </w:rPr>
        <w:t>一、评标方法</w:t>
      </w:r>
    </w:p>
    <w:p w14:paraId="0EC18CCB">
      <w:pPr>
        <w:adjustRightInd w:val="0"/>
        <w:snapToGrid w:val="0"/>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本项目采用</w:t>
      </w:r>
      <w:r>
        <w:rPr>
          <w:rFonts w:hint="eastAsia" w:ascii="宋体" w:hAnsi="宋体" w:eastAsia="宋体" w:cs="宋体"/>
          <w:color w:val="auto"/>
          <w:kern w:val="0"/>
          <w:szCs w:val="21"/>
          <w:u w:val="single"/>
        </w:rPr>
        <w:t>综合评分法</w:t>
      </w:r>
      <w:r>
        <w:rPr>
          <w:rFonts w:hint="eastAsia" w:ascii="宋体" w:hAnsi="宋体" w:eastAsia="宋体" w:cs="宋体"/>
          <w:color w:val="auto"/>
          <w:kern w:val="0"/>
          <w:szCs w:val="21"/>
        </w:rPr>
        <w:t>进行评标。采用综合评分法时评分标准和评分细则详见后附《评审细则》。</w:t>
      </w:r>
    </w:p>
    <w:p w14:paraId="0FB0630B">
      <w:pPr>
        <w:adjustRightInd w:val="0"/>
        <w:snapToGrid w:val="0"/>
        <w:ind w:firstLine="422" w:firstLineChars="200"/>
        <w:textAlignment w:val="baseline"/>
        <w:rPr>
          <w:rFonts w:hint="eastAsia" w:ascii="宋体" w:hAnsi="宋体" w:eastAsia="宋体" w:cs="宋体"/>
          <w:b/>
          <w:color w:val="auto"/>
          <w:kern w:val="0"/>
          <w:szCs w:val="21"/>
        </w:rPr>
      </w:pPr>
      <w:r>
        <w:rPr>
          <w:rFonts w:hint="eastAsia" w:ascii="宋体" w:hAnsi="宋体" w:eastAsia="宋体" w:cs="宋体"/>
          <w:b/>
          <w:color w:val="auto"/>
          <w:kern w:val="0"/>
          <w:szCs w:val="21"/>
        </w:rPr>
        <w:t>二、评标原则及程序</w:t>
      </w:r>
    </w:p>
    <w:p w14:paraId="37FCF1C1">
      <w:pPr>
        <w:adjustRightInd w:val="0"/>
        <w:snapToGrid w:val="0"/>
        <w:ind w:firstLine="422" w:firstLineChars="200"/>
        <w:textAlignment w:val="baseline"/>
        <w:rPr>
          <w:rFonts w:hint="eastAsia" w:ascii="宋体" w:hAnsi="宋体" w:eastAsia="宋体" w:cs="宋体"/>
          <w:b/>
          <w:color w:val="auto"/>
          <w:kern w:val="0"/>
          <w:szCs w:val="21"/>
        </w:rPr>
      </w:pPr>
      <w:r>
        <w:rPr>
          <w:rFonts w:hint="eastAsia" w:ascii="宋体" w:hAnsi="宋体" w:eastAsia="宋体" w:cs="宋体"/>
          <w:b/>
          <w:color w:val="auto"/>
          <w:kern w:val="0"/>
          <w:szCs w:val="21"/>
        </w:rPr>
        <w:t>（一）评标原则</w:t>
      </w:r>
    </w:p>
    <w:p w14:paraId="2E5C1BE4">
      <w:pPr>
        <w:adjustRightInd w:val="0"/>
        <w:snapToGrid w:val="0"/>
        <w:ind w:firstLine="420" w:firstLineChars="200"/>
        <w:textAlignment w:val="baseline"/>
        <w:rPr>
          <w:rFonts w:hint="eastAsia" w:ascii="宋体" w:hAnsi="宋体" w:eastAsia="宋体" w:cs="宋体"/>
          <w:b/>
          <w:color w:val="auto"/>
          <w:kern w:val="0"/>
          <w:szCs w:val="21"/>
        </w:rPr>
      </w:pPr>
      <w:r>
        <w:rPr>
          <w:rFonts w:hint="eastAsia" w:ascii="宋体" w:hAnsi="宋体" w:eastAsia="宋体" w:cs="宋体"/>
          <w:color w:val="auto"/>
          <w:kern w:val="0"/>
        </w:rPr>
        <w:t>评标委员会应当按照客观、公正、审慎的原则，根据采购文件规定的评审程序、评审方法和评审标准进行独立评审。采购文件内容违反国家有关强制性规定的，评标委员会应当停止评审并向采购人或者采购代理机构说明情况。</w:t>
      </w:r>
    </w:p>
    <w:p w14:paraId="4FA8F674">
      <w:pPr>
        <w:adjustRightInd w:val="0"/>
        <w:snapToGrid w:val="0"/>
        <w:ind w:firstLine="422" w:firstLineChars="200"/>
        <w:textAlignment w:val="baseline"/>
        <w:rPr>
          <w:rFonts w:hint="eastAsia" w:ascii="宋体" w:hAnsi="宋体" w:eastAsia="宋体" w:cs="宋体"/>
          <w:b/>
          <w:color w:val="auto"/>
          <w:kern w:val="0"/>
          <w:szCs w:val="21"/>
        </w:rPr>
      </w:pPr>
      <w:r>
        <w:rPr>
          <w:rFonts w:hint="eastAsia" w:ascii="宋体" w:hAnsi="宋体" w:eastAsia="宋体" w:cs="宋体"/>
          <w:b/>
          <w:color w:val="auto"/>
          <w:kern w:val="0"/>
          <w:szCs w:val="21"/>
        </w:rPr>
        <w:t>（二）评标程序</w:t>
      </w:r>
    </w:p>
    <w:p w14:paraId="2AC3DA49">
      <w:pPr>
        <w:adjustRightInd w:val="0"/>
        <w:snapToGrid w:val="0"/>
        <w:ind w:firstLine="422" w:firstLineChars="200"/>
        <w:textAlignment w:val="baseline"/>
        <w:rPr>
          <w:rFonts w:hint="eastAsia" w:ascii="宋体" w:hAnsi="宋体" w:eastAsia="宋体" w:cs="宋体"/>
          <w:b/>
          <w:color w:val="auto"/>
          <w:kern w:val="0"/>
          <w:szCs w:val="21"/>
        </w:rPr>
      </w:pPr>
      <w:r>
        <w:rPr>
          <w:rFonts w:hint="eastAsia" w:ascii="宋体" w:hAnsi="宋体" w:eastAsia="宋体" w:cs="宋体"/>
          <w:b/>
          <w:color w:val="auto"/>
          <w:kern w:val="0"/>
          <w:szCs w:val="21"/>
        </w:rPr>
        <w:t>1、资格审查</w:t>
      </w:r>
    </w:p>
    <w:p w14:paraId="786641EB">
      <w:pPr>
        <w:adjustRightInd w:val="0"/>
        <w:snapToGrid w:val="0"/>
        <w:ind w:firstLine="420" w:firstLineChars="200"/>
        <w:textAlignment w:val="baseline"/>
        <w:rPr>
          <w:rFonts w:hint="eastAsia" w:ascii="宋体" w:hAnsi="宋体" w:eastAsia="宋体" w:cs="宋体"/>
          <w:color w:val="auto"/>
          <w:kern w:val="0"/>
          <w:szCs w:val="21"/>
        </w:rPr>
      </w:pPr>
      <w:r>
        <w:rPr>
          <w:rFonts w:hint="eastAsia" w:ascii="宋体" w:hAnsi="宋体" w:eastAsia="宋体" w:cs="宋体"/>
          <w:color w:val="auto"/>
          <w:kern w:val="0"/>
          <w:szCs w:val="21"/>
        </w:rPr>
        <w:t>1.1详见投标人须知22条。资格审查表详见本章附件1。</w:t>
      </w:r>
    </w:p>
    <w:p w14:paraId="2D18F3DE">
      <w:pPr>
        <w:adjustRightInd w:val="0"/>
        <w:snapToGrid w:val="0"/>
        <w:ind w:firstLine="422" w:firstLineChars="200"/>
        <w:rPr>
          <w:rFonts w:hint="eastAsia" w:ascii="宋体" w:hAnsi="宋体" w:eastAsia="宋体" w:cs="宋体"/>
          <w:b/>
          <w:bCs/>
          <w:color w:val="auto"/>
          <w:kern w:val="0"/>
          <w:szCs w:val="21"/>
        </w:rPr>
      </w:pPr>
      <w:r>
        <w:rPr>
          <w:rFonts w:hint="eastAsia" w:ascii="宋体" w:hAnsi="宋体" w:eastAsia="宋体" w:cs="宋体"/>
          <w:b/>
          <w:bCs/>
          <w:color w:val="auto"/>
          <w:kern w:val="0"/>
          <w:szCs w:val="21"/>
        </w:rPr>
        <w:t>2、符合性审查</w:t>
      </w:r>
    </w:p>
    <w:p w14:paraId="024F1A06">
      <w:pPr>
        <w:adjustRightInd w:val="0"/>
        <w:snapToGrid w:val="0"/>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2.1详见投标人须知23条。符合性审查表详见本章附件2。</w:t>
      </w:r>
    </w:p>
    <w:p w14:paraId="049BFF16">
      <w:pPr>
        <w:adjustRightInd w:val="0"/>
        <w:snapToGrid w:val="0"/>
        <w:ind w:firstLine="422" w:firstLineChars="200"/>
        <w:rPr>
          <w:rFonts w:hint="eastAsia" w:ascii="宋体" w:hAnsi="宋体" w:eastAsia="宋体" w:cs="宋体"/>
          <w:b/>
          <w:color w:val="auto"/>
          <w:kern w:val="0"/>
          <w:szCs w:val="21"/>
        </w:rPr>
      </w:pPr>
      <w:r>
        <w:rPr>
          <w:rFonts w:hint="eastAsia" w:ascii="宋体" w:hAnsi="宋体" w:eastAsia="宋体" w:cs="宋体"/>
          <w:b/>
          <w:color w:val="auto"/>
          <w:kern w:val="0"/>
          <w:szCs w:val="21"/>
        </w:rPr>
        <w:t>3、样品及演示</w:t>
      </w:r>
    </w:p>
    <w:p w14:paraId="3F36A9F0">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3.1</w:t>
      </w:r>
      <w:r>
        <w:rPr>
          <w:rFonts w:hint="eastAsia" w:ascii="宋体" w:hAnsi="宋体" w:eastAsia="宋体" w:cs="宋体"/>
          <w:color w:val="auto"/>
          <w:kern w:val="0"/>
          <w:szCs w:val="21"/>
        </w:rPr>
        <w:t>投标人须知表11.3条</w:t>
      </w:r>
      <w:r>
        <w:rPr>
          <w:rFonts w:hint="eastAsia" w:ascii="宋体" w:hAnsi="宋体" w:eastAsia="宋体" w:cs="宋体"/>
          <w:color w:val="auto"/>
          <w:szCs w:val="21"/>
        </w:rPr>
        <w:t>中要求投标人提供样品或演示的，按照</w:t>
      </w:r>
      <w:r>
        <w:rPr>
          <w:rFonts w:hint="eastAsia" w:ascii="宋体" w:hAnsi="宋体" w:eastAsia="宋体" w:cs="宋体"/>
          <w:color w:val="auto"/>
          <w:kern w:val="0"/>
          <w:szCs w:val="21"/>
        </w:rPr>
        <w:t>投标人须知表25.1条</w:t>
      </w:r>
      <w:r>
        <w:rPr>
          <w:rFonts w:hint="eastAsia" w:ascii="宋体" w:hAnsi="宋体" w:eastAsia="宋体" w:cs="宋体"/>
          <w:color w:val="auto"/>
          <w:szCs w:val="21"/>
        </w:rPr>
        <w:t>中确定的评审方法以及评审标准进行评审。(样品或演示属于符合性审查的，按照</w:t>
      </w:r>
      <w:r>
        <w:rPr>
          <w:rFonts w:hint="eastAsia" w:ascii="宋体" w:hAnsi="宋体" w:eastAsia="宋体" w:cs="宋体"/>
          <w:color w:val="auto"/>
          <w:kern w:val="0"/>
          <w:szCs w:val="21"/>
        </w:rPr>
        <w:t>投标人须知22条</w:t>
      </w:r>
      <w:r>
        <w:rPr>
          <w:rFonts w:hint="eastAsia" w:ascii="宋体" w:hAnsi="宋体" w:eastAsia="宋体" w:cs="宋体"/>
          <w:color w:val="auto"/>
          <w:szCs w:val="21"/>
        </w:rPr>
        <w:t>规定执行）</w:t>
      </w:r>
    </w:p>
    <w:p w14:paraId="1DB1D32E">
      <w:pPr>
        <w:adjustRightInd w:val="0"/>
        <w:snapToGrid w:val="0"/>
        <w:ind w:firstLine="422" w:firstLineChars="200"/>
        <w:rPr>
          <w:rFonts w:hint="eastAsia" w:ascii="宋体" w:hAnsi="宋体" w:eastAsia="宋体" w:cs="宋体"/>
          <w:b/>
          <w:bCs/>
          <w:color w:val="auto"/>
          <w:kern w:val="0"/>
          <w:szCs w:val="21"/>
        </w:rPr>
      </w:pPr>
      <w:r>
        <w:rPr>
          <w:rFonts w:hint="eastAsia" w:ascii="宋体" w:hAnsi="宋体" w:eastAsia="宋体" w:cs="宋体"/>
          <w:b/>
          <w:color w:val="auto"/>
          <w:kern w:val="0"/>
          <w:szCs w:val="21"/>
        </w:rPr>
        <w:t>4</w:t>
      </w:r>
      <w:r>
        <w:rPr>
          <w:rFonts w:hint="eastAsia" w:ascii="宋体" w:hAnsi="宋体" w:eastAsia="宋体" w:cs="宋体"/>
          <w:b/>
          <w:bCs/>
          <w:color w:val="auto"/>
          <w:kern w:val="0"/>
          <w:szCs w:val="21"/>
        </w:rPr>
        <w:t>、同一品牌产品</w:t>
      </w:r>
    </w:p>
    <w:p w14:paraId="6B781D1A">
      <w:pPr>
        <w:adjustRightInd w:val="0"/>
        <w:snapToGrid w:val="0"/>
        <w:ind w:firstLine="420" w:firstLineChars="200"/>
        <w:rPr>
          <w:rFonts w:hint="eastAsia" w:ascii="宋体" w:hAnsi="宋体" w:eastAsia="宋体" w:cs="宋体"/>
          <w:b/>
          <w:bCs/>
          <w:color w:val="auto"/>
          <w:szCs w:val="21"/>
        </w:rPr>
      </w:pPr>
      <w:r>
        <w:rPr>
          <w:rFonts w:hint="eastAsia" w:ascii="宋体" w:hAnsi="宋体" w:eastAsia="宋体" w:cs="宋体"/>
          <w:color w:val="auto"/>
          <w:szCs w:val="21"/>
        </w:rPr>
        <w:t>4.1通过资格审查、符合性审查的不同品牌投标人不足3家的，按照</w:t>
      </w:r>
      <w:r>
        <w:rPr>
          <w:rFonts w:hint="eastAsia" w:ascii="宋体" w:hAnsi="宋体" w:eastAsia="宋体" w:cs="宋体"/>
          <w:color w:val="auto"/>
          <w:kern w:val="0"/>
          <w:szCs w:val="21"/>
        </w:rPr>
        <w:t>投标人须知28条第（1）款</w:t>
      </w:r>
      <w:r>
        <w:rPr>
          <w:rFonts w:hint="eastAsia" w:ascii="宋体" w:hAnsi="宋体" w:eastAsia="宋体" w:cs="宋体"/>
          <w:color w:val="auto"/>
          <w:szCs w:val="21"/>
        </w:rPr>
        <w:t>执行</w:t>
      </w:r>
      <w:r>
        <w:rPr>
          <w:rFonts w:hint="eastAsia" w:ascii="宋体" w:hAnsi="宋体" w:eastAsia="宋体" w:cs="宋体"/>
          <w:color w:val="auto"/>
          <w:kern w:val="0"/>
          <w:szCs w:val="21"/>
        </w:rPr>
        <w:t>。</w:t>
      </w:r>
    </w:p>
    <w:p w14:paraId="1980785D">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4.2提供相同品牌产品且通过资格审查、符合性审查的不同投标人，按一家投标人计算。</w:t>
      </w:r>
    </w:p>
    <w:p w14:paraId="583DA887">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4.3如一个分包内只有一种产品，不同投标人所投产品为同一品牌的，按如下方式处理：</w:t>
      </w:r>
    </w:p>
    <w:p w14:paraId="0C9B3853">
      <w:pPr>
        <w:numPr>
          <w:ilvl w:val="0"/>
          <w:numId w:val="7"/>
        </w:num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如本项目使用最低评标价法，提供相同品牌产品的不同投标人以其中通过资格审查、符合性审查且报价最低的参加比较及评价；报价相同的，按</w:t>
      </w:r>
      <w:r>
        <w:rPr>
          <w:rFonts w:hint="eastAsia" w:ascii="宋体" w:hAnsi="宋体" w:eastAsia="宋体" w:cs="宋体"/>
          <w:color w:val="auto"/>
          <w:kern w:val="0"/>
          <w:szCs w:val="21"/>
        </w:rPr>
        <w:t>本章第8条</w:t>
      </w:r>
      <w:r>
        <w:rPr>
          <w:rFonts w:hint="eastAsia" w:ascii="宋体" w:hAnsi="宋体" w:eastAsia="宋体" w:cs="宋体"/>
          <w:color w:val="auto"/>
          <w:szCs w:val="21"/>
        </w:rPr>
        <w:t>“推荐中标候选人的原则”规定执行；未规定的采取随机抽取方式确定，其他</w:t>
      </w:r>
      <w:r>
        <w:rPr>
          <w:rFonts w:hint="eastAsia" w:ascii="宋体" w:hAnsi="宋体" w:eastAsia="宋体" w:cs="宋体"/>
          <w:b/>
          <w:bCs/>
          <w:color w:val="auto"/>
          <w:szCs w:val="21"/>
        </w:rPr>
        <w:t>投标无效</w:t>
      </w:r>
      <w:r>
        <w:rPr>
          <w:rFonts w:hint="eastAsia" w:ascii="宋体" w:hAnsi="宋体" w:eastAsia="宋体" w:cs="宋体"/>
          <w:color w:val="auto"/>
          <w:szCs w:val="21"/>
        </w:rPr>
        <w:t>。</w:t>
      </w:r>
    </w:p>
    <w:p w14:paraId="68187207">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2）如本项目使用综合评分法，评审后得分最高的同品牌投标人获得中标人推荐资格；评审得分相同的，按本章第8条“推荐中标候选人的原则”规定执行；未规定的采取随机抽取方式确定，其他同品牌投标人不作为中标候选人。</w:t>
      </w:r>
    </w:p>
    <w:p w14:paraId="08A11B2C">
      <w:pPr>
        <w:adjustRightInd w:val="0"/>
        <w:snapToGrid w:val="0"/>
        <w:ind w:firstLine="420" w:firstLineChars="200"/>
        <w:rPr>
          <w:rFonts w:hint="eastAsia" w:ascii="宋体" w:hAnsi="宋体" w:eastAsia="宋体" w:cs="宋体"/>
          <w:color w:val="auto"/>
          <w:kern w:val="0"/>
          <w:szCs w:val="21"/>
        </w:rPr>
      </w:pPr>
      <w:r>
        <w:rPr>
          <w:rFonts w:hint="eastAsia" w:ascii="宋体" w:hAnsi="宋体" w:eastAsia="宋体" w:cs="宋体"/>
          <w:color w:val="auto"/>
          <w:szCs w:val="21"/>
        </w:rPr>
        <w:t>4.4如一个分包内包含多种产品的，采购人或采购代理机构将在招标文件中载明核心产品，多家投标人提供的核心产品品牌相同的，</w:t>
      </w:r>
      <w:r>
        <w:rPr>
          <w:rFonts w:hint="eastAsia" w:ascii="宋体" w:hAnsi="宋体" w:eastAsia="宋体" w:cs="宋体"/>
          <w:color w:val="auto"/>
          <w:kern w:val="0"/>
          <w:szCs w:val="21"/>
        </w:rPr>
        <w:t>按本章第4.3条规定处理。</w:t>
      </w:r>
    </w:p>
    <w:p w14:paraId="6CB3858C">
      <w:pPr>
        <w:adjustRightInd w:val="0"/>
        <w:snapToGrid w:val="0"/>
        <w:ind w:firstLine="422" w:firstLineChars="200"/>
        <w:rPr>
          <w:rFonts w:hint="eastAsia" w:ascii="宋体" w:hAnsi="宋体" w:eastAsia="宋体" w:cs="宋体"/>
          <w:b/>
          <w:bCs/>
          <w:color w:val="auto"/>
          <w:kern w:val="0"/>
          <w:szCs w:val="21"/>
        </w:rPr>
      </w:pPr>
      <w:r>
        <w:rPr>
          <w:rFonts w:hint="eastAsia" w:ascii="宋体" w:hAnsi="宋体" w:eastAsia="宋体" w:cs="宋体"/>
          <w:b/>
          <w:color w:val="auto"/>
          <w:kern w:val="0"/>
          <w:szCs w:val="21"/>
        </w:rPr>
        <w:t>5</w:t>
      </w:r>
      <w:r>
        <w:rPr>
          <w:rFonts w:hint="eastAsia" w:ascii="宋体" w:hAnsi="宋体" w:eastAsia="宋体" w:cs="宋体"/>
          <w:b/>
          <w:bCs/>
          <w:color w:val="auto"/>
          <w:kern w:val="0"/>
          <w:szCs w:val="21"/>
        </w:rPr>
        <w:t>、比较及评价</w:t>
      </w:r>
    </w:p>
    <w:p w14:paraId="26F03492">
      <w:pPr>
        <w:adjustRightInd w:val="0"/>
        <w:snapToGrid w:val="0"/>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5.1评标委员会对通过符合性审查的投标文件进行比较和评价。</w:t>
      </w:r>
    </w:p>
    <w:p w14:paraId="2D59B570">
      <w:pPr>
        <w:adjustRightInd w:val="0"/>
        <w:snapToGrid w:val="0"/>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5.2在评标期间，对投标文件的澄清按投标人须知24条内容执行。</w:t>
      </w:r>
    </w:p>
    <w:p w14:paraId="6505C644">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5.3评标委员会认为投标人的报价明显低于其他通过符合性审查的投标人报价，有可能影响产品质量或者不能诚信履约的，评标委员会应当要求其在评标现场合理的时间（</w:t>
      </w:r>
      <w:r>
        <w:rPr>
          <w:rFonts w:hint="eastAsia" w:ascii="宋体" w:hAnsi="宋体" w:eastAsia="宋体" w:cs="宋体"/>
          <w:color w:val="auto"/>
          <w:kern w:val="0"/>
          <w:szCs w:val="21"/>
        </w:rPr>
        <w:t>接到通知后</w:t>
      </w:r>
      <w:r>
        <w:rPr>
          <w:rFonts w:hint="eastAsia" w:ascii="宋体" w:hAnsi="宋体" w:eastAsia="宋体" w:cs="宋体"/>
          <w:color w:val="auto"/>
          <w:kern w:val="0"/>
          <w:szCs w:val="21"/>
          <w:u w:val="single"/>
        </w:rPr>
        <w:t xml:space="preserve"> 0.5 </w:t>
      </w:r>
      <w:r>
        <w:rPr>
          <w:rFonts w:hint="eastAsia" w:ascii="宋体" w:hAnsi="宋体" w:eastAsia="宋体" w:cs="宋体"/>
          <w:color w:val="auto"/>
          <w:kern w:val="0"/>
          <w:szCs w:val="21"/>
        </w:rPr>
        <w:t>小时</w:t>
      </w:r>
      <w:r>
        <w:rPr>
          <w:rFonts w:hint="eastAsia" w:ascii="宋体" w:hAnsi="宋体" w:eastAsia="宋体" w:cs="宋体"/>
          <w:color w:val="auto"/>
          <w:szCs w:val="21"/>
        </w:rPr>
        <w:t>）内提供书面说明，并提交相关证明材料，</w:t>
      </w:r>
      <w:r>
        <w:rPr>
          <w:rFonts w:hint="eastAsia" w:ascii="宋体" w:hAnsi="宋体" w:eastAsia="宋体" w:cs="宋体"/>
          <w:color w:val="auto"/>
          <w:kern w:val="0"/>
          <w:szCs w:val="21"/>
        </w:rPr>
        <w:t>投标人不能证明其报价合理性的，评标委员会应当将</w:t>
      </w:r>
      <w:r>
        <w:rPr>
          <w:rFonts w:hint="eastAsia" w:ascii="宋体" w:hAnsi="宋体" w:eastAsia="宋体" w:cs="宋体"/>
          <w:color w:val="auto"/>
          <w:szCs w:val="21"/>
        </w:rPr>
        <w:t>其投标作为</w:t>
      </w:r>
      <w:r>
        <w:rPr>
          <w:rFonts w:hint="eastAsia" w:ascii="宋体" w:hAnsi="宋体" w:eastAsia="宋体" w:cs="宋体"/>
          <w:b/>
          <w:bCs/>
          <w:color w:val="auto"/>
          <w:szCs w:val="21"/>
        </w:rPr>
        <w:t>无效投标处理</w:t>
      </w:r>
      <w:r>
        <w:rPr>
          <w:rFonts w:hint="eastAsia" w:ascii="宋体" w:hAnsi="宋体" w:eastAsia="宋体" w:cs="宋体"/>
          <w:color w:val="auto"/>
          <w:szCs w:val="21"/>
        </w:rPr>
        <w:t>。</w:t>
      </w:r>
    </w:p>
    <w:p w14:paraId="6323AD4F">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投标人的书面说明材料包含货物本身成本、人工费用、运输、税收等，以及报价不会影响产品质量或诚信履约能力的说明等。</w:t>
      </w:r>
    </w:p>
    <w:p w14:paraId="5A4ABAF9">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投标人的书面说明应当签字确认或者加盖公章，否则无效。书面说明的签字确认，由其法定代表人（非法人单位负责人或自然人本人）或者其授权代表签字确认。</w:t>
      </w:r>
    </w:p>
    <w:p w14:paraId="49B7824D">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投标人提供书面说明后，评标委员会应当结合采购项目采购需求、专业实际情况、供应商财务状况报告、与其他投标人比较情况等就投标人的书面说明进行审查评价。投标人如有下列情况的，评标委员会应当将其投标文件作为无效处理：</w:t>
      </w:r>
    </w:p>
    <w:p w14:paraId="141F2E27">
      <w:pPr>
        <w:numPr>
          <w:ilvl w:val="0"/>
          <w:numId w:val="8"/>
        </w:num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拒绝或者变相拒绝提供有效书面说明；</w:t>
      </w:r>
    </w:p>
    <w:p w14:paraId="3AB0D6A5">
      <w:pPr>
        <w:numPr>
          <w:ilvl w:val="0"/>
          <w:numId w:val="8"/>
        </w:num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书面说明不能证明其报价合理性的；</w:t>
      </w:r>
    </w:p>
    <w:p w14:paraId="15EC512B">
      <w:pPr>
        <w:numPr>
          <w:ilvl w:val="0"/>
          <w:numId w:val="8"/>
        </w:num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未在规定时间内递交有效书面说明书的。</w:t>
      </w:r>
    </w:p>
    <w:p w14:paraId="0F364F06">
      <w:pPr>
        <w:adjustRightInd w:val="0"/>
        <w:snapToGrid w:val="0"/>
        <w:ind w:firstLine="422" w:firstLineChars="200"/>
        <w:rPr>
          <w:rFonts w:hint="eastAsia" w:ascii="宋体" w:hAnsi="宋体" w:eastAsia="宋体" w:cs="宋体"/>
          <w:b/>
          <w:bCs/>
          <w:color w:val="auto"/>
          <w:kern w:val="0"/>
          <w:szCs w:val="21"/>
        </w:rPr>
      </w:pPr>
      <w:r>
        <w:rPr>
          <w:rFonts w:hint="eastAsia" w:ascii="宋体" w:hAnsi="宋体" w:eastAsia="宋体" w:cs="宋体"/>
          <w:b/>
          <w:color w:val="auto"/>
          <w:kern w:val="0"/>
          <w:szCs w:val="21"/>
        </w:rPr>
        <w:t>6</w:t>
      </w:r>
      <w:r>
        <w:rPr>
          <w:rFonts w:hint="eastAsia" w:ascii="宋体" w:hAnsi="宋体" w:eastAsia="宋体" w:cs="宋体"/>
          <w:b/>
          <w:bCs/>
          <w:color w:val="auto"/>
          <w:kern w:val="0"/>
          <w:szCs w:val="21"/>
        </w:rPr>
        <w:t>、需落实的政府采购政策性规定：</w:t>
      </w:r>
    </w:p>
    <w:p w14:paraId="74388F47">
      <w:pPr>
        <w:adjustRightInd w:val="0"/>
        <w:snapToGrid w:val="0"/>
        <w:ind w:firstLine="422" w:firstLineChars="200"/>
        <w:rPr>
          <w:rFonts w:hint="eastAsia" w:ascii="宋体" w:hAnsi="宋体" w:eastAsia="宋体" w:cs="宋体"/>
          <w:b/>
          <w:color w:val="auto"/>
          <w:kern w:val="0"/>
          <w:szCs w:val="21"/>
        </w:rPr>
      </w:pPr>
      <w:r>
        <w:rPr>
          <w:rFonts w:hint="eastAsia" w:ascii="宋体" w:hAnsi="宋体" w:eastAsia="宋体" w:cs="宋体"/>
          <w:b/>
          <w:color w:val="auto"/>
          <w:kern w:val="0"/>
          <w:szCs w:val="21"/>
        </w:rPr>
        <w:t>6.1对于中小微企业（含监狱企业</w:t>
      </w:r>
      <w:r>
        <w:rPr>
          <w:rFonts w:hint="eastAsia" w:ascii="宋体" w:hAnsi="宋体" w:eastAsia="宋体" w:cs="宋体"/>
          <w:b/>
          <w:color w:val="auto"/>
          <w:kern w:val="0"/>
          <w:szCs w:val="21"/>
          <w:lang w:eastAsia="zh-CN"/>
        </w:rPr>
        <w:t>、</w:t>
      </w:r>
      <w:r>
        <w:rPr>
          <w:rFonts w:hint="eastAsia" w:ascii="宋体" w:hAnsi="宋体" w:eastAsia="宋体" w:cs="宋体"/>
          <w:b/>
          <w:color w:val="auto"/>
          <w:kern w:val="0"/>
          <w:szCs w:val="21"/>
          <w:lang w:val="en-US" w:eastAsia="zh-CN"/>
        </w:rPr>
        <w:t>残疾人福利性单位</w:t>
      </w:r>
      <w:r>
        <w:rPr>
          <w:rFonts w:hint="eastAsia" w:ascii="宋体" w:hAnsi="宋体" w:eastAsia="宋体" w:cs="宋体"/>
          <w:b/>
          <w:color w:val="auto"/>
          <w:kern w:val="0"/>
          <w:szCs w:val="21"/>
        </w:rPr>
        <w:t>）的相关规定</w:t>
      </w:r>
    </w:p>
    <w:p w14:paraId="1E113D9B">
      <w:pPr>
        <w:adjustRightInd w:val="0"/>
        <w:snapToGrid w:val="0"/>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对于非专门面向中小企业的项目，在满足价格扣除条件且在投标文件中按要求提交了《中小企业声明函》</w:t>
      </w:r>
      <w:r>
        <w:rPr>
          <w:rFonts w:hint="eastAsia" w:ascii="宋体" w:hAnsi="宋体" w:eastAsia="宋体" w:cs="宋体"/>
          <w:color w:val="auto"/>
          <w:szCs w:val="21"/>
          <w:lang w:val="en-US" w:eastAsia="zh-CN"/>
        </w:rPr>
        <w:t>或</w:t>
      </w:r>
      <w:r>
        <w:rPr>
          <w:rFonts w:hint="eastAsia" w:ascii="宋体" w:hAnsi="宋体" w:eastAsia="宋体" w:cs="宋体"/>
          <w:color w:val="auto"/>
          <w:kern w:val="0"/>
          <w:szCs w:val="21"/>
        </w:rPr>
        <w:t>《残疾人福利性单位声明函》</w:t>
      </w:r>
      <w:r>
        <w:rPr>
          <w:rFonts w:hint="eastAsia" w:ascii="宋体" w:hAnsi="宋体" w:eastAsia="宋体" w:cs="宋体"/>
          <w:color w:val="auto"/>
          <w:szCs w:val="21"/>
        </w:rPr>
        <w:t>或省级以上监狱管理局、戒毒管理局（含新疆生产建设兵团）出具的属于监狱企业的证明文件的投标人，对投标报价给予价格扣除，用扣除后的价格参与评审。投标报价扣除比例如下：</w:t>
      </w:r>
    </w:p>
    <w:p w14:paraId="67369C89">
      <w:pPr>
        <w:adjustRightInd w:val="0"/>
        <w:snapToGrid w:val="0"/>
        <w:ind w:firstLine="210" w:firstLineChars="100"/>
        <w:jc w:val="left"/>
        <w:rPr>
          <w:rFonts w:hint="eastAsia" w:ascii="宋体" w:hAnsi="宋体" w:eastAsia="宋体" w:cs="宋体"/>
          <w:color w:val="auto"/>
          <w:szCs w:val="21"/>
        </w:rPr>
      </w:pPr>
      <w:r>
        <w:rPr>
          <w:rFonts w:hint="eastAsia" w:ascii="宋体" w:hAnsi="宋体" w:eastAsia="宋体" w:cs="宋体"/>
          <w:color w:val="auto"/>
          <w:szCs w:val="21"/>
        </w:rPr>
        <w:t>（1）非联合体</w:t>
      </w:r>
    </w:p>
    <w:p w14:paraId="086EB5C1">
      <w:pPr>
        <w:adjustRightInd w:val="0"/>
        <w:snapToGrid w:val="0"/>
        <w:jc w:val="left"/>
        <w:rPr>
          <w:rFonts w:hint="eastAsia" w:ascii="宋体" w:hAnsi="宋体" w:eastAsia="宋体" w:cs="宋体"/>
          <w:color w:val="auto"/>
          <w:szCs w:val="21"/>
          <w:lang w:eastAsia="zh-CN"/>
        </w:rPr>
      </w:pPr>
      <w:r>
        <w:rPr>
          <w:rFonts w:hint="eastAsia" w:ascii="宋体" w:hAnsi="宋体" w:eastAsia="宋体" w:cs="宋体"/>
          <w:color w:val="auto"/>
          <w:szCs w:val="21"/>
        </w:rPr>
        <w:t xml:space="preserve">       小型和微型企业相应产品投标报价的</w:t>
      </w:r>
      <w:r>
        <w:rPr>
          <w:rFonts w:hint="eastAsia" w:ascii="宋体" w:hAnsi="宋体" w:eastAsia="宋体" w:cs="宋体"/>
          <w:b/>
          <w:bCs/>
          <w:color w:val="auto"/>
          <w:kern w:val="0"/>
          <w:szCs w:val="21"/>
          <w:u w:val="single"/>
        </w:rPr>
        <w:t xml:space="preserve">  </w:t>
      </w:r>
      <w:r>
        <w:rPr>
          <w:rFonts w:hint="eastAsia" w:ascii="宋体" w:hAnsi="宋体" w:eastAsia="宋体" w:cs="宋体"/>
          <w:b/>
          <w:bCs/>
          <w:color w:val="auto"/>
          <w:kern w:val="0"/>
          <w:szCs w:val="21"/>
          <w:u w:val="single"/>
          <w:lang w:val="en-US" w:eastAsia="zh-CN"/>
        </w:rPr>
        <w:t>10</w:t>
      </w:r>
      <w:r>
        <w:rPr>
          <w:rFonts w:hint="eastAsia" w:ascii="宋体" w:hAnsi="宋体" w:eastAsia="宋体" w:cs="宋体"/>
          <w:b/>
          <w:bCs/>
          <w:color w:val="auto"/>
          <w:kern w:val="0"/>
          <w:szCs w:val="21"/>
          <w:u w:val="single"/>
        </w:rPr>
        <w:t>%</w:t>
      </w:r>
      <w:r>
        <w:rPr>
          <w:rFonts w:hint="eastAsia" w:ascii="宋体" w:hAnsi="宋体" w:eastAsia="宋体" w:cs="宋体"/>
          <w:b/>
          <w:bCs/>
          <w:color w:val="auto"/>
          <w:kern w:val="0"/>
          <w:szCs w:val="21"/>
          <w:u w:val="single"/>
          <w:lang w:val="en-US" w:eastAsia="zh-CN"/>
        </w:rPr>
        <w:t xml:space="preserve"> </w:t>
      </w:r>
      <w:r>
        <w:rPr>
          <w:rFonts w:hint="eastAsia" w:ascii="宋体" w:hAnsi="宋体" w:eastAsia="宋体" w:cs="宋体"/>
          <w:b/>
          <w:bCs/>
          <w:color w:val="auto"/>
          <w:kern w:val="0"/>
          <w:szCs w:val="21"/>
          <w:u w:val="single"/>
        </w:rPr>
        <w:t xml:space="preserve"> </w:t>
      </w:r>
      <w:r>
        <w:rPr>
          <w:rFonts w:hint="eastAsia" w:ascii="宋体" w:hAnsi="宋体" w:eastAsia="宋体" w:cs="宋体"/>
          <w:color w:val="auto"/>
          <w:kern w:val="0"/>
          <w:szCs w:val="21"/>
          <w:u w:val="none"/>
          <w:lang w:eastAsia="zh-CN"/>
        </w:rPr>
        <w:t>。</w:t>
      </w:r>
    </w:p>
    <w:p w14:paraId="6049D69A">
      <w:pPr>
        <w:adjustRightInd w:val="0"/>
        <w:snapToGrid w:val="0"/>
        <w:ind w:firstLine="422" w:firstLineChars="200"/>
        <w:rPr>
          <w:rFonts w:hint="eastAsia" w:ascii="宋体" w:hAnsi="宋体" w:eastAsia="宋体" w:cs="宋体"/>
          <w:b/>
          <w:color w:val="auto"/>
          <w:kern w:val="0"/>
          <w:szCs w:val="21"/>
        </w:rPr>
      </w:pPr>
      <w:r>
        <w:rPr>
          <w:rFonts w:hint="eastAsia" w:ascii="宋体" w:hAnsi="宋体" w:eastAsia="宋体" w:cs="宋体"/>
          <w:b/>
          <w:color w:val="auto"/>
          <w:kern w:val="0"/>
          <w:szCs w:val="21"/>
        </w:rPr>
        <w:t>6.</w:t>
      </w:r>
      <w:r>
        <w:rPr>
          <w:rFonts w:hint="eastAsia" w:ascii="宋体" w:hAnsi="宋体" w:eastAsia="宋体" w:cs="宋体"/>
          <w:b/>
          <w:color w:val="auto"/>
          <w:kern w:val="0"/>
          <w:szCs w:val="21"/>
          <w:lang w:val="en-US" w:eastAsia="zh-CN"/>
        </w:rPr>
        <w:t>2</w:t>
      </w:r>
      <w:r>
        <w:rPr>
          <w:rFonts w:hint="eastAsia" w:ascii="宋体" w:hAnsi="宋体" w:eastAsia="宋体" w:cs="宋体"/>
          <w:b/>
          <w:color w:val="auto"/>
          <w:kern w:val="0"/>
          <w:szCs w:val="21"/>
        </w:rPr>
        <w:t>对于节能产品、环境标志产品的相关规定</w:t>
      </w:r>
    </w:p>
    <w:p w14:paraId="423190D8">
      <w:pPr>
        <w:adjustRightInd w:val="0"/>
        <w:snapToGrid w:val="0"/>
        <w:ind w:firstLine="420" w:firstLineChars="200"/>
        <w:jc w:val="left"/>
        <w:rPr>
          <w:rFonts w:hint="eastAsia" w:ascii="宋体" w:hAnsi="宋体" w:eastAsia="宋体" w:cs="宋体"/>
          <w:color w:val="auto"/>
          <w:szCs w:val="21"/>
        </w:rPr>
      </w:pPr>
      <w:r>
        <w:rPr>
          <w:rFonts w:hint="eastAsia" w:ascii="宋体" w:hAnsi="宋体" w:eastAsia="宋体" w:cs="宋体"/>
          <w:color w:val="auto"/>
          <w:szCs w:val="21"/>
        </w:rPr>
        <w:t>（1）非政府强制采购的节能产品或环境标志产品，依据品目清单和认证证书实施政府优先采购。</w:t>
      </w:r>
      <w:r>
        <w:rPr>
          <w:rFonts w:hint="eastAsia" w:ascii="宋体" w:hAnsi="宋体" w:eastAsia="宋体" w:cs="宋体"/>
          <w:color w:val="auto"/>
        </w:rPr>
        <w:t>供应商</w:t>
      </w:r>
      <w:r>
        <w:rPr>
          <w:rFonts w:hint="eastAsia" w:ascii="宋体" w:hAnsi="宋体" w:eastAsia="宋体" w:cs="宋体"/>
          <w:color w:val="auto"/>
          <w:szCs w:val="21"/>
        </w:rPr>
        <w:t>应能够提供国家确定的认证机构出具的、处于有效期之内的节能产品、环境标志产品认证证书，方可对获得证书的产品优先推荐。</w:t>
      </w:r>
      <w:r>
        <w:rPr>
          <w:rFonts w:hint="eastAsia" w:ascii="宋体" w:hAnsi="宋体" w:eastAsia="宋体" w:cs="宋体"/>
          <w:b/>
          <w:bCs/>
          <w:color w:val="auto"/>
          <w:kern w:val="0"/>
          <w:szCs w:val="21"/>
        </w:rPr>
        <w:t>采用最低评标价法的，</w:t>
      </w:r>
      <w:r>
        <w:rPr>
          <w:rFonts w:hint="eastAsia" w:ascii="宋体" w:hAnsi="宋体" w:eastAsia="宋体" w:cs="宋体"/>
          <w:b/>
          <w:bCs/>
          <w:color w:val="auto"/>
          <w:szCs w:val="21"/>
        </w:rPr>
        <w:t>对</w:t>
      </w:r>
      <w:r>
        <w:rPr>
          <w:rFonts w:hint="eastAsia" w:ascii="宋体" w:hAnsi="宋体" w:eastAsia="宋体" w:cs="宋体"/>
          <w:b/>
          <w:bCs/>
          <w:color w:val="auto"/>
          <w:kern w:val="0"/>
          <w:szCs w:val="21"/>
        </w:rPr>
        <w:t>清单中投标产品的报价</w:t>
      </w:r>
      <w:r>
        <w:rPr>
          <w:rFonts w:hint="eastAsia" w:ascii="宋体" w:hAnsi="宋体" w:eastAsia="宋体" w:cs="宋体"/>
          <w:b/>
          <w:bCs/>
          <w:color w:val="auto"/>
          <w:szCs w:val="21"/>
        </w:rPr>
        <w:t>给予价格扣除，用扣除后的价格参与评</w:t>
      </w:r>
      <w:r>
        <w:rPr>
          <w:rFonts w:hint="eastAsia" w:ascii="宋体" w:hAnsi="宋体" w:eastAsia="宋体" w:cs="宋体"/>
          <w:b/>
          <w:bCs/>
          <w:color w:val="auto"/>
          <w:kern w:val="0"/>
          <w:szCs w:val="21"/>
        </w:rPr>
        <w:t>审。报价扣除比例为清单中产品报价的</w:t>
      </w:r>
      <w:r>
        <w:rPr>
          <w:rFonts w:hint="eastAsia" w:ascii="宋体" w:hAnsi="宋体" w:eastAsia="宋体" w:cs="宋体"/>
          <w:b/>
          <w:bCs/>
          <w:color w:val="auto"/>
          <w:kern w:val="0"/>
          <w:szCs w:val="21"/>
          <w:u w:val="single"/>
        </w:rPr>
        <w:t xml:space="preserve">  3  </w:t>
      </w:r>
      <w:r>
        <w:rPr>
          <w:rFonts w:hint="eastAsia" w:ascii="宋体" w:hAnsi="宋体" w:eastAsia="宋体" w:cs="宋体"/>
          <w:b/>
          <w:bCs/>
          <w:color w:val="auto"/>
          <w:kern w:val="0"/>
          <w:szCs w:val="21"/>
        </w:rPr>
        <w:t>%；采用综合评分法评标的项目，在满足基本技术条件的前提下，对投标报价给予价格扣除，用扣除后的价格参与评审。投标报价扣除比例为：</w:t>
      </w:r>
      <w:r>
        <w:rPr>
          <w:rFonts w:hint="eastAsia" w:ascii="宋体" w:hAnsi="宋体" w:eastAsia="宋体" w:cs="宋体"/>
          <w:b/>
          <w:bCs/>
          <w:color w:val="auto"/>
          <w:kern w:val="0"/>
          <w:szCs w:val="21"/>
          <w:u w:val="single"/>
        </w:rPr>
        <w:t xml:space="preserve">  3  </w:t>
      </w:r>
      <w:r>
        <w:rPr>
          <w:rFonts w:hint="eastAsia" w:ascii="宋体" w:hAnsi="宋体" w:eastAsia="宋体" w:cs="宋体"/>
          <w:b/>
          <w:bCs/>
          <w:color w:val="auto"/>
          <w:kern w:val="0"/>
          <w:szCs w:val="21"/>
        </w:rPr>
        <w:t>%</w:t>
      </w:r>
    </w:p>
    <w:p w14:paraId="0DFCC442">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（2）供应商应同时提供品目清单网络截图，并以明确标注所报产品信息和位置的方式，用以方便评审。</w:t>
      </w:r>
    </w:p>
    <w:p w14:paraId="01DEB61D">
      <w:pPr>
        <w:adjustRightInd w:val="0"/>
        <w:snapToGrid w:val="0"/>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（3）认证机构和获证产品信息发布媒体：详见中国政府采购网（www.ccgp.gov.cn）建立的与认证结果信息发布平台的链接。</w:t>
      </w:r>
    </w:p>
    <w:p w14:paraId="50A8EC39">
      <w:pPr>
        <w:adjustRightInd w:val="0"/>
        <w:snapToGrid w:val="0"/>
        <w:ind w:firstLine="422" w:firstLineChars="200"/>
        <w:rPr>
          <w:rFonts w:hint="eastAsia" w:ascii="宋体" w:hAnsi="宋体" w:eastAsia="宋体" w:cs="宋体"/>
          <w:b/>
          <w:bCs/>
          <w:color w:val="auto"/>
          <w:kern w:val="0"/>
          <w:szCs w:val="21"/>
        </w:rPr>
      </w:pPr>
      <w:r>
        <w:rPr>
          <w:rFonts w:hint="eastAsia" w:ascii="宋体" w:hAnsi="宋体" w:eastAsia="宋体" w:cs="宋体"/>
          <w:b/>
          <w:color w:val="auto"/>
          <w:kern w:val="0"/>
          <w:szCs w:val="21"/>
        </w:rPr>
        <w:t>7</w:t>
      </w:r>
      <w:r>
        <w:rPr>
          <w:rFonts w:hint="eastAsia" w:ascii="宋体" w:hAnsi="宋体" w:eastAsia="宋体" w:cs="宋体"/>
          <w:b/>
          <w:bCs/>
          <w:color w:val="auto"/>
          <w:kern w:val="0"/>
          <w:szCs w:val="21"/>
        </w:rPr>
        <w:t>、投标无效情况详见投标人须知。</w:t>
      </w:r>
    </w:p>
    <w:p w14:paraId="002747EC">
      <w:pPr>
        <w:adjustRightInd w:val="0"/>
        <w:snapToGrid w:val="0"/>
        <w:ind w:firstLine="422" w:firstLineChars="200"/>
        <w:rPr>
          <w:rFonts w:hint="eastAsia" w:ascii="宋体" w:hAnsi="宋体" w:eastAsia="宋体" w:cs="宋体"/>
          <w:b/>
          <w:bCs/>
          <w:color w:val="auto"/>
          <w:kern w:val="0"/>
          <w:szCs w:val="21"/>
        </w:rPr>
      </w:pPr>
      <w:r>
        <w:rPr>
          <w:rFonts w:hint="eastAsia" w:ascii="宋体" w:hAnsi="宋体" w:eastAsia="宋体" w:cs="宋体"/>
          <w:b/>
          <w:color w:val="auto"/>
          <w:kern w:val="0"/>
          <w:szCs w:val="21"/>
        </w:rPr>
        <w:t>8</w:t>
      </w:r>
      <w:r>
        <w:rPr>
          <w:rFonts w:hint="eastAsia" w:ascii="宋体" w:hAnsi="宋体" w:eastAsia="宋体" w:cs="宋体"/>
          <w:b/>
          <w:bCs/>
          <w:color w:val="auto"/>
          <w:kern w:val="0"/>
          <w:szCs w:val="21"/>
        </w:rPr>
        <w:t>、推荐中标候选人的原则</w:t>
      </w:r>
    </w:p>
    <w:p w14:paraId="2E50E363">
      <w:pPr>
        <w:adjustRightInd w:val="0"/>
        <w:snapToGrid w:val="0"/>
        <w:ind w:firstLine="420" w:firstLineChars="200"/>
        <w:rPr>
          <w:rFonts w:hint="eastAsia" w:ascii="宋体" w:hAnsi="宋体" w:eastAsia="宋体" w:cs="宋体"/>
          <w:color w:val="auto"/>
          <w:kern w:val="0"/>
          <w:szCs w:val="21"/>
        </w:rPr>
      </w:pPr>
      <w:r>
        <w:rPr>
          <w:rFonts w:hint="eastAsia" w:ascii="宋体" w:hAnsi="宋体" w:eastAsia="宋体" w:cs="宋体"/>
          <w:color w:val="auto"/>
          <w:kern w:val="0"/>
          <w:szCs w:val="21"/>
        </w:rPr>
        <w:t>详见第一章投标人须知第29条，报价相同的处理办法如下：</w:t>
      </w:r>
    </w:p>
    <w:p w14:paraId="31BADAED">
      <w:pPr>
        <w:numPr>
          <w:ilvl w:val="0"/>
          <w:numId w:val="0"/>
        </w:num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Cs w:val="21"/>
        </w:rPr>
        <w:t>采用最低评标价法的：</w:t>
      </w:r>
    </w:p>
    <w:p w14:paraId="4C7AC3FF">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扣除后的投标报价相同时，按投标报价由低至高排序；</w:t>
      </w:r>
    </w:p>
    <w:p w14:paraId="08F5DFB6">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按前款不能区分的，优先采购节能产品、环境标志产品；</w:t>
      </w:r>
    </w:p>
    <w:p w14:paraId="3CC44FAD">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按前款不能区分的，按技术指标优劣排序；</w:t>
      </w:r>
    </w:p>
    <w:p w14:paraId="05AB72E1">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其他情况，由评标委员会集体研究处理。</w:t>
      </w:r>
    </w:p>
    <w:p w14:paraId="721801A9">
      <w:pPr>
        <w:numPr>
          <w:ilvl w:val="0"/>
          <w:numId w:val="0"/>
        </w:num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Cs w:val="21"/>
        </w:rPr>
        <w:t>采用综合评分法的：</w:t>
      </w:r>
    </w:p>
    <w:p w14:paraId="51F013AB">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得分相同的，按扣除后的投标报价由低到高顺序排列；</w:t>
      </w:r>
    </w:p>
    <w:p w14:paraId="09B40810">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按前款不能区分的，按投标报价由低至高顺序排序；</w:t>
      </w:r>
    </w:p>
    <w:p w14:paraId="090535A7">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按前款不能区分的，优先采购节能产品、环保产品；</w:t>
      </w:r>
    </w:p>
    <w:p w14:paraId="59EC7FBE">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按前款不能区分的，按技术指标优劣排序；</w:t>
      </w:r>
    </w:p>
    <w:p w14:paraId="6F8C2F34">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其他情况，由评标委员会集体研究处理。</w:t>
      </w:r>
    </w:p>
    <w:p w14:paraId="1EC7390B">
      <w:pPr>
        <w:adjustRightInd w:val="0"/>
        <w:snapToGrid w:val="0"/>
        <w:ind w:firstLine="422" w:firstLineChars="200"/>
        <w:rPr>
          <w:rFonts w:hint="eastAsia" w:ascii="宋体" w:hAnsi="宋体" w:eastAsia="宋体" w:cs="宋体"/>
          <w:b/>
          <w:color w:val="auto"/>
          <w:kern w:val="0"/>
          <w:szCs w:val="21"/>
        </w:rPr>
      </w:pPr>
      <w:r>
        <w:rPr>
          <w:rFonts w:hint="eastAsia" w:ascii="宋体" w:hAnsi="宋体" w:eastAsia="宋体" w:cs="宋体"/>
          <w:b/>
          <w:color w:val="auto"/>
          <w:szCs w:val="21"/>
        </w:rPr>
        <w:t>三、</w:t>
      </w:r>
      <w:r>
        <w:rPr>
          <w:rFonts w:hint="eastAsia" w:ascii="宋体" w:hAnsi="宋体" w:eastAsia="宋体" w:cs="宋体"/>
          <w:b/>
          <w:color w:val="auto"/>
          <w:kern w:val="0"/>
          <w:szCs w:val="21"/>
        </w:rPr>
        <w:t>确定中标人</w:t>
      </w:r>
    </w:p>
    <w:p w14:paraId="7AB66E6D">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评标委员会根据全体评标委员会成员签字的原始评标记录和评标结果编写评标报告，并向采购人提交书面评标报告。</w:t>
      </w:r>
    </w:p>
    <w:p w14:paraId="13FBE06A">
      <w:pPr>
        <w:adjustRightInd w:val="0"/>
        <w:snapToGrid w:val="0"/>
        <w:ind w:firstLine="420" w:firstLineChars="200"/>
        <w:rPr>
          <w:rFonts w:hint="eastAsia" w:ascii="宋体" w:hAnsi="宋体" w:eastAsia="宋体" w:cs="宋体"/>
          <w:color w:val="auto"/>
          <w:szCs w:val="21"/>
        </w:rPr>
      </w:pPr>
      <w:r>
        <w:rPr>
          <w:rFonts w:hint="eastAsia" w:ascii="宋体" w:hAnsi="宋体" w:eastAsia="宋体" w:cs="宋体"/>
          <w:color w:val="auto"/>
          <w:szCs w:val="21"/>
        </w:rPr>
        <w:t>采购人按照评标报告确定的中标候选人名单按顺序确定中标人，或由采购人委托评标委员会按照第一章投标人须知第31条规定的方式确定中标人。</w:t>
      </w:r>
    </w:p>
    <w:p w14:paraId="6702D8BC">
      <w:pPr>
        <w:widowControl/>
        <w:spacing w:line="240" w:lineRule="auto"/>
        <w:jc w:val="left"/>
        <w:rPr>
          <w:rFonts w:hint="eastAsia" w:ascii="宋体" w:hAnsi="宋体" w:eastAsia="宋体" w:cs="宋体"/>
          <w:color w:val="auto"/>
        </w:rPr>
      </w:pPr>
      <w:r>
        <w:rPr>
          <w:rFonts w:hint="eastAsia" w:ascii="宋体" w:hAnsi="宋体" w:eastAsia="宋体" w:cs="宋体"/>
          <w:color w:val="auto"/>
        </w:rPr>
        <w:br w:type="page"/>
      </w:r>
      <w:r>
        <w:rPr>
          <w:rFonts w:hint="eastAsia" w:ascii="宋体" w:hAnsi="宋体" w:eastAsia="宋体" w:cs="宋体"/>
          <w:b/>
          <w:color w:val="auto"/>
          <w:kern w:val="2"/>
          <w:sz w:val="28"/>
          <w:szCs w:val="24"/>
          <w:lang w:val="en-US" w:eastAsia="zh-CN" w:bidi="ar-SA"/>
        </w:rPr>
        <w:t>附件1                   资格审查表</w:t>
      </w:r>
    </w:p>
    <w:tbl>
      <w:tblPr>
        <w:tblStyle w:val="17"/>
        <w:tblW w:w="83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7"/>
        <w:gridCol w:w="2346"/>
        <w:gridCol w:w="5349"/>
      </w:tblGrid>
      <w:tr w14:paraId="3BA9B1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677" w:type="dxa"/>
            <w:vMerge w:val="restar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3442D54">
            <w:pPr>
              <w:snapToGrid w:val="0"/>
              <w:jc w:val="center"/>
              <w:rPr>
                <w:rFonts w:hint="eastAsia" w:ascii="宋体" w:hAnsi="宋体" w:eastAsia="宋体" w:cs="宋体"/>
                <w:b/>
                <w:bCs/>
                <w:color w:val="auto"/>
              </w:rPr>
            </w:pPr>
            <w:r>
              <w:rPr>
                <w:rFonts w:hint="eastAsia" w:ascii="宋体" w:hAnsi="宋体" w:eastAsia="宋体" w:cs="宋体"/>
                <w:b/>
                <w:bCs/>
                <w:color w:val="auto"/>
              </w:rPr>
              <w:t>序号</w:t>
            </w:r>
          </w:p>
        </w:tc>
        <w:tc>
          <w:tcPr>
            <w:tcW w:w="2346" w:type="dxa"/>
            <w:vMerge w:val="restar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93352E1">
            <w:pPr>
              <w:snapToGrid w:val="0"/>
              <w:jc w:val="center"/>
              <w:rPr>
                <w:rFonts w:hint="eastAsia" w:ascii="宋体" w:hAnsi="宋体" w:eastAsia="宋体" w:cs="宋体"/>
                <w:b/>
                <w:bCs/>
                <w:color w:val="auto"/>
              </w:rPr>
            </w:pPr>
            <w:r>
              <w:rPr>
                <w:rFonts w:hint="eastAsia" w:ascii="宋体" w:hAnsi="宋体" w:eastAsia="宋体" w:cs="宋体"/>
                <w:b/>
                <w:bCs/>
                <w:color w:val="auto"/>
              </w:rPr>
              <w:t>审查内容</w:t>
            </w:r>
          </w:p>
        </w:tc>
        <w:tc>
          <w:tcPr>
            <w:tcW w:w="5349" w:type="dxa"/>
            <w:vMerge w:val="restar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F717E34">
            <w:pPr>
              <w:snapToGrid w:val="0"/>
              <w:jc w:val="center"/>
              <w:rPr>
                <w:rFonts w:hint="eastAsia" w:ascii="宋体" w:hAnsi="宋体" w:eastAsia="宋体" w:cs="宋体"/>
                <w:b/>
                <w:bCs/>
                <w:color w:val="auto"/>
              </w:rPr>
            </w:pPr>
            <w:r>
              <w:rPr>
                <w:rFonts w:hint="eastAsia" w:ascii="宋体" w:hAnsi="宋体" w:eastAsia="宋体" w:cs="宋体"/>
                <w:b/>
                <w:bCs/>
                <w:color w:val="auto"/>
              </w:rPr>
              <w:t>审查标准</w:t>
            </w:r>
          </w:p>
        </w:tc>
      </w:tr>
      <w:tr w14:paraId="1CA51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jc w:val="center"/>
        </w:trPr>
        <w:tc>
          <w:tcPr>
            <w:tcW w:w="677" w:type="dxa"/>
            <w:vMerge w:val="continue"/>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B110EE7">
            <w:pPr>
              <w:pStyle w:val="4"/>
              <w:adjustRightInd w:val="0"/>
              <w:snapToGrid w:val="0"/>
              <w:spacing w:before="0" w:after="0" w:line="240" w:lineRule="auto"/>
              <w:rPr>
                <w:rFonts w:hint="eastAsia" w:ascii="宋体" w:hAnsi="宋体" w:eastAsia="宋体" w:cs="宋体"/>
                <w:color w:val="auto"/>
              </w:rPr>
            </w:pPr>
          </w:p>
        </w:tc>
        <w:tc>
          <w:tcPr>
            <w:tcW w:w="2346" w:type="dxa"/>
            <w:vMerge w:val="continue"/>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B676324">
            <w:pPr>
              <w:pStyle w:val="4"/>
              <w:adjustRightInd w:val="0"/>
              <w:snapToGrid w:val="0"/>
              <w:spacing w:before="0" w:after="0" w:line="240" w:lineRule="auto"/>
              <w:rPr>
                <w:rFonts w:hint="eastAsia" w:ascii="宋体" w:hAnsi="宋体" w:eastAsia="宋体" w:cs="宋体"/>
                <w:color w:val="auto"/>
                <w:sz w:val="21"/>
                <w:szCs w:val="21"/>
              </w:rPr>
            </w:pPr>
          </w:p>
        </w:tc>
        <w:tc>
          <w:tcPr>
            <w:tcW w:w="5349" w:type="dxa"/>
            <w:vMerge w:val="continue"/>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2DDB0AA">
            <w:pPr>
              <w:pStyle w:val="4"/>
              <w:adjustRightInd w:val="0"/>
              <w:snapToGrid w:val="0"/>
              <w:spacing w:before="0" w:after="0" w:line="240" w:lineRule="auto"/>
              <w:rPr>
                <w:rFonts w:hint="eastAsia" w:ascii="宋体" w:hAnsi="宋体" w:eastAsia="宋体" w:cs="宋体"/>
                <w:color w:val="auto"/>
                <w:sz w:val="21"/>
                <w:szCs w:val="21"/>
              </w:rPr>
            </w:pPr>
          </w:p>
        </w:tc>
      </w:tr>
      <w:tr w14:paraId="6EB3F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677" w:type="dxa"/>
            <w:tcBorders>
              <w:left w:val="single" w:color="000000" w:sz="8" w:space="0"/>
              <w:bottom w:val="single" w:color="000000" w:sz="8" w:space="0"/>
              <w:right w:val="single" w:color="000000" w:sz="8" w:space="0"/>
            </w:tcBorders>
            <w:shd w:val="clear" w:color="auto" w:fill="FFFFFF"/>
            <w:noWrap w:val="0"/>
            <w:vAlign w:val="center"/>
          </w:tcPr>
          <w:p w14:paraId="32532D1B">
            <w:pPr>
              <w:snapToGrid w:val="0"/>
              <w:jc w:val="center"/>
              <w:rPr>
                <w:rFonts w:hint="eastAsia" w:ascii="宋体" w:hAnsi="宋体" w:eastAsia="宋体" w:cs="宋体"/>
                <w:color w:val="auto"/>
              </w:rPr>
            </w:pPr>
            <w:r>
              <w:rPr>
                <w:rFonts w:hint="eastAsia" w:ascii="宋体" w:hAnsi="宋体" w:eastAsia="宋体" w:cs="宋体"/>
                <w:color w:val="auto"/>
              </w:rPr>
              <w:t>1</w:t>
            </w:r>
          </w:p>
        </w:tc>
        <w:tc>
          <w:tcPr>
            <w:tcW w:w="2346" w:type="dxa"/>
            <w:tcBorders>
              <w:left w:val="single" w:color="000000" w:sz="8" w:space="0"/>
              <w:bottom w:val="single" w:color="000000" w:sz="8" w:space="0"/>
              <w:right w:val="single" w:color="000000" w:sz="8" w:space="0"/>
            </w:tcBorders>
            <w:shd w:val="clear" w:color="auto" w:fill="FFFFFF"/>
            <w:noWrap w:val="0"/>
            <w:vAlign w:val="center"/>
          </w:tcPr>
          <w:p w14:paraId="12219315">
            <w:pPr>
              <w:snapToGrid w:val="0"/>
              <w:jc w:val="center"/>
              <w:rPr>
                <w:rFonts w:hint="eastAsia" w:ascii="宋体" w:hAnsi="宋体" w:eastAsia="宋体" w:cs="宋体"/>
                <w:color w:val="auto"/>
              </w:rPr>
            </w:pPr>
            <w:r>
              <w:rPr>
                <w:rFonts w:hint="eastAsia" w:ascii="宋体" w:hAnsi="宋体" w:eastAsia="宋体" w:cs="宋体"/>
                <w:color w:val="auto"/>
              </w:rPr>
              <w:t>具有独立承担民事责任的能力；</w:t>
            </w:r>
          </w:p>
        </w:tc>
        <w:tc>
          <w:tcPr>
            <w:tcW w:w="5349"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3E7D689">
            <w:pPr>
              <w:snapToGrid w:val="0"/>
              <w:rPr>
                <w:rFonts w:ascii="宋体" w:hAnsi="宋体" w:eastAsia="宋体" w:cs="宋体"/>
                <w:color w:val="auto"/>
              </w:rPr>
            </w:pPr>
            <w:r>
              <w:rPr>
                <w:rFonts w:hint="eastAsia" w:ascii="宋体" w:hAnsi="宋体" w:eastAsia="宋体" w:cs="宋体"/>
                <w:color w:val="auto"/>
              </w:rPr>
              <w:t>①营业执照或事业单位法人证书或执业许可证等证明文件或自然人的身份证明</w:t>
            </w:r>
          </w:p>
          <w:p w14:paraId="09F2BBD7">
            <w:pPr>
              <w:snapToGrid w:val="0"/>
              <w:rPr>
                <w:rFonts w:ascii="宋体" w:hAnsi="宋体" w:eastAsia="宋体" w:cs="宋体"/>
                <w:color w:val="auto"/>
              </w:rPr>
            </w:pPr>
            <w:r>
              <w:rPr>
                <w:rFonts w:hint="eastAsia" w:ascii="宋体" w:hAnsi="宋体" w:eastAsia="宋体" w:cs="宋体"/>
                <w:color w:val="auto"/>
              </w:rPr>
              <w:t>②组织机构代码证（复印件，三证合一的不需提供）</w:t>
            </w:r>
          </w:p>
          <w:p w14:paraId="55277A16">
            <w:pPr>
              <w:snapToGrid w:val="0"/>
              <w:rPr>
                <w:rFonts w:ascii="宋体" w:hAnsi="宋体" w:eastAsia="宋体" w:cs="宋体"/>
                <w:color w:val="auto"/>
              </w:rPr>
            </w:pPr>
            <w:r>
              <w:rPr>
                <w:rFonts w:hint="eastAsia" w:ascii="宋体" w:hAnsi="宋体" w:eastAsia="宋体" w:cs="宋体"/>
                <w:color w:val="auto"/>
              </w:rPr>
              <w:t>③税务登记证（复印件，三证合一的不需提供）</w:t>
            </w:r>
          </w:p>
          <w:p w14:paraId="48B136DA">
            <w:pPr>
              <w:snapToGrid w:val="0"/>
              <w:rPr>
                <w:rFonts w:ascii="宋体" w:hAnsi="宋体" w:eastAsia="宋体" w:cs="宋体"/>
                <w:color w:val="auto"/>
              </w:rPr>
            </w:pPr>
            <w:r>
              <w:rPr>
                <w:rFonts w:hint="eastAsia" w:ascii="宋体" w:hAnsi="宋体" w:eastAsia="宋体" w:cs="宋体"/>
                <w:color w:val="auto"/>
              </w:rPr>
              <w:t>④法定代表人（或非法人组织负责人）身份证明书</w:t>
            </w:r>
          </w:p>
          <w:p w14:paraId="7406435E">
            <w:pPr>
              <w:snapToGrid w:val="0"/>
              <w:rPr>
                <w:rFonts w:hint="eastAsia" w:ascii="宋体" w:hAnsi="宋体" w:eastAsia="宋体" w:cs="宋体"/>
                <w:color w:val="auto"/>
                <w:lang w:eastAsia="zh-CN"/>
              </w:rPr>
            </w:pPr>
            <w:r>
              <w:rPr>
                <w:rFonts w:hint="eastAsia" w:ascii="宋体" w:hAnsi="宋体" w:eastAsia="宋体" w:cs="宋体"/>
                <w:color w:val="auto"/>
              </w:rPr>
              <w:t>⑤法定代表人（或非法人组织负责人）授权委托书（授权委托人参加投标的须提供）</w:t>
            </w:r>
          </w:p>
        </w:tc>
      </w:tr>
      <w:tr w14:paraId="34E92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7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4D5C8EB">
            <w:pPr>
              <w:widowControl/>
              <w:snapToGrid w:val="0"/>
              <w:jc w:val="center"/>
              <w:rPr>
                <w:rFonts w:hint="eastAsia" w:ascii="宋体" w:hAnsi="宋体" w:eastAsia="宋体" w:cs="宋体"/>
                <w:color w:val="auto"/>
                <w:lang w:val="en-US" w:eastAsia="zh-CN"/>
              </w:rPr>
            </w:pPr>
            <w:r>
              <w:rPr>
                <w:rFonts w:hint="eastAsia" w:ascii="宋体" w:hAnsi="宋体" w:eastAsia="宋体" w:cs="宋体"/>
                <w:color w:val="auto"/>
              </w:rPr>
              <w:t>2</w:t>
            </w:r>
          </w:p>
        </w:tc>
        <w:tc>
          <w:tcPr>
            <w:tcW w:w="234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52D2996">
            <w:pPr>
              <w:snapToGrid w:val="0"/>
              <w:jc w:val="center"/>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rPr>
              <w:t>具有良好的商业信誉和健全的财务会计制度；</w:t>
            </w:r>
          </w:p>
        </w:tc>
        <w:tc>
          <w:tcPr>
            <w:tcW w:w="5349"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DB701F6">
            <w:pPr>
              <w:snapToGrid w:val="0"/>
              <w:jc w:val="both"/>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投标文件中提供《资格条件承诺函》。</w:t>
            </w:r>
          </w:p>
        </w:tc>
      </w:tr>
      <w:tr w14:paraId="6ACC1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7" w:hRule="atLeast"/>
          <w:jc w:val="center"/>
        </w:trPr>
        <w:tc>
          <w:tcPr>
            <w:tcW w:w="67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8E1EAF4">
            <w:pPr>
              <w:widowControl/>
              <w:snapToGrid w:val="0"/>
              <w:jc w:val="center"/>
              <w:rPr>
                <w:rFonts w:hint="eastAsia" w:ascii="宋体" w:hAnsi="宋体" w:eastAsia="宋体" w:cs="宋体"/>
                <w:color w:val="auto"/>
                <w:lang w:eastAsia="zh-CN"/>
              </w:rPr>
            </w:pPr>
            <w:r>
              <w:rPr>
                <w:rFonts w:hint="eastAsia" w:ascii="宋体" w:hAnsi="宋体" w:eastAsia="宋体" w:cs="宋体"/>
                <w:color w:val="auto"/>
              </w:rPr>
              <w:t>3</w:t>
            </w:r>
          </w:p>
        </w:tc>
        <w:tc>
          <w:tcPr>
            <w:tcW w:w="234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9FAA5C4">
            <w:pPr>
              <w:snapToGrid w:val="0"/>
              <w:jc w:val="center"/>
              <w:rPr>
                <w:rFonts w:hint="eastAsia" w:ascii="宋体" w:hAnsi="宋体" w:eastAsia="宋体" w:cs="宋体"/>
                <w:color w:val="auto"/>
              </w:rPr>
            </w:pPr>
            <w:r>
              <w:rPr>
                <w:rFonts w:hint="eastAsia" w:ascii="宋体" w:hAnsi="宋体" w:eastAsia="宋体" w:cs="宋体"/>
                <w:color w:val="auto"/>
              </w:rPr>
              <w:t>具有履行合同所必需的设备和专业技术能力；</w:t>
            </w:r>
          </w:p>
        </w:tc>
        <w:tc>
          <w:tcPr>
            <w:tcW w:w="5349"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F3370EA">
            <w:pPr>
              <w:snapToGrid w:val="0"/>
              <w:jc w:val="both"/>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投标文件中提供《资格条件承诺函》。</w:t>
            </w:r>
          </w:p>
        </w:tc>
      </w:tr>
      <w:tr w14:paraId="60E01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67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5B1BF17">
            <w:pPr>
              <w:widowControl/>
              <w:snapToGrid w:val="0"/>
              <w:jc w:val="center"/>
              <w:rPr>
                <w:rFonts w:hint="eastAsia" w:ascii="宋体" w:hAnsi="宋体" w:eastAsia="宋体" w:cs="宋体"/>
                <w:color w:val="auto"/>
                <w:lang w:eastAsia="zh-CN"/>
              </w:rPr>
            </w:pPr>
            <w:r>
              <w:rPr>
                <w:rFonts w:hint="eastAsia" w:ascii="宋体" w:hAnsi="宋体" w:eastAsia="宋体" w:cs="宋体"/>
                <w:color w:val="auto"/>
                <w:szCs w:val="21"/>
              </w:rPr>
              <w:t>4</w:t>
            </w:r>
          </w:p>
        </w:tc>
        <w:tc>
          <w:tcPr>
            <w:tcW w:w="234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F98AD16">
            <w:pPr>
              <w:snapToGrid w:val="0"/>
              <w:jc w:val="center"/>
              <w:rPr>
                <w:rFonts w:hint="eastAsia" w:ascii="宋体" w:hAnsi="宋体" w:eastAsia="宋体" w:cs="宋体"/>
                <w:color w:val="auto"/>
              </w:rPr>
            </w:pPr>
            <w:r>
              <w:rPr>
                <w:rFonts w:hint="eastAsia" w:ascii="宋体" w:hAnsi="宋体" w:eastAsia="宋体" w:cs="宋体"/>
                <w:color w:val="auto"/>
              </w:rPr>
              <w:t>有依法缴纳税收和社会保障资金的良好记录；</w:t>
            </w:r>
          </w:p>
        </w:tc>
        <w:tc>
          <w:tcPr>
            <w:tcW w:w="5349"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36026E1">
            <w:pPr>
              <w:snapToGrid w:val="0"/>
              <w:jc w:val="both"/>
              <w:rPr>
                <w:rFonts w:hint="eastAsia" w:ascii="宋体" w:hAnsi="宋体" w:eastAsia="宋体" w:cs="宋体"/>
                <w:color w:val="auto"/>
                <w:kern w:val="2"/>
                <w:sz w:val="21"/>
                <w:szCs w:val="24"/>
                <w:lang w:val="en-US" w:eastAsia="zh-CN" w:bidi="ar-SA"/>
              </w:rPr>
            </w:pPr>
            <w:r>
              <w:rPr>
                <w:rFonts w:hint="eastAsia" w:ascii="宋体" w:hAnsi="宋体" w:eastAsia="宋体" w:cs="宋体"/>
                <w:color w:val="auto"/>
                <w:kern w:val="2"/>
                <w:sz w:val="21"/>
                <w:szCs w:val="24"/>
                <w:lang w:val="en-US" w:eastAsia="zh-CN" w:bidi="ar-SA"/>
              </w:rPr>
              <w:t>投标文件中提供《资格条件承诺函》。</w:t>
            </w:r>
          </w:p>
        </w:tc>
      </w:tr>
      <w:tr w14:paraId="7B35E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67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BD38A68">
            <w:pPr>
              <w:widowControl/>
              <w:snapToGrid w:val="0"/>
              <w:jc w:val="center"/>
              <w:rPr>
                <w:rFonts w:hint="eastAsia" w:ascii="宋体" w:hAnsi="宋体" w:eastAsia="宋体" w:cs="宋体"/>
                <w:color w:val="auto"/>
                <w:lang w:eastAsia="zh-CN"/>
              </w:rPr>
            </w:pPr>
            <w:r>
              <w:rPr>
                <w:rFonts w:hint="eastAsia" w:ascii="宋体" w:hAnsi="宋体" w:eastAsia="宋体" w:cs="宋体"/>
                <w:color w:val="auto"/>
              </w:rPr>
              <w:t>5</w:t>
            </w:r>
          </w:p>
        </w:tc>
        <w:tc>
          <w:tcPr>
            <w:tcW w:w="234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984CCC2">
            <w:pPr>
              <w:snapToGrid w:val="0"/>
              <w:jc w:val="center"/>
              <w:rPr>
                <w:rFonts w:hint="eastAsia" w:ascii="宋体" w:hAnsi="宋体" w:eastAsia="宋体" w:cs="宋体"/>
                <w:color w:val="auto"/>
              </w:rPr>
            </w:pPr>
            <w:r>
              <w:rPr>
                <w:rFonts w:hint="eastAsia" w:ascii="宋体" w:hAnsi="宋体" w:eastAsia="宋体" w:cs="宋体"/>
                <w:color w:val="auto"/>
              </w:rPr>
              <w:t>参加政府采购活动前三年内，在经营活动中没有重大违法记录；</w:t>
            </w:r>
          </w:p>
        </w:tc>
        <w:tc>
          <w:tcPr>
            <w:tcW w:w="5349"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649696D">
            <w:pPr>
              <w:snapToGrid w:val="0"/>
              <w:jc w:val="both"/>
              <w:rPr>
                <w:rFonts w:hint="eastAsia" w:ascii="宋体" w:hAnsi="宋体" w:eastAsia="宋体" w:cs="宋体"/>
                <w:color w:val="auto"/>
              </w:rPr>
            </w:pPr>
            <w:r>
              <w:rPr>
                <w:rFonts w:hint="eastAsia" w:ascii="宋体" w:hAnsi="宋体" w:eastAsia="宋体" w:cs="宋体"/>
                <w:color w:val="auto"/>
                <w:lang w:val="en-US" w:eastAsia="zh-CN"/>
              </w:rPr>
              <w:t>投标文件中提供《资格条件承诺函》。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14:paraId="27BEE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0" w:hRule="atLeast"/>
          <w:jc w:val="center"/>
        </w:trPr>
        <w:tc>
          <w:tcPr>
            <w:tcW w:w="67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F189819">
            <w:pPr>
              <w:widowControl/>
              <w:snapToGrid w:val="0"/>
              <w:jc w:val="center"/>
              <w:rPr>
                <w:rFonts w:hint="eastAsia" w:ascii="宋体" w:hAnsi="宋体" w:eastAsia="宋体" w:cs="宋体"/>
                <w:color w:val="auto"/>
                <w:lang w:val="en-US" w:eastAsia="zh-CN"/>
              </w:rPr>
            </w:pPr>
            <w:r>
              <w:rPr>
                <w:rFonts w:hint="eastAsia" w:ascii="宋体" w:hAnsi="宋体" w:eastAsia="宋体" w:cs="宋体"/>
                <w:color w:val="auto"/>
              </w:rPr>
              <w:t>6</w:t>
            </w:r>
          </w:p>
        </w:tc>
        <w:tc>
          <w:tcPr>
            <w:tcW w:w="234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CEA7616">
            <w:pPr>
              <w:snapToGrid w:val="0"/>
              <w:jc w:val="center"/>
              <w:rPr>
                <w:rFonts w:hint="default" w:ascii="宋体" w:hAnsi="宋体" w:eastAsia="宋体" w:cs="宋体"/>
                <w:color w:val="auto"/>
                <w:lang w:val="en-US" w:eastAsia="zh-CN"/>
              </w:rPr>
            </w:pPr>
            <w:r>
              <w:rPr>
                <w:rFonts w:hint="eastAsia" w:ascii="宋体" w:hAnsi="宋体" w:eastAsia="宋体" w:cs="宋体"/>
                <w:color w:val="auto"/>
              </w:rPr>
              <w:t>法律、行政法规规定的其他条件。</w:t>
            </w:r>
          </w:p>
        </w:tc>
        <w:tc>
          <w:tcPr>
            <w:tcW w:w="5349"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F6703D3">
            <w:pPr>
              <w:snapToGrid w:val="0"/>
              <w:rPr>
                <w:rFonts w:ascii="宋体" w:hAnsi="宋体" w:eastAsia="宋体" w:cs="宋体"/>
                <w:color w:val="auto"/>
              </w:rPr>
            </w:pPr>
            <w:r>
              <w:rPr>
                <w:rFonts w:hint="eastAsia" w:ascii="宋体" w:hAnsi="宋体" w:eastAsia="宋体" w:cs="宋体"/>
                <w:color w:val="auto"/>
                <w:lang w:eastAsia="zh-CN"/>
              </w:rPr>
              <w:t>投标人</w:t>
            </w:r>
            <w:r>
              <w:rPr>
                <w:rFonts w:hint="eastAsia" w:ascii="宋体" w:hAnsi="宋体" w:eastAsia="宋体" w:cs="宋体"/>
                <w:color w:val="auto"/>
              </w:rPr>
              <w:t>未被“信用中国”网站（www.creditchina.gov.cn）列入“记录失信被执行人”、“</w:t>
            </w:r>
            <w:r>
              <w:rPr>
                <w:rFonts w:hint="eastAsia" w:ascii="宋体" w:hAnsi="宋体" w:eastAsia="宋体" w:cs="宋体"/>
                <w:color w:val="auto"/>
                <w:kern w:val="2"/>
                <w:sz w:val="21"/>
                <w:szCs w:val="21"/>
                <w:lang w:val="en-US" w:eastAsia="zh-CN" w:bidi="ar-SA"/>
              </w:rPr>
              <w:t>重大税收违法失信主体</w:t>
            </w:r>
            <w:r>
              <w:rPr>
                <w:rFonts w:hint="eastAsia" w:ascii="宋体" w:hAnsi="宋体" w:eastAsia="宋体" w:cs="宋体"/>
                <w:color w:val="auto"/>
              </w:rPr>
              <w:t>”、“政府采购严重违法失信行为”中任意一项或多项记录名单；同时，</w:t>
            </w:r>
            <w:r>
              <w:rPr>
                <w:rFonts w:hint="eastAsia" w:ascii="宋体" w:hAnsi="宋体" w:eastAsia="宋体" w:cs="宋体"/>
                <w:color w:val="auto"/>
                <w:lang w:eastAsia="zh-CN"/>
              </w:rPr>
              <w:t>投标人</w:t>
            </w:r>
            <w:r>
              <w:rPr>
                <w:rFonts w:hint="eastAsia" w:ascii="宋体" w:hAnsi="宋体" w:eastAsia="宋体" w:cs="宋体"/>
                <w:color w:val="auto"/>
              </w:rPr>
              <w:t>未处于中国政府采购网(www.ccgp.gov.cn)“政府采购严重违法失信行为信息记录”中的禁止参加政府采购活动期间。</w:t>
            </w:r>
          </w:p>
          <w:p w14:paraId="6756AB91">
            <w:pPr>
              <w:snapToGrid w:val="0"/>
              <w:rPr>
                <w:rFonts w:hint="eastAsia" w:ascii="宋体" w:hAnsi="宋体" w:eastAsia="宋体" w:cs="宋体"/>
                <w:color w:val="auto"/>
              </w:rPr>
            </w:pPr>
            <w:r>
              <w:rPr>
                <w:rFonts w:hint="eastAsia" w:ascii="宋体" w:hAnsi="宋体" w:eastAsia="宋体" w:cs="宋体"/>
                <w:color w:val="auto"/>
              </w:rPr>
              <w:t>注：以采购代理机构于投标截止时间当天在“信用中国”网站（www.creditchina.gov.cn）及中国政府采购网(www.ccgp.gov.cn)查询结果为准，由采购代理机构打印查询结果提供资格审查，如相关记录信息已失效，</w:t>
            </w:r>
            <w:r>
              <w:rPr>
                <w:rFonts w:hint="eastAsia" w:ascii="宋体" w:hAnsi="宋体" w:eastAsia="宋体" w:cs="宋体"/>
                <w:color w:val="auto"/>
                <w:lang w:eastAsia="zh-CN"/>
              </w:rPr>
              <w:t>投标人</w:t>
            </w:r>
            <w:r>
              <w:rPr>
                <w:rFonts w:hint="eastAsia" w:ascii="宋体" w:hAnsi="宋体" w:eastAsia="宋体" w:cs="宋体"/>
                <w:color w:val="auto"/>
              </w:rPr>
              <w:t>必须提供由该记录信息的执行或列入单位出具的相关证明材料。</w:t>
            </w:r>
          </w:p>
        </w:tc>
      </w:tr>
      <w:tr w14:paraId="31CBE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67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CDEEEB2">
            <w:pPr>
              <w:snapToGrid w:val="0"/>
              <w:jc w:val="center"/>
              <w:rPr>
                <w:rFonts w:hint="eastAsia" w:ascii="宋体" w:hAnsi="宋体" w:eastAsia="宋体" w:cs="宋体"/>
                <w:color w:val="auto"/>
                <w:lang w:eastAsia="zh-CN"/>
              </w:rPr>
            </w:pPr>
            <w:r>
              <w:rPr>
                <w:rFonts w:hint="eastAsia" w:ascii="宋体" w:hAnsi="宋体" w:eastAsia="宋体" w:cs="宋体"/>
                <w:color w:val="auto"/>
              </w:rPr>
              <w:t>7</w:t>
            </w:r>
          </w:p>
        </w:tc>
        <w:tc>
          <w:tcPr>
            <w:tcW w:w="234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D25D00E">
            <w:pPr>
              <w:snapToGrid w:val="0"/>
              <w:jc w:val="center"/>
              <w:rPr>
                <w:rFonts w:hint="eastAsia" w:ascii="宋体" w:hAnsi="宋体" w:eastAsia="宋体" w:cs="宋体"/>
                <w:color w:val="auto"/>
              </w:rPr>
            </w:pPr>
            <w:r>
              <w:rPr>
                <w:rFonts w:hint="eastAsia" w:ascii="宋体" w:hAnsi="宋体" w:eastAsia="宋体" w:cs="宋体"/>
                <w:color w:val="auto"/>
              </w:rPr>
              <w:t>关于联合体投标的规定</w:t>
            </w:r>
          </w:p>
        </w:tc>
        <w:tc>
          <w:tcPr>
            <w:tcW w:w="5349"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4C854B9">
            <w:pPr>
              <w:snapToGrid w:val="0"/>
              <w:rPr>
                <w:rFonts w:hint="eastAsia" w:ascii="宋体" w:hAnsi="宋体" w:eastAsia="宋体" w:cs="宋体"/>
                <w:color w:val="auto"/>
                <w:lang w:eastAsia="zh-CN"/>
              </w:rPr>
            </w:pPr>
            <w:r>
              <w:rPr>
                <w:rFonts w:hint="eastAsia" w:ascii="宋体" w:hAnsi="宋体" w:eastAsia="宋体" w:cs="宋体"/>
                <w:color w:val="auto"/>
              </w:rPr>
              <w:t>本项目接受不超过</w:t>
            </w:r>
            <w:r>
              <w:rPr>
                <w:rFonts w:hint="eastAsia" w:ascii="宋体" w:hAnsi="宋体" w:eastAsia="宋体" w:cs="宋体"/>
                <w:color w:val="auto"/>
                <w:lang w:val="en-US" w:eastAsia="zh-CN"/>
              </w:rPr>
              <w:t>3</w:t>
            </w:r>
            <w:r>
              <w:rPr>
                <w:rFonts w:hint="eastAsia" w:ascii="宋体" w:hAnsi="宋体" w:eastAsia="宋体" w:cs="宋体"/>
                <w:color w:val="auto"/>
              </w:rPr>
              <w:t>家供应商组成的联合体参与投标。投标时提交《联合体共同投标协议书》（格式详见投标文件格式）</w:t>
            </w:r>
            <w:r>
              <w:rPr>
                <w:rFonts w:hint="eastAsia" w:ascii="宋体" w:hAnsi="宋体" w:eastAsia="宋体" w:cs="宋体"/>
                <w:color w:val="auto"/>
                <w:lang w:eastAsia="zh-CN"/>
              </w:rPr>
              <w:t>。</w:t>
            </w:r>
          </w:p>
        </w:tc>
      </w:tr>
      <w:tr w14:paraId="033F5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jc w:val="center"/>
        </w:trPr>
        <w:tc>
          <w:tcPr>
            <w:tcW w:w="67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594DA37">
            <w:pPr>
              <w:snapToGrid w:val="0"/>
              <w:jc w:val="center"/>
              <w:rPr>
                <w:rFonts w:hint="eastAsia" w:ascii="宋体" w:hAnsi="宋体" w:eastAsia="宋体" w:cs="宋体"/>
                <w:color w:val="auto"/>
                <w:lang w:eastAsia="zh-CN"/>
              </w:rPr>
            </w:pPr>
            <w:r>
              <w:rPr>
                <w:rFonts w:hint="eastAsia" w:ascii="宋体" w:hAnsi="宋体" w:eastAsia="宋体" w:cs="宋体"/>
                <w:color w:val="auto"/>
                <w:lang w:val="en-US" w:eastAsia="zh-CN"/>
              </w:rPr>
              <w:t>8</w:t>
            </w:r>
          </w:p>
        </w:tc>
        <w:tc>
          <w:tcPr>
            <w:tcW w:w="234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EBF6CCC">
            <w:pPr>
              <w:snapToGrid w:val="0"/>
              <w:jc w:val="center"/>
              <w:rPr>
                <w:rFonts w:hint="eastAsia" w:ascii="宋体" w:hAnsi="宋体" w:eastAsia="宋体" w:cs="宋体"/>
                <w:color w:val="auto"/>
              </w:rPr>
            </w:pPr>
            <w:r>
              <w:rPr>
                <w:rFonts w:hint="eastAsia" w:ascii="宋体" w:hAnsi="宋体" w:eastAsia="宋体" w:cs="宋体"/>
                <w:color w:val="auto"/>
                <w:szCs w:val="21"/>
              </w:rPr>
              <w:t>其它资格证明文件</w:t>
            </w:r>
          </w:p>
        </w:tc>
        <w:tc>
          <w:tcPr>
            <w:tcW w:w="5349"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491D4BA">
            <w:pPr>
              <w:snapToGrid w:val="0"/>
              <w:rPr>
                <w:rFonts w:hint="eastAsia" w:ascii="宋体" w:hAnsi="宋体" w:eastAsia="宋体" w:cs="宋体"/>
                <w:color w:val="auto"/>
              </w:rPr>
            </w:pPr>
            <w:r>
              <w:rPr>
                <w:rFonts w:hint="eastAsia" w:ascii="宋体" w:hAnsi="宋体" w:eastAsia="宋体" w:cs="宋体"/>
                <w:color w:val="auto"/>
              </w:rPr>
              <w:t>按《招标文件》招标公告中</w:t>
            </w:r>
            <w:r>
              <w:rPr>
                <w:rFonts w:hint="eastAsia" w:ascii="宋体" w:hAnsi="宋体" w:eastAsia="宋体" w:cs="宋体"/>
                <w:color w:val="auto"/>
                <w:lang w:eastAsia="zh-CN"/>
              </w:rPr>
              <w:t>投标人</w:t>
            </w:r>
            <w:r>
              <w:rPr>
                <w:rFonts w:hint="eastAsia" w:ascii="宋体" w:hAnsi="宋体" w:eastAsia="宋体" w:cs="宋体"/>
                <w:color w:val="auto"/>
              </w:rPr>
              <w:t>资格中其他资格证明文件的要求提供证明文件。</w:t>
            </w:r>
          </w:p>
        </w:tc>
      </w:tr>
      <w:tr w14:paraId="6F9E0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7"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FE653FC">
            <w:pPr>
              <w:snapToGrid w:val="0"/>
              <w:jc w:val="center"/>
              <w:rPr>
                <w:rFonts w:hint="eastAsia" w:ascii="宋体" w:hAnsi="宋体" w:eastAsia="宋体" w:cs="宋体"/>
                <w:color w:val="auto"/>
              </w:rPr>
            </w:pPr>
          </w:p>
        </w:tc>
        <w:tc>
          <w:tcPr>
            <w:tcW w:w="234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7F915A57">
            <w:pPr>
              <w:snapToGrid w:val="0"/>
              <w:jc w:val="center"/>
              <w:rPr>
                <w:rFonts w:hint="eastAsia" w:ascii="宋体" w:hAnsi="宋体" w:eastAsia="宋体" w:cs="宋体"/>
                <w:color w:val="auto"/>
              </w:rPr>
            </w:pPr>
            <w:r>
              <w:rPr>
                <w:rFonts w:hint="eastAsia" w:ascii="宋体" w:hAnsi="宋体" w:eastAsia="宋体" w:cs="宋体"/>
                <w:color w:val="auto"/>
              </w:rPr>
              <w:t>结论</w:t>
            </w:r>
          </w:p>
        </w:tc>
        <w:tc>
          <w:tcPr>
            <w:tcW w:w="5349" w:type="dxa"/>
            <w:tcBorders>
              <w:top w:val="single" w:color="000000" w:sz="8" w:space="0"/>
              <w:left w:val="single" w:color="000000" w:sz="8" w:space="0"/>
              <w:bottom w:val="single" w:color="000000" w:sz="8" w:space="0"/>
              <w:right w:val="single" w:color="000000" w:sz="8" w:space="0"/>
            </w:tcBorders>
            <w:shd w:val="clear" w:color="auto" w:fill="FFFFFF"/>
            <w:noWrap w:val="0"/>
            <w:vAlign w:val="top"/>
          </w:tcPr>
          <w:p w14:paraId="43E32DA9">
            <w:pPr>
              <w:pStyle w:val="4"/>
              <w:adjustRightInd w:val="0"/>
              <w:snapToGrid w:val="0"/>
              <w:spacing w:before="0" w:after="0" w:line="240" w:lineRule="auto"/>
              <w:rPr>
                <w:rFonts w:hint="eastAsia" w:ascii="宋体" w:hAnsi="宋体" w:eastAsia="宋体" w:cs="宋体"/>
                <w:color w:val="auto"/>
                <w:sz w:val="21"/>
                <w:szCs w:val="21"/>
              </w:rPr>
            </w:pPr>
          </w:p>
        </w:tc>
      </w:tr>
    </w:tbl>
    <w:p w14:paraId="6093E3AB">
      <w:pPr>
        <w:snapToGrid w:val="0"/>
        <w:spacing w:line="240" w:lineRule="auto"/>
        <w:rPr>
          <w:rFonts w:hint="eastAsia" w:ascii="宋体" w:hAnsi="宋体" w:eastAsia="宋体" w:cs="宋体"/>
          <w:b/>
          <w:color w:val="auto"/>
          <w:szCs w:val="21"/>
        </w:rPr>
      </w:pPr>
      <w:r>
        <w:rPr>
          <w:rFonts w:hint="eastAsia" w:ascii="宋体" w:hAnsi="宋体" w:eastAsia="宋体" w:cs="宋体"/>
          <w:color w:val="auto"/>
        </w:rPr>
        <w:t>注：1、此表内容应当与《招标文件》招标公告中</w:t>
      </w:r>
      <w:r>
        <w:rPr>
          <w:rFonts w:hint="eastAsia" w:ascii="宋体" w:hAnsi="宋体" w:eastAsia="宋体" w:cs="宋体"/>
          <w:color w:val="auto"/>
          <w:lang w:eastAsia="zh-CN"/>
        </w:rPr>
        <w:t>投标人</w:t>
      </w:r>
      <w:r>
        <w:rPr>
          <w:rFonts w:hint="eastAsia" w:ascii="宋体" w:hAnsi="宋体" w:eastAsia="宋体" w:cs="宋体"/>
          <w:color w:val="auto"/>
        </w:rPr>
        <w:t>资格的内容一致，如有不一致，应当以《招标文件》招标公告中</w:t>
      </w:r>
      <w:r>
        <w:rPr>
          <w:rFonts w:hint="eastAsia" w:ascii="宋体" w:hAnsi="宋体" w:eastAsia="宋体" w:cs="宋体"/>
          <w:color w:val="auto"/>
          <w:lang w:eastAsia="zh-CN"/>
        </w:rPr>
        <w:t>投标人</w:t>
      </w:r>
      <w:r>
        <w:rPr>
          <w:rFonts w:hint="eastAsia" w:ascii="宋体" w:hAnsi="宋体" w:eastAsia="宋体" w:cs="宋体"/>
          <w:color w:val="auto"/>
        </w:rPr>
        <w:t>资格的内容为准。</w:t>
      </w:r>
    </w:p>
    <w:p w14:paraId="4CDADEA7">
      <w:pPr>
        <w:pStyle w:val="16"/>
        <w:widowControl w:val="0"/>
        <w:snapToGrid w:val="0"/>
        <w:spacing w:before="0" w:beforeAutospacing="0" w:after="0" w:afterAutospacing="0" w:line="240" w:lineRule="auto"/>
        <w:ind w:firstLine="420" w:firstLineChars="200"/>
        <w:jc w:val="both"/>
        <w:rPr>
          <w:rFonts w:hint="eastAsia" w:ascii="宋体" w:hAnsi="宋体" w:eastAsia="宋体" w:cs="宋体"/>
          <w:b/>
          <w:color w:val="auto"/>
          <w:kern w:val="2"/>
          <w:sz w:val="28"/>
          <w:szCs w:val="24"/>
          <w:lang w:val="en-US" w:eastAsia="zh-CN" w:bidi="ar-SA"/>
        </w:rPr>
      </w:pPr>
      <w:r>
        <w:rPr>
          <w:rFonts w:hint="eastAsia"/>
          <w:color w:val="auto"/>
          <w:kern w:val="2"/>
          <w:sz w:val="21"/>
        </w:rPr>
        <w:t>2、接受联合体投标时，组成联合体的各方均需提供上述资格证明文件。</w:t>
      </w:r>
      <w:r>
        <w:rPr>
          <w:rFonts w:hint="eastAsia"/>
          <w:b/>
          <w:color w:val="auto"/>
          <w:sz w:val="21"/>
          <w:szCs w:val="21"/>
        </w:rPr>
        <w:br w:type="page"/>
      </w:r>
      <w:r>
        <w:rPr>
          <w:rFonts w:hint="eastAsia" w:ascii="宋体" w:hAnsi="宋体" w:eastAsia="宋体" w:cs="宋体"/>
          <w:b/>
          <w:color w:val="auto"/>
          <w:kern w:val="2"/>
          <w:sz w:val="28"/>
          <w:szCs w:val="24"/>
          <w:lang w:val="en-US" w:eastAsia="zh-CN" w:bidi="ar-SA"/>
        </w:rPr>
        <w:t>附件2                  符合性审查表</w:t>
      </w:r>
    </w:p>
    <w:tbl>
      <w:tblPr>
        <w:tblStyle w:val="17"/>
        <w:tblW w:w="83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6"/>
        <w:gridCol w:w="2342"/>
        <w:gridCol w:w="5341"/>
      </w:tblGrid>
      <w:tr w14:paraId="5BA8B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676" w:type="dxa"/>
            <w:vMerge w:val="restar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94A80BD">
            <w:pPr>
              <w:snapToGrid w:val="0"/>
              <w:jc w:val="center"/>
              <w:rPr>
                <w:rFonts w:hint="eastAsia" w:ascii="宋体" w:hAnsi="宋体" w:eastAsia="宋体" w:cs="宋体"/>
                <w:b/>
                <w:bCs/>
                <w:color w:val="auto"/>
              </w:rPr>
            </w:pPr>
            <w:r>
              <w:rPr>
                <w:rFonts w:hint="eastAsia" w:ascii="宋体" w:hAnsi="宋体" w:eastAsia="宋体" w:cs="宋体"/>
                <w:b/>
                <w:bCs/>
                <w:color w:val="auto"/>
              </w:rPr>
              <w:t>序号</w:t>
            </w:r>
          </w:p>
        </w:tc>
        <w:tc>
          <w:tcPr>
            <w:tcW w:w="2342" w:type="dxa"/>
            <w:vMerge w:val="restar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4DB702F">
            <w:pPr>
              <w:snapToGrid w:val="0"/>
              <w:jc w:val="center"/>
              <w:rPr>
                <w:rFonts w:hint="eastAsia" w:ascii="宋体" w:hAnsi="宋体" w:eastAsia="宋体" w:cs="宋体"/>
                <w:b/>
                <w:bCs/>
                <w:color w:val="auto"/>
              </w:rPr>
            </w:pPr>
            <w:r>
              <w:rPr>
                <w:rFonts w:hint="eastAsia" w:ascii="宋体" w:hAnsi="宋体" w:eastAsia="宋体" w:cs="宋体"/>
                <w:b/>
                <w:bCs/>
                <w:color w:val="auto"/>
              </w:rPr>
              <w:t>审查内容</w:t>
            </w:r>
          </w:p>
        </w:tc>
        <w:tc>
          <w:tcPr>
            <w:tcW w:w="5341" w:type="dxa"/>
            <w:vMerge w:val="restart"/>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5E1AAA7">
            <w:pPr>
              <w:snapToGrid w:val="0"/>
              <w:jc w:val="center"/>
              <w:rPr>
                <w:rFonts w:hint="eastAsia" w:ascii="宋体" w:hAnsi="宋体" w:eastAsia="宋体" w:cs="宋体"/>
                <w:b/>
                <w:bCs/>
                <w:color w:val="auto"/>
              </w:rPr>
            </w:pPr>
            <w:r>
              <w:rPr>
                <w:rFonts w:hint="eastAsia" w:ascii="宋体" w:hAnsi="宋体" w:eastAsia="宋体" w:cs="宋体"/>
                <w:b/>
                <w:bCs/>
                <w:color w:val="auto"/>
              </w:rPr>
              <w:t>审查标准</w:t>
            </w:r>
          </w:p>
        </w:tc>
      </w:tr>
      <w:tr w14:paraId="0E8AB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676" w:type="dxa"/>
            <w:vMerge w:val="continue"/>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E2896BC">
            <w:pPr>
              <w:pStyle w:val="4"/>
              <w:adjustRightInd w:val="0"/>
              <w:snapToGrid w:val="0"/>
              <w:spacing w:before="0" w:after="0" w:line="240" w:lineRule="auto"/>
              <w:rPr>
                <w:rFonts w:hint="eastAsia" w:ascii="宋体" w:hAnsi="宋体" w:eastAsia="宋体" w:cs="宋体"/>
                <w:color w:val="auto"/>
              </w:rPr>
            </w:pPr>
          </w:p>
        </w:tc>
        <w:tc>
          <w:tcPr>
            <w:tcW w:w="2342" w:type="dxa"/>
            <w:vMerge w:val="continue"/>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17792F1">
            <w:pPr>
              <w:pStyle w:val="4"/>
              <w:adjustRightInd w:val="0"/>
              <w:snapToGrid w:val="0"/>
              <w:spacing w:before="0" w:after="0" w:line="240" w:lineRule="auto"/>
              <w:rPr>
                <w:rFonts w:hint="eastAsia" w:ascii="宋体" w:hAnsi="宋体" w:eastAsia="宋体" w:cs="宋体"/>
                <w:color w:val="auto"/>
                <w:sz w:val="21"/>
                <w:szCs w:val="21"/>
              </w:rPr>
            </w:pPr>
          </w:p>
        </w:tc>
        <w:tc>
          <w:tcPr>
            <w:tcW w:w="5341" w:type="dxa"/>
            <w:vMerge w:val="continue"/>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23F060B">
            <w:pPr>
              <w:pStyle w:val="4"/>
              <w:adjustRightInd w:val="0"/>
              <w:snapToGrid w:val="0"/>
              <w:spacing w:before="0" w:after="0" w:line="240" w:lineRule="auto"/>
              <w:rPr>
                <w:rFonts w:hint="eastAsia" w:ascii="宋体" w:hAnsi="宋体" w:eastAsia="宋体" w:cs="宋体"/>
                <w:color w:val="auto"/>
                <w:sz w:val="21"/>
                <w:szCs w:val="21"/>
              </w:rPr>
            </w:pPr>
          </w:p>
        </w:tc>
      </w:tr>
      <w:tr w14:paraId="7B42E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jc w:val="center"/>
        </w:trPr>
        <w:tc>
          <w:tcPr>
            <w:tcW w:w="67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6A48C2A">
            <w:pPr>
              <w:snapToGrid w:val="0"/>
              <w:jc w:val="center"/>
              <w:rPr>
                <w:rFonts w:hint="eastAsia" w:ascii="宋体" w:hAnsi="宋体" w:eastAsia="宋体" w:cs="宋体"/>
                <w:color w:val="auto"/>
              </w:rPr>
            </w:pPr>
            <w:r>
              <w:rPr>
                <w:rFonts w:hint="eastAsia" w:ascii="宋体" w:hAnsi="宋体" w:eastAsia="宋体" w:cs="宋体"/>
                <w:color w:val="auto"/>
              </w:rPr>
              <w:t>1</w:t>
            </w:r>
          </w:p>
        </w:tc>
        <w:tc>
          <w:tcPr>
            <w:tcW w:w="2342"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379A6C5">
            <w:pPr>
              <w:snapToGrid w:val="0"/>
              <w:jc w:val="center"/>
              <w:rPr>
                <w:rFonts w:ascii="宋体" w:hAnsi="宋体" w:eastAsia="宋体" w:cs="宋体"/>
                <w:color w:val="auto"/>
              </w:rPr>
            </w:pPr>
            <w:r>
              <w:rPr>
                <w:rFonts w:hint="eastAsia" w:ascii="宋体" w:hAnsi="宋体" w:eastAsia="宋体" w:cs="宋体"/>
                <w:color w:val="auto"/>
              </w:rPr>
              <w:t>投标文件的签署、盖章</w:t>
            </w:r>
          </w:p>
        </w:tc>
        <w:tc>
          <w:tcPr>
            <w:tcW w:w="5341"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0919CDE">
            <w:pPr>
              <w:snapToGrid w:val="0"/>
              <w:jc w:val="left"/>
              <w:rPr>
                <w:rFonts w:hint="eastAsia" w:ascii="宋体" w:hAnsi="宋体" w:eastAsia="宋体" w:cs="宋体"/>
                <w:color w:val="auto"/>
              </w:rPr>
            </w:pPr>
            <w:r>
              <w:rPr>
                <w:rFonts w:hint="eastAsia" w:ascii="宋体" w:hAnsi="宋体" w:eastAsia="宋体" w:cs="宋体"/>
                <w:color w:val="auto"/>
              </w:rPr>
              <w:t>按照《招标文件》中的《投标文件格式范本》编制投标文件，并按规定要求签署、盖章</w:t>
            </w:r>
          </w:p>
        </w:tc>
      </w:tr>
      <w:tr w14:paraId="77A16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6" w:hRule="atLeast"/>
          <w:jc w:val="center"/>
        </w:trPr>
        <w:tc>
          <w:tcPr>
            <w:tcW w:w="67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B2241A4">
            <w:pPr>
              <w:widowControl/>
              <w:snapToGrid w:val="0"/>
              <w:jc w:val="center"/>
              <w:rPr>
                <w:rFonts w:hint="eastAsia" w:ascii="宋体" w:hAnsi="宋体" w:eastAsia="宋体" w:cs="宋体"/>
                <w:color w:val="auto"/>
              </w:rPr>
            </w:pPr>
            <w:r>
              <w:rPr>
                <w:rFonts w:hint="eastAsia" w:ascii="宋体" w:hAnsi="宋体" w:eastAsia="宋体" w:cs="宋体"/>
                <w:color w:val="auto"/>
              </w:rPr>
              <w:t>2</w:t>
            </w:r>
          </w:p>
        </w:tc>
        <w:tc>
          <w:tcPr>
            <w:tcW w:w="2342"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57C7D4C4">
            <w:pPr>
              <w:snapToGrid w:val="0"/>
              <w:jc w:val="center"/>
              <w:rPr>
                <w:rFonts w:ascii="宋体" w:hAnsi="宋体" w:eastAsia="宋体" w:cs="宋体"/>
                <w:color w:val="auto"/>
              </w:rPr>
            </w:pPr>
            <w:r>
              <w:rPr>
                <w:rFonts w:hint="eastAsia" w:ascii="宋体" w:hAnsi="宋体" w:eastAsia="宋体" w:cs="宋体"/>
                <w:color w:val="auto"/>
              </w:rPr>
              <w:t>投标保证金</w:t>
            </w:r>
          </w:p>
        </w:tc>
        <w:tc>
          <w:tcPr>
            <w:tcW w:w="5341"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650E647">
            <w:pPr>
              <w:snapToGrid w:val="0"/>
              <w:jc w:val="left"/>
              <w:rPr>
                <w:rFonts w:hint="eastAsia" w:ascii="宋体" w:hAnsi="宋体" w:eastAsia="宋体" w:cs="宋体"/>
                <w:color w:val="auto"/>
              </w:rPr>
            </w:pPr>
            <w:r>
              <w:rPr>
                <w:rFonts w:hint="eastAsia" w:ascii="宋体" w:hAnsi="宋体" w:eastAsia="宋体" w:cs="宋体"/>
                <w:color w:val="auto"/>
              </w:rPr>
              <w:t>按《招标文件》的规定提交投标保证金</w:t>
            </w:r>
          </w:p>
        </w:tc>
      </w:tr>
      <w:tr w14:paraId="3300A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67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5F00379">
            <w:pPr>
              <w:widowControl/>
              <w:snapToGrid w:val="0"/>
              <w:jc w:val="center"/>
              <w:rPr>
                <w:rFonts w:hint="eastAsia" w:ascii="宋体" w:hAnsi="宋体" w:eastAsia="宋体" w:cs="宋体"/>
                <w:color w:val="auto"/>
              </w:rPr>
            </w:pPr>
            <w:r>
              <w:rPr>
                <w:rFonts w:hint="eastAsia" w:ascii="宋体" w:hAnsi="宋体" w:eastAsia="宋体" w:cs="宋体"/>
                <w:color w:val="auto"/>
              </w:rPr>
              <w:t>3</w:t>
            </w:r>
          </w:p>
        </w:tc>
        <w:tc>
          <w:tcPr>
            <w:tcW w:w="2342"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356DD84">
            <w:pPr>
              <w:snapToGrid w:val="0"/>
              <w:jc w:val="center"/>
              <w:rPr>
                <w:rFonts w:ascii="宋体" w:hAnsi="宋体" w:eastAsia="宋体" w:cs="宋体"/>
                <w:color w:val="auto"/>
              </w:rPr>
            </w:pPr>
            <w:r>
              <w:rPr>
                <w:rFonts w:hint="eastAsia" w:ascii="宋体" w:hAnsi="宋体" w:eastAsia="宋体" w:cs="宋体"/>
                <w:color w:val="auto"/>
              </w:rPr>
              <w:t>★实质性响应条款</w:t>
            </w:r>
          </w:p>
        </w:tc>
        <w:tc>
          <w:tcPr>
            <w:tcW w:w="5341"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097F87A">
            <w:pPr>
              <w:snapToGrid w:val="0"/>
              <w:jc w:val="left"/>
              <w:rPr>
                <w:rFonts w:ascii="宋体" w:hAnsi="宋体" w:eastAsia="宋体" w:cs="宋体"/>
                <w:color w:val="auto"/>
              </w:rPr>
            </w:pPr>
            <w:r>
              <w:rPr>
                <w:rFonts w:hint="eastAsia" w:ascii="宋体" w:hAnsi="宋体" w:eastAsia="宋体" w:cs="宋体"/>
                <w:color w:val="auto"/>
              </w:rPr>
              <w:t>《投标文件》满足《招标文件》中实质性响应条款（即标注★号条款）</w:t>
            </w:r>
          </w:p>
        </w:tc>
      </w:tr>
      <w:tr w14:paraId="512624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67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49EAE8A0">
            <w:pPr>
              <w:widowControl/>
              <w:snapToGrid w:val="0"/>
              <w:jc w:val="center"/>
              <w:rPr>
                <w:rFonts w:hint="eastAsia" w:ascii="宋体" w:hAnsi="宋体" w:eastAsia="宋体" w:cs="宋体"/>
                <w:color w:val="auto"/>
              </w:rPr>
            </w:pPr>
            <w:r>
              <w:rPr>
                <w:rFonts w:hint="eastAsia" w:ascii="宋体" w:hAnsi="宋体" w:eastAsia="宋体" w:cs="宋体"/>
                <w:color w:val="auto"/>
                <w:szCs w:val="21"/>
              </w:rPr>
              <w:t>4</w:t>
            </w:r>
          </w:p>
        </w:tc>
        <w:tc>
          <w:tcPr>
            <w:tcW w:w="2342"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6059CDB">
            <w:pPr>
              <w:snapToGrid w:val="0"/>
              <w:jc w:val="center"/>
              <w:rPr>
                <w:rFonts w:hint="eastAsia" w:ascii="宋体" w:hAnsi="宋体" w:eastAsia="宋体" w:cs="宋体"/>
                <w:color w:val="auto"/>
              </w:rPr>
            </w:pPr>
            <w:r>
              <w:rPr>
                <w:rFonts w:hint="eastAsia" w:ascii="宋体" w:hAnsi="宋体" w:eastAsia="宋体" w:cs="宋体"/>
                <w:color w:val="auto"/>
              </w:rPr>
              <w:t>投标文件有效期</w:t>
            </w:r>
          </w:p>
        </w:tc>
        <w:tc>
          <w:tcPr>
            <w:tcW w:w="5341"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965AED4">
            <w:pPr>
              <w:snapToGrid w:val="0"/>
              <w:jc w:val="left"/>
              <w:rPr>
                <w:rFonts w:ascii="宋体" w:hAnsi="宋体" w:eastAsia="宋体" w:cs="宋体"/>
                <w:color w:val="auto"/>
              </w:rPr>
            </w:pPr>
            <w:r>
              <w:rPr>
                <w:rFonts w:hint="eastAsia" w:ascii="宋体" w:hAnsi="宋体" w:eastAsia="宋体" w:cs="宋体"/>
                <w:color w:val="auto"/>
              </w:rPr>
              <w:t>符合招标文件中关于投标文件有效期的要求</w:t>
            </w:r>
          </w:p>
        </w:tc>
      </w:tr>
      <w:tr w14:paraId="6B670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67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032E4D6">
            <w:pPr>
              <w:widowControl/>
              <w:snapToGrid w:val="0"/>
              <w:jc w:val="center"/>
              <w:rPr>
                <w:rFonts w:hint="eastAsia" w:ascii="宋体" w:hAnsi="宋体" w:eastAsia="宋体" w:cs="宋体"/>
                <w:color w:val="auto"/>
              </w:rPr>
            </w:pPr>
            <w:r>
              <w:rPr>
                <w:rFonts w:hint="eastAsia" w:ascii="宋体" w:hAnsi="宋体" w:eastAsia="宋体" w:cs="宋体"/>
                <w:color w:val="auto"/>
              </w:rPr>
              <w:t>5</w:t>
            </w:r>
          </w:p>
        </w:tc>
        <w:tc>
          <w:tcPr>
            <w:tcW w:w="2342"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05F92F1F">
            <w:pPr>
              <w:snapToGrid w:val="0"/>
              <w:jc w:val="center"/>
              <w:rPr>
                <w:rFonts w:ascii="宋体" w:hAnsi="宋体" w:eastAsia="宋体" w:cs="宋体"/>
                <w:color w:val="auto"/>
              </w:rPr>
            </w:pPr>
            <w:r>
              <w:rPr>
                <w:rFonts w:hint="eastAsia" w:ascii="宋体" w:hAnsi="宋体" w:eastAsia="宋体" w:cs="宋体"/>
                <w:color w:val="auto"/>
              </w:rPr>
              <w:t>未出现串通投标情形</w:t>
            </w:r>
          </w:p>
        </w:tc>
        <w:tc>
          <w:tcPr>
            <w:tcW w:w="5341"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13C72E08">
            <w:pPr>
              <w:snapToGrid w:val="0"/>
              <w:jc w:val="left"/>
              <w:rPr>
                <w:rFonts w:ascii="宋体" w:hAnsi="宋体" w:eastAsia="宋体" w:cs="宋体"/>
                <w:color w:val="auto"/>
              </w:rPr>
            </w:pPr>
            <w:r>
              <w:rPr>
                <w:rFonts w:hint="eastAsia" w:ascii="宋体" w:hAnsi="宋体" w:eastAsia="宋体" w:cs="宋体"/>
                <w:color w:val="auto"/>
              </w:rPr>
              <w:t>未出现法律、法规所列的视为串通投标情形。</w:t>
            </w:r>
          </w:p>
        </w:tc>
      </w:tr>
      <w:tr w14:paraId="7CB6A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67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E891897">
            <w:pPr>
              <w:widowControl/>
              <w:snapToGrid w:val="0"/>
              <w:jc w:val="center"/>
              <w:rPr>
                <w:rFonts w:hint="eastAsia" w:ascii="宋体" w:hAnsi="宋体" w:eastAsia="宋体" w:cs="宋体"/>
                <w:color w:val="auto"/>
              </w:rPr>
            </w:pPr>
            <w:r>
              <w:rPr>
                <w:rFonts w:hint="eastAsia" w:ascii="宋体" w:hAnsi="宋体" w:eastAsia="宋体" w:cs="宋体"/>
                <w:color w:val="auto"/>
              </w:rPr>
              <w:t>6</w:t>
            </w:r>
          </w:p>
        </w:tc>
        <w:tc>
          <w:tcPr>
            <w:tcW w:w="2342"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3871AF42">
            <w:pPr>
              <w:snapToGrid w:val="0"/>
              <w:jc w:val="center"/>
              <w:rPr>
                <w:rFonts w:ascii="宋体" w:hAnsi="宋体" w:eastAsia="宋体" w:cs="宋体"/>
                <w:color w:val="auto"/>
              </w:rPr>
            </w:pPr>
            <w:r>
              <w:rPr>
                <w:rFonts w:hint="eastAsia" w:ascii="宋体" w:hAnsi="宋体" w:eastAsia="宋体" w:cs="宋体"/>
                <w:color w:val="auto"/>
              </w:rPr>
              <w:t>其他投标无效情形</w:t>
            </w:r>
          </w:p>
        </w:tc>
        <w:tc>
          <w:tcPr>
            <w:tcW w:w="5341"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2B6CE671">
            <w:pPr>
              <w:snapToGrid w:val="0"/>
              <w:jc w:val="left"/>
              <w:rPr>
                <w:rFonts w:hint="eastAsia" w:ascii="宋体" w:hAnsi="宋体" w:eastAsia="宋体" w:cs="宋体"/>
                <w:color w:val="auto"/>
              </w:rPr>
            </w:pPr>
            <w:r>
              <w:rPr>
                <w:rFonts w:hint="eastAsia" w:ascii="宋体" w:hAnsi="宋体" w:eastAsia="宋体" w:cs="宋体"/>
                <w:color w:val="auto"/>
              </w:rPr>
              <w:t>①投标文件含有采购人不能接受的附加条件的；</w:t>
            </w:r>
          </w:p>
          <w:p w14:paraId="059F38C1">
            <w:pPr>
              <w:snapToGrid w:val="0"/>
              <w:jc w:val="left"/>
              <w:rPr>
                <w:rFonts w:ascii="宋体" w:hAnsi="宋体" w:eastAsia="宋体" w:cs="宋体"/>
                <w:color w:val="auto"/>
              </w:rPr>
            </w:pPr>
            <w:r>
              <w:rPr>
                <w:rFonts w:hint="eastAsia" w:ascii="宋体" w:hAnsi="宋体" w:eastAsia="宋体" w:cs="宋体"/>
                <w:color w:val="auto"/>
              </w:rPr>
              <w:t>②属于法律、法规和招标文件规定的其他投标无效情形；</w:t>
            </w:r>
          </w:p>
        </w:tc>
      </w:tr>
      <w:tr w14:paraId="13A75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676"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88B8D43">
            <w:pPr>
              <w:snapToGrid w:val="0"/>
              <w:jc w:val="center"/>
              <w:rPr>
                <w:rFonts w:hint="eastAsia" w:ascii="宋体" w:hAnsi="宋体" w:eastAsia="宋体" w:cs="宋体"/>
                <w:color w:val="auto"/>
              </w:rPr>
            </w:pPr>
          </w:p>
        </w:tc>
        <w:tc>
          <w:tcPr>
            <w:tcW w:w="2342" w:type="dxa"/>
            <w:tcBorders>
              <w:top w:val="single" w:color="000000" w:sz="8" w:space="0"/>
              <w:left w:val="single" w:color="000000" w:sz="8" w:space="0"/>
              <w:bottom w:val="single" w:color="000000" w:sz="8" w:space="0"/>
              <w:right w:val="single" w:color="000000" w:sz="8" w:space="0"/>
            </w:tcBorders>
            <w:shd w:val="clear" w:color="auto" w:fill="FFFFFF"/>
            <w:noWrap w:val="0"/>
            <w:vAlign w:val="center"/>
          </w:tcPr>
          <w:p w14:paraId="643C61BD">
            <w:pPr>
              <w:snapToGrid w:val="0"/>
              <w:jc w:val="center"/>
              <w:rPr>
                <w:rFonts w:hint="eastAsia" w:ascii="宋体" w:hAnsi="宋体" w:eastAsia="宋体" w:cs="宋体"/>
                <w:color w:val="auto"/>
              </w:rPr>
            </w:pPr>
            <w:r>
              <w:rPr>
                <w:rFonts w:hint="eastAsia" w:ascii="宋体" w:hAnsi="宋体" w:eastAsia="宋体" w:cs="宋体"/>
                <w:color w:val="auto"/>
              </w:rPr>
              <w:t>结论</w:t>
            </w:r>
          </w:p>
        </w:tc>
        <w:tc>
          <w:tcPr>
            <w:tcW w:w="5341" w:type="dxa"/>
            <w:tcBorders>
              <w:top w:val="single" w:color="000000" w:sz="8" w:space="0"/>
              <w:left w:val="single" w:color="000000" w:sz="8" w:space="0"/>
              <w:bottom w:val="single" w:color="000000" w:sz="8" w:space="0"/>
              <w:right w:val="single" w:color="000000" w:sz="8" w:space="0"/>
            </w:tcBorders>
            <w:shd w:val="clear" w:color="auto" w:fill="FFFFFF"/>
            <w:noWrap w:val="0"/>
            <w:vAlign w:val="top"/>
          </w:tcPr>
          <w:p w14:paraId="7BF3BB33">
            <w:pPr>
              <w:pStyle w:val="4"/>
              <w:adjustRightInd w:val="0"/>
              <w:snapToGrid w:val="0"/>
              <w:spacing w:before="0" w:after="0" w:line="240" w:lineRule="auto"/>
              <w:rPr>
                <w:rFonts w:hint="eastAsia" w:ascii="宋体" w:hAnsi="宋体" w:eastAsia="宋体" w:cs="宋体"/>
                <w:color w:val="auto"/>
                <w:sz w:val="21"/>
                <w:szCs w:val="21"/>
              </w:rPr>
            </w:pPr>
          </w:p>
        </w:tc>
      </w:tr>
    </w:tbl>
    <w:p w14:paraId="095DB687">
      <w:pPr>
        <w:pStyle w:val="16"/>
        <w:widowControl w:val="0"/>
        <w:snapToGrid w:val="0"/>
        <w:spacing w:before="0" w:beforeAutospacing="0" w:after="0" w:afterAutospacing="0"/>
        <w:ind w:left="5903" w:hanging="5903" w:hangingChars="2800"/>
        <w:rPr>
          <w:rFonts w:hint="eastAsia"/>
          <w:b/>
          <w:color w:val="auto"/>
          <w:sz w:val="21"/>
          <w:szCs w:val="21"/>
        </w:rPr>
      </w:pPr>
    </w:p>
    <w:p w14:paraId="1F5BCCA8">
      <w:pPr>
        <w:pStyle w:val="16"/>
        <w:widowControl w:val="0"/>
        <w:snapToGrid w:val="0"/>
        <w:spacing w:before="0" w:beforeAutospacing="0" w:after="0" w:afterAutospacing="0"/>
        <w:ind w:left="5903" w:hanging="7871" w:hangingChars="2800"/>
        <w:rPr>
          <w:rFonts w:hint="eastAsia"/>
          <w:b/>
          <w:color w:val="auto"/>
          <w:sz w:val="28"/>
          <w:szCs w:val="28"/>
        </w:rPr>
      </w:pPr>
      <w:r>
        <w:rPr>
          <w:rFonts w:hint="eastAsia"/>
          <w:b/>
          <w:color w:val="auto"/>
          <w:sz w:val="28"/>
          <w:szCs w:val="28"/>
        </w:rPr>
        <w:br w:type="page"/>
      </w:r>
    </w:p>
    <w:p w14:paraId="5AD7BA2A">
      <w:pPr>
        <w:pStyle w:val="4"/>
        <w:adjustRightInd w:val="0"/>
        <w:snapToGrid w:val="0"/>
        <w:spacing w:before="0" w:after="0" w:line="240" w:lineRule="auto"/>
        <w:jc w:val="left"/>
        <w:rPr>
          <w:rFonts w:hint="eastAsia" w:ascii="宋体" w:hAnsi="宋体" w:eastAsia="宋体" w:cs="宋体"/>
          <w:color w:val="auto"/>
          <w:sz w:val="32"/>
          <w:szCs w:val="32"/>
        </w:rPr>
      </w:pPr>
      <w:r>
        <w:rPr>
          <w:rFonts w:hint="eastAsia" w:ascii="宋体" w:hAnsi="宋体" w:eastAsia="宋体" w:cs="宋体"/>
          <w:color w:val="auto"/>
          <w:szCs w:val="28"/>
        </w:rPr>
        <w:t xml:space="preserve">附件3                   </w:t>
      </w:r>
      <w:r>
        <w:rPr>
          <w:rFonts w:hint="eastAsia" w:ascii="宋体" w:hAnsi="宋体" w:eastAsia="宋体" w:cs="宋体"/>
          <w:color w:val="auto"/>
          <w:sz w:val="32"/>
          <w:szCs w:val="32"/>
        </w:rPr>
        <w:t xml:space="preserve"> 评分细则</w:t>
      </w:r>
    </w:p>
    <w:p w14:paraId="2644C5D6">
      <w:pPr>
        <w:jc w:val="center"/>
        <w:rPr>
          <w:rFonts w:hint="eastAsia" w:ascii="宋体" w:hAnsi="宋体" w:eastAsia="宋体" w:cs="宋体"/>
          <w:b/>
          <w:color w:val="auto"/>
          <w:sz w:val="28"/>
          <w:szCs w:val="28"/>
        </w:rPr>
      </w:pPr>
      <w:r>
        <w:rPr>
          <w:rFonts w:hint="eastAsia" w:ascii="宋体" w:hAnsi="宋体" w:eastAsia="宋体" w:cs="宋体"/>
          <w:b/>
          <w:color w:val="auto"/>
          <w:sz w:val="28"/>
          <w:szCs w:val="28"/>
        </w:rPr>
        <w:t>（综合评分法适用）</w:t>
      </w:r>
    </w:p>
    <w:tbl>
      <w:tblPr>
        <w:tblStyle w:val="17"/>
        <w:tblW w:w="8915" w:type="dxa"/>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133"/>
        <w:gridCol w:w="1797"/>
        <w:gridCol w:w="5290"/>
        <w:gridCol w:w="695"/>
      </w:tblGrid>
      <w:tr w14:paraId="77213B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67" w:hRule="atLeast"/>
          <w:tblHeader/>
          <w:jc w:val="center"/>
        </w:trPr>
        <w:tc>
          <w:tcPr>
            <w:tcW w:w="1133" w:type="dxa"/>
            <w:noWrap w:val="0"/>
            <w:vAlign w:val="center"/>
          </w:tcPr>
          <w:p w14:paraId="19F86D17">
            <w:pPr>
              <w:pStyle w:val="98"/>
              <w:rPr>
                <w:rFonts w:hint="eastAsia" w:ascii="宋体" w:hAnsi="宋体" w:eastAsia="宋体" w:cs="宋体"/>
                <w:b/>
                <w:bCs/>
                <w:color w:val="auto"/>
                <w:sz w:val="21"/>
                <w:szCs w:val="21"/>
              </w:rPr>
            </w:pPr>
            <w:r>
              <w:rPr>
                <w:rFonts w:hint="eastAsia" w:ascii="宋体" w:hAnsi="宋体" w:eastAsia="宋体" w:cs="宋体"/>
                <w:b/>
                <w:bCs/>
                <w:color w:val="auto"/>
                <w:sz w:val="21"/>
                <w:szCs w:val="21"/>
              </w:rPr>
              <w:t>评审因素</w:t>
            </w:r>
          </w:p>
        </w:tc>
        <w:tc>
          <w:tcPr>
            <w:tcW w:w="1797" w:type="dxa"/>
            <w:noWrap w:val="0"/>
            <w:vAlign w:val="center"/>
          </w:tcPr>
          <w:p w14:paraId="25D5DA0C">
            <w:pPr>
              <w:pStyle w:val="98"/>
              <w:rPr>
                <w:rFonts w:hint="eastAsia" w:ascii="宋体" w:hAnsi="宋体" w:eastAsia="宋体" w:cs="宋体"/>
                <w:b/>
                <w:bCs/>
                <w:color w:val="auto"/>
                <w:kern w:val="0"/>
                <w:sz w:val="21"/>
                <w:szCs w:val="21"/>
              </w:rPr>
            </w:pPr>
            <w:r>
              <w:rPr>
                <w:rFonts w:hint="eastAsia" w:ascii="宋体" w:hAnsi="宋体" w:eastAsia="宋体" w:cs="宋体"/>
                <w:b/>
                <w:bCs/>
                <w:color w:val="auto"/>
                <w:kern w:val="0"/>
                <w:sz w:val="21"/>
                <w:szCs w:val="21"/>
              </w:rPr>
              <w:t>评审分项</w:t>
            </w:r>
          </w:p>
        </w:tc>
        <w:tc>
          <w:tcPr>
            <w:tcW w:w="5290" w:type="dxa"/>
            <w:noWrap w:val="0"/>
            <w:vAlign w:val="center"/>
          </w:tcPr>
          <w:p w14:paraId="06212A3C">
            <w:pPr>
              <w:pStyle w:val="98"/>
              <w:rPr>
                <w:rFonts w:hint="eastAsia" w:ascii="宋体" w:hAnsi="宋体" w:eastAsia="宋体" w:cs="宋体"/>
                <w:b/>
                <w:bCs/>
                <w:color w:val="auto"/>
                <w:sz w:val="21"/>
                <w:szCs w:val="21"/>
              </w:rPr>
            </w:pPr>
            <w:r>
              <w:rPr>
                <w:rFonts w:hint="eastAsia" w:ascii="宋体" w:hAnsi="宋体" w:eastAsia="宋体" w:cs="宋体"/>
                <w:b/>
                <w:bCs/>
                <w:color w:val="auto"/>
                <w:sz w:val="21"/>
                <w:szCs w:val="21"/>
              </w:rPr>
              <w:t>评审细则</w:t>
            </w:r>
          </w:p>
        </w:tc>
        <w:tc>
          <w:tcPr>
            <w:tcW w:w="695" w:type="dxa"/>
            <w:noWrap w:val="0"/>
            <w:vAlign w:val="center"/>
          </w:tcPr>
          <w:p w14:paraId="2F2DA9C5">
            <w:pPr>
              <w:pStyle w:val="98"/>
              <w:rPr>
                <w:rFonts w:hint="eastAsia" w:ascii="宋体" w:hAnsi="宋体" w:eastAsia="宋体" w:cs="宋体"/>
                <w:b/>
                <w:bCs/>
                <w:color w:val="auto"/>
                <w:sz w:val="21"/>
                <w:szCs w:val="21"/>
              </w:rPr>
            </w:pPr>
            <w:r>
              <w:rPr>
                <w:rFonts w:hint="eastAsia" w:ascii="宋体" w:hAnsi="宋体" w:eastAsia="宋体" w:cs="宋体"/>
                <w:b/>
                <w:bCs/>
                <w:color w:val="auto"/>
                <w:sz w:val="21"/>
                <w:szCs w:val="21"/>
              </w:rPr>
              <w:t>满分分值</w:t>
            </w:r>
          </w:p>
        </w:tc>
      </w:tr>
      <w:tr w14:paraId="00E08E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67" w:hRule="atLeast"/>
          <w:jc w:val="center"/>
        </w:trPr>
        <w:tc>
          <w:tcPr>
            <w:tcW w:w="1133" w:type="dxa"/>
            <w:vMerge w:val="restart"/>
            <w:noWrap w:val="0"/>
            <w:vAlign w:val="center"/>
          </w:tcPr>
          <w:p w14:paraId="7E20894E">
            <w:pPr>
              <w:pStyle w:val="98"/>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技术部分</w:t>
            </w:r>
            <w:r>
              <w:rPr>
                <w:rFonts w:hint="eastAsia" w:ascii="宋体" w:hAnsi="宋体" w:eastAsia="宋体" w:cs="宋体"/>
                <w:color w:val="auto"/>
                <w:sz w:val="21"/>
                <w:szCs w:val="21"/>
                <w:lang w:eastAsia="zh-CN"/>
              </w:rPr>
              <w:t>（</w:t>
            </w:r>
            <w:r>
              <w:rPr>
                <w:rFonts w:hint="eastAsia" w:ascii="宋体" w:hAnsi="宋体" w:eastAsia="宋体" w:cs="宋体"/>
                <w:strike w:val="0"/>
                <w:dstrike w:val="0"/>
                <w:color w:val="auto"/>
                <w:sz w:val="21"/>
                <w:szCs w:val="21"/>
                <w:lang w:val="en-US" w:eastAsia="zh-CN"/>
              </w:rPr>
              <w:t>60</w:t>
            </w:r>
            <w:r>
              <w:rPr>
                <w:rFonts w:hint="eastAsia" w:ascii="宋体" w:hAnsi="宋体" w:eastAsia="宋体" w:cs="宋体"/>
                <w:color w:val="auto"/>
                <w:sz w:val="21"/>
                <w:szCs w:val="21"/>
                <w:lang w:val="en-US" w:eastAsia="zh-CN"/>
              </w:rPr>
              <w:t>分</w:t>
            </w:r>
            <w:r>
              <w:rPr>
                <w:rFonts w:hint="eastAsia" w:ascii="宋体" w:hAnsi="宋体" w:eastAsia="宋体" w:cs="宋体"/>
                <w:color w:val="auto"/>
                <w:sz w:val="21"/>
                <w:szCs w:val="21"/>
                <w:lang w:eastAsia="zh-CN"/>
              </w:rPr>
              <w:t>）</w:t>
            </w:r>
          </w:p>
        </w:tc>
        <w:tc>
          <w:tcPr>
            <w:tcW w:w="1797" w:type="dxa"/>
            <w:noWrap w:val="0"/>
            <w:vAlign w:val="center"/>
          </w:tcPr>
          <w:p w14:paraId="1C1E37BA">
            <w:pPr>
              <w:pStyle w:val="98"/>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提升改造方案</w:t>
            </w:r>
          </w:p>
          <w:p w14:paraId="55223B74">
            <w:pPr>
              <w:pStyle w:val="98"/>
              <w:jc w:val="cente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w:t>
            </w:r>
            <w:r>
              <w:rPr>
                <w:rFonts w:hint="eastAsia" w:ascii="宋体" w:hAnsi="宋体" w:eastAsia="宋体" w:cs="宋体"/>
                <w:strike w:val="0"/>
                <w:dstrike w:val="0"/>
                <w:color w:val="auto"/>
                <w:sz w:val="21"/>
                <w:szCs w:val="21"/>
                <w:lang w:val="en-US" w:eastAsia="zh-CN"/>
              </w:rPr>
              <w:t>15.0</w:t>
            </w:r>
            <w:r>
              <w:rPr>
                <w:rFonts w:hint="eastAsia" w:ascii="宋体" w:hAnsi="宋体" w:eastAsia="宋体" w:cs="宋体"/>
                <w:color w:val="auto"/>
                <w:sz w:val="21"/>
                <w:szCs w:val="21"/>
                <w:lang w:val="en-US" w:eastAsia="zh-CN"/>
              </w:rPr>
              <w:t>分）</w:t>
            </w:r>
          </w:p>
        </w:tc>
        <w:tc>
          <w:tcPr>
            <w:tcW w:w="5290" w:type="dxa"/>
            <w:noWrap w:val="0"/>
            <w:vAlign w:val="top"/>
          </w:tcPr>
          <w:p w14:paraId="5940BCB0">
            <w:pPr>
              <w:pStyle w:val="98"/>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1.根据各投标人的提升改造方案（</w:t>
            </w:r>
            <w:r>
              <w:rPr>
                <w:rFonts w:hint="eastAsia" w:ascii="宋体" w:hAnsi="宋体" w:eastAsia="宋体" w:cs="宋体"/>
                <w:strike w:val="0"/>
                <w:dstrike w:val="0"/>
                <w:color w:val="auto"/>
                <w:sz w:val="21"/>
                <w:szCs w:val="21"/>
                <w:lang w:val="en-US" w:eastAsia="zh-CN"/>
              </w:rPr>
              <w:t>包括</w:t>
            </w:r>
            <w:r>
              <w:rPr>
                <w:rFonts w:hint="eastAsia" w:ascii="宋体" w:hAnsi="宋体" w:eastAsia="宋体" w:cs="宋体"/>
                <w:b w:val="0"/>
                <w:bCs w:val="0"/>
                <w:color w:val="auto"/>
                <w:sz w:val="21"/>
                <w:szCs w:val="21"/>
                <w:u w:val="none"/>
                <w:shd w:val="clear" w:color="auto" w:fill="auto"/>
                <w:lang w:eastAsia="zh-CN"/>
              </w:rPr>
              <w:t>基础条件、</w:t>
            </w:r>
            <w:r>
              <w:rPr>
                <w:rFonts w:hint="eastAsia" w:ascii="宋体" w:hAnsi="宋体" w:eastAsia="宋体" w:cs="宋体"/>
                <w:color w:val="auto"/>
                <w:sz w:val="21"/>
                <w:szCs w:val="21"/>
                <w:u w:val="none"/>
                <w:shd w:val="clear" w:color="auto" w:fill="auto"/>
                <w:lang w:eastAsia="zh-CN"/>
              </w:rPr>
              <w:t>综合实践条件、</w:t>
            </w:r>
            <w:r>
              <w:rPr>
                <w:rFonts w:hint="eastAsia" w:ascii="宋体" w:hAnsi="宋体" w:eastAsia="宋体" w:cs="宋体"/>
                <w:color w:val="auto"/>
                <w:sz w:val="21"/>
                <w:szCs w:val="21"/>
                <w:highlight w:val="none"/>
                <w:u w:val="none"/>
                <w:shd w:val="clear" w:color="auto" w:fill="auto"/>
                <w:lang w:val="en-US" w:eastAsia="zh-CN"/>
              </w:rPr>
              <w:t>研学实践条件</w:t>
            </w:r>
            <w:r>
              <w:rPr>
                <w:rFonts w:hint="eastAsia" w:ascii="宋体" w:hAnsi="宋体" w:eastAsia="宋体" w:cs="宋体"/>
                <w:color w:val="auto"/>
                <w:sz w:val="21"/>
                <w:szCs w:val="21"/>
                <w:lang w:val="en-US" w:eastAsia="zh-CN"/>
              </w:rPr>
              <w:t>）进行评审：</w:t>
            </w:r>
          </w:p>
          <w:p w14:paraId="7C74C29D">
            <w:pPr>
              <w:pStyle w:val="98"/>
              <w:numPr>
                <w:ilvl w:val="0"/>
                <w:numId w:val="0"/>
              </w:numPr>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b w:val="0"/>
                <w:bCs w:val="0"/>
                <w:color w:val="auto"/>
                <w:sz w:val="21"/>
                <w:szCs w:val="21"/>
                <w:u w:val="none"/>
                <w:shd w:val="clear" w:color="auto" w:fill="auto"/>
                <w:lang w:eastAsia="zh-CN"/>
              </w:rPr>
              <w:t>基础条件、</w:t>
            </w:r>
            <w:r>
              <w:rPr>
                <w:rFonts w:hint="eastAsia" w:ascii="宋体" w:hAnsi="宋体" w:eastAsia="宋体" w:cs="宋体"/>
                <w:color w:val="auto"/>
                <w:sz w:val="21"/>
                <w:szCs w:val="21"/>
                <w:u w:val="none"/>
                <w:shd w:val="clear" w:color="auto" w:fill="auto"/>
                <w:lang w:eastAsia="zh-CN"/>
              </w:rPr>
              <w:t>综合实践条件、</w:t>
            </w:r>
            <w:r>
              <w:rPr>
                <w:rFonts w:hint="eastAsia" w:ascii="宋体" w:hAnsi="宋体" w:eastAsia="宋体" w:cs="宋体"/>
                <w:color w:val="auto"/>
                <w:sz w:val="21"/>
                <w:szCs w:val="21"/>
                <w:highlight w:val="none"/>
                <w:u w:val="none"/>
                <w:shd w:val="clear" w:color="auto" w:fill="auto"/>
                <w:lang w:val="en-US" w:eastAsia="zh-CN"/>
              </w:rPr>
              <w:t>研学实践条件</w:t>
            </w:r>
            <w:r>
              <w:rPr>
                <w:rFonts w:hint="eastAsia" w:ascii="宋体" w:hAnsi="宋体" w:eastAsia="宋体" w:cs="宋体"/>
                <w:color w:val="auto"/>
                <w:sz w:val="21"/>
                <w:szCs w:val="21"/>
              </w:rPr>
              <w:t>方案详细完整，合理可行性高，针对性强</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优于采购需求的</w:t>
            </w:r>
            <w:r>
              <w:rPr>
                <w:rFonts w:hint="eastAsia" w:ascii="宋体" w:hAnsi="宋体" w:eastAsia="宋体" w:cs="宋体"/>
                <w:color w:val="auto"/>
                <w:sz w:val="21"/>
                <w:szCs w:val="21"/>
              </w:rPr>
              <w:t>得</w:t>
            </w:r>
            <w:r>
              <w:rPr>
                <w:rFonts w:hint="eastAsia" w:ascii="宋体" w:hAnsi="宋体" w:eastAsia="宋体" w:cs="宋体"/>
                <w:color w:val="auto"/>
                <w:sz w:val="21"/>
                <w:szCs w:val="21"/>
                <w:lang w:val="en-US" w:eastAsia="zh-CN"/>
              </w:rPr>
              <w:t>10</w:t>
            </w:r>
            <w:r>
              <w:rPr>
                <w:rFonts w:hint="eastAsia" w:ascii="宋体" w:hAnsi="宋体" w:eastAsia="宋体" w:cs="宋体"/>
                <w:color w:val="auto"/>
                <w:sz w:val="21"/>
                <w:szCs w:val="21"/>
              </w:rPr>
              <w:t xml:space="preserve">分； </w:t>
            </w:r>
          </w:p>
          <w:p w14:paraId="7A5A8C5D">
            <w:pPr>
              <w:pStyle w:val="98"/>
              <w:numPr>
                <w:ilvl w:val="0"/>
                <w:numId w:val="0"/>
              </w:numPr>
              <w:ind w:left="0" w:leftChars="0" w:firstLine="0" w:firstLineChars="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（2）提供任意二项方案，</w:t>
            </w:r>
            <w:r>
              <w:rPr>
                <w:rFonts w:hint="eastAsia" w:ascii="宋体" w:hAnsi="宋体" w:eastAsia="宋体" w:cs="宋体"/>
                <w:color w:val="auto"/>
                <w:sz w:val="21"/>
                <w:szCs w:val="21"/>
              </w:rPr>
              <w:t>方案基本完整，针对性一般，合理性、可行性一般，基本能满足采购实际需求，得</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 xml:space="preserve">分； </w:t>
            </w:r>
          </w:p>
          <w:p w14:paraId="42FAD3D0">
            <w:pPr>
              <w:pStyle w:val="98"/>
              <w:numPr>
                <w:ilvl w:val="0"/>
                <w:numId w:val="0"/>
              </w:numPr>
              <w:ind w:left="0" w:leftChars="0" w:firstLine="0" w:firstLineChars="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（3）提供任意一项方案，</w:t>
            </w:r>
            <w:r>
              <w:rPr>
                <w:rFonts w:hint="eastAsia" w:ascii="宋体" w:hAnsi="宋体" w:eastAsia="宋体" w:cs="宋体"/>
                <w:color w:val="auto"/>
                <w:sz w:val="21"/>
                <w:szCs w:val="21"/>
              </w:rPr>
              <w:t>方案简单，针对性较差，合理性、可行性较差，不能满足采购实际需求，得</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 xml:space="preserve">分； </w:t>
            </w:r>
          </w:p>
          <w:p w14:paraId="44D44F90">
            <w:pPr>
              <w:pStyle w:val="98"/>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（4）未提供方案的得0分</w:t>
            </w:r>
            <w:r>
              <w:rPr>
                <w:rFonts w:hint="eastAsia" w:ascii="宋体" w:hAnsi="宋体" w:eastAsia="宋体" w:cs="宋体"/>
                <w:color w:val="auto"/>
                <w:sz w:val="21"/>
                <w:szCs w:val="21"/>
                <w:lang w:val="en-US" w:eastAsia="zh-CN"/>
              </w:rPr>
              <w:t>；</w:t>
            </w:r>
          </w:p>
          <w:p w14:paraId="1D891F4D">
            <w:pPr>
              <w:pStyle w:val="98"/>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2.根据各投标人的提升改造对硬件建设进行评审：</w:t>
            </w:r>
          </w:p>
          <w:p w14:paraId="3FE0E455">
            <w:pPr>
              <w:pStyle w:val="98"/>
              <w:jc w:val="both"/>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lang w:val="en-US" w:eastAsia="zh-CN"/>
              </w:rPr>
              <w:t>购置实践活动所需的物品，包括但不限于学生宿舍的床上用品、军服。</w:t>
            </w:r>
          </w:p>
          <w:p w14:paraId="04B6A1D5">
            <w:pPr>
              <w:pStyle w:val="98"/>
              <w:jc w:val="both"/>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lang w:val="en-US" w:eastAsia="zh-CN"/>
              </w:rPr>
              <w:t>添置综合实践（含劳动实践）新开设课程所需要的设施设备，包括但不限于科学实践、野炊活动。</w:t>
            </w:r>
          </w:p>
          <w:p w14:paraId="337D594F">
            <w:pPr>
              <w:pStyle w:val="98"/>
              <w:jc w:val="both"/>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按以上要求</w:t>
            </w:r>
            <w:r>
              <w:rPr>
                <w:rFonts w:hint="default" w:ascii="宋体" w:hAnsi="宋体" w:eastAsia="宋体" w:cs="宋体"/>
                <w:color w:val="auto"/>
                <w:sz w:val="21"/>
                <w:szCs w:val="21"/>
                <w:lang w:val="en-US" w:eastAsia="zh-CN"/>
              </w:rPr>
              <w:t>所配备的物质优于采购需求的得</w:t>
            </w:r>
            <w:r>
              <w:rPr>
                <w:rFonts w:hint="eastAsia" w:ascii="宋体" w:hAnsi="宋体" w:eastAsia="宋体" w:cs="宋体"/>
                <w:color w:val="auto"/>
                <w:sz w:val="21"/>
                <w:szCs w:val="21"/>
                <w:lang w:val="en-US" w:eastAsia="zh-CN"/>
              </w:rPr>
              <w:t>5</w:t>
            </w:r>
            <w:r>
              <w:rPr>
                <w:rFonts w:hint="default" w:ascii="宋体" w:hAnsi="宋体" w:eastAsia="宋体" w:cs="宋体"/>
                <w:color w:val="auto"/>
                <w:sz w:val="21"/>
                <w:szCs w:val="21"/>
                <w:lang w:val="en-US" w:eastAsia="zh-CN"/>
              </w:rPr>
              <w:t>分；</w:t>
            </w:r>
          </w:p>
          <w:p w14:paraId="002B660C">
            <w:pPr>
              <w:pStyle w:val="98"/>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按以上要求</w:t>
            </w:r>
            <w:r>
              <w:rPr>
                <w:rFonts w:hint="default" w:ascii="宋体" w:hAnsi="宋体" w:eastAsia="宋体" w:cs="宋体"/>
                <w:color w:val="auto"/>
                <w:sz w:val="21"/>
                <w:szCs w:val="21"/>
                <w:lang w:val="en-US" w:eastAsia="zh-CN"/>
              </w:rPr>
              <w:t>所配备的物质</w:t>
            </w:r>
            <w:r>
              <w:rPr>
                <w:rFonts w:hint="eastAsia" w:ascii="宋体" w:hAnsi="宋体" w:eastAsia="宋体" w:cs="宋体"/>
                <w:color w:val="auto"/>
                <w:sz w:val="21"/>
                <w:szCs w:val="21"/>
                <w:lang w:val="en-US" w:eastAsia="zh-CN"/>
              </w:rPr>
              <w:t>基本满足</w:t>
            </w:r>
            <w:r>
              <w:rPr>
                <w:rFonts w:hint="default" w:ascii="宋体" w:hAnsi="宋体" w:eastAsia="宋体" w:cs="宋体"/>
                <w:color w:val="auto"/>
                <w:sz w:val="21"/>
                <w:szCs w:val="21"/>
                <w:lang w:val="en-US" w:eastAsia="zh-CN"/>
              </w:rPr>
              <w:t>采购需求的得</w:t>
            </w:r>
            <w:r>
              <w:rPr>
                <w:rFonts w:hint="eastAsia" w:ascii="宋体" w:hAnsi="宋体" w:eastAsia="宋体" w:cs="宋体"/>
                <w:color w:val="auto"/>
                <w:sz w:val="21"/>
                <w:szCs w:val="21"/>
                <w:lang w:val="en-US" w:eastAsia="zh-CN"/>
              </w:rPr>
              <w:t>3</w:t>
            </w:r>
            <w:r>
              <w:rPr>
                <w:rFonts w:hint="default" w:ascii="宋体" w:hAnsi="宋体" w:eastAsia="宋体" w:cs="宋体"/>
                <w:color w:val="auto"/>
                <w:sz w:val="21"/>
                <w:szCs w:val="21"/>
                <w:lang w:val="en-US" w:eastAsia="zh-CN"/>
              </w:rPr>
              <w:t>分</w:t>
            </w:r>
            <w:r>
              <w:rPr>
                <w:rFonts w:hint="eastAsia" w:ascii="宋体" w:hAnsi="宋体" w:eastAsia="宋体" w:cs="宋体"/>
                <w:color w:val="auto"/>
                <w:sz w:val="21"/>
                <w:szCs w:val="21"/>
                <w:lang w:val="en-US" w:eastAsia="zh-CN"/>
              </w:rPr>
              <w:t>。</w:t>
            </w:r>
          </w:p>
          <w:p w14:paraId="268B43AB">
            <w:pPr>
              <w:pStyle w:val="98"/>
              <w:jc w:val="both"/>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其他情况不得分。</w:t>
            </w:r>
          </w:p>
        </w:tc>
        <w:tc>
          <w:tcPr>
            <w:tcW w:w="695" w:type="dxa"/>
            <w:noWrap w:val="0"/>
            <w:vAlign w:val="center"/>
          </w:tcPr>
          <w:p w14:paraId="15B62563">
            <w:pPr>
              <w:pStyle w:val="98"/>
              <w:jc w:val="center"/>
              <w:rPr>
                <w:rFonts w:hint="default" w:ascii="宋体" w:hAnsi="宋体" w:eastAsia="宋体" w:cs="宋体"/>
                <w:strike/>
                <w:dstrike w:val="0"/>
                <w:color w:val="auto"/>
                <w:sz w:val="21"/>
                <w:szCs w:val="21"/>
                <w:lang w:val="en-US" w:eastAsia="zh-CN"/>
              </w:rPr>
            </w:pPr>
            <w:r>
              <w:rPr>
                <w:rFonts w:hint="eastAsia" w:ascii="宋体" w:hAnsi="宋体" w:eastAsia="宋体" w:cs="宋体"/>
                <w:strike w:val="0"/>
                <w:dstrike w:val="0"/>
                <w:color w:val="auto"/>
                <w:sz w:val="21"/>
                <w:szCs w:val="21"/>
                <w:lang w:val="en-US" w:eastAsia="zh-CN"/>
              </w:rPr>
              <w:t>15</w:t>
            </w:r>
          </w:p>
        </w:tc>
      </w:tr>
      <w:tr w14:paraId="29AC8A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546" w:hRule="atLeast"/>
          <w:jc w:val="center"/>
        </w:trPr>
        <w:tc>
          <w:tcPr>
            <w:tcW w:w="1133" w:type="dxa"/>
            <w:vMerge w:val="continue"/>
            <w:noWrap w:val="0"/>
            <w:vAlign w:val="center"/>
          </w:tcPr>
          <w:p w14:paraId="01EB3C66">
            <w:pPr>
              <w:pStyle w:val="98"/>
              <w:rPr>
                <w:rFonts w:hint="eastAsia" w:ascii="宋体" w:hAnsi="宋体" w:eastAsia="宋体" w:cs="宋体"/>
                <w:color w:val="auto"/>
                <w:sz w:val="21"/>
                <w:szCs w:val="21"/>
              </w:rPr>
            </w:pPr>
          </w:p>
        </w:tc>
        <w:tc>
          <w:tcPr>
            <w:tcW w:w="1797" w:type="dxa"/>
            <w:noWrap w:val="0"/>
            <w:vAlign w:val="center"/>
          </w:tcPr>
          <w:p w14:paraId="3D83ED27">
            <w:pPr>
              <w:pStyle w:val="101"/>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日常运营管理方案 (</w:t>
            </w:r>
            <w:r>
              <w:rPr>
                <w:rFonts w:hint="eastAsia" w:ascii="宋体" w:hAnsi="宋体" w:cs="宋体"/>
                <w:strike w:val="0"/>
                <w:dstrike w:val="0"/>
                <w:color w:val="auto"/>
                <w:kern w:val="2"/>
                <w:sz w:val="21"/>
                <w:szCs w:val="21"/>
                <w:lang w:val="en-US" w:eastAsia="zh-CN" w:bidi="ar-SA"/>
              </w:rPr>
              <w:t>10.0</w:t>
            </w:r>
            <w:r>
              <w:rPr>
                <w:rFonts w:hint="eastAsia" w:ascii="宋体" w:hAnsi="宋体" w:eastAsia="宋体" w:cs="宋体"/>
                <w:color w:val="auto"/>
                <w:kern w:val="2"/>
                <w:sz w:val="21"/>
                <w:szCs w:val="21"/>
                <w:lang w:val="en-US" w:eastAsia="zh-CN" w:bidi="ar-SA"/>
              </w:rPr>
              <w:t>分)</w:t>
            </w:r>
          </w:p>
        </w:tc>
        <w:tc>
          <w:tcPr>
            <w:tcW w:w="5290" w:type="dxa"/>
            <w:noWrap w:val="0"/>
            <w:vAlign w:val="top"/>
          </w:tcPr>
          <w:p w14:paraId="27384E0A">
            <w:pPr>
              <w:pStyle w:val="98"/>
              <w:jc w:val="both"/>
              <w:rPr>
                <w:rFonts w:hint="default" w:ascii="宋体" w:hAnsi="宋体" w:eastAsia="宋体" w:cs="宋体"/>
                <w:color w:val="auto"/>
                <w:kern w:val="2"/>
                <w:sz w:val="21"/>
                <w:szCs w:val="21"/>
                <w:lang w:val="en-US" w:eastAsia="zh-CN" w:bidi="ar-SA"/>
              </w:rPr>
            </w:pPr>
            <w:r>
              <w:rPr>
                <w:rFonts w:hint="eastAsia" w:ascii="宋体" w:hAnsi="宋体" w:eastAsia="宋体" w:cs="宋体"/>
                <w:color w:val="auto"/>
                <w:sz w:val="21"/>
                <w:szCs w:val="21"/>
                <w:lang w:val="en-US" w:eastAsia="zh-CN"/>
              </w:rPr>
              <w:t>根据各投标人</w:t>
            </w:r>
            <w:r>
              <w:rPr>
                <w:rFonts w:hint="eastAsia" w:ascii="宋体" w:hAnsi="宋体" w:eastAsia="宋体" w:cs="宋体"/>
                <w:color w:val="auto"/>
                <w:sz w:val="21"/>
                <w:szCs w:val="21"/>
              </w:rPr>
              <w:t>提供的</w:t>
            </w:r>
            <w:r>
              <w:rPr>
                <w:rFonts w:hint="eastAsia" w:ascii="宋体" w:hAnsi="宋体" w:eastAsia="宋体" w:cs="宋体"/>
                <w:strike w:val="0"/>
                <w:dstrike w:val="0"/>
                <w:color w:val="auto"/>
                <w:sz w:val="21"/>
                <w:szCs w:val="21"/>
                <w:lang w:val="en-US" w:eastAsia="zh-CN"/>
              </w:rPr>
              <w:t>管理方案、服务方案</w:t>
            </w:r>
            <w:r>
              <w:rPr>
                <w:rFonts w:hint="eastAsia" w:ascii="宋体" w:hAnsi="宋体" w:eastAsia="宋体" w:cs="宋体"/>
                <w:color w:val="auto"/>
                <w:sz w:val="21"/>
                <w:szCs w:val="21"/>
                <w:lang w:val="en-US" w:eastAsia="zh-CN"/>
              </w:rPr>
              <w:t>进行评审：</w:t>
            </w:r>
          </w:p>
          <w:p w14:paraId="7415F26D">
            <w:pPr>
              <w:pStyle w:val="98"/>
              <w:numPr>
                <w:ilvl w:val="0"/>
                <w:numId w:val="0"/>
              </w:numPr>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方案详细完整，合理可行性高，针对性强</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优于采购需求的</w:t>
            </w:r>
            <w:r>
              <w:rPr>
                <w:rFonts w:hint="eastAsia" w:ascii="宋体" w:hAnsi="宋体" w:eastAsia="宋体" w:cs="宋体"/>
                <w:color w:val="auto"/>
                <w:sz w:val="21"/>
                <w:szCs w:val="21"/>
              </w:rPr>
              <w:t>得</w:t>
            </w:r>
            <w:r>
              <w:rPr>
                <w:rFonts w:hint="eastAsia" w:ascii="宋体" w:hAnsi="宋体" w:eastAsia="宋体" w:cs="宋体"/>
                <w:color w:val="auto"/>
                <w:sz w:val="21"/>
                <w:szCs w:val="21"/>
                <w:lang w:val="en-US" w:eastAsia="zh-CN"/>
              </w:rPr>
              <w:t>10</w:t>
            </w:r>
            <w:r>
              <w:rPr>
                <w:rFonts w:hint="eastAsia" w:ascii="宋体" w:hAnsi="宋体" w:eastAsia="宋体" w:cs="宋体"/>
                <w:color w:val="auto"/>
                <w:sz w:val="21"/>
                <w:szCs w:val="21"/>
              </w:rPr>
              <w:t xml:space="preserve">分； </w:t>
            </w:r>
          </w:p>
          <w:p w14:paraId="786E7C22">
            <w:pPr>
              <w:pStyle w:val="98"/>
              <w:numPr>
                <w:ilvl w:val="0"/>
                <w:numId w:val="0"/>
              </w:numPr>
              <w:ind w:left="0" w:leftChars="0" w:firstLine="0" w:firstLineChars="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rPr>
              <w:t>方案基本完整，针对性一般，合理性、可行性一般，基本能满足采购实际需求，得</w:t>
            </w:r>
            <w:r>
              <w:rPr>
                <w:rFonts w:hint="eastAsia" w:ascii="宋体" w:hAnsi="宋体" w:eastAsia="宋体" w:cs="宋体"/>
                <w:color w:val="auto"/>
                <w:sz w:val="21"/>
                <w:szCs w:val="21"/>
                <w:lang w:val="en-US" w:eastAsia="zh-CN"/>
              </w:rPr>
              <w:t>7</w:t>
            </w:r>
            <w:r>
              <w:rPr>
                <w:rFonts w:hint="eastAsia" w:ascii="宋体" w:hAnsi="宋体" w:eastAsia="宋体" w:cs="宋体"/>
                <w:color w:val="auto"/>
                <w:sz w:val="21"/>
                <w:szCs w:val="21"/>
              </w:rPr>
              <w:t xml:space="preserve">分； </w:t>
            </w:r>
          </w:p>
          <w:p w14:paraId="0B896FCF">
            <w:pPr>
              <w:pStyle w:val="98"/>
              <w:numPr>
                <w:ilvl w:val="0"/>
                <w:numId w:val="0"/>
              </w:numPr>
              <w:ind w:left="0" w:leftChars="0" w:firstLine="0" w:firstLineChars="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方案简单，针对性较差，合理性、可行性较差，不能满足采购实际需求，得</w:t>
            </w:r>
            <w:r>
              <w:rPr>
                <w:rFonts w:hint="eastAsia" w:ascii="宋体" w:hAnsi="宋体" w:eastAsia="宋体" w:cs="宋体"/>
                <w:color w:val="auto"/>
                <w:sz w:val="21"/>
                <w:szCs w:val="21"/>
                <w:lang w:val="en-US" w:eastAsia="zh-CN"/>
              </w:rPr>
              <w:t>4</w:t>
            </w:r>
            <w:r>
              <w:rPr>
                <w:rFonts w:hint="eastAsia" w:ascii="宋体" w:hAnsi="宋体" w:eastAsia="宋体" w:cs="宋体"/>
                <w:color w:val="auto"/>
                <w:sz w:val="21"/>
                <w:szCs w:val="21"/>
              </w:rPr>
              <w:t xml:space="preserve">分； </w:t>
            </w:r>
          </w:p>
          <w:p w14:paraId="4566D3C6">
            <w:pPr>
              <w:pStyle w:val="101"/>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（4）未提供方案的得0分。</w:t>
            </w:r>
          </w:p>
        </w:tc>
        <w:tc>
          <w:tcPr>
            <w:tcW w:w="695" w:type="dxa"/>
            <w:noWrap w:val="0"/>
            <w:vAlign w:val="center"/>
          </w:tcPr>
          <w:p w14:paraId="056764D5">
            <w:pPr>
              <w:pStyle w:val="101"/>
              <w:jc w:val="center"/>
              <w:rPr>
                <w:rFonts w:hint="default" w:ascii="宋体" w:hAnsi="宋体" w:eastAsia="宋体" w:cs="宋体"/>
                <w:color w:val="auto"/>
                <w:sz w:val="21"/>
                <w:szCs w:val="21"/>
                <w:lang w:val="en-US" w:eastAsia="zh-CN"/>
              </w:rPr>
            </w:pPr>
            <w:r>
              <w:rPr>
                <w:rFonts w:hint="eastAsia" w:ascii="宋体" w:hAnsi="宋体" w:cs="宋体"/>
                <w:strike w:val="0"/>
                <w:dstrike w:val="0"/>
                <w:color w:val="auto"/>
                <w:sz w:val="21"/>
                <w:szCs w:val="21"/>
                <w:lang w:val="en-US" w:eastAsia="zh-CN"/>
              </w:rPr>
              <w:t>10</w:t>
            </w:r>
          </w:p>
        </w:tc>
      </w:tr>
      <w:tr w14:paraId="0D6052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896" w:hRule="atLeast"/>
          <w:jc w:val="center"/>
        </w:trPr>
        <w:tc>
          <w:tcPr>
            <w:tcW w:w="1133" w:type="dxa"/>
            <w:vMerge w:val="continue"/>
            <w:noWrap w:val="0"/>
            <w:vAlign w:val="center"/>
          </w:tcPr>
          <w:p w14:paraId="6EBFB2FC">
            <w:pPr>
              <w:pStyle w:val="98"/>
              <w:rPr>
                <w:rFonts w:hint="eastAsia" w:ascii="宋体" w:hAnsi="宋体" w:eastAsia="宋体" w:cs="宋体"/>
                <w:color w:val="auto"/>
                <w:sz w:val="21"/>
                <w:szCs w:val="21"/>
              </w:rPr>
            </w:pPr>
          </w:p>
        </w:tc>
        <w:tc>
          <w:tcPr>
            <w:tcW w:w="1797" w:type="dxa"/>
            <w:noWrap w:val="0"/>
            <w:vAlign w:val="center"/>
          </w:tcPr>
          <w:p w14:paraId="76E79AE3">
            <w:pPr>
              <w:pStyle w:val="98"/>
              <w:jc w:val="center"/>
              <w:rPr>
                <w:rFonts w:hint="eastAsia" w:ascii="宋体" w:hAnsi="宋体" w:eastAsia="宋体" w:cs="宋体"/>
                <w:color w:val="auto"/>
                <w:sz w:val="21"/>
                <w:szCs w:val="21"/>
              </w:rPr>
            </w:pPr>
            <w:bookmarkStart w:id="72" w:name="OLE_LINK9"/>
            <w:r>
              <w:rPr>
                <w:rFonts w:hint="eastAsia" w:ascii="宋体" w:hAnsi="宋体" w:eastAsia="宋体" w:cs="宋体"/>
                <w:color w:val="auto"/>
                <w:sz w:val="21"/>
                <w:szCs w:val="21"/>
              </w:rPr>
              <w:t>课程开发</w:t>
            </w:r>
            <w:r>
              <w:rPr>
                <w:rFonts w:hint="eastAsia" w:ascii="宋体" w:hAnsi="宋体" w:eastAsia="宋体" w:cs="宋体"/>
                <w:color w:val="auto"/>
                <w:sz w:val="21"/>
                <w:szCs w:val="21"/>
                <w:lang w:val="en-US" w:eastAsia="zh-CN"/>
              </w:rPr>
              <w:t>与实施</w:t>
            </w:r>
            <w:r>
              <w:rPr>
                <w:rFonts w:hint="eastAsia" w:ascii="宋体" w:hAnsi="宋体" w:eastAsia="宋体" w:cs="宋体"/>
                <w:color w:val="auto"/>
                <w:sz w:val="21"/>
                <w:szCs w:val="21"/>
              </w:rPr>
              <w:t>方案</w:t>
            </w:r>
          </w:p>
          <w:bookmarkEnd w:id="72"/>
          <w:p w14:paraId="4859569C">
            <w:pPr>
              <w:pStyle w:val="98"/>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 xml:space="preserve"> (</w:t>
            </w:r>
            <w:r>
              <w:rPr>
                <w:rFonts w:hint="eastAsia" w:ascii="宋体" w:hAnsi="宋体" w:eastAsia="宋体" w:cs="宋体"/>
                <w:strike w:val="0"/>
                <w:dstrike w:val="0"/>
                <w:color w:val="auto"/>
                <w:sz w:val="21"/>
                <w:szCs w:val="21"/>
                <w:lang w:val="en-US" w:eastAsia="zh-CN"/>
              </w:rPr>
              <w:t>15.0</w:t>
            </w:r>
            <w:r>
              <w:rPr>
                <w:rFonts w:hint="eastAsia" w:ascii="宋体" w:hAnsi="宋体" w:eastAsia="宋体" w:cs="宋体"/>
                <w:color w:val="auto"/>
                <w:sz w:val="21"/>
                <w:szCs w:val="21"/>
              </w:rPr>
              <w:t>分)</w:t>
            </w:r>
          </w:p>
        </w:tc>
        <w:tc>
          <w:tcPr>
            <w:tcW w:w="5290" w:type="dxa"/>
            <w:noWrap w:val="0"/>
            <w:vAlign w:val="top"/>
          </w:tcPr>
          <w:p w14:paraId="162BB27F">
            <w:pPr>
              <w:pStyle w:val="98"/>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根据各投标人</w:t>
            </w:r>
            <w:r>
              <w:rPr>
                <w:rFonts w:hint="eastAsia" w:ascii="宋体" w:hAnsi="宋体" w:eastAsia="宋体" w:cs="宋体"/>
                <w:color w:val="auto"/>
                <w:sz w:val="21"/>
                <w:szCs w:val="21"/>
              </w:rPr>
              <w:t>提供的</w:t>
            </w:r>
            <w:r>
              <w:rPr>
                <w:rFonts w:hint="eastAsia" w:ascii="宋体" w:hAnsi="宋体" w:eastAsia="宋体" w:cs="宋体"/>
                <w:strike w:val="0"/>
                <w:dstrike w:val="0"/>
                <w:color w:val="auto"/>
                <w:sz w:val="21"/>
                <w:szCs w:val="21"/>
                <w:u w:val="none"/>
                <w:shd w:val="clear" w:color="auto" w:fill="auto"/>
                <w:lang w:eastAsia="zh-CN"/>
              </w:rPr>
              <w:t>实践活动课程体系、具体的</w:t>
            </w:r>
            <w:r>
              <w:rPr>
                <w:rFonts w:hint="eastAsia" w:ascii="宋体" w:hAnsi="宋体" w:eastAsia="宋体" w:cs="宋体"/>
                <w:color w:val="auto"/>
                <w:sz w:val="21"/>
                <w:szCs w:val="21"/>
                <w:u w:val="none"/>
                <w:shd w:val="clear" w:color="auto" w:fill="auto"/>
              </w:rPr>
              <w:t>实践</w:t>
            </w:r>
            <w:r>
              <w:rPr>
                <w:rFonts w:hint="eastAsia" w:ascii="宋体" w:hAnsi="宋体" w:eastAsia="宋体" w:cs="宋体"/>
                <w:color w:val="auto"/>
                <w:sz w:val="21"/>
                <w:szCs w:val="21"/>
                <w:u w:val="none"/>
                <w:shd w:val="clear" w:color="auto" w:fill="auto"/>
                <w:lang w:eastAsia="zh-CN"/>
              </w:rPr>
              <w:t>活动</w:t>
            </w:r>
            <w:r>
              <w:rPr>
                <w:rFonts w:hint="eastAsia" w:ascii="宋体" w:hAnsi="宋体" w:eastAsia="宋体" w:cs="宋体"/>
                <w:color w:val="auto"/>
                <w:sz w:val="21"/>
                <w:szCs w:val="21"/>
                <w:u w:val="none"/>
                <w:shd w:val="clear" w:color="auto" w:fill="auto"/>
              </w:rPr>
              <w:t>课程</w:t>
            </w:r>
            <w:r>
              <w:rPr>
                <w:rFonts w:hint="eastAsia" w:ascii="宋体" w:hAnsi="宋体" w:eastAsia="宋体" w:cs="宋体"/>
                <w:color w:val="auto"/>
                <w:sz w:val="21"/>
                <w:szCs w:val="21"/>
                <w:u w:val="none"/>
                <w:shd w:val="clear" w:color="auto" w:fill="auto"/>
                <w:lang w:eastAsia="zh-CN"/>
              </w:rPr>
              <w:t>方案（综合实践、研学实践、劳动实践）</w:t>
            </w:r>
            <w:r>
              <w:rPr>
                <w:rFonts w:hint="eastAsia" w:ascii="宋体" w:hAnsi="宋体" w:eastAsia="宋体" w:cs="宋体"/>
                <w:color w:val="auto"/>
                <w:sz w:val="21"/>
                <w:szCs w:val="21"/>
                <w:lang w:val="en-US" w:eastAsia="zh-CN"/>
              </w:rPr>
              <w:t>进行评审：</w:t>
            </w:r>
          </w:p>
          <w:p w14:paraId="0CEA17C9">
            <w:pPr>
              <w:pStyle w:val="98"/>
              <w:numPr>
                <w:ilvl w:val="0"/>
                <w:numId w:val="0"/>
              </w:numPr>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方案详细完整，合理可行性高，针对性强</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优于采购需求，如自有开发课程或取得专利等证明的</w:t>
            </w:r>
            <w:r>
              <w:rPr>
                <w:rFonts w:hint="eastAsia" w:ascii="宋体" w:hAnsi="宋体" w:eastAsia="宋体" w:cs="宋体"/>
                <w:color w:val="auto"/>
                <w:sz w:val="21"/>
                <w:szCs w:val="21"/>
              </w:rPr>
              <w:t>得</w:t>
            </w:r>
            <w:r>
              <w:rPr>
                <w:rFonts w:hint="eastAsia" w:ascii="宋体" w:hAnsi="宋体" w:eastAsia="宋体" w:cs="宋体"/>
                <w:color w:val="auto"/>
                <w:sz w:val="21"/>
                <w:szCs w:val="21"/>
                <w:lang w:val="en-US" w:eastAsia="zh-CN"/>
              </w:rPr>
              <w:t>15</w:t>
            </w:r>
            <w:r>
              <w:rPr>
                <w:rFonts w:hint="eastAsia" w:ascii="宋体" w:hAnsi="宋体" w:eastAsia="宋体" w:cs="宋体"/>
                <w:color w:val="auto"/>
                <w:sz w:val="21"/>
                <w:szCs w:val="21"/>
              </w:rPr>
              <w:t>分；</w:t>
            </w:r>
          </w:p>
          <w:p w14:paraId="32F28E8D">
            <w:pPr>
              <w:pStyle w:val="98"/>
              <w:numPr>
                <w:ilvl w:val="0"/>
                <w:numId w:val="0"/>
              </w:numPr>
              <w:ind w:left="0" w:leftChars="0" w:firstLine="0" w:firstLineChars="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rPr>
              <w:t>方案基本完整，针对性一般，合理性、可行性一般，基本能满足采购实际需求，得</w:t>
            </w:r>
            <w:r>
              <w:rPr>
                <w:rFonts w:hint="eastAsia" w:ascii="宋体" w:hAnsi="宋体" w:eastAsia="宋体" w:cs="宋体"/>
                <w:color w:val="auto"/>
                <w:sz w:val="21"/>
                <w:szCs w:val="21"/>
                <w:lang w:val="en-US" w:eastAsia="zh-CN"/>
              </w:rPr>
              <w:t>10</w:t>
            </w:r>
            <w:r>
              <w:rPr>
                <w:rFonts w:hint="eastAsia" w:ascii="宋体" w:hAnsi="宋体" w:eastAsia="宋体" w:cs="宋体"/>
                <w:color w:val="auto"/>
                <w:sz w:val="21"/>
                <w:szCs w:val="21"/>
              </w:rPr>
              <w:t xml:space="preserve">分； </w:t>
            </w:r>
          </w:p>
          <w:p w14:paraId="071F134A">
            <w:pPr>
              <w:pStyle w:val="98"/>
              <w:numPr>
                <w:ilvl w:val="0"/>
                <w:numId w:val="0"/>
              </w:numPr>
              <w:ind w:left="0" w:leftChars="0" w:firstLine="0" w:firstLineChars="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方案简单，针对性较差，合理性、可行性较差，不能满足采购实际需求，得</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 xml:space="preserve">分； </w:t>
            </w:r>
          </w:p>
          <w:p w14:paraId="19627D95">
            <w:pPr>
              <w:pStyle w:val="98"/>
              <w:jc w:val="both"/>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sz w:val="21"/>
                <w:szCs w:val="21"/>
              </w:rPr>
              <w:t>（4）未提供方案的得0分。</w:t>
            </w:r>
          </w:p>
        </w:tc>
        <w:tc>
          <w:tcPr>
            <w:tcW w:w="695" w:type="dxa"/>
            <w:noWrap w:val="0"/>
            <w:vAlign w:val="center"/>
          </w:tcPr>
          <w:p w14:paraId="7FF545E5">
            <w:pPr>
              <w:pStyle w:val="98"/>
              <w:jc w:val="center"/>
              <w:rPr>
                <w:rFonts w:hint="default" w:ascii="宋体" w:hAnsi="宋体" w:eastAsia="宋体" w:cs="宋体"/>
                <w:strike/>
                <w:dstrike w:val="0"/>
                <w:color w:val="auto"/>
                <w:sz w:val="21"/>
                <w:szCs w:val="21"/>
                <w:lang w:val="en-US" w:eastAsia="zh-CN"/>
              </w:rPr>
            </w:pPr>
            <w:r>
              <w:rPr>
                <w:rFonts w:hint="eastAsia" w:ascii="宋体" w:hAnsi="宋体" w:eastAsia="宋体" w:cs="宋体"/>
                <w:strike w:val="0"/>
                <w:dstrike w:val="0"/>
                <w:color w:val="auto"/>
                <w:sz w:val="21"/>
                <w:szCs w:val="21"/>
                <w:lang w:val="en-US" w:eastAsia="zh-CN"/>
              </w:rPr>
              <w:t>15</w:t>
            </w:r>
          </w:p>
        </w:tc>
      </w:tr>
      <w:tr w14:paraId="05F3B7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896" w:hRule="atLeast"/>
          <w:jc w:val="center"/>
        </w:trPr>
        <w:tc>
          <w:tcPr>
            <w:tcW w:w="1133" w:type="dxa"/>
            <w:vMerge w:val="continue"/>
            <w:noWrap w:val="0"/>
            <w:vAlign w:val="center"/>
          </w:tcPr>
          <w:p w14:paraId="0DFC64E2">
            <w:pPr>
              <w:pStyle w:val="98"/>
              <w:rPr>
                <w:rFonts w:hint="eastAsia" w:ascii="宋体" w:hAnsi="宋体" w:eastAsia="宋体" w:cs="宋体"/>
                <w:color w:val="auto"/>
                <w:sz w:val="21"/>
                <w:szCs w:val="21"/>
              </w:rPr>
            </w:pPr>
          </w:p>
        </w:tc>
        <w:tc>
          <w:tcPr>
            <w:tcW w:w="1797" w:type="dxa"/>
            <w:noWrap w:val="0"/>
            <w:vAlign w:val="center"/>
          </w:tcPr>
          <w:p w14:paraId="0E099273">
            <w:pPr>
              <w:pStyle w:val="101"/>
              <w:jc w:val="center"/>
              <w:rPr>
                <w:rFonts w:hint="eastAsia" w:ascii="宋体" w:hAnsi="宋体" w:eastAsia="宋体" w:cs="宋体"/>
                <w:color w:val="auto"/>
                <w:kern w:val="2"/>
                <w:sz w:val="21"/>
                <w:szCs w:val="21"/>
                <w:lang w:val="en-US" w:eastAsia="zh-CN" w:bidi="ar-SA"/>
              </w:rPr>
            </w:pPr>
            <w:bookmarkStart w:id="73" w:name="OLE_LINK14"/>
            <w:r>
              <w:rPr>
                <w:rFonts w:hint="eastAsia" w:ascii="宋体" w:hAnsi="宋体" w:eastAsia="宋体" w:cs="宋体"/>
                <w:color w:val="auto"/>
                <w:kern w:val="2"/>
                <w:sz w:val="21"/>
                <w:szCs w:val="21"/>
                <w:lang w:val="en-US" w:eastAsia="zh-CN" w:bidi="ar-SA"/>
              </w:rPr>
              <w:t>师资队伍</w:t>
            </w:r>
            <w:bookmarkEnd w:id="73"/>
            <w:r>
              <w:rPr>
                <w:rFonts w:hint="eastAsia" w:ascii="宋体" w:hAnsi="宋体" w:eastAsia="宋体" w:cs="宋体"/>
                <w:color w:val="auto"/>
                <w:kern w:val="2"/>
                <w:sz w:val="21"/>
                <w:szCs w:val="21"/>
                <w:lang w:val="en-US" w:eastAsia="zh-CN" w:bidi="ar-SA"/>
              </w:rPr>
              <w:t>建设</w:t>
            </w:r>
            <w:r>
              <w:rPr>
                <w:rFonts w:hint="eastAsia" w:ascii="宋体" w:hAnsi="宋体" w:eastAsia="宋体" w:cs="宋体"/>
                <w:color w:val="auto"/>
                <w:sz w:val="21"/>
                <w:szCs w:val="21"/>
              </w:rPr>
              <w:t xml:space="preserve"> (</w:t>
            </w:r>
            <w:r>
              <w:rPr>
                <w:rFonts w:hint="eastAsia" w:ascii="宋体" w:hAnsi="宋体" w:eastAsia="宋体" w:cs="宋体"/>
                <w:color w:val="auto"/>
                <w:sz w:val="21"/>
                <w:szCs w:val="21"/>
                <w:lang w:val="en-US" w:eastAsia="zh-CN"/>
              </w:rPr>
              <w:t>10</w:t>
            </w:r>
            <w:r>
              <w:rPr>
                <w:rFonts w:hint="eastAsia" w:ascii="宋体" w:hAnsi="宋体" w:eastAsia="宋体" w:cs="宋体"/>
                <w:color w:val="auto"/>
                <w:sz w:val="21"/>
                <w:szCs w:val="21"/>
              </w:rPr>
              <w:t>.0分)</w:t>
            </w:r>
          </w:p>
        </w:tc>
        <w:tc>
          <w:tcPr>
            <w:tcW w:w="5290" w:type="dxa"/>
            <w:noWrap w:val="0"/>
            <w:vAlign w:val="top"/>
          </w:tcPr>
          <w:p w14:paraId="2B458B4B">
            <w:pPr>
              <w:pStyle w:val="98"/>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根据各投标人</w:t>
            </w:r>
            <w:r>
              <w:rPr>
                <w:rFonts w:hint="eastAsia" w:ascii="宋体" w:hAnsi="宋体" w:eastAsia="宋体" w:cs="宋体"/>
                <w:color w:val="auto"/>
                <w:sz w:val="21"/>
                <w:szCs w:val="21"/>
                <w:u w:val="none"/>
                <w:shd w:val="clear" w:color="auto" w:fill="auto"/>
              </w:rPr>
              <w:t>制定</w:t>
            </w:r>
            <w:r>
              <w:rPr>
                <w:rFonts w:hint="eastAsia" w:ascii="宋体" w:hAnsi="宋体" w:eastAsia="宋体" w:cs="宋体"/>
                <w:color w:val="auto"/>
                <w:sz w:val="21"/>
                <w:szCs w:val="21"/>
                <w:u w:val="none"/>
                <w:shd w:val="clear" w:color="auto" w:fill="auto"/>
                <w:lang w:eastAsia="zh-CN"/>
              </w:rPr>
              <w:t>的</w:t>
            </w:r>
            <w:r>
              <w:rPr>
                <w:rFonts w:hint="eastAsia" w:ascii="宋体" w:hAnsi="宋体" w:eastAsia="宋体" w:cs="宋体"/>
                <w:color w:val="auto"/>
                <w:sz w:val="21"/>
                <w:szCs w:val="21"/>
                <w:u w:val="none"/>
                <w:shd w:val="clear" w:color="auto" w:fill="auto"/>
              </w:rPr>
              <w:t>师资招聘</w:t>
            </w:r>
            <w:r>
              <w:rPr>
                <w:rFonts w:hint="eastAsia" w:ascii="宋体" w:hAnsi="宋体" w:eastAsia="宋体" w:cs="宋体"/>
                <w:color w:val="auto"/>
                <w:sz w:val="21"/>
                <w:szCs w:val="21"/>
                <w:u w:val="none"/>
                <w:shd w:val="clear" w:color="auto" w:fill="auto"/>
                <w:lang w:eastAsia="zh-CN"/>
              </w:rPr>
              <w:t>资格条件、</w:t>
            </w:r>
            <w:r>
              <w:rPr>
                <w:rFonts w:hint="eastAsia" w:ascii="宋体" w:hAnsi="宋体" w:eastAsia="宋体" w:cs="宋体"/>
                <w:color w:val="auto"/>
                <w:kern w:val="2"/>
                <w:sz w:val="21"/>
                <w:szCs w:val="21"/>
                <w:lang w:val="en-US" w:eastAsia="zh-CN" w:bidi="ar-SA"/>
              </w:rPr>
              <w:t>师资队伍人员配备方案、</w:t>
            </w:r>
            <w:r>
              <w:rPr>
                <w:rFonts w:hint="eastAsia" w:ascii="宋体" w:hAnsi="宋体" w:eastAsia="宋体" w:cs="宋体"/>
                <w:color w:val="auto"/>
                <w:sz w:val="21"/>
                <w:szCs w:val="21"/>
                <w:u w:val="none"/>
                <w:shd w:val="clear" w:color="auto" w:fill="auto"/>
              </w:rPr>
              <w:t>教师培训</w:t>
            </w:r>
            <w:r>
              <w:rPr>
                <w:rFonts w:hint="eastAsia" w:ascii="宋体" w:hAnsi="宋体" w:eastAsia="宋体" w:cs="宋体"/>
                <w:color w:val="auto"/>
                <w:sz w:val="21"/>
                <w:szCs w:val="21"/>
                <w:u w:val="none"/>
                <w:shd w:val="clear" w:color="auto" w:fill="auto"/>
                <w:lang w:eastAsia="zh-CN"/>
              </w:rPr>
              <w:t>计划、</w:t>
            </w:r>
            <w:r>
              <w:rPr>
                <w:rFonts w:hint="eastAsia" w:ascii="宋体" w:hAnsi="宋体" w:eastAsia="宋体" w:cs="宋体"/>
                <w:color w:val="auto"/>
                <w:sz w:val="21"/>
                <w:szCs w:val="21"/>
                <w:u w:val="none"/>
                <w:shd w:val="clear" w:color="auto" w:fill="auto"/>
              </w:rPr>
              <w:t>教师考核评价</w:t>
            </w:r>
            <w:r>
              <w:rPr>
                <w:rFonts w:hint="eastAsia" w:ascii="宋体" w:hAnsi="宋体" w:eastAsia="宋体" w:cs="宋体"/>
                <w:color w:val="auto"/>
                <w:sz w:val="21"/>
                <w:szCs w:val="21"/>
                <w:u w:val="none"/>
                <w:shd w:val="clear" w:color="auto" w:fill="auto"/>
                <w:lang w:eastAsia="zh-CN"/>
              </w:rPr>
              <w:t>方案</w:t>
            </w:r>
            <w:r>
              <w:rPr>
                <w:rFonts w:hint="eastAsia" w:ascii="宋体" w:hAnsi="宋体" w:eastAsia="宋体" w:cs="宋体"/>
                <w:color w:val="auto"/>
                <w:sz w:val="21"/>
                <w:szCs w:val="21"/>
                <w:lang w:val="en-US" w:eastAsia="zh-CN"/>
              </w:rPr>
              <w:t>进行评审：</w:t>
            </w:r>
          </w:p>
          <w:p w14:paraId="57FC9B9D">
            <w:pPr>
              <w:pStyle w:val="98"/>
              <w:numPr>
                <w:ilvl w:val="0"/>
                <w:numId w:val="9"/>
              </w:numPr>
              <w:ind w:left="0" w:leftChars="0" w:firstLine="0" w:firstLineChars="0"/>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u w:val="none"/>
                <w:shd w:val="clear" w:color="auto" w:fill="auto"/>
              </w:rPr>
              <w:t>师资招聘</w:t>
            </w:r>
            <w:r>
              <w:rPr>
                <w:rFonts w:hint="eastAsia" w:ascii="宋体" w:hAnsi="宋体" w:eastAsia="宋体" w:cs="宋体"/>
                <w:color w:val="auto"/>
                <w:sz w:val="21"/>
                <w:szCs w:val="21"/>
                <w:u w:val="none"/>
                <w:shd w:val="clear" w:color="auto" w:fill="auto"/>
                <w:lang w:eastAsia="zh-CN"/>
              </w:rPr>
              <w:t>资格条件</w:t>
            </w:r>
            <w:r>
              <w:rPr>
                <w:rFonts w:hint="eastAsia" w:ascii="宋体" w:hAnsi="宋体" w:eastAsia="宋体" w:cs="宋体"/>
                <w:color w:val="auto"/>
                <w:sz w:val="21"/>
                <w:szCs w:val="21"/>
              </w:rPr>
              <w:t>方案详细完整，</w:t>
            </w:r>
            <w:r>
              <w:rPr>
                <w:rFonts w:hint="eastAsia" w:ascii="宋体" w:hAnsi="宋体" w:eastAsia="宋体" w:cs="宋体"/>
                <w:color w:val="auto"/>
                <w:kern w:val="2"/>
                <w:sz w:val="21"/>
                <w:szCs w:val="21"/>
                <w:lang w:val="en-US" w:eastAsia="zh-CN" w:bidi="ar-SA"/>
              </w:rPr>
              <w:t>师资队伍人员配备方案</w:t>
            </w:r>
            <w:r>
              <w:rPr>
                <w:rFonts w:hint="eastAsia" w:ascii="宋体" w:hAnsi="宋体" w:eastAsia="宋体" w:cs="宋体"/>
                <w:color w:val="auto"/>
                <w:sz w:val="21"/>
                <w:szCs w:val="21"/>
                <w:lang w:val="en-US" w:eastAsia="zh-CN"/>
              </w:rPr>
              <w:t>等实力最强的，</w:t>
            </w:r>
            <w:r>
              <w:rPr>
                <w:rFonts w:hint="eastAsia" w:ascii="宋体" w:hAnsi="宋体" w:eastAsia="宋体" w:cs="宋体"/>
                <w:color w:val="auto"/>
                <w:sz w:val="21"/>
                <w:szCs w:val="21"/>
                <w:u w:val="none"/>
                <w:shd w:val="clear" w:color="auto" w:fill="auto"/>
              </w:rPr>
              <w:t>教师培训</w:t>
            </w:r>
            <w:r>
              <w:rPr>
                <w:rFonts w:hint="eastAsia" w:ascii="宋体" w:hAnsi="宋体" w:eastAsia="宋体" w:cs="宋体"/>
                <w:color w:val="auto"/>
                <w:sz w:val="21"/>
                <w:szCs w:val="21"/>
                <w:u w:val="none"/>
                <w:shd w:val="clear" w:color="auto" w:fill="auto"/>
                <w:lang w:eastAsia="zh-CN"/>
              </w:rPr>
              <w:t>计划、</w:t>
            </w:r>
            <w:r>
              <w:rPr>
                <w:rFonts w:hint="eastAsia" w:ascii="宋体" w:hAnsi="宋体" w:eastAsia="宋体" w:cs="宋体"/>
                <w:color w:val="auto"/>
                <w:sz w:val="21"/>
                <w:szCs w:val="21"/>
                <w:u w:val="none"/>
                <w:shd w:val="clear" w:color="auto" w:fill="auto"/>
              </w:rPr>
              <w:t>教师考核评价</w:t>
            </w:r>
            <w:r>
              <w:rPr>
                <w:rFonts w:hint="eastAsia" w:ascii="宋体" w:hAnsi="宋体" w:eastAsia="宋体" w:cs="宋体"/>
                <w:color w:val="auto"/>
                <w:sz w:val="21"/>
                <w:szCs w:val="21"/>
                <w:lang w:val="en-US" w:eastAsia="zh-CN"/>
              </w:rPr>
              <w:t>设置科学合理，切实可行的，得10分；</w:t>
            </w:r>
          </w:p>
          <w:p w14:paraId="05376CEB">
            <w:pPr>
              <w:pStyle w:val="98"/>
              <w:numPr>
                <w:ilvl w:val="0"/>
                <w:numId w:val="9"/>
              </w:numPr>
              <w:ind w:left="0" w:leftChars="0" w:firstLine="0" w:firstLineChars="0"/>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u w:val="none"/>
                <w:shd w:val="clear" w:color="auto" w:fill="auto"/>
              </w:rPr>
              <w:t>师资招聘</w:t>
            </w:r>
            <w:r>
              <w:rPr>
                <w:rFonts w:hint="eastAsia" w:ascii="宋体" w:hAnsi="宋体" w:eastAsia="宋体" w:cs="宋体"/>
                <w:color w:val="auto"/>
                <w:sz w:val="21"/>
                <w:szCs w:val="21"/>
                <w:u w:val="none"/>
                <w:shd w:val="clear" w:color="auto" w:fill="auto"/>
                <w:lang w:eastAsia="zh-CN"/>
              </w:rPr>
              <w:t>资格条件</w:t>
            </w:r>
            <w:r>
              <w:rPr>
                <w:rFonts w:hint="eastAsia" w:ascii="宋体" w:hAnsi="宋体" w:eastAsia="宋体" w:cs="宋体"/>
                <w:color w:val="auto"/>
                <w:sz w:val="21"/>
                <w:szCs w:val="21"/>
              </w:rPr>
              <w:t>方案详细完整，</w:t>
            </w:r>
            <w:r>
              <w:rPr>
                <w:rFonts w:hint="eastAsia" w:ascii="宋体" w:hAnsi="宋体" w:eastAsia="宋体" w:cs="宋体"/>
                <w:color w:val="auto"/>
                <w:kern w:val="2"/>
                <w:sz w:val="21"/>
                <w:szCs w:val="21"/>
                <w:lang w:val="en-US" w:eastAsia="zh-CN" w:bidi="ar-SA"/>
              </w:rPr>
              <w:t>师资队伍人员配备方案</w:t>
            </w:r>
            <w:r>
              <w:rPr>
                <w:rFonts w:hint="eastAsia" w:ascii="宋体" w:hAnsi="宋体" w:eastAsia="宋体" w:cs="宋体"/>
                <w:color w:val="auto"/>
                <w:sz w:val="21"/>
                <w:szCs w:val="21"/>
                <w:lang w:val="en-US" w:eastAsia="zh-CN"/>
              </w:rPr>
              <w:t>等实力其次的，</w:t>
            </w:r>
            <w:r>
              <w:rPr>
                <w:rFonts w:hint="eastAsia" w:ascii="宋体" w:hAnsi="宋体" w:eastAsia="宋体" w:cs="宋体"/>
                <w:color w:val="auto"/>
                <w:sz w:val="21"/>
                <w:szCs w:val="21"/>
                <w:u w:val="none"/>
                <w:shd w:val="clear" w:color="auto" w:fill="auto"/>
              </w:rPr>
              <w:t>教师培训</w:t>
            </w:r>
            <w:r>
              <w:rPr>
                <w:rFonts w:hint="eastAsia" w:ascii="宋体" w:hAnsi="宋体" w:eastAsia="宋体" w:cs="宋体"/>
                <w:color w:val="auto"/>
                <w:sz w:val="21"/>
                <w:szCs w:val="21"/>
                <w:u w:val="none"/>
                <w:shd w:val="clear" w:color="auto" w:fill="auto"/>
                <w:lang w:eastAsia="zh-CN"/>
              </w:rPr>
              <w:t>计划、</w:t>
            </w:r>
            <w:r>
              <w:rPr>
                <w:rFonts w:hint="eastAsia" w:ascii="宋体" w:hAnsi="宋体" w:eastAsia="宋体" w:cs="宋体"/>
                <w:color w:val="auto"/>
                <w:sz w:val="21"/>
                <w:szCs w:val="21"/>
                <w:u w:val="none"/>
                <w:shd w:val="clear" w:color="auto" w:fill="auto"/>
              </w:rPr>
              <w:t>教师考核评价</w:t>
            </w:r>
            <w:r>
              <w:rPr>
                <w:rFonts w:hint="eastAsia" w:ascii="宋体" w:hAnsi="宋体" w:eastAsia="宋体" w:cs="宋体"/>
                <w:color w:val="auto"/>
                <w:sz w:val="21"/>
                <w:szCs w:val="21"/>
                <w:lang w:val="en-US" w:eastAsia="zh-CN"/>
              </w:rPr>
              <w:t>设置较合理，基本可行的，得7分；</w:t>
            </w:r>
          </w:p>
          <w:p w14:paraId="37AFB065">
            <w:pPr>
              <w:pStyle w:val="98"/>
              <w:numPr>
                <w:ilvl w:val="0"/>
                <w:numId w:val="9"/>
              </w:numPr>
              <w:ind w:left="0" w:leftChars="0" w:firstLine="0" w:firstLineChars="0"/>
              <w:jc w:val="both"/>
              <w:rPr>
                <w:rFonts w:hint="eastAsia" w:ascii="宋体" w:hAnsi="宋体" w:eastAsia="宋体" w:cs="宋体"/>
                <w:color w:val="auto"/>
                <w:sz w:val="21"/>
                <w:szCs w:val="21"/>
                <w:lang w:eastAsia="zh-CN"/>
              </w:rPr>
            </w:pPr>
            <w:r>
              <w:rPr>
                <w:rFonts w:hint="eastAsia" w:ascii="宋体" w:hAnsi="宋体" w:eastAsia="宋体" w:cs="宋体"/>
                <w:color w:val="auto"/>
                <w:sz w:val="21"/>
                <w:szCs w:val="21"/>
                <w:u w:val="none"/>
                <w:shd w:val="clear" w:color="auto" w:fill="auto"/>
              </w:rPr>
              <w:t>师资招聘</w:t>
            </w:r>
            <w:r>
              <w:rPr>
                <w:rFonts w:hint="eastAsia" w:ascii="宋体" w:hAnsi="宋体" w:eastAsia="宋体" w:cs="宋体"/>
                <w:color w:val="auto"/>
                <w:sz w:val="21"/>
                <w:szCs w:val="21"/>
                <w:u w:val="none"/>
                <w:shd w:val="clear" w:color="auto" w:fill="auto"/>
                <w:lang w:eastAsia="zh-CN"/>
              </w:rPr>
              <w:t>资格条件</w:t>
            </w:r>
            <w:r>
              <w:rPr>
                <w:rFonts w:hint="eastAsia" w:ascii="宋体" w:hAnsi="宋体" w:eastAsia="宋体" w:cs="宋体"/>
                <w:color w:val="auto"/>
                <w:sz w:val="21"/>
                <w:szCs w:val="21"/>
              </w:rPr>
              <w:t>方案详细完整，</w:t>
            </w:r>
            <w:r>
              <w:rPr>
                <w:rFonts w:hint="eastAsia" w:ascii="宋体" w:hAnsi="宋体" w:eastAsia="宋体" w:cs="宋体"/>
                <w:color w:val="auto"/>
                <w:kern w:val="2"/>
                <w:sz w:val="21"/>
                <w:szCs w:val="21"/>
                <w:lang w:val="en-US" w:eastAsia="zh-CN" w:bidi="ar-SA"/>
              </w:rPr>
              <w:t>师资队伍人员配备方案</w:t>
            </w:r>
            <w:r>
              <w:rPr>
                <w:rFonts w:hint="eastAsia" w:ascii="宋体" w:hAnsi="宋体" w:eastAsia="宋体" w:cs="宋体"/>
                <w:color w:val="auto"/>
                <w:sz w:val="21"/>
                <w:szCs w:val="21"/>
                <w:lang w:val="en-US" w:eastAsia="zh-CN"/>
              </w:rPr>
              <w:t>等实力属其他情况的，</w:t>
            </w:r>
            <w:r>
              <w:rPr>
                <w:rFonts w:hint="eastAsia" w:ascii="宋体" w:hAnsi="宋体" w:eastAsia="宋体" w:cs="宋体"/>
                <w:color w:val="auto"/>
                <w:sz w:val="21"/>
                <w:szCs w:val="21"/>
                <w:u w:val="none"/>
                <w:shd w:val="clear" w:color="auto" w:fill="auto"/>
              </w:rPr>
              <w:t>教师培训</w:t>
            </w:r>
            <w:r>
              <w:rPr>
                <w:rFonts w:hint="eastAsia" w:ascii="宋体" w:hAnsi="宋体" w:eastAsia="宋体" w:cs="宋体"/>
                <w:color w:val="auto"/>
                <w:sz w:val="21"/>
                <w:szCs w:val="21"/>
                <w:u w:val="none"/>
                <w:shd w:val="clear" w:color="auto" w:fill="auto"/>
                <w:lang w:eastAsia="zh-CN"/>
              </w:rPr>
              <w:t>计划、</w:t>
            </w:r>
            <w:r>
              <w:rPr>
                <w:rFonts w:hint="eastAsia" w:ascii="宋体" w:hAnsi="宋体" w:eastAsia="宋体" w:cs="宋体"/>
                <w:color w:val="auto"/>
                <w:sz w:val="21"/>
                <w:szCs w:val="21"/>
                <w:u w:val="none"/>
                <w:shd w:val="clear" w:color="auto" w:fill="auto"/>
              </w:rPr>
              <w:t>教师考核评价</w:t>
            </w:r>
            <w:r>
              <w:rPr>
                <w:rFonts w:hint="eastAsia" w:ascii="宋体" w:hAnsi="宋体" w:eastAsia="宋体" w:cs="宋体"/>
                <w:color w:val="auto"/>
                <w:sz w:val="21"/>
                <w:szCs w:val="21"/>
                <w:lang w:val="en-US" w:eastAsia="zh-CN"/>
              </w:rPr>
              <w:t>设置合理性一般，可行一般的，得4分；</w:t>
            </w:r>
          </w:p>
          <w:p w14:paraId="4E2D1F85">
            <w:pPr>
              <w:pStyle w:val="98"/>
              <w:numPr>
                <w:ilvl w:val="0"/>
                <w:numId w:val="9"/>
              </w:numPr>
              <w:ind w:left="0" w:leftChars="0" w:firstLine="0" w:firstLineChars="0"/>
              <w:jc w:val="both"/>
              <w:rPr>
                <w:rFonts w:hint="eastAsia" w:ascii="宋体" w:hAnsi="宋体" w:eastAsia="宋体" w:cs="宋体"/>
                <w:color w:val="auto"/>
                <w:sz w:val="21"/>
                <w:szCs w:val="21"/>
                <w:lang w:eastAsia="zh-CN"/>
              </w:rPr>
            </w:pPr>
            <w:r>
              <w:rPr>
                <w:rFonts w:hint="eastAsia" w:ascii="宋体" w:hAnsi="宋体" w:eastAsia="宋体" w:cs="宋体"/>
                <w:color w:val="auto"/>
                <w:sz w:val="21"/>
                <w:szCs w:val="21"/>
              </w:rPr>
              <w:t>未提供方案的得0分。</w:t>
            </w:r>
          </w:p>
        </w:tc>
        <w:tc>
          <w:tcPr>
            <w:tcW w:w="695" w:type="dxa"/>
            <w:noWrap w:val="0"/>
            <w:vAlign w:val="center"/>
          </w:tcPr>
          <w:p w14:paraId="3CAAA166">
            <w:pPr>
              <w:pStyle w:val="98"/>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w:t>
            </w:r>
          </w:p>
        </w:tc>
      </w:tr>
      <w:tr w14:paraId="1469BF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896" w:hRule="atLeast"/>
          <w:jc w:val="center"/>
        </w:trPr>
        <w:tc>
          <w:tcPr>
            <w:tcW w:w="1133" w:type="dxa"/>
            <w:vMerge w:val="continue"/>
            <w:noWrap w:val="0"/>
            <w:vAlign w:val="center"/>
          </w:tcPr>
          <w:p w14:paraId="30A4464B">
            <w:pPr>
              <w:pStyle w:val="98"/>
              <w:rPr>
                <w:rFonts w:hint="eastAsia" w:ascii="宋体" w:hAnsi="宋体" w:eastAsia="宋体" w:cs="宋体"/>
                <w:color w:val="auto"/>
                <w:sz w:val="21"/>
                <w:szCs w:val="21"/>
              </w:rPr>
            </w:pPr>
          </w:p>
        </w:tc>
        <w:tc>
          <w:tcPr>
            <w:tcW w:w="1797" w:type="dxa"/>
            <w:noWrap w:val="0"/>
            <w:vAlign w:val="center"/>
          </w:tcPr>
          <w:p w14:paraId="23A75A8C">
            <w:pPr>
              <w:pStyle w:val="101"/>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安全管理方案（5.0分）</w:t>
            </w:r>
          </w:p>
        </w:tc>
        <w:tc>
          <w:tcPr>
            <w:tcW w:w="5290" w:type="dxa"/>
            <w:noWrap w:val="0"/>
            <w:vAlign w:val="top"/>
          </w:tcPr>
          <w:p w14:paraId="7674899C">
            <w:pPr>
              <w:pStyle w:val="98"/>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根据各投标人提供的</w:t>
            </w:r>
            <w:r>
              <w:rPr>
                <w:rFonts w:hint="eastAsia" w:ascii="宋体" w:hAnsi="宋体" w:eastAsia="宋体" w:cs="宋体"/>
                <w:color w:val="auto"/>
                <w:sz w:val="21"/>
                <w:szCs w:val="21"/>
                <w:u w:val="none"/>
                <w:shd w:val="clear" w:color="auto" w:fill="auto"/>
              </w:rPr>
              <w:t>基地的安全管理制度和应急预案</w:t>
            </w:r>
            <w:r>
              <w:rPr>
                <w:rFonts w:hint="eastAsia" w:ascii="宋体" w:hAnsi="宋体" w:eastAsia="宋体" w:cs="宋体"/>
                <w:color w:val="auto"/>
                <w:sz w:val="21"/>
                <w:szCs w:val="21"/>
                <w:lang w:val="en-US" w:eastAsia="zh-CN"/>
              </w:rPr>
              <w:t>进行评审：</w:t>
            </w:r>
          </w:p>
          <w:p w14:paraId="2593323B">
            <w:pPr>
              <w:pStyle w:val="98"/>
              <w:numPr>
                <w:ilvl w:val="0"/>
                <w:numId w:val="0"/>
              </w:numPr>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方案详细完整，合理可行性高，针对性强</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优于采购需求的</w:t>
            </w:r>
            <w:r>
              <w:rPr>
                <w:rFonts w:hint="eastAsia" w:ascii="宋体" w:hAnsi="宋体" w:eastAsia="宋体" w:cs="宋体"/>
                <w:color w:val="auto"/>
                <w:sz w:val="21"/>
                <w:szCs w:val="21"/>
              </w:rPr>
              <w:t>得</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 xml:space="preserve">分； </w:t>
            </w:r>
          </w:p>
          <w:p w14:paraId="597C02D5">
            <w:pPr>
              <w:pStyle w:val="98"/>
              <w:numPr>
                <w:ilvl w:val="0"/>
                <w:numId w:val="0"/>
              </w:numPr>
              <w:ind w:left="0" w:leftChars="0" w:firstLine="0" w:firstLineChars="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rPr>
              <w:t>方案基本完整，针对性一般，合理性、可行性一般，基本能满足采购实际需求，得</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 xml:space="preserve">分； </w:t>
            </w:r>
          </w:p>
          <w:p w14:paraId="27B7C0C1">
            <w:pPr>
              <w:pStyle w:val="98"/>
              <w:numPr>
                <w:ilvl w:val="0"/>
                <w:numId w:val="0"/>
              </w:numPr>
              <w:ind w:left="0" w:leftChars="0" w:firstLine="0" w:firstLineChars="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方案简单，针对性较差，合理性、可行性较差，不能满足采购实际需求，得</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 xml:space="preserve">分； </w:t>
            </w:r>
          </w:p>
          <w:p w14:paraId="74CE5CE8">
            <w:pPr>
              <w:pStyle w:val="98"/>
              <w:jc w:val="both"/>
              <w:rPr>
                <w:rFonts w:hint="eastAsia" w:ascii="宋体" w:hAnsi="宋体" w:eastAsia="宋体" w:cs="宋体"/>
                <w:color w:val="auto"/>
                <w:sz w:val="21"/>
                <w:szCs w:val="21"/>
                <w:lang w:eastAsia="zh-CN"/>
              </w:rPr>
            </w:pPr>
            <w:r>
              <w:rPr>
                <w:rFonts w:hint="eastAsia" w:ascii="宋体" w:hAnsi="宋体" w:eastAsia="宋体" w:cs="宋体"/>
                <w:color w:val="auto"/>
                <w:sz w:val="21"/>
                <w:szCs w:val="21"/>
              </w:rPr>
              <w:t>（4）未提供方案的得0分。</w:t>
            </w:r>
          </w:p>
        </w:tc>
        <w:tc>
          <w:tcPr>
            <w:tcW w:w="695" w:type="dxa"/>
            <w:noWrap w:val="0"/>
            <w:vAlign w:val="center"/>
          </w:tcPr>
          <w:p w14:paraId="2E4438A5">
            <w:pPr>
              <w:pStyle w:val="98"/>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r>
      <w:tr w14:paraId="69BEA6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896" w:hRule="atLeast"/>
          <w:jc w:val="center"/>
        </w:trPr>
        <w:tc>
          <w:tcPr>
            <w:tcW w:w="1133" w:type="dxa"/>
            <w:vMerge w:val="continue"/>
            <w:noWrap w:val="0"/>
            <w:vAlign w:val="center"/>
          </w:tcPr>
          <w:p w14:paraId="6E3DDF07">
            <w:pPr>
              <w:pStyle w:val="98"/>
              <w:rPr>
                <w:rFonts w:hint="eastAsia" w:ascii="宋体" w:hAnsi="宋体" w:eastAsia="宋体" w:cs="宋体"/>
                <w:color w:val="auto"/>
                <w:sz w:val="21"/>
                <w:szCs w:val="21"/>
              </w:rPr>
            </w:pPr>
          </w:p>
        </w:tc>
        <w:tc>
          <w:tcPr>
            <w:tcW w:w="1797" w:type="dxa"/>
            <w:noWrap w:val="0"/>
            <w:vAlign w:val="center"/>
          </w:tcPr>
          <w:p w14:paraId="4CE8A707">
            <w:pPr>
              <w:pStyle w:val="101"/>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设施设备维护保养方案</w:t>
            </w:r>
          </w:p>
          <w:p w14:paraId="1903C024">
            <w:pPr>
              <w:pStyle w:val="101"/>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（5.0分）</w:t>
            </w:r>
          </w:p>
        </w:tc>
        <w:tc>
          <w:tcPr>
            <w:tcW w:w="5290" w:type="dxa"/>
            <w:noWrap w:val="0"/>
            <w:vAlign w:val="top"/>
          </w:tcPr>
          <w:p w14:paraId="75E7914F">
            <w:pPr>
              <w:pStyle w:val="98"/>
              <w:jc w:val="both"/>
              <w:rPr>
                <w:rFonts w:hint="eastAsia" w:ascii="宋体" w:hAnsi="宋体" w:eastAsia="宋体" w:cs="宋体"/>
                <w:color w:val="auto"/>
                <w:sz w:val="21"/>
                <w:szCs w:val="21"/>
              </w:rPr>
            </w:pPr>
            <w:r>
              <w:rPr>
                <w:rFonts w:hint="eastAsia" w:ascii="宋体" w:hAnsi="宋体" w:eastAsia="宋体" w:cs="宋体"/>
                <w:color w:val="auto"/>
                <w:sz w:val="21"/>
                <w:szCs w:val="21"/>
                <w:lang w:val="en-US" w:eastAsia="zh-CN"/>
              </w:rPr>
              <w:t>根据各投标人</w:t>
            </w:r>
            <w:r>
              <w:rPr>
                <w:rFonts w:hint="eastAsia" w:ascii="宋体" w:hAnsi="宋体" w:eastAsia="宋体" w:cs="宋体"/>
                <w:color w:val="auto"/>
                <w:sz w:val="21"/>
                <w:szCs w:val="21"/>
                <w:u w:val="none"/>
                <w:shd w:val="clear" w:color="auto" w:fill="auto"/>
              </w:rPr>
              <w:t>制定基地设施设备的维护保养计划</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及时处理设施设备的故障和损坏问题</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rPr>
              <w:t>建立设施设备档案</w:t>
            </w:r>
            <w:r>
              <w:rPr>
                <w:rFonts w:hint="eastAsia" w:ascii="宋体" w:hAnsi="宋体" w:eastAsia="宋体" w:cs="宋体"/>
                <w:color w:val="auto"/>
                <w:sz w:val="21"/>
                <w:szCs w:val="21"/>
                <w:u w:val="none"/>
                <w:shd w:val="clear" w:color="auto" w:fill="auto"/>
                <w:lang w:eastAsia="zh-CN"/>
              </w:rPr>
              <w:t>、</w:t>
            </w:r>
            <w:r>
              <w:rPr>
                <w:rFonts w:hint="eastAsia" w:ascii="宋体" w:hAnsi="宋体" w:eastAsia="宋体" w:cs="宋体"/>
                <w:color w:val="auto"/>
                <w:sz w:val="21"/>
                <w:szCs w:val="21"/>
                <w:u w:val="none"/>
                <w:shd w:val="clear" w:color="auto" w:fill="auto"/>
                <w:lang w:val="en-US" w:eastAsia="zh-CN"/>
              </w:rPr>
              <w:t>关键设备48小时修复承诺等</w:t>
            </w:r>
            <w:r>
              <w:rPr>
                <w:rFonts w:hint="eastAsia" w:ascii="宋体" w:hAnsi="宋体" w:eastAsia="宋体" w:cs="宋体"/>
                <w:color w:val="auto"/>
                <w:sz w:val="21"/>
                <w:szCs w:val="21"/>
                <w:lang w:val="en-US" w:eastAsia="zh-CN"/>
              </w:rPr>
              <w:t>进行评审：</w:t>
            </w:r>
          </w:p>
          <w:p w14:paraId="1EFBCC33">
            <w:pPr>
              <w:pStyle w:val="98"/>
              <w:numPr>
                <w:ilvl w:val="0"/>
                <w:numId w:val="0"/>
              </w:numPr>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w:t>
            </w:r>
            <w:r>
              <w:rPr>
                <w:rFonts w:hint="eastAsia" w:ascii="宋体" w:hAnsi="宋体" w:eastAsia="宋体" w:cs="宋体"/>
                <w:color w:val="auto"/>
                <w:sz w:val="21"/>
                <w:szCs w:val="21"/>
              </w:rPr>
              <w:t>方案详细完整，合理可行性高，针对性强</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优于采购需求的</w:t>
            </w:r>
            <w:r>
              <w:rPr>
                <w:rFonts w:hint="eastAsia" w:ascii="宋体" w:hAnsi="宋体" w:eastAsia="宋体" w:cs="宋体"/>
                <w:color w:val="auto"/>
                <w:sz w:val="21"/>
                <w:szCs w:val="21"/>
              </w:rPr>
              <w:t>得</w:t>
            </w:r>
            <w:r>
              <w:rPr>
                <w:rFonts w:hint="eastAsia" w:ascii="宋体" w:hAnsi="宋体" w:eastAsia="宋体" w:cs="宋体"/>
                <w:color w:val="auto"/>
                <w:sz w:val="21"/>
                <w:szCs w:val="21"/>
                <w:lang w:val="en-US" w:eastAsia="zh-CN"/>
              </w:rPr>
              <w:t>5</w:t>
            </w:r>
            <w:r>
              <w:rPr>
                <w:rFonts w:hint="eastAsia" w:ascii="宋体" w:hAnsi="宋体" w:eastAsia="宋体" w:cs="宋体"/>
                <w:color w:val="auto"/>
                <w:sz w:val="21"/>
                <w:szCs w:val="21"/>
              </w:rPr>
              <w:t xml:space="preserve">分； </w:t>
            </w:r>
          </w:p>
          <w:p w14:paraId="0164F2AE">
            <w:pPr>
              <w:pStyle w:val="98"/>
              <w:numPr>
                <w:ilvl w:val="0"/>
                <w:numId w:val="0"/>
              </w:numPr>
              <w:ind w:left="0" w:leftChars="0" w:firstLine="0" w:firstLineChars="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（2）</w:t>
            </w:r>
            <w:r>
              <w:rPr>
                <w:rFonts w:hint="eastAsia" w:ascii="宋体" w:hAnsi="宋体" w:eastAsia="宋体" w:cs="宋体"/>
                <w:color w:val="auto"/>
                <w:sz w:val="21"/>
                <w:szCs w:val="21"/>
              </w:rPr>
              <w:t>方案基本完整，针对性一般，合理性、可行性一般，基本能满足采购实际需求，得</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rPr>
              <w:t xml:space="preserve">分； </w:t>
            </w:r>
          </w:p>
          <w:p w14:paraId="3BA8ED9C">
            <w:pPr>
              <w:pStyle w:val="98"/>
              <w:numPr>
                <w:ilvl w:val="0"/>
                <w:numId w:val="0"/>
              </w:numPr>
              <w:ind w:left="0" w:leftChars="0" w:firstLine="0" w:firstLineChars="0"/>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（3）</w:t>
            </w:r>
            <w:r>
              <w:rPr>
                <w:rFonts w:hint="eastAsia" w:ascii="宋体" w:hAnsi="宋体" w:eastAsia="宋体" w:cs="宋体"/>
                <w:color w:val="auto"/>
                <w:sz w:val="21"/>
                <w:szCs w:val="21"/>
              </w:rPr>
              <w:t>方案简单，针对性较差，合理性、可行性较差，不能满足采购实际需求，得</w:t>
            </w:r>
            <w:r>
              <w:rPr>
                <w:rFonts w:hint="eastAsia" w:ascii="宋体" w:hAnsi="宋体" w:eastAsia="宋体" w:cs="宋体"/>
                <w:color w:val="auto"/>
                <w:sz w:val="21"/>
                <w:szCs w:val="21"/>
                <w:lang w:val="en-US" w:eastAsia="zh-CN"/>
              </w:rPr>
              <w:t>1</w:t>
            </w:r>
            <w:r>
              <w:rPr>
                <w:rFonts w:hint="eastAsia" w:ascii="宋体" w:hAnsi="宋体" w:eastAsia="宋体" w:cs="宋体"/>
                <w:color w:val="auto"/>
                <w:sz w:val="21"/>
                <w:szCs w:val="21"/>
              </w:rPr>
              <w:t xml:space="preserve">分； </w:t>
            </w:r>
          </w:p>
          <w:p w14:paraId="2925ABCA">
            <w:pPr>
              <w:pStyle w:val="98"/>
              <w:jc w:val="both"/>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rPr>
              <w:t>（4）未提供方案的得0分。</w:t>
            </w:r>
          </w:p>
        </w:tc>
        <w:tc>
          <w:tcPr>
            <w:tcW w:w="695" w:type="dxa"/>
            <w:noWrap w:val="0"/>
            <w:vAlign w:val="center"/>
          </w:tcPr>
          <w:p w14:paraId="228F6AC2">
            <w:pPr>
              <w:pStyle w:val="98"/>
              <w:jc w:val="center"/>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w:t>
            </w:r>
          </w:p>
        </w:tc>
      </w:tr>
      <w:tr w14:paraId="49F3B8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67" w:hRule="atLeast"/>
          <w:jc w:val="center"/>
        </w:trPr>
        <w:tc>
          <w:tcPr>
            <w:tcW w:w="1133" w:type="dxa"/>
            <w:vMerge w:val="restart"/>
            <w:noWrap w:val="0"/>
            <w:vAlign w:val="center"/>
          </w:tcPr>
          <w:p w14:paraId="0A520984">
            <w:pPr>
              <w:pStyle w:val="98"/>
              <w:rPr>
                <w:rFonts w:hint="eastAsia" w:ascii="宋体" w:hAnsi="宋体" w:eastAsia="宋体" w:cs="宋体"/>
                <w:color w:val="auto"/>
                <w:sz w:val="21"/>
                <w:szCs w:val="21"/>
              </w:rPr>
            </w:pPr>
            <w:r>
              <w:rPr>
                <w:rFonts w:hint="eastAsia" w:ascii="宋体" w:hAnsi="宋体" w:eastAsia="宋体" w:cs="宋体"/>
                <w:color w:val="auto"/>
                <w:sz w:val="21"/>
                <w:szCs w:val="21"/>
              </w:rPr>
              <w:t>商务部分</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30分</w:t>
            </w:r>
            <w:r>
              <w:rPr>
                <w:rFonts w:hint="eastAsia" w:ascii="宋体" w:hAnsi="宋体" w:eastAsia="宋体" w:cs="宋体"/>
                <w:color w:val="auto"/>
                <w:sz w:val="21"/>
                <w:szCs w:val="21"/>
                <w:lang w:eastAsia="zh-CN"/>
              </w:rPr>
              <w:t>）</w:t>
            </w:r>
          </w:p>
        </w:tc>
        <w:tc>
          <w:tcPr>
            <w:tcW w:w="1797" w:type="dxa"/>
            <w:noWrap w:val="0"/>
            <w:vAlign w:val="center"/>
          </w:tcPr>
          <w:p w14:paraId="40C51502">
            <w:pPr>
              <w:spacing w:line="240" w:lineRule="auto"/>
              <w:jc w:val="center"/>
              <w:rPr>
                <w:rFonts w:hint="eastAsia" w:ascii="宋体" w:hAnsi="宋体" w:eastAsia="宋体" w:cs="宋体"/>
                <w:color w:val="auto"/>
                <w:kern w:val="2"/>
                <w:sz w:val="21"/>
                <w:szCs w:val="21"/>
                <w:highlight w:val="none"/>
                <w:lang w:val="en-US" w:eastAsia="zh-CN"/>
              </w:rPr>
            </w:pPr>
            <w:bookmarkStart w:id="74" w:name="OLE_LINK30"/>
            <w:r>
              <w:rPr>
                <w:rFonts w:hint="eastAsia" w:ascii="宋体" w:hAnsi="宋体" w:eastAsia="宋体" w:cs="宋体"/>
                <w:color w:val="auto"/>
                <w:kern w:val="2"/>
                <w:sz w:val="21"/>
                <w:szCs w:val="21"/>
                <w:highlight w:val="none"/>
                <w:lang w:val="en-US" w:eastAsia="zh-CN"/>
              </w:rPr>
              <w:t>同类业绩</w:t>
            </w:r>
            <w:bookmarkEnd w:id="74"/>
          </w:p>
          <w:p w14:paraId="25D897B6">
            <w:pPr>
              <w:spacing w:line="240" w:lineRule="auto"/>
              <w:jc w:val="center"/>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（10.0分）</w:t>
            </w:r>
          </w:p>
        </w:tc>
        <w:tc>
          <w:tcPr>
            <w:tcW w:w="5290" w:type="dxa"/>
            <w:noWrap w:val="0"/>
            <w:vAlign w:val="top"/>
          </w:tcPr>
          <w:p w14:paraId="63316E82">
            <w:pPr>
              <w:numPr>
                <w:ilvl w:val="0"/>
                <w:numId w:val="0"/>
              </w:numPr>
              <w:spacing w:line="240" w:lineRule="auto"/>
              <w:rPr>
                <w:rFonts w:hint="default" w:ascii="宋体" w:hAnsi="宋体" w:eastAsia="宋体" w:cs="宋体"/>
                <w:b/>
                <w:bCs/>
                <w:color w:val="auto"/>
                <w:kern w:val="0"/>
                <w:sz w:val="21"/>
                <w:szCs w:val="21"/>
                <w:highlight w:val="none"/>
                <w:lang w:val="en-US" w:eastAsia="zh-CN"/>
              </w:rPr>
            </w:pPr>
            <w:r>
              <w:rPr>
                <w:rFonts w:hint="eastAsia" w:ascii="宋体" w:hAnsi="宋体" w:eastAsia="宋体" w:cs="宋体"/>
                <w:b/>
                <w:bCs/>
                <w:color w:val="auto"/>
                <w:kern w:val="0"/>
                <w:sz w:val="21"/>
                <w:szCs w:val="21"/>
                <w:highlight w:val="none"/>
                <w:lang w:val="en-US" w:eastAsia="zh-CN"/>
              </w:rPr>
              <w:t>一、奖项（最高可得5分）</w:t>
            </w:r>
          </w:p>
          <w:p w14:paraId="61A4C793">
            <w:pPr>
              <w:numPr>
                <w:ilvl w:val="0"/>
                <w:numId w:val="0"/>
              </w:numPr>
              <w:spacing w:line="240" w:lineRule="auto"/>
              <w:rPr>
                <w:rFonts w:hint="eastAsia" w:ascii="宋体" w:hAnsi="宋体" w:eastAsia="宋体" w:cs="宋体"/>
                <w:b w:val="0"/>
                <w:bCs w:val="0"/>
                <w:strike w:val="0"/>
                <w:dstrike w:val="0"/>
                <w:color w:val="auto"/>
                <w:sz w:val="21"/>
                <w:szCs w:val="21"/>
                <w:lang w:val="en-US" w:eastAsia="zh-CN"/>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1）2021年1月1日至今</w:t>
            </w:r>
            <w:r>
              <w:rPr>
                <w:rFonts w:hint="eastAsia" w:ascii="宋体" w:hAnsi="宋体" w:eastAsia="宋体" w:cs="宋体"/>
                <w:color w:val="auto"/>
                <w:kern w:val="0"/>
                <w:sz w:val="21"/>
                <w:szCs w:val="21"/>
                <w:highlight w:val="none"/>
                <w:lang w:eastAsia="zh-CN"/>
              </w:rPr>
              <w:t>投标人</w:t>
            </w:r>
            <w:r>
              <w:rPr>
                <w:rFonts w:hint="eastAsia" w:ascii="宋体" w:hAnsi="宋体" w:eastAsia="宋体" w:cs="宋体"/>
                <w:strike w:val="0"/>
                <w:dstrike w:val="0"/>
                <w:color w:val="auto"/>
                <w:kern w:val="0"/>
                <w:sz w:val="21"/>
                <w:szCs w:val="21"/>
                <w:highlight w:val="none"/>
                <w:lang w:val="en-US" w:eastAsia="zh-CN"/>
              </w:rPr>
              <w:t>的研学基地获得省的中小学生研学实践教育基地得5分；</w:t>
            </w:r>
          </w:p>
          <w:p w14:paraId="6ED55311">
            <w:pPr>
              <w:numPr>
                <w:ilvl w:val="0"/>
                <w:numId w:val="0"/>
              </w:numPr>
              <w:spacing w:line="240" w:lineRule="auto"/>
              <w:rPr>
                <w:rFonts w:hint="eastAsia" w:ascii="宋体" w:hAnsi="宋体" w:eastAsia="宋体" w:cs="宋体"/>
                <w:b w:val="0"/>
                <w:bCs w:val="0"/>
                <w:strike w:val="0"/>
                <w:dstrike w:val="0"/>
                <w:color w:val="auto"/>
                <w:sz w:val="21"/>
                <w:szCs w:val="21"/>
                <w:lang w:val="en-US" w:eastAsia="zh-CN"/>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2）2021年1月1日至今</w:t>
            </w:r>
            <w:r>
              <w:rPr>
                <w:rFonts w:hint="eastAsia" w:ascii="宋体" w:hAnsi="宋体" w:eastAsia="宋体" w:cs="宋体"/>
                <w:color w:val="auto"/>
                <w:kern w:val="0"/>
                <w:sz w:val="21"/>
                <w:szCs w:val="21"/>
                <w:highlight w:val="none"/>
                <w:lang w:eastAsia="zh-CN"/>
              </w:rPr>
              <w:t>投标人</w:t>
            </w:r>
            <w:r>
              <w:rPr>
                <w:rFonts w:hint="eastAsia" w:ascii="宋体" w:hAnsi="宋体" w:eastAsia="宋体" w:cs="宋体"/>
                <w:strike w:val="0"/>
                <w:dstrike w:val="0"/>
                <w:color w:val="auto"/>
                <w:kern w:val="0"/>
                <w:sz w:val="21"/>
                <w:szCs w:val="21"/>
                <w:highlight w:val="none"/>
                <w:lang w:val="en-US" w:eastAsia="zh-CN"/>
              </w:rPr>
              <w:t>的研学基地获市的中小学生研学实践教育基地得4分；</w:t>
            </w:r>
          </w:p>
          <w:p w14:paraId="1A2E1659">
            <w:pPr>
              <w:numPr>
                <w:ilvl w:val="0"/>
                <w:numId w:val="0"/>
              </w:numPr>
              <w:spacing w:line="240" w:lineRule="auto"/>
              <w:rPr>
                <w:rFonts w:hint="eastAsia" w:ascii="宋体" w:hAnsi="宋体" w:eastAsia="宋体" w:cs="宋体"/>
                <w:b w:val="0"/>
                <w:bCs w:val="0"/>
                <w:strike w:val="0"/>
                <w:dstrike w:val="0"/>
                <w:color w:val="auto"/>
                <w:sz w:val="21"/>
                <w:szCs w:val="21"/>
                <w:lang w:val="en-US" w:eastAsia="zh-CN"/>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3）2021年1月1日至今</w:t>
            </w:r>
            <w:r>
              <w:rPr>
                <w:rFonts w:hint="eastAsia" w:ascii="宋体" w:hAnsi="宋体" w:eastAsia="宋体" w:cs="宋体"/>
                <w:color w:val="auto"/>
                <w:kern w:val="0"/>
                <w:sz w:val="21"/>
                <w:szCs w:val="21"/>
                <w:highlight w:val="none"/>
                <w:lang w:eastAsia="zh-CN"/>
              </w:rPr>
              <w:t>投标人</w:t>
            </w:r>
            <w:r>
              <w:rPr>
                <w:rFonts w:hint="eastAsia" w:ascii="宋体" w:hAnsi="宋体" w:eastAsia="宋体" w:cs="宋体"/>
                <w:strike w:val="0"/>
                <w:dstrike w:val="0"/>
                <w:color w:val="auto"/>
                <w:kern w:val="0"/>
                <w:sz w:val="21"/>
                <w:szCs w:val="21"/>
                <w:highlight w:val="none"/>
                <w:lang w:val="en-US" w:eastAsia="zh-CN"/>
              </w:rPr>
              <w:t>的研学基地获区的中小学生研学实践教育基地分别得3分；</w:t>
            </w:r>
          </w:p>
          <w:p w14:paraId="123BC141">
            <w:pPr>
              <w:numPr>
                <w:ilvl w:val="0"/>
                <w:numId w:val="0"/>
              </w:numPr>
              <w:spacing w:line="240" w:lineRule="auto"/>
              <w:rPr>
                <w:rFonts w:hint="eastAsia" w:ascii="宋体" w:hAnsi="宋体" w:eastAsia="宋体" w:cs="宋体"/>
                <w:b w:val="0"/>
                <w:bCs w:val="0"/>
                <w:strike w:val="0"/>
                <w:dstrike w:val="0"/>
                <w:color w:val="auto"/>
                <w:sz w:val="21"/>
                <w:szCs w:val="21"/>
                <w:lang w:val="en-US" w:eastAsia="zh-CN"/>
              </w:rPr>
            </w:pPr>
            <w:r>
              <w:rPr>
                <w:rFonts w:hint="eastAsia" w:ascii="宋体" w:hAnsi="宋体" w:eastAsia="宋体" w:cs="宋体"/>
                <w:b/>
                <w:bCs/>
                <w:strike w:val="0"/>
                <w:dstrike w:val="0"/>
                <w:color w:val="auto"/>
                <w:kern w:val="0"/>
                <w:sz w:val="21"/>
                <w:szCs w:val="21"/>
                <w:highlight w:val="none"/>
                <w:lang w:val="en-US" w:eastAsia="zh-CN"/>
              </w:rPr>
              <w:t>注：</w:t>
            </w:r>
            <w:r>
              <w:rPr>
                <w:rFonts w:hint="eastAsia" w:ascii="宋体" w:hAnsi="宋体" w:eastAsia="宋体" w:cs="宋体"/>
                <w:b/>
                <w:bCs/>
                <w:strike w:val="0"/>
                <w:dstrike w:val="0"/>
                <w:color w:val="auto"/>
                <w:sz w:val="21"/>
                <w:szCs w:val="21"/>
                <w:lang w:val="en-US" w:eastAsia="zh-CN"/>
              </w:rPr>
              <w:t>提供政府单位等相关证明材料。</w:t>
            </w:r>
            <w:r>
              <w:rPr>
                <w:rFonts w:hint="eastAsia" w:ascii="宋体" w:hAnsi="宋体" w:eastAsia="宋体" w:cs="宋体"/>
                <w:b/>
                <w:bCs/>
                <w:color w:val="auto"/>
                <w:kern w:val="0"/>
                <w:sz w:val="21"/>
                <w:szCs w:val="21"/>
                <w:highlight w:val="none"/>
                <w:lang w:eastAsia="zh-CN"/>
              </w:rPr>
              <w:t>（联合体投标的，联合体一方提供即可）</w:t>
            </w:r>
          </w:p>
          <w:p w14:paraId="26BB00AA">
            <w:pPr>
              <w:numPr>
                <w:ilvl w:val="0"/>
                <w:numId w:val="0"/>
              </w:numPr>
              <w:spacing w:line="240" w:lineRule="auto"/>
              <w:rPr>
                <w:rFonts w:hint="default" w:ascii="宋体" w:hAnsi="宋体" w:eastAsia="宋体" w:cs="宋体"/>
                <w:b/>
                <w:bCs/>
                <w:color w:val="auto"/>
                <w:kern w:val="0"/>
                <w:sz w:val="21"/>
                <w:szCs w:val="21"/>
                <w:highlight w:val="none"/>
                <w:lang w:val="en-US" w:eastAsia="zh-CN"/>
              </w:rPr>
            </w:pPr>
            <w:bookmarkStart w:id="75" w:name="OLE_LINK41"/>
            <w:r>
              <w:rPr>
                <w:rFonts w:hint="eastAsia" w:ascii="宋体" w:hAnsi="宋体" w:eastAsia="宋体" w:cs="宋体"/>
                <w:b/>
                <w:bCs/>
                <w:color w:val="auto"/>
                <w:kern w:val="0"/>
                <w:sz w:val="21"/>
                <w:szCs w:val="21"/>
                <w:highlight w:val="none"/>
                <w:lang w:val="en-US" w:eastAsia="zh-CN"/>
              </w:rPr>
              <w:t>二、业绩情况（最高可得5分）</w:t>
            </w:r>
          </w:p>
          <w:p w14:paraId="39431444">
            <w:pPr>
              <w:numPr>
                <w:ilvl w:val="0"/>
                <w:numId w:val="0"/>
              </w:numPr>
              <w:spacing w:line="240" w:lineRule="auto"/>
              <w:rPr>
                <w:rFonts w:hint="eastAsia" w:ascii="宋体" w:hAnsi="宋体" w:eastAsia="宋体" w:cs="宋体"/>
                <w:strike/>
                <w:dstrike w:val="0"/>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lang w:eastAsia="zh-CN"/>
              </w:rPr>
              <w:t>投标人</w:t>
            </w:r>
            <w:bookmarkEnd w:id="75"/>
            <w:r>
              <w:rPr>
                <w:rFonts w:hint="eastAsia" w:ascii="宋体" w:hAnsi="宋体" w:eastAsia="宋体" w:cs="宋体"/>
                <w:color w:val="auto"/>
                <w:sz w:val="21"/>
                <w:szCs w:val="21"/>
                <w:u w:val="none"/>
                <w:shd w:val="clear" w:color="auto" w:fill="auto"/>
              </w:rPr>
              <w:t>提供近</w:t>
            </w:r>
            <w:r>
              <w:rPr>
                <w:rFonts w:hint="eastAsia" w:ascii="宋体" w:hAnsi="宋体" w:eastAsia="宋体" w:cs="宋体"/>
                <w:color w:val="auto"/>
                <w:sz w:val="21"/>
                <w:szCs w:val="21"/>
                <w:u w:val="none"/>
                <w:shd w:val="clear" w:color="auto" w:fill="auto"/>
                <w:lang w:val="en-US" w:eastAsia="zh-CN"/>
              </w:rPr>
              <w:t>3</w:t>
            </w:r>
            <w:r>
              <w:rPr>
                <w:rFonts w:hint="eastAsia" w:ascii="宋体" w:hAnsi="宋体" w:eastAsia="宋体" w:cs="宋体"/>
                <w:color w:val="auto"/>
                <w:sz w:val="21"/>
                <w:szCs w:val="21"/>
                <w:u w:val="none"/>
                <w:shd w:val="clear" w:color="auto" w:fill="auto"/>
              </w:rPr>
              <w:t>年具有从事</w:t>
            </w:r>
            <w:bookmarkStart w:id="76" w:name="OLE_LINK50"/>
            <w:r>
              <w:rPr>
                <w:rFonts w:hint="eastAsia" w:ascii="宋体" w:hAnsi="宋体" w:eastAsia="宋体" w:cs="宋体"/>
                <w:color w:val="auto"/>
                <w:sz w:val="21"/>
                <w:szCs w:val="21"/>
                <w:u w:val="none"/>
                <w:shd w:val="clear" w:color="auto" w:fill="auto"/>
              </w:rPr>
              <w:t>中小学综合实践基地</w:t>
            </w:r>
            <w:r>
              <w:rPr>
                <w:rFonts w:hint="eastAsia" w:ascii="宋体" w:hAnsi="宋体" w:eastAsia="宋体" w:cs="宋体"/>
                <w:color w:val="auto"/>
                <w:sz w:val="21"/>
                <w:szCs w:val="21"/>
                <w:u w:val="none"/>
                <w:shd w:val="clear" w:color="auto" w:fill="auto"/>
                <w:lang w:eastAsia="zh-CN"/>
              </w:rPr>
              <w:t>或研学实践教育基地</w:t>
            </w:r>
            <w:bookmarkEnd w:id="76"/>
            <w:r>
              <w:rPr>
                <w:rFonts w:hint="eastAsia" w:ascii="宋体" w:hAnsi="宋体" w:eastAsia="宋体" w:cs="宋体"/>
                <w:color w:val="auto"/>
                <w:sz w:val="21"/>
                <w:szCs w:val="21"/>
                <w:u w:val="none"/>
                <w:shd w:val="clear" w:color="auto" w:fill="auto"/>
              </w:rPr>
              <w:t>运营管理的经验，业绩证明材料</w:t>
            </w:r>
            <w:r>
              <w:rPr>
                <w:rFonts w:hint="eastAsia" w:ascii="宋体" w:hAnsi="宋体" w:eastAsia="宋体" w:cs="宋体"/>
                <w:strike w:val="0"/>
                <w:dstrike w:val="0"/>
                <w:color w:val="auto"/>
                <w:kern w:val="0"/>
                <w:sz w:val="21"/>
                <w:szCs w:val="21"/>
                <w:highlight w:val="none"/>
                <w:lang w:eastAsia="zh-CN"/>
              </w:rPr>
              <w:t>得</w:t>
            </w:r>
            <w:r>
              <w:rPr>
                <w:rFonts w:hint="eastAsia" w:ascii="宋体" w:hAnsi="宋体" w:eastAsia="宋体" w:cs="宋体"/>
                <w:strike w:val="0"/>
                <w:dstrike w:val="0"/>
                <w:color w:val="auto"/>
                <w:kern w:val="0"/>
                <w:sz w:val="21"/>
                <w:szCs w:val="21"/>
                <w:highlight w:val="none"/>
                <w:lang w:val="en-US" w:eastAsia="zh-CN"/>
              </w:rPr>
              <w:t>5</w:t>
            </w:r>
            <w:r>
              <w:rPr>
                <w:rFonts w:hint="eastAsia" w:ascii="宋体" w:hAnsi="宋体" w:eastAsia="宋体" w:cs="宋体"/>
                <w:strike w:val="0"/>
                <w:dstrike w:val="0"/>
                <w:color w:val="auto"/>
                <w:kern w:val="0"/>
                <w:sz w:val="21"/>
                <w:szCs w:val="21"/>
                <w:highlight w:val="none"/>
                <w:lang w:eastAsia="zh-CN"/>
              </w:rPr>
              <w:t>分；</w:t>
            </w:r>
          </w:p>
          <w:p w14:paraId="4B2E4B08">
            <w:pPr>
              <w:numPr>
                <w:ilvl w:val="0"/>
                <w:numId w:val="0"/>
              </w:numPr>
              <w:spacing w:line="240" w:lineRule="auto"/>
              <w:ind w:left="0" w:leftChars="0" w:firstLine="0" w:firstLineChars="0"/>
              <w:rPr>
                <w:rFonts w:hint="default" w:ascii="宋体" w:hAnsi="宋体" w:eastAsia="宋体" w:cs="宋体"/>
                <w:color w:val="auto"/>
                <w:sz w:val="21"/>
                <w:szCs w:val="21"/>
                <w:lang w:val="en-US"/>
              </w:rPr>
            </w:pPr>
            <w:r>
              <w:rPr>
                <w:rFonts w:hint="eastAsia" w:ascii="宋体" w:hAnsi="宋体" w:eastAsia="宋体" w:cs="宋体"/>
                <w:b/>
                <w:bCs/>
                <w:color w:val="auto"/>
                <w:kern w:val="0"/>
                <w:sz w:val="21"/>
                <w:szCs w:val="21"/>
                <w:highlight w:val="none"/>
                <w:lang w:eastAsia="zh-CN"/>
              </w:rPr>
              <w:t>注:提供可证明的材料，合同或合作协议复印件关键页且必须包括：签订合作双方的单位名称、项目名称、签订合作双方的落款盖章及其他信息。未提供或提供不齐全不得分。（联合体投标的，联合体一方提供即可）</w:t>
            </w:r>
          </w:p>
        </w:tc>
        <w:tc>
          <w:tcPr>
            <w:tcW w:w="695" w:type="dxa"/>
            <w:noWrap w:val="0"/>
            <w:vAlign w:val="center"/>
          </w:tcPr>
          <w:p w14:paraId="242FE6EF">
            <w:pPr>
              <w:pStyle w:val="98"/>
              <w:rPr>
                <w:rFonts w:hint="default"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10</w:t>
            </w:r>
          </w:p>
        </w:tc>
      </w:tr>
      <w:tr w14:paraId="2B3D2A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37" w:hRule="atLeast"/>
          <w:jc w:val="center"/>
        </w:trPr>
        <w:tc>
          <w:tcPr>
            <w:tcW w:w="1133" w:type="dxa"/>
            <w:vMerge w:val="continue"/>
            <w:noWrap w:val="0"/>
            <w:vAlign w:val="center"/>
          </w:tcPr>
          <w:p w14:paraId="2D275514">
            <w:pPr>
              <w:pStyle w:val="98"/>
              <w:rPr>
                <w:rFonts w:hint="eastAsia" w:ascii="宋体" w:hAnsi="宋体" w:eastAsia="宋体" w:cs="宋体"/>
                <w:color w:val="auto"/>
                <w:sz w:val="21"/>
                <w:szCs w:val="21"/>
              </w:rPr>
            </w:pPr>
          </w:p>
        </w:tc>
        <w:tc>
          <w:tcPr>
            <w:tcW w:w="1797" w:type="dxa"/>
            <w:noWrap w:val="0"/>
            <w:vAlign w:val="center"/>
          </w:tcPr>
          <w:p w14:paraId="3EC1FBA0">
            <w:pPr>
              <w:pStyle w:val="98"/>
              <w:rPr>
                <w:rFonts w:hint="eastAsia" w:ascii="宋体" w:hAnsi="宋体" w:eastAsia="宋体" w:cs="宋体"/>
                <w:color w:val="auto"/>
                <w:sz w:val="21"/>
                <w:szCs w:val="21"/>
                <w:lang w:val="en-US" w:eastAsia="zh-CN"/>
              </w:rPr>
            </w:pPr>
            <w:bookmarkStart w:id="77" w:name="OLE_LINK29"/>
            <w:r>
              <w:rPr>
                <w:rFonts w:hint="eastAsia" w:ascii="宋体" w:hAnsi="宋体" w:eastAsia="宋体" w:cs="宋体"/>
                <w:color w:val="auto"/>
                <w:sz w:val="21"/>
                <w:szCs w:val="21"/>
                <w:lang w:val="en-US" w:eastAsia="zh-CN"/>
              </w:rPr>
              <w:t>服务团队人</w:t>
            </w:r>
          </w:p>
          <w:p w14:paraId="73400A87">
            <w:pPr>
              <w:pStyle w:val="98"/>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员配备</w:t>
            </w:r>
          </w:p>
          <w:bookmarkEnd w:id="77"/>
          <w:p w14:paraId="79AECB08">
            <w:pPr>
              <w:pStyle w:val="98"/>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（13.0分）</w:t>
            </w:r>
          </w:p>
        </w:tc>
        <w:tc>
          <w:tcPr>
            <w:tcW w:w="5290" w:type="dxa"/>
            <w:noWrap w:val="0"/>
            <w:vAlign w:val="top"/>
          </w:tcPr>
          <w:p w14:paraId="167E2F04">
            <w:pPr>
              <w:numPr>
                <w:ilvl w:val="0"/>
                <w:numId w:val="0"/>
              </w:numPr>
              <w:spacing w:line="240" w:lineRule="auto"/>
              <w:ind w:left="0" w:leftChars="0" w:firstLine="0" w:firstLineChars="0"/>
              <w:rPr>
                <w:rFonts w:hint="eastAsia" w:ascii="宋体" w:hAnsi="宋体" w:eastAsia="宋体" w:cs="宋体"/>
                <w:strike w:val="0"/>
                <w:dstrike w:val="0"/>
                <w:color w:val="auto"/>
                <w:kern w:val="0"/>
                <w:sz w:val="21"/>
                <w:szCs w:val="21"/>
                <w:highlight w:val="none"/>
                <w:lang w:val="en-US" w:eastAsia="zh-CN"/>
              </w:rPr>
            </w:pPr>
            <w:r>
              <w:rPr>
                <w:rFonts w:hint="eastAsia" w:ascii="宋体" w:hAnsi="宋体" w:eastAsia="宋体" w:cs="宋体"/>
                <w:color w:val="auto"/>
                <w:sz w:val="21"/>
                <w:szCs w:val="21"/>
                <w:lang w:val="en-US" w:eastAsia="zh-CN"/>
              </w:rPr>
              <w:t>1.投标人</w:t>
            </w:r>
            <w:r>
              <w:rPr>
                <w:rFonts w:hint="eastAsia" w:ascii="宋体" w:hAnsi="宋体" w:eastAsia="宋体" w:cs="宋体"/>
                <w:strike w:val="0"/>
                <w:dstrike w:val="0"/>
                <w:color w:val="auto"/>
                <w:kern w:val="0"/>
                <w:sz w:val="21"/>
                <w:szCs w:val="21"/>
                <w:highlight w:val="none"/>
                <w:lang w:val="en-US" w:eastAsia="zh-CN"/>
              </w:rPr>
              <w:t>拟派项目负责人具有筹建或管理</w:t>
            </w:r>
            <w:r>
              <w:rPr>
                <w:rFonts w:hint="eastAsia" w:ascii="宋体" w:hAnsi="宋体" w:eastAsia="宋体" w:cs="宋体"/>
                <w:color w:val="auto"/>
                <w:sz w:val="21"/>
                <w:szCs w:val="21"/>
                <w:u w:val="none"/>
                <w:shd w:val="clear" w:color="auto" w:fill="auto"/>
              </w:rPr>
              <w:t>中小学综合实践基地</w:t>
            </w:r>
            <w:r>
              <w:rPr>
                <w:rFonts w:hint="eastAsia" w:ascii="宋体" w:hAnsi="宋体" w:eastAsia="宋体" w:cs="宋体"/>
                <w:color w:val="auto"/>
                <w:sz w:val="21"/>
                <w:szCs w:val="21"/>
                <w:u w:val="none"/>
                <w:shd w:val="clear" w:color="auto" w:fill="auto"/>
                <w:lang w:eastAsia="zh-CN"/>
              </w:rPr>
              <w:t>或研学实践教育基地</w:t>
            </w:r>
            <w:r>
              <w:rPr>
                <w:rFonts w:hint="eastAsia" w:ascii="宋体" w:hAnsi="宋体" w:eastAsia="宋体" w:cs="宋体"/>
                <w:strike w:val="0"/>
                <w:dstrike w:val="0"/>
                <w:color w:val="auto"/>
                <w:kern w:val="0"/>
                <w:sz w:val="21"/>
                <w:szCs w:val="21"/>
                <w:highlight w:val="none"/>
                <w:lang w:val="en-US" w:eastAsia="zh-CN"/>
              </w:rPr>
              <w:t>3年或以上经验，得3分；</w:t>
            </w:r>
          </w:p>
          <w:p w14:paraId="31A9E693">
            <w:pPr>
              <w:pStyle w:val="98"/>
              <w:jc w:val="both"/>
              <w:rPr>
                <w:rFonts w:hint="eastAsia" w:ascii="宋体" w:hAnsi="宋体" w:eastAsia="宋体" w:cs="宋体"/>
                <w:b/>
                <w:bCs/>
                <w:strike w:val="0"/>
                <w:dstrike w:val="0"/>
                <w:color w:val="auto"/>
                <w:sz w:val="21"/>
                <w:szCs w:val="21"/>
                <w:lang w:val="en-US" w:eastAsia="zh-CN"/>
              </w:rPr>
            </w:pPr>
            <w:r>
              <w:rPr>
                <w:rFonts w:hint="eastAsia" w:ascii="宋体" w:hAnsi="宋体" w:eastAsia="宋体" w:cs="宋体"/>
                <w:b/>
                <w:bCs/>
                <w:strike w:val="0"/>
                <w:dstrike w:val="0"/>
                <w:color w:val="auto"/>
                <w:kern w:val="0"/>
                <w:sz w:val="21"/>
                <w:szCs w:val="21"/>
                <w:highlight w:val="none"/>
                <w:lang w:val="en-US" w:eastAsia="zh-CN"/>
              </w:rPr>
              <w:t>注：</w:t>
            </w:r>
            <w:r>
              <w:rPr>
                <w:rFonts w:hint="eastAsia" w:ascii="宋体" w:hAnsi="宋体" w:eastAsia="宋体" w:cs="宋体"/>
                <w:b/>
                <w:bCs/>
                <w:strike w:val="0"/>
                <w:dstrike w:val="0"/>
                <w:color w:val="auto"/>
                <w:sz w:val="21"/>
                <w:szCs w:val="21"/>
                <w:lang w:val="en-US" w:eastAsia="zh-CN"/>
              </w:rPr>
              <w:t>提供人相关证明及2025年内任意一个月社保复印件加盖公章。（联合体投标的，联合体一方提供即可）</w:t>
            </w:r>
          </w:p>
          <w:p w14:paraId="154F622D">
            <w:pPr>
              <w:pStyle w:val="98"/>
              <w:jc w:val="both"/>
              <w:rPr>
                <w:rFonts w:hint="eastAsia" w:ascii="宋体" w:hAnsi="宋体" w:eastAsia="宋体" w:cs="宋体"/>
                <w:color w:val="auto"/>
                <w:sz w:val="21"/>
                <w:szCs w:val="21"/>
                <w:lang w:val="en-US" w:eastAsia="zh-CN"/>
              </w:rPr>
            </w:pPr>
            <w:r>
              <w:rPr>
                <w:rFonts w:hint="eastAsia" w:ascii="宋体" w:hAnsi="宋体" w:eastAsia="宋体" w:cs="宋体"/>
                <w:b w:val="0"/>
                <w:bCs w:val="0"/>
                <w:strike w:val="0"/>
                <w:dstrike w:val="0"/>
                <w:color w:val="auto"/>
                <w:sz w:val="21"/>
                <w:szCs w:val="21"/>
                <w:lang w:val="en-US" w:eastAsia="zh-CN"/>
              </w:rPr>
              <w:t>2.</w:t>
            </w:r>
            <w:r>
              <w:rPr>
                <w:rFonts w:hint="eastAsia" w:ascii="宋体" w:hAnsi="宋体" w:eastAsia="宋体" w:cs="宋体"/>
                <w:color w:val="auto"/>
                <w:sz w:val="21"/>
                <w:szCs w:val="21"/>
                <w:lang w:val="en-US" w:eastAsia="zh-CN"/>
              </w:rPr>
              <w:t>针对基地运营，组建结构合理、数量足够、素质较高的服务团队，根据投标人提交的基地运营管理服务团队岗位设置、岗位职责、岗位人员配备等材料进行综合评审：</w:t>
            </w:r>
          </w:p>
          <w:p w14:paraId="40D29D3B">
            <w:pPr>
              <w:pStyle w:val="98"/>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1.运营管理服务团队（数量、组成、素质、经验）及岗位设置配备等实力最强的，组建结构及岗位设置科学合理，切实可行的，得10分；</w:t>
            </w:r>
          </w:p>
          <w:p w14:paraId="148CDCAD">
            <w:pPr>
              <w:pStyle w:val="98"/>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2.运营管理服务团队（数量、组成、素质、经验）及岗位设置配备等实力其次的，组建结构及岗位设置较合理，基本可行的，得7分；</w:t>
            </w:r>
          </w:p>
          <w:p w14:paraId="2D57B297">
            <w:pPr>
              <w:pStyle w:val="98"/>
              <w:jc w:val="both"/>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3.运营管理服务团队（数量、组成、素质、经验）及岗位设置配备等实力属其他情况的，组建结构及岗位设置合理性一般，可行一般的，得4分；</w:t>
            </w:r>
          </w:p>
          <w:p w14:paraId="5E8824DA">
            <w:pPr>
              <w:pStyle w:val="98"/>
              <w:jc w:val="both"/>
              <w:rPr>
                <w:rFonts w:hint="eastAsia" w:ascii="宋体" w:hAnsi="宋体" w:eastAsia="宋体" w:cs="宋体"/>
                <w:color w:val="auto"/>
                <w:sz w:val="21"/>
                <w:szCs w:val="21"/>
                <w:lang w:val="en-US" w:eastAsia="zh-CN"/>
              </w:rPr>
            </w:pPr>
            <w:r>
              <w:rPr>
                <w:rFonts w:hint="eastAsia" w:ascii="宋体" w:hAnsi="宋体" w:eastAsia="宋体" w:cs="宋体"/>
                <w:b/>
                <w:bCs/>
                <w:color w:val="auto"/>
                <w:sz w:val="21"/>
                <w:szCs w:val="21"/>
                <w:lang w:val="en-US" w:eastAsia="zh-CN"/>
              </w:rPr>
              <w:t>注：须提供相关人员证明材料及2025年内任意一个月缴纳社保证明或劳动合同或如退休返聘人员须提供退休证及劳动合同材料复印件，未提供或未按要求提供不得分。</w:t>
            </w:r>
            <w:r>
              <w:rPr>
                <w:rFonts w:hint="eastAsia" w:ascii="宋体" w:hAnsi="宋体" w:eastAsia="宋体" w:cs="宋体"/>
                <w:b/>
                <w:bCs/>
                <w:strike w:val="0"/>
                <w:dstrike w:val="0"/>
                <w:color w:val="auto"/>
                <w:sz w:val="21"/>
                <w:szCs w:val="21"/>
                <w:lang w:val="en-US" w:eastAsia="zh-CN"/>
              </w:rPr>
              <w:t>（联合体投标的，联合体一方提供即可）</w:t>
            </w:r>
          </w:p>
        </w:tc>
        <w:tc>
          <w:tcPr>
            <w:tcW w:w="695" w:type="dxa"/>
            <w:noWrap w:val="0"/>
            <w:vAlign w:val="center"/>
          </w:tcPr>
          <w:p w14:paraId="48D5A2E1">
            <w:pPr>
              <w:pStyle w:val="98"/>
              <w:rPr>
                <w:rFonts w:hint="default" w:ascii="宋体" w:hAnsi="宋体" w:eastAsia="宋体" w:cs="宋体"/>
                <w:strike/>
                <w:dstrike w:val="0"/>
                <w:color w:val="auto"/>
                <w:sz w:val="21"/>
                <w:szCs w:val="21"/>
                <w:lang w:val="en-US" w:eastAsia="zh-CN"/>
              </w:rPr>
            </w:pPr>
            <w:r>
              <w:rPr>
                <w:rFonts w:hint="eastAsia" w:ascii="宋体" w:hAnsi="宋体" w:eastAsia="宋体" w:cs="宋体"/>
                <w:strike w:val="0"/>
                <w:dstrike w:val="0"/>
                <w:color w:val="auto"/>
                <w:sz w:val="21"/>
                <w:szCs w:val="21"/>
                <w:lang w:val="en-US" w:eastAsia="zh-CN"/>
              </w:rPr>
              <w:t>13</w:t>
            </w:r>
          </w:p>
        </w:tc>
      </w:tr>
      <w:tr w14:paraId="4C29DE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82" w:hRule="atLeast"/>
          <w:jc w:val="center"/>
        </w:trPr>
        <w:tc>
          <w:tcPr>
            <w:tcW w:w="1133" w:type="dxa"/>
            <w:vMerge w:val="continue"/>
            <w:noWrap w:val="0"/>
            <w:vAlign w:val="center"/>
          </w:tcPr>
          <w:p w14:paraId="027D7A59">
            <w:pPr>
              <w:pStyle w:val="98"/>
              <w:rPr>
                <w:rFonts w:hint="eastAsia" w:ascii="宋体" w:hAnsi="宋体" w:eastAsia="宋体" w:cs="宋体"/>
                <w:color w:val="auto"/>
                <w:sz w:val="21"/>
                <w:szCs w:val="21"/>
              </w:rPr>
            </w:pPr>
          </w:p>
        </w:tc>
        <w:tc>
          <w:tcPr>
            <w:tcW w:w="1797" w:type="dxa"/>
            <w:noWrap w:val="0"/>
            <w:vAlign w:val="center"/>
          </w:tcPr>
          <w:p w14:paraId="1119B1AA">
            <w:pPr>
              <w:pStyle w:val="101"/>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投保情况</w:t>
            </w:r>
          </w:p>
          <w:p w14:paraId="7961225D">
            <w:pPr>
              <w:pStyle w:val="101"/>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w:t>
            </w:r>
            <w:r>
              <w:rPr>
                <w:rFonts w:hint="eastAsia" w:ascii="宋体" w:hAnsi="宋体" w:cs="宋体"/>
                <w:strike w:val="0"/>
                <w:dstrike w:val="0"/>
                <w:color w:val="auto"/>
                <w:kern w:val="2"/>
                <w:sz w:val="21"/>
                <w:szCs w:val="21"/>
                <w:lang w:val="en-US" w:eastAsia="zh-CN" w:bidi="ar-SA"/>
              </w:rPr>
              <w:t>3.0</w:t>
            </w:r>
            <w:r>
              <w:rPr>
                <w:rFonts w:hint="eastAsia" w:ascii="宋体" w:hAnsi="宋体" w:eastAsia="宋体" w:cs="宋体"/>
                <w:color w:val="auto"/>
                <w:kern w:val="2"/>
                <w:sz w:val="21"/>
                <w:szCs w:val="21"/>
                <w:lang w:val="en-US" w:eastAsia="zh-CN" w:bidi="ar-SA"/>
              </w:rPr>
              <w:t>分)</w:t>
            </w:r>
          </w:p>
        </w:tc>
        <w:tc>
          <w:tcPr>
            <w:tcW w:w="5290" w:type="dxa"/>
            <w:noWrap w:val="0"/>
            <w:vAlign w:val="top"/>
          </w:tcPr>
          <w:p w14:paraId="5D5F8863">
            <w:pPr>
              <w:pStyle w:val="101"/>
              <w:jc w:val="left"/>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投标人为</w:t>
            </w:r>
            <w:r>
              <w:rPr>
                <w:rFonts w:hint="eastAsia" w:ascii="宋体" w:hAnsi="宋体" w:cs="宋体"/>
                <w:strike w:val="0"/>
                <w:dstrike w:val="0"/>
                <w:color w:val="auto"/>
                <w:kern w:val="2"/>
                <w:sz w:val="21"/>
                <w:szCs w:val="21"/>
                <w:lang w:val="en-US" w:eastAsia="zh-CN" w:bidi="ar-SA"/>
              </w:rPr>
              <w:t>参加实践活动</w:t>
            </w:r>
            <w:r>
              <w:rPr>
                <w:rFonts w:hint="eastAsia" w:ascii="宋体" w:hAnsi="宋体" w:eastAsia="宋体" w:cs="宋体"/>
                <w:color w:val="auto"/>
                <w:kern w:val="2"/>
                <w:sz w:val="21"/>
                <w:szCs w:val="21"/>
                <w:lang w:val="en-US" w:eastAsia="zh-CN" w:bidi="ar-SA"/>
              </w:rPr>
              <w:t xml:space="preserve">学生购买的人身意外伤害保险，每人保额不低于100万元，且有效期须覆盖本项目服务期限，得3分。 </w:t>
            </w:r>
          </w:p>
          <w:p w14:paraId="4CA2A11F">
            <w:pPr>
              <w:pStyle w:val="101"/>
              <w:jc w:val="left"/>
              <w:rPr>
                <w:rFonts w:hint="eastAsia" w:ascii="宋体" w:hAnsi="宋体" w:eastAsia="宋体" w:cs="宋体"/>
                <w:color w:val="auto"/>
                <w:kern w:val="2"/>
                <w:sz w:val="21"/>
                <w:szCs w:val="21"/>
                <w:lang w:val="en-US" w:eastAsia="zh-CN" w:bidi="ar-SA"/>
              </w:rPr>
            </w:pPr>
            <w:r>
              <w:rPr>
                <w:rFonts w:hint="eastAsia" w:ascii="宋体" w:hAnsi="宋体" w:eastAsia="宋体" w:cs="宋体"/>
                <w:b w:val="0"/>
                <w:bCs w:val="0"/>
                <w:color w:val="auto"/>
                <w:kern w:val="2"/>
                <w:sz w:val="21"/>
                <w:szCs w:val="21"/>
                <w:lang w:val="en-US" w:eastAsia="zh-CN" w:bidi="ar-SA"/>
              </w:rPr>
              <w:t>【注：提供保险单扫描件（如保险单有效期没覆盖本项目服务期限，还须提供延续有效期直至覆盖本项目服务期限的承诺函，格式自拟）或承诺中标后5个工作日内提供满足上述要求的人力投保（承诺函格式自拟），否则不得分。】</w:t>
            </w:r>
            <w:r>
              <w:rPr>
                <w:rFonts w:hint="eastAsia" w:ascii="宋体" w:hAnsi="宋体" w:eastAsia="宋体" w:cs="宋体"/>
                <w:b/>
                <w:bCs/>
                <w:color w:val="auto"/>
                <w:sz w:val="21"/>
                <w:szCs w:val="21"/>
                <w:lang w:val="en-US" w:eastAsia="zh-CN"/>
              </w:rPr>
              <w:t>（联合体投标的，联合体一方提供即可）</w:t>
            </w:r>
          </w:p>
        </w:tc>
        <w:tc>
          <w:tcPr>
            <w:tcW w:w="695" w:type="dxa"/>
            <w:noWrap w:val="0"/>
            <w:vAlign w:val="center"/>
          </w:tcPr>
          <w:p w14:paraId="73A7B47C">
            <w:pPr>
              <w:pStyle w:val="98"/>
              <w:rPr>
                <w:rFonts w:hint="default" w:ascii="宋体" w:hAnsi="宋体" w:eastAsia="宋体" w:cs="宋体"/>
                <w:strike/>
                <w:dstrike w:val="0"/>
                <w:color w:val="auto"/>
                <w:sz w:val="21"/>
                <w:szCs w:val="21"/>
                <w:lang w:val="en-US" w:eastAsia="zh-CN"/>
              </w:rPr>
            </w:pPr>
            <w:r>
              <w:rPr>
                <w:rFonts w:hint="eastAsia" w:ascii="宋体" w:hAnsi="宋体" w:eastAsia="宋体" w:cs="宋体"/>
                <w:strike w:val="0"/>
                <w:dstrike w:val="0"/>
                <w:color w:val="auto"/>
                <w:sz w:val="21"/>
                <w:szCs w:val="21"/>
                <w:lang w:val="en-US" w:eastAsia="zh-CN"/>
              </w:rPr>
              <w:t>3</w:t>
            </w:r>
          </w:p>
        </w:tc>
      </w:tr>
      <w:tr w14:paraId="1BBDFA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45" w:hRule="atLeast"/>
          <w:jc w:val="center"/>
        </w:trPr>
        <w:tc>
          <w:tcPr>
            <w:tcW w:w="1133" w:type="dxa"/>
            <w:vMerge w:val="continue"/>
            <w:noWrap w:val="0"/>
            <w:vAlign w:val="center"/>
          </w:tcPr>
          <w:p w14:paraId="585382F6">
            <w:pPr>
              <w:pStyle w:val="98"/>
              <w:rPr>
                <w:rFonts w:hint="eastAsia" w:ascii="宋体" w:hAnsi="宋体" w:eastAsia="宋体" w:cs="宋体"/>
                <w:color w:val="auto"/>
                <w:sz w:val="21"/>
                <w:szCs w:val="21"/>
              </w:rPr>
            </w:pPr>
          </w:p>
        </w:tc>
        <w:tc>
          <w:tcPr>
            <w:tcW w:w="1797" w:type="dxa"/>
            <w:noWrap w:val="0"/>
            <w:vAlign w:val="center"/>
          </w:tcPr>
          <w:p w14:paraId="6FFDA937">
            <w:pPr>
              <w:pStyle w:val="98"/>
              <w:rPr>
                <w:rFonts w:hint="eastAsia" w:ascii="宋体" w:hAnsi="宋体" w:eastAsia="宋体" w:cs="宋体"/>
                <w:snapToGrid w:val="0"/>
                <w:color w:val="auto"/>
                <w:spacing w:val="8"/>
                <w:kern w:val="0"/>
                <w:sz w:val="21"/>
                <w:szCs w:val="21"/>
                <w:lang w:val="en-US" w:eastAsia="en-US" w:bidi="ar-SA"/>
              </w:rPr>
            </w:pPr>
            <w:r>
              <w:rPr>
                <w:rFonts w:hint="eastAsia" w:ascii="宋体" w:hAnsi="宋体" w:eastAsia="宋体" w:cs="宋体"/>
                <w:snapToGrid w:val="0"/>
                <w:color w:val="auto"/>
                <w:spacing w:val="8"/>
                <w:kern w:val="0"/>
                <w:sz w:val="21"/>
                <w:szCs w:val="21"/>
                <w:lang w:val="en-US" w:eastAsia="en-US" w:bidi="ar-SA"/>
              </w:rPr>
              <w:t>信息化管理</w:t>
            </w:r>
          </w:p>
          <w:p w14:paraId="783151EA">
            <w:pPr>
              <w:pStyle w:val="98"/>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w:t>
            </w:r>
            <w:r>
              <w:rPr>
                <w:rFonts w:hint="eastAsia" w:ascii="宋体" w:hAnsi="宋体" w:eastAsia="宋体" w:cs="宋体"/>
                <w:strike w:val="0"/>
                <w:dstrike w:val="0"/>
                <w:color w:val="auto"/>
                <w:kern w:val="2"/>
                <w:sz w:val="21"/>
                <w:szCs w:val="21"/>
                <w:lang w:val="en-US" w:eastAsia="zh-CN" w:bidi="ar-SA"/>
              </w:rPr>
              <w:t>4.0</w:t>
            </w:r>
            <w:r>
              <w:rPr>
                <w:rFonts w:hint="eastAsia" w:ascii="宋体" w:hAnsi="宋体" w:eastAsia="宋体" w:cs="宋体"/>
                <w:color w:val="auto"/>
                <w:kern w:val="2"/>
                <w:sz w:val="21"/>
                <w:szCs w:val="21"/>
                <w:lang w:val="en-US" w:eastAsia="zh-CN" w:bidi="ar-SA"/>
              </w:rPr>
              <w:t>分)</w:t>
            </w:r>
          </w:p>
        </w:tc>
        <w:tc>
          <w:tcPr>
            <w:tcW w:w="5290" w:type="dxa"/>
            <w:noWrap w:val="0"/>
            <w:vAlign w:val="center"/>
          </w:tcPr>
          <w:p w14:paraId="34A889BE">
            <w:pPr>
              <w:pStyle w:val="98"/>
              <w:jc w:val="both"/>
              <w:rPr>
                <w:rFonts w:hint="eastAsia" w:ascii="宋体" w:hAnsi="宋体" w:eastAsia="宋体" w:cs="宋体"/>
                <w:snapToGrid w:val="0"/>
                <w:color w:val="auto"/>
                <w:spacing w:val="8"/>
                <w:kern w:val="0"/>
                <w:sz w:val="21"/>
                <w:szCs w:val="21"/>
                <w:lang w:val="en-US" w:eastAsia="en-US" w:bidi="ar-SA"/>
              </w:rPr>
            </w:pPr>
            <w:r>
              <w:rPr>
                <w:rFonts w:hint="eastAsia" w:ascii="宋体" w:hAnsi="宋体" w:eastAsia="宋体" w:cs="宋体"/>
                <w:snapToGrid w:val="0"/>
                <w:color w:val="auto"/>
                <w:spacing w:val="-39"/>
                <w:kern w:val="0"/>
                <w:sz w:val="21"/>
                <w:szCs w:val="21"/>
                <w:lang w:val="en-US" w:eastAsia="en-US" w:bidi="ar-SA"/>
              </w:rPr>
              <w:t xml:space="preserve"> </w:t>
            </w:r>
            <w:r>
              <w:rPr>
                <w:rFonts w:hint="eastAsia" w:ascii="宋体" w:hAnsi="宋体" w:eastAsia="宋体" w:cs="宋体"/>
                <w:color w:val="auto"/>
                <w:kern w:val="2"/>
                <w:sz w:val="21"/>
                <w:szCs w:val="21"/>
                <w:lang w:val="en-US" w:eastAsia="zh-CN" w:bidi="ar-SA"/>
              </w:rPr>
              <w:t>投标人为本项目</w:t>
            </w:r>
            <w:r>
              <w:rPr>
                <w:rFonts w:hint="eastAsia" w:ascii="宋体" w:hAnsi="宋体" w:eastAsia="宋体" w:cs="宋体"/>
                <w:snapToGrid w:val="0"/>
                <w:color w:val="auto"/>
                <w:spacing w:val="8"/>
                <w:kern w:val="0"/>
                <w:sz w:val="21"/>
                <w:szCs w:val="21"/>
                <w:lang w:val="en-US" w:eastAsia="en-US" w:bidi="ar-SA"/>
              </w:rPr>
              <w:t>开设网站或微信</w:t>
            </w:r>
            <w:r>
              <w:rPr>
                <w:rFonts w:hint="eastAsia" w:ascii="宋体" w:hAnsi="宋体" w:eastAsia="宋体" w:cs="宋体"/>
                <w:snapToGrid w:val="0"/>
                <w:color w:val="auto"/>
                <w:spacing w:val="8"/>
                <w:kern w:val="0"/>
                <w:sz w:val="21"/>
                <w:szCs w:val="21"/>
                <w:lang w:val="en-US" w:eastAsia="zh-CN" w:bidi="ar-SA"/>
              </w:rPr>
              <w:t>公众</w:t>
            </w:r>
            <w:r>
              <w:rPr>
                <w:rFonts w:hint="eastAsia" w:ascii="宋体" w:hAnsi="宋体" w:eastAsia="宋体" w:cs="宋体"/>
                <w:snapToGrid w:val="0"/>
                <w:color w:val="auto"/>
                <w:spacing w:val="8"/>
                <w:kern w:val="0"/>
                <w:sz w:val="21"/>
                <w:szCs w:val="21"/>
                <w:lang w:val="en-US" w:eastAsia="en-US" w:bidi="ar-SA"/>
              </w:rPr>
              <w:t>号，</w:t>
            </w:r>
            <w:r>
              <w:rPr>
                <w:rFonts w:hint="eastAsia" w:ascii="宋体" w:hAnsi="宋体" w:eastAsia="宋体" w:cs="宋体"/>
                <w:strike w:val="0"/>
                <w:dstrike w:val="0"/>
                <w:snapToGrid w:val="0"/>
                <w:color w:val="auto"/>
                <w:spacing w:val="8"/>
                <w:kern w:val="0"/>
                <w:sz w:val="21"/>
                <w:szCs w:val="21"/>
                <w:lang w:val="en-US" w:eastAsia="zh-CN" w:bidi="ar-SA"/>
              </w:rPr>
              <w:t>为</w:t>
            </w:r>
            <w:r>
              <w:rPr>
                <w:rFonts w:hint="eastAsia" w:ascii="宋体" w:hAnsi="宋体" w:eastAsia="宋体" w:cs="宋体"/>
                <w:snapToGrid w:val="0"/>
                <w:color w:val="auto"/>
                <w:spacing w:val="8"/>
                <w:kern w:val="0"/>
                <w:sz w:val="21"/>
                <w:szCs w:val="21"/>
                <w:lang w:val="en-US" w:eastAsia="en-US" w:bidi="ar-SA"/>
              </w:rPr>
              <w:t>师生及家</w:t>
            </w:r>
            <w:r>
              <w:rPr>
                <w:rFonts w:hint="eastAsia" w:ascii="宋体" w:hAnsi="宋体" w:eastAsia="宋体" w:cs="宋体"/>
                <w:snapToGrid w:val="0"/>
                <w:color w:val="auto"/>
                <w:spacing w:val="7"/>
                <w:kern w:val="0"/>
                <w:sz w:val="21"/>
                <w:szCs w:val="21"/>
                <w:lang w:val="en-US" w:eastAsia="en-US" w:bidi="ar-SA"/>
              </w:rPr>
              <w:t>长查询实践</w:t>
            </w:r>
            <w:r>
              <w:rPr>
                <w:rFonts w:hint="eastAsia" w:ascii="宋体" w:hAnsi="宋体" w:eastAsia="宋体" w:cs="宋体"/>
                <w:snapToGrid w:val="0"/>
                <w:color w:val="auto"/>
                <w:spacing w:val="7"/>
                <w:kern w:val="0"/>
                <w:sz w:val="21"/>
                <w:szCs w:val="21"/>
                <w:lang w:val="en-US" w:eastAsia="zh-CN" w:bidi="ar-SA"/>
              </w:rPr>
              <w:t>活动</w:t>
            </w:r>
            <w:r>
              <w:rPr>
                <w:rFonts w:hint="eastAsia" w:ascii="宋体" w:hAnsi="宋体" w:eastAsia="宋体" w:cs="宋体"/>
                <w:snapToGrid w:val="0"/>
                <w:color w:val="auto"/>
                <w:spacing w:val="7"/>
                <w:kern w:val="0"/>
                <w:sz w:val="21"/>
                <w:szCs w:val="21"/>
                <w:lang w:val="en-US" w:eastAsia="en-US" w:bidi="ar-SA"/>
              </w:rPr>
              <w:t>信息</w:t>
            </w:r>
            <w:r>
              <w:rPr>
                <w:rFonts w:hint="eastAsia" w:ascii="宋体" w:hAnsi="宋体" w:eastAsia="宋体" w:cs="宋体"/>
                <w:snapToGrid w:val="0"/>
                <w:color w:val="auto"/>
                <w:spacing w:val="7"/>
                <w:kern w:val="0"/>
                <w:sz w:val="21"/>
                <w:szCs w:val="21"/>
                <w:lang w:val="en-US" w:eastAsia="zh-CN" w:bidi="ar-SA"/>
              </w:rPr>
              <w:t>提供</w:t>
            </w:r>
            <w:r>
              <w:rPr>
                <w:rFonts w:hint="eastAsia" w:ascii="宋体" w:hAnsi="宋体" w:eastAsia="宋体" w:cs="宋体"/>
                <w:strike w:val="0"/>
                <w:dstrike w:val="0"/>
                <w:snapToGrid w:val="0"/>
                <w:color w:val="auto"/>
                <w:spacing w:val="7"/>
                <w:kern w:val="0"/>
                <w:sz w:val="21"/>
                <w:szCs w:val="21"/>
                <w:lang w:val="en-US" w:eastAsia="en-US" w:bidi="ar-SA"/>
              </w:rPr>
              <w:t>服务</w:t>
            </w:r>
            <w:r>
              <w:rPr>
                <w:rFonts w:hint="eastAsia" w:ascii="宋体" w:hAnsi="宋体" w:eastAsia="宋体" w:cs="宋体"/>
                <w:color w:val="auto"/>
                <w:kern w:val="2"/>
                <w:sz w:val="21"/>
                <w:szCs w:val="21"/>
                <w:lang w:val="en-US" w:eastAsia="zh-CN" w:bidi="ar-SA"/>
              </w:rPr>
              <w:t>得4分。</w:t>
            </w:r>
          </w:p>
          <w:p w14:paraId="2C8D6111">
            <w:pPr>
              <w:pStyle w:val="98"/>
              <w:jc w:val="both"/>
              <w:rPr>
                <w:rFonts w:hint="eastAsia" w:ascii="宋体" w:hAnsi="宋体" w:eastAsia="宋体" w:cs="宋体"/>
                <w:color w:val="auto"/>
                <w:sz w:val="21"/>
                <w:szCs w:val="21"/>
              </w:rPr>
            </w:pPr>
            <w:r>
              <w:rPr>
                <w:rFonts w:hint="eastAsia" w:ascii="宋体" w:hAnsi="宋体" w:eastAsia="宋体" w:cs="宋体"/>
                <w:color w:val="auto"/>
                <w:kern w:val="2"/>
                <w:sz w:val="21"/>
                <w:szCs w:val="21"/>
                <w:lang w:val="en-US" w:eastAsia="zh-CN" w:bidi="ar-SA"/>
              </w:rPr>
              <w:t>【注：提供购买系统发票及合同，如是租赁的提供租赁协议，或承诺中标后</w:t>
            </w:r>
            <w:r>
              <w:rPr>
                <w:rFonts w:hint="eastAsia" w:ascii="宋体" w:hAnsi="宋体" w:eastAsia="宋体" w:cs="宋体"/>
                <w:strike w:val="0"/>
                <w:dstrike w:val="0"/>
                <w:color w:val="auto"/>
                <w:kern w:val="2"/>
                <w:sz w:val="21"/>
                <w:szCs w:val="21"/>
                <w:lang w:val="en-US" w:eastAsia="zh-CN" w:bidi="ar-SA"/>
              </w:rPr>
              <w:t>20</w:t>
            </w:r>
            <w:r>
              <w:rPr>
                <w:rFonts w:hint="eastAsia" w:ascii="宋体" w:hAnsi="宋体" w:eastAsia="宋体" w:cs="宋体"/>
                <w:color w:val="auto"/>
                <w:kern w:val="2"/>
                <w:sz w:val="21"/>
                <w:szCs w:val="21"/>
                <w:lang w:val="en-US" w:eastAsia="zh-CN" w:bidi="ar-SA"/>
              </w:rPr>
              <w:t>个工作日内提供满足上述要求的管理系统（承诺函格式自拟），否则不得分。】</w:t>
            </w:r>
            <w:r>
              <w:rPr>
                <w:rFonts w:hint="eastAsia" w:ascii="宋体" w:hAnsi="宋体" w:eastAsia="宋体" w:cs="宋体"/>
                <w:b/>
                <w:bCs/>
                <w:color w:val="auto"/>
                <w:sz w:val="21"/>
                <w:szCs w:val="21"/>
                <w:lang w:val="en-US" w:eastAsia="zh-CN"/>
              </w:rPr>
              <w:t>（联合体投标的，联合体一方提供即可）</w:t>
            </w:r>
          </w:p>
        </w:tc>
        <w:tc>
          <w:tcPr>
            <w:tcW w:w="695" w:type="dxa"/>
            <w:noWrap w:val="0"/>
            <w:vAlign w:val="center"/>
          </w:tcPr>
          <w:p w14:paraId="158FC6EC">
            <w:pPr>
              <w:pStyle w:val="98"/>
              <w:rPr>
                <w:rFonts w:hint="default" w:ascii="宋体" w:hAnsi="宋体" w:eastAsia="宋体" w:cs="宋体"/>
                <w:strike/>
                <w:dstrike w:val="0"/>
                <w:color w:val="auto"/>
                <w:sz w:val="21"/>
                <w:szCs w:val="21"/>
                <w:lang w:val="en-US" w:eastAsia="zh-CN"/>
              </w:rPr>
            </w:pPr>
            <w:r>
              <w:rPr>
                <w:rFonts w:hint="eastAsia" w:ascii="宋体" w:hAnsi="宋体" w:eastAsia="宋体" w:cs="宋体"/>
                <w:strike/>
                <w:dstrike w:val="0"/>
                <w:color w:val="auto"/>
                <w:sz w:val="21"/>
                <w:szCs w:val="21"/>
                <w:lang w:val="en-US" w:eastAsia="zh-CN"/>
              </w:rPr>
              <w:t>4</w:t>
            </w:r>
          </w:p>
        </w:tc>
      </w:tr>
      <w:tr w14:paraId="18B2A8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67" w:hRule="atLeast"/>
          <w:jc w:val="center"/>
        </w:trPr>
        <w:tc>
          <w:tcPr>
            <w:tcW w:w="1133" w:type="dxa"/>
            <w:noWrap w:val="0"/>
            <w:vAlign w:val="center"/>
          </w:tcPr>
          <w:p w14:paraId="1855831F">
            <w:pPr>
              <w:pStyle w:val="16"/>
              <w:snapToGrid w:val="0"/>
              <w:jc w:val="center"/>
              <w:rPr>
                <w:rFonts w:hint="eastAsia" w:ascii="宋体" w:hAnsi="宋体" w:eastAsia="宋体" w:cs="宋体"/>
                <w:color w:val="auto"/>
                <w:sz w:val="21"/>
                <w:szCs w:val="21"/>
              </w:rPr>
            </w:pPr>
            <w:r>
              <w:rPr>
                <w:rFonts w:hint="eastAsia" w:ascii="宋体" w:hAnsi="宋体" w:eastAsia="宋体" w:cs="宋体"/>
                <w:color w:val="auto"/>
                <w:kern w:val="2"/>
                <w:sz w:val="21"/>
                <w:szCs w:val="21"/>
              </w:rPr>
              <w:t>价格部分</w:t>
            </w:r>
            <w:r>
              <w:rPr>
                <w:rFonts w:hint="eastAsia" w:ascii="宋体" w:hAnsi="宋体" w:eastAsia="宋体" w:cs="宋体"/>
                <w:color w:val="auto"/>
                <w:kern w:val="2"/>
                <w:sz w:val="21"/>
                <w:szCs w:val="21"/>
                <w:lang w:eastAsia="zh-CN"/>
              </w:rPr>
              <w:t>（</w:t>
            </w:r>
            <w:r>
              <w:rPr>
                <w:rFonts w:hint="eastAsia" w:ascii="宋体" w:hAnsi="宋体" w:eastAsia="宋体" w:cs="宋体"/>
                <w:color w:val="auto"/>
                <w:kern w:val="2"/>
                <w:sz w:val="21"/>
                <w:szCs w:val="21"/>
                <w:lang w:val="en-US" w:eastAsia="zh-CN"/>
              </w:rPr>
              <w:t>10分</w:t>
            </w:r>
            <w:r>
              <w:rPr>
                <w:rFonts w:hint="eastAsia" w:ascii="宋体" w:hAnsi="宋体" w:eastAsia="宋体" w:cs="宋体"/>
                <w:color w:val="auto"/>
                <w:kern w:val="2"/>
                <w:sz w:val="21"/>
                <w:szCs w:val="21"/>
                <w:lang w:eastAsia="zh-CN"/>
              </w:rPr>
              <w:t>）</w:t>
            </w:r>
          </w:p>
        </w:tc>
        <w:tc>
          <w:tcPr>
            <w:tcW w:w="1797" w:type="dxa"/>
            <w:noWrap w:val="0"/>
            <w:vAlign w:val="center"/>
          </w:tcPr>
          <w:p w14:paraId="15C1F8FA">
            <w:pPr>
              <w:jc w:val="center"/>
              <w:rPr>
                <w:rFonts w:hint="eastAsia" w:ascii="宋体" w:hAnsi="宋体" w:eastAsia="宋体" w:cs="宋体"/>
                <w:color w:val="auto"/>
                <w:kern w:val="0"/>
                <w:sz w:val="21"/>
                <w:szCs w:val="21"/>
              </w:rPr>
            </w:pPr>
            <w:r>
              <w:rPr>
                <w:rFonts w:hint="eastAsia" w:ascii="宋体" w:hAnsi="宋体" w:eastAsia="宋体" w:cs="宋体"/>
                <w:color w:val="auto"/>
                <w:kern w:val="0"/>
                <w:sz w:val="21"/>
                <w:szCs w:val="21"/>
              </w:rPr>
              <w:t>价格评审</w:t>
            </w:r>
          </w:p>
          <w:p w14:paraId="14039AAB">
            <w:pPr>
              <w:jc w:val="center"/>
              <w:rPr>
                <w:rFonts w:hint="eastAsia" w:ascii="宋体" w:hAnsi="宋体" w:eastAsia="宋体" w:cs="宋体"/>
                <w:color w:val="auto"/>
                <w:kern w:val="2"/>
                <w:sz w:val="21"/>
                <w:szCs w:val="21"/>
                <w:lang w:val="en-US" w:eastAsia="zh-CN" w:bidi="ar-SA"/>
              </w:rPr>
            </w:pPr>
            <w:r>
              <w:rPr>
                <w:rFonts w:hint="eastAsia" w:ascii="宋体" w:hAnsi="宋体" w:eastAsia="宋体" w:cs="宋体"/>
                <w:color w:val="auto"/>
                <w:kern w:val="2"/>
                <w:sz w:val="21"/>
                <w:szCs w:val="21"/>
                <w:lang w:val="en-US" w:eastAsia="zh-CN" w:bidi="ar-SA"/>
              </w:rPr>
              <w:t>（10.0分）</w:t>
            </w:r>
          </w:p>
        </w:tc>
        <w:tc>
          <w:tcPr>
            <w:tcW w:w="5290" w:type="dxa"/>
            <w:noWrap w:val="0"/>
            <w:vAlign w:val="center"/>
          </w:tcPr>
          <w:p w14:paraId="5AE6ED89">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strike w:val="0"/>
                <w:dstrike w:val="0"/>
                <w:color w:val="auto"/>
                <w:kern w:val="0"/>
                <w:sz w:val="21"/>
                <w:szCs w:val="21"/>
              </w:rPr>
            </w:pPr>
            <w:r>
              <w:rPr>
                <w:rFonts w:hint="eastAsia" w:ascii="宋体" w:hAnsi="宋体" w:eastAsia="宋体" w:cs="宋体"/>
                <w:strike w:val="0"/>
                <w:dstrike w:val="0"/>
                <w:color w:val="auto"/>
                <w:kern w:val="0"/>
                <w:sz w:val="21"/>
                <w:szCs w:val="21"/>
              </w:rPr>
              <w:t>计算价格评分：各有效投标人的评标价中，取最</w:t>
            </w:r>
            <w:r>
              <w:rPr>
                <w:rFonts w:hint="eastAsia" w:ascii="宋体" w:hAnsi="宋体" w:eastAsia="宋体" w:cs="宋体"/>
                <w:strike w:val="0"/>
                <w:dstrike w:val="0"/>
                <w:color w:val="auto"/>
                <w:kern w:val="0"/>
                <w:sz w:val="21"/>
                <w:szCs w:val="21"/>
                <w:lang w:val="en-US" w:eastAsia="zh-CN"/>
              </w:rPr>
              <w:t>高</w:t>
            </w:r>
            <w:r>
              <w:rPr>
                <w:rFonts w:hint="eastAsia" w:ascii="宋体" w:hAnsi="宋体" w:eastAsia="宋体" w:cs="宋体"/>
                <w:strike w:val="0"/>
                <w:dstrike w:val="0"/>
                <w:color w:val="auto"/>
                <w:kern w:val="0"/>
                <w:sz w:val="21"/>
                <w:szCs w:val="21"/>
              </w:rPr>
              <w:t>者作为基准价，各有效投标人的价格评分统一按照下列公式计算：价格评分＝（评标价÷基准价）×价格分权重。</w:t>
            </w:r>
          </w:p>
          <w:p w14:paraId="10B52260">
            <w:pPr>
              <w:pStyle w:val="9"/>
              <w:rPr>
                <w:rFonts w:hint="default" w:ascii="宋体" w:hAnsi="宋体" w:eastAsia="宋体" w:cs="宋体"/>
                <w:color w:val="auto"/>
                <w:kern w:val="2"/>
                <w:sz w:val="21"/>
                <w:szCs w:val="21"/>
                <w:lang w:val="en-US" w:eastAsia="zh-CN" w:bidi="ar-SA"/>
              </w:rPr>
            </w:pPr>
            <w:r>
              <w:rPr>
                <w:rFonts w:hint="eastAsia" w:eastAsia="宋体" w:cs="宋体"/>
                <w:strike w:val="0"/>
                <w:dstrike w:val="0"/>
                <w:color w:val="auto"/>
                <w:kern w:val="0"/>
                <w:sz w:val="21"/>
                <w:szCs w:val="21"/>
                <w:lang w:val="en-US" w:eastAsia="zh-CN" w:bidi="ar-SA"/>
              </w:rPr>
              <w:t>注：</w:t>
            </w:r>
            <w:r>
              <w:rPr>
                <w:rFonts w:hint="eastAsia" w:ascii="宋体" w:hAnsi="宋体" w:eastAsia="宋体" w:cs="宋体"/>
                <w:strike w:val="0"/>
                <w:dstrike w:val="0"/>
                <w:color w:val="auto"/>
                <w:kern w:val="0"/>
                <w:sz w:val="21"/>
                <w:szCs w:val="21"/>
              </w:rPr>
              <w:t>评标价</w:t>
            </w:r>
            <w:r>
              <w:rPr>
                <w:rFonts w:hint="eastAsia" w:eastAsia="宋体" w:cs="宋体"/>
                <w:strike w:val="0"/>
                <w:dstrike w:val="0"/>
                <w:color w:val="auto"/>
                <w:kern w:val="0"/>
                <w:sz w:val="21"/>
                <w:szCs w:val="21"/>
                <w:lang w:val="en-US" w:eastAsia="zh-CN"/>
              </w:rPr>
              <w:t>为各投标人三年合计报价，基准价为各投标人三年合计</w:t>
            </w:r>
            <w:r>
              <w:rPr>
                <w:rFonts w:hint="eastAsia" w:eastAsia="宋体" w:cs="宋体"/>
                <w:strike w:val="0"/>
                <w:dstrike w:val="0"/>
                <w:color w:val="auto"/>
                <w:kern w:val="0"/>
                <w:sz w:val="21"/>
                <w:szCs w:val="21"/>
                <w:lang w:val="en-US" w:eastAsia="zh-CN" w:bidi="ar-SA"/>
              </w:rPr>
              <w:t>报价中取最高报价。</w:t>
            </w:r>
          </w:p>
        </w:tc>
        <w:tc>
          <w:tcPr>
            <w:tcW w:w="695" w:type="dxa"/>
            <w:noWrap w:val="0"/>
            <w:vAlign w:val="center"/>
          </w:tcPr>
          <w:p w14:paraId="0FC4AB47">
            <w:pPr>
              <w:pStyle w:val="16"/>
              <w:snapToGrid w:val="0"/>
              <w:jc w:val="center"/>
              <w:rPr>
                <w:rFonts w:hint="eastAsia" w:ascii="宋体" w:hAnsi="宋体" w:eastAsia="宋体" w:cs="宋体"/>
                <w:color w:val="auto"/>
                <w:sz w:val="21"/>
                <w:szCs w:val="21"/>
                <w:lang w:val="en-US" w:eastAsia="zh-CN"/>
              </w:rPr>
            </w:pPr>
            <w:r>
              <w:rPr>
                <w:rFonts w:hint="eastAsia" w:ascii="宋体" w:hAnsi="宋体" w:eastAsia="宋体" w:cs="宋体"/>
                <w:color w:val="auto"/>
                <w:kern w:val="2"/>
                <w:sz w:val="21"/>
                <w:szCs w:val="21"/>
                <w:lang w:val="en-US" w:eastAsia="zh-CN"/>
              </w:rPr>
              <w:t>1</w:t>
            </w:r>
            <w:r>
              <w:rPr>
                <w:rFonts w:hint="eastAsia" w:ascii="宋体" w:hAnsi="宋体" w:eastAsia="宋体" w:cs="宋体"/>
                <w:color w:val="auto"/>
                <w:kern w:val="2"/>
                <w:sz w:val="21"/>
                <w:szCs w:val="21"/>
              </w:rPr>
              <w:t>0</w:t>
            </w:r>
          </w:p>
        </w:tc>
      </w:tr>
      <w:tr w14:paraId="316706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67" w:hRule="atLeast"/>
          <w:jc w:val="center"/>
        </w:trPr>
        <w:tc>
          <w:tcPr>
            <w:tcW w:w="8220" w:type="dxa"/>
            <w:gridSpan w:val="3"/>
            <w:noWrap w:val="0"/>
            <w:vAlign w:val="center"/>
          </w:tcPr>
          <w:p w14:paraId="18684994">
            <w:pPr>
              <w:pStyle w:val="98"/>
              <w:rPr>
                <w:rFonts w:hint="eastAsia" w:ascii="宋体" w:hAnsi="宋体" w:eastAsia="宋体" w:cs="宋体"/>
                <w:b/>
                <w:bCs/>
                <w:color w:val="auto"/>
                <w:sz w:val="21"/>
                <w:szCs w:val="21"/>
              </w:rPr>
            </w:pPr>
            <w:r>
              <w:rPr>
                <w:rFonts w:hint="eastAsia" w:ascii="宋体" w:hAnsi="宋体" w:eastAsia="宋体" w:cs="宋体"/>
                <w:b/>
                <w:bCs/>
                <w:color w:val="auto"/>
                <w:sz w:val="21"/>
                <w:szCs w:val="21"/>
              </w:rPr>
              <w:t>合计</w:t>
            </w:r>
          </w:p>
        </w:tc>
        <w:tc>
          <w:tcPr>
            <w:tcW w:w="695" w:type="dxa"/>
            <w:noWrap w:val="0"/>
            <w:vAlign w:val="center"/>
          </w:tcPr>
          <w:p w14:paraId="4678B515">
            <w:pPr>
              <w:pStyle w:val="98"/>
              <w:rPr>
                <w:rFonts w:hint="eastAsia" w:ascii="宋体" w:hAnsi="宋体" w:eastAsia="宋体" w:cs="宋体"/>
                <w:b/>
                <w:bCs/>
                <w:color w:val="auto"/>
                <w:sz w:val="21"/>
                <w:szCs w:val="21"/>
              </w:rPr>
            </w:pPr>
            <w:r>
              <w:rPr>
                <w:rFonts w:hint="eastAsia" w:ascii="宋体" w:hAnsi="宋体" w:eastAsia="宋体" w:cs="宋体"/>
                <w:b/>
                <w:bCs/>
                <w:color w:val="auto"/>
                <w:sz w:val="21"/>
                <w:szCs w:val="21"/>
              </w:rPr>
              <w:fldChar w:fldCharType="begin"/>
            </w:r>
            <w:r>
              <w:rPr>
                <w:rFonts w:hint="eastAsia" w:ascii="宋体" w:hAnsi="宋体" w:eastAsia="宋体" w:cs="宋体"/>
                <w:b/>
                <w:bCs/>
                <w:color w:val="auto"/>
                <w:sz w:val="21"/>
                <w:szCs w:val="21"/>
              </w:rPr>
              <w:instrText xml:space="preserve"> =SUM(ABOVE) </w:instrText>
            </w:r>
            <w:r>
              <w:rPr>
                <w:rFonts w:hint="eastAsia" w:ascii="宋体" w:hAnsi="宋体" w:eastAsia="宋体" w:cs="宋体"/>
                <w:b/>
                <w:bCs/>
                <w:color w:val="auto"/>
                <w:sz w:val="21"/>
                <w:szCs w:val="21"/>
              </w:rPr>
              <w:fldChar w:fldCharType="separate"/>
            </w:r>
            <w:r>
              <w:rPr>
                <w:rFonts w:hint="eastAsia" w:ascii="宋体" w:hAnsi="宋体" w:eastAsia="宋体" w:cs="宋体"/>
                <w:b/>
                <w:bCs/>
                <w:color w:val="auto"/>
                <w:sz w:val="21"/>
                <w:szCs w:val="21"/>
              </w:rPr>
              <w:t>100</w:t>
            </w:r>
            <w:r>
              <w:rPr>
                <w:rFonts w:hint="eastAsia" w:ascii="宋体" w:hAnsi="宋体" w:eastAsia="宋体" w:cs="宋体"/>
                <w:b/>
                <w:bCs/>
                <w:color w:val="auto"/>
                <w:sz w:val="21"/>
                <w:szCs w:val="21"/>
              </w:rPr>
              <w:fldChar w:fldCharType="end"/>
            </w:r>
          </w:p>
        </w:tc>
      </w:tr>
    </w:tbl>
    <w:p w14:paraId="47892B90">
      <w:pPr>
        <w:pStyle w:val="9"/>
        <w:rPr>
          <w:rFonts w:hint="eastAsia"/>
          <w:color w:val="auto"/>
        </w:rPr>
      </w:pPr>
    </w:p>
    <w:p w14:paraId="6FA42819">
      <w:pPr>
        <w:rPr>
          <w:rFonts w:hint="eastAsia"/>
          <w:color w:val="auto"/>
        </w:rPr>
      </w:pPr>
    </w:p>
    <w:p w14:paraId="6A288CE3">
      <w:pPr>
        <w:wordWrap w:val="0"/>
        <w:adjustRightInd w:val="0"/>
        <w:snapToGrid w:val="0"/>
        <w:spacing w:line="360" w:lineRule="auto"/>
        <w:jc w:val="right"/>
        <w:rPr>
          <w:rFonts w:hint="eastAsia" w:ascii="宋体" w:hAnsi="宋体" w:eastAsia="宋体" w:cs="宋体"/>
          <w:color w:val="auto"/>
          <w:szCs w:val="21"/>
        </w:rPr>
      </w:pPr>
    </w:p>
    <w:p w14:paraId="45D8767C">
      <w:pPr>
        <w:pStyle w:val="9"/>
        <w:wordWrap/>
        <w:rPr>
          <w:rFonts w:hint="eastAsia" w:ascii="宋体" w:hAnsi="宋体" w:eastAsia="宋体" w:cs="宋体"/>
          <w:color w:val="auto"/>
          <w:szCs w:val="21"/>
        </w:rPr>
      </w:pPr>
    </w:p>
    <w:p w14:paraId="33960E0E">
      <w:pPr>
        <w:rPr>
          <w:rFonts w:hint="eastAsia" w:ascii="宋体" w:hAnsi="宋体" w:eastAsia="宋体" w:cs="宋体"/>
          <w:color w:val="auto"/>
          <w:szCs w:val="21"/>
        </w:rPr>
      </w:pPr>
    </w:p>
    <w:p w14:paraId="680E21BF">
      <w:pPr>
        <w:pStyle w:val="9"/>
        <w:rPr>
          <w:rFonts w:hint="eastAsia" w:ascii="宋体" w:hAnsi="宋体" w:eastAsia="宋体" w:cs="宋体"/>
          <w:color w:val="auto"/>
          <w:szCs w:val="21"/>
        </w:rPr>
      </w:pPr>
    </w:p>
    <w:p w14:paraId="38026615">
      <w:pPr>
        <w:rPr>
          <w:rFonts w:hint="eastAsia" w:ascii="宋体" w:hAnsi="宋体" w:eastAsia="宋体" w:cs="宋体"/>
          <w:color w:val="auto"/>
          <w:szCs w:val="21"/>
        </w:rPr>
      </w:pPr>
    </w:p>
    <w:p w14:paraId="77F77C65">
      <w:pPr>
        <w:pStyle w:val="9"/>
        <w:rPr>
          <w:rFonts w:hint="eastAsia" w:ascii="宋体" w:hAnsi="宋体" w:eastAsia="宋体" w:cs="宋体"/>
          <w:color w:val="auto"/>
          <w:szCs w:val="21"/>
        </w:rPr>
      </w:pPr>
    </w:p>
    <w:p w14:paraId="4FF67ABB">
      <w:pPr>
        <w:rPr>
          <w:rFonts w:hint="eastAsia" w:ascii="宋体" w:hAnsi="宋体" w:eastAsia="宋体" w:cs="宋体"/>
          <w:color w:val="auto"/>
          <w:szCs w:val="21"/>
        </w:rPr>
      </w:pPr>
    </w:p>
    <w:p w14:paraId="03337EA7">
      <w:pPr>
        <w:pStyle w:val="9"/>
        <w:rPr>
          <w:rFonts w:hint="eastAsia" w:ascii="宋体" w:hAnsi="宋体" w:eastAsia="宋体" w:cs="宋体"/>
          <w:color w:val="auto"/>
          <w:szCs w:val="21"/>
        </w:rPr>
      </w:pPr>
    </w:p>
    <w:p w14:paraId="0B72AAF9">
      <w:pPr>
        <w:rPr>
          <w:rFonts w:hint="eastAsia" w:ascii="宋体" w:hAnsi="宋体" w:eastAsia="宋体" w:cs="宋体"/>
          <w:color w:val="auto"/>
          <w:szCs w:val="21"/>
        </w:rPr>
      </w:pPr>
    </w:p>
    <w:p w14:paraId="161E4EC0">
      <w:pPr>
        <w:pStyle w:val="9"/>
        <w:rPr>
          <w:rFonts w:hint="eastAsia" w:ascii="宋体" w:hAnsi="宋体" w:eastAsia="宋体" w:cs="宋体"/>
          <w:color w:val="auto"/>
          <w:szCs w:val="21"/>
        </w:rPr>
      </w:pPr>
    </w:p>
    <w:p w14:paraId="49C7A407">
      <w:pPr>
        <w:rPr>
          <w:rFonts w:hint="eastAsia" w:ascii="宋体" w:hAnsi="宋体" w:eastAsia="宋体" w:cs="宋体"/>
          <w:color w:val="auto"/>
          <w:szCs w:val="21"/>
        </w:rPr>
      </w:pPr>
    </w:p>
    <w:p w14:paraId="66D94327">
      <w:pPr>
        <w:pStyle w:val="9"/>
        <w:rPr>
          <w:rFonts w:hint="eastAsia" w:ascii="宋体" w:hAnsi="宋体" w:eastAsia="宋体" w:cs="宋体"/>
          <w:color w:val="auto"/>
          <w:szCs w:val="21"/>
        </w:rPr>
      </w:pPr>
    </w:p>
    <w:p w14:paraId="39DA78FF">
      <w:pPr>
        <w:rPr>
          <w:rFonts w:hint="eastAsia" w:ascii="宋体" w:hAnsi="宋体" w:eastAsia="宋体" w:cs="宋体"/>
          <w:color w:val="auto"/>
          <w:szCs w:val="21"/>
        </w:rPr>
      </w:pPr>
    </w:p>
    <w:p w14:paraId="3B78D1E5">
      <w:pPr>
        <w:pStyle w:val="9"/>
        <w:rPr>
          <w:rFonts w:hint="eastAsia"/>
          <w:color w:val="auto"/>
        </w:rPr>
      </w:pPr>
    </w:p>
    <w:p w14:paraId="515C5FF6">
      <w:pPr>
        <w:rPr>
          <w:rFonts w:hint="eastAsia"/>
          <w:color w:val="auto"/>
        </w:rPr>
      </w:pPr>
    </w:p>
    <w:p w14:paraId="5C36E0ED">
      <w:pPr>
        <w:pStyle w:val="9"/>
        <w:rPr>
          <w:rFonts w:hint="eastAsia"/>
          <w:color w:val="auto"/>
        </w:rPr>
      </w:pPr>
    </w:p>
    <w:p w14:paraId="28F999ED">
      <w:pPr>
        <w:rPr>
          <w:rFonts w:hint="eastAsia" w:ascii="宋体" w:hAnsi="宋体" w:eastAsia="宋体" w:cs="宋体"/>
          <w:color w:val="auto"/>
          <w:szCs w:val="21"/>
        </w:rPr>
      </w:pPr>
    </w:p>
    <w:p w14:paraId="1F64BC68">
      <w:pPr>
        <w:pStyle w:val="3"/>
        <w:rPr>
          <w:rFonts w:hint="eastAsia" w:ascii="宋体" w:hAnsi="宋体" w:eastAsia="宋体" w:cs="宋体"/>
          <w:color w:val="auto"/>
        </w:rPr>
      </w:pPr>
      <w:r>
        <w:rPr>
          <w:rFonts w:hint="eastAsia" w:ascii="宋体" w:hAnsi="宋体" w:eastAsia="宋体" w:cs="宋体"/>
          <w:color w:val="auto"/>
        </w:rPr>
        <w:t>第五章 采购合同条款及格式</w:t>
      </w:r>
    </w:p>
    <w:p w14:paraId="6B54E5A7">
      <w:pPr>
        <w:rPr>
          <w:rFonts w:hint="eastAsia" w:ascii="宋体" w:hAnsi="宋体" w:eastAsia="宋体" w:cs="宋体"/>
          <w:color w:val="auto"/>
        </w:rPr>
      </w:pPr>
    </w:p>
    <w:p w14:paraId="094677FB">
      <w:pPr>
        <w:pStyle w:val="25"/>
        <w:ind w:left="0" w:leftChars="0" w:firstLine="0" w:firstLineChars="0"/>
        <w:rPr>
          <w:rFonts w:hint="eastAsia" w:ascii="宋体" w:hAnsi="宋体" w:eastAsia="宋体" w:cs="宋体"/>
          <w:color w:val="auto"/>
          <w:szCs w:val="21"/>
        </w:rPr>
      </w:pPr>
    </w:p>
    <w:p w14:paraId="540524E0">
      <w:pPr>
        <w:pStyle w:val="25"/>
        <w:ind w:left="0" w:leftChars="0" w:firstLine="0" w:firstLineChars="0"/>
        <w:rPr>
          <w:rFonts w:hint="eastAsia" w:ascii="宋体" w:hAnsi="宋体" w:eastAsia="宋体" w:cs="宋体"/>
          <w:color w:val="auto"/>
          <w:szCs w:val="21"/>
        </w:rPr>
      </w:pPr>
    </w:p>
    <w:p w14:paraId="317ABE26">
      <w:pPr>
        <w:pStyle w:val="25"/>
        <w:rPr>
          <w:rFonts w:hint="eastAsia" w:ascii="宋体" w:hAnsi="宋体" w:eastAsia="宋体" w:cs="宋体"/>
          <w:color w:val="auto"/>
          <w:szCs w:val="21"/>
        </w:rPr>
      </w:pPr>
    </w:p>
    <w:p w14:paraId="624A1CAE">
      <w:pPr>
        <w:pStyle w:val="25"/>
        <w:rPr>
          <w:rFonts w:hint="eastAsia" w:ascii="宋体" w:hAnsi="宋体" w:eastAsia="宋体" w:cs="宋体"/>
          <w:color w:val="auto"/>
          <w:szCs w:val="21"/>
        </w:rPr>
      </w:pPr>
    </w:p>
    <w:p w14:paraId="3D28EB45">
      <w:pPr>
        <w:pStyle w:val="25"/>
        <w:rPr>
          <w:rFonts w:hint="eastAsia" w:ascii="宋体" w:hAnsi="宋体" w:eastAsia="宋体" w:cs="宋体"/>
          <w:color w:val="auto"/>
          <w:szCs w:val="21"/>
        </w:rPr>
      </w:pPr>
    </w:p>
    <w:p w14:paraId="0E5C8831">
      <w:pPr>
        <w:tabs>
          <w:tab w:val="left" w:pos="720"/>
        </w:tabs>
        <w:jc w:val="center"/>
        <w:rPr>
          <w:rFonts w:hint="eastAsia" w:ascii="宋体" w:hAnsi="宋体" w:eastAsia="宋体" w:cs="宋体"/>
          <w:b/>
          <w:color w:val="auto"/>
          <w:sz w:val="84"/>
          <w:szCs w:val="84"/>
        </w:rPr>
      </w:pPr>
    </w:p>
    <w:p w14:paraId="59A3F63B">
      <w:pPr>
        <w:tabs>
          <w:tab w:val="left" w:pos="720"/>
        </w:tabs>
        <w:rPr>
          <w:rFonts w:hint="eastAsia" w:ascii="宋体" w:hAnsi="宋体" w:eastAsia="宋体" w:cs="宋体"/>
          <w:b/>
          <w:color w:val="auto"/>
          <w:szCs w:val="21"/>
        </w:rPr>
      </w:pPr>
    </w:p>
    <w:p w14:paraId="6E7C955D">
      <w:pPr>
        <w:tabs>
          <w:tab w:val="left" w:pos="720"/>
        </w:tabs>
        <w:jc w:val="center"/>
        <w:rPr>
          <w:rFonts w:hint="eastAsia" w:ascii="宋体" w:hAnsi="宋体" w:eastAsia="宋体" w:cs="宋体"/>
          <w:b/>
          <w:color w:val="auto"/>
          <w:sz w:val="84"/>
          <w:szCs w:val="84"/>
        </w:rPr>
      </w:pPr>
      <w:r>
        <w:rPr>
          <w:rFonts w:hint="eastAsia" w:ascii="宋体" w:hAnsi="宋体" w:eastAsia="宋体" w:cs="宋体"/>
          <w:b/>
          <w:color w:val="auto"/>
          <w:sz w:val="84"/>
          <w:szCs w:val="84"/>
        </w:rPr>
        <w:t>合　同　书</w:t>
      </w:r>
    </w:p>
    <w:p w14:paraId="42AA6C07">
      <w:pPr>
        <w:tabs>
          <w:tab w:val="left" w:pos="720"/>
        </w:tabs>
        <w:jc w:val="center"/>
        <w:rPr>
          <w:rFonts w:hint="eastAsia" w:ascii="宋体" w:hAnsi="宋体" w:eastAsia="宋体" w:cs="宋体"/>
          <w:b/>
          <w:color w:val="auto"/>
          <w:sz w:val="36"/>
          <w:szCs w:val="36"/>
          <w:lang w:eastAsia="zh-CN"/>
        </w:rPr>
      </w:pPr>
      <w:r>
        <w:rPr>
          <w:rFonts w:hint="eastAsia" w:ascii="宋体" w:hAnsi="宋体" w:eastAsia="宋体" w:cs="宋体"/>
          <w:b/>
          <w:color w:val="auto"/>
          <w:sz w:val="36"/>
          <w:szCs w:val="36"/>
          <w:lang w:eastAsia="zh-CN"/>
        </w:rPr>
        <w:t>（</w:t>
      </w:r>
      <w:r>
        <w:rPr>
          <w:rFonts w:hint="eastAsia" w:ascii="宋体" w:hAnsi="宋体" w:eastAsia="宋体" w:cs="宋体"/>
          <w:b/>
          <w:color w:val="auto"/>
          <w:sz w:val="36"/>
          <w:szCs w:val="36"/>
          <w:lang w:val="en-US" w:eastAsia="zh-CN"/>
        </w:rPr>
        <w:t>服务类</w:t>
      </w:r>
      <w:r>
        <w:rPr>
          <w:rFonts w:hint="eastAsia" w:ascii="宋体" w:hAnsi="宋体" w:eastAsia="宋体" w:cs="宋体"/>
          <w:b/>
          <w:color w:val="auto"/>
          <w:sz w:val="36"/>
          <w:szCs w:val="36"/>
          <w:lang w:eastAsia="zh-CN"/>
        </w:rPr>
        <w:t>）</w:t>
      </w:r>
    </w:p>
    <w:p w14:paraId="513ACA2A">
      <w:pPr>
        <w:tabs>
          <w:tab w:val="left" w:pos="720"/>
        </w:tabs>
        <w:rPr>
          <w:rFonts w:hint="eastAsia" w:ascii="宋体" w:hAnsi="宋体" w:eastAsia="宋体" w:cs="宋体"/>
          <w:b/>
          <w:color w:val="auto"/>
          <w:szCs w:val="21"/>
        </w:rPr>
      </w:pPr>
    </w:p>
    <w:p w14:paraId="5C91BE77">
      <w:pPr>
        <w:tabs>
          <w:tab w:val="left" w:pos="720"/>
        </w:tabs>
        <w:rPr>
          <w:rFonts w:hint="eastAsia" w:ascii="宋体" w:hAnsi="宋体" w:eastAsia="宋体" w:cs="宋体"/>
          <w:b/>
          <w:color w:val="auto"/>
          <w:szCs w:val="21"/>
        </w:rPr>
      </w:pPr>
    </w:p>
    <w:p w14:paraId="68A0B5D4">
      <w:pPr>
        <w:tabs>
          <w:tab w:val="left" w:pos="720"/>
        </w:tabs>
        <w:rPr>
          <w:rFonts w:hint="eastAsia" w:ascii="宋体" w:hAnsi="宋体" w:eastAsia="宋体" w:cs="宋体"/>
          <w:b/>
          <w:color w:val="auto"/>
          <w:szCs w:val="21"/>
        </w:rPr>
      </w:pPr>
    </w:p>
    <w:p w14:paraId="5D8200E5">
      <w:pPr>
        <w:tabs>
          <w:tab w:val="left" w:pos="720"/>
        </w:tabs>
        <w:rPr>
          <w:rFonts w:hint="eastAsia" w:ascii="宋体" w:hAnsi="宋体" w:eastAsia="宋体" w:cs="宋体"/>
          <w:b/>
          <w:color w:val="auto"/>
          <w:szCs w:val="21"/>
        </w:rPr>
      </w:pPr>
    </w:p>
    <w:tbl>
      <w:tblPr>
        <w:tblStyle w:val="17"/>
        <w:tblW w:w="6180" w:type="dxa"/>
        <w:jc w:val="center"/>
        <w:tblLayout w:type="fixed"/>
        <w:tblCellMar>
          <w:top w:w="0" w:type="dxa"/>
          <w:left w:w="108" w:type="dxa"/>
          <w:bottom w:w="0" w:type="dxa"/>
          <w:right w:w="108" w:type="dxa"/>
        </w:tblCellMar>
      </w:tblPr>
      <w:tblGrid>
        <w:gridCol w:w="6180"/>
      </w:tblGrid>
      <w:tr w14:paraId="39C3B340">
        <w:tblPrEx>
          <w:tblCellMar>
            <w:top w:w="0" w:type="dxa"/>
            <w:left w:w="108" w:type="dxa"/>
            <w:bottom w:w="0" w:type="dxa"/>
            <w:right w:w="108" w:type="dxa"/>
          </w:tblCellMar>
        </w:tblPrEx>
        <w:trPr>
          <w:trHeight w:val="468" w:hRule="atLeast"/>
          <w:jc w:val="center"/>
        </w:trPr>
        <w:tc>
          <w:tcPr>
            <w:tcW w:w="6180" w:type="dxa"/>
            <w:noWrap w:val="0"/>
            <w:vAlign w:val="top"/>
          </w:tcPr>
          <w:p w14:paraId="6F44C27E">
            <w:pPr>
              <w:tabs>
                <w:tab w:val="left" w:pos="720"/>
              </w:tabs>
              <w:rPr>
                <w:rFonts w:hint="eastAsia" w:ascii="宋体" w:hAnsi="宋体" w:eastAsia="宋体" w:cs="宋体"/>
                <w:b/>
                <w:color w:val="auto"/>
                <w:sz w:val="21"/>
                <w:szCs w:val="21"/>
                <w:u w:val="single"/>
              </w:rPr>
            </w:pPr>
            <w:r>
              <w:rPr>
                <w:rFonts w:hint="eastAsia" w:ascii="宋体" w:hAnsi="宋体" w:eastAsia="宋体" w:cs="宋体"/>
                <w:b/>
                <w:color w:val="auto"/>
                <w:sz w:val="21"/>
                <w:szCs w:val="21"/>
              </w:rPr>
              <w:t>采购编号：</w:t>
            </w:r>
            <w:r>
              <w:rPr>
                <w:rFonts w:hint="eastAsia" w:ascii="宋体" w:hAnsi="宋体" w:eastAsia="宋体" w:cs="宋体"/>
                <w:b/>
                <w:color w:val="auto"/>
                <w:sz w:val="21"/>
                <w:szCs w:val="21"/>
                <w:u w:val="single"/>
              </w:rPr>
              <w:t xml:space="preserve">                      </w:t>
            </w:r>
            <w:r>
              <w:rPr>
                <w:rFonts w:hint="eastAsia" w:ascii="宋体" w:hAnsi="宋体" w:eastAsia="宋体" w:cs="宋体"/>
                <w:b/>
                <w:color w:val="auto"/>
                <w:sz w:val="21"/>
                <w:szCs w:val="21"/>
                <w:u w:val="single"/>
                <w:lang w:val="en-US" w:eastAsia="zh-CN"/>
              </w:rPr>
              <w:t xml:space="preserve">                     </w:t>
            </w:r>
            <w:r>
              <w:rPr>
                <w:rFonts w:hint="eastAsia" w:ascii="宋体" w:hAnsi="宋体" w:eastAsia="宋体" w:cs="宋体"/>
                <w:b/>
                <w:color w:val="auto"/>
                <w:sz w:val="21"/>
                <w:szCs w:val="21"/>
                <w:u w:val="single"/>
              </w:rPr>
              <w:t xml:space="preserve">    </w:t>
            </w:r>
          </w:p>
        </w:tc>
      </w:tr>
      <w:tr w14:paraId="28F15B00">
        <w:tblPrEx>
          <w:tblCellMar>
            <w:top w:w="0" w:type="dxa"/>
            <w:left w:w="108" w:type="dxa"/>
            <w:bottom w:w="0" w:type="dxa"/>
            <w:right w:w="108" w:type="dxa"/>
          </w:tblCellMar>
        </w:tblPrEx>
        <w:trPr>
          <w:trHeight w:val="468" w:hRule="atLeast"/>
          <w:jc w:val="center"/>
        </w:trPr>
        <w:tc>
          <w:tcPr>
            <w:tcW w:w="6180" w:type="dxa"/>
            <w:noWrap w:val="0"/>
            <w:vAlign w:val="top"/>
          </w:tcPr>
          <w:p w14:paraId="306101DB">
            <w:pPr>
              <w:tabs>
                <w:tab w:val="left" w:pos="720"/>
              </w:tabs>
              <w:rPr>
                <w:rFonts w:hint="eastAsia" w:ascii="宋体" w:hAnsi="宋体" w:eastAsia="宋体" w:cs="宋体"/>
                <w:b/>
                <w:color w:val="auto"/>
                <w:sz w:val="21"/>
                <w:szCs w:val="21"/>
                <w:u w:val="single"/>
              </w:rPr>
            </w:pPr>
          </w:p>
        </w:tc>
      </w:tr>
      <w:tr w14:paraId="57B8BA1A">
        <w:tblPrEx>
          <w:tblCellMar>
            <w:top w:w="0" w:type="dxa"/>
            <w:left w:w="108" w:type="dxa"/>
            <w:bottom w:w="0" w:type="dxa"/>
            <w:right w:w="108" w:type="dxa"/>
          </w:tblCellMar>
        </w:tblPrEx>
        <w:trPr>
          <w:trHeight w:val="670" w:hRule="atLeast"/>
          <w:jc w:val="center"/>
        </w:trPr>
        <w:tc>
          <w:tcPr>
            <w:tcW w:w="6180" w:type="dxa"/>
            <w:noWrap w:val="0"/>
            <w:vAlign w:val="top"/>
          </w:tcPr>
          <w:p w14:paraId="5391700A">
            <w:pPr>
              <w:tabs>
                <w:tab w:val="left" w:pos="720"/>
              </w:tabs>
              <w:rPr>
                <w:rFonts w:hint="eastAsia" w:ascii="宋体" w:hAnsi="宋体" w:eastAsia="宋体" w:cs="宋体"/>
                <w:b/>
                <w:color w:val="auto"/>
                <w:sz w:val="21"/>
                <w:szCs w:val="21"/>
              </w:rPr>
            </w:pPr>
            <w:r>
              <w:rPr>
                <w:rFonts w:hint="eastAsia" w:ascii="宋体" w:hAnsi="宋体" w:eastAsia="宋体" w:cs="宋体"/>
                <w:b/>
                <w:color w:val="auto"/>
                <w:sz w:val="21"/>
                <w:szCs w:val="21"/>
              </w:rPr>
              <w:t>项目名称：</w:t>
            </w:r>
            <w:r>
              <w:rPr>
                <w:rFonts w:hint="eastAsia" w:ascii="宋体" w:hAnsi="宋体" w:eastAsia="宋体" w:cs="宋体"/>
                <w:b/>
                <w:color w:val="auto"/>
                <w:sz w:val="21"/>
                <w:szCs w:val="21"/>
                <w:u w:val="single"/>
              </w:rPr>
              <w:t xml:space="preserve">  </w:t>
            </w:r>
            <w:r>
              <w:rPr>
                <w:rFonts w:hint="eastAsia" w:ascii="宋体" w:hAnsi="宋体" w:eastAsia="宋体" w:cs="宋体"/>
                <w:b/>
                <w:color w:val="auto"/>
                <w:sz w:val="21"/>
                <w:szCs w:val="21"/>
                <w:u w:val="single"/>
                <w:lang w:eastAsia="zh-CN"/>
              </w:rPr>
              <w:t>韶关市示范性综合实践基地委托运营管理项目</w:t>
            </w:r>
            <w:r>
              <w:rPr>
                <w:rFonts w:hint="eastAsia" w:ascii="宋体" w:hAnsi="宋体" w:eastAsia="宋体" w:cs="宋体"/>
                <w:b/>
                <w:color w:val="auto"/>
                <w:sz w:val="21"/>
                <w:szCs w:val="21"/>
                <w:u w:val="single"/>
              </w:rPr>
              <w:t xml:space="preserve">                </w:t>
            </w:r>
          </w:p>
        </w:tc>
      </w:tr>
      <w:tr w14:paraId="30DD0831">
        <w:tblPrEx>
          <w:tblCellMar>
            <w:top w:w="0" w:type="dxa"/>
            <w:left w:w="108" w:type="dxa"/>
            <w:bottom w:w="0" w:type="dxa"/>
            <w:right w:w="108" w:type="dxa"/>
          </w:tblCellMar>
        </w:tblPrEx>
        <w:trPr>
          <w:trHeight w:val="483" w:hRule="atLeast"/>
          <w:jc w:val="center"/>
        </w:trPr>
        <w:tc>
          <w:tcPr>
            <w:tcW w:w="6180" w:type="dxa"/>
            <w:noWrap w:val="0"/>
            <w:vAlign w:val="top"/>
          </w:tcPr>
          <w:p w14:paraId="3D9C1215">
            <w:pPr>
              <w:tabs>
                <w:tab w:val="left" w:pos="720"/>
              </w:tabs>
              <w:rPr>
                <w:rFonts w:hint="eastAsia" w:ascii="宋体" w:hAnsi="宋体" w:eastAsia="宋体" w:cs="宋体"/>
                <w:b/>
                <w:color w:val="auto"/>
                <w:sz w:val="21"/>
                <w:szCs w:val="21"/>
              </w:rPr>
            </w:pPr>
          </w:p>
        </w:tc>
      </w:tr>
    </w:tbl>
    <w:p w14:paraId="53C1702E">
      <w:pPr>
        <w:rPr>
          <w:rFonts w:hint="eastAsia" w:ascii="宋体" w:hAnsi="宋体" w:eastAsia="宋体" w:cs="宋体"/>
          <w:color w:val="auto"/>
          <w:szCs w:val="21"/>
        </w:rPr>
      </w:pPr>
    </w:p>
    <w:p w14:paraId="040C8B9A">
      <w:pPr>
        <w:rPr>
          <w:rFonts w:hint="eastAsia" w:ascii="宋体" w:hAnsi="宋体" w:eastAsia="宋体" w:cs="宋体"/>
          <w:color w:val="auto"/>
          <w:szCs w:val="21"/>
        </w:rPr>
      </w:pPr>
    </w:p>
    <w:p w14:paraId="3357812A">
      <w:pPr>
        <w:rPr>
          <w:rFonts w:hint="eastAsia" w:ascii="宋体" w:hAnsi="宋体" w:eastAsia="宋体" w:cs="宋体"/>
          <w:color w:val="auto"/>
          <w:szCs w:val="21"/>
        </w:rPr>
      </w:pPr>
    </w:p>
    <w:p w14:paraId="2170F523">
      <w:pPr>
        <w:rPr>
          <w:rFonts w:hint="eastAsia" w:ascii="宋体" w:hAnsi="宋体" w:eastAsia="宋体" w:cs="宋体"/>
          <w:color w:val="auto"/>
          <w:szCs w:val="21"/>
        </w:rPr>
      </w:pPr>
    </w:p>
    <w:p w14:paraId="227E4EA4">
      <w:pPr>
        <w:rPr>
          <w:rFonts w:hint="eastAsia" w:ascii="宋体" w:hAnsi="宋体" w:eastAsia="宋体" w:cs="宋体"/>
          <w:b/>
          <w:color w:val="auto"/>
          <w:szCs w:val="21"/>
        </w:rPr>
      </w:pPr>
      <w:r>
        <w:rPr>
          <w:rFonts w:hint="eastAsia" w:ascii="宋体" w:hAnsi="宋体" w:eastAsia="宋体" w:cs="宋体"/>
          <w:b/>
          <w:color w:val="auto"/>
          <w:szCs w:val="21"/>
        </w:rPr>
        <w:t>注：本合同仅为合同的参考文本，合同签订双方可根据项目的具体要求进行修订。</w:t>
      </w:r>
    </w:p>
    <w:p w14:paraId="1F484812">
      <w:pPr>
        <w:spacing w:line="220" w:lineRule="atLeast"/>
        <w:jc w:val="center"/>
        <w:rPr>
          <w:rFonts w:hint="eastAsia" w:ascii="宋体" w:hAnsi="宋体" w:eastAsia="宋体" w:cs="宋体"/>
          <w:b/>
          <w:color w:val="auto"/>
          <w:sz w:val="24"/>
          <w:szCs w:val="24"/>
          <w:highlight w:val="none"/>
        </w:rPr>
      </w:pPr>
      <w:r>
        <w:rPr>
          <w:rFonts w:hint="eastAsia" w:ascii="宋体" w:hAnsi="宋体" w:eastAsia="宋体" w:cs="宋体"/>
          <w:b/>
          <w:color w:val="auto"/>
          <w:szCs w:val="21"/>
        </w:rPr>
        <w:br w:type="page"/>
      </w:r>
      <w:r>
        <w:rPr>
          <w:rFonts w:hint="eastAsia" w:ascii="宋体" w:hAnsi="宋体" w:eastAsia="宋体" w:cs="宋体"/>
          <w:b/>
          <w:color w:val="auto"/>
          <w:sz w:val="48"/>
          <w:szCs w:val="48"/>
          <w:highlight w:val="none"/>
          <w:lang w:eastAsia="zh-CN"/>
        </w:rPr>
        <w:t>韶关市示范性综合实践基地委托运营管理项目</w:t>
      </w:r>
      <w:r>
        <w:rPr>
          <w:rFonts w:hint="eastAsia" w:ascii="宋体" w:hAnsi="宋体" w:eastAsia="宋体" w:cs="宋体"/>
          <w:b/>
          <w:color w:val="auto"/>
          <w:sz w:val="48"/>
          <w:szCs w:val="48"/>
          <w:highlight w:val="none"/>
        </w:rPr>
        <w:t>服务合同</w:t>
      </w:r>
    </w:p>
    <w:p w14:paraId="0D174B3F">
      <w:pPr>
        <w:spacing w:line="220" w:lineRule="atLeast"/>
        <w:jc w:val="center"/>
        <w:rPr>
          <w:rFonts w:hint="eastAsia" w:ascii="宋体" w:hAnsi="宋体" w:eastAsia="宋体" w:cs="宋体"/>
          <w:b/>
          <w:color w:val="auto"/>
          <w:sz w:val="24"/>
          <w:szCs w:val="24"/>
          <w:highlight w:val="none"/>
        </w:rPr>
      </w:pPr>
    </w:p>
    <w:p w14:paraId="5C73B077">
      <w:pPr>
        <w:ind w:firstLine="480" w:firstLineChars="200"/>
        <w:rPr>
          <w:rFonts w:hint="eastAsia" w:ascii="宋体" w:hAnsi="宋体" w:eastAsia="宋体" w:cs="宋体"/>
          <w:color w:val="auto"/>
          <w:sz w:val="24"/>
          <w:szCs w:val="24"/>
          <w:highlight w:val="none"/>
        </w:rPr>
      </w:pPr>
    </w:p>
    <w:p w14:paraId="664B283C">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甲方：韶关市示范性综合实践基地</w:t>
      </w:r>
    </w:p>
    <w:p w14:paraId="4DA8FC3D">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地址：</w:t>
      </w:r>
      <w:r>
        <w:rPr>
          <w:rFonts w:hint="eastAsia" w:ascii="宋体" w:hAnsi="宋体" w:eastAsia="宋体" w:cs="宋体"/>
          <w:color w:val="auto"/>
          <w:sz w:val="24"/>
          <w:szCs w:val="24"/>
          <w:highlight w:val="none"/>
          <w:lang w:eastAsia="zh-CN"/>
        </w:rPr>
        <w:t>韶关市曲江区马坝镇狮岩路63号</w:t>
      </w:r>
    </w:p>
    <w:p w14:paraId="4AD9ADE5">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电子邮件：</w:t>
      </w:r>
    </w:p>
    <w:p w14:paraId="7C8653D3">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w:t>
      </w:r>
    </w:p>
    <w:p w14:paraId="7EA113CD">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0F7A5EE2">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w:t>
      </w:r>
    </w:p>
    <w:p w14:paraId="3276B886">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地址：</w:t>
      </w:r>
    </w:p>
    <w:p w14:paraId="673C4603">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统一社会信用代码：</w:t>
      </w:r>
    </w:p>
    <w:p w14:paraId="4F54414D">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p w14:paraId="5476C68D">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联系电话：</w:t>
      </w:r>
    </w:p>
    <w:p w14:paraId="0CA26F21">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根据韶关市示范性综合实践基地就“韶关市示范性综合实践基地委托运营管理项目”的采购结果，按照《</w:t>
      </w:r>
      <w:r>
        <w:rPr>
          <w:rFonts w:hint="eastAsia" w:ascii="宋体" w:hAnsi="宋体" w:eastAsia="宋体" w:cs="宋体"/>
          <w:color w:val="auto"/>
          <w:sz w:val="24"/>
          <w:szCs w:val="24"/>
          <w:highlight w:val="none"/>
          <w:lang w:eastAsia="zh-CN"/>
        </w:rPr>
        <w:t>中华人民共和国</w:t>
      </w:r>
      <w:r>
        <w:rPr>
          <w:rFonts w:hint="eastAsia" w:ascii="宋体" w:hAnsi="宋体" w:eastAsia="宋体" w:cs="宋体"/>
          <w:color w:val="auto"/>
          <w:sz w:val="24"/>
          <w:szCs w:val="24"/>
          <w:highlight w:val="none"/>
        </w:rPr>
        <w:t>民法典》</w:t>
      </w:r>
      <w:r>
        <w:rPr>
          <w:rFonts w:hint="eastAsia" w:ascii="宋体" w:hAnsi="宋体" w:eastAsia="宋体" w:cs="宋体"/>
          <w:color w:val="auto"/>
          <w:sz w:val="24"/>
          <w:szCs w:val="24"/>
          <w:highlight w:val="none"/>
          <w:lang w:eastAsia="zh-CN"/>
        </w:rPr>
        <w:t>、《中华人民共和国合同法》等法律法规和相关</w:t>
      </w:r>
      <w:r>
        <w:rPr>
          <w:rFonts w:hint="eastAsia" w:ascii="宋体" w:hAnsi="宋体" w:eastAsia="宋体" w:cs="宋体"/>
          <w:color w:val="auto"/>
          <w:sz w:val="24"/>
          <w:szCs w:val="24"/>
          <w:highlight w:val="none"/>
        </w:rPr>
        <w:t>规定，本着平等互利和诚实信用的原则，经</w:t>
      </w:r>
      <w:r>
        <w:rPr>
          <w:rFonts w:hint="eastAsia" w:ascii="宋体" w:hAnsi="宋体" w:eastAsia="宋体" w:cs="宋体"/>
          <w:color w:val="auto"/>
          <w:sz w:val="24"/>
          <w:szCs w:val="24"/>
          <w:highlight w:val="none"/>
          <w:lang w:eastAsia="zh-CN"/>
        </w:rPr>
        <w:t>甲乙双方充分</w:t>
      </w:r>
      <w:r>
        <w:rPr>
          <w:rFonts w:hint="eastAsia" w:ascii="宋体" w:hAnsi="宋体" w:eastAsia="宋体" w:cs="宋体"/>
          <w:color w:val="auto"/>
          <w:sz w:val="24"/>
          <w:szCs w:val="24"/>
          <w:highlight w:val="none"/>
        </w:rPr>
        <w:t>协商</w:t>
      </w:r>
      <w:r>
        <w:rPr>
          <w:rFonts w:hint="eastAsia" w:ascii="宋体" w:hAnsi="宋体" w:eastAsia="宋体" w:cs="宋体"/>
          <w:color w:val="auto"/>
          <w:sz w:val="24"/>
          <w:szCs w:val="24"/>
          <w:highlight w:val="none"/>
          <w:lang w:eastAsia="zh-CN"/>
        </w:rPr>
        <w:t>一致</w:t>
      </w:r>
      <w:r>
        <w:rPr>
          <w:rFonts w:hint="eastAsia" w:ascii="宋体" w:hAnsi="宋体" w:eastAsia="宋体" w:cs="宋体"/>
          <w:color w:val="auto"/>
          <w:sz w:val="24"/>
          <w:szCs w:val="24"/>
          <w:highlight w:val="none"/>
        </w:rPr>
        <w:t>，就甲方委托乙方开展委托运营及管理服务工作的有关事</w:t>
      </w:r>
      <w:r>
        <w:rPr>
          <w:rFonts w:hint="eastAsia" w:ascii="宋体" w:hAnsi="宋体" w:eastAsia="宋体" w:cs="宋体"/>
          <w:color w:val="auto"/>
          <w:sz w:val="24"/>
          <w:szCs w:val="24"/>
          <w:highlight w:val="none"/>
          <w:lang w:eastAsia="zh-CN"/>
        </w:rPr>
        <w:t>项，签订本合同。</w:t>
      </w:r>
    </w:p>
    <w:p w14:paraId="5C899C84">
      <w:pPr>
        <w:keepNext w:val="0"/>
        <w:keepLines w:val="0"/>
        <w:pageBreakBefore w:val="0"/>
        <w:kinsoku/>
        <w:overflowPunct/>
        <w:topLinePunct w:val="0"/>
        <w:autoSpaceDE/>
        <w:autoSpaceDN/>
        <w:bidi w:val="0"/>
        <w:spacing w:line="48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第一部分：定义与解释</w:t>
      </w:r>
    </w:p>
    <w:p w14:paraId="12D4006C">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定义</w:t>
      </w:r>
    </w:p>
    <w:p w14:paraId="49CFA09C">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除另有说明外，下列用语在本合同及附件中使用时具有如下的含义:</w:t>
      </w:r>
    </w:p>
    <w:p w14:paraId="4D327ECB">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本合同：指甲方和乙方订立的本委托运营及管理服务合同，包括本合同主文、所有附件及双方就修订本合同而做出的任何书面补充合同。</w:t>
      </w:r>
    </w:p>
    <w:p w14:paraId="54D1DE0A">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本项目：指由甲方拥有合法所有权、乙方接受甲方委托运营和管理国有资产</w:t>
      </w:r>
      <w:r>
        <w:rPr>
          <w:rFonts w:hint="eastAsia" w:ascii="宋体" w:hAnsi="宋体" w:eastAsia="宋体" w:cs="宋体"/>
          <w:color w:val="auto"/>
          <w:kern w:val="2"/>
          <w:sz w:val="24"/>
          <w:szCs w:val="24"/>
          <w:highlight w:val="none"/>
          <w:lang w:val="en-US" w:eastAsia="zh-CN" w:bidi="ar-SA"/>
        </w:rPr>
        <w:t>的项目</w:t>
      </w:r>
      <w:r>
        <w:rPr>
          <w:rFonts w:hint="eastAsia" w:ascii="宋体" w:hAnsi="宋体" w:eastAsia="宋体" w:cs="宋体"/>
          <w:color w:val="auto"/>
          <w:sz w:val="24"/>
          <w:szCs w:val="24"/>
          <w:highlight w:val="none"/>
        </w:rPr>
        <w:t>，具体指位于韶关市示范性综合实践基地（门牌号为：</w:t>
      </w:r>
      <w:r>
        <w:rPr>
          <w:rFonts w:hint="eastAsia" w:ascii="宋体" w:hAnsi="宋体" w:eastAsia="宋体" w:cs="宋体"/>
          <w:color w:val="auto"/>
          <w:sz w:val="24"/>
          <w:szCs w:val="24"/>
          <w:highlight w:val="none"/>
          <w:lang w:eastAsia="zh-CN"/>
        </w:rPr>
        <w:t>韶关市曲江区马坝镇狮岩路63号</w:t>
      </w:r>
      <w:r>
        <w:rPr>
          <w:rFonts w:hint="eastAsia" w:ascii="宋体" w:hAnsi="宋体" w:eastAsia="宋体" w:cs="宋体"/>
          <w:color w:val="auto"/>
          <w:sz w:val="24"/>
          <w:szCs w:val="24"/>
          <w:highlight w:val="none"/>
        </w:rPr>
        <w:t>）的国有资产及附属设备设施和相关的运营服务。</w:t>
      </w:r>
    </w:p>
    <w:p w14:paraId="1B9745E4">
      <w:pPr>
        <w:keepNext w:val="0"/>
        <w:keepLines w:val="0"/>
        <w:pageBreakBefore w:val="0"/>
        <w:kinsoku/>
        <w:overflowPunct/>
        <w:topLinePunct w:val="0"/>
        <w:autoSpaceDE/>
        <w:autoSpaceDN/>
        <w:bidi w:val="0"/>
        <w:spacing w:line="48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第二部分：国有资产及附属设备设施基本情况</w:t>
      </w:r>
    </w:p>
    <w:p w14:paraId="76577505">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资产概况</w:t>
      </w:r>
    </w:p>
    <w:p w14:paraId="2AC4AE50">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本项目包括但不限于以下国有资产及附属设备设施：</w:t>
      </w:r>
    </w:p>
    <w:p w14:paraId="1340D7F6">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场地及建筑物：位于</w:t>
      </w:r>
      <w:r>
        <w:rPr>
          <w:rFonts w:hint="eastAsia" w:ascii="宋体" w:hAnsi="宋体" w:eastAsia="宋体" w:cs="宋体"/>
          <w:color w:val="auto"/>
          <w:sz w:val="24"/>
          <w:szCs w:val="24"/>
          <w:highlight w:val="none"/>
          <w:lang w:eastAsia="zh-CN"/>
        </w:rPr>
        <w:t>韶关市曲江区马坝镇狮岩路63号</w:t>
      </w:r>
      <w:r>
        <w:rPr>
          <w:rFonts w:hint="eastAsia" w:ascii="宋体" w:hAnsi="宋体" w:eastAsia="宋体" w:cs="宋体"/>
          <w:color w:val="auto"/>
          <w:sz w:val="24"/>
          <w:szCs w:val="24"/>
          <w:highlight w:val="none"/>
        </w:rPr>
        <w:t>的实践营地及相关场地设施</w:t>
      </w:r>
    </w:p>
    <w:p w14:paraId="260E3CA1">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设备设施：包括但不限于现有的教学设备、办公设备、生活设施等。</w:t>
      </w:r>
    </w:p>
    <w:p w14:paraId="0C1083E8">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其他资产：由甲方提供的其他相关国有资产及附属设备设施。</w:t>
      </w:r>
    </w:p>
    <w:p w14:paraId="1BBFD994">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资产交接</w:t>
      </w:r>
    </w:p>
    <w:p w14:paraId="31948119">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甲方应在本合同生效之日起[具体日期]内，将上述国有资产及附属设备设施移交给乙方，并签署资产交接清单作为本合同附件</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合同终止时乙方保证清单上的资产和设施设备能完好且功能正常。</w:t>
      </w:r>
    </w:p>
    <w:p w14:paraId="33B50550">
      <w:pPr>
        <w:keepNext w:val="0"/>
        <w:keepLines w:val="0"/>
        <w:pageBreakBefore w:val="0"/>
        <w:kinsoku/>
        <w:overflowPunct/>
        <w:topLinePunct w:val="0"/>
        <w:autoSpaceDE/>
        <w:autoSpaceDN/>
        <w:bidi w:val="0"/>
        <w:spacing w:line="48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第三部分：服务内容、服务期限及服务成果要求</w:t>
      </w:r>
    </w:p>
    <w:p w14:paraId="7F2BA419">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服务内容</w:t>
      </w:r>
    </w:p>
    <w:p w14:paraId="4F9828EA">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乙方负责运营及管理本项目，包括但不限于以下内容：</w:t>
      </w:r>
    </w:p>
    <w:p w14:paraId="64814799">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1.提升改造。</w:t>
      </w:r>
    </w:p>
    <w:p w14:paraId="45843749">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基地现有硬件条件、设施设备和运营业务的基础上进行优化提升，包括基地改造提升、设施设备投入以及相关课程的开发，制定相应的提升改造方案，确保为学生综合实践或研学活动提供更好的环境和条件，能够提升学生的综合实践能力、创新思维等，促进学生综合素质提升。</w:t>
      </w:r>
    </w:p>
    <w:p w14:paraId="04C4B8DF">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基础条件。对实践基地的基础条件设施进行升级改造，包括但不限于男生宿舍（基地楼，40间）卫生间、北区室外实践区内的野炊场和公共厕所；购置实践活动所需的物品，包括但不限于学生宿舍的床上用品、军服。</w:t>
      </w:r>
    </w:p>
    <w:p w14:paraId="1962ACCE">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（2）综合实践条件。添置综合实践（含劳动实践）新开设课程所需要的设施设备，包括但不限于科学实践、野炊活动。</w:t>
      </w:r>
    </w:p>
    <w:p w14:paraId="4A3DD952">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研学实践条件。按广东省研学实践教育营地标准丰富实践基地内研学实践课程，内容包括但不限于AI人工智能、自然科普、航天航空、农耕劳动等方面，旨在为学生提供更多体验式学习的机会，助力学生综合素质提升。</w:t>
      </w:r>
    </w:p>
    <w:p w14:paraId="69B18747">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2.日常运营管理。</w:t>
      </w:r>
    </w:p>
    <w:p w14:paraId="030BA289">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（1）制定基地的年度运营计划，并报实践基地备案。按照计划组织实施基地的各项运营活动，确保基地的正常运转。</w:t>
      </w:r>
    </w:p>
    <w:p w14:paraId="446BA41E">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（2）负责基地运营团队人员管理，包括招聘、培训、考核、薪酬福利等方面的管理工作，建立一支高素质、专业化的运营管理团队。</w:t>
      </w:r>
    </w:p>
    <w:p w14:paraId="6D6FF11F">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（3）建立健全基地的各项规章制度，加强对基地安全、环境卫生等管理工作，以及校舍、果树、绿化等维护工作，确保基地的安全、整洁和有序。</w:t>
      </w:r>
    </w:p>
    <w:p w14:paraId="5257FC0A">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（4）负责基地的宣传推广工作，通过多种渠道向社会公众和中小学校宣传基地的实践教育活动和特色课程，提高基地的知名度和影响力。</w:t>
      </w:r>
    </w:p>
    <w:p w14:paraId="506B6E19">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3.课程开发与实施。</w:t>
      </w:r>
    </w:p>
    <w:p w14:paraId="570C9978">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（1）根据《示范性综合实践基地实践活动指南》《中小学综合实践活动课程指导纲要》《广东省关于加强全省中小学生研学实践教育活动管理的通知》《广东省中小学研学实践教育基（营）地申报标准》</w:t>
      </w:r>
      <w:r>
        <w:rPr>
          <w:rFonts w:hint="eastAsia" w:ascii="宋体" w:hAnsi="宋体" w:eastAsia="宋体" w:cs="宋体"/>
          <w:color w:val="auto"/>
          <w:sz w:val="24"/>
          <w:szCs w:val="24"/>
          <w:highlight w:val="none"/>
          <w:lang w:eastAsia="zh-CN"/>
        </w:rPr>
        <w:t>、韶关市《研学旅行服务规范》</w:t>
      </w:r>
      <w:r>
        <w:rPr>
          <w:rFonts w:hint="eastAsia" w:ascii="宋体" w:hAnsi="宋体" w:eastAsia="宋体" w:cs="宋体"/>
          <w:color w:val="auto"/>
          <w:sz w:val="24"/>
          <w:szCs w:val="24"/>
          <w:highlight w:val="none"/>
        </w:rPr>
        <w:t>的要求，结合基地实际，开发实践活动课程（综合实践、研学实践及劳动实践活动课程）。</w:t>
      </w:r>
    </w:p>
    <w:p w14:paraId="47DF0E89">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（2）编写课程教材，制作课件和视频资料，为教师的教育活动提供支持和保障，编写过程中要充分体现相关文件的要求和理念。</w:t>
      </w:r>
    </w:p>
    <w:p w14:paraId="5B558FB7">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（3）制定实践活动计划和实施方案，合理安排实践活动内容和时间，确保实践活动的顺利进行，实践活动计划和实施方案应符合相关文件的具体规定。</w:t>
      </w:r>
    </w:p>
    <w:p w14:paraId="065EDCA8">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（4）组织实施实践活动，要采用多样化的方法和手段，注重学生的参与体验和实践操作，培养学生的创新精神和实践能力，实践活动应严格按照文件的要求进行设计和组织。</w:t>
      </w:r>
    </w:p>
    <w:p w14:paraId="099D1B5A">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4.师资队伍建设</w:t>
      </w:r>
      <w:r>
        <w:rPr>
          <w:rFonts w:hint="eastAsia" w:ascii="宋体" w:hAnsi="宋体" w:eastAsia="宋体" w:cs="宋体"/>
          <w:color w:val="auto"/>
          <w:sz w:val="24"/>
          <w:szCs w:val="24"/>
          <w:highlight w:val="none"/>
          <w:lang w:eastAsia="zh-CN"/>
        </w:rPr>
        <w:t>。建立开展业务所需的专兼职人员体系，乙方自行承担相关成本。</w:t>
      </w:r>
    </w:p>
    <w:p w14:paraId="4C586FD6">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（1）根据基地的运营管理需求和《中小学综合实践活动课程指导纲要》《广东省关于加强全省中小学生研学实践教育活动管理的通知》《广东省中小学研学实践教育基（营）地申报标准》</w:t>
      </w:r>
      <w:r>
        <w:rPr>
          <w:rFonts w:hint="eastAsia" w:ascii="宋体" w:hAnsi="宋体" w:eastAsia="宋体" w:cs="宋体"/>
          <w:color w:val="auto"/>
          <w:sz w:val="24"/>
          <w:szCs w:val="24"/>
          <w:highlight w:val="none"/>
          <w:lang w:eastAsia="zh-CN"/>
        </w:rPr>
        <w:t>、韶关市《研学旅行服务规范》</w:t>
      </w:r>
      <w:r>
        <w:rPr>
          <w:rFonts w:hint="eastAsia" w:ascii="宋体" w:hAnsi="宋体" w:eastAsia="宋体" w:cs="宋体"/>
          <w:color w:val="auto"/>
          <w:sz w:val="24"/>
          <w:szCs w:val="24"/>
          <w:highlight w:val="none"/>
        </w:rPr>
        <w:t>对教师的要求，制定师资队伍招聘计划，招聘具有相关专业背景和实践经验的教师，确保教师具备实施相关课程的能力。</w:t>
      </w:r>
    </w:p>
    <w:p w14:paraId="2ABA05FB">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（2）建立教师培训体系，定期组织教师参加专业培训和研修活动，培训内容应包括但不限于文件的学习和解读，不断提高教师的教育水平和实践指导能力。</w:t>
      </w:r>
    </w:p>
    <w:p w14:paraId="7715DFB6">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（3）制定教师考核评价机制，对教师的带班、实践活动组织等工作进行定期考核评价，根据考核结果进行奖惩和激励，提高教师的工作积极性和责任心。</w:t>
      </w:r>
    </w:p>
    <w:p w14:paraId="6130245D">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5.安全管理。</w:t>
      </w:r>
    </w:p>
    <w:p w14:paraId="10CDF62D">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（1）建立健全基地的安全管理制度和应急预案，加强对基地的安全隐患排查和整改工作，确保基地的安全。    </w:t>
      </w:r>
    </w:p>
    <w:p w14:paraId="146B9EE9">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（2）对学生进行安全教育和培训，提高学生的安全意识和自我保护能力。</w:t>
      </w:r>
    </w:p>
    <w:p w14:paraId="21DE520E">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（3）加强对基地设施设备的安全检查和维护保养，确保设施设备的正常运行和使用安全。</w:t>
      </w:r>
    </w:p>
    <w:p w14:paraId="3D48B096">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（4）在实践教育活动期间，安排专人负责学生的安全管理，确保学生的人身安全和财产安全。</w:t>
      </w:r>
    </w:p>
    <w:p w14:paraId="0FA19437">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6.设施设备维护保养。</w:t>
      </w:r>
    </w:p>
    <w:p w14:paraId="4F37D87D">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（1）制定基地设施设备的维护保养计划，定期对设施设备进行检查、维护和保养，确保设施设备的正常运行和使用。</w:t>
      </w:r>
    </w:p>
    <w:p w14:paraId="0B0E95BC">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（2）及时处理设施设备的故障和损坏问题，对于需要更换的设施设备，及时采购和安装。</w:t>
      </w:r>
    </w:p>
    <w:p w14:paraId="43E2F6B9">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（3）建立设施设备档案，记录设施设备的购置、使用、维护和维修等情况，为设施设备的管理和维护提供依据。</w:t>
      </w:r>
    </w:p>
    <w:p w14:paraId="48EA3752">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 非公益性质学生团、亲子团、夏令营等：负责相关活动的策划与执行。</w:t>
      </w:r>
    </w:p>
    <w:p w14:paraId="268040D7">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8</w:t>
      </w: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lang w:val="en-US" w:eastAsia="zh-CN"/>
        </w:rPr>
        <w:t>乙方以自己的名义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不得以甲方名义</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设计和印制营地的宣传彩页、研学手册等物料：满足研学接待需求</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不得虚假宣传和不得侵犯他人知识产权</w:t>
      </w:r>
      <w:r>
        <w:rPr>
          <w:rFonts w:hint="eastAsia" w:ascii="宋体" w:hAnsi="宋体" w:eastAsia="宋体" w:cs="宋体"/>
          <w:color w:val="auto"/>
          <w:sz w:val="24"/>
          <w:szCs w:val="24"/>
          <w:highlight w:val="none"/>
        </w:rPr>
        <w:t>。</w:t>
      </w:r>
    </w:p>
    <w:p w14:paraId="0711D4A6">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 树立协助甲方品牌形象并负责长期开发、维护、提升、推广研学产品：负责相关品牌建设和市场推广工作</w:t>
      </w:r>
      <w:r>
        <w:rPr>
          <w:rFonts w:hint="eastAsia" w:ascii="宋体" w:hAnsi="宋体" w:eastAsia="宋体" w:cs="宋体"/>
          <w:color w:val="auto"/>
          <w:sz w:val="24"/>
          <w:szCs w:val="24"/>
          <w:highlight w:val="none"/>
          <w:lang w:eastAsia="zh-CN"/>
        </w:rPr>
        <w:t>。</w:t>
      </w:r>
    </w:p>
    <w:p w14:paraId="5F0B0568">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服务期限</w:t>
      </w:r>
    </w:p>
    <w:p w14:paraId="0A6ABB5E">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本合同服务期限为叁年，自[具体日期]起至[具体日期]止。</w:t>
      </w:r>
      <w:r>
        <w:rPr>
          <w:rFonts w:hint="eastAsia" w:ascii="宋体" w:hAnsi="宋体" w:eastAsia="宋体" w:cs="宋体"/>
          <w:color w:val="auto"/>
          <w:sz w:val="24"/>
          <w:szCs w:val="24"/>
          <w:highlight w:val="none"/>
          <w:lang w:val="en-US" w:eastAsia="zh-CN"/>
        </w:rPr>
        <w:t>因</w:t>
      </w:r>
      <w:r>
        <w:rPr>
          <w:rFonts w:hint="eastAsia" w:ascii="宋体" w:hAnsi="宋体" w:eastAsia="宋体" w:cs="宋体"/>
          <w:color w:val="auto"/>
          <w:sz w:val="24"/>
          <w:szCs w:val="24"/>
          <w:highlight w:val="none"/>
        </w:rPr>
        <w:t>本项目委托运营管理期限为</w:t>
      </w:r>
      <w:r>
        <w:rPr>
          <w:rFonts w:hint="eastAsia" w:ascii="宋体" w:hAnsi="宋体" w:eastAsia="宋体" w:cs="宋体"/>
          <w:color w:val="auto"/>
          <w:sz w:val="24"/>
          <w:szCs w:val="24"/>
          <w:highlight w:val="none"/>
          <w:lang w:val="en-US" w:eastAsia="zh-CN"/>
        </w:rPr>
        <w:t>3+2模式，即合同签署3年服务期，经合法程序后再续签服务期2年的合同（与相关政策冲突情况除外）</w:t>
      </w:r>
      <w:r>
        <w:rPr>
          <w:rFonts w:hint="eastAsia" w:ascii="宋体" w:hAnsi="宋体" w:eastAsia="宋体" w:cs="宋体"/>
          <w:color w:val="auto"/>
          <w:sz w:val="24"/>
          <w:szCs w:val="24"/>
          <w:highlight w:val="none"/>
        </w:rPr>
        <w:t>。自合同签订之日起2个月后开始计算，预留2个月的交接、改造时间。</w:t>
      </w:r>
    </w:p>
    <w:p w14:paraId="3A4F9998">
      <w:pPr>
        <w:keepNext w:val="0"/>
        <w:keepLines w:val="0"/>
        <w:pageBreakBefore w:val="0"/>
        <w:numPr>
          <w:ilvl w:val="0"/>
          <w:numId w:val="0"/>
        </w:numPr>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乙方投入的固定资产所有权归乙方所有</w:t>
      </w:r>
      <w:r>
        <w:rPr>
          <w:rFonts w:hint="eastAsia" w:ascii="宋体" w:hAnsi="宋体" w:eastAsia="宋体" w:cs="宋体"/>
          <w:color w:val="auto"/>
          <w:kern w:val="2"/>
          <w:sz w:val="24"/>
          <w:szCs w:val="24"/>
          <w:highlight w:val="none"/>
          <w:lang w:val="en-US" w:eastAsia="zh-CN" w:bidi="ar-SA"/>
        </w:rPr>
        <w:t>。</w:t>
      </w:r>
      <w:r>
        <w:rPr>
          <w:rFonts w:hint="eastAsia" w:ascii="宋体" w:hAnsi="宋体" w:eastAsia="宋体" w:cs="宋体"/>
          <w:color w:val="auto"/>
          <w:sz w:val="24"/>
          <w:szCs w:val="24"/>
          <w:highlight w:val="none"/>
          <w:lang w:eastAsia="zh-CN"/>
        </w:rPr>
        <w:t>在</w:t>
      </w:r>
      <w:r>
        <w:rPr>
          <w:rFonts w:hint="eastAsia" w:ascii="宋体" w:hAnsi="宋体" w:eastAsia="宋体" w:cs="宋体"/>
          <w:color w:val="auto"/>
          <w:sz w:val="24"/>
          <w:szCs w:val="24"/>
          <w:highlight w:val="none"/>
        </w:rPr>
        <w:t>本合同服务期满</w:t>
      </w:r>
      <w:r>
        <w:rPr>
          <w:rFonts w:hint="eastAsia" w:ascii="宋体" w:hAnsi="宋体" w:eastAsia="宋体" w:cs="宋体"/>
          <w:color w:val="auto"/>
          <w:sz w:val="24"/>
          <w:szCs w:val="24"/>
          <w:highlight w:val="none"/>
          <w:lang w:eastAsia="zh-CN"/>
        </w:rPr>
        <w:t>后</w:t>
      </w:r>
      <w:r>
        <w:rPr>
          <w:rFonts w:hint="eastAsia" w:ascii="宋体" w:hAnsi="宋体" w:eastAsia="宋体" w:cs="宋体"/>
          <w:color w:val="auto"/>
          <w:sz w:val="24"/>
          <w:szCs w:val="24"/>
          <w:highlight w:val="none"/>
        </w:rPr>
        <w:t>，甲方重新招标，</w:t>
      </w:r>
      <w:r>
        <w:rPr>
          <w:rFonts w:hint="eastAsia" w:ascii="宋体" w:hAnsi="宋体" w:eastAsia="宋体" w:cs="宋体"/>
          <w:color w:val="auto"/>
          <w:sz w:val="24"/>
          <w:szCs w:val="24"/>
          <w:highlight w:val="none"/>
          <w:lang w:val="en-US" w:eastAsia="zh-CN"/>
        </w:rPr>
        <w:t>如</w:t>
      </w:r>
      <w:r>
        <w:rPr>
          <w:rFonts w:hint="eastAsia" w:ascii="宋体" w:hAnsi="宋体" w:eastAsia="宋体" w:cs="宋体"/>
          <w:color w:val="auto"/>
          <w:sz w:val="24"/>
          <w:szCs w:val="24"/>
          <w:highlight w:val="none"/>
        </w:rPr>
        <w:t>乙方中标</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则</w:t>
      </w:r>
      <w:r>
        <w:rPr>
          <w:rFonts w:hint="eastAsia" w:ascii="宋体" w:hAnsi="宋体" w:eastAsia="宋体" w:cs="宋体"/>
          <w:color w:val="auto"/>
          <w:sz w:val="24"/>
          <w:szCs w:val="24"/>
          <w:highlight w:val="none"/>
        </w:rPr>
        <w:t>继续服务；如乙方未能中标，</w:t>
      </w:r>
      <w:r>
        <w:rPr>
          <w:rFonts w:hint="eastAsia" w:ascii="宋体" w:hAnsi="宋体" w:eastAsia="宋体" w:cs="宋体"/>
          <w:color w:val="auto"/>
          <w:sz w:val="24"/>
          <w:szCs w:val="24"/>
          <w:highlight w:val="none"/>
          <w:lang w:eastAsia="zh-CN"/>
        </w:rPr>
        <w:t>则</w:t>
      </w:r>
      <w:r>
        <w:rPr>
          <w:rFonts w:hint="eastAsia" w:ascii="宋体" w:hAnsi="宋体" w:eastAsia="宋体" w:cs="宋体"/>
          <w:color w:val="auto"/>
          <w:sz w:val="24"/>
          <w:szCs w:val="24"/>
          <w:highlight w:val="none"/>
        </w:rPr>
        <w:t>除不能移动的资产外，其余设施设备等由乙方自行处理</w:t>
      </w:r>
      <w:r>
        <w:rPr>
          <w:rFonts w:hint="eastAsia" w:ascii="宋体" w:hAnsi="宋体" w:eastAsia="宋体" w:cs="宋体"/>
          <w:color w:val="auto"/>
          <w:sz w:val="24"/>
          <w:szCs w:val="24"/>
          <w:highlight w:val="none"/>
          <w:lang w:eastAsia="zh-CN"/>
        </w:rPr>
        <w:t>（需在</w:t>
      </w:r>
      <w:r>
        <w:rPr>
          <w:rFonts w:hint="eastAsia" w:ascii="宋体" w:hAnsi="宋体" w:eastAsia="宋体" w:cs="宋体"/>
          <w:color w:val="auto"/>
          <w:sz w:val="24"/>
          <w:szCs w:val="24"/>
          <w:highlight w:val="none"/>
          <w:lang w:val="en-US" w:eastAsia="zh-CN"/>
        </w:rPr>
        <w:t xml:space="preserve">    个工作日内处理完毕，以不影响后续运营方的运营及管理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甲方无须对乙方进行任何补偿</w:t>
      </w:r>
      <w:r>
        <w:rPr>
          <w:rFonts w:hint="eastAsia" w:ascii="宋体" w:hAnsi="宋体" w:eastAsia="宋体" w:cs="宋体"/>
          <w:color w:val="auto"/>
          <w:sz w:val="24"/>
          <w:szCs w:val="24"/>
          <w:highlight w:val="none"/>
        </w:rPr>
        <w:t>。</w:t>
      </w:r>
    </w:p>
    <w:p w14:paraId="7F74B509">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服务成果要求</w:t>
      </w:r>
    </w:p>
    <w:p w14:paraId="623D229F">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紧急、重大问题汇报机制：乙方应建立紧急、重大问题随时向甲方汇报机制。</w:t>
      </w:r>
    </w:p>
    <w:p w14:paraId="548C952C">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配合完成甲方交办的其</w:t>
      </w:r>
      <w:r>
        <w:rPr>
          <w:rFonts w:hint="eastAsia" w:ascii="宋体" w:hAnsi="宋体" w:eastAsia="宋体" w:cs="宋体"/>
          <w:color w:val="auto"/>
          <w:sz w:val="24"/>
          <w:szCs w:val="24"/>
          <w:highlight w:val="none"/>
          <w:lang w:val="en-US" w:eastAsia="zh-CN"/>
        </w:rPr>
        <w:t>它</w:t>
      </w:r>
      <w:r>
        <w:rPr>
          <w:rFonts w:hint="eastAsia" w:ascii="宋体" w:hAnsi="宋体" w:eastAsia="宋体" w:cs="宋体"/>
          <w:color w:val="auto"/>
          <w:sz w:val="24"/>
          <w:szCs w:val="24"/>
          <w:highlight w:val="none"/>
        </w:rPr>
        <w:t>相关工作：</w:t>
      </w:r>
      <w:r>
        <w:rPr>
          <w:rFonts w:hint="eastAsia" w:ascii="宋体" w:hAnsi="宋体" w:eastAsia="宋体" w:cs="宋体"/>
          <w:color w:val="auto"/>
          <w:sz w:val="24"/>
          <w:szCs w:val="24"/>
          <w:highlight w:val="none"/>
          <w:lang w:val="en-US" w:eastAsia="zh-CN"/>
        </w:rPr>
        <w:t>乙方需积极完成甲方要求配合完成的其它工作任务。</w:t>
      </w:r>
    </w:p>
    <w:p w14:paraId="685B5512">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成果质量要求：乙方提交的管理运营服务成果数据需及时且准确、客观详实、观点清晰，满足本合同的要求，并获得甲方书面确认。</w:t>
      </w:r>
    </w:p>
    <w:p w14:paraId="08F2487B">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具体指标：</w:t>
      </w:r>
    </w:p>
    <w:p w14:paraId="5DB1E618">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本合同期运营管理期</w:t>
      </w:r>
      <w:r>
        <w:rPr>
          <w:rFonts w:hint="eastAsia" w:ascii="宋体" w:hAnsi="宋体" w:eastAsia="宋体" w:cs="宋体"/>
          <w:color w:val="auto"/>
          <w:sz w:val="24"/>
          <w:szCs w:val="24"/>
          <w:highlight w:val="none"/>
          <w:lang w:eastAsia="zh-CN"/>
        </w:rPr>
        <w:t>间</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eastAsia="zh-CN"/>
        </w:rPr>
        <w:t>参加综合实践活动学校的</w:t>
      </w:r>
      <w:r>
        <w:rPr>
          <w:rFonts w:hint="eastAsia" w:ascii="宋体" w:hAnsi="宋体" w:eastAsia="宋体" w:cs="宋体"/>
          <w:color w:val="auto"/>
          <w:sz w:val="24"/>
          <w:szCs w:val="24"/>
          <w:highlight w:val="none"/>
        </w:rPr>
        <w:t>学生参与率不低于</w:t>
      </w:r>
      <w:r>
        <w:rPr>
          <w:rFonts w:hint="eastAsia" w:ascii="宋体" w:hAnsi="宋体" w:eastAsia="宋体" w:cs="宋体"/>
          <w:color w:val="auto"/>
          <w:sz w:val="24"/>
          <w:szCs w:val="24"/>
          <w:highlight w:val="none"/>
          <w:lang w:val="en-US" w:eastAsia="zh-CN"/>
        </w:rPr>
        <w:t>9</w:t>
      </w:r>
      <w:r>
        <w:rPr>
          <w:rFonts w:hint="eastAsia" w:ascii="宋体" w:hAnsi="宋体" w:eastAsia="宋体" w:cs="宋体"/>
          <w:color w:val="auto"/>
          <w:sz w:val="24"/>
          <w:szCs w:val="24"/>
          <w:highlight w:val="none"/>
        </w:rPr>
        <w:t>0%，如有特殊情况</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双方另行商定。</w:t>
      </w:r>
    </w:p>
    <w:p w14:paraId="1FB208E2">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学生满意度（合同期内</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每学期</w:t>
      </w:r>
      <w:r>
        <w:rPr>
          <w:rFonts w:hint="eastAsia" w:ascii="宋体" w:hAnsi="宋体" w:eastAsia="宋体" w:cs="宋体"/>
          <w:color w:val="auto"/>
          <w:sz w:val="24"/>
          <w:szCs w:val="24"/>
          <w:highlight w:val="none"/>
        </w:rPr>
        <w:t>调查不少于</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次）不低于80%。</w:t>
      </w:r>
    </w:p>
    <w:p w14:paraId="3ABABF25">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提交工作成果及时率不低于80%。</w:t>
      </w:r>
    </w:p>
    <w:p w14:paraId="4E622811">
      <w:pPr>
        <w:keepNext w:val="0"/>
        <w:keepLines w:val="0"/>
        <w:pageBreakBefore w:val="0"/>
        <w:kinsoku/>
        <w:overflowPunct/>
        <w:topLinePunct w:val="0"/>
        <w:autoSpaceDE/>
        <w:autoSpaceDN/>
        <w:bidi w:val="0"/>
        <w:spacing w:line="48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第四部分：</w:t>
      </w:r>
      <w:r>
        <w:rPr>
          <w:rFonts w:hint="eastAsia" w:ascii="宋体" w:hAnsi="宋体" w:eastAsia="宋体" w:cs="宋体"/>
          <w:strike w:val="0"/>
          <w:dstrike w:val="0"/>
          <w:color w:val="auto"/>
          <w:sz w:val="24"/>
          <w:szCs w:val="24"/>
          <w:highlight w:val="none"/>
          <w:lang w:eastAsia="zh-CN"/>
        </w:rPr>
        <w:t>国有资产租赁费</w:t>
      </w:r>
    </w:p>
    <w:p w14:paraId="71595A16">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乙方</w:t>
      </w:r>
      <w:r>
        <w:rPr>
          <w:rFonts w:hint="eastAsia" w:ascii="宋体" w:hAnsi="宋体" w:eastAsia="宋体" w:cs="宋体"/>
          <w:strike w:val="0"/>
          <w:dstrike w:val="0"/>
          <w:color w:val="auto"/>
          <w:sz w:val="24"/>
          <w:szCs w:val="24"/>
          <w:highlight w:val="none"/>
          <w:lang w:eastAsia="zh-CN"/>
        </w:rPr>
        <w:t>需</w:t>
      </w:r>
      <w:r>
        <w:rPr>
          <w:rFonts w:hint="eastAsia" w:ascii="宋体" w:hAnsi="宋体" w:eastAsia="宋体" w:cs="宋体"/>
          <w:color w:val="auto"/>
          <w:sz w:val="24"/>
          <w:szCs w:val="24"/>
          <w:highlight w:val="none"/>
        </w:rPr>
        <w:t>向甲方支付</w:t>
      </w:r>
      <w:r>
        <w:rPr>
          <w:rFonts w:hint="eastAsia" w:ascii="宋体" w:hAnsi="宋体" w:eastAsia="宋体" w:cs="宋体"/>
          <w:strike w:val="0"/>
          <w:dstrike w:val="0"/>
          <w:color w:val="auto"/>
          <w:sz w:val="24"/>
          <w:szCs w:val="24"/>
          <w:highlight w:val="none"/>
          <w:lang w:eastAsia="zh-CN"/>
        </w:rPr>
        <w:t>国有资产租赁费</w:t>
      </w:r>
      <w:r>
        <w:rPr>
          <w:rFonts w:hint="eastAsia" w:ascii="宋体" w:hAnsi="宋体" w:eastAsia="宋体" w:cs="宋体"/>
          <w:color w:val="auto"/>
          <w:sz w:val="24"/>
          <w:szCs w:val="24"/>
          <w:highlight w:val="none"/>
        </w:rPr>
        <w:t>，具体金额</w:t>
      </w:r>
      <w:r>
        <w:rPr>
          <w:rFonts w:hint="eastAsia" w:ascii="宋体" w:hAnsi="宋体" w:eastAsia="宋体" w:cs="宋体"/>
          <w:color w:val="auto"/>
          <w:sz w:val="24"/>
          <w:szCs w:val="24"/>
          <w:highlight w:val="none"/>
          <w:lang w:val="en-US" w:eastAsia="zh-CN"/>
        </w:rPr>
        <w:t>第一年XXX万元，第二年XXX万元，第三年XXX万元</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第四年及后续年度租金以前一年租金为基数，根据供需状况及市场行情递增率不低于3%确定。</w:t>
      </w: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val="en-US" w:eastAsia="zh-CN"/>
        </w:rPr>
        <w:t>在合同期内每年的  月  日前，将当年的</w:t>
      </w:r>
      <w:r>
        <w:rPr>
          <w:rFonts w:hint="eastAsia" w:ascii="宋体" w:hAnsi="宋体" w:eastAsia="宋体" w:cs="宋体"/>
          <w:strike w:val="0"/>
          <w:dstrike w:val="0"/>
          <w:color w:val="auto"/>
          <w:sz w:val="24"/>
          <w:szCs w:val="24"/>
          <w:highlight w:val="none"/>
          <w:lang w:eastAsia="zh-CN"/>
        </w:rPr>
        <w:t>国有资产租赁费</w:t>
      </w:r>
      <w:r>
        <w:rPr>
          <w:rFonts w:hint="eastAsia" w:ascii="宋体" w:hAnsi="宋体" w:eastAsia="宋体" w:cs="宋体"/>
          <w:color w:val="auto"/>
          <w:sz w:val="24"/>
          <w:szCs w:val="24"/>
          <w:highlight w:val="none"/>
          <w:lang w:val="en-US" w:eastAsia="zh-CN"/>
        </w:rPr>
        <w:t>按时足额缴入</w:t>
      </w: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eastAsia="zh-CN"/>
        </w:rPr>
        <w:t>账户，</w:t>
      </w:r>
      <w:r>
        <w:rPr>
          <w:rFonts w:hint="eastAsia" w:ascii="宋体" w:hAnsi="宋体" w:eastAsia="宋体" w:cs="宋体"/>
          <w:color w:val="auto"/>
          <w:sz w:val="24"/>
          <w:szCs w:val="24"/>
          <w:highlight w:val="none"/>
          <w:lang w:val="en-US" w:eastAsia="zh-CN"/>
        </w:rPr>
        <w:t>如果乙方未按上述约定缴款，甲方可从应付乙方的综合实践活动费中直接扣除。</w:t>
      </w:r>
    </w:p>
    <w:p w14:paraId="319851ED">
      <w:pPr>
        <w:keepNext w:val="0"/>
        <w:keepLines w:val="0"/>
        <w:pageBreakBefore w:val="0"/>
        <w:kinsoku/>
        <w:overflowPunct/>
        <w:topLinePunct w:val="0"/>
        <w:autoSpaceDE/>
        <w:autoSpaceDN/>
        <w:bidi w:val="0"/>
        <w:spacing w:line="48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第五部分：通知义务</w:t>
      </w:r>
    </w:p>
    <w:p w14:paraId="68003B51">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通知事项</w:t>
      </w:r>
    </w:p>
    <w:p w14:paraId="1F85E38B">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除本合同另有规定外，乙方发生下述</w:t>
      </w:r>
      <w:r>
        <w:rPr>
          <w:rFonts w:hint="eastAsia" w:ascii="宋体" w:hAnsi="宋体" w:eastAsia="宋体" w:cs="宋体"/>
          <w:color w:val="auto"/>
          <w:sz w:val="24"/>
          <w:szCs w:val="24"/>
          <w:highlight w:val="none"/>
          <w:lang w:val="en-US" w:eastAsia="zh-CN"/>
        </w:rPr>
        <w:t>情形</w:t>
      </w:r>
      <w:r>
        <w:rPr>
          <w:rFonts w:hint="eastAsia" w:ascii="宋体" w:hAnsi="宋体" w:eastAsia="宋体" w:cs="宋体"/>
          <w:color w:val="auto"/>
          <w:sz w:val="24"/>
          <w:szCs w:val="24"/>
          <w:highlight w:val="none"/>
        </w:rPr>
        <w:t>之一时，应及时书面通知甲方：</w:t>
      </w:r>
    </w:p>
    <w:p w14:paraId="665DDB15">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发生重组、合并、分立、清算。</w:t>
      </w:r>
    </w:p>
    <w:p w14:paraId="19540D79">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名称发生变更。</w:t>
      </w:r>
    </w:p>
    <w:p w14:paraId="71B3B4F2">
      <w:pPr>
        <w:keepNext w:val="0"/>
        <w:keepLines w:val="0"/>
        <w:pageBreakBefore w:val="0"/>
        <w:kinsoku/>
        <w:overflowPunct/>
        <w:topLinePunct w:val="0"/>
        <w:autoSpaceDE/>
        <w:autoSpaceDN/>
        <w:bidi w:val="0"/>
        <w:spacing w:line="48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第六部分：甲乙</w:t>
      </w:r>
      <w:r>
        <w:rPr>
          <w:rFonts w:hint="eastAsia" w:ascii="宋体" w:hAnsi="宋体" w:eastAsia="宋体" w:cs="宋体"/>
          <w:b/>
          <w:color w:val="auto"/>
          <w:sz w:val="24"/>
          <w:szCs w:val="24"/>
          <w:highlight w:val="none"/>
          <w:lang w:val="en-US" w:eastAsia="zh-CN"/>
        </w:rPr>
        <w:t>双</w:t>
      </w:r>
      <w:r>
        <w:rPr>
          <w:rFonts w:hint="eastAsia" w:ascii="宋体" w:hAnsi="宋体" w:eastAsia="宋体" w:cs="宋体"/>
          <w:b/>
          <w:color w:val="auto"/>
          <w:sz w:val="24"/>
          <w:szCs w:val="24"/>
          <w:highlight w:val="none"/>
        </w:rPr>
        <w:t>方的权利和义务</w:t>
      </w:r>
    </w:p>
    <w:p w14:paraId="7D703466">
      <w:pPr>
        <w:keepNext w:val="0"/>
        <w:keepLines w:val="0"/>
        <w:pageBreakBefore w:val="0"/>
        <w:kinsoku/>
        <w:overflowPunct/>
        <w:topLinePunct w:val="0"/>
        <w:autoSpaceDE/>
        <w:autoSpaceDN/>
        <w:bidi w:val="0"/>
        <w:spacing w:line="48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甲方权利和义务</w:t>
      </w:r>
    </w:p>
    <w:p w14:paraId="2A345FA9">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1.收取</w:t>
      </w:r>
      <w:r>
        <w:rPr>
          <w:rFonts w:hint="eastAsia" w:ascii="宋体" w:hAnsi="宋体" w:eastAsia="宋体" w:cs="宋体"/>
          <w:strike w:val="0"/>
          <w:dstrike w:val="0"/>
          <w:color w:val="auto"/>
          <w:sz w:val="24"/>
          <w:szCs w:val="24"/>
          <w:highlight w:val="none"/>
          <w:lang w:eastAsia="zh-CN"/>
        </w:rPr>
        <w:t>国有资产租赁费</w:t>
      </w:r>
      <w:r>
        <w:rPr>
          <w:rFonts w:hint="eastAsia" w:ascii="宋体" w:hAnsi="宋体" w:eastAsia="宋体" w:cs="宋体"/>
          <w:color w:val="auto"/>
          <w:sz w:val="24"/>
          <w:szCs w:val="24"/>
          <w:highlight w:val="none"/>
        </w:rPr>
        <w:t>费：甲方有权按合同约定向乙方收</w:t>
      </w:r>
      <w:r>
        <w:rPr>
          <w:rFonts w:hint="eastAsia" w:ascii="宋体" w:hAnsi="宋体" w:eastAsia="宋体" w:cs="宋体"/>
          <w:strike w:val="0"/>
          <w:dstrike w:val="0"/>
          <w:color w:val="auto"/>
          <w:sz w:val="24"/>
          <w:szCs w:val="24"/>
          <w:highlight w:val="none"/>
          <w:lang w:eastAsia="zh-CN"/>
        </w:rPr>
        <w:t>国有资产租赁费</w:t>
      </w:r>
      <w:r>
        <w:rPr>
          <w:rFonts w:hint="eastAsia" w:ascii="宋体" w:hAnsi="宋体" w:eastAsia="宋体" w:cs="宋体"/>
          <w:color w:val="auto"/>
          <w:sz w:val="24"/>
          <w:szCs w:val="24"/>
          <w:highlight w:val="none"/>
        </w:rPr>
        <w:t>。</w:t>
      </w:r>
    </w:p>
    <w:p w14:paraId="4A987BAF">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strike w:val="0"/>
          <w:dstrike w:val="0"/>
          <w:color w:val="auto"/>
          <w:sz w:val="24"/>
          <w:szCs w:val="24"/>
          <w:highlight w:val="none"/>
        </w:rPr>
        <w:t>2.</w:t>
      </w:r>
      <w:r>
        <w:rPr>
          <w:rFonts w:hint="eastAsia" w:ascii="宋体" w:hAnsi="宋体" w:eastAsia="宋体" w:cs="宋体"/>
          <w:strike w:val="0"/>
          <w:dstrike w:val="0"/>
          <w:color w:val="auto"/>
          <w:sz w:val="24"/>
          <w:szCs w:val="24"/>
          <w:highlight w:val="none"/>
          <w:lang w:eastAsia="zh-CN"/>
        </w:rPr>
        <w:t>甲方</w:t>
      </w:r>
      <w:r>
        <w:rPr>
          <w:rFonts w:hint="eastAsia" w:ascii="宋体" w:hAnsi="宋体" w:eastAsia="宋体" w:cs="宋体"/>
          <w:strike w:val="0"/>
          <w:dstrike w:val="0"/>
          <w:color w:val="auto"/>
          <w:sz w:val="24"/>
          <w:szCs w:val="24"/>
          <w:highlight w:val="none"/>
        </w:rPr>
        <w:t>人员薪酬</w:t>
      </w:r>
      <w:r>
        <w:rPr>
          <w:rFonts w:hint="eastAsia" w:ascii="宋体" w:hAnsi="宋体" w:eastAsia="宋体" w:cs="宋体"/>
          <w:strike w:val="0"/>
          <w:dstrike w:val="0"/>
          <w:color w:val="auto"/>
          <w:sz w:val="24"/>
          <w:szCs w:val="24"/>
          <w:highlight w:val="none"/>
          <w:lang w:eastAsia="zh-CN"/>
        </w:rPr>
        <w:t>及占用的资产</w:t>
      </w:r>
      <w:r>
        <w:rPr>
          <w:rFonts w:hint="eastAsia" w:ascii="宋体" w:hAnsi="宋体" w:eastAsia="宋体" w:cs="宋体"/>
          <w:strike w:val="0"/>
          <w:dstrike w:val="0"/>
          <w:color w:val="auto"/>
          <w:sz w:val="24"/>
          <w:szCs w:val="24"/>
          <w:highlight w:val="none"/>
        </w:rPr>
        <w:t>：</w:t>
      </w:r>
      <w:r>
        <w:rPr>
          <w:rFonts w:hint="eastAsia" w:ascii="宋体" w:hAnsi="宋体" w:eastAsia="宋体" w:cs="宋体"/>
          <w:strike w:val="0"/>
          <w:dstrike w:val="0"/>
          <w:color w:val="auto"/>
          <w:sz w:val="24"/>
          <w:szCs w:val="24"/>
          <w:highlight w:val="none"/>
          <w:lang w:eastAsia="zh-CN"/>
        </w:rPr>
        <w:t>甲方教职工</w:t>
      </w:r>
      <w:r>
        <w:rPr>
          <w:rFonts w:hint="eastAsia" w:ascii="宋体" w:hAnsi="宋体" w:eastAsia="宋体" w:cs="宋体"/>
          <w:strike w:val="0"/>
          <w:dstrike w:val="0"/>
          <w:color w:val="auto"/>
          <w:sz w:val="24"/>
          <w:szCs w:val="24"/>
          <w:highlight w:val="none"/>
        </w:rPr>
        <w:t>薪酬待遇由甲方</w:t>
      </w:r>
      <w:r>
        <w:rPr>
          <w:rFonts w:hint="eastAsia" w:ascii="宋体" w:hAnsi="宋体" w:eastAsia="宋体" w:cs="宋体"/>
          <w:strike w:val="0"/>
          <w:dstrike w:val="0"/>
          <w:color w:val="auto"/>
          <w:sz w:val="24"/>
          <w:szCs w:val="24"/>
          <w:highlight w:val="none"/>
          <w:lang w:val="en-US" w:eastAsia="zh-CN"/>
        </w:rPr>
        <w:t>承担，</w:t>
      </w:r>
      <w:r>
        <w:rPr>
          <w:rFonts w:hint="eastAsia" w:ascii="宋体" w:hAnsi="宋体" w:eastAsia="宋体" w:cs="宋体"/>
          <w:strike w:val="0"/>
          <w:dstrike w:val="0"/>
          <w:color w:val="auto"/>
          <w:sz w:val="24"/>
          <w:szCs w:val="24"/>
          <w:highlight w:val="none"/>
          <w:lang w:eastAsia="zh-CN"/>
        </w:rPr>
        <w:t>甲方教职工办公所占用的基地国有资产由甲方负责管理，所需经费也由甲方承担。</w:t>
      </w:r>
    </w:p>
    <w:p w14:paraId="6E4786CB">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3. 考核与监督：甲方对乙方提供的工作服务内容进行考核，定期进行沟通协调、监督检查。如发现与合同约定不符，有权要求乙方整改并指导乙方完善。</w:t>
      </w:r>
      <w:r>
        <w:rPr>
          <w:rFonts w:hint="eastAsia" w:ascii="宋体" w:hAnsi="宋体" w:eastAsia="宋体" w:cs="宋体"/>
          <w:color w:val="auto"/>
          <w:sz w:val="24"/>
          <w:szCs w:val="24"/>
          <w:highlight w:val="none"/>
          <w:lang w:val="en-US" w:eastAsia="zh-CN"/>
        </w:rPr>
        <w:t>如每学期综合实践活动《师生满意度调查》低于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en-US" w:eastAsia="zh-CN"/>
        </w:rPr>
        <w:t>（未达标），甲方</w:t>
      </w:r>
      <w:r>
        <w:rPr>
          <w:rFonts w:hint="eastAsia" w:ascii="宋体" w:hAnsi="宋体" w:eastAsia="宋体" w:cs="宋体"/>
          <w:color w:val="auto"/>
          <w:kern w:val="2"/>
          <w:sz w:val="24"/>
          <w:szCs w:val="24"/>
          <w:highlight w:val="none"/>
          <w:lang w:val="en-US" w:eastAsia="zh-CN" w:bidi="ar-SA"/>
        </w:rPr>
        <w:t>有权</w:t>
      </w:r>
      <w:r>
        <w:rPr>
          <w:rFonts w:hint="eastAsia" w:ascii="宋体" w:hAnsi="宋体" w:eastAsia="宋体" w:cs="宋体"/>
          <w:color w:val="auto"/>
          <w:sz w:val="24"/>
          <w:szCs w:val="24"/>
          <w:highlight w:val="none"/>
          <w:lang w:val="en-US" w:eastAsia="zh-CN"/>
        </w:rPr>
        <w:t>向乙方提出整改</w:t>
      </w:r>
      <w:r>
        <w:rPr>
          <w:rFonts w:hint="eastAsia" w:ascii="宋体" w:hAnsi="宋体" w:eastAsia="宋体" w:cs="宋体"/>
          <w:color w:val="auto"/>
          <w:kern w:val="2"/>
          <w:sz w:val="24"/>
          <w:szCs w:val="24"/>
          <w:highlight w:val="none"/>
          <w:lang w:val="en-US" w:eastAsia="zh-CN" w:bidi="ar-SA"/>
        </w:rPr>
        <w:t>要求</w:t>
      </w:r>
      <w:r>
        <w:rPr>
          <w:rFonts w:hint="eastAsia" w:ascii="宋体" w:hAnsi="宋体" w:eastAsia="宋体" w:cs="宋体"/>
          <w:color w:val="auto"/>
          <w:sz w:val="24"/>
          <w:szCs w:val="24"/>
          <w:highlight w:val="none"/>
          <w:lang w:val="en-US" w:eastAsia="zh-CN"/>
        </w:rPr>
        <w:t>和可扣除乙方相关款项金额的5%作为违约金。</w:t>
      </w:r>
    </w:p>
    <w:p w14:paraId="1B331265">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了解工作进展：甲方有权随时了解乙方的工作进展情况，并要求乙方定期进行</w:t>
      </w:r>
      <w:r>
        <w:rPr>
          <w:rFonts w:hint="eastAsia" w:ascii="宋体" w:hAnsi="宋体" w:eastAsia="宋体" w:cs="宋体"/>
          <w:color w:val="auto"/>
          <w:sz w:val="24"/>
          <w:szCs w:val="24"/>
          <w:highlight w:val="none"/>
          <w:lang w:val="en-US" w:eastAsia="zh-CN"/>
        </w:rPr>
        <w:t>书面</w:t>
      </w:r>
      <w:r>
        <w:rPr>
          <w:rFonts w:hint="eastAsia" w:ascii="宋体" w:hAnsi="宋体" w:eastAsia="宋体" w:cs="宋体"/>
          <w:color w:val="auto"/>
          <w:sz w:val="24"/>
          <w:szCs w:val="24"/>
          <w:highlight w:val="none"/>
        </w:rPr>
        <w:t>工作汇报。</w:t>
      </w:r>
    </w:p>
    <w:p w14:paraId="2A931B07">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配合申报：甲方配合乙方并以甲方的名义向政府相关单位申报相关资质、备案等工作。</w:t>
      </w:r>
    </w:p>
    <w:p w14:paraId="23CB5172">
      <w:pPr>
        <w:pStyle w:val="9"/>
        <w:keepNext w:val="0"/>
        <w:keepLines w:val="0"/>
        <w:pageBreakBefore w:val="0"/>
        <w:widowControl w:val="0"/>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6. 学生</w:t>
      </w:r>
      <w:r>
        <w:rPr>
          <w:rFonts w:hint="eastAsia" w:ascii="宋体" w:hAnsi="宋体" w:eastAsia="宋体" w:cs="宋体"/>
          <w:color w:val="auto"/>
          <w:sz w:val="24"/>
          <w:szCs w:val="24"/>
          <w:highlight w:val="none"/>
          <w:lang w:val="en-US" w:eastAsia="zh-CN"/>
        </w:rPr>
        <w:t>参加活动</w:t>
      </w:r>
      <w:r>
        <w:rPr>
          <w:rFonts w:hint="eastAsia" w:ascii="宋体" w:hAnsi="宋体" w:eastAsia="宋体" w:cs="宋体"/>
          <w:color w:val="auto"/>
          <w:sz w:val="24"/>
          <w:szCs w:val="24"/>
          <w:highlight w:val="none"/>
        </w:rPr>
        <w:t>安排：在合同期内，</w:t>
      </w:r>
      <w:r>
        <w:rPr>
          <w:rFonts w:hint="eastAsia" w:ascii="宋体" w:hAnsi="宋体" w:eastAsia="宋体" w:cs="宋体"/>
          <w:color w:val="auto"/>
          <w:sz w:val="24"/>
          <w:szCs w:val="24"/>
          <w:highlight w:val="none"/>
          <w:lang w:val="en-US" w:eastAsia="zh-CN"/>
        </w:rPr>
        <w:t>甲方需</w:t>
      </w:r>
      <w:r>
        <w:rPr>
          <w:rFonts w:hint="eastAsia" w:ascii="宋体" w:hAnsi="宋体" w:eastAsia="宋体" w:cs="宋体"/>
          <w:color w:val="auto"/>
          <w:sz w:val="24"/>
          <w:szCs w:val="24"/>
          <w:highlight w:val="none"/>
        </w:rPr>
        <w:t>在当地教育行政部门的统筹安排下，每学年组织</w:t>
      </w:r>
      <w:r>
        <w:rPr>
          <w:rFonts w:hint="eastAsia" w:ascii="宋体" w:hAnsi="宋体" w:eastAsia="宋体" w:cs="宋体"/>
          <w:color w:val="auto"/>
          <w:sz w:val="24"/>
          <w:szCs w:val="24"/>
          <w:highlight w:val="none"/>
          <w:lang w:eastAsia="zh-CN"/>
        </w:rPr>
        <w:t>韶关市曲江区辖区内小学五年级、初中七年级</w:t>
      </w:r>
      <w:r>
        <w:rPr>
          <w:rFonts w:hint="eastAsia" w:ascii="宋体" w:hAnsi="宋体" w:eastAsia="宋体" w:cs="宋体"/>
          <w:color w:val="auto"/>
          <w:sz w:val="24"/>
          <w:szCs w:val="24"/>
          <w:highlight w:val="none"/>
        </w:rPr>
        <w:t>学生，集中</w:t>
      </w:r>
      <w:r>
        <w:rPr>
          <w:rFonts w:hint="eastAsia" w:ascii="宋体" w:hAnsi="宋体" w:eastAsia="宋体" w:cs="宋体"/>
          <w:color w:val="auto"/>
          <w:sz w:val="24"/>
          <w:szCs w:val="24"/>
          <w:highlight w:val="none"/>
          <w:lang w:val="en-US" w:eastAsia="zh-CN"/>
        </w:rPr>
        <w:t>5天</w:t>
      </w:r>
      <w:r>
        <w:rPr>
          <w:rFonts w:hint="eastAsia" w:ascii="宋体" w:hAnsi="宋体" w:eastAsia="宋体" w:cs="宋体"/>
          <w:color w:val="auto"/>
          <w:sz w:val="24"/>
          <w:szCs w:val="24"/>
          <w:highlight w:val="none"/>
        </w:rPr>
        <w:t>时间到甲方</w:t>
      </w:r>
      <w:r>
        <w:rPr>
          <w:rFonts w:hint="eastAsia" w:ascii="宋体" w:hAnsi="宋体" w:eastAsia="宋体" w:cs="宋体"/>
          <w:color w:val="auto"/>
          <w:sz w:val="24"/>
          <w:szCs w:val="24"/>
          <w:highlight w:val="none"/>
          <w:lang w:eastAsia="zh-CN"/>
        </w:rPr>
        <w:t>所在的</w:t>
      </w:r>
      <w:r>
        <w:rPr>
          <w:rFonts w:hint="eastAsia" w:ascii="宋体" w:hAnsi="宋体" w:eastAsia="宋体" w:cs="宋体"/>
          <w:color w:val="auto"/>
          <w:sz w:val="24"/>
          <w:szCs w:val="24"/>
          <w:highlight w:val="none"/>
        </w:rPr>
        <w:t>综合实践基地开展</w:t>
      </w:r>
      <w:r>
        <w:rPr>
          <w:rFonts w:hint="eastAsia" w:ascii="宋体" w:hAnsi="宋体" w:eastAsia="宋体" w:cs="宋体"/>
          <w:color w:val="auto"/>
          <w:sz w:val="24"/>
          <w:szCs w:val="24"/>
          <w:highlight w:val="none"/>
          <w:lang w:eastAsia="zh-CN"/>
        </w:rPr>
        <w:t>综合实践活动（上级教育行政部门有新的规定除外）</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甲方</w:t>
      </w:r>
      <w:r>
        <w:rPr>
          <w:rFonts w:hint="eastAsia" w:ascii="宋体" w:hAnsi="宋体" w:eastAsia="宋体" w:cs="宋体"/>
          <w:color w:val="auto"/>
          <w:sz w:val="24"/>
          <w:szCs w:val="24"/>
          <w:highlight w:val="none"/>
          <w:lang w:val="en-US" w:eastAsia="zh-CN"/>
        </w:rPr>
        <w:t>需</w:t>
      </w:r>
      <w:r>
        <w:rPr>
          <w:rFonts w:hint="eastAsia" w:ascii="宋体" w:hAnsi="宋体" w:eastAsia="宋体" w:cs="宋体"/>
          <w:color w:val="auto"/>
          <w:sz w:val="24"/>
          <w:szCs w:val="24"/>
          <w:highlight w:val="none"/>
        </w:rPr>
        <w:t>配合乙方</w:t>
      </w:r>
      <w:r>
        <w:rPr>
          <w:rFonts w:hint="eastAsia" w:ascii="宋体" w:hAnsi="宋体" w:eastAsia="宋体" w:cs="宋体"/>
          <w:color w:val="auto"/>
          <w:sz w:val="24"/>
          <w:szCs w:val="24"/>
          <w:highlight w:val="none"/>
          <w:lang w:eastAsia="zh-CN"/>
        </w:rPr>
        <w:t>向韶关市曲江区辖区内</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lang w:eastAsia="zh-CN"/>
        </w:rPr>
        <w:t>中小学</w:t>
      </w:r>
      <w:r>
        <w:rPr>
          <w:rFonts w:hint="eastAsia" w:ascii="宋体" w:hAnsi="宋体" w:eastAsia="宋体" w:cs="宋体"/>
          <w:color w:val="auto"/>
          <w:sz w:val="24"/>
          <w:szCs w:val="24"/>
          <w:highlight w:val="none"/>
          <w:lang w:val="en-US" w:eastAsia="zh-CN"/>
        </w:rPr>
        <w:t>校</w:t>
      </w:r>
      <w:r>
        <w:rPr>
          <w:rFonts w:hint="eastAsia" w:ascii="宋体" w:hAnsi="宋体" w:eastAsia="宋体" w:cs="宋体"/>
          <w:color w:val="auto"/>
          <w:sz w:val="24"/>
          <w:szCs w:val="24"/>
          <w:highlight w:val="none"/>
          <w:lang w:eastAsia="zh-CN"/>
        </w:rPr>
        <w:t>推荐、宣传</w:t>
      </w:r>
      <w:r>
        <w:rPr>
          <w:rFonts w:hint="eastAsia" w:ascii="宋体" w:hAnsi="宋体" w:eastAsia="宋体" w:cs="宋体"/>
          <w:color w:val="auto"/>
          <w:sz w:val="24"/>
          <w:szCs w:val="24"/>
          <w:highlight w:val="none"/>
          <w:lang w:val="en-US" w:eastAsia="zh-CN"/>
        </w:rPr>
        <w:t>研学实践活动</w:t>
      </w:r>
      <w:r>
        <w:rPr>
          <w:rFonts w:hint="eastAsia" w:ascii="宋体" w:hAnsi="宋体" w:eastAsia="宋体" w:cs="宋体"/>
          <w:color w:val="auto"/>
          <w:sz w:val="24"/>
          <w:szCs w:val="24"/>
          <w:highlight w:val="none"/>
          <w:lang w:eastAsia="zh-CN"/>
        </w:rPr>
        <w:t>。</w:t>
      </w:r>
    </w:p>
    <w:p w14:paraId="1FE52117">
      <w:pPr>
        <w:pStyle w:val="9"/>
        <w:keepNext w:val="0"/>
        <w:keepLines w:val="0"/>
        <w:pageBreakBefore w:val="0"/>
        <w:widowControl w:val="0"/>
        <w:kinsoku/>
        <w:wordWrap/>
        <w:overflowPunct/>
        <w:topLinePunct w:val="0"/>
        <w:autoSpaceDE/>
        <w:autoSpaceDN/>
        <w:bidi w:val="0"/>
        <w:adjustRightInd/>
        <w:snapToGrid/>
        <w:spacing w:line="480" w:lineRule="exact"/>
        <w:textAlignment w:val="auto"/>
        <w:rPr>
          <w:rFonts w:hint="default" w:eastAsia="宋体"/>
          <w:strike w:val="0"/>
          <w:color w:val="auto"/>
          <w:highlight w:val="none"/>
          <w:lang w:val="en-US" w:eastAsia="zh-CN"/>
        </w:rPr>
      </w:pPr>
      <w:r>
        <w:rPr>
          <w:rFonts w:hint="eastAsia" w:eastAsia="宋体" w:cs="宋体"/>
          <w:strike w:val="0"/>
          <w:dstrike w:val="0"/>
          <w:color w:val="auto"/>
          <w:sz w:val="24"/>
          <w:szCs w:val="24"/>
          <w:highlight w:val="none"/>
          <w:lang w:val="en-US" w:eastAsia="zh-CN"/>
        </w:rPr>
        <w:t xml:space="preserve">   7.审定综合实践活动收费标准，研学实践活动收费执行韶关市标准，并报甲方备案。</w:t>
      </w:r>
    </w:p>
    <w:p w14:paraId="42C765FC">
      <w:pPr>
        <w:keepNext w:val="0"/>
        <w:keepLines w:val="0"/>
        <w:pageBreakBefore w:val="0"/>
        <w:kinsoku/>
        <w:overflowPunct/>
        <w:topLinePunct w:val="0"/>
        <w:autoSpaceDE/>
        <w:autoSpaceDN/>
        <w:bidi w:val="0"/>
        <w:spacing w:line="48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乙方权利和义务</w:t>
      </w:r>
    </w:p>
    <w:p w14:paraId="46491E3C">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 运营管理：乙方负责运营管理本项目，包括</w:t>
      </w:r>
      <w:r>
        <w:rPr>
          <w:rFonts w:hint="eastAsia" w:ascii="宋体" w:hAnsi="宋体" w:eastAsia="宋体" w:cs="宋体"/>
          <w:color w:val="auto"/>
          <w:sz w:val="24"/>
          <w:szCs w:val="24"/>
          <w:highlight w:val="none"/>
          <w:lang w:eastAsia="zh-CN"/>
        </w:rPr>
        <w:t>业务活动（</w:t>
      </w:r>
      <w:r>
        <w:rPr>
          <w:rFonts w:hint="eastAsia" w:ascii="宋体" w:hAnsi="宋体" w:eastAsia="宋体" w:cs="宋体"/>
          <w:color w:val="auto"/>
          <w:sz w:val="24"/>
          <w:szCs w:val="24"/>
          <w:highlight w:val="none"/>
        </w:rPr>
        <w:t>不限于公益</w:t>
      </w:r>
      <w:r>
        <w:rPr>
          <w:rFonts w:hint="eastAsia" w:ascii="宋体" w:hAnsi="宋体" w:eastAsia="宋体" w:cs="宋体"/>
          <w:strike w:val="0"/>
          <w:dstrike w:val="0"/>
          <w:color w:val="auto"/>
          <w:sz w:val="24"/>
          <w:szCs w:val="24"/>
          <w:highlight w:val="none"/>
          <w:lang w:eastAsia="zh-CN"/>
        </w:rPr>
        <w:t>类的综合</w:t>
      </w:r>
      <w:r>
        <w:rPr>
          <w:rFonts w:hint="eastAsia" w:ascii="宋体" w:hAnsi="宋体" w:eastAsia="宋体" w:cs="宋体"/>
          <w:strike w:val="0"/>
          <w:dstrike w:val="0"/>
          <w:color w:val="auto"/>
          <w:sz w:val="24"/>
          <w:szCs w:val="24"/>
          <w:highlight w:val="none"/>
        </w:rPr>
        <w:t>实践</w:t>
      </w:r>
      <w:r>
        <w:rPr>
          <w:rFonts w:hint="eastAsia" w:ascii="宋体" w:hAnsi="宋体" w:eastAsia="宋体" w:cs="宋体"/>
          <w:strike w:val="0"/>
          <w:dstrike w:val="0"/>
          <w:color w:val="auto"/>
          <w:sz w:val="24"/>
          <w:szCs w:val="24"/>
          <w:highlight w:val="none"/>
          <w:lang w:eastAsia="zh-CN"/>
        </w:rPr>
        <w:t>、研学实践</w:t>
      </w:r>
      <w:r>
        <w:rPr>
          <w:rFonts w:hint="eastAsia" w:ascii="宋体" w:hAnsi="宋体" w:eastAsia="宋体" w:cs="宋体"/>
          <w:color w:val="auto"/>
          <w:sz w:val="24"/>
          <w:szCs w:val="24"/>
          <w:highlight w:val="none"/>
        </w:rPr>
        <w:t>活动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非公益性质学生团、亲子团、夏令营等</w:t>
      </w:r>
      <w:r>
        <w:rPr>
          <w:rFonts w:hint="eastAsia" w:ascii="宋体" w:hAnsi="宋体" w:eastAsia="宋体" w:cs="宋体"/>
          <w:color w:val="auto"/>
          <w:sz w:val="24"/>
          <w:szCs w:val="24"/>
          <w:highlight w:val="none"/>
          <w:lang w:eastAsia="zh-CN"/>
        </w:rPr>
        <w:t>）、国有资产管理（不包括甲方教职工办公占用的资产），承担</w:t>
      </w:r>
      <w:r>
        <w:rPr>
          <w:rFonts w:hint="eastAsia" w:ascii="宋体" w:hAnsi="宋体" w:eastAsia="宋体" w:cs="宋体"/>
          <w:color w:val="auto"/>
          <w:sz w:val="24"/>
          <w:szCs w:val="24"/>
          <w:highlight w:val="none"/>
        </w:rPr>
        <w:t>本项目运营</w:t>
      </w:r>
      <w:r>
        <w:rPr>
          <w:rFonts w:hint="eastAsia" w:ascii="宋体" w:hAnsi="宋体" w:eastAsia="宋体" w:cs="宋体"/>
          <w:color w:val="auto"/>
          <w:sz w:val="24"/>
          <w:szCs w:val="24"/>
          <w:highlight w:val="none"/>
          <w:lang w:eastAsia="zh-CN"/>
        </w:rPr>
        <w:t>及</w:t>
      </w:r>
      <w:r>
        <w:rPr>
          <w:rFonts w:hint="eastAsia" w:ascii="宋体" w:hAnsi="宋体" w:eastAsia="宋体" w:cs="宋体"/>
          <w:color w:val="auto"/>
          <w:sz w:val="24"/>
          <w:szCs w:val="24"/>
          <w:highlight w:val="none"/>
        </w:rPr>
        <w:t>管理</w:t>
      </w:r>
      <w:r>
        <w:rPr>
          <w:rFonts w:hint="eastAsia" w:ascii="宋体" w:hAnsi="宋体" w:eastAsia="宋体" w:cs="宋体"/>
          <w:color w:val="auto"/>
          <w:sz w:val="24"/>
          <w:szCs w:val="24"/>
          <w:highlight w:val="none"/>
          <w:lang w:eastAsia="zh-CN"/>
        </w:rPr>
        <w:t>的所产生的成本，包括但不限于水电费、通讯费、甲方办公费用（</w:t>
      </w:r>
      <w:r>
        <w:rPr>
          <w:rFonts w:hint="eastAsia" w:ascii="宋体" w:hAnsi="宋体" w:eastAsia="宋体" w:cs="宋体"/>
          <w:color w:val="auto"/>
          <w:sz w:val="24"/>
          <w:szCs w:val="24"/>
          <w:highlight w:val="none"/>
          <w:u w:val="none"/>
          <w:shd w:val="clear" w:color="auto" w:fill="auto"/>
          <w:lang w:val="en-US" w:eastAsia="zh-CN"/>
        </w:rPr>
        <w:t>学年度参加综合实践活动学生人数累计2万人及以下计4%、2万人以上计3%</w:t>
      </w:r>
      <w:r>
        <w:rPr>
          <w:rFonts w:hint="eastAsia" w:ascii="宋体" w:hAnsi="宋体" w:eastAsia="宋体" w:cs="宋体"/>
          <w:color w:val="auto"/>
          <w:sz w:val="24"/>
          <w:szCs w:val="24"/>
          <w:highlight w:val="none"/>
          <w:lang w:eastAsia="zh-CN"/>
        </w:rPr>
        <w:t>）。</w:t>
      </w:r>
    </w:p>
    <w:p w14:paraId="17EB8445">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改造提升：负责</w:t>
      </w:r>
      <w:r>
        <w:rPr>
          <w:rFonts w:hint="eastAsia" w:ascii="宋体" w:hAnsi="宋体" w:eastAsia="宋体" w:cs="宋体"/>
          <w:color w:val="auto"/>
          <w:sz w:val="24"/>
          <w:szCs w:val="24"/>
          <w:highlight w:val="none"/>
          <w:lang w:val="en-US" w:eastAsia="zh-CN"/>
        </w:rPr>
        <w:t>基地改造提升</w:t>
      </w:r>
      <w:r>
        <w:rPr>
          <w:rFonts w:hint="eastAsia" w:ascii="宋体" w:hAnsi="宋体" w:eastAsia="宋体" w:cs="宋体"/>
          <w:color w:val="auto"/>
          <w:sz w:val="24"/>
          <w:szCs w:val="24"/>
          <w:highlight w:val="none"/>
        </w:rPr>
        <w:t>，确保</w:t>
      </w:r>
      <w:r>
        <w:rPr>
          <w:rFonts w:hint="eastAsia" w:ascii="宋体" w:hAnsi="宋体" w:eastAsia="宋体" w:cs="宋体"/>
          <w:color w:val="auto"/>
          <w:sz w:val="24"/>
          <w:szCs w:val="24"/>
          <w:highlight w:val="none"/>
          <w:lang w:val="en-US" w:eastAsia="zh-CN"/>
        </w:rPr>
        <w:t>为学生综合实践</w:t>
      </w:r>
      <w:r>
        <w:rPr>
          <w:rFonts w:hint="eastAsia" w:ascii="宋体" w:hAnsi="宋体" w:eastAsia="宋体" w:cs="宋体"/>
          <w:strike w:val="0"/>
          <w:dstrike w:val="0"/>
          <w:color w:val="auto"/>
          <w:sz w:val="24"/>
          <w:szCs w:val="24"/>
          <w:highlight w:val="none"/>
          <w:lang w:val="en-US" w:eastAsia="zh-CN"/>
        </w:rPr>
        <w:t>、</w:t>
      </w:r>
      <w:r>
        <w:rPr>
          <w:rFonts w:hint="eastAsia" w:ascii="宋体" w:hAnsi="宋体" w:eastAsia="宋体" w:cs="宋体"/>
          <w:color w:val="auto"/>
          <w:sz w:val="24"/>
          <w:szCs w:val="24"/>
          <w:highlight w:val="none"/>
          <w:lang w:val="en-US" w:eastAsia="zh-CN"/>
        </w:rPr>
        <w:t>研学实践活动提供更好的环境和条件</w:t>
      </w:r>
      <w:r>
        <w:rPr>
          <w:rFonts w:hint="eastAsia" w:ascii="宋体" w:hAnsi="宋体" w:eastAsia="宋体" w:cs="宋体"/>
          <w:color w:val="auto"/>
          <w:sz w:val="24"/>
          <w:szCs w:val="24"/>
          <w:highlight w:val="none"/>
        </w:rPr>
        <w:t>。</w:t>
      </w:r>
    </w:p>
    <w:p w14:paraId="4177E233">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 人员体系：制定师资队伍招聘计划，招聘</w:t>
      </w:r>
      <w:r>
        <w:rPr>
          <w:rFonts w:hint="eastAsia" w:ascii="宋体" w:hAnsi="宋体" w:eastAsia="宋体" w:cs="宋体"/>
          <w:color w:val="auto"/>
          <w:sz w:val="24"/>
          <w:szCs w:val="24"/>
          <w:highlight w:val="none"/>
          <w:lang w:eastAsia="zh-CN"/>
        </w:rPr>
        <w:t>数量足够、结构合理</w:t>
      </w:r>
      <w:r>
        <w:rPr>
          <w:rFonts w:hint="eastAsia" w:ascii="宋体" w:hAnsi="宋体" w:eastAsia="宋体" w:cs="宋体"/>
          <w:color w:val="auto"/>
          <w:sz w:val="24"/>
          <w:szCs w:val="24"/>
          <w:highlight w:val="none"/>
        </w:rPr>
        <w:t>具有相关专业背景和实践经验的教师，确保教师具备实施相关课程的能力。</w:t>
      </w:r>
    </w:p>
    <w:p w14:paraId="45BC77FC">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p>
    <w:p w14:paraId="1B86B2F8">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宣传物料：负责设计和</w:t>
      </w:r>
      <w:r>
        <w:rPr>
          <w:rFonts w:hint="eastAsia" w:ascii="宋体" w:hAnsi="宋体" w:eastAsia="宋体" w:cs="宋体"/>
          <w:color w:val="auto"/>
          <w:sz w:val="24"/>
          <w:szCs w:val="24"/>
          <w:highlight w:val="none"/>
          <w:lang w:val="en-US" w:eastAsia="zh-CN"/>
        </w:rPr>
        <w:t>印刷</w:t>
      </w:r>
      <w:r>
        <w:rPr>
          <w:rFonts w:hint="eastAsia" w:ascii="宋体" w:hAnsi="宋体" w:eastAsia="宋体" w:cs="宋体"/>
          <w:color w:val="auto"/>
          <w:sz w:val="24"/>
          <w:szCs w:val="24"/>
          <w:highlight w:val="none"/>
        </w:rPr>
        <w:t>营地的宣传彩页、研学手册等物料，满足研学接待需求。</w:t>
      </w:r>
    </w:p>
    <w:p w14:paraId="1D176D15">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 品牌推广：通过多种渠道向社会公众和中小学校宣传基地的实践教育活动和特色课程，提高基地的知名度和影响力</w:t>
      </w:r>
      <w:r>
        <w:rPr>
          <w:rFonts w:hint="eastAsia" w:ascii="宋体" w:hAnsi="宋体" w:eastAsia="宋体" w:cs="宋体"/>
          <w:color w:val="auto"/>
          <w:sz w:val="24"/>
          <w:szCs w:val="24"/>
          <w:highlight w:val="none"/>
          <w:lang w:eastAsia="zh-CN"/>
        </w:rPr>
        <w:t>。</w:t>
      </w:r>
    </w:p>
    <w:p w14:paraId="3A502FA4">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 遵守法规：乙方应遵守国家的法律、法规和政策，</w:t>
      </w:r>
      <w:r>
        <w:rPr>
          <w:rFonts w:hint="eastAsia" w:ascii="宋体" w:hAnsi="宋体" w:eastAsia="宋体" w:cs="宋体"/>
          <w:color w:val="auto"/>
          <w:sz w:val="24"/>
          <w:szCs w:val="24"/>
          <w:highlight w:val="none"/>
          <w:lang w:eastAsia="zh-CN"/>
        </w:rPr>
        <w:t>按照教育行政部门要求组织中小学生开展实践教育</w:t>
      </w:r>
      <w:r>
        <w:rPr>
          <w:rFonts w:hint="eastAsia" w:ascii="宋体" w:hAnsi="宋体" w:eastAsia="宋体" w:cs="宋体"/>
          <w:color w:val="auto"/>
          <w:sz w:val="24"/>
          <w:szCs w:val="24"/>
          <w:highlight w:val="none"/>
        </w:rPr>
        <w:t>。</w:t>
      </w:r>
    </w:p>
    <w:p w14:paraId="79E39319">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r>
        <w:rPr>
          <w:rFonts w:hint="eastAsia" w:ascii="宋体" w:hAnsi="宋体" w:eastAsia="宋体" w:cs="宋体"/>
          <w:color w:val="auto"/>
          <w:sz w:val="24"/>
          <w:szCs w:val="24"/>
          <w:highlight w:val="none"/>
          <w:lang w:eastAsia="zh-CN"/>
        </w:rPr>
        <w:t>定期汇报：</w:t>
      </w:r>
      <w:r>
        <w:rPr>
          <w:rFonts w:hint="eastAsia" w:ascii="宋体" w:hAnsi="宋体" w:eastAsia="宋体" w:cs="宋体"/>
          <w:color w:val="auto"/>
          <w:sz w:val="24"/>
          <w:szCs w:val="24"/>
          <w:highlight w:val="none"/>
          <w:lang w:val="en-US" w:eastAsia="zh-CN"/>
        </w:rPr>
        <w:t>须于每月第一周周一上午向甲方提交书面工作汇报。</w:t>
      </w:r>
    </w:p>
    <w:p w14:paraId="3AA6F3FB">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9.管理与安全：乙方应加强管理，确保进入</w:t>
      </w:r>
      <w:r>
        <w:rPr>
          <w:rFonts w:hint="eastAsia" w:ascii="宋体" w:hAnsi="宋体" w:eastAsia="宋体" w:cs="宋体"/>
          <w:strike w:val="0"/>
          <w:dstrike w:val="0"/>
          <w:color w:val="auto"/>
          <w:sz w:val="24"/>
          <w:szCs w:val="24"/>
          <w:highlight w:val="none"/>
          <w:lang w:eastAsia="zh-CN"/>
        </w:rPr>
        <w:t>基</w:t>
      </w:r>
      <w:r>
        <w:rPr>
          <w:rFonts w:hint="eastAsia" w:ascii="宋体" w:hAnsi="宋体" w:eastAsia="宋体" w:cs="宋体"/>
          <w:color w:val="auto"/>
          <w:sz w:val="24"/>
          <w:szCs w:val="24"/>
          <w:highlight w:val="none"/>
        </w:rPr>
        <w:t>地学生的正确意识形态和社会主义文化先进方向。必须制定完整的</w:t>
      </w:r>
      <w:r>
        <w:rPr>
          <w:rFonts w:hint="eastAsia" w:ascii="宋体" w:hAnsi="宋体" w:eastAsia="宋体" w:cs="宋体"/>
          <w:strike w:val="0"/>
          <w:dstrike w:val="0"/>
          <w:color w:val="auto"/>
          <w:sz w:val="24"/>
          <w:szCs w:val="24"/>
          <w:highlight w:val="none"/>
          <w:lang w:eastAsia="zh-CN"/>
        </w:rPr>
        <w:t>基</w:t>
      </w:r>
      <w:r>
        <w:rPr>
          <w:rFonts w:hint="eastAsia" w:ascii="宋体" w:hAnsi="宋体" w:eastAsia="宋体" w:cs="宋体"/>
          <w:color w:val="auto"/>
          <w:sz w:val="24"/>
          <w:szCs w:val="24"/>
          <w:highlight w:val="none"/>
        </w:rPr>
        <w:t>地应急方案，根据</w:t>
      </w:r>
      <w:r>
        <w:rPr>
          <w:rFonts w:hint="eastAsia" w:ascii="宋体" w:hAnsi="宋体" w:eastAsia="宋体" w:cs="宋体"/>
          <w:strike w:val="0"/>
          <w:dstrike w:val="0"/>
          <w:color w:val="auto"/>
          <w:sz w:val="24"/>
          <w:szCs w:val="24"/>
          <w:highlight w:val="none"/>
          <w:lang w:eastAsia="zh-CN"/>
        </w:rPr>
        <w:t>参加实践活动的班数、人数按标准</w:t>
      </w:r>
      <w:r>
        <w:rPr>
          <w:rFonts w:hint="eastAsia" w:ascii="宋体" w:hAnsi="宋体" w:eastAsia="宋体" w:cs="宋体"/>
          <w:color w:val="auto"/>
          <w:sz w:val="24"/>
          <w:szCs w:val="24"/>
          <w:highlight w:val="none"/>
        </w:rPr>
        <w:t>配置</w:t>
      </w:r>
      <w:r>
        <w:rPr>
          <w:rFonts w:hint="eastAsia" w:ascii="宋体" w:hAnsi="宋体" w:eastAsia="宋体" w:cs="宋体"/>
          <w:strike w:val="0"/>
          <w:dstrike w:val="0"/>
          <w:color w:val="auto"/>
          <w:sz w:val="24"/>
          <w:szCs w:val="24"/>
          <w:highlight w:val="none"/>
        </w:rPr>
        <w:t>相应的工作人员</w:t>
      </w:r>
      <w:r>
        <w:rPr>
          <w:rFonts w:hint="eastAsia" w:ascii="宋体" w:hAnsi="宋体" w:eastAsia="宋体" w:cs="宋体"/>
          <w:strike w:val="0"/>
          <w:dstrike w:val="0"/>
          <w:color w:val="auto"/>
          <w:sz w:val="24"/>
          <w:szCs w:val="24"/>
          <w:highlight w:val="none"/>
          <w:lang w:eastAsia="zh-CN"/>
        </w:rPr>
        <w:t>带班指导老师和实践指导老师</w:t>
      </w:r>
      <w:r>
        <w:rPr>
          <w:rFonts w:hint="eastAsia" w:ascii="宋体" w:hAnsi="宋体" w:eastAsia="宋体" w:cs="宋体"/>
          <w:color w:val="auto"/>
          <w:sz w:val="24"/>
          <w:szCs w:val="24"/>
          <w:highlight w:val="none"/>
        </w:rPr>
        <w:t>，保</w:t>
      </w:r>
      <w:r>
        <w:rPr>
          <w:rFonts w:hint="eastAsia" w:ascii="宋体" w:hAnsi="宋体" w:eastAsia="宋体" w:cs="宋体"/>
          <w:strike w:val="0"/>
          <w:dstrike w:val="0"/>
          <w:color w:val="auto"/>
          <w:sz w:val="24"/>
          <w:szCs w:val="24"/>
          <w:highlight w:val="none"/>
          <w:lang w:eastAsia="zh-CN"/>
        </w:rPr>
        <w:t>证基</w:t>
      </w:r>
      <w:r>
        <w:rPr>
          <w:rFonts w:hint="eastAsia" w:ascii="宋体" w:hAnsi="宋体" w:eastAsia="宋体" w:cs="宋体"/>
          <w:color w:val="auto"/>
          <w:sz w:val="24"/>
          <w:szCs w:val="24"/>
          <w:highlight w:val="none"/>
        </w:rPr>
        <w:t>地各种实践活动安全有序。</w:t>
      </w:r>
    </w:p>
    <w:p w14:paraId="2080C52B">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10.购买保险：乙方应为每</w:t>
      </w:r>
      <w:r>
        <w:rPr>
          <w:rFonts w:hint="eastAsia" w:ascii="宋体" w:hAnsi="宋体" w:eastAsia="宋体" w:cs="宋体"/>
          <w:strike w:val="0"/>
          <w:dstrike w:val="0"/>
          <w:color w:val="auto"/>
          <w:sz w:val="24"/>
          <w:szCs w:val="24"/>
          <w:highlight w:val="none"/>
          <w:lang w:eastAsia="zh-CN"/>
        </w:rPr>
        <w:t>个到基地参加</w:t>
      </w:r>
      <w:r>
        <w:rPr>
          <w:rFonts w:hint="eastAsia" w:ascii="宋体" w:hAnsi="宋体" w:eastAsia="宋体" w:cs="宋体"/>
          <w:color w:val="auto"/>
          <w:sz w:val="24"/>
          <w:szCs w:val="24"/>
          <w:highlight w:val="none"/>
          <w:lang w:val="en-US" w:eastAsia="zh-CN"/>
        </w:rPr>
        <w:t>实践</w:t>
      </w:r>
      <w:r>
        <w:rPr>
          <w:rFonts w:hint="eastAsia" w:ascii="宋体" w:hAnsi="宋体" w:eastAsia="宋体" w:cs="宋体"/>
          <w:color w:val="auto"/>
          <w:sz w:val="24"/>
          <w:szCs w:val="24"/>
          <w:highlight w:val="none"/>
        </w:rPr>
        <w:t>活动</w:t>
      </w:r>
      <w:r>
        <w:rPr>
          <w:rFonts w:hint="eastAsia" w:ascii="宋体" w:hAnsi="宋体" w:eastAsia="宋体" w:cs="宋体"/>
          <w:color w:val="auto"/>
          <w:sz w:val="24"/>
          <w:szCs w:val="24"/>
          <w:highlight w:val="none"/>
          <w:lang w:eastAsia="zh-CN"/>
        </w:rPr>
        <w:t>的学生</w:t>
      </w:r>
      <w:r>
        <w:rPr>
          <w:rFonts w:hint="eastAsia" w:ascii="宋体" w:hAnsi="宋体" w:eastAsia="宋体" w:cs="宋体"/>
          <w:color w:val="auto"/>
          <w:sz w:val="24"/>
          <w:szCs w:val="24"/>
          <w:highlight w:val="none"/>
        </w:rPr>
        <w:t>购买</w:t>
      </w:r>
      <w:r>
        <w:rPr>
          <w:rFonts w:hint="eastAsia" w:ascii="宋体" w:hAnsi="宋体" w:eastAsia="宋体" w:cs="宋体"/>
          <w:color w:val="auto"/>
          <w:sz w:val="24"/>
          <w:szCs w:val="24"/>
          <w:highlight w:val="none"/>
          <w:lang w:eastAsia="zh-CN"/>
        </w:rPr>
        <w:t>保额不低于</w:t>
      </w:r>
      <w:r>
        <w:rPr>
          <w:rFonts w:hint="eastAsia" w:ascii="宋体" w:hAnsi="宋体" w:eastAsia="宋体" w:cs="宋体"/>
          <w:color w:val="auto"/>
          <w:sz w:val="24"/>
          <w:szCs w:val="24"/>
          <w:highlight w:val="none"/>
          <w:lang w:val="en-US" w:eastAsia="zh-CN"/>
        </w:rPr>
        <w:t>100万的校方责任</w:t>
      </w:r>
      <w:r>
        <w:rPr>
          <w:rFonts w:hint="eastAsia" w:ascii="宋体" w:hAnsi="宋体" w:eastAsia="宋体" w:cs="宋体"/>
          <w:color w:val="auto"/>
          <w:sz w:val="24"/>
          <w:szCs w:val="24"/>
          <w:highlight w:val="none"/>
        </w:rPr>
        <w:t>保险。</w:t>
      </w:r>
    </w:p>
    <w:p w14:paraId="459DC57D">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.乙方</w:t>
      </w:r>
      <w:r>
        <w:rPr>
          <w:rFonts w:hint="eastAsia" w:ascii="宋体" w:hAnsi="宋体" w:eastAsia="宋体" w:cs="宋体"/>
          <w:color w:val="auto"/>
          <w:sz w:val="24"/>
          <w:szCs w:val="24"/>
          <w:highlight w:val="none"/>
          <w:lang w:val="en-US" w:eastAsia="zh-CN"/>
        </w:rPr>
        <w:t>负责相关资产及附属设备设施检查、维修、保养，如因乙方检查、维修、保养不及时和使用不当等导致事故和损坏的，均由乙方承担全部相关责任。</w:t>
      </w:r>
    </w:p>
    <w:p w14:paraId="1CE936F9">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乙方须在领取中标通知书之日起10个工作日内、签订合同前向甲方提交1,000,000.00元的履约保证。履约保证的形式包括履约保证金、履约保证担保、履约保证保险三种，由乙方自主选择。否则将视为乙方放弃中标的权利，甲方有权选择按规定选出的中标候选人为本项目的中标人或对本项目重新进行招标。履约保证金有效期比合同有效期延长1个月。履约保证金将在乙方履行完合同义务，有效期期满后，7个工作日内按原路返还。</w:t>
      </w:r>
    </w:p>
    <w:p w14:paraId="5A51DF0C">
      <w:pPr>
        <w:pStyle w:val="9"/>
        <w:rPr>
          <w:rFonts w:hint="eastAsia" w:ascii="宋体" w:hAnsi="宋体" w:eastAsia="宋体" w:cs="宋体"/>
          <w:color w:val="auto"/>
          <w:sz w:val="24"/>
          <w:szCs w:val="24"/>
          <w:highlight w:val="none"/>
          <w:lang w:val="en-US" w:eastAsia="zh-CN"/>
        </w:rPr>
      </w:pPr>
    </w:p>
    <w:p w14:paraId="15126CB4">
      <w:pPr>
        <w:keepNext w:val="0"/>
        <w:keepLines w:val="0"/>
        <w:pageBreakBefore w:val="0"/>
        <w:kinsoku/>
        <w:overflowPunct/>
        <w:topLinePunct w:val="0"/>
        <w:autoSpaceDE/>
        <w:autoSpaceDN/>
        <w:bidi w:val="0"/>
        <w:spacing w:line="480" w:lineRule="exact"/>
        <w:textAlignment w:val="auto"/>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rPr>
        <w:t>第七部分：</w:t>
      </w:r>
      <w:r>
        <w:rPr>
          <w:rFonts w:hint="eastAsia" w:ascii="宋体" w:hAnsi="宋体" w:eastAsia="宋体" w:cs="宋体"/>
          <w:b/>
          <w:color w:val="auto"/>
          <w:sz w:val="24"/>
          <w:szCs w:val="24"/>
          <w:highlight w:val="none"/>
          <w:lang w:val="en-US" w:eastAsia="zh-CN"/>
        </w:rPr>
        <w:t>委托运营管理期间的经费管理</w:t>
      </w:r>
    </w:p>
    <w:p w14:paraId="730D47B3">
      <w:pPr>
        <w:spacing w:line="360" w:lineRule="auto"/>
        <w:ind w:firstLine="480" w:firstLineChars="200"/>
        <w:rPr>
          <w:rFonts w:hint="eastAsia" w:ascii="宋体" w:hAnsi="宋体" w:eastAsia="宋体" w:cs="宋体"/>
          <w:color w:val="auto"/>
          <w:sz w:val="24"/>
          <w:szCs w:val="24"/>
          <w:highlight w:val="none"/>
          <w:u w:val="none"/>
          <w:shd w:val="clear" w:color="auto" w:fill="auto"/>
          <w:lang w:val="en-US" w:eastAsia="zh-CN"/>
        </w:rPr>
      </w:pPr>
      <w:r>
        <w:rPr>
          <w:rFonts w:hint="eastAsia" w:ascii="宋体" w:hAnsi="宋体" w:eastAsia="宋体" w:cs="宋体"/>
          <w:color w:val="auto"/>
          <w:sz w:val="24"/>
          <w:szCs w:val="24"/>
          <w:highlight w:val="none"/>
          <w:u w:val="none"/>
          <w:shd w:val="clear" w:color="auto" w:fill="auto"/>
          <w:lang w:val="en-US" w:eastAsia="zh-CN"/>
        </w:rPr>
        <w:t>1.综合实践活动现行收费标准每生每天62元，其中伙食费25元（早餐5元、中晚餐各10元）。</w:t>
      </w:r>
    </w:p>
    <w:p w14:paraId="09B87BC1">
      <w:pPr>
        <w:spacing w:line="360" w:lineRule="auto"/>
        <w:ind w:firstLine="480" w:firstLineChars="200"/>
        <w:rPr>
          <w:rFonts w:hint="eastAsia" w:ascii="宋体" w:hAnsi="宋体" w:eastAsia="宋体" w:cs="宋体"/>
          <w:color w:val="auto"/>
          <w:sz w:val="24"/>
          <w:szCs w:val="24"/>
          <w:highlight w:val="none"/>
          <w:u w:val="none"/>
          <w:shd w:val="clear" w:color="auto" w:fill="auto"/>
          <w:lang w:val="en-US" w:eastAsia="zh-CN"/>
        </w:rPr>
      </w:pPr>
      <w:r>
        <w:rPr>
          <w:rFonts w:hint="eastAsia" w:ascii="宋体" w:hAnsi="宋体" w:eastAsia="宋体" w:cs="宋体"/>
          <w:color w:val="auto"/>
          <w:sz w:val="24"/>
          <w:szCs w:val="24"/>
          <w:highlight w:val="none"/>
          <w:u w:val="none"/>
          <w:shd w:val="clear" w:color="auto" w:fill="auto"/>
          <w:lang w:val="en-US" w:eastAsia="zh-CN"/>
        </w:rPr>
        <w:t>（1）由甲方收取，次月10日前将上月收取的综合实践活动总收入汇入区财政局账户，执行收支两条线管理。</w:t>
      </w:r>
    </w:p>
    <w:p w14:paraId="4BB7660B">
      <w:pPr>
        <w:spacing w:line="360" w:lineRule="auto"/>
        <w:ind w:firstLine="480" w:firstLineChars="200"/>
        <w:rPr>
          <w:rFonts w:hint="eastAsia" w:ascii="宋体" w:hAnsi="宋体" w:eastAsia="宋体" w:cs="宋体"/>
          <w:color w:val="auto"/>
          <w:sz w:val="24"/>
          <w:szCs w:val="24"/>
          <w:highlight w:val="none"/>
          <w:u w:val="none"/>
          <w:shd w:val="clear" w:color="auto" w:fill="auto"/>
          <w:lang w:val="en-US" w:eastAsia="zh-CN"/>
        </w:rPr>
      </w:pPr>
      <w:r>
        <w:rPr>
          <w:rFonts w:hint="eastAsia" w:ascii="宋体" w:hAnsi="宋体" w:eastAsia="宋体" w:cs="宋体"/>
          <w:color w:val="auto"/>
          <w:sz w:val="24"/>
          <w:szCs w:val="24"/>
          <w:highlight w:val="none"/>
          <w:u w:val="none"/>
          <w:shd w:val="clear" w:color="auto" w:fill="auto"/>
          <w:lang w:val="en-US" w:eastAsia="zh-CN"/>
        </w:rPr>
        <w:t>（2）每月收到区财政局返拨款后，留取3%作为甲方的办公等经费。每年7月按标准（学年度参加综合实践活动学生人数累计2万人及以下计4%、2万人以上计3%）结算本学年度（每年8月1日—次年7月31日）甲方的办公等经费。</w:t>
      </w:r>
    </w:p>
    <w:p w14:paraId="1CFF71E9">
      <w:pPr>
        <w:spacing w:line="360" w:lineRule="auto"/>
        <w:ind w:firstLine="480" w:firstLineChars="200"/>
        <w:rPr>
          <w:rFonts w:hint="eastAsia" w:ascii="宋体" w:hAnsi="宋体" w:eastAsia="宋体" w:cs="宋体"/>
          <w:color w:val="auto"/>
          <w:sz w:val="24"/>
          <w:szCs w:val="24"/>
          <w:highlight w:val="none"/>
          <w:u w:val="none"/>
          <w:shd w:val="clear" w:color="auto" w:fill="auto"/>
          <w:lang w:val="en-US" w:eastAsia="zh-CN"/>
        </w:rPr>
      </w:pPr>
      <w:r>
        <w:rPr>
          <w:rFonts w:hint="eastAsia" w:ascii="宋体" w:hAnsi="宋体" w:eastAsia="宋体" w:cs="宋体"/>
          <w:color w:val="auto"/>
          <w:sz w:val="24"/>
          <w:szCs w:val="24"/>
          <w:highlight w:val="none"/>
          <w:u w:val="none"/>
          <w:shd w:val="clear" w:color="auto" w:fill="auto"/>
          <w:lang w:val="en-US" w:eastAsia="zh-CN"/>
        </w:rPr>
        <w:t>（3）每月甲方代乙方支付实践基地的水电、网络等运营期间费用，在次月的15日前将剩余金额汇入甲方账户。</w:t>
      </w:r>
    </w:p>
    <w:p w14:paraId="3B6C8C44">
      <w:pPr>
        <w:spacing w:line="360" w:lineRule="auto"/>
        <w:ind w:firstLine="480" w:firstLineChars="200"/>
        <w:rPr>
          <w:rFonts w:hint="eastAsia" w:ascii="宋体" w:hAnsi="宋体" w:eastAsia="宋体" w:cs="宋体"/>
          <w:color w:val="auto"/>
          <w:sz w:val="24"/>
          <w:szCs w:val="24"/>
          <w:highlight w:val="none"/>
          <w:u w:val="none"/>
          <w:shd w:val="clear" w:color="auto" w:fill="auto"/>
          <w:lang w:val="en-US" w:eastAsia="zh-CN"/>
        </w:rPr>
      </w:pPr>
      <w:r>
        <w:rPr>
          <w:rFonts w:hint="eastAsia" w:ascii="宋体" w:hAnsi="宋体" w:eastAsia="宋体" w:cs="宋体"/>
          <w:color w:val="auto"/>
          <w:sz w:val="24"/>
          <w:szCs w:val="24"/>
          <w:highlight w:val="none"/>
          <w:u w:val="none"/>
          <w:shd w:val="clear" w:color="auto" w:fill="auto"/>
          <w:lang w:val="en-US" w:eastAsia="zh-CN"/>
        </w:rPr>
        <w:t>2.研学实践、夏（冬）令营等其他实践活动的收费由</w:t>
      </w:r>
      <w:r>
        <w:rPr>
          <w:rFonts w:hint="eastAsia" w:ascii="宋体" w:hAnsi="宋体" w:eastAsia="宋体" w:cs="宋体"/>
          <w:strike w:val="0"/>
          <w:dstrike w:val="0"/>
          <w:color w:val="auto"/>
          <w:sz w:val="24"/>
          <w:szCs w:val="24"/>
          <w:highlight w:val="none"/>
          <w:u w:val="none"/>
          <w:shd w:val="clear" w:color="auto" w:fill="auto"/>
          <w:lang w:val="en-US" w:eastAsia="zh-CN"/>
        </w:rPr>
        <w:t>乙</w:t>
      </w:r>
      <w:r>
        <w:rPr>
          <w:rFonts w:hint="eastAsia" w:ascii="宋体" w:hAnsi="宋体" w:eastAsia="宋体" w:cs="宋体"/>
          <w:color w:val="auto"/>
          <w:sz w:val="24"/>
          <w:szCs w:val="24"/>
          <w:highlight w:val="none"/>
          <w:u w:val="none"/>
          <w:shd w:val="clear" w:color="auto" w:fill="auto"/>
          <w:lang w:val="en-US" w:eastAsia="zh-CN"/>
        </w:rPr>
        <w:t>方负责。</w:t>
      </w:r>
    </w:p>
    <w:p w14:paraId="6A304870">
      <w:pPr>
        <w:rPr>
          <w:rFonts w:hint="eastAsia"/>
          <w:color w:val="auto"/>
          <w:sz w:val="24"/>
          <w:szCs w:val="24"/>
          <w:highlight w:val="none"/>
          <w:lang w:eastAsia="zh-CN"/>
        </w:rPr>
      </w:pPr>
    </w:p>
    <w:p w14:paraId="50ECC95C">
      <w:pPr>
        <w:keepNext w:val="0"/>
        <w:keepLines w:val="0"/>
        <w:pageBreakBefore w:val="0"/>
        <w:kinsoku/>
        <w:overflowPunct/>
        <w:topLinePunct w:val="0"/>
        <w:autoSpaceDE/>
        <w:autoSpaceDN/>
        <w:bidi w:val="0"/>
        <w:spacing w:line="48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w:t>
      </w:r>
      <w:r>
        <w:rPr>
          <w:rFonts w:hint="eastAsia" w:ascii="宋体" w:hAnsi="宋体" w:eastAsia="宋体" w:cs="宋体"/>
          <w:b/>
          <w:color w:val="auto"/>
          <w:sz w:val="24"/>
          <w:szCs w:val="24"/>
          <w:highlight w:val="none"/>
          <w:lang w:val="en-US" w:eastAsia="zh-CN"/>
        </w:rPr>
        <w:t>八</w:t>
      </w:r>
      <w:r>
        <w:rPr>
          <w:rFonts w:hint="eastAsia" w:ascii="宋体" w:hAnsi="宋体" w:eastAsia="宋体" w:cs="宋体"/>
          <w:b/>
          <w:color w:val="auto"/>
          <w:sz w:val="24"/>
          <w:szCs w:val="24"/>
          <w:highlight w:val="none"/>
        </w:rPr>
        <w:t>部分：服务标准</w:t>
      </w:r>
    </w:p>
    <w:p w14:paraId="2C88D03F">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运营管理质量要求</w:t>
      </w:r>
    </w:p>
    <w:p w14:paraId="2DE3FDCC">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效率性：乙方应及时响应甲方及学生的需求，确保各项活动按时开展。</w:t>
      </w:r>
    </w:p>
    <w:p w14:paraId="34CAF830">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 独立性：乙方在运营管理过程中应保持独立性，自主决策，但需遵循甲方的指导和监督。</w:t>
      </w:r>
    </w:p>
    <w:p w14:paraId="1DA6108A">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 公正性：乙方在运营过程中应确保公平、公正，不得偏袒任何一方。</w:t>
      </w:r>
    </w:p>
    <w:p w14:paraId="72E0CF03">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 系统性：乙方应建立完善的运营管理体系，确保各项工作的有序进行。</w:t>
      </w:r>
    </w:p>
    <w:p w14:paraId="057B241C">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 专业性：乙方应具备专业的运营管理团队，确保服务质量。</w:t>
      </w:r>
    </w:p>
    <w:p w14:paraId="7ADD352C">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团队人员投入要求</w:t>
      </w:r>
    </w:p>
    <w:p w14:paraId="3D281200">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乙方应投入</w:t>
      </w:r>
      <w:r>
        <w:rPr>
          <w:rFonts w:hint="eastAsia" w:ascii="宋体" w:hAnsi="宋体" w:eastAsia="宋体" w:cs="宋体"/>
          <w:color w:val="auto"/>
          <w:sz w:val="24"/>
          <w:szCs w:val="24"/>
          <w:highlight w:val="none"/>
          <w:lang w:val="en-US" w:eastAsia="zh-CN"/>
        </w:rPr>
        <w:t>XXXXX</w:t>
      </w:r>
      <w:r>
        <w:rPr>
          <w:rFonts w:hint="eastAsia" w:ascii="宋体" w:hAnsi="宋体" w:eastAsia="宋体" w:cs="宋体"/>
          <w:color w:val="auto"/>
          <w:sz w:val="24"/>
          <w:szCs w:val="24"/>
          <w:highlight w:val="none"/>
        </w:rPr>
        <w:t>人的专业人员负责本项目的运营管理。核心成员包括但不限于</w:t>
      </w:r>
      <w:bookmarkStart w:id="78" w:name="OLE_LINK33"/>
      <w:r>
        <w:rPr>
          <w:rFonts w:hint="eastAsia" w:ascii="宋体" w:hAnsi="宋体" w:eastAsia="宋体" w:cs="宋体"/>
          <w:color w:val="auto"/>
          <w:sz w:val="24"/>
          <w:szCs w:val="24"/>
          <w:highlight w:val="none"/>
        </w:rPr>
        <w:t>项目经理、运营经理、安全负责人</w:t>
      </w:r>
      <w:bookmarkEnd w:id="78"/>
      <w:r>
        <w:rPr>
          <w:rFonts w:hint="eastAsia" w:ascii="宋体" w:hAnsi="宋体" w:eastAsia="宋体" w:cs="宋体"/>
          <w:color w:val="auto"/>
          <w:sz w:val="24"/>
          <w:szCs w:val="24"/>
          <w:highlight w:val="none"/>
        </w:rPr>
        <w:t>等，乙方应确保核心成员的稳定性，如有变更需提前[具体时间]书面通知甲方并获得甲方同意</w:t>
      </w:r>
      <w:r>
        <w:rPr>
          <w:rFonts w:hint="eastAsia" w:ascii="宋体" w:hAnsi="宋体" w:eastAsia="宋体" w:cs="宋体"/>
          <w:color w:val="auto"/>
          <w:sz w:val="24"/>
          <w:szCs w:val="24"/>
          <w:highlight w:val="none"/>
          <w:lang w:val="en-US" w:eastAsia="zh-CN"/>
        </w:rPr>
        <w:t>后方可变更</w:t>
      </w:r>
      <w:r>
        <w:rPr>
          <w:rFonts w:hint="eastAsia" w:ascii="宋体" w:hAnsi="宋体" w:eastAsia="宋体" w:cs="宋体"/>
          <w:color w:val="auto"/>
          <w:sz w:val="24"/>
          <w:szCs w:val="24"/>
          <w:highlight w:val="none"/>
        </w:rPr>
        <w:t>。</w:t>
      </w:r>
    </w:p>
    <w:p w14:paraId="40C9EAFD">
      <w:pPr>
        <w:keepNext w:val="0"/>
        <w:keepLines w:val="0"/>
        <w:pageBreakBefore w:val="0"/>
        <w:kinsoku/>
        <w:overflowPunct/>
        <w:topLinePunct w:val="0"/>
        <w:autoSpaceDE/>
        <w:autoSpaceDN/>
        <w:bidi w:val="0"/>
        <w:spacing w:line="480" w:lineRule="exact"/>
        <w:textAlignment w:val="auto"/>
        <w:rPr>
          <w:rFonts w:hint="eastAsia" w:ascii="宋体" w:hAnsi="宋体" w:eastAsia="宋体" w:cs="宋体"/>
          <w:b/>
          <w:color w:val="auto"/>
          <w:sz w:val="24"/>
          <w:szCs w:val="24"/>
          <w:highlight w:val="none"/>
        </w:rPr>
      </w:pPr>
    </w:p>
    <w:p w14:paraId="61E9C9D1">
      <w:pPr>
        <w:keepNext w:val="0"/>
        <w:keepLines w:val="0"/>
        <w:pageBreakBefore w:val="0"/>
        <w:kinsoku/>
        <w:overflowPunct/>
        <w:topLinePunct w:val="0"/>
        <w:autoSpaceDE/>
        <w:autoSpaceDN/>
        <w:bidi w:val="0"/>
        <w:spacing w:line="48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w:t>
      </w:r>
      <w:r>
        <w:rPr>
          <w:rFonts w:hint="eastAsia" w:ascii="宋体" w:hAnsi="宋体" w:eastAsia="宋体" w:cs="宋体"/>
          <w:b/>
          <w:color w:val="auto"/>
          <w:sz w:val="24"/>
          <w:szCs w:val="24"/>
          <w:highlight w:val="none"/>
          <w:lang w:val="en-US" w:eastAsia="zh-CN"/>
        </w:rPr>
        <w:t>九</w:t>
      </w:r>
      <w:r>
        <w:rPr>
          <w:rFonts w:hint="eastAsia" w:ascii="宋体" w:hAnsi="宋体" w:eastAsia="宋体" w:cs="宋体"/>
          <w:b/>
          <w:color w:val="auto"/>
          <w:sz w:val="24"/>
          <w:szCs w:val="24"/>
          <w:highlight w:val="none"/>
        </w:rPr>
        <w:t>部分：监管机制</w:t>
      </w:r>
    </w:p>
    <w:p w14:paraId="731B9E5F">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乙方汇报机制</w:t>
      </w:r>
    </w:p>
    <w:p w14:paraId="78F5E15D">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乙方每月需针对项目运营情况及后期运营计划对甲方进行书面汇报，并按甲方提出的意见进行整改完善。</w:t>
      </w:r>
    </w:p>
    <w:p w14:paraId="72E4D047">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甲方监督机制</w:t>
      </w:r>
    </w:p>
    <w:p w14:paraId="19EA484B">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甲方每月对乙方服务品质、服务效率、产出效益等进行监督。若乙方出现失职失责或合同期内未能按照本合同约定条款，甲方有权要求乙方进行整改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完善各项服务标准并达到相关要求，否则甲方可以启动追责机制。</w:t>
      </w:r>
    </w:p>
    <w:p w14:paraId="188DDC77">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配合教育主管部门开展各类检查和评估工作，及时整改存在的问题，不断提高运营管理水平和服务质量。</w:t>
      </w:r>
    </w:p>
    <w:p w14:paraId="07FC7735">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lang w:eastAsia="zh-CN"/>
        </w:rPr>
        <w:t>对综合</w:t>
      </w:r>
      <w:r>
        <w:rPr>
          <w:rFonts w:hint="eastAsia" w:ascii="宋体" w:hAnsi="宋体" w:eastAsia="宋体" w:cs="宋体"/>
          <w:color w:val="auto"/>
          <w:sz w:val="24"/>
          <w:szCs w:val="24"/>
          <w:highlight w:val="none"/>
        </w:rPr>
        <w:t>实践</w:t>
      </w:r>
      <w:r>
        <w:rPr>
          <w:rFonts w:hint="eastAsia" w:ascii="宋体" w:hAnsi="宋体" w:eastAsia="宋体" w:cs="宋体"/>
          <w:color w:val="auto"/>
          <w:sz w:val="24"/>
          <w:szCs w:val="24"/>
          <w:highlight w:val="none"/>
          <w:lang w:eastAsia="zh-CN"/>
        </w:rPr>
        <w:t>、研学实践和劳动实践活动的业务</w:t>
      </w:r>
      <w:r>
        <w:rPr>
          <w:rFonts w:hint="eastAsia" w:ascii="宋体" w:hAnsi="宋体" w:eastAsia="宋体" w:cs="宋体"/>
          <w:color w:val="auto"/>
          <w:sz w:val="24"/>
          <w:szCs w:val="24"/>
          <w:highlight w:val="none"/>
        </w:rPr>
        <w:t>指导和监督检查</w:t>
      </w:r>
      <w:r>
        <w:rPr>
          <w:rFonts w:hint="eastAsia" w:ascii="宋体" w:hAnsi="宋体" w:eastAsia="宋体" w:cs="宋体"/>
          <w:color w:val="auto"/>
          <w:sz w:val="24"/>
          <w:szCs w:val="24"/>
          <w:highlight w:val="none"/>
          <w:lang w:eastAsia="zh-CN"/>
        </w:rPr>
        <w:t>，其他活动需提前一周向</w:t>
      </w:r>
      <w:r>
        <w:rPr>
          <w:rFonts w:hint="eastAsia" w:ascii="宋体" w:hAnsi="宋体" w:eastAsia="宋体" w:cs="宋体"/>
          <w:color w:val="auto"/>
          <w:sz w:val="24"/>
          <w:szCs w:val="24"/>
          <w:highlight w:val="none"/>
          <w:lang w:val="en-US" w:eastAsia="zh-CN"/>
        </w:rPr>
        <w:t>甲方</w:t>
      </w:r>
      <w:r>
        <w:rPr>
          <w:rFonts w:hint="eastAsia" w:ascii="宋体" w:hAnsi="宋体" w:eastAsia="宋体" w:cs="宋体"/>
          <w:color w:val="auto"/>
          <w:sz w:val="24"/>
          <w:szCs w:val="24"/>
          <w:highlight w:val="none"/>
          <w:lang w:eastAsia="zh-CN"/>
        </w:rPr>
        <w:t>报备。</w:t>
      </w:r>
    </w:p>
    <w:p w14:paraId="04CE560B">
      <w:pPr>
        <w:keepNext w:val="0"/>
        <w:keepLines w:val="0"/>
        <w:pageBreakBefore w:val="0"/>
        <w:kinsoku/>
        <w:overflowPunct/>
        <w:topLinePunct w:val="0"/>
        <w:autoSpaceDE/>
        <w:autoSpaceDN/>
        <w:bidi w:val="0"/>
        <w:spacing w:line="480" w:lineRule="exact"/>
        <w:ind w:firstLine="480" w:firstLineChars="200"/>
        <w:textAlignment w:val="auto"/>
        <w:rPr>
          <w:rFonts w:hint="eastAsia"/>
          <w:color w:val="auto"/>
          <w:highlight w:val="none"/>
        </w:rPr>
      </w:pPr>
      <w:r>
        <w:rPr>
          <w:rFonts w:hint="eastAsia" w:ascii="宋体" w:hAnsi="宋体" w:eastAsia="宋体" w:cs="宋体"/>
          <w:color w:val="auto"/>
          <w:sz w:val="24"/>
          <w:szCs w:val="24"/>
          <w:highlight w:val="none"/>
          <w:lang w:val="en-US" w:eastAsia="zh-CN"/>
        </w:rPr>
        <w:t>乙方</w:t>
      </w:r>
      <w:r>
        <w:rPr>
          <w:rFonts w:hint="eastAsia" w:ascii="宋体" w:hAnsi="宋体" w:eastAsia="宋体" w:cs="宋体"/>
          <w:color w:val="auto"/>
          <w:sz w:val="24"/>
          <w:szCs w:val="24"/>
          <w:highlight w:val="none"/>
          <w:lang w:eastAsia="zh-CN"/>
        </w:rPr>
        <w:t>要积极参加由教育行政部门或相关部门组织的业务活动，包括但不限于撰写论文、设计课例、说课比赛。</w:t>
      </w:r>
    </w:p>
    <w:p w14:paraId="2CC22F92">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责任追究</w:t>
      </w:r>
    </w:p>
    <w:p w14:paraId="63EB43AD">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因乙方过错造成第三方追究甲方责任的，甲方有权对乙方就全部损失进行追偿。</w:t>
      </w:r>
    </w:p>
    <w:p w14:paraId="72B32BE6">
      <w:pPr>
        <w:keepNext w:val="0"/>
        <w:keepLines w:val="0"/>
        <w:pageBreakBefore w:val="0"/>
        <w:kinsoku/>
        <w:overflowPunct/>
        <w:topLinePunct w:val="0"/>
        <w:autoSpaceDE/>
        <w:autoSpaceDN/>
        <w:bidi w:val="0"/>
        <w:spacing w:line="480" w:lineRule="exact"/>
        <w:textAlignment w:val="auto"/>
        <w:rPr>
          <w:rFonts w:hint="eastAsia" w:ascii="宋体" w:hAnsi="宋体" w:eastAsia="宋体" w:cs="宋体"/>
          <w:b/>
          <w:color w:val="auto"/>
          <w:sz w:val="24"/>
          <w:szCs w:val="24"/>
          <w:highlight w:val="none"/>
        </w:rPr>
      </w:pPr>
    </w:p>
    <w:p w14:paraId="7664300E">
      <w:pPr>
        <w:keepNext w:val="0"/>
        <w:keepLines w:val="0"/>
        <w:pageBreakBefore w:val="0"/>
        <w:kinsoku/>
        <w:overflowPunct/>
        <w:topLinePunct w:val="0"/>
        <w:autoSpaceDE/>
        <w:autoSpaceDN/>
        <w:bidi w:val="0"/>
        <w:spacing w:line="48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w:t>
      </w:r>
      <w:r>
        <w:rPr>
          <w:rFonts w:hint="eastAsia" w:ascii="宋体" w:hAnsi="宋体" w:eastAsia="宋体" w:cs="宋体"/>
          <w:b/>
          <w:color w:val="auto"/>
          <w:sz w:val="24"/>
          <w:szCs w:val="24"/>
          <w:highlight w:val="none"/>
          <w:lang w:val="en-US" w:eastAsia="zh-CN"/>
        </w:rPr>
        <w:t>十</w:t>
      </w:r>
      <w:r>
        <w:rPr>
          <w:rFonts w:hint="eastAsia" w:ascii="宋体" w:hAnsi="宋体" w:eastAsia="宋体" w:cs="宋体"/>
          <w:b/>
          <w:color w:val="auto"/>
          <w:sz w:val="24"/>
          <w:szCs w:val="24"/>
          <w:highlight w:val="none"/>
        </w:rPr>
        <w:t>部分：合同变更和解除</w:t>
      </w:r>
    </w:p>
    <w:p w14:paraId="2E0ACC63">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合同变更</w:t>
      </w:r>
    </w:p>
    <w:p w14:paraId="7533C98F">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经甲、乙双方协商一致，可变更本合同，双方应当就合同的变更事宜签订书面合同予以明确。</w:t>
      </w:r>
    </w:p>
    <w:p w14:paraId="51822535">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合同解除</w:t>
      </w:r>
    </w:p>
    <w:p w14:paraId="19AC7A13">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发生下列约定情况之一的，则本合同解除：</w:t>
      </w:r>
    </w:p>
    <w:p w14:paraId="5A78FDC3">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 甲、乙双方经协商一致，可解除本合同。</w:t>
      </w:r>
    </w:p>
    <w:p w14:paraId="3754BF13">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 xml:space="preserve">2. </w:t>
      </w:r>
      <w:r>
        <w:rPr>
          <w:rFonts w:hint="eastAsia" w:ascii="宋体" w:hAnsi="宋体" w:eastAsia="宋体" w:cs="宋体"/>
          <w:color w:val="auto"/>
          <w:sz w:val="24"/>
          <w:szCs w:val="24"/>
          <w:highlight w:val="none"/>
          <w:lang w:val="en-US" w:eastAsia="zh-CN"/>
        </w:rPr>
        <w:t>乙方未按合同条款履约或招投标过程中以弄虚作假等欺诈手段谋取中标的，或运营过程中，乙方未能按招标文件、投标文件及合同相关规定完成项目工作事项的，甲方有权单方面立即</w:t>
      </w:r>
      <w:r>
        <w:rPr>
          <w:rFonts w:hint="eastAsia" w:ascii="宋体" w:hAnsi="宋体" w:eastAsia="宋体" w:cs="宋体"/>
          <w:color w:val="auto"/>
          <w:sz w:val="24"/>
          <w:szCs w:val="24"/>
          <w:highlight w:val="none"/>
        </w:rPr>
        <w:t>解除</w:t>
      </w:r>
      <w:r>
        <w:rPr>
          <w:rFonts w:hint="eastAsia" w:ascii="宋体" w:hAnsi="宋体" w:eastAsia="宋体" w:cs="宋体"/>
          <w:color w:val="auto"/>
          <w:sz w:val="24"/>
          <w:szCs w:val="24"/>
          <w:highlight w:val="none"/>
          <w:lang w:val="en-US" w:eastAsia="zh-CN"/>
        </w:rPr>
        <w:t>合同；</w:t>
      </w:r>
    </w:p>
    <w:p w14:paraId="2D1F99C9">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 乙方不得将本项目转包、分包，否则甲方有权单方面</w:t>
      </w:r>
      <w:r>
        <w:rPr>
          <w:rFonts w:hint="eastAsia" w:ascii="宋体" w:hAnsi="宋体" w:eastAsia="宋体" w:cs="宋体"/>
          <w:color w:val="auto"/>
          <w:sz w:val="24"/>
          <w:szCs w:val="24"/>
          <w:highlight w:val="none"/>
        </w:rPr>
        <w:t>解除</w:t>
      </w:r>
      <w:r>
        <w:rPr>
          <w:rFonts w:hint="eastAsia" w:ascii="宋体" w:hAnsi="宋体" w:eastAsia="宋体" w:cs="宋体"/>
          <w:color w:val="auto"/>
          <w:sz w:val="24"/>
          <w:szCs w:val="24"/>
          <w:highlight w:val="none"/>
          <w:lang w:val="en-US" w:eastAsia="zh-CN"/>
        </w:rPr>
        <w:t>合同，由此产生的一切经济损失由乙方承担；</w:t>
      </w:r>
    </w:p>
    <w:p w14:paraId="376598D5">
      <w:pPr>
        <w:keepNext w:val="0"/>
        <w:keepLines w:val="0"/>
        <w:pageBreakBefore w:val="0"/>
        <w:kinsoku/>
        <w:overflowPunct/>
        <w:topLinePunct w:val="0"/>
        <w:autoSpaceDE/>
        <w:autoSpaceDN/>
        <w:bidi w:val="0"/>
        <w:spacing w:line="48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 在服务期内的学期考核中连续2次不合格，甲方有权单方面</w:t>
      </w:r>
      <w:r>
        <w:rPr>
          <w:rFonts w:hint="eastAsia" w:ascii="宋体" w:hAnsi="宋体" w:eastAsia="宋体" w:cs="宋体"/>
          <w:color w:val="auto"/>
          <w:sz w:val="24"/>
          <w:szCs w:val="24"/>
          <w:highlight w:val="none"/>
        </w:rPr>
        <w:t>解除</w:t>
      </w:r>
      <w:r>
        <w:rPr>
          <w:rFonts w:hint="eastAsia" w:ascii="宋体" w:hAnsi="宋体" w:eastAsia="宋体" w:cs="宋体"/>
          <w:color w:val="auto"/>
          <w:sz w:val="24"/>
          <w:szCs w:val="24"/>
          <w:highlight w:val="none"/>
          <w:lang w:val="en-US" w:eastAsia="zh-CN"/>
        </w:rPr>
        <w:t>合同；</w:t>
      </w:r>
    </w:p>
    <w:p w14:paraId="4D7ACAD2">
      <w:pPr>
        <w:keepNext w:val="0"/>
        <w:keepLines w:val="0"/>
        <w:pageBreakBefore w:val="0"/>
        <w:kinsoku/>
        <w:overflowPunct/>
        <w:topLinePunct w:val="0"/>
        <w:autoSpaceDE/>
        <w:autoSpaceDN/>
        <w:bidi w:val="0"/>
        <w:spacing w:line="480" w:lineRule="exact"/>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 发生重大安全责任事故(如食品安全、设施安全、管理不到位导致人员伤亡等)；</w:t>
      </w:r>
    </w:p>
    <w:p w14:paraId="781BD38A">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 列入行业重点整治对象的（含省、市研学营地复评不合格）；</w:t>
      </w:r>
    </w:p>
    <w:p w14:paraId="39BD1ECC">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 发生严重负面舆情事件的；</w:t>
      </w:r>
    </w:p>
    <w:p w14:paraId="326D6198">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8. 发生意识形态安全事件的。</w:t>
      </w:r>
    </w:p>
    <w:p w14:paraId="7841E97C">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p>
    <w:p w14:paraId="79DCC241">
      <w:pPr>
        <w:keepNext w:val="0"/>
        <w:keepLines w:val="0"/>
        <w:pageBreakBefore w:val="0"/>
        <w:kinsoku/>
        <w:overflowPunct/>
        <w:topLinePunct w:val="0"/>
        <w:autoSpaceDE/>
        <w:autoSpaceDN/>
        <w:bidi w:val="0"/>
        <w:spacing w:line="48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第十</w:t>
      </w:r>
      <w:r>
        <w:rPr>
          <w:rFonts w:hint="eastAsia" w:ascii="宋体" w:hAnsi="宋体" w:eastAsia="宋体" w:cs="宋体"/>
          <w:b/>
          <w:color w:val="auto"/>
          <w:sz w:val="24"/>
          <w:szCs w:val="24"/>
          <w:highlight w:val="none"/>
          <w:lang w:val="en-US" w:eastAsia="zh-CN"/>
        </w:rPr>
        <w:t>一</w:t>
      </w:r>
      <w:r>
        <w:rPr>
          <w:rFonts w:hint="eastAsia" w:ascii="宋体" w:hAnsi="宋体" w:eastAsia="宋体" w:cs="宋体"/>
          <w:b/>
          <w:color w:val="auto"/>
          <w:sz w:val="24"/>
          <w:szCs w:val="24"/>
          <w:highlight w:val="none"/>
        </w:rPr>
        <w:t>部分：违约责任</w:t>
      </w:r>
    </w:p>
    <w:p w14:paraId="7C1512C7">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违约责任</w:t>
      </w:r>
    </w:p>
    <w:p w14:paraId="7B8CC0EB">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甲、乙双方应按照本合同约定严格履行义务，任何一方违约，应承担违约责任，给对方造成的损失，应赔偿对方损失。</w:t>
      </w:r>
    </w:p>
    <w:p w14:paraId="3C2C7652">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2.乙方未能完成每年的实践活动（公益实践活动低于   人）时，则甲方有权解除合同并要求乙方赔偿，非乙方原因导致除外。</w:t>
      </w:r>
    </w:p>
    <w:p w14:paraId="73284FB7">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3.乙方导致师生等人员伤亡，乙方除了承担相关经济赔偿和法律责任外，还须向甲方支付违约金每受害人次</w:t>
      </w:r>
      <w:r>
        <w:rPr>
          <w:rFonts w:hint="eastAsia" w:ascii="宋体" w:hAnsi="宋体" w:eastAsia="宋体" w:cs="宋体"/>
          <w:color w:val="auto"/>
          <w:sz w:val="24"/>
          <w:szCs w:val="24"/>
          <w:highlight w:val="none"/>
          <w:u w:val="single"/>
          <w:lang w:val="en-US" w:eastAsia="zh-CN"/>
        </w:rPr>
        <w:t xml:space="preserve">    万</w:t>
      </w:r>
      <w:r>
        <w:rPr>
          <w:rFonts w:hint="eastAsia" w:ascii="宋体" w:hAnsi="宋体" w:eastAsia="宋体" w:cs="宋体"/>
          <w:color w:val="auto"/>
          <w:sz w:val="24"/>
          <w:szCs w:val="24"/>
          <w:highlight w:val="none"/>
          <w:lang w:val="en-US" w:eastAsia="zh-CN"/>
        </w:rPr>
        <w:t>元。</w:t>
      </w:r>
    </w:p>
    <w:p w14:paraId="44C7970F">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4.乙方及乙方人员在委托运营管理过程中出现不良言行、宣传等导致不良社会舆情时，乙方除了承担相关经济赔偿和法律责任外，还须向甲方支付违约金每次</w:t>
      </w:r>
      <w:r>
        <w:rPr>
          <w:rFonts w:hint="eastAsia" w:ascii="宋体" w:hAnsi="宋体" w:eastAsia="宋体" w:cs="宋体"/>
          <w:color w:val="auto"/>
          <w:sz w:val="24"/>
          <w:szCs w:val="24"/>
          <w:highlight w:val="none"/>
          <w:u w:val="single"/>
          <w:lang w:val="en-US" w:eastAsia="zh-CN"/>
        </w:rPr>
        <w:t xml:space="preserve">    万</w:t>
      </w:r>
      <w:r>
        <w:rPr>
          <w:rFonts w:hint="eastAsia" w:ascii="宋体" w:hAnsi="宋体" w:eastAsia="宋体" w:cs="宋体"/>
          <w:color w:val="auto"/>
          <w:sz w:val="24"/>
          <w:szCs w:val="24"/>
          <w:highlight w:val="none"/>
          <w:lang w:val="en-US" w:eastAsia="zh-CN"/>
        </w:rPr>
        <w:t>元。</w:t>
      </w:r>
    </w:p>
    <w:p w14:paraId="386125B6">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5.如在委托运营管理期间发生安全（如实践活动意外）、消防等事故，乙方须妥善解决并全额赔偿相关款项。否则，如导致甲方垫付相关款项的，乙方须双倍赔偿给甲方。</w:t>
      </w:r>
    </w:p>
    <w:p w14:paraId="1CF54F6E">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6.每学期实践活动《师生满意度调查》平均分低于   分（未达标），甲方可扣除乙方相关款项金额的5%作为违约金。</w:t>
      </w:r>
    </w:p>
    <w:p w14:paraId="57B9CA76">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rPr>
        <w:t>除本合同另有约定外，任何一方中途退出，需提前三个月通知对方。经双方协商一致后方可解除本合同。因此给对方造成经济损失的，应全额赔偿对方的损失</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但政策原因不可抗力除外。</w:t>
      </w:r>
    </w:p>
    <w:p w14:paraId="10F6A656">
      <w:pPr>
        <w:keepNext w:val="0"/>
        <w:keepLines w:val="0"/>
        <w:pageBreakBefore w:val="0"/>
        <w:kinsoku/>
        <w:overflowPunct/>
        <w:topLinePunct w:val="0"/>
        <w:autoSpaceDE/>
        <w:autoSpaceDN/>
        <w:bidi w:val="0"/>
        <w:spacing w:line="480" w:lineRule="exact"/>
        <w:textAlignment w:val="auto"/>
        <w:rPr>
          <w:rFonts w:hint="eastAsia" w:ascii="宋体" w:hAnsi="宋体" w:eastAsia="宋体" w:cs="宋体"/>
          <w:b/>
          <w:color w:val="auto"/>
          <w:sz w:val="24"/>
          <w:szCs w:val="24"/>
          <w:highlight w:val="none"/>
        </w:rPr>
      </w:pPr>
    </w:p>
    <w:p w14:paraId="1AC96C1F">
      <w:pPr>
        <w:keepNext w:val="0"/>
        <w:keepLines w:val="0"/>
        <w:pageBreakBefore w:val="0"/>
        <w:kinsoku/>
        <w:overflowPunct/>
        <w:topLinePunct w:val="0"/>
        <w:autoSpaceDE/>
        <w:autoSpaceDN/>
        <w:bidi w:val="0"/>
        <w:spacing w:line="48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第十</w:t>
      </w:r>
      <w:r>
        <w:rPr>
          <w:rFonts w:hint="eastAsia" w:ascii="宋体" w:hAnsi="宋体" w:eastAsia="宋体" w:cs="宋体"/>
          <w:b/>
          <w:color w:val="auto"/>
          <w:sz w:val="24"/>
          <w:szCs w:val="24"/>
          <w:highlight w:val="none"/>
          <w:lang w:val="en-US" w:eastAsia="zh-CN"/>
        </w:rPr>
        <w:t>二</w:t>
      </w:r>
      <w:r>
        <w:rPr>
          <w:rFonts w:hint="eastAsia" w:ascii="宋体" w:hAnsi="宋体" w:eastAsia="宋体" w:cs="宋体"/>
          <w:b/>
          <w:color w:val="auto"/>
          <w:sz w:val="24"/>
          <w:szCs w:val="24"/>
          <w:highlight w:val="none"/>
        </w:rPr>
        <w:t>部分：知识产权及合法性</w:t>
      </w:r>
    </w:p>
    <w:p w14:paraId="7CF32D4E">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知识产权</w:t>
      </w:r>
    </w:p>
    <w:p w14:paraId="4CA089A5">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本项目对合同签订前所有的有形资产和无形资产，均由甲方开发并拥有合法所有权</w:t>
      </w:r>
      <w:r>
        <w:rPr>
          <w:rFonts w:hint="eastAsia" w:ascii="宋体" w:hAnsi="宋体" w:eastAsia="宋体" w:cs="宋体"/>
          <w:strike w:val="0"/>
          <w:dstrike w:val="0"/>
          <w:color w:val="auto"/>
          <w:sz w:val="24"/>
          <w:szCs w:val="24"/>
          <w:highlight w:val="none"/>
        </w:rPr>
        <w:t>。</w:t>
      </w:r>
    </w:p>
    <w:p w14:paraId="64563B54">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合同期内，</w:t>
      </w:r>
      <w:r>
        <w:rPr>
          <w:rFonts w:hint="eastAsia" w:ascii="宋体" w:hAnsi="宋体" w:eastAsia="宋体" w:cs="宋体"/>
          <w:color w:val="auto"/>
          <w:sz w:val="24"/>
          <w:szCs w:val="24"/>
          <w:highlight w:val="none"/>
        </w:rPr>
        <w:t>乙方对授权业务的相关课程、技术、宣传材料（文字材料、图示、图片等）、标识等已取得合法使用的权利。未经乙方事先书面许可，</w:t>
      </w:r>
      <w:r>
        <w:rPr>
          <w:rFonts w:hint="eastAsia" w:ascii="宋体" w:hAnsi="宋体" w:eastAsia="宋体" w:cs="宋体"/>
          <w:color w:val="auto"/>
          <w:sz w:val="24"/>
          <w:szCs w:val="24"/>
          <w:highlight w:val="none"/>
          <w:lang w:eastAsia="zh-CN"/>
        </w:rPr>
        <w:t>甲方</w:t>
      </w:r>
      <w:r>
        <w:rPr>
          <w:rFonts w:hint="eastAsia" w:ascii="宋体" w:hAnsi="宋体" w:eastAsia="宋体" w:cs="宋体"/>
          <w:color w:val="auto"/>
          <w:sz w:val="24"/>
          <w:szCs w:val="24"/>
          <w:highlight w:val="none"/>
        </w:rPr>
        <w:t>不得允许他人</w:t>
      </w:r>
      <w:r>
        <w:rPr>
          <w:rFonts w:hint="eastAsia" w:ascii="宋体" w:hAnsi="宋体" w:eastAsia="宋体" w:cs="宋体"/>
          <w:strike w:val="0"/>
          <w:dstrike w:val="0"/>
          <w:color w:val="auto"/>
          <w:sz w:val="24"/>
          <w:szCs w:val="24"/>
          <w:highlight w:val="none"/>
          <w:lang w:eastAsia="zh-CN"/>
        </w:rPr>
        <w:t>将</w:t>
      </w:r>
      <w:r>
        <w:rPr>
          <w:rFonts w:hint="eastAsia" w:ascii="宋体" w:hAnsi="宋体" w:eastAsia="宋体" w:cs="宋体"/>
          <w:color w:val="auto"/>
          <w:sz w:val="24"/>
          <w:szCs w:val="24"/>
          <w:highlight w:val="none"/>
          <w:shd w:val="clear" w:color="auto" w:fill="auto"/>
        </w:rPr>
        <w:t>该</w:t>
      </w:r>
      <w:r>
        <w:rPr>
          <w:rFonts w:hint="eastAsia" w:ascii="宋体" w:hAnsi="宋体" w:eastAsia="宋体" w:cs="宋体"/>
          <w:color w:val="auto"/>
          <w:sz w:val="24"/>
          <w:szCs w:val="24"/>
          <w:highlight w:val="none"/>
        </w:rPr>
        <w:t>知识产权</w:t>
      </w:r>
      <w:r>
        <w:rPr>
          <w:rFonts w:hint="eastAsia" w:ascii="宋体" w:hAnsi="宋体" w:eastAsia="宋体" w:cs="宋体"/>
          <w:strike w:val="0"/>
          <w:dstrike w:val="0"/>
          <w:color w:val="auto"/>
          <w:sz w:val="24"/>
          <w:szCs w:val="24"/>
          <w:highlight w:val="none"/>
          <w:lang w:eastAsia="zh-CN"/>
        </w:rPr>
        <w:t>用于商业</w:t>
      </w:r>
      <w:r>
        <w:rPr>
          <w:rFonts w:hint="eastAsia" w:ascii="宋体" w:hAnsi="宋体" w:eastAsia="宋体" w:cs="宋体"/>
          <w:color w:val="auto"/>
          <w:sz w:val="24"/>
          <w:szCs w:val="24"/>
          <w:highlight w:val="none"/>
        </w:rPr>
        <w:t>行为；</w:t>
      </w:r>
      <w:r>
        <w:rPr>
          <w:rFonts w:hint="eastAsia" w:ascii="宋体" w:hAnsi="宋体" w:eastAsia="宋体" w:cs="宋体"/>
          <w:color w:val="auto"/>
          <w:sz w:val="24"/>
          <w:szCs w:val="24"/>
          <w:highlight w:val="none"/>
          <w:lang w:eastAsia="zh-CN"/>
        </w:rPr>
        <w:t>乙方</w:t>
      </w:r>
      <w:r>
        <w:rPr>
          <w:rFonts w:hint="eastAsia" w:ascii="宋体" w:hAnsi="宋体" w:eastAsia="宋体" w:cs="宋体"/>
          <w:color w:val="auto"/>
          <w:sz w:val="24"/>
          <w:szCs w:val="24"/>
          <w:highlight w:val="none"/>
        </w:rPr>
        <w:t>未经</w:t>
      </w:r>
      <w:r>
        <w:rPr>
          <w:rFonts w:hint="eastAsia" w:ascii="宋体" w:hAnsi="宋体" w:eastAsia="宋体" w:cs="宋体"/>
          <w:color w:val="auto"/>
          <w:sz w:val="24"/>
          <w:szCs w:val="24"/>
          <w:highlight w:val="none"/>
          <w:lang w:eastAsia="zh-CN"/>
        </w:rPr>
        <w:t>甲</w:t>
      </w:r>
      <w:r>
        <w:rPr>
          <w:rFonts w:hint="eastAsia" w:ascii="宋体" w:hAnsi="宋体" w:eastAsia="宋体" w:cs="宋体"/>
          <w:color w:val="auto"/>
          <w:sz w:val="24"/>
          <w:szCs w:val="24"/>
          <w:highlight w:val="none"/>
        </w:rPr>
        <w:t>方事先书面许可</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不得</w:t>
      </w:r>
      <w:r>
        <w:rPr>
          <w:rFonts w:hint="eastAsia" w:ascii="宋体" w:hAnsi="宋体" w:eastAsia="宋体" w:cs="宋体"/>
          <w:strike w:val="0"/>
          <w:dstrike w:val="0"/>
          <w:color w:val="auto"/>
          <w:sz w:val="24"/>
          <w:szCs w:val="24"/>
          <w:highlight w:val="none"/>
          <w:lang w:eastAsia="zh-CN"/>
        </w:rPr>
        <w:t>将</w:t>
      </w:r>
      <w:r>
        <w:rPr>
          <w:rFonts w:hint="eastAsia" w:ascii="宋体" w:hAnsi="宋体" w:eastAsia="宋体" w:cs="宋体"/>
          <w:color w:val="auto"/>
          <w:sz w:val="24"/>
          <w:szCs w:val="24"/>
          <w:highlight w:val="none"/>
          <w:shd w:val="clear" w:color="auto" w:fill="auto"/>
        </w:rPr>
        <w:t>该</w:t>
      </w:r>
      <w:r>
        <w:rPr>
          <w:rFonts w:hint="eastAsia" w:ascii="宋体" w:hAnsi="宋体" w:eastAsia="宋体" w:cs="宋体"/>
          <w:color w:val="auto"/>
          <w:sz w:val="24"/>
          <w:szCs w:val="24"/>
          <w:highlight w:val="none"/>
        </w:rPr>
        <w:t>知识产权</w:t>
      </w:r>
      <w:r>
        <w:rPr>
          <w:rFonts w:hint="eastAsia" w:ascii="宋体" w:hAnsi="宋体" w:eastAsia="宋体" w:cs="宋体"/>
          <w:strike w:val="0"/>
          <w:dstrike w:val="0"/>
          <w:color w:val="auto"/>
          <w:sz w:val="24"/>
          <w:szCs w:val="24"/>
          <w:highlight w:val="none"/>
          <w:lang w:eastAsia="zh-CN"/>
        </w:rPr>
        <w:t>用于本项目外。</w:t>
      </w:r>
    </w:p>
    <w:p w14:paraId="6978EE30">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未经乙方事先书面授权，甲方不得使用乙方的商号、商标、服务标志、企业名称等明确代表乙方的标志、标识、用语等进行任何活动。即使是经乙方事先书面授权的使用，甲方也应当保证其使用不加带任何与本合同无关的内容或目的并不超出乙方书面同意授权使用的范围；同时，该种使用也不应可能使任何第三人产生诸如乙方为甲方的分支机构、关联公司或合伙人之类或有其他超出本合同规定之委托托管关系的误解；</w:t>
      </w:r>
    </w:p>
    <w:p w14:paraId="502B8A4C">
      <w:pPr>
        <w:keepNext w:val="0"/>
        <w:keepLines w:val="0"/>
        <w:pageBreakBefore w:val="0"/>
        <w:kinsoku/>
        <w:overflowPunct/>
        <w:topLinePunct w:val="0"/>
        <w:autoSpaceDE/>
        <w:autoSpaceDN/>
        <w:bidi w:val="0"/>
        <w:spacing w:line="480" w:lineRule="exact"/>
        <w:textAlignment w:val="auto"/>
        <w:rPr>
          <w:rFonts w:hint="eastAsia" w:ascii="宋体" w:hAnsi="宋体" w:eastAsia="宋体" w:cs="宋体"/>
          <w:b/>
          <w:color w:val="auto"/>
          <w:sz w:val="24"/>
          <w:szCs w:val="24"/>
          <w:highlight w:val="none"/>
        </w:rPr>
      </w:pPr>
    </w:p>
    <w:p w14:paraId="075C6EDF">
      <w:pPr>
        <w:keepNext w:val="0"/>
        <w:keepLines w:val="0"/>
        <w:pageBreakBefore w:val="0"/>
        <w:kinsoku/>
        <w:overflowPunct/>
        <w:topLinePunct w:val="0"/>
        <w:autoSpaceDE/>
        <w:autoSpaceDN/>
        <w:bidi w:val="0"/>
        <w:spacing w:line="48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第十</w:t>
      </w:r>
      <w:r>
        <w:rPr>
          <w:rFonts w:hint="eastAsia" w:ascii="宋体" w:hAnsi="宋体" w:eastAsia="宋体" w:cs="宋体"/>
          <w:b/>
          <w:color w:val="auto"/>
          <w:sz w:val="24"/>
          <w:szCs w:val="24"/>
          <w:highlight w:val="none"/>
          <w:lang w:val="en-US" w:eastAsia="zh-CN"/>
        </w:rPr>
        <w:t>三</w:t>
      </w:r>
      <w:r>
        <w:rPr>
          <w:rFonts w:hint="eastAsia" w:ascii="宋体" w:hAnsi="宋体" w:eastAsia="宋体" w:cs="宋体"/>
          <w:b/>
          <w:color w:val="auto"/>
          <w:sz w:val="24"/>
          <w:szCs w:val="24"/>
          <w:highlight w:val="none"/>
        </w:rPr>
        <w:t>部分：保密条款</w:t>
      </w:r>
    </w:p>
    <w:p w14:paraId="056BF9B5">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保密义务</w:t>
      </w:r>
    </w:p>
    <w:p w14:paraId="0C30ECF2">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双方应当对本合同的内容、因履行本合同或在本合同期间获得的或收到的他方的商务、财务、技术、产品的信息、用户资料或其他标明保密的文件或信息的内容（简称“保密资料”）保守秘密，未经信息披露方书面事先同意，不得向本合同以外的任何第三方披露。</w:t>
      </w:r>
    </w:p>
    <w:p w14:paraId="25E06AC1">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本合同终止或解除后，资料接受方必须在合同终止或解除后3个工作日内将保密资料全部返还资料披露方，并销毁所有复制件。</w:t>
      </w:r>
    </w:p>
    <w:p w14:paraId="40F1DD63">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本保密义务应在本合同期满、解除或终止后仍然有效。</w:t>
      </w:r>
    </w:p>
    <w:p w14:paraId="18A8081C">
      <w:pPr>
        <w:keepNext w:val="0"/>
        <w:keepLines w:val="0"/>
        <w:pageBreakBefore w:val="0"/>
        <w:kinsoku/>
        <w:overflowPunct/>
        <w:topLinePunct w:val="0"/>
        <w:autoSpaceDE/>
        <w:autoSpaceDN/>
        <w:bidi w:val="0"/>
        <w:spacing w:line="480" w:lineRule="exact"/>
        <w:textAlignment w:val="auto"/>
        <w:rPr>
          <w:rFonts w:hint="eastAsia" w:ascii="宋体" w:hAnsi="宋体" w:eastAsia="宋体" w:cs="宋体"/>
          <w:b/>
          <w:color w:val="auto"/>
          <w:sz w:val="24"/>
          <w:szCs w:val="24"/>
          <w:highlight w:val="none"/>
        </w:rPr>
      </w:pPr>
    </w:p>
    <w:p w14:paraId="61C0B0DF">
      <w:pPr>
        <w:keepNext w:val="0"/>
        <w:keepLines w:val="0"/>
        <w:pageBreakBefore w:val="0"/>
        <w:kinsoku/>
        <w:overflowPunct/>
        <w:topLinePunct w:val="0"/>
        <w:autoSpaceDE/>
        <w:autoSpaceDN/>
        <w:bidi w:val="0"/>
        <w:spacing w:line="48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第十</w:t>
      </w:r>
      <w:r>
        <w:rPr>
          <w:rFonts w:hint="eastAsia" w:ascii="宋体" w:hAnsi="宋体" w:eastAsia="宋体" w:cs="宋体"/>
          <w:b/>
          <w:color w:val="auto"/>
          <w:sz w:val="24"/>
          <w:szCs w:val="24"/>
          <w:highlight w:val="none"/>
          <w:lang w:val="en-US" w:eastAsia="zh-CN"/>
        </w:rPr>
        <w:t>四</w:t>
      </w:r>
      <w:r>
        <w:rPr>
          <w:rFonts w:hint="eastAsia" w:ascii="宋体" w:hAnsi="宋体" w:eastAsia="宋体" w:cs="宋体"/>
          <w:b/>
          <w:color w:val="auto"/>
          <w:sz w:val="24"/>
          <w:szCs w:val="24"/>
          <w:highlight w:val="none"/>
        </w:rPr>
        <w:t>部分：争议解决</w:t>
      </w:r>
    </w:p>
    <w:p w14:paraId="315B02AB">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争议解决</w:t>
      </w:r>
    </w:p>
    <w:p w14:paraId="52F642B2">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由本合同产生或与本合同有关的一切争议，双方应首先尝试通过友好磋商解决问题。若在一方向另一方通知该争议后30日内不能解决，那么任何一方可以将争议提交</w:t>
      </w:r>
      <w:r>
        <w:rPr>
          <w:rFonts w:hint="eastAsia" w:ascii="宋体" w:hAnsi="宋体" w:eastAsia="宋体" w:cs="宋体"/>
          <w:color w:val="auto"/>
          <w:sz w:val="24"/>
          <w:szCs w:val="24"/>
          <w:highlight w:val="none"/>
          <w:lang w:val="en-US" w:eastAsia="zh-CN"/>
        </w:rPr>
        <w:t>甲方所在</w:t>
      </w:r>
      <w:r>
        <w:rPr>
          <w:rFonts w:hint="eastAsia" w:ascii="宋体" w:hAnsi="宋体" w:eastAsia="宋体" w:cs="宋体"/>
          <w:color w:val="auto"/>
          <w:sz w:val="24"/>
          <w:szCs w:val="24"/>
          <w:highlight w:val="none"/>
        </w:rPr>
        <w:t>地有管辖权的人民法院诉讼解决。</w:t>
      </w:r>
    </w:p>
    <w:p w14:paraId="6FC7FE50">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在上述磋商或诉讼期间，双方应继续履行争议部分之外的本合同项下各自义务。</w:t>
      </w:r>
    </w:p>
    <w:p w14:paraId="48DE0B4E">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由此产生的诉讼费、评估费、鉴定费、合理律师费、差旅费</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保全担保（保险）费</w:t>
      </w:r>
      <w:r>
        <w:rPr>
          <w:rFonts w:hint="eastAsia" w:ascii="宋体" w:hAnsi="宋体" w:eastAsia="宋体" w:cs="宋体"/>
          <w:color w:val="auto"/>
          <w:sz w:val="24"/>
          <w:szCs w:val="24"/>
          <w:highlight w:val="none"/>
        </w:rPr>
        <w:t>等一切相关费用均由败诉方承担。</w:t>
      </w:r>
    </w:p>
    <w:p w14:paraId="486A89F0">
      <w:pPr>
        <w:keepNext w:val="0"/>
        <w:keepLines w:val="0"/>
        <w:pageBreakBefore w:val="0"/>
        <w:kinsoku/>
        <w:overflowPunct/>
        <w:topLinePunct w:val="0"/>
        <w:autoSpaceDE/>
        <w:autoSpaceDN/>
        <w:bidi w:val="0"/>
        <w:spacing w:line="480" w:lineRule="exact"/>
        <w:textAlignment w:val="auto"/>
        <w:rPr>
          <w:rFonts w:hint="eastAsia" w:ascii="宋体" w:hAnsi="宋体" w:eastAsia="宋体" w:cs="宋体"/>
          <w:b/>
          <w:color w:val="auto"/>
          <w:sz w:val="24"/>
          <w:szCs w:val="24"/>
          <w:highlight w:val="none"/>
        </w:rPr>
      </w:pPr>
    </w:p>
    <w:p w14:paraId="38581A15">
      <w:pPr>
        <w:keepNext w:val="0"/>
        <w:keepLines w:val="0"/>
        <w:pageBreakBefore w:val="0"/>
        <w:kinsoku/>
        <w:overflowPunct/>
        <w:topLinePunct w:val="0"/>
        <w:autoSpaceDE/>
        <w:autoSpaceDN/>
        <w:bidi w:val="0"/>
        <w:spacing w:line="480" w:lineRule="exact"/>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第十</w:t>
      </w:r>
      <w:r>
        <w:rPr>
          <w:rFonts w:hint="eastAsia" w:ascii="宋体" w:hAnsi="宋体" w:eastAsia="宋体" w:cs="宋体"/>
          <w:b/>
          <w:color w:val="auto"/>
          <w:sz w:val="24"/>
          <w:szCs w:val="24"/>
          <w:highlight w:val="none"/>
          <w:lang w:val="en-US" w:eastAsia="zh-CN"/>
        </w:rPr>
        <w:t>五</w:t>
      </w:r>
      <w:r>
        <w:rPr>
          <w:rFonts w:hint="eastAsia" w:ascii="宋体" w:hAnsi="宋体" w:eastAsia="宋体" w:cs="宋体"/>
          <w:b/>
          <w:color w:val="auto"/>
          <w:sz w:val="24"/>
          <w:szCs w:val="24"/>
          <w:highlight w:val="none"/>
        </w:rPr>
        <w:t>部分：不可抗力</w:t>
      </w:r>
    </w:p>
    <w:p w14:paraId="0687CA09">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不可抗力</w:t>
      </w:r>
    </w:p>
    <w:p w14:paraId="49B00FFB">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出现不可抗力，双方在本合同中的义务在不可抗力影响范围及其持续期间内将中止履行。任何一方不应承担由于其控制范围之外的不可抗力原因造成的未能履行其本合同义务的责任。“不可抗力”取《中华人民共和国民法典》的有关定义。</w:t>
      </w:r>
    </w:p>
    <w:p w14:paraId="483EC17F">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声称遭受不可抗力的一方应在不可抗力发生后不迟于十五（15）日通知另一方，并随附经有关部门确认的不可抗力书面证明，且应尽可能减少不可抗力所产生之影响。</w:t>
      </w:r>
    </w:p>
    <w:p w14:paraId="443E96E5">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如果发生不可抗力，双方应立即协商解决问题的方案。如果不可抗力持续三十（30）日以上，且对本合同之履行产生重大不利影响，则任何一方均可终止本合同。</w:t>
      </w:r>
    </w:p>
    <w:p w14:paraId="670EAAD0">
      <w:pPr>
        <w:keepNext w:val="0"/>
        <w:keepLines w:val="0"/>
        <w:pageBreakBefore w:val="0"/>
        <w:kinsoku/>
        <w:overflowPunct/>
        <w:topLinePunct w:val="0"/>
        <w:autoSpaceDE/>
        <w:autoSpaceDN/>
        <w:bidi w:val="0"/>
        <w:spacing w:line="480" w:lineRule="exact"/>
        <w:ind w:firstLine="482" w:firstLineChars="200"/>
        <w:textAlignment w:val="auto"/>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第十</w:t>
      </w:r>
      <w:r>
        <w:rPr>
          <w:rFonts w:hint="eastAsia" w:ascii="宋体" w:hAnsi="宋体" w:eastAsia="宋体" w:cs="宋体"/>
          <w:b/>
          <w:color w:val="auto"/>
          <w:sz w:val="24"/>
          <w:szCs w:val="24"/>
          <w:highlight w:val="none"/>
          <w:lang w:val="en-US" w:eastAsia="zh-CN"/>
        </w:rPr>
        <w:t>六</w:t>
      </w:r>
      <w:r>
        <w:rPr>
          <w:rFonts w:hint="eastAsia" w:ascii="宋体" w:hAnsi="宋体" w:eastAsia="宋体" w:cs="宋体"/>
          <w:b/>
          <w:color w:val="auto"/>
          <w:sz w:val="24"/>
          <w:szCs w:val="24"/>
          <w:highlight w:val="none"/>
        </w:rPr>
        <w:t>部分：其他</w:t>
      </w:r>
    </w:p>
    <w:p w14:paraId="0BD19E4E">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其他条款</w:t>
      </w:r>
    </w:p>
    <w:p w14:paraId="2FD1B992">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本合同一经签署将自动取代双方之间就委托托管事宜先前达成的所有口头和书面的合同、备忘录或其他约定。</w:t>
      </w:r>
    </w:p>
    <w:p w14:paraId="48329C09">
      <w:pPr>
        <w:spacing w:line="360" w:lineRule="auto"/>
        <w:ind w:firstLine="480" w:firstLineChars="200"/>
        <w:rPr>
          <w:rFonts w:hint="eastAsia" w:ascii="宋体" w:hAnsi="宋体" w:eastAsia="宋体" w:cs="宋体"/>
          <w:color w:val="auto"/>
          <w:sz w:val="24"/>
          <w:szCs w:val="24"/>
          <w:highlight w:val="none"/>
          <w:u w:val="none"/>
          <w:shd w:val="clear" w:color="auto" w:fill="auto"/>
          <w:lang w:val="en-US" w:eastAsia="zh-CN"/>
        </w:rPr>
      </w:pPr>
      <w:r>
        <w:rPr>
          <w:rFonts w:hint="eastAsia" w:ascii="宋体" w:hAnsi="宋体" w:eastAsia="宋体" w:cs="宋体"/>
          <w:color w:val="auto"/>
          <w:sz w:val="24"/>
          <w:szCs w:val="24"/>
          <w:highlight w:val="none"/>
          <w:lang w:val="en-US" w:eastAsia="zh-CN"/>
        </w:rPr>
        <w:t>甲方现有5个合同未执行完毕：饭堂小卖部承办经营项目（2026年9月30日合同到期）、中小学综合实践活动课程组织实施团队项目（2026年7月31日合同到期）、物业服务、安保服务和消防维保及年度检测项目（以上3个合同2025年12月31日到期）。以上合同，</w:t>
      </w:r>
      <w:r>
        <w:rPr>
          <w:rFonts w:hint="eastAsia" w:ascii="宋体" w:hAnsi="宋体" w:eastAsia="宋体" w:cs="宋体"/>
          <w:color w:val="auto"/>
          <w:sz w:val="24"/>
          <w:szCs w:val="24"/>
          <w:highlight w:val="none"/>
          <w:u w:val="none"/>
          <w:shd w:val="clear" w:color="auto" w:fill="auto"/>
          <w:lang w:val="en-US" w:eastAsia="zh-CN"/>
        </w:rPr>
        <w:t>乙方在与相关服务单位（5个合同中的乙方）及甲方签订补充协议后，统一移交给乙方，相关服务业务由乙方管理，相关的服务费由乙方在银行开设受甲方、乙方与银行三方共管的账户，经甲方审核同意后从三方共管账户中支付。</w:t>
      </w:r>
    </w:p>
    <w:p w14:paraId="6DC9F8E7">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待以上合同履约完成后，由乙方依法依规提供相对应的服务，相关的管理责任、费用由乙方负责，接受甲方的监管。</w:t>
      </w:r>
    </w:p>
    <w:p w14:paraId="534E9972">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highlight w:val="none"/>
          <w:lang w:val="en-US" w:eastAsia="zh-CN" w:bidi="ar-SA"/>
        </w:rPr>
        <w:t>乙方取得本项目中标资格后，合同签订前须在项目所在地（曲江区内）成立项目运营公司，项目公司享有乙方项下权力和承担的义务，且由项目公司负责本项目的运营、维护与移交，须签订三方协议。</w:t>
      </w:r>
    </w:p>
    <w:p w14:paraId="0F6DBAF4">
      <w:pPr>
        <w:keepNext w:val="0"/>
        <w:keepLines w:val="0"/>
        <w:pageBreakBefore w:val="0"/>
        <w:kinsoku/>
        <w:overflowPunct/>
        <w:topLinePunct w:val="0"/>
        <w:autoSpaceDE/>
        <w:autoSpaceDN/>
        <w:bidi w:val="0"/>
        <w:spacing w:line="48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本合同以中文制成，一式陆份，双方各执贰份，其余两份由上级管理部门留档，具有同等法律效力。</w:t>
      </w:r>
    </w:p>
    <w:p w14:paraId="3750D514">
      <w:pPr>
        <w:pStyle w:val="9"/>
        <w:spacing w:before="222" w:line="228" w:lineRule="auto"/>
        <w:rPr>
          <w:rFonts w:hint="eastAsia" w:ascii="宋体" w:hAnsi="宋体" w:eastAsia="宋体" w:cs="宋体"/>
          <w:b/>
          <w:color w:val="auto"/>
          <w:kern w:val="2"/>
          <w:sz w:val="24"/>
          <w:szCs w:val="24"/>
          <w:highlight w:val="none"/>
          <w:lang w:val="en-US" w:eastAsia="zh-CN" w:bidi="ar-SA"/>
        </w:rPr>
      </w:pPr>
    </w:p>
    <w:p w14:paraId="30286FD2">
      <w:pPr>
        <w:pStyle w:val="9"/>
        <w:spacing w:before="222" w:line="228" w:lineRule="auto"/>
        <w:rPr>
          <w:rFonts w:hint="eastAsia" w:ascii="宋体" w:hAnsi="宋体" w:eastAsia="宋体" w:cs="宋体"/>
          <w:b/>
          <w:strike/>
          <w:dstrike w:val="0"/>
          <w:color w:val="auto"/>
          <w:kern w:val="2"/>
          <w:sz w:val="24"/>
          <w:szCs w:val="24"/>
          <w:highlight w:val="none"/>
          <w:lang w:val="en-US" w:eastAsia="zh-CN" w:bidi="ar-SA"/>
        </w:rPr>
      </w:pPr>
      <w:r>
        <w:rPr>
          <w:rFonts w:hint="eastAsia" w:ascii="宋体" w:hAnsi="宋体" w:eastAsia="宋体" w:cs="宋体"/>
          <w:b/>
          <w:strike w:val="0"/>
          <w:dstrike w:val="0"/>
          <w:color w:val="auto"/>
          <w:kern w:val="2"/>
          <w:sz w:val="24"/>
          <w:szCs w:val="24"/>
          <w:highlight w:val="none"/>
          <w:lang w:val="en-US" w:eastAsia="zh-CN" w:bidi="ar-SA"/>
        </w:rPr>
        <w:t>十七部分：</w:t>
      </w:r>
      <w:r>
        <w:rPr>
          <w:rFonts w:hint="eastAsia" w:ascii="宋体" w:hAnsi="宋体" w:eastAsia="宋体" w:cs="宋体"/>
          <w:strike w:val="0"/>
          <w:dstrike w:val="0"/>
          <w:color w:val="auto"/>
          <w:kern w:val="2"/>
          <w:sz w:val="24"/>
          <w:szCs w:val="24"/>
          <w:highlight w:val="none"/>
          <w:lang w:val="en-US" w:eastAsia="zh-CN" w:bidi="ar-SA"/>
        </w:rPr>
        <w:t>考核标准</w:t>
      </w:r>
    </w:p>
    <w:p w14:paraId="3ECACE41">
      <w:pPr>
        <w:bidi w:val="0"/>
        <w:ind w:firstLine="720" w:firstLineChars="300"/>
        <w:jc w:val="both"/>
        <w:rPr>
          <w:rFonts w:hint="eastAsia" w:ascii="宋体" w:hAnsi="宋体" w:eastAsia="宋体" w:cs="宋体"/>
          <w:color w:val="auto"/>
          <w:sz w:val="24"/>
          <w:szCs w:val="24"/>
          <w:lang w:eastAsia="zh-CN"/>
        </w:rPr>
      </w:pPr>
    </w:p>
    <w:p w14:paraId="1EDBE524">
      <w:pPr>
        <w:bidi w:val="0"/>
        <w:ind w:firstLine="960" w:firstLineChars="400"/>
        <w:jc w:val="both"/>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韶关市</w:t>
      </w:r>
      <w:r>
        <w:rPr>
          <w:rFonts w:hint="eastAsia" w:ascii="宋体" w:hAnsi="宋体" w:eastAsia="宋体" w:cs="宋体"/>
          <w:color w:val="auto"/>
          <w:sz w:val="24"/>
          <w:szCs w:val="24"/>
        </w:rPr>
        <w:t>示范性综合实践基地</w:t>
      </w:r>
      <w:r>
        <w:rPr>
          <w:rFonts w:hint="eastAsia" w:ascii="宋体" w:hAnsi="宋体" w:eastAsia="宋体" w:cs="宋体"/>
          <w:color w:val="auto"/>
          <w:sz w:val="24"/>
          <w:szCs w:val="24"/>
          <w:lang w:eastAsia="zh-CN"/>
        </w:rPr>
        <w:t>委托运营管理</w:t>
      </w:r>
      <w:r>
        <w:rPr>
          <w:rFonts w:hint="eastAsia" w:ascii="宋体" w:hAnsi="宋体" w:eastAsia="宋体" w:cs="宋体"/>
          <w:color w:val="auto"/>
          <w:sz w:val="24"/>
          <w:szCs w:val="24"/>
        </w:rPr>
        <w:t>考核办法</w:t>
      </w:r>
      <w:r>
        <w:rPr>
          <w:rFonts w:hint="eastAsia" w:ascii="宋体" w:hAnsi="宋体" w:eastAsia="宋体" w:cs="宋体"/>
          <w:color w:val="auto"/>
          <w:sz w:val="24"/>
          <w:szCs w:val="24"/>
          <w:lang w:eastAsia="zh-CN"/>
        </w:rPr>
        <w:t>（试行）</w:t>
      </w:r>
    </w:p>
    <w:p w14:paraId="2EDBE9AB">
      <w:pPr>
        <w:bidi w:val="0"/>
        <w:ind w:firstLine="480" w:firstLineChars="200"/>
        <w:rPr>
          <w:rFonts w:hint="eastAsia" w:ascii="宋体" w:hAnsi="宋体" w:eastAsia="宋体" w:cs="宋体"/>
          <w:color w:val="auto"/>
          <w:sz w:val="24"/>
          <w:szCs w:val="24"/>
          <w:lang w:eastAsia="zh-CN"/>
        </w:rPr>
      </w:pPr>
    </w:p>
    <w:p w14:paraId="07D12C26">
      <w:pPr>
        <w:bidi w:val="0"/>
        <w:ind w:firstLine="480" w:firstLineChars="200"/>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为实现</w:t>
      </w:r>
      <w:r>
        <w:rPr>
          <w:rFonts w:hint="eastAsia" w:ascii="宋体" w:hAnsi="宋体" w:eastAsia="宋体" w:cs="宋体"/>
          <w:color w:val="auto"/>
          <w:sz w:val="24"/>
          <w:szCs w:val="24"/>
        </w:rPr>
        <w:t>示范性综合实践基地</w:t>
      </w:r>
      <w:r>
        <w:rPr>
          <w:rFonts w:hint="eastAsia" w:ascii="宋体" w:hAnsi="宋体" w:eastAsia="宋体" w:cs="宋体"/>
          <w:color w:val="auto"/>
          <w:sz w:val="24"/>
          <w:szCs w:val="24"/>
          <w:lang w:eastAsia="zh-CN"/>
        </w:rPr>
        <w:t>在委托运营及管理期间</w:t>
      </w:r>
      <w:r>
        <w:rPr>
          <w:rFonts w:hint="eastAsia" w:ascii="宋体" w:hAnsi="宋体" w:eastAsia="宋体" w:cs="宋体"/>
          <w:color w:val="auto"/>
          <w:sz w:val="24"/>
          <w:szCs w:val="24"/>
        </w:rPr>
        <w:t>的</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业务监管</w:t>
      </w:r>
      <w:r>
        <w:rPr>
          <w:rFonts w:hint="eastAsia" w:ascii="宋体" w:hAnsi="宋体" w:eastAsia="宋体" w:cs="宋体"/>
          <w:color w:val="auto"/>
          <w:sz w:val="24"/>
          <w:szCs w:val="24"/>
          <w:lang w:eastAsia="zh-CN"/>
        </w:rPr>
        <w:t>不缺位、服务质量有提升”目标，确保委托运营及管理服务</w:t>
      </w:r>
      <w:r>
        <w:rPr>
          <w:rFonts w:hint="eastAsia" w:ascii="宋体" w:hAnsi="宋体" w:eastAsia="宋体" w:cs="宋体"/>
          <w:color w:val="auto"/>
          <w:sz w:val="24"/>
          <w:szCs w:val="24"/>
        </w:rPr>
        <w:t>既符合政策要求，又能发挥</w:t>
      </w:r>
      <w:r>
        <w:rPr>
          <w:rFonts w:hint="eastAsia" w:ascii="宋体" w:hAnsi="宋体" w:eastAsia="宋体" w:cs="宋体"/>
          <w:color w:val="auto"/>
          <w:sz w:val="24"/>
          <w:szCs w:val="24"/>
          <w:lang w:eastAsia="zh-CN"/>
        </w:rPr>
        <w:t>运营及管理机构的</w:t>
      </w:r>
      <w:r>
        <w:rPr>
          <w:rFonts w:hint="eastAsia" w:ascii="宋体" w:hAnsi="宋体" w:eastAsia="宋体" w:cs="宋体"/>
          <w:color w:val="auto"/>
          <w:sz w:val="24"/>
          <w:szCs w:val="24"/>
        </w:rPr>
        <w:t>专业优势，实现基地“实践育人”的社会价值。</w:t>
      </w:r>
      <w:r>
        <w:rPr>
          <w:rFonts w:hint="eastAsia" w:ascii="宋体" w:hAnsi="宋体" w:eastAsia="宋体" w:cs="宋体"/>
          <w:color w:val="auto"/>
          <w:sz w:val="24"/>
          <w:szCs w:val="24"/>
          <w:lang w:eastAsia="zh-CN"/>
        </w:rPr>
        <w:t>特制定以下</w:t>
      </w:r>
      <w:r>
        <w:rPr>
          <w:rFonts w:hint="eastAsia" w:ascii="宋体" w:hAnsi="宋体" w:eastAsia="宋体" w:cs="宋体"/>
          <w:color w:val="auto"/>
          <w:sz w:val="24"/>
          <w:szCs w:val="24"/>
        </w:rPr>
        <w:t>考核办法</w:t>
      </w:r>
      <w:r>
        <w:rPr>
          <w:rFonts w:hint="eastAsia" w:ascii="宋体" w:hAnsi="宋体" w:eastAsia="宋体" w:cs="宋体"/>
          <w:color w:val="auto"/>
          <w:sz w:val="24"/>
          <w:szCs w:val="24"/>
          <w:lang w:eastAsia="zh-CN"/>
        </w:rPr>
        <w:t>。</w:t>
      </w:r>
    </w:p>
    <w:p w14:paraId="473E8865">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一、总则</w:t>
      </w:r>
    </w:p>
    <w:p w14:paraId="1BA84843">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1.目的：确保示范性综合实践基地的业务运营符合政策要求，提升服务质量与安全水平，实现教育功能与社会效益的最大化。</w:t>
      </w:r>
    </w:p>
    <w:p w14:paraId="4CA3C109">
      <w:pPr>
        <w:keepNext w:val="0"/>
        <w:keepLines w:val="0"/>
        <w:pageBreakBefore w:val="0"/>
        <w:widowControl w:val="0"/>
        <w:numPr>
          <w:ilvl w:val="0"/>
          <w:numId w:val="0"/>
        </w:numPr>
        <w:kinsoku/>
        <w:wordWrap/>
        <w:overflowPunct/>
        <w:topLinePunct w:val="0"/>
        <w:autoSpaceDE w:val="0"/>
        <w:autoSpaceDN/>
        <w:bidi w:val="0"/>
        <w:adjustRightInd/>
        <w:snapToGrid/>
        <w:spacing w:line="560" w:lineRule="exact"/>
        <w:ind w:left="0" w:leftChars="0" w:firstLine="480" w:firstLineChars="200"/>
        <w:textAlignment w:val="auto"/>
        <w:rPr>
          <w:rFonts w:hint="eastAsia" w:ascii="宋体" w:hAnsi="宋体" w:eastAsia="宋体" w:cs="宋体"/>
          <w:color w:val="auto"/>
          <w:sz w:val="24"/>
          <w:szCs w:val="24"/>
          <w:u w:val="none"/>
          <w:shd w:val="clear" w:color="auto" w:fill="auto"/>
          <w:lang w:eastAsia="zh-CN"/>
        </w:rPr>
      </w:pPr>
      <w:r>
        <w:rPr>
          <w:rFonts w:hint="eastAsia" w:ascii="宋体" w:hAnsi="宋体" w:eastAsia="宋体" w:cs="宋体"/>
          <w:color w:val="auto"/>
          <w:sz w:val="24"/>
          <w:szCs w:val="24"/>
        </w:rPr>
        <w:t>2.依据：相关教育政策文件及法律法规</w:t>
      </w:r>
      <w:r>
        <w:rPr>
          <w:rFonts w:hint="eastAsia" w:ascii="宋体" w:hAnsi="宋体" w:eastAsia="宋体" w:cs="宋体"/>
          <w:color w:val="auto"/>
          <w:sz w:val="24"/>
          <w:szCs w:val="24"/>
          <w:lang w:eastAsia="zh-CN"/>
        </w:rPr>
        <w:t>，包括：</w:t>
      </w:r>
      <w:r>
        <w:rPr>
          <w:rFonts w:hint="eastAsia" w:ascii="宋体" w:hAnsi="宋体" w:eastAsia="宋体" w:cs="宋体"/>
          <w:color w:val="auto"/>
          <w:sz w:val="24"/>
          <w:szCs w:val="24"/>
          <w:u w:val="none"/>
          <w:shd w:val="clear" w:color="auto" w:fill="auto"/>
        </w:rPr>
        <w:t>《示范性综合实践基地</w:t>
      </w:r>
      <w:r>
        <w:rPr>
          <w:rFonts w:hint="eastAsia" w:ascii="宋体" w:hAnsi="宋体" w:eastAsia="宋体" w:cs="宋体"/>
          <w:color w:val="auto"/>
          <w:sz w:val="24"/>
          <w:szCs w:val="24"/>
          <w:u w:val="none"/>
          <w:shd w:val="clear" w:color="auto" w:fill="auto"/>
          <w:lang w:eastAsia="zh-CN"/>
        </w:rPr>
        <w:t>实践</w:t>
      </w:r>
      <w:r>
        <w:rPr>
          <w:rFonts w:hint="eastAsia" w:ascii="宋体" w:hAnsi="宋体" w:eastAsia="宋体" w:cs="宋体"/>
          <w:color w:val="auto"/>
          <w:sz w:val="24"/>
          <w:szCs w:val="24"/>
          <w:u w:val="none"/>
          <w:shd w:val="clear" w:color="auto" w:fill="auto"/>
        </w:rPr>
        <w:t>活动指南》</w:t>
      </w:r>
      <w:r>
        <w:rPr>
          <w:rFonts w:hint="eastAsia" w:ascii="宋体" w:hAnsi="宋体" w:eastAsia="宋体" w:cs="宋体"/>
          <w:color w:val="auto"/>
          <w:sz w:val="24"/>
          <w:szCs w:val="24"/>
          <w:u w:val="none"/>
          <w:shd w:val="clear" w:color="auto" w:fill="auto"/>
          <w:lang w:eastAsia="zh-CN"/>
        </w:rPr>
        <w:t>（试行）、</w:t>
      </w:r>
      <w:r>
        <w:rPr>
          <w:rFonts w:hint="eastAsia" w:ascii="宋体" w:hAnsi="宋体" w:eastAsia="宋体" w:cs="宋体"/>
          <w:color w:val="auto"/>
          <w:sz w:val="24"/>
          <w:szCs w:val="24"/>
          <w:u w:val="none"/>
          <w:shd w:val="clear" w:color="auto" w:fill="auto"/>
        </w:rPr>
        <w:t>《中小学综合实践活动课程指导纲要》</w:t>
      </w:r>
      <w:r>
        <w:rPr>
          <w:rFonts w:hint="eastAsia" w:ascii="宋体" w:hAnsi="宋体" w:eastAsia="宋体" w:cs="宋体"/>
          <w:color w:val="auto"/>
          <w:sz w:val="24"/>
          <w:szCs w:val="24"/>
          <w:u w:val="none"/>
          <w:shd w:val="clear" w:color="auto" w:fill="auto"/>
          <w:lang w:eastAsia="zh-CN"/>
        </w:rPr>
        <w:t>、《广东省中小学研学实践教育基（营）地申报标准》、韶关市《研学旅行服务规范》。</w:t>
      </w:r>
    </w:p>
    <w:p w14:paraId="15728284">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3.适用范围：本考核办法适用于</w:t>
      </w:r>
      <w:r>
        <w:rPr>
          <w:rFonts w:hint="eastAsia" w:ascii="宋体" w:hAnsi="宋体" w:eastAsia="宋体" w:cs="宋体"/>
          <w:color w:val="auto"/>
          <w:sz w:val="24"/>
          <w:szCs w:val="24"/>
          <w:lang w:eastAsia="zh-CN"/>
        </w:rPr>
        <w:t>韶关市</w:t>
      </w:r>
      <w:r>
        <w:rPr>
          <w:rFonts w:hint="eastAsia" w:ascii="宋体" w:hAnsi="宋体" w:eastAsia="宋体" w:cs="宋体"/>
          <w:color w:val="auto"/>
          <w:sz w:val="24"/>
          <w:szCs w:val="24"/>
        </w:rPr>
        <w:t>示范性综合实践基地</w:t>
      </w:r>
      <w:r>
        <w:rPr>
          <w:rFonts w:hint="eastAsia" w:ascii="宋体" w:hAnsi="宋体" w:eastAsia="宋体" w:cs="宋体"/>
          <w:color w:val="auto"/>
          <w:sz w:val="24"/>
          <w:szCs w:val="24"/>
          <w:lang w:eastAsia="zh-CN"/>
        </w:rPr>
        <w:t>委托</w:t>
      </w:r>
      <w:r>
        <w:rPr>
          <w:rFonts w:hint="eastAsia" w:ascii="宋体" w:hAnsi="宋体" w:eastAsia="宋体" w:cs="宋体"/>
          <w:color w:val="auto"/>
          <w:sz w:val="24"/>
          <w:szCs w:val="24"/>
        </w:rPr>
        <w:t>运营管理的第三方机构。</w:t>
      </w:r>
    </w:p>
    <w:p w14:paraId="76AD35C0">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二、考核原则</w:t>
      </w:r>
    </w:p>
    <w:p w14:paraId="6383BB49">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1.公平公正：考核过程公开透明，确保考核结果的公正性。</w:t>
      </w:r>
    </w:p>
    <w:p w14:paraId="758BB669">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2.全面覆盖：考核内容涵盖教学、安全、运营等各个方面。</w:t>
      </w:r>
    </w:p>
    <w:p w14:paraId="479E8EB7">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3.动态调整：根据实际情况和反馈意见，适时调整考核标准和内容。</w:t>
      </w:r>
    </w:p>
    <w:p w14:paraId="7A30B916">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三、考核内容与标准</w:t>
      </w:r>
    </w:p>
    <w:p w14:paraId="71F7FFB9">
      <w:pPr>
        <w:bidi w:val="0"/>
        <w:ind w:firstLine="482" w:firstLineChars="200"/>
        <w:rPr>
          <w:rFonts w:hint="eastAsia" w:ascii="宋体" w:hAnsi="宋体" w:eastAsia="宋体" w:cs="宋体"/>
          <w:color w:val="auto"/>
          <w:sz w:val="24"/>
          <w:szCs w:val="24"/>
        </w:rPr>
      </w:pPr>
      <w:r>
        <w:rPr>
          <w:rFonts w:hint="eastAsia" w:ascii="宋体" w:hAnsi="宋体" w:eastAsia="宋体" w:cs="宋体"/>
          <w:b/>
          <w:bCs/>
          <w:color w:val="auto"/>
          <w:sz w:val="24"/>
          <w:szCs w:val="24"/>
        </w:rPr>
        <w:t>（一）</w:t>
      </w:r>
      <w:r>
        <w:rPr>
          <w:rFonts w:hint="eastAsia" w:ascii="宋体" w:hAnsi="宋体" w:eastAsia="宋体" w:cs="宋体"/>
          <w:b/>
          <w:bCs/>
          <w:color w:val="auto"/>
          <w:sz w:val="24"/>
          <w:szCs w:val="24"/>
          <w:lang w:eastAsia="zh-CN"/>
        </w:rPr>
        <w:t>实践活动</w:t>
      </w:r>
      <w:r>
        <w:rPr>
          <w:rFonts w:hint="eastAsia" w:ascii="宋体" w:hAnsi="宋体" w:eastAsia="宋体" w:cs="宋体"/>
          <w:b/>
          <w:bCs/>
          <w:color w:val="auto"/>
          <w:sz w:val="24"/>
          <w:szCs w:val="24"/>
        </w:rPr>
        <w:t>质量监管（</w:t>
      </w:r>
      <w:r>
        <w:rPr>
          <w:rFonts w:hint="eastAsia" w:ascii="宋体" w:hAnsi="宋体" w:eastAsia="宋体" w:cs="宋体"/>
          <w:b/>
          <w:bCs/>
          <w:color w:val="auto"/>
          <w:sz w:val="24"/>
          <w:szCs w:val="24"/>
          <w:lang w:val="en-US" w:eastAsia="zh-CN"/>
        </w:rPr>
        <w:t>5</w:t>
      </w:r>
      <w:r>
        <w:rPr>
          <w:rFonts w:hint="eastAsia" w:ascii="宋体" w:hAnsi="宋体" w:eastAsia="宋体" w:cs="宋体"/>
          <w:b/>
          <w:bCs/>
          <w:color w:val="auto"/>
          <w:sz w:val="24"/>
          <w:szCs w:val="24"/>
        </w:rPr>
        <w:t>0分）</w:t>
      </w:r>
    </w:p>
    <w:p w14:paraId="07C08A57">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1.课程审核（</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0分）</w:t>
      </w:r>
    </w:p>
    <w:p w14:paraId="25083EBB">
      <w:pPr>
        <w:bidi w:val="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（1）</w:t>
      </w:r>
      <w:r>
        <w:rPr>
          <w:rFonts w:hint="eastAsia" w:ascii="宋体" w:hAnsi="宋体" w:eastAsia="宋体" w:cs="宋体"/>
          <w:color w:val="auto"/>
          <w:sz w:val="24"/>
          <w:szCs w:val="24"/>
        </w:rPr>
        <w:t>课程内容：基于学生发展的实际需求，设计活动主题和具体内容，并选择相应的活动方式（</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分）</w:t>
      </w:r>
      <w:r>
        <w:rPr>
          <w:rFonts w:hint="eastAsia" w:ascii="宋体" w:hAnsi="宋体" w:eastAsia="宋体" w:cs="宋体"/>
          <w:color w:val="auto"/>
          <w:sz w:val="24"/>
          <w:szCs w:val="24"/>
          <w:lang w:eastAsia="zh-CN"/>
        </w:rPr>
        <w:t>。</w:t>
      </w:r>
    </w:p>
    <w:p w14:paraId="3C4EDCC8">
      <w:pPr>
        <w:bidi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（2）</w:t>
      </w:r>
      <w:r>
        <w:rPr>
          <w:rFonts w:hint="eastAsia" w:ascii="宋体" w:hAnsi="宋体" w:eastAsia="宋体" w:cs="宋体"/>
          <w:color w:val="auto"/>
          <w:sz w:val="24"/>
          <w:szCs w:val="24"/>
        </w:rPr>
        <w:t>课程</w:t>
      </w:r>
      <w:r>
        <w:rPr>
          <w:rFonts w:hint="eastAsia" w:ascii="宋体" w:hAnsi="宋体" w:eastAsia="宋体" w:cs="宋体"/>
          <w:color w:val="auto"/>
          <w:sz w:val="24"/>
          <w:szCs w:val="24"/>
          <w:lang w:eastAsia="zh-CN"/>
        </w:rPr>
        <w:t>实施</w:t>
      </w:r>
      <w:r>
        <w:rPr>
          <w:rFonts w:hint="eastAsia" w:ascii="宋体" w:hAnsi="宋体" w:eastAsia="宋体" w:cs="宋体"/>
          <w:color w:val="auto"/>
          <w:sz w:val="24"/>
          <w:szCs w:val="24"/>
        </w:rPr>
        <w:t>：课程的组织应遵循自主性、实践性、开放性的原则</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正确处理学生的自主选择、主动实践与教师的有效指导的关系（</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分）。</w:t>
      </w:r>
    </w:p>
    <w:p w14:paraId="4181C1E0">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2.课堂督导（</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0分）</w:t>
      </w:r>
    </w:p>
    <w:p w14:paraId="6B64BEDD">
      <w:pPr>
        <w:bidi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（1）实践活动</w:t>
      </w:r>
      <w:r>
        <w:rPr>
          <w:rFonts w:hint="eastAsia" w:ascii="宋体" w:hAnsi="宋体" w:eastAsia="宋体" w:cs="宋体"/>
          <w:color w:val="auto"/>
          <w:sz w:val="24"/>
          <w:szCs w:val="24"/>
        </w:rPr>
        <w:t>过程：</w:t>
      </w:r>
      <w:r>
        <w:rPr>
          <w:rFonts w:hint="eastAsia" w:ascii="宋体" w:hAnsi="宋体" w:eastAsia="宋体" w:cs="宋体"/>
          <w:color w:val="auto"/>
          <w:sz w:val="24"/>
          <w:szCs w:val="24"/>
          <w:lang w:eastAsia="zh-CN"/>
        </w:rPr>
        <w:t>实践活动</w:t>
      </w:r>
      <w:r>
        <w:rPr>
          <w:rFonts w:hint="eastAsia" w:ascii="宋体" w:hAnsi="宋体" w:eastAsia="宋体" w:cs="宋体"/>
          <w:color w:val="auto"/>
          <w:sz w:val="24"/>
          <w:szCs w:val="24"/>
        </w:rPr>
        <w:t>过程是否符合规范，是否注重学生参与和体验</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教师的</w:t>
      </w:r>
      <w:r>
        <w:rPr>
          <w:rFonts w:hint="eastAsia" w:ascii="宋体" w:hAnsi="宋体" w:eastAsia="宋体" w:cs="宋体"/>
          <w:color w:val="auto"/>
          <w:sz w:val="24"/>
          <w:szCs w:val="24"/>
          <w:lang w:eastAsia="zh-CN"/>
        </w:rPr>
        <w:t>是否</w:t>
      </w:r>
      <w:r>
        <w:rPr>
          <w:rFonts w:hint="eastAsia" w:ascii="宋体" w:hAnsi="宋体" w:eastAsia="宋体" w:cs="宋体"/>
          <w:color w:val="auto"/>
          <w:sz w:val="24"/>
          <w:szCs w:val="24"/>
        </w:rPr>
        <w:t>有效指导（</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分）。</w:t>
      </w:r>
    </w:p>
    <w:p w14:paraId="4AC57C39">
      <w:pPr>
        <w:bidi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（2）实践活动</w:t>
      </w:r>
      <w:r>
        <w:rPr>
          <w:rFonts w:hint="eastAsia" w:ascii="宋体" w:hAnsi="宋体" w:eastAsia="宋体" w:cs="宋体"/>
          <w:color w:val="auto"/>
          <w:sz w:val="24"/>
          <w:szCs w:val="24"/>
        </w:rPr>
        <w:t>效果：通过学生</w:t>
      </w:r>
      <w:r>
        <w:rPr>
          <w:rFonts w:hint="eastAsia" w:ascii="宋体" w:hAnsi="宋体" w:eastAsia="宋体" w:cs="宋体"/>
          <w:color w:val="auto"/>
          <w:sz w:val="24"/>
          <w:szCs w:val="24"/>
          <w:lang w:eastAsia="zh-CN"/>
        </w:rPr>
        <w:t>或</w:t>
      </w:r>
      <w:r>
        <w:rPr>
          <w:rFonts w:hint="eastAsia" w:ascii="宋体" w:hAnsi="宋体" w:eastAsia="宋体" w:cs="宋体"/>
          <w:color w:val="auto"/>
          <w:sz w:val="24"/>
          <w:szCs w:val="24"/>
        </w:rPr>
        <w:t>教师评价，评估</w:t>
      </w:r>
      <w:r>
        <w:rPr>
          <w:rFonts w:hint="eastAsia" w:ascii="宋体" w:hAnsi="宋体" w:eastAsia="宋体" w:cs="宋体"/>
          <w:color w:val="auto"/>
          <w:sz w:val="24"/>
          <w:szCs w:val="24"/>
          <w:lang w:eastAsia="zh-CN"/>
        </w:rPr>
        <w:t>实践活动</w:t>
      </w:r>
      <w:r>
        <w:rPr>
          <w:rFonts w:hint="eastAsia" w:ascii="宋体" w:hAnsi="宋体" w:eastAsia="宋体" w:cs="宋体"/>
          <w:color w:val="auto"/>
          <w:sz w:val="24"/>
          <w:szCs w:val="24"/>
        </w:rPr>
        <w:t>效果（</w:t>
      </w:r>
      <w:r>
        <w:rPr>
          <w:rFonts w:hint="eastAsia" w:ascii="宋体" w:hAnsi="宋体" w:eastAsia="宋体" w:cs="宋体"/>
          <w:color w:val="auto"/>
          <w:sz w:val="24"/>
          <w:szCs w:val="24"/>
          <w:lang w:val="en-US" w:eastAsia="zh-CN"/>
        </w:rPr>
        <w:t>10</w:t>
      </w:r>
      <w:r>
        <w:rPr>
          <w:rFonts w:hint="eastAsia" w:ascii="宋体" w:hAnsi="宋体" w:eastAsia="宋体" w:cs="宋体"/>
          <w:color w:val="auto"/>
          <w:sz w:val="24"/>
          <w:szCs w:val="24"/>
        </w:rPr>
        <w:t>分）。</w:t>
      </w:r>
    </w:p>
    <w:p w14:paraId="113944BE">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实践</w:t>
      </w:r>
      <w:r>
        <w:rPr>
          <w:rFonts w:hint="eastAsia" w:ascii="宋体" w:hAnsi="宋体" w:eastAsia="宋体" w:cs="宋体"/>
          <w:color w:val="auto"/>
          <w:sz w:val="24"/>
          <w:szCs w:val="24"/>
        </w:rPr>
        <w:t>成果评估（</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0分）</w:t>
      </w:r>
    </w:p>
    <w:p w14:paraId="4713F313">
      <w:pPr>
        <w:bidi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（1）</w:t>
      </w:r>
      <w:r>
        <w:rPr>
          <w:rFonts w:hint="eastAsia" w:ascii="宋体" w:hAnsi="宋体" w:eastAsia="宋体" w:cs="宋体"/>
          <w:color w:val="auto"/>
          <w:sz w:val="24"/>
          <w:szCs w:val="24"/>
        </w:rPr>
        <w:t>实践成果展示：学生实践成果是否丰富，是否达到预期目标（</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5分）。</w:t>
      </w:r>
    </w:p>
    <w:p w14:paraId="759843EC">
      <w:pPr>
        <w:bidi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（2）</w:t>
      </w:r>
      <w:r>
        <w:rPr>
          <w:rFonts w:hint="eastAsia" w:ascii="宋体" w:hAnsi="宋体" w:eastAsia="宋体" w:cs="宋体"/>
          <w:color w:val="auto"/>
          <w:sz w:val="24"/>
          <w:szCs w:val="24"/>
        </w:rPr>
        <w:t>成果反馈机制：是否有完善的成果反馈和改进机制（5分）。</w:t>
      </w:r>
    </w:p>
    <w:p w14:paraId="475D0C32">
      <w:pPr>
        <w:bidi w:val="0"/>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（二）安全管理监管（</w:t>
      </w:r>
      <w:r>
        <w:rPr>
          <w:rFonts w:hint="eastAsia" w:ascii="宋体" w:hAnsi="宋体" w:eastAsia="宋体" w:cs="宋体"/>
          <w:b/>
          <w:bCs/>
          <w:color w:val="auto"/>
          <w:sz w:val="24"/>
          <w:szCs w:val="24"/>
          <w:lang w:val="en-US" w:eastAsia="zh-CN"/>
        </w:rPr>
        <w:t>10</w:t>
      </w:r>
      <w:r>
        <w:rPr>
          <w:rFonts w:hint="eastAsia" w:ascii="宋体" w:hAnsi="宋体" w:eastAsia="宋体" w:cs="宋体"/>
          <w:b/>
          <w:bCs/>
          <w:color w:val="auto"/>
          <w:sz w:val="24"/>
          <w:szCs w:val="24"/>
        </w:rPr>
        <w:t>分）</w:t>
      </w:r>
    </w:p>
    <w:p w14:paraId="08E13684">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1.设施安全（</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w:t>
      </w:r>
    </w:p>
    <w:p w14:paraId="3CE1CAD3">
      <w:pPr>
        <w:bidi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设施设备是否</w:t>
      </w:r>
      <w:r>
        <w:rPr>
          <w:rFonts w:hint="eastAsia" w:ascii="宋体" w:hAnsi="宋体" w:eastAsia="宋体" w:cs="宋体"/>
          <w:color w:val="auto"/>
          <w:sz w:val="24"/>
          <w:szCs w:val="24"/>
          <w:lang w:eastAsia="zh-CN"/>
        </w:rPr>
        <w:t>存在安全隐患</w:t>
      </w:r>
      <w:r>
        <w:rPr>
          <w:rFonts w:hint="eastAsia" w:ascii="宋体" w:hAnsi="宋体" w:eastAsia="宋体" w:cs="宋体"/>
          <w:color w:val="auto"/>
          <w:sz w:val="24"/>
          <w:szCs w:val="24"/>
        </w:rPr>
        <w:t>。</w:t>
      </w:r>
    </w:p>
    <w:p w14:paraId="261C0ED6">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2.活动安全（</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分）</w:t>
      </w:r>
    </w:p>
    <w:p w14:paraId="0A57B84F">
      <w:pPr>
        <w:bidi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实践活动过程中是否存在</w:t>
      </w:r>
      <w:r>
        <w:rPr>
          <w:rFonts w:hint="eastAsia" w:ascii="宋体" w:hAnsi="宋体" w:eastAsia="宋体" w:cs="宋体"/>
          <w:color w:val="auto"/>
          <w:sz w:val="24"/>
          <w:szCs w:val="24"/>
          <w:lang w:eastAsia="zh-CN"/>
        </w:rPr>
        <w:t>安全隐患。</w:t>
      </w:r>
    </w:p>
    <w:p w14:paraId="4F3EBA3E">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3.食品安全（</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w:t>
      </w:r>
    </w:p>
    <w:p w14:paraId="54CB1643">
      <w:pPr>
        <w:bidi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eastAsia="zh-CN"/>
        </w:rPr>
        <w:t>食品安全是否</w:t>
      </w:r>
      <w:r>
        <w:rPr>
          <w:rFonts w:hint="eastAsia" w:ascii="宋体" w:hAnsi="宋体" w:eastAsia="宋体" w:cs="宋体"/>
          <w:color w:val="auto"/>
          <w:sz w:val="24"/>
          <w:szCs w:val="24"/>
          <w:lang w:val="en-US" w:eastAsia="zh-CN"/>
        </w:rPr>
        <w:t>存在</w:t>
      </w:r>
      <w:r>
        <w:rPr>
          <w:rFonts w:hint="eastAsia" w:ascii="宋体" w:hAnsi="宋体" w:eastAsia="宋体" w:cs="宋体"/>
          <w:color w:val="auto"/>
          <w:sz w:val="24"/>
          <w:szCs w:val="24"/>
          <w:lang w:eastAsia="zh-CN"/>
        </w:rPr>
        <w:t>安全隐患（含</w:t>
      </w:r>
      <w:r>
        <w:rPr>
          <w:rFonts w:hint="eastAsia" w:ascii="宋体" w:hAnsi="宋体" w:eastAsia="宋体" w:cs="宋体"/>
          <w:color w:val="auto"/>
          <w:sz w:val="24"/>
          <w:szCs w:val="24"/>
        </w:rPr>
        <w:t>抽检结果是否合格</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p>
    <w:p w14:paraId="72D32F68">
      <w:pPr>
        <w:bidi w:val="0"/>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（三）运营规范性监管（</w:t>
      </w:r>
      <w:r>
        <w:rPr>
          <w:rFonts w:hint="eastAsia" w:ascii="宋体" w:hAnsi="宋体" w:eastAsia="宋体" w:cs="宋体"/>
          <w:b/>
          <w:bCs/>
          <w:color w:val="auto"/>
          <w:sz w:val="24"/>
          <w:szCs w:val="24"/>
          <w:lang w:val="en-US" w:eastAsia="zh-CN"/>
        </w:rPr>
        <w:t>20</w:t>
      </w:r>
      <w:r>
        <w:rPr>
          <w:rFonts w:hint="eastAsia" w:ascii="宋体" w:hAnsi="宋体" w:eastAsia="宋体" w:cs="宋体"/>
          <w:b/>
          <w:bCs/>
          <w:color w:val="auto"/>
          <w:sz w:val="24"/>
          <w:szCs w:val="24"/>
        </w:rPr>
        <w:t>分）</w:t>
      </w:r>
    </w:p>
    <w:p w14:paraId="5918F9F1">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1.收费</w:t>
      </w:r>
      <w:r>
        <w:rPr>
          <w:rFonts w:hint="eastAsia" w:ascii="宋体" w:hAnsi="宋体" w:eastAsia="宋体" w:cs="宋体"/>
          <w:color w:val="auto"/>
          <w:sz w:val="24"/>
          <w:szCs w:val="24"/>
          <w:lang w:eastAsia="zh-CN"/>
        </w:rPr>
        <w:t>及缴费</w:t>
      </w:r>
      <w:r>
        <w:rPr>
          <w:rFonts w:hint="eastAsia" w:ascii="宋体" w:hAnsi="宋体" w:eastAsia="宋体" w:cs="宋体"/>
          <w:color w:val="auto"/>
          <w:sz w:val="24"/>
          <w:szCs w:val="24"/>
        </w:rPr>
        <w:t>管理（</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分）</w:t>
      </w:r>
    </w:p>
    <w:p w14:paraId="02E3C32F">
      <w:pPr>
        <w:bidi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收费是否超备案范围</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是否存在乱收费或</w:t>
      </w:r>
      <w:r>
        <w:rPr>
          <w:rFonts w:hint="eastAsia" w:ascii="宋体" w:hAnsi="宋体" w:eastAsia="宋体" w:cs="宋体"/>
          <w:color w:val="auto"/>
          <w:sz w:val="24"/>
          <w:szCs w:val="24"/>
          <w:lang w:eastAsia="zh-CN"/>
        </w:rPr>
        <w:t>不按时足额缴纳国有资产租赁费的</w:t>
      </w:r>
      <w:r>
        <w:rPr>
          <w:rFonts w:hint="eastAsia" w:ascii="宋体" w:hAnsi="宋体" w:eastAsia="宋体" w:cs="宋体"/>
          <w:color w:val="auto"/>
          <w:sz w:val="24"/>
          <w:szCs w:val="24"/>
        </w:rPr>
        <w:t>现象。</w:t>
      </w:r>
    </w:p>
    <w:p w14:paraId="65DF71B9">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2.人员管理（</w:t>
      </w:r>
      <w:r>
        <w:rPr>
          <w:rFonts w:hint="eastAsia" w:ascii="宋体" w:hAnsi="宋体" w:eastAsia="宋体" w:cs="宋体"/>
          <w:color w:val="auto"/>
          <w:sz w:val="24"/>
          <w:szCs w:val="24"/>
          <w:lang w:val="en-US" w:eastAsia="zh-CN"/>
        </w:rPr>
        <w:t>12</w:t>
      </w:r>
      <w:r>
        <w:rPr>
          <w:rFonts w:hint="eastAsia" w:ascii="宋体" w:hAnsi="宋体" w:eastAsia="宋体" w:cs="宋体"/>
          <w:color w:val="auto"/>
          <w:sz w:val="24"/>
          <w:szCs w:val="24"/>
        </w:rPr>
        <w:t>分）</w:t>
      </w:r>
    </w:p>
    <w:p w14:paraId="7295E736">
      <w:pPr>
        <w:bidi w:val="0"/>
        <w:rPr>
          <w:rFonts w:hint="eastAsia" w:ascii="宋体" w:hAnsi="宋体" w:eastAsia="宋体" w:cs="宋体"/>
          <w:color w:val="auto"/>
          <w:sz w:val="24"/>
          <w:szCs w:val="24"/>
          <w:lang w:eastAsia="zh-CN"/>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工作人员是否具备相应资质，</w:t>
      </w:r>
      <w:r>
        <w:rPr>
          <w:rFonts w:hint="eastAsia" w:ascii="宋体" w:hAnsi="宋体" w:eastAsia="宋体" w:cs="宋体"/>
          <w:color w:val="auto"/>
          <w:sz w:val="24"/>
          <w:szCs w:val="24"/>
          <w:lang w:eastAsia="zh-CN"/>
        </w:rPr>
        <w:t>数量是否足够、结构是否合理，</w:t>
      </w:r>
      <w:r>
        <w:rPr>
          <w:rFonts w:hint="eastAsia" w:ascii="宋体" w:hAnsi="宋体" w:eastAsia="宋体" w:cs="宋体"/>
          <w:color w:val="auto"/>
          <w:sz w:val="24"/>
          <w:szCs w:val="24"/>
        </w:rPr>
        <w:t>是否定期进行培训和考核</w:t>
      </w:r>
      <w:r>
        <w:rPr>
          <w:rFonts w:hint="eastAsia" w:ascii="宋体" w:hAnsi="宋体" w:eastAsia="宋体" w:cs="宋体"/>
          <w:color w:val="auto"/>
          <w:sz w:val="24"/>
          <w:szCs w:val="24"/>
          <w:lang w:eastAsia="zh-CN"/>
        </w:rPr>
        <w:t>。</w:t>
      </w:r>
    </w:p>
    <w:p w14:paraId="3061C160">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3.数据与档案管理（</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分）</w:t>
      </w:r>
    </w:p>
    <w:p w14:paraId="2106ADFA">
      <w:pPr>
        <w:bidi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（1）</w:t>
      </w:r>
      <w:r>
        <w:rPr>
          <w:rFonts w:hint="eastAsia" w:ascii="宋体" w:hAnsi="宋体" w:eastAsia="宋体" w:cs="宋体"/>
          <w:color w:val="auto"/>
          <w:sz w:val="24"/>
          <w:szCs w:val="24"/>
        </w:rPr>
        <w:t>学生信息记录：是否完整记录学生参与信息，信息是否准确（3分）。</w:t>
      </w:r>
    </w:p>
    <w:p w14:paraId="1D1FEA6B">
      <w:pPr>
        <w:bidi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（2）</w:t>
      </w:r>
      <w:r>
        <w:rPr>
          <w:rFonts w:hint="eastAsia" w:ascii="宋体" w:hAnsi="宋体" w:eastAsia="宋体" w:cs="宋体"/>
          <w:color w:val="auto"/>
          <w:sz w:val="24"/>
          <w:szCs w:val="24"/>
        </w:rPr>
        <w:t>运营数据提交：是否定期提交运营数据，数据是否真实可靠（</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w:t>
      </w:r>
    </w:p>
    <w:p w14:paraId="44034618">
      <w:pPr>
        <w:bidi w:val="0"/>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（四）协同监管（1</w:t>
      </w:r>
      <w:r>
        <w:rPr>
          <w:rFonts w:hint="eastAsia" w:ascii="宋体" w:hAnsi="宋体" w:eastAsia="宋体" w:cs="宋体"/>
          <w:b/>
          <w:bCs/>
          <w:color w:val="auto"/>
          <w:sz w:val="24"/>
          <w:szCs w:val="24"/>
          <w:lang w:val="en-US" w:eastAsia="zh-CN"/>
        </w:rPr>
        <w:t>2</w:t>
      </w:r>
      <w:r>
        <w:rPr>
          <w:rFonts w:hint="eastAsia" w:ascii="宋体" w:hAnsi="宋体" w:eastAsia="宋体" w:cs="宋体"/>
          <w:b/>
          <w:bCs/>
          <w:color w:val="auto"/>
          <w:sz w:val="24"/>
          <w:szCs w:val="24"/>
        </w:rPr>
        <w:t>分）</w:t>
      </w:r>
    </w:p>
    <w:p w14:paraId="250ABB6D">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1.教育主管部门主导（</w:t>
      </w: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分）</w:t>
      </w:r>
    </w:p>
    <w:p w14:paraId="47DA9D86">
      <w:pPr>
        <w:bidi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（1）</w:t>
      </w:r>
      <w:r>
        <w:rPr>
          <w:rFonts w:hint="eastAsia" w:ascii="宋体" w:hAnsi="宋体" w:eastAsia="宋体" w:cs="宋体"/>
          <w:color w:val="auto"/>
          <w:sz w:val="24"/>
          <w:szCs w:val="24"/>
        </w:rPr>
        <w:t>专项检查：是否积极配合教育主管部门的专项检查，检查结果是否达标（2分）。</w:t>
      </w:r>
    </w:p>
    <w:p w14:paraId="274695FD">
      <w:pPr>
        <w:bidi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（2）</w:t>
      </w:r>
      <w:r>
        <w:rPr>
          <w:rFonts w:hint="eastAsia" w:ascii="宋体" w:hAnsi="宋体" w:eastAsia="宋体" w:cs="宋体"/>
          <w:color w:val="auto"/>
          <w:sz w:val="24"/>
          <w:szCs w:val="24"/>
        </w:rPr>
        <w:t>整改落实：对检查中发现的问题是否及时整改，整改效果如何（2分）。</w:t>
      </w:r>
    </w:p>
    <w:p w14:paraId="00F62432">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2.第三方专业机构（3分）</w:t>
      </w:r>
    </w:p>
    <w:p w14:paraId="0835AB28">
      <w:pPr>
        <w:bidi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是否委托专业机构对</w:t>
      </w:r>
      <w:r>
        <w:rPr>
          <w:rFonts w:hint="eastAsia" w:ascii="宋体" w:hAnsi="宋体" w:eastAsia="宋体" w:cs="宋体"/>
          <w:color w:val="auto"/>
          <w:sz w:val="24"/>
          <w:szCs w:val="24"/>
          <w:lang w:eastAsia="zh-CN"/>
        </w:rPr>
        <w:t>特种</w:t>
      </w:r>
      <w:r>
        <w:rPr>
          <w:rFonts w:hint="eastAsia" w:ascii="宋体" w:hAnsi="宋体" w:eastAsia="宋体" w:cs="宋体"/>
          <w:color w:val="auto"/>
          <w:sz w:val="24"/>
          <w:szCs w:val="24"/>
        </w:rPr>
        <w:t>设施</w:t>
      </w:r>
      <w:r>
        <w:rPr>
          <w:rFonts w:hint="eastAsia" w:ascii="宋体" w:hAnsi="宋体" w:eastAsia="宋体" w:cs="宋体"/>
          <w:color w:val="auto"/>
          <w:sz w:val="24"/>
          <w:szCs w:val="24"/>
          <w:lang w:eastAsia="zh-CN"/>
        </w:rPr>
        <w:t>（如电梯、消防实施）</w:t>
      </w:r>
      <w:r>
        <w:rPr>
          <w:rFonts w:hint="eastAsia" w:ascii="宋体" w:hAnsi="宋体" w:eastAsia="宋体" w:cs="宋体"/>
          <w:color w:val="auto"/>
          <w:sz w:val="24"/>
          <w:szCs w:val="24"/>
        </w:rPr>
        <w:t>安全进行检测，检测结果是否合格。</w:t>
      </w:r>
    </w:p>
    <w:p w14:paraId="530F331D">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3.家长与社会监督（</w:t>
      </w: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分）</w:t>
      </w:r>
    </w:p>
    <w:p w14:paraId="501013E1">
      <w:pPr>
        <w:bidi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（1）</w:t>
      </w:r>
      <w:r>
        <w:rPr>
          <w:rFonts w:hint="eastAsia" w:ascii="宋体" w:hAnsi="宋体" w:eastAsia="宋体" w:cs="宋体"/>
          <w:color w:val="auto"/>
          <w:sz w:val="24"/>
          <w:szCs w:val="24"/>
        </w:rPr>
        <w:t>家长开放日：是否定期举办家长开放日，家长满意度如何（</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w:t>
      </w:r>
    </w:p>
    <w:p w14:paraId="647D8D12">
      <w:pPr>
        <w:bidi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（2）</w:t>
      </w:r>
      <w:r>
        <w:rPr>
          <w:rFonts w:hint="eastAsia" w:ascii="宋体" w:hAnsi="宋体" w:eastAsia="宋体" w:cs="宋体"/>
          <w:color w:val="auto"/>
          <w:sz w:val="24"/>
          <w:szCs w:val="24"/>
        </w:rPr>
        <w:t>投诉处理：投诉处理是否及时，投诉渠道是否畅通（</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w:t>
      </w:r>
    </w:p>
    <w:p w14:paraId="10293752">
      <w:pPr>
        <w:bidi w:val="0"/>
        <w:ind w:firstLine="482" w:firstLineChars="200"/>
        <w:rPr>
          <w:rFonts w:hint="eastAsia" w:ascii="宋体" w:hAnsi="宋体" w:eastAsia="宋体" w:cs="宋体"/>
          <w:b/>
          <w:bCs/>
          <w:color w:val="auto"/>
          <w:sz w:val="24"/>
          <w:szCs w:val="24"/>
        </w:rPr>
      </w:pPr>
      <w:r>
        <w:rPr>
          <w:rFonts w:hint="eastAsia" w:ascii="宋体" w:hAnsi="宋体" w:eastAsia="宋体" w:cs="宋体"/>
          <w:b/>
          <w:bCs/>
          <w:color w:val="auto"/>
          <w:sz w:val="24"/>
          <w:szCs w:val="24"/>
        </w:rPr>
        <w:t>（五）技术赋能（</w:t>
      </w:r>
      <w:r>
        <w:rPr>
          <w:rFonts w:hint="eastAsia" w:ascii="宋体" w:hAnsi="宋体" w:eastAsia="宋体" w:cs="宋体"/>
          <w:b/>
          <w:bCs/>
          <w:color w:val="auto"/>
          <w:sz w:val="24"/>
          <w:szCs w:val="24"/>
          <w:lang w:val="en-US" w:eastAsia="zh-CN"/>
        </w:rPr>
        <w:t>8</w:t>
      </w:r>
      <w:r>
        <w:rPr>
          <w:rFonts w:hint="eastAsia" w:ascii="宋体" w:hAnsi="宋体" w:eastAsia="宋体" w:cs="宋体"/>
          <w:b/>
          <w:bCs/>
          <w:color w:val="auto"/>
          <w:sz w:val="24"/>
          <w:szCs w:val="24"/>
        </w:rPr>
        <w:t>分）</w:t>
      </w:r>
    </w:p>
    <w:p w14:paraId="2DDFD0B8">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1.数字化监管工具（5分）</w:t>
      </w:r>
    </w:p>
    <w:p w14:paraId="084CFD0C">
      <w:pPr>
        <w:bidi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（1）</w:t>
      </w:r>
      <w:r>
        <w:rPr>
          <w:rFonts w:hint="eastAsia" w:ascii="宋体" w:hAnsi="宋体" w:eastAsia="宋体" w:cs="宋体"/>
          <w:color w:val="auto"/>
          <w:sz w:val="24"/>
          <w:szCs w:val="24"/>
        </w:rPr>
        <w:t>监管平台建设：是否搭建“基地</w:t>
      </w:r>
      <w:r>
        <w:rPr>
          <w:rFonts w:hint="eastAsia" w:ascii="宋体" w:hAnsi="宋体" w:eastAsia="宋体" w:cs="宋体"/>
          <w:color w:val="auto"/>
          <w:sz w:val="24"/>
          <w:szCs w:val="24"/>
          <w:lang w:eastAsia="zh-CN"/>
        </w:rPr>
        <w:t>网站或微信公众号</w:t>
      </w:r>
      <w:r>
        <w:rPr>
          <w:rFonts w:hint="eastAsia" w:ascii="宋体" w:hAnsi="宋体" w:eastAsia="宋体" w:cs="宋体"/>
          <w:color w:val="auto"/>
          <w:sz w:val="24"/>
          <w:szCs w:val="24"/>
        </w:rPr>
        <w:t>”，功能是否完善（</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分）。</w:t>
      </w:r>
    </w:p>
    <w:p w14:paraId="3BEE4C52">
      <w:pPr>
        <w:bidi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（2）</w:t>
      </w:r>
      <w:r>
        <w:rPr>
          <w:rFonts w:hint="eastAsia" w:ascii="宋体" w:hAnsi="宋体" w:eastAsia="宋体" w:cs="宋体"/>
          <w:color w:val="auto"/>
          <w:sz w:val="24"/>
          <w:szCs w:val="24"/>
        </w:rPr>
        <w:t>数据实时上传：是否实现数据的实时上传与分析，数据准确性如何（</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w:t>
      </w:r>
    </w:p>
    <w:p w14:paraId="4BBFE942">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2.远程监督（</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分）</w:t>
      </w:r>
    </w:p>
    <w:p w14:paraId="6593C247">
      <w:pPr>
        <w:bidi w:val="0"/>
        <w:rPr>
          <w:rFonts w:hint="eastAsia" w:ascii="宋体" w:hAnsi="宋体" w:eastAsia="宋体" w:cs="宋体"/>
          <w:color w:val="auto"/>
          <w:sz w:val="24"/>
          <w:szCs w:val="24"/>
        </w:rPr>
      </w:pPr>
      <w:r>
        <w:rPr>
          <w:rFonts w:hint="eastAsia" w:ascii="宋体" w:hAnsi="宋体" w:eastAsia="宋体" w:cs="宋体"/>
          <w:color w:val="auto"/>
          <w:sz w:val="24"/>
          <w:szCs w:val="24"/>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是否通过视频监控对重点环节进行远程监督，监控效果如何。</w:t>
      </w:r>
    </w:p>
    <w:p w14:paraId="134B3404">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四、考核方式</w:t>
      </w:r>
    </w:p>
    <w:p w14:paraId="50E1835E">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1.定期考核：按</w:t>
      </w:r>
      <w:r>
        <w:rPr>
          <w:rFonts w:hint="eastAsia" w:ascii="宋体" w:hAnsi="宋体" w:eastAsia="宋体" w:cs="宋体"/>
          <w:color w:val="auto"/>
          <w:sz w:val="24"/>
          <w:szCs w:val="24"/>
          <w:lang w:eastAsia="zh-CN"/>
        </w:rPr>
        <w:t>学期</w:t>
      </w:r>
      <w:r>
        <w:rPr>
          <w:rFonts w:hint="eastAsia" w:ascii="宋体" w:hAnsi="宋体" w:eastAsia="宋体" w:cs="宋体"/>
          <w:color w:val="auto"/>
          <w:sz w:val="24"/>
          <w:szCs w:val="24"/>
        </w:rPr>
        <w:t>进行定期考核，考核结果分为优秀</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90分及以上</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良好（</w:t>
      </w:r>
      <w:r>
        <w:rPr>
          <w:rFonts w:hint="eastAsia" w:ascii="宋体" w:hAnsi="宋体" w:eastAsia="宋体" w:cs="宋体"/>
          <w:color w:val="auto"/>
          <w:sz w:val="24"/>
          <w:szCs w:val="24"/>
          <w:lang w:val="en-US" w:eastAsia="zh-CN"/>
        </w:rPr>
        <w:t>80--89分</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、合格</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60--79分</w:t>
      </w:r>
      <w:r>
        <w:rPr>
          <w:rFonts w:hint="eastAsia" w:ascii="宋体" w:hAnsi="宋体" w:eastAsia="宋体" w:cs="宋体"/>
          <w:color w:val="auto"/>
          <w:sz w:val="24"/>
          <w:szCs w:val="24"/>
          <w:lang w:eastAsia="zh-CN"/>
        </w:rPr>
        <w:t>）、不合格（</w:t>
      </w:r>
      <w:r>
        <w:rPr>
          <w:rFonts w:hint="eastAsia" w:ascii="宋体" w:hAnsi="宋体" w:eastAsia="宋体" w:cs="宋体"/>
          <w:color w:val="auto"/>
          <w:sz w:val="24"/>
          <w:szCs w:val="24"/>
          <w:lang w:val="en-US" w:eastAsia="zh-CN"/>
        </w:rPr>
        <w:t>59分及以下</w:t>
      </w:r>
      <w:r>
        <w:rPr>
          <w:rFonts w:hint="eastAsia" w:ascii="宋体" w:hAnsi="宋体" w:eastAsia="宋体" w:cs="宋体"/>
          <w:color w:val="auto"/>
          <w:sz w:val="24"/>
          <w:szCs w:val="24"/>
          <w:lang w:eastAsia="zh-CN"/>
        </w:rPr>
        <w:t>）四</w:t>
      </w:r>
      <w:r>
        <w:rPr>
          <w:rFonts w:hint="eastAsia" w:ascii="宋体" w:hAnsi="宋体" w:eastAsia="宋体" w:cs="宋体"/>
          <w:color w:val="auto"/>
          <w:sz w:val="24"/>
          <w:szCs w:val="24"/>
        </w:rPr>
        <w:t>个等级。</w:t>
      </w:r>
    </w:p>
    <w:p w14:paraId="64D2DAF1">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2.不定期抽查：不定期进行抽查，抽查结果纳入</w:t>
      </w:r>
      <w:r>
        <w:rPr>
          <w:rFonts w:hint="eastAsia" w:ascii="宋体" w:hAnsi="宋体" w:eastAsia="宋体" w:cs="宋体"/>
          <w:color w:val="auto"/>
          <w:sz w:val="24"/>
          <w:szCs w:val="24"/>
          <w:lang w:eastAsia="zh-CN"/>
        </w:rPr>
        <w:t>学期</w:t>
      </w:r>
      <w:r>
        <w:rPr>
          <w:rFonts w:hint="eastAsia" w:ascii="宋体" w:hAnsi="宋体" w:eastAsia="宋体" w:cs="宋体"/>
          <w:color w:val="auto"/>
          <w:sz w:val="24"/>
          <w:szCs w:val="24"/>
        </w:rPr>
        <w:t>考核。</w:t>
      </w:r>
    </w:p>
    <w:p w14:paraId="7E0AFA81">
      <w:pPr>
        <w:bidi w:val="0"/>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3.专项检查：针对特定问题或项目进行专项检查，检查结果单独记录。 </w:t>
      </w:r>
    </w:p>
    <w:p w14:paraId="768DA233">
      <w:pPr>
        <w:bidi w:val="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rPr>
        <w:t>五、考核结</w:t>
      </w:r>
      <w:r>
        <w:rPr>
          <w:rFonts w:hint="eastAsia" w:ascii="宋体" w:hAnsi="宋体" w:eastAsia="宋体" w:cs="宋体"/>
          <w:color w:val="auto"/>
          <w:sz w:val="24"/>
          <w:szCs w:val="24"/>
          <w:highlight w:val="none"/>
        </w:rPr>
        <w:t>果运用</w:t>
      </w:r>
    </w:p>
    <w:p w14:paraId="374A6B8D">
      <w:pPr>
        <w:bidi w:val="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eastAsia="zh-CN"/>
        </w:rPr>
        <w:t>续签合同激</w:t>
      </w:r>
      <w:r>
        <w:rPr>
          <w:rFonts w:hint="eastAsia" w:ascii="宋体" w:hAnsi="宋体" w:eastAsia="宋体" w:cs="宋体"/>
          <w:color w:val="auto"/>
          <w:sz w:val="24"/>
          <w:szCs w:val="24"/>
          <w:highlight w:val="none"/>
        </w:rPr>
        <w:t>励：</w:t>
      </w:r>
      <w:r>
        <w:rPr>
          <w:rFonts w:hint="eastAsia" w:ascii="宋体" w:hAnsi="宋体" w:eastAsia="宋体" w:cs="宋体"/>
          <w:color w:val="auto"/>
          <w:sz w:val="24"/>
          <w:szCs w:val="24"/>
          <w:highlight w:val="none"/>
          <w:lang w:val="en-US" w:eastAsia="zh-CN"/>
        </w:rPr>
        <w:t>3年合同期满，</w:t>
      </w:r>
      <w:r>
        <w:rPr>
          <w:rFonts w:hint="eastAsia" w:ascii="宋体" w:hAnsi="宋体" w:eastAsia="宋体" w:cs="宋体"/>
          <w:color w:val="auto"/>
          <w:sz w:val="24"/>
          <w:szCs w:val="24"/>
          <w:highlight w:val="none"/>
          <w:lang w:eastAsia="zh-CN"/>
        </w:rPr>
        <w:t>经合法程序后可</w:t>
      </w:r>
      <w:r>
        <w:rPr>
          <w:rFonts w:hint="eastAsia" w:ascii="宋体" w:hAnsi="宋体" w:eastAsia="宋体" w:cs="宋体"/>
          <w:color w:val="auto"/>
          <w:kern w:val="16"/>
          <w:sz w:val="24"/>
          <w:szCs w:val="24"/>
          <w:highlight w:val="none"/>
          <w:shd w:val="clear" w:color="auto" w:fill="auto"/>
          <w:lang w:eastAsia="zh-CN"/>
        </w:rPr>
        <w:t>再续签2年的服务合同（与相关政策冲突情况除外）</w:t>
      </w:r>
      <w:r>
        <w:rPr>
          <w:rFonts w:hint="eastAsia" w:ascii="宋体" w:hAnsi="宋体" w:eastAsia="宋体" w:cs="宋体"/>
          <w:color w:val="auto"/>
          <w:sz w:val="24"/>
          <w:szCs w:val="24"/>
          <w:highlight w:val="none"/>
        </w:rPr>
        <w:t>。</w:t>
      </w:r>
    </w:p>
    <w:p w14:paraId="28923304">
      <w:pPr>
        <w:bidi w:val="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2.整改措施：对考核不合格的</w:t>
      </w:r>
      <w:r>
        <w:rPr>
          <w:rFonts w:hint="eastAsia" w:ascii="宋体" w:hAnsi="宋体" w:eastAsia="宋体" w:cs="宋体"/>
          <w:color w:val="auto"/>
          <w:sz w:val="24"/>
          <w:szCs w:val="24"/>
          <w:highlight w:val="none"/>
          <w:lang w:eastAsia="zh-CN"/>
        </w:rPr>
        <w:t>运营方</w:t>
      </w:r>
      <w:r>
        <w:rPr>
          <w:rFonts w:hint="eastAsia" w:ascii="宋体" w:hAnsi="宋体" w:eastAsia="宋体" w:cs="宋体"/>
          <w:color w:val="auto"/>
          <w:sz w:val="24"/>
          <w:szCs w:val="24"/>
          <w:highlight w:val="none"/>
        </w:rPr>
        <w:t>，要求限期整改，整改不到位的启动合同终止程序。</w:t>
      </w:r>
    </w:p>
    <w:p w14:paraId="39F9644A">
      <w:pPr>
        <w:bidi w:val="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3.信息公开：定期公布考核结果，接受社会监督，增强透明度。</w:t>
      </w:r>
    </w:p>
    <w:p w14:paraId="77844CF9">
      <w:pPr>
        <w:bidi w:val="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六、附则</w:t>
      </w:r>
    </w:p>
    <w:p w14:paraId="65B1961A">
      <w:pPr>
        <w:bidi w:val="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1.解释权：本办法的解释权归韶关市示范性综合实践基地所有。</w:t>
      </w:r>
    </w:p>
    <w:p w14:paraId="1381F5A6">
      <w:pPr>
        <w:bidi w:val="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2.实施日期：本办法自发布之日起实施。</w:t>
      </w:r>
    </w:p>
    <w:p w14:paraId="5EE1B78F">
      <w:pPr>
        <w:bidi w:val="0"/>
        <w:rPr>
          <w:rFonts w:hint="eastAsia" w:ascii="宋体" w:hAnsi="宋体" w:eastAsia="宋体" w:cs="宋体"/>
          <w:color w:val="auto"/>
          <w:sz w:val="24"/>
          <w:szCs w:val="24"/>
        </w:rPr>
      </w:pPr>
    </w:p>
    <w:p w14:paraId="3AC389C4">
      <w:pPr>
        <w:rPr>
          <w:strike/>
          <w:dstrike w:val="0"/>
          <w:color w:val="auto"/>
        </w:rPr>
      </w:pPr>
    </w:p>
    <w:p w14:paraId="60569A43">
      <w:pPr>
        <w:keepNext w:val="0"/>
        <w:keepLines w:val="0"/>
        <w:pageBreakBefore w:val="0"/>
        <w:kinsoku/>
        <w:wordWrap w:val="0"/>
        <w:overflowPunct/>
        <w:topLinePunct w:val="0"/>
        <w:autoSpaceDE/>
        <w:autoSpaceDN/>
        <w:bidi w:val="0"/>
        <w:adjustRightInd w:val="0"/>
        <w:snapToGrid w:val="0"/>
        <w:spacing w:line="480" w:lineRule="exact"/>
        <w:jc w:val="both"/>
        <w:textAlignment w:val="auto"/>
        <w:rPr>
          <w:rFonts w:hint="eastAsia" w:asciiTheme="majorEastAsia" w:hAnsiTheme="majorEastAsia" w:eastAsiaTheme="majorEastAsia" w:cstheme="majorEastAsia"/>
          <w:color w:val="auto"/>
          <w:szCs w:val="21"/>
        </w:rPr>
      </w:pPr>
    </w:p>
    <w:sectPr>
      <w:headerReference r:id="rId5" w:type="default"/>
      <w:footerReference r:id="rId6" w:type="default"/>
      <w:pgSz w:w="11906" w:h="16838"/>
      <w:pgMar w:top="1440" w:right="1803" w:bottom="1440" w:left="1803" w:header="851" w:footer="992" w:gutter="0"/>
      <w:pgNumType w:fmt="decimal"/>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2418E">
    <w:pPr>
      <w:pStyle w:val="9"/>
      <w:spacing w:line="209" w:lineRule="auto"/>
      <w:ind w:left="4345"/>
      <w:rPr>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97C690">
                          <w:pPr>
                            <w:pStyle w:val="12"/>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E97C690">
                    <w:pPr>
                      <w:pStyle w:val="12"/>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066AB4">
    <w:pPr>
      <w:pStyle w:val="12"/>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7065083">
                          <w:pPr>
                            <w:pStyle w:val="12"/>
                          </w:pPr>
                          <w:r>
                            <w:t xml:space="preserve">第 </w:t>
                          </w:r>
                          <w:r>
                            <w:fldChar w:fldCharType="begin"/>
                          </w:r>
                          <w:r>
                            <w:instrText xml:space="preserve"> PAGE  \* MERGEFORMAT </w:instrText>
                          </w:r>
                          <w:r>
                            <w:fldChar w:fldCharType="separate"/>
                          </w:r>
                          <w:r>
                            <w:t>30</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07065083">
                    <w:pPr>
                      <w:pStyle w:val="12"/>
                    </w:pPr>
                    <w:r>
                      <w:t xml:space="preserve">第 </w:t>
                    </w:r>
                    <w:r>
                      <w:fldChar w:fldCharType="begin"/>
                    </w:r>
                    <w:r>
                      <w:instrText xml:space="preserve"> PAGE  \* MERGEFORMAT </w:instrText>
                    </w:r>
                    <w:r>
                      <w:fldChar w:fldCharType="separate"/>
                    </w:r>
                    <w:r>
                      <w:t>30</w:t>
                    </w:r>
                    <w:r>
                      <w:fldChar w:fldCharType="end"/>
                    </w:r>
                    <w:r>
                      <w:t xml:space="preserve"> 页</w:t>
                    </w:r>
                  </w:p>
                </w:txbxContent>
              </v:textbox>
            </v:shape>
          </w:pict>
        </mc:Fallback>
      </mc:AlternateContent>
    </w:r>
  </w:p>
  <w:p w14:paraId="4EA124BF">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F9057">
    <w:pPr>
      <w:pStyle w:val="13"/>
      <w:pBdr>
        <w:bottom w:val="none" w:color="auto" w:sz="0" w:space="1"/>
      </w:pBdr>
      <w:jc w:val="both"/>
      <w:rPr>
        <w:b/>
        <w:bCs/>
      </w:rPr>
    </w:pPr>
    <w:r>
      <w:rPr>
        <w:rFonts w:hint="eastAsia" w:ascii="宋体" w:hAnsi="宋体" w:cs="宋体"/>
        <w:sz w:val="24"/>
      </w:rPr>
      <w:t xml:space="preserve"> </w:t>
    </w:r>
    <w:r>
      <w:drawing>
        <wp:inline distT="0" distB="0" distL="114300" distR="114300">
          <wp:extent cx="3091180" cy="390525"/>
          <wp:effectExtent l="0" t="0" r="1397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
                  <a:stretch>
                    <a:fillRect/>
                  </a:stretch>
                </pic:blipFill>
                <pic:spPr>
                  <a:xfrm>
                    <a:off x="0" y="0"/>
                    <a:ext cx="3091180" cy="390525"/>
                  </a:xfrm>
                  <a:prstGeom prst="rect">
                    <a:avLst/>
                  </a:prstGeom>
                  <a:noFill/>
                  <a:ln>
                    <a:noFill/>
                  </a:ln>
                </pic:spPr>
              </pic:pic>
            </a:graphicData>
          </a:graphic>
        </wp:inline>
      </w:drawing>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1"/>
        <w:szCs w:val="21"/>
      </w:rPr>
      <w:t>|道同志合 平心持正|</w:t>
    </w:r>
  </w:p>
  <w:p w14:paraId="239562D0">
    <w:pPr>
      <w:spacing w:line="14" w:lineRule="auto"/>
      <w:rPr>
        <w:rFonts w:ascii="Arial"/>
        <w:sz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E0971B">
    <w:pPr>
      <w:pStyle w:val="13"/>
      <w:pBdr>
        <w:bottom w:val="none" w:color="auto" w:sz="0" w:space="1"/>
      </w:pBdr>
      <w:jc w:val="both"/>
      <w:rPr>
        <w:b/>
        <w:bCs/>
      </w:rPr>
    </w:pPr>
    <w:r>
      <w:rPr>
        <w:rFonts w:hint="eastAsia" w:ascii="宋体" w:hAnsi="宋体" w:cs="宋体"/>
        <w:sz w:val="24"/>
      </w:rPr>
      <w:t xml:space="preserve"> </w:t>
    </w:r>
    <w:r>
      <w:drawing>
        <wp:inline distT="0" distB="0" distL="114300" distR="114300">
          <wp:extent cx="3091180" cy="485775"/>
          <wp:effectExtent l="0" t="0" r="13970"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
                  <a:stretch>
                    <a:fillRect/>
                  </a:stretch>
                </pic:blipFill>
                <pic:spPr>
                  <a:xfrm>
                    <a:off x="0" y="0"/>
                    <a:ext cx="3091180" cy="485775"/>
                  </a:xfrm>
                  <a:prstGeom prst="rect">
                    <a:avLst/>
                  </a:prstGeom>
                  <a:noFill/>
                  <a:ln>
                    <a:noFill/>
                  </a:ln>
                </pic:spPr>
              </pic:pic>
            </a:graphicData>
          </a:graphic>
        </wp:inline>
      </w:drawing>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 xml:space="preserve"> </w:t>
    </w:r>
    <w:r>
      <w:rPr>
        <w:rFonts w:hint="eastAsia" w:ascii="宋体" w:hAnsi="宋体" w:cs="宋体"/>
        <w:sz w:val="21"/>
        <w:szCs w:val="21"/>
      </w:rPr>
      <w:t>|道同志合 平心持正|</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800A4"/>
    <w:multiLevelType w:val="singleLevel"/>
    <w:tmpl w:val="8D7800A4"/>
    <w:lvl w:ilvl="0" w:tentative="0">
      <w:start w:val="1"/>
      <w:numFmt w:val="chineseCounting"/>
      <w:suff w:val="space"/>
      <w:lvlText w:val="第%1章"/>
      <w:lvlJc w:val="left"/>
      <w:rPr>
        <w:rFonts w:hint="eastAsia"/>
      </w:rPr>
    </w:lvl>
  </w:abstractNum>
  <w:abstractNum w:abstractNumId="1">
    <w:nsid w:val="B4FDF470"/>
    <w:multiLevelType w:val="singleLevel"/>
    <w:tmpl w:val="B4FDF470"/>
    <w:lvl w:ilvl="0" w:tentative="0">
      <w:start w:val="1"/>
      <w:numFmt w:val="decimal"/>
      <w:suff w:val="nothing"/>
      <w:lvlText w:val="（%1）"/>
      <w:lvlJc w:val="left"/>
    </w:lvl>
  </w:abstractNum>
  <w:abstractNum w:abstractNumId="2">
    <w:nsid w:val="FDB81CCF"/>
    <w:multiLevelType w:val="singleLevel"/>
    <w:tmpl w:val="FDB81CCF"/>
    <w:lvl w:ilvl="0" w:tentative="0">
      <w:start w:val="2"/>
      <w:numFmt w:val="decimal"/>
      <w:lvlText w:val="%1."/>
      <w:lvlJc w:val="left"/>
      <w:pPr>
        <w:tabs>
          <w:tab w:val="left" w:pos="312"/>
        </w:tabs>
      </w:pPr>
    </w:lvl>
  </w:abstractNum>
  <w:abstractNum w:abstractNumId="3">
    <w:nsid w:val="05517A22"/>
    <w:multiLevelType w:val="singleLevel"/>
    <w:tmpl w:val="05517A22"/>
    <w:lvl w:ilvl="0" w:tentative="0">
      <w:start w:val="1"/>
      <w:numFmt w:val="decimal"/>
      <w:suff w:val="nothing"/>
      <w:lvlText w:val="%1、"/>
      <w:lvlJc w:val="left"/>
    </w:lvl>
  </w:abstractNum>
  <w:abstractNum w:abstractNumId="4">
    <w:nsid w:val="27E8E525"/>
    <w:multiLevelType w:val="singleLevel"/>
    <w:tmpl w:val="27E8E525"/>
    <w:lvl w:ilvl="0" w:tentative="0">
      <w:start w:val="1"/>
      <w:numFmt w:val="decimal"/>
      <w:suff w:val="nothing"/>
      <w:lvlText w:val="（%1）"/>
      <w:lvlJc w:val="left"/>
    </w:lvl>
  </w:abstractNum>
  <w:abstractNum w:abstractNumId="5">
    <w:nsid w:val="420C153B"/>
    <w:multiLevelType w:val="multilevel"/>
    <w:tmpl w:val="420C153B"/>
    <w:lvl w:ilvl="0" w:tentative="0">
      <w:start w:val="1"/>
      <w:numFmt w:val="decimal"/>
      <w:pStyle w:val="84"/>
      <w:lvlText w:val="%1."/>
      <w:lvlJc w:val="left"/>
      <w:pPr>
        <w:tabs>
          <w:tab w:val="left" w:pos="709"/>
        </w:tabs>
        <w:ind w:left="709" w:hanging="709"/>
      </w:pPr>
      <w:rPr>
        <w:rFonts w:hint="eastAsia"/>
      </w:rPr>
    </w:lvl>
    <w:lvl w:ilvl="1" w:tentative="0">
      <w:start w:val="1"/>
      <w:numFmt w:val="decimal"/>
      <w:lvlText w:val="%1.%2"/>
      <w:lvlJc w:val="left"/>
      <w:pPr>
        <w:tabs>
          <w:tab w:val="left" w:pos="709"/>
        </w:tabs>
        <w:ind w:left="709" w:hanging="709"/>
      </w:pPr>
      <w:rPr>
        <w:rFonts w:hint="eastAsia"/>
      </w:rPr>
    </w:lvl>
    <w:lvl w:ilvl="2" w:tentative="0">
      <w:start w:val="1"/>
      <w:numFmt w:val="decimal"/>
      <w:lvlText w:val="%1.%2.%3."/>
      <w:lvlJc w:val="left"/>
      <w:pPr>
        <w:tabs>
          <w:tab w:val="left" w:pos="425"/>
        </w:tabs>
        <w:ind w:left="425" w:hanging="425"/>
      </w:pPr>
      <w:rPr>
        <w:rFonts w:hint="eastAsia"/>
      </w:rPr>
    </w:lvl>
    <w:lvl w:ilvl="3" w:tentative="0">
      <w:start w:val="1"/>
      <w:numFmt w:val="decimal"/>
      <w:lvlText w:val="%1.%2.%3.%4."/>
      <w:lvlJc w:val="left"/>
      <w:pPr>
        <w:tabs>
          <w:tab w:val="left" w:pos="851"/>
        </w:tabs>
        <w:ind w:left="851" w:hanging="851"/>
      </w:pPr>
      <w:rPr>
        <w:rFonts w:hint="eastAsia"/>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6">
    <w:nsid w:val="4DE76CC5"/>
    <w:multiLevelType w:val="multilevel"/>
    <w:tmpl w:val="4DE76CC5"/>
    <w:lvl w:ilvl="0" w:tentative="0">
      <w:start w:val="1"/>
      <w:numFmt w:val="chineseCountingThousand"/>
      <w:pStyle w:val="95"/>
      <w:isLgl/>
      <w:lvlText w:val="第%1章"/>
      <w:lvlJc w:val="left"/>
      <w:pPr>
        <w:ind w:left="0" w:firstLine="0"/>
      </w:pPr>
      <w:rPr>
        <w:rFonts w:hint="eastAsia" w:eastAsia="黑体"/>
        <w:b/>
        <w:i w:val="0"/>
        <w:sz w:val="44"/>
        <w:szCs w:val="32"/>
      </w:rPr>
    </w:lvl>
    <w:lvl w:ilvl="1" w:tentative="0">
      <w:start w:val="1"/>
      <w:numFmt w:val="decimal"/>
      <w:isLgl/>
      <w:lvlText w:val="%1.%2"/>
      <w:lvlJc w:val="left"/>
      <w:pPr>
        <w:ind w:left="0" w:firstLine="0"/>
      </w:pPr>
      <w:rPr>
        <w:rFonts w:hint="eastAsia" w:eastAsia="黑体"/>
        <w:b/>
        <w:i w:val="0"/>
        <w:sz w:val="32"/>
      </w:rPr>
    </w:lvl>
    <w:lvl w:ilvl="2" w:tentative="0">
      <w:start w:val="1"/>
      <w:numFmt w:val="lowerLetter"/>
      <w:lvlText w:val="%3)"/>
      <w:lvlJc w:val="left"/>
      <w:pPr>
        <w:ind w:left="0" w:firstLine="0"/>
      </w:pPr>
      <w:rPr>
        <w:rFonts w:hint="eastAsia"/>
        <w:b/>
        <w:i w:val="0"/>
        <w:sz w:val="24"/>
        <w:szCs w:val="24"/>
      </w:rPr>
    </w:lvl>
    <w:lvl w:ilvl="3" w:tentative="0">
      <w:start w:val="1"/>
      <w:numFmt w:val="decimal"/>
      <w:lvlText w:val="%4)"/>
      <w:lvlJc w:val="left"/>
      <w:pPr>
        <w:ind w:left="0" w:firstLine="0"/>
      </w:pPr>
      <w:rPr>
        <w:rFonts w:hint="eastAsia"/>
        <w:b/>
        <w:i w:val="0"/>
        <w:sz w:val="24"/>
        <w:szCs w:val="24"/>
      </w:rPr>
    </w:lvl>
    <w:lvl w:ilvl="4" w:tentative="0">
      <w:start w:val="1"/>
      <w:numFmt w:val="lowerLetter"/>
      <w:lvlText w:val="%5)"/>
      <w:lvlJc w:val="left"/>
      <w:pPr>
        <w:ind w:left="0" w:firstLine="0"/>
      </w:pPr>
      <w:rPr>
        <w:rFonts w:hint="eastAsia"/>
      </w:rPr>
    </w:lvl>
    <w:lvl w:ilvl="5" w:tentative="0">
      <w:start w:val="1"/>
      <w:numFmt w:val="decimal"/>
      <w:isLgl/>
      <w:lvlText w:val="%1.%2.%3.%4.%5.%6"/>
      <w:lvlJc w:val="left"/>
      <w:pPr>
        <w:ind w:left="0" w:firstLine="0"/>
      </w:pPr>
      <w:rPr>
        <w:rFonts w:hint="eastAsia"/>
      </w:rPr>
    </w:lvl>
    <w:lvl w:ilvl="6" w:tentative="0">
      <w:start w:val="1"/>
      <w:numFmt w:val="decimal"/>
      <w:lvlText w:val="%1.%2.%3.%4.%5.%6.%7"/>
      <w:lvlJc w:val="left"/>
      <w:pPr>
        <w:ind w:left="0" w:firstLine="0"/>
      </w:pPr>
      <w:rPr>
        <w:rFonts w:hint="eastAsia"/>
      </w:rPr>
    </w:lvl>
    <w:lvl w:ilvl="7" w:tentative="0">
      <w:start w:val="1"/>
      <w:numFmt w:val="decimal"/>
      <w:lvlText w:val="%1.%2.%3.%4.%5.%6.%7.%8"/>
      <w:lvlJc w:val="left"/>
      <w:pPr>
        <w:ind w:left="0" w:firstLine="0"/>
      </w:pPr>
      <w:rPr>
        <w:rFonts w:hint="eastAsia"/>
      </w:rPr>
    </w:lvl>
    <w:lvl w:ilvl="8" w:tentative="0">
      <w:start w:val="1"/>
      <w:numFmt w:val="decimal"/>
      <w:lvlText w:val="%1.%2.%3.%4.%5.%6.%7.%8.%9"/>
      <w:lvlJc w:val="left"/>
      <w:pPr>
        <w:ind w:left="0" w:firstLine="0"/>
      </w:pPr>
      <w:rPr>
        <w:rFonts w:hint="eastAsia"/>
      </w:rPr>
    </w:lvl>
  </w:abstractNum>
  <w:abstractNum w:abstractNumId="7">
    <w:nsid w:val="76778866"/>
    <w:multiLevelType w:val="multilevel"/>
    <w:tmpl w:val="76778866"/>
    <w:lvl w:ilvl="0" w:tentative="0">
      <w:start w:val="8"/>
      <w:numFmt w:val="decimal"/>
      <w:lvlText w:val="%1."/>
      <w:lvlJc w:val="left"/>
      <w:pPr>
        <w:tabs>
          <w:tab w:val="left" w:pos="312"/>
        </w:tabs>
      </w:p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8">
    <w:nsid w:val="7C9EBDA8"/>
    <w:multiLevelType w:val="singleLevel"/>
    <w:tmpl w:val="7C9EBDA8"/>
    <w:lvl w:ilvl="0" w:tentative="0">
      <w:start w:val="1"/>
      <w:numFmt w:val="decimal"/>
      <w:suff w:val="nothing"/>
      <w:lvlText w:val="（%1）"/>
      <w:lvlJc w:val="left"/>
    </w:lvl>
  </w:abstractNum>
  <w:num w:numId="1">
    <w:abstractNumId w:val="5"/>
  </w:num>
  <w:num w:numId="2">
    <w:abstractNumId w:val="6"/>
  </w:num>
  <w:num w:numId="3">
    <w:abstractNumId w:val="3"/>
  </w:num>
  <w:num w:numId="4">
    <w:abstractNumId w:val="7"/>
  </w:num>
  <w:num w:numId="5">
    <w:abstractNumId w:val="0"/>
  </w:num>
  <w:num w:numId="6">
    <w:abstractNumId w:val="2"/>
  </w:num>
  <w:num w:numId="7">
    <w:abstractNumId w:val="1"/>
  </w:num>
  <w:num w:numId="8">
    <w:abstractNumId w:val="4"/>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Sky123.Org">
    <w15:presenceInfo w15:providerId="None" w15:userId="Sky123.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420"/>
  <w:hyphenationZone w:val="360"/>
  <w:drawingGridVerticalSpacing w:val="159"/>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yOWJlODNjY2E1NzJmNTdiYmIxMjdjZWNhMDFlZTcifQ=="/>
    <w:docVar w:name="KSO_WPS_MARK_KEY" w:val="7e9b7307-f205-4894-b144-972786b662e7"/>
  </w:docVars>
  <w:rsids>
    <w:rsidRoot w:val="35AB3B2B"/>
    <w:rsid w:val="00051172"/>
    <w:rsid w:val="000A696E"/>
    <w:rsid w:val="000E5816"/>
    <w:rsid w:val="00112D2F"/>
    <w:rsid w:val="00191629"/>
    <w:rsid w:val="001D4F4F"/>
    <w:rsid w:val="00285E04"/>
    <w:rsid w:val="002B7AA0"/>
    <w:rsid w:val="003216E0"/>
    <w:rsid w:val="0033690E"/>
    <w:rsid w:val="0035078C"/>
    <w:rsid w:val="00351550"/>
    <w:rsid w:val="003879AD"/>
    <w:rsid w:val="00440750"/>
    <w:rsid w:val="00465D3D"/>
    <w:rsid w:val="0048013C"/>
    <w:rsid w:val="004A1A92"/>
    <w:rsid w:val="004C5563"/>
    <w:rsid w:val="004E3769"/>
    <w:rsid w:val="004E4BAC"/>
    <w:rsid w:val="00502E90"/>
    <w:rsid w:val="00513444"/>
    <w:rsid w:val="0055604D"/>
    <w:rsid w:val="0055608C"/>
    <w:rsid w:val="00575A00"/>
    <w:rsid w:val="00635F97"/>
    <w:rsid w:val="00642EAC"/>
    <w:rsid w:val="00684C44"/>
    <w:rsid w:val="007C2CCC"/>
    <w:rsid w:val="00851CC2"/>
    <w:rsid w:val="0085543B"/>
    <w:rsid w:val="00A66F03"/>
    <w:rsid w:val="00A82127"/>
    <w:rsid w:val="00B34B5B"/>
    <w:rsid w:val="00BB1D83"/>
    <w:rsid w:val="00BB6AEE"/>
    <w:rsid w:val="00BC22DA"/>
    <w:rsid w:val="00BF2574"/>
    <w:rsid w:val="00C85AB7"/>
    <w:rsid w:val="00D8435D"/>
    <w:rsid w:val="00DB10A5"/>
    <w:rsid w:val="00DB41F3"/>
    <w:rsid w:val="00DD084B"/>
    <w:rsid w:val="00E01590"/>
    <w:rsid w:val="00EC4BCA"/>
    <w:rsid w:val="00EE68FA"/>
    <w:rsid w:val="00F05317"/>
    <w:rsid w:val="00F2137E"/>
    <w:rsid w:val="00F3061C"/>
    <w:rsid w:val="00F64DEA"/>
    <w:rsid w:val="00FC15F9"/>
    <w:rsid w:val="01007E42"/>
    <w:rsid w:val="01275D20"/>
    <w:rsid w:val="01556EA9"/>
    <w:rsid w:val="017734C4"/>
    <w:rsid w:val="01864D83"/>
    <w:rsid w:val="019A5532"/>
    <w:rsid w:val="02271F96"/>
    <w:rsid w:val="02313125"/>
    <w:rsid w:val="02393D62"/>
    <w:rsid w:val="029E7AD0"/>
    <w:rsid w:val="02D23086"/>
    <w:rsid w:val="02DD4F9C"/>
    <w:rsid w:val="02F545EC"/>
    <w:rsid w:val="02FA30D3"/>
    <w:rsid w:val="02FF1F50"/>
    <w:rsid w:val="03090322"/>
    <w:rsid w:val="031C07A5"/>
    <w:rsid w:val="032759B1"/>
    <w:rsid w:val="033F1FD5"/>
    <w:rsid w:val="03640239"/>
    <w:rsid w:val="036F159C"/>
    <w:rsid w:val="03804DFA"/>
    <w:rsid w:val="03942A31"/>
    <w:rsid w:val="03A07AD7"/>
    <w:rsid w:val="04AC6B21"/>
    <w:rsid w:val="04AC72EC"/>
    <w:rsid w:val="05190704"/>
    <w:rsid w:val="056D353A"/>
    <w:rsid w:val="057B7AFF"/>
    <w:rsid w:val="0580226C"/>
    <w:rsid w:val="059B2E14"/>
    <w:rsid w:val="05AA531D"/>
    <w:rsid w:val="05B66E6A"/>
    <w:rsid w:val="05CD3179"/>
    <w:rsid w:val="05D067D9"/>
    <w:rsid w:val="05DE2D7B"/>
    <w:rsid w:val="0609510A"/>
    <w:rsid w:val="06191E5A"/>
    <w:rsid w:val="061D6D0E"/>
    <w:rsid w:val="06750C66"/>
    <w:rsid w:val="06DB7470"/>
    <w:rsid w:val="06EF58D3"/>
    <w:rsid w:val="07116147"/>
    <w:rsid w:val="074107DA"/>
    <w:rsid w:val="075E76FE"/>
    <w:rsid w:val="079B0BC0"/>
    <w:rsid w:val="07B34DB3"/>
    <w:rsid w:val="0855720F"/>
    <w:rsid w:val="085B4F44"/>
    <w:rsid w:val="088D5F5C"/>
    <w:rsid w:val="092F7B18"/>
    <w:rsid w:val="09475E50"/>
    <w:rsid w:val="094C565A"/>
    <w:rsid w:val="096D5AA7"/>
    <w:rsid w:val="0997077C"/>
    <w:rsid w:val="09B0234C"/>
    <w:rsid w:val="09C12E52"/>
    <w:rsid w:val="09ED6CA1"/>
    <w:rsid w:val="09FD11BF"/>
    <w:rsid w:val="0A091FDE"/>
    <w:rsid w:val="0A260FC3"/>
    <w:rsid w:val="0A2B6A3F"/>
    <w:rsid w:val="0AB823C4"/>
    <w:rsid w:val="0ACA4546"/>
    <w:rsid w:val="0AF27E57"/>
    <w:rsid w:val="0AF357B1"/>
    <w:rsid w:val="0B41349E"/>
    <w:rsid w:val="0B753148"/>
    <w:rsid w:val="0B825441"/>
    <w:rsid w:val="0BA525D8"/>
    <w:rsid w:val="0BB71F8D"/>
    <w:rsid w:val="0BD50CE3"/>
    <w:rsid w:val="0BDA2FAB"/>
    <w:rsid w:val="0BDC0B16"/>
    <w:rsid w:val="0C0A7D34"/>
    <w:rsid w:val="0C2F6006"/>
    <w:rsid w:val="0C426CB3"/>
    <w:rsid w:val="0C454256"/>
    <w:rsid w:val="0C5056AF"/>
    <w:rsid w:val="0C5B37C6"/>
    <w:rsid w:val="0C602928"/>
    <w:rsid w:val="0C8352C9"/>
    <w:rsid w:val="0C88726E"/>
    <w:rsid w:val="0CCB7B51"/>
    <w:rsid w:val="0D164A4D"/>
    <w:rsid w:val="0D7910E2"/>
    <w:rsid w:val="0D8F1B47"/>
    <w:rsid w:val="0DB73DA5"/>
    <w:rsid w:val="0DC134A7"/>
    <w:rsid w:val="0E235597"/>
    <w:rsid w:val="0E4D03C4"/>
    <w:rsid w:val="0E512BF8"/>
    <w:rsid w:val="0EE34DB9"/>
    <w:rsid w:val="0EF46240"/>
    <w:rsid w:val="0F465E03"/>
    <w:rsid w:val="0F5A7458"/>
    <w:rsid w:val="0F620FFF"/>
    <w:rsid w:val="0F681E22"/>
    <w:rsid w:val="0F6C20F8"/>
    <w:rsid w:val="0F9262E5"/>
    <w:rsid w:val="0FD018B6"/>
    <w:rsid w:val="0FEE60A0"/>
    <w:rsid w:val="100B5B75"/>
    <w:rsid w:val="10390CED"/>
    <w:rsid w:val="105D45B9"/>
    <w:rsid w:val="10760AEF"/>
    <w:rsid w:val="10797991"/>
    <w:rsid w:val="108D7FEC"/>
    <w:rsid w:val="10C34A85"/>
    <w:rsid w:val="10E86A85"/>
    <w:rsid w:val="10EB0A61"/>
    <w:rsid w:val="10F96CD3"/>
    <w:rsid w:val="10FD1C16"/>
    <w:rsid w:val="110D477C"/>
    <w:rsid w:val="11230728"/>
    <w:rsid w:val="1134494C"/>
    <w:rsid w:val="114317C8"/>
    <w:rsid w:val="1149436B"/>
    <w:rsid w:val="11551C27"/>
    <w:rsid w:val="116F7948"/>
    <w:rsid w:val="117E3EBF"/>
    <w:rsid w:val="11A63895"/>
    <w:rsid w:val="11AA0E33"/>
    <w:rsid w:val="11D465DE"/>
    <w:rsid w:val="11DC0024"/>
    <w:rsid w:val="11F35E10"/>
    <w:rsid w:val="121E003E"/>
    <w:rsid w:val="12313361"/>
    <w:rsid w:val="123238F4"/>
    <w:rsid w:val="124E6914"/>
    <w:rsid w:val="129B7938"/>
    <w:rsid w:val="12AA4371"/>
    <w:rsid w:val="12CC26ED"/>
    <w:rsid w:val="12D84CD4"/>
    <w:rsid w:val="12E84200"/>
    <w:rsid w:val="12F51579"/>
    <w:rsid w:val="12F65A31"/>
    <w:rsid w:val="12FD7CCA"/>
    <w:rsid w:val="13042B7A"/>
    <w:rsid w:val="131909C4"/>
    <w:rsid w:val="131F2662"/>
    <w:rsid w:val="137139DD"/>
    <w:rsid w:val="13852ECA"/>
    <w:rsid w:val="13BA2040"/>
    <w:rsid w:val="13C139AF"/>
    <w:rsid w:val="13E01C4A"/>
    <w:rsid w:val="14032E1B"/>
    <w:rsid w:val="142B3045"/>
    <w:rsid w:val="14333776"/>
    <w:rsid w:val="144E16AB"/>
    <w:rsid w:val="144F6715"/>
    <w:rsid w:val="14740A1C"/>
    <w:rsid w:val="147A16BB"/>
    <w:rsid w:val="14AA5797"/>
    <w:rsid w:val="14D53C37"/>
    <w:rsid w:val="15283DF9"/>
    <w:rsid w:val="154D743D"/>
    <w:rsid w:val="15667555"/>
    <w:rsid w:val="1588503E"/>
    <w:rsid w:val="15997A33"/>
    <w:rsid w:val="15A97268"/>
    <w:rsid w:val="15B52B26"/>
    <w:rsid w:val="15CF1DD7"/>
    <w:rsid w:val="15E224A7"/>
    <w:rsid w:val="16150220"/>
    <w:rsid w:val="164342FA"/>
    <w:rsid w:val="16536803"/>
    <w:rsid w:val="16573DB1"/>
    <w:rsid w:val="165770B0"/>
    <w:rsid w:val="16A22BEB"/>
    <w:rsid w:val="16C43712"/>
    <w:rsid w:val="16CB645F"/>
    <w:rsid w:val="16D74B46"/>
    <w:rsid w:val="16FC1F08"/>
    <w:rsid w:val="171820A2"/>
    <w:rsid w:val="171877C6"/>
    <w:rsid w:val="17571001"/>
    <w:rsid w:val="17707BBF"/>
    <w:rsid w:val="17776970"/>
    <w:rsid w:val="179E6119"/>
    <w:rsid w:val="17B374D2"/>
    <w:rsid w:val="17B80644"/>
    <w:rsid w:val="17BA1FA3"/>
    <w:rsid w:val="17C7601A"/>
    <w:rsid w:val="17CF624F"/>
    <w:rsid w:val="181270D8"/>
    <w:rsid w:val="183A7AB3"/>
    <w:rsid w:val="183C74C7"/>
    <w:rsid w:val="18402742"/>
    <w:rsid w:val="185C4B83"/>
    <w:rsid w:val="18930869"/>
    <w:rsid w:val="190C0B53"/>
    <w:rsid w:val="19540841"/>
    <w:rsid w:val="1962480C"/>
    <w:rsid w:val="196A5697"/>
    <w:rsid w:val="19A60971"/>
    <w:rsid w:val="1A6257C6"/>
    <w:rsid w:val="1A7B185F"/>
    <w:rsid w:val="1AA66E7A"/>
    <w:rsid w:val="1ABD41C4"/>
    <w:rsid w:val="1ACA77FB"/>
    <w:rsid w:val="1ACC5BF8"/>
    <w:rsid w:val="1AD774CB"/>
    <w:rsid w:val="1B124510"/>
    <w:rsid w:val="1B1E67F8"/>
    <w:rsid w:val="1B200CF6"/>
    <w:rsid w:val="1B390BDC"/>
    <w:rsid w:val="1B5C1AF3"/>
    <w:rsid w:val="1B8972B8"/>
    <w:rsid w:val="1B8E7170"/>
    <w:rsid w:val="1BA55443"/>
    <w:rsid w:val="1BAD7680"/>
    <w:rsid w:val="1BBD111D"/>
    <w:rsid w:val="1BE0443F"/>
    <w:rsid w:val="1BEF6F49"/>
    <w:rsid w:val="1C13053F"/>
    <w:rsid w:val="1C471722"/>
    <w:rsid w:val="1C5C588F"/>
    <w:rsid w:val="1C821221"/>
    <w:rsid w:val="1C983F97"/>
    <w:rsid w:val="1CB1569A"/>
    <w:rsid w:val="1CB313F6"/>
    <w:rsid w:val="1CEF0D6A"/>
    <w:rsid w:val="1CFB6B14"/>
    <w:rsid w:val="1D3C45B0"/>
    <w:rsid w:val="1D4028B0"/>
    <w:rsid w:val="1DD9385C"/>
    <w:rsid w:val="1E00462C"/>
    <w:rsid w:val="1E1C5E73"/>
    <w:rsid w:val="1E1C7453"/>
    <w:rsid w:val="1E3D5BFF"/>
    <w:rsid w:val="1E3F5B0A"/>
    <w:rsid w:val="1E402DD2"/>
    <w:rsid w:val="1E590153"/>
    <w:rsid w:val="1E5B585E"/>
    <w:rsid w:val="1E703E54"/>
    <w:rsid w:val="1EA0459D"/>
    <w:rsid w:val="1EAE00EE"/>
    <w:rsid w:val="1EB21D4C"/>
    <w:rsid w:val="1EBC5938"/>
    <w:rsid w:val="1ECC5D06"/>
    <w:rsid w:val="1ED42809"/>
    <w:rsid w:val="1EF26162"/>
    <w:rsid w:val="1EFC4C0E"/>
    <w:rsid w:val="1F6A2CF4"/>
    <w:rsid w:val="1F796CCC"/>
    <w:rsid w:val="1F9F2549"/>
    <w:rsid w:val="1FC81641"/>
    <w:rsid w:val="1FCC5382"/>
    <w:rsid w:val="1FD86B10"/>
    <w:rsid w:val="1FFD6FC8"/>
    <w:rsid w:val="1FFE3AC1"/>
    <w:rsid w:val="202279CC"/>
    <w:rsid w:val="202E28C0"/>
    <w:rsid w:val="20441B19"/>
    <w:rsid w:val="20550C1B"/>
    <w:rsid w:val="20663493"/>
    <w:rsid w:val="2069018D"/>
    <w:rsid w:val="20A0219D"/>
    <w:rsid w:val="20B87A68"/>
    <w:rsid w:val="20BF45FE"/>
    <w:rsid w:val="20C70459"/>
    <w:rsid w:val="2102069D"/>
    <w:rsid w:val="21072432"/>
    <w:rsid w:val="21082292"/>
    <w:rsid w:val="21A06E5B"/>
    <w:rsid w:val="21C9221A"/>
    <w:rsid w:val="21DF2C72"/>
    <w:rsid w:val="21E8394E"/>
    <w:rsid w:val="21EC0C0F"/>
    <w:rsid w:val="21F00C93"/>
    <w:rsid w:val="21FB5C14"/>
    <w:rsid w:val="21FB60D3"/>
    <w:rsid w:val="220C72DA"/>
    <w:rsid w:val="22160B82"/>
    <w:rsid w:val="228952D6"/>
    <w:rsid w:val="2297314D"/>
    <w:rsid w:val="229F23A9"/>
    <w:rsid w:val="22A23130"/>
    <w:rsid w:val="22A279E3"/>
    <w:rsid w:val="22A30143"/>
    <w:rsid w:val="22BA2B41"/>
    <w:rsid w:val="22D26F9A"/>
    <w:rsid w:val="22E3461C"/>
    <w:rsid w:val="22F15352"/>
    <w:rsid w:val="23280DAF"/>
    <w:rsid w:val="235D05EE"/>
    <w:rsid w:val="2374034F"/>
    <w:rsid w:val="23AF69F1"/>
    <w:rsid w:val="23B12896"/>
    <w:rsid w:val="23CB0902"/>
    <w:rsid w:val="23EF0A76"/>
    <w:rsid w:val="23F316BB"/>
    <w:rsid w:val="245C759D"/>
    <w:rsid w:val="246F2CB5"/>
    <w:rsid w:val="24763848"/>
    <w:rsid w:val="247C12B5"/>
    <w:rsid w:val="24827E18"/>
    <w:rsid w:val="24963225"/>
    <w:rsid w:val="24BE4734"/>
    <w:rsid w:val="24C31569"/>
    <w:rsid w:val="252D0794"/>
    <w:rsid w:val="25377C12"/>
    <w:rsid w:val="255505B4"/>
    <w:rsid w:val="25902E9C"/>
    <w:rsid w:val="25B0273C"/>
    <w:rsid w:val="25D45C3E"/>
    <w:rsid w:val="25DD61F7"/>
    <w:rsid w:val="25E81861"/>
    <w:rsid w:val="26034EF6"/>
    <w:rsid w:val="260E6047"/>
    <w:rsid w:val="263D5C2C"/>
    <w:rsid w:val="268100BF"/>
    <w:rsid w:val="268C4476"/>
    <w:rsid w:val="26AE1FC0"/>
    <w:rsid w:val="26AF716B"/>
    <w:rsid w:val="27126E5B"/>
    <w:rsid w:val="27437FDF"/>
    <w:rsid w:val="276E7580"/>
    <w:rsid w:val="277B5D96"/>
    <w:rsid w:val="279E1806"/>
    <w:rsid w:val="279F27E3"/>
    <w:rsid w:val="281E11E4"/>
    <w:rsid w:val="28776B74"/>
    <w:rsid w:val="28936921"/>
    <w:rsid w:val="28B92147"/>
    <w:rsid w:val="292875F4"/>
    <w:rsid w:val="293624BD"/>
    <w:rsid w:val="294D49C5"/>
    <w:rsid w:val="296231D6"/>
    <w:rsid w:val="29BA0A21"/>
    <w:rsid w:val="2A0E67EA"/>
    <w:rsid w:val="2A19597B"/>
    <w:rsid w:val="2A23324E"/>
    <w:rsid w:val="2A6C2D68"/>
    <w:rsid w:val="2A7439F6"/>
    <w:rsid w:val="2AFD4EC5"/>
    <w:rsid w:val="2AFF1738"/>
    <w:rsid w:val="2B046437"/>
    <w:rsid w:val="2B1B420B"/>
    <w:rsid w:val="2B376F2C"/>
    <w:rsid w:val="2B417276"/>
    <w:rsid w:val="2B5A5895"/>
    <w:rsid w:val="2B780DBB"/>
    <w:rsid w:val="2BB619B3"/>
    <w:rsid w:val="2BDA5C4B"/>
    <w:rsid w:val="2BF8505C"/>
    <w:rsid w:val="2C13295B"/>
    <w:rsid w:val="2C3F2C8B"/>
    <w:rsid w:val="2C5A2AE8"/>
    <w:rsid w:val="2C685386"/>
    <w:rsid w:val="2C852F06"/>
    <w:rsid w:val="2C905476"/>
    <w:rsid w:val="2C981CCD"/>
    <w:rsid w:val="2C9F53AF"/>
    <w:rsid w:val="2CAE2083"/>
    <w:rsid w:val="2CB84072"/>
    <w:rsid w:val="2CBA641B"/>
    <w:rsid w:val="2D040C32"/>
    <w:rsid w:val="2D0757A6"/>
    <w:rsid w:val="2D576C63"/>
    <w:rsid w:val="2D982E0B"/>
    <w:rsid w:val="2DB53B3B"/>
    <w:rsid w:val="2DB63DDF"/>
    <w:rsid w:val="2DCC44FF"/>
    <w:rsid w:val="2E072654"/>
    <w:rsid w:val="2E5E1319"/>
    <w:rsid w:val="2E6F38EF"/>
    <w:rsid w:val="2E7D4B79"/>
    <w:rsid w:val="2EC24EAE"/>
    <w:rsid w:val="2EC3575E"/>
    <w:rsid w:val="2EF91817"/>
    <w:rsid w:val="2F466CCF"/>
    <w:rsid w:val="2F47109C"/>
    <w:rsid w:val="2F4B2213"/>
    <w:rsid w:val="2F9075F6"/>
    <w:rsid w:val="2F9A594D"/>
    <w:rsid w:val="2FE778C1"/>
    <w:rsid w:val="2FF3519E"/>
    <w:rsid w:val="307B4A76"/>
    <w:rsid w:val="30E14F3B"/>
    <w:rsid w:val="313279B0"/>
    <w:rsid w:val="317F3D7D"/>
    <w:rsid w:val="31960D20"/>
    <w:rsid w:val="31A435DE"/>
    <w:rsid w:val="31CD0C24"/>
    <w:rsid w:val="31D66DA6"/>
    <w:rsid w:val="31F0559B"/>
    <w:rsid w:val="31FF60CF"/>
    <w:rsid w:val="322963D4"/>
    <w:rsid w:val="324C7494"/>
    <w:rsid w:val="324E528F"/>
    <w:rsid w:val="32642296"/>
    <w:rsid w:val="32A01606"/>
    <w:rsid w:val="32C94A9C"/>
    <w:rsid w:val="32D93D68"/>
    <w:rsid w:val="32E120A3"/>
    <w:rsid w:val="32E752BB"/>
    <w:rsid w:val="32F84566"/>
    <w:rsid w:val="332D454F"/>
    <w:rsid w:val="334E1463"/>
    <w:rsid w:val="33C54B71"/>
    <w:rsid w:val="33C87A09"/>
    <w:rsid w:val="34126ECB"/>
    <w:rsid w:val="348E3F5F"/>
    <w:rsid w:val="34A07D70"/>
    <w:rsid w:val="34A65EB2"/>
    <w:rsid w:val="34AE125F"/>
    <w:rsid w:val="34D84426"/>
    <w:rsid w:val="34D85063"/>
    <w:rsid w:val="34E70363"/>
    <w:rsid w:val="350318B2"/>
    <w:rsid w:val="352548D7"/>
    <w:rsid w:val="352A70A8"/>
    <w:rsid w:val="359B5E22"/>
    <w:rsid w:val="359C1AAB"/>
    <w:rsid w:val="35A63D95"/>
    <w:rsid w:val="35AB3B2B"/>
    <w:rsid w:val="35B11597"/>
    <w:rsid w:val="35B828FE"/>
    <w:rsid w:val="35F7478C"/>
    <w:rsid w:val="360B3E62"/>
    <w:rsid w:val="364E1FAC"/>
    <w:rsid w:val="36502FEF"/>
    <w:rsid w:val="367F29FE"/>
    <w:rsid w:val="36927BAE"/>
    <w:rsid w:val="36B06732"/>
    <w:rsid w:val="36C24DA9"/>
    <w:rsid w:val="36C26B8E"/>
    <w:rsid w:val="36E41E01"/>
    <w:rsid w:val="36F42649"/>
    <w:rsid w:val="373B4B09"/>
    <w:rsid w:val="3744619F"/>
    <w:rsid w:val="375F48B5"/>
    <w:rsid w:val="376D2DA2"/>
    <w:rsid w:val="37797AAB"/>
    <w:rsid w:val="37965565"/>
    <w:rsid w:val="37FF7C7E"/>
    <w:rsid w:val="3842422E"/>
    <w:rsid w:val="386D6DD1"/>
    <w:rsid w:val="389649C5"/>
    <w:rsid w:val="3971655D"/>
    <w:rsid w:val="39735B4B"/>
    <w:rsid w:val="39BA1ADC"/>
    <w:rsid w:val="39BE0E02"/>
    <w:rsid w:val="3A5E59CC"/>
    <w:rsid w:val="3A735F50"/>
    <w:rsid w:val="3A8202CA"/>
    <w:rsid w:val="3A8D08BE"/>
    <w:rsid w:val="3AC740E5"/>
    <w:rsid w:val="3AE83416"/>
    <w:rsid w:val="3B1E1277"/>
    <w:rsid w:val="3B241639"/>
    <w:rsid w:val="3B2958E9"/>
    <w:rsid w:val="3B340B10"/>
    <w:rsid w:val="3B4342F2"/>
    <w:rsid w:val="3BAC54A0"/>
    <w:rsid w:val="3BB450D2"/>
    <w:rsid w:val="3BB83A55"/>
    <w:rsid w:val="3C016259"/>
    <w:rsid w:val="3C07263B"/>
    <w:rsid w:val="3C4E319D"/>
    <w:rsid w:val="3C70334F"/>
    <w:rsid w:val="3C797D13"/>
    <w:rsid w:val="3C806348"/>
    <w:rsid w:val="3CD2615F"/>
    <w:rsid w:val="3D11205B"/>
    <w:rsid w:val="3D385754"/>
    <w:rsid w:val="3D3D55B3"/>
    <w:rsid w:val="3D50398D"/>
    <w:rsid w:val="3D5619DA"/>
    <w:rsid w:val="3D5F6A55"/>
    <w:rsid w:val="3D604ED5"/>
    <w:rsid w:val="3D780336"/>
    <w:rsid w:val="3DC92CFC"/>
    <w:rsid w:val="3DE25DB3"/>
    <w:rsid w:val="3DE6670E"/>
    <w:rsid w:val="3E0D2B9C"/>
    <w:rsid w:val="3E445CEF"/>
    <w:rsid w:val="3E4D7BE8"/>
    <w:rsid w:val="3E5325C6"/>
    <w:rsid w:val="3E7A463F"/>
    <w:rsid w:val="3E925B12"/>
    <w:rsid w:val="3EA45827"/>
    <w:rsid w:val="3EB10774"/>
    <w:rsid w:val="3EF07329"/>
    <w:rsid w:val="3EFB0FE0"/>
    <w:rsid w:val="3F0128C7"/>
    <w:rsid w:val="3F12480E"/>
    <w:rsid w:val="3F3428F7"/>
    <w:rsid w:val="3F50722A"/>
    <w:rsid w:val="3F645D9C"/>
    <w:rsid w:val="3F8E1AF4"/>
    <w:rsid w:val="3FA35235"/>
    <w:rsid w:val="3FC12F2F"/>
    <w:rsid w:val="3FCB2B69"/>
    <w:rsid w:val="3FCF3ECE"/>
    <w:rsid w:val="3FFD4490"/>
    <w:rsid w:val="4026608A"/>
    <w:rsid w:val="402823B4"/>
    <w:rsid w:val="405A34BE"/>
    <w:rsid w:val="40650AB8"/>
    <w:rsid w:val="40A73A11"/>
    <w:rsid w:val="40D50F73"/>
    <w:rsid w:val="40E765BD"/>
    <w:rsid w:val="40F97CA8"/>
    <w:rsid w:val="410D6E30"/>
    <w:rsid w:val="412A6279"/>
    <w:rsid w:val="41412351"/>
    <w:rsid w:val="414E6719"/>
    <w:rsid w:val="416D4D8C"/>
    <w:rsid w:val="417A46D4"/>
    <w:rsid w:val="419345E1"/>
    <w:rsid w:val="41940CDA"/>
    <w:rsid w:val="41AA2509"/>
    <w:rsid w:val="41CF0BCF"/>
    <w:rsid w:val="41D427C4"/>
    <w:rsid w:val="41E04248"/>
    <w:rsid w:val="42027434"/>
    <w:rsid w:val="42042CCA"/>
    <w:rsid w:val="42073265"/>
    <w:rsid w:val="42812A86"/>
    <w:rsid w:val="42B56350"/>
    <w:rsid w:val="42EA15F6"/>
    <w:rsid w:val="432C5504"/>
    <w:rsid w:val="43365770"/>
    <w:rsid w:val="43423D8B"/>
    <w:rsid w:val="43482809"/>
    <w:rsid w:val="436D237B"/>
    <w:rsid w:val="43727FC7"/>
    <w:rsid w:val="43794BD1"/>
    <w:rsid w:val="438815DB"/>
    <w:rsid w:val="439006C3"/>
    <w:rsid w:val="43942E6F"/>
    <w:rsid w:val="440D2E29"/>
    <w:rsid w:val="445B0426"/>
    <w:rsid w:val="449C1209"/>
    <w:rsid w:val="44C409AF"/>
    <w:rsid w:val="44CB6471"/>
    <w:rsid w:val="44D70159"/>
    <w:rsid w:val="4504471C"/>
    <w:rsid w:val="45152417"/>
    <w:rsid w:val="4567448A"/>
    <w:rsid w:val="45791C6C"/>
    <w:rsid w:val="45D05F89"/>
    <w:rsid w:val="460008CE"/>
    <w:rsid w:val="46155582"/>
    <w:rsid w:val="46212412"/>
    <w:rsid w:val="46A301C2"/>
    <w:rsid w:val="46A83331"/>
    <w:rsid w:val="46B215A3"/>
    <w:rsid w:val="46C36755"/>
    <w:rsid w:val="46D027AA"/>
    <w:rsid w:val="47396823"/>
    <w:rsid w:val="476D5EBB"/>
    <w:rsid w:val="47711558"/>
    <w:rsid w:val="47723768"/>
    <w:rsid w:val="47D9353C"/>
    <w:rsid w:val="47E54F55"/>
    <w:rsid w:val="48056A06"/>
    <w:rsid w:val="48652BD4"/>
    <w:rsid w:val="48693454"/>
    <w:rsid w:val="489062EC"/>
    <w:rsid w:val="48961FF5"/>
    <w:rsid w:val="48A25DD0"/>
    <w:rsid w:val="48DD2962"/>
    <w:rsid w:val="49490BB1"/>
    <w:rsid w:val="494B36B3"/>
    <w:rsid w:val="49692915"/>
    <w:rsid w:val="496E65D0"/>
    <w:rsid w:val="4A111CB3"/>
    <w:rsid w:val="4A3847B0"/>
    <w:rsid w:val="4A3F772C"/>
    <w:rsid w:val="4A492B02"/>
    <w:rsid w:val="4A584C12"/>
    <w:rsid w:val="4A653EE0"/>
    <w:rsid w:val="4A6603DD"/>
    <w:rsid w:val="4A6E7668"/>
    <w:rsid w:val="4A8E08A1"/>
    <w:rsid w:val="4A9D3546"/>
    <w:rsid w:val="4ABC719B"/>
    <w:rsid w:val="4B040E73"/>
    <w:rsid w:val="4B054806"/>
    <w:rsid w:val="4B217C72"/>
    <w:rsid w:val="4B323DAD"/>
    <w:rsid w:val="4B6C0448"/>
    <w:rsid w:val="4B992729"/>
    <w:rsid w:val="4BB548C0"/>
    <w:rsid w:val="4BD22D93"/>
    <w:rsid w:val="4BF14E5C"/>
    <w:rsid w:val="4BF6455A"/>
    <w:rsid w:val="4C2C72E7"/>
    <w:rsid w:val="4C2F6420"/>
    <w:rsid w:val="4C4E0422"/>
    <w:rsid w:val="4CB2203E"/>
    <w:rsid w:val="4D2F1ADF"/>
    <w:rsid w:val="4D397E04"/>
    <w:rsid w:val="4D5B3007"/>
    <w:rsid w:val="4D815039"/>
    <w:rsid w:val="4D83282D"/>
    <w:rsid w:val="4DA8648A"/>
    <w:rsid w:val="4DB91463"/>
    <w:rsid w:val="4DBC3CE3"/>
    <w:rsid w:val="4DD26CD8"/>
    <w:rsid w:val="4DE16570"/>
    <w:rsid w:val="4DF64A7C"/>
    <w:rsid w:val="4E546612"/>
    <w:rsid w:val="4E663FE6"/>
    <w:rsid w:val="4E802F63"/>
    <w:rsid w:val="4EA355D2"/>
    <w:rsid w:val="4EBC4081"/>
    <w:rsid w:val="4ECB206C"/>
    <w:rsid w:val="4ED02D42"/>
    <w:rsid w:val="4F377CE8"/>
    <w:rsid w:val="4F48599F"/>
    <w:rsid w:val="4F604C84"/>
    <w:rsid w:val="4F7A0880"/>
    <w:rsid w:val="4F96706C"/>
    <w:rsid w:val="4F9B3924"/>
    <w:rsid w:val="4FA060F5"/>
    <w:rsid w:val="4FC915F8"/>
    <w:rsid w:val="4FD05E0A"/>
    <w:rsid w:val="500B0F52"/>
    <w:rsid w:val="50421741"/>
    <w:rsid w:val="504E4277"/>
    <w:rsid w:val="506F3038"/>
    <w:rsid w:val="507256E0"/>
    <w:rsid w:val="50B02BCA"/>
    <w:rsid w:val="50B213CE"/>
    <w:rsid w:val="50CC1832"/>
    <w:rsid w:val="50F07683"/>
    <w:rsid w:val="51316332"/>
    <w:rsid w:val="516C70A1"/>
    <w:rsid w:val="52264998"/>
    <w:rsid w:val="52854FEC"/>
    <w:rsid w:val="52ED3DDA"/>
    <w:rsid w:val="5302247A"/>
    <w:rsid w:val="5322669A"/>
    <w:rsid w:val="53315390"/>
    <w:rsid w:val="533A5121"/>
    <w:rsid w:val="534B0C47"/>
    <w:rsid w:val="5360776D"/>
    <w:rsid w:val="53676546"/>
    <w:rsid w:val="537261AA"/>
    <w:rsid w:val="53E411F3"/>
    <w:rsid w:val="53EC4002"/>
    <w:rsid w:val="544D59FD"/>
    <w:rsid w:val="54A2438E"/>
    <w:rsid w:val="54FD0B04"/>
    <w:rsid w:val="550479F9"/>
    <w:rsid w:val="554054D5"/>
    <w:rsid w:val="5565242B"/>
    <w:rsid w:val="55717AA9"/>
    <w:rsid w:val="558B0EF2"/>
    <w:rsid w:val="55974F06"/>
    <w:rsid w:val="55A7171D"/>
    <w:rsid w:val="56195DC5"/>
    <w:rsid w:val="561F7505"/>
    <w:rsid w:val="56396D9A"/>
    <w:rsid w:val="564B02FA"/>
    <w:rsid w:val="565C42B5"/>
    <w:rsid w:val="5671771B"/>
    <w:rsid w:val="569F5204"/>
    <w:rsid w:val="56A40F80"/>
    <w:rsid w:val="56E30A23"/>
    <w:rsid w:val="56F805D3"/>
    <w:rsid w:val="572F2122"/>
    <w:rsid w:val="5732282D"/>
    <w:rsid w:val="573F41BC"/>
    <w:rsid w:val="57513E3C"/>
    <w:rsid w:val="575E71D1"/>
    <w:rsid w:val="57656AAF"/>
    <w:rsid w:val="57780285"/>
    <w:rsid w:val="57895841"/>
    <w:rsid w:val="578D66F1"/>
    <w:rsid w:val="57CB7122"/>
    <w:rsid w:val="57D64F3C"/>
    <w:rsid w:val="580F49BF"/>
    <w:rsid w:val="58167EF7"/>
    <w:rsid w:val="58280B32"/>
    <w:rsid w:val="58371999"/>
    <w:rsid w:val="58726008"/>
    <w:rsid w:val="58C67724"/>
    <w:rsid w:val="58F74373"/>
    <w:rsid w:val="59002D5A"/>
    <w:rsid w:val="590F1AB3"/>
    <w:rsid w:val="5913685F"/>
    <w:rsid w:val="591E3AA4"/>
    <w:rsid w:val="592B2BC8"/>
    <w:rsid w:val="5932697F"/>
    <w:rsid w:val="5945570A"/>
    <w:rsid w:val="59843CBF"/>
    <w:rsid w:val="598A1022"/>
    <w:rsid w:val="59B44E5D"/>
    <w:rsid w:val="59B93578"/>
    <w:rsid w:val="59C60319"/>
    <w:rsid w:val="5A636A25"/>
    <w:rsid w:val="5A967AC9"/>
    <w:rsid w:val="5AC36C93"/>
    <w:rsid w:val="5B5267B9"/>
    <w:rsid w:val="5B5F034D"/>
    <w:rsid w:val="5B64318C"/>
    <w:rsid w:val="5B7A2A80"/>
    <w:rsid w:val="5B9242D5"/>
    <w:rsid w:val="5BC00E23"/>
    <w:rsid w:val="5BC05588"/>
    <w:rsid w:val="5BD42E24"/>
    <w:rsid w:val="5BE21F66"/>
    <w:rsid w:val="5BFB37A6"/>
    <w:rsid w:val="5C240C7B"/>
    <w:rsid w:val="5C8D51F6"/>
    <w:rsid w:val="5CA52AF5"/>
    <w:rsid w:val="5CB963A2"/>
    <w:rsid w:val="5CC41C0D"/>
    <w:rsid w:val="5CCE1A7B"/>
    <w:rsid w:val="5CE42D12"/>
    <w:rsid w:val="5CF36FF6"/>
    <w:rsid w:val="5D5D7AEC"/>
    <w:rsid w:val="5DB07B64"/>
    <w:rsid w:val="5DDE2965"/>
    <w:rsid w:val="5DE55D4F"/>
    <w:rsid w:val="5E0B635A"/>
    <w:rsid w:val="5E1F1A63"/>
    <w:rsid w:val="5E203FCF"/>
    <w:rsid w:val="5E23390B"/>
    <w:rsid w:val="5EA11D24"/>
    <w:rsid w:val="5EAD0956"/>
    <w:rsid w:val="5EBD3528"/>
    <w:rsid w:val="5ED02091"/>
    <w:rsid w:val="5EF54261"/>
    <w:rsid w:val="5EF66F80"/>
    <w:rsid w:val="5EFD3DCB"/>
    <w:rsid w:val="5F135E4F"/>
    <w:rsid w:val="5F323D85"/>
    <w:rsid w:val="5F3926B1"/>
    <w:rsid w:val="5F525098"/>
    <w:rsid w:val="5F5919A6"/>
    <w:rsid w:val="5F82440E"/>
    <w:rsid w:val="5F9024AC"/>
    <w:rsid w:val="5FAF771F"/>
    <w:rsid w:val="5FE408D5"/>
    <w:rsid w:val="5FF0492B"/>
    <w:rsid w:val="60210B27"/>
    <w:rsid w:val="602A5424"/>
    <w:rsid w:val="605E0C2A"/>
    <w:rsid w:val="60992FAF"/>
    <w:rsid w:val="60BD590C"/>
    <w:rsid w:val="610B3038"/>
    <w:rsid w:val="613E79F6"/>
    <w:rsid w:val="6157463B"/>
    <w:rsid w:val="617E4947"/>
    <w:rsid w:val="61834DEC"/>
    <w:rsid w:val="618C3680"/>
    <w:rsid w:val="619157A0"/>
    <w:rsid w:val="61A27E4A"/>
    <w:rsid w:val="61AD7FAC"/>
    <w:rsid w:val="61B9082C"/>
    <w:rsid w:val="61E1790B"/>
    <w:rsid w:val="61F43CFC"/>
    <w:rsid w:val="62012E19"/>
    <w:rsid w:val="620C4DF8"/>
    <w:rsid w:val="62552691"/>
    <w:rsid w:val="62764FAB"/>
    <w:rsid w:val="62835858"/>
    <w:rsid w:val="62DB0C58"/>
    <w:rsid w:val="62FE72D8"/>
    <w:rsid w:val="63207C93"/>
    <w:rsid w:val="632259C4"/>
    <w:rsid w:val="63263D0D"/>
    <w:rsid w:val="634D2D5C"/>
    <w:rsid w:val="63632B45"/>
    <w:rsid w:val="63644522"/>
    <w:rsid w:val="6373260F"/>
    <w:rsid w:val="63856413"/>
    <w:rsid w:val="63D201A3"/>
    <w:rsid w:val="64003D27"/>
    <w:rsid w:val="64426F57"/>
    <w:rsid w:val="644763D7"/>
    <w:rsid w:val="646E04C5"/>
    <w:rsid w:val="646E335A"/>
    <w:rsid w:val="6489287E"/>
    <w:rsid w:val="649548FB"/>
    <w:rsid w:val="64AD388C"/>
    <w:rsid w:val="64B60830"/>
    <w:rsid w:val="64D81CF5"/>
    <w:rsid w:val="65420BAE"/>
    <w:rsid w:val="655533F0"/>
    <w:rsid w:val="65A45561"/>
    <w:rsid w:val="66324275"/>
    <w:rsid w:val="66582833"/>
    <w:rsid w:val="66644AC0"/>
    <w:rsid w:val="667557A4"/>
    <w:rsid w:val="66C66E69"/>
    <w:rsid w:val="66FE3167"/>
    <w:rsid w:val="670771EC"/>
    <w:rsid w:val="671D276F"/>
    <w:rsid w:val="673D3AD3"/>
    <w:rsid w:val="67AA791C"/>
    <w:rsid w:val="681253D0"/>
    <w:rsid w:val="68464F3B"/>
    <w:rsid w:val="684A64D9"/>
    <w:rsid w:val="685A6D95"/>
    <w:rsid w:val="687F3E33"/>
    <w:rsid w:val="689B44E8"/>
    <w:rsid w:val="68A32F09"/>
    <w:rsid w:val="68B94F59"/>
    <w:rsid w:val="68C0194D"/>
    <w:rsid w:val="68C65D6E"/>
    <w:rsid w:val="68F2680E"/>
    <w:rsid w:val="6924250F"/>
    <w:rsid w:val="69271690"/>
    <w:rsid w:val="694C0E55"/>
    <w:rsid w:val="696033A5"/>
    <w:rsid w:val="696533DD"/>
    <w:rsid w:val="698E4AF7"/>
    <w:rsid w:val="69A16F46"/>
    <w:rsid w:val="69A53A2F"/>
    <w:rsid w:val="69C55233"/>
    <w:rsid w:val="69EB0D20"/>
    <w:rsid w:val="6A152A41"/>
    <w:rsid w:val="6A624D6D"/>
    <w:rsid w:val="6A6857B4"/>
    <w:rsid w:val="6A932B4B"/>
    <w:rsid w:val="6AAD2EDA"/>
    <w:rsid w:val="6AD246EE"/>
    <w:rsid w:val="6AE663EC"/>
    <w:rsid w:val="6AE866A8"/>
    <w:rsid w:val="6AF619D0"/>
    <w:rsid w:val="6B051D29"/>
    <w:rsid w:val="6B1225A1"/>
    <w:rsid w:val="6B676306"/>
    <w:rsid w:val="6B6D718E"/>
    <w:rsid w:val="6B711B7A"/>
    <w:rsid w:val="6BA90A3A"/>
    <w:rsid w:val="6BC61258"/>
    <w:rsid w:val="6BD43669"/>
    <w:rsid w:val="6BE8725E"/>
    <w:rsid w:val="6C034FFD"/>
    <w:rsid w:val="6C152647"/>
    <w:rsid w:val="6C255D33"/>
    <w:rsid w:val="6C2F6077"/>
    <w:rsid w:val="6C6608D6"/>
    <w:rsid w:val="6C6770B8"/>
    <w:rsid w:val="6C7D5484"/>
    <w:rsid w:val="6C9852E5"/>
    <w:rsid w:val="6C9C1458"/>
    <w:rsid w:val="6CBF7509"/>
    <w:rsid w:val="6CD858AC"/>
    <w:rsid w:val="6CFA7D7F"/>
    <w:rsid w:val="6D2A25C0"/>
    <w:rsid w:val="6D3A657B"/>
    <w:rsid w:val="6D8D7A35"/>
    <w:rsid w:val="6DBD1347"/>
    <w:rsid w:val="6DD26316"/>
    <w:rsid w:val="6E215D96"/>
    <w:rsid w:val="6E245261"/>
    <w:rsid w:val="6E2A7591"/>
    <w:rsid w:val="6E4F523E"/>
    <w:rsid w:val="6E5729A2"/>
    <w:rsid w:val="6E583A1F"/>
    <w:rsid w:val="6EAA495D"/>
    <w:rsid w:val="6EAB742B"/>
    <w:rsid w:val="6EB0558D"/>
    <w:rsid w:val="6EC6113E"/>
    <w:rsid w:val="6EC97476"/>
    <w:rsid w:val="6EDF1648"/>
    <w:rsid w:val="6EFF1080"/>
    <w:rsid w:val="6F04792A"/>
    <w:rsid w:val="6F170E2C"/>
    <w:rsid w:val="6F1C670B"/>
    <w:rsid w:val="6F434E86"/>
    <w:rsid w:val="6F45287E"/>
    <w:rsid w:val="701E7698"/>
    <w:rsid w:val="70531535"/>
    <w:rsid w:val="70BF0D6E"/>
    <w:rsid w:val="70E01DD1"/>
    <w:rsid w:val="71033336"/>
    <w:rsid w:val="71146B51"/>
    <w:rsid w:val="71147230"/>
    <w:rsid w:val="71161C74"/>
    <w:rsid w:val="715916C6"/>
    <w:rsid w:val="71597165"/>
    <w:rsid w:val="716A07BC"/>
    <w:rsid w:val="716B31A7"/>
    <w:rsid w:val="717256AD"/>
    <w:rsid w:val="718544F1"/>
    <w:rsid w:val="718715E5"/>
    <w:rsid w:val="719E2446"/>
    <w:rsid w:val="71C919AA"/>
    <w:rsid w:val="71DE2066"/>
    <w:rsid w:val="71EA30C1"/>
    <w:rsid w:val="720A152D"/>
    <w:rsid w:val="72197677"/>
    <w:rsid w:val="721F1D01"/>
    <w:rsid w:val="7222649A"/>
    <w:rsid w:val="72D11304"/>
    <w:rsid w:val="730C4186"/>
    <w:rsid w:val="7341102A"/>
    <w:rsid w:val="735323A8"/>
    <w:rsid w:val="736B0572"/>
    <w:rsid w:val="737974C3"/>
    <w:rsid w:val="73A17E6A"/>
    <w:rsid w:val="73E16D57"/>
    <w:rsid w:val="73EE0AE6"/>
    <w:rsid w:val="742858BD"/>
    <w:rsid w:val="7453624B"/>
    <w:rsid w:val="746049BA"/>
    <w:rsid w:val="74874E5A"/>
    <w:rsid w:val="74A227F4"/>
    <w:rsid w:val="74A2568B"/>
    <w:rsid w:val="74C47F76"/>
    <w:rsid w:val="74D11688"/>
    <w:rsid w:val="750962A6"/>
    <w:rsid w:val="750977FF"/>
    <w:rsid w:val="754E3DD7"/>
    <w:rsid w:val="7573132B"/>
    <w:rsid w:val="75DC3A8B"/>
    <w:rsid w:val="76021882"/>
    <w:rsid w:val="76160679"/>
    <w:rsid w:val="761715C6"/>
    <w:rsid w:val="76360C3D"/>
    <w:rsid w:val="766574D1"/>
    <w:rsid w:val="766C12B8"/>
    <w:rsid w:val="7671125F"/>
    <w:rsid w:val="767C3DB4"/>
    <w:rsid w:val="768F2CE9"/>
    <w:rsid w:val="76B80955"/>
    <w:rsid w:val="76CB0F80"/>
    <w:rsid w:val="76DE1045"/>
    <w:rsid w:val="76E8442E"/>
    <w:rsid w:val="77132D44"/>
    <w:rsid w:val="771463D1"/>
    <w:rsid w:val="774A39DA"/>
    <w:rsid w:val="77777CEB"/>
    <w:rsid w:val="7796379A"/>
    <w:rsid w:val="77993B8C"/>
    <w:rsid w:val="779B02BA"/>
    <w:rsid w:val="779C230C"/>
    <w:rsid w:val="77AD5663"/>
    <w:rsid w:val="77CA4292"/>
    <w:rsid w:val="77D64484"/>
    <w:rsid w:val="77E922B4"/>
    <w:rsid w:val="77EE5F88"/>
    <w:rsid w:val="782A7918"/>
    <w:rsid w:val="78391529"/>
    <w:rsid w:val="785A31E0"/>
    <w:rsid w:val="786258A4"/>
    <w:rsid w:val="787A60AB"/>
    <w:rsid w:val="78CE1FD7"/>
    <w:rsid w:val="78D0463B"/>
    <w:rsid w:val="7906595E"/>
    <w:rsid w:val="790A7749"/>
    <w:rsid w:val="7917686A"/>
    <w:rsid w:val="794B7201"/>
    <w:rsid w:val="795B0ABE"/>
    <w:rsid w:val="798B1783"/>
    <w:rsid w:val="79A57B03"/>
    <w:rsid w:val="79B2108A"/>
    <w:rsid w:val="7A417E6A"/>
    <w:rsid w:val="7A92024C"/>
    <w:rsid w:val="7A98347A"/>
    <w:rsid w:val="7AA222D1"/>
    <w:rsid w:val="7B0B5BD1"/>
    <w:rsid w:val="7B2F707C"/>
    <w:rsid w:val="7B563349"/>
    <w:rsid w:val="7BA53398"/>
    <w:rsid w:val="7BC71689"/>
    <w:rsid w:val="7BE20360"/>
    <w:rsid w:val="7BEB3862"/>
    <w:rsid w:val="7C1A1A2B"/>
    <w:rsid w:val="7C435CA9"/>
    <w:rsid w:val="7C6158D2"/>
    <w:rsid w:val="7C687374"/>
    <w:rsid w:val="7C727ADF"/>
    <w:rsid w:val="7C78688F"/>
    <w:rsid w:val="7C867510"/>
    <w:rsid w:val="7C932B86"/>
    <w:rsid w:val="7CF01DBB"/>
    <w:rsid w:val="7D21376C"/>
    <w:rsid w:val="7D622331"/>
    <w:rsid w:val="7D8A3772"/>
    <w:rsid w:val="7D8B198E"/>
    <w:rsid w:val="7D934831"/>
    <w:rsid w:val="7DD75B87"/>
    <w:rsid w:val="7DDD367E"/>
    <w:rsid w:val="7DFC7E2B"/>
    <w:rsid w:val="7E122B46"/>
    <w:rsid w:val="7E262275"/>
    <w:rsid w:val="7E2676D0"/>
    <w:rsid w:val="7E4F73AA"/>
    <w:rsid w:val="7E74200D"/>
    <w:rsid w:val="7E7B6F9A"/>
    <w:rsid w:val="7EA22277"/>
    <w:rsid w:val="7EC63541"/>
    <w:rsid w:val="7EED4B13"/>
    <w:rsid w:val="7F0B77BF"/>
    <w:rsid w:val="7F8B1A78"/>
    <w:rsid w:val="7FA418D8"/>
    <w:rsid w:val="7FA92784"/>
    <w:rsid w:val="7FDD570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21"/>
      <w:szCs w:val="24"/>
      <w:lang w:val="en-US" w:eastAsia="zh-CN" w:bidi="ar-SA"/>
    </w:rPr>
  </w:style>
  <w:style w:type="paragraph" w:styleId="3">
    <w:name w:val="heading 1"/>
    <w:basedOn w:val="1"/>
    <w:next w:val="1"/>
    <w:qFormat/>
    <w:uiPriority w:val="0"/>
    <w:pPr>
      <w:keepNext/>
      <w:keepLines/>
      <w:spacing w:before="120" w:after="120"/>
      <w:jc w:val="center"/>
      <w:outlineLvl w:val="0"/>
    </w:pPr>
    <w:rPr>
      <w:b/>
      <w:kern w:val="44"/>
      <w:sz w:val="44"/>
    </w:rPr>
  </w:style>
  <w:style w:type="paragraph" w:styleId="4">
    <w:name w:val="heading 2"/>
    <w:basedOn w:val="1"/>
    <w:next w:val="1"/>
    <w:qFormat/>
    <w:uiPriority w:val="0"/>
    <w:pPr>
      <w:keepNext/>
      <w:keepLines/>
      <w:spacing w:before="140" w:after="140" w:line="413" w:lineRule="auto"/>
      <w:jc w:val="center"/>
      <w:outlineLvl w:val="1"/>
    </w:pPr>
    <w:rPr>
      <w:rFonts w:ascii="Arial" w:hAnsi="Arial"/>
      <w:b/>
      <w:sz w:val="28"/>
    </w:rPr>
  </w:style>
  <w:style w:type="paragraph" w:styleId="5">
    <w:name w:val="heading 3"/>
    <w:basedOn w:val="1"/>
    <w:next w:val="1"/>
    <w:qFormat/>
    <w:uiPriority w:val="9"/>
    <w:pPr>
      <w:keepNext/>
      <w:keepLines/>
      <w:spacing w:line="360" w:lineRule="auto"/>
      <w:outlineLvl w:val="2"/>
    </w:pPr>
    <w:rPr>
      <w:b/>
      <w:bCs/>
      <w:szCs w:val="32"/>
    </w:rPr>
  </w:style>
  <w:style w:type="paragraph" w:styleId="2">
    <w:name w:val="heading 4"/>
    <w:basedOn w:val="1"/>
    <w:next w:val="1"/>
    <w:qFormat/>
    <w:uiPriority w:val="0"/>
    <w:pPr>
      <w:keepNext/>
      <w:keepLines/>
      <w:outlineLvl w:val="3"/>
    </w:pPr>
    <w:rPr>
      <w:rFonts w:ascii="Arial" w:hAnsi="Arial" w:eastAsia="黑体"/>
      <w:bCs/>
      <w:kern w:val="0"/>
      <w:sz w:val="24"/>
      <w:szCs w:val="28"/>
    </w:rPr>
  </w:style>
  <w:style w:type="character" w:default="1" w:styleId="19">
    <w:name w:val="Default Paragraph Font"/>
    <w:unhideWhenUsed/>
    <w:qFormat/>
    <w:uiPriority w:val="1"/>
  </w:style>
  <w:style w:type="table" w:default="1" w:styleId="17">
    <w:name w:val="Normal Table"/>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rPr>
  </w:style>
  <w:style w:type="paragraph" w:styleId="7">
    <w:name w:val="caption"/>
    <w:basedOn w:val="1"/>
    <w:next w:val="1"/>
    <w:qFormat/>
    <w:uiPriority w:val="0"/>
    <w:rPr>
      <w:rFonts w:ascii="Arial" w:hAnsi="Arial" w:eastAsia="黑体" w:cs="Arial"/>
      <w:sz w:val="20"/>
      <w:szCs w:val="20"/>
    </w:rPr>
  </w:style>
  <w:style w:type="paragraph" w:styleId="8">
    <w:name w:val="annotation text"/>
    <w:basedOn w:val="1"/>
    <w:unhideWhenUsed/>
    <w:qFormat/>
    <w:uiPriority w:val="99"/>
    <w:pPr>
      <w:jc w:val="left"/>
    </w:pPr>
  </w:style>
  <w:style w:type="paragraph" w:styleId="9">
    <w:name w:val="Body Text"/>
    <w:basedOn w:val="1"/>
    <w:next w:val="1"/>
    <w:qFormat/>
    <w:uiPriority w:val="0"/>
    <w:pPr>
      <w:spacing w:after="120" w:afterLines="0"/>
    </w:pPr>
    <w:rPr>
      <w:rFonts w:ascii="宋体" w:hAnsi="宋体"/>
      <w:kern w:val="2"/>
      <w:sz w:val="28"/>
      <w:szCs w:val="52"/>
    </w:rPr>
  </w:style>
  <w:style w:type="paragraph" w:styleId="10">
    <w:name w:val="Plain Text"/>
    <w:basedOn w:val="1"/>
    <w:qFormat/>
    <w:uiPriority w:val="99"/>
    <w:rPr>
      <w:rFonts w:ascii="宋体" w:hAnsi="Courier New" w:cs="Courier New"/>
      <w:szCs w:val="21"/>
    </w:rPr>
  </w:style>
  <w:style w:type="paragraph" w:styleId="11">
    <w:name w:val="Balloon Text"/>
    <w:basedOn w:val="1"/>
    <w:link w:val="27"/>
    <w:qFormat/>
    <w:uiPriority w:val="0"/>
    <w:rPr>
      <w:sz w:val="18"/>
      <w:szCs w:val="18"/>
    </w:rPr>
  </w:style>
  <w:style w:type="paragraph" w:styleId="12">
    <w:name w:val="footer"/>
    <w:basedOn w:val="1"/>
    <w:link w:val="28"/>
    <w:qFormat/>
    <w:uiPriority w:val="99"/>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4">
    <w:name w:val="Subtitle"/>
    <w:basedOn w:val="1"/>
    <w:next w:val="1"/>
    <w:qFormat/>
    <w:uiPriority w:val="0"/>
    <w:pPr>
      <w:widowControl/>
      <w:spacing w:after="240" w:line="312" w:lineRule="auto"/>
      <w:jc w:val="left"/>
    </w:pPr>
    <w:rPr>
      <w:rFonts w:ascii="Times New Roman" w:hAnsi="Times New Roman"/>
      <w:color w:val="000000"/>
      <w:kern w:val="0"/>
      <w:sz w:val="24"/>
      <w:szCs w:val="20"/>
    </w:rPr>
  </w:style>
  <w:style w:type="paragraph" w:styleId="15">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16">
    <w:name w:val="Normal (Web)"/>
    <w:basedOn w:val="1"/>
    <w:unhideWhenUsed/>
    <w:qFormat/>
    <w:uiPriority w:val="0"/>
    <w:pPr>
      <w:widowControl/>
      <w:spacing w:before="100" w:beforeAutospacing="1" w:after="100" w:afterAutospacing="1"/>
      <w:jc w:val="left"/>
    </w:pPr>
    <w:rPr>
      <w:rFonts w:ascii="宋体" w:hAnsi="宋体" w:eastAsia="宋体" w:cs="宋体"/>
      <w:kern w:val="0"/>
      <w:sz w:val="24"/>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0"/>
    <w:rPr>
      <w:b/>
    </w:rPr>
  </w:style>
  <w:style w:type="character" w:styleId="21">
    <w:name w:val="FollowedHyperlink"/>
    <w:qFormat/>
    <w:uiPriority w:val="0"/>
    <w:rPr>
      <w:rFonts w:ascii="微软雅黑" w:hAnsi="微软雅黑" w:eastAsia="微软雅黑" w:cs="微软雅黑"/>
      <w:color w:val="02396F"/>
      <w:u w:val="single"/>
    </w:rPr>
  </w:style>
  <w:style w:type="character" w:styleId="22">
    <w:name w:val="Emphasis"/>
    <w:basedOn w:val="19"/>
    <w:qFormat/>
    <w:uiPriority w:val="0"/>
    <w:rPr>
      <w:i/>
    </w:rPr>
  </w:style>
  <w:style w:type="character" w:styleId="23">
    <w:name w:val="Hyperlink"/>
    <w:qFormat/>
    <w:uiPriority w:val="0"/>
    <w:rPr>
      <w:rFonts w:hint="eastAsia" w:ascii="微软雅黑" w:hAnsi="微软雅黑" w:eastAsia="微软雅黑" w:cs="微软雅黑"/>
      <w:color w:val="02396F"/>
      <w:u w:val="single"/>
    </w:rPr>
  </w:style>
  <w:style w:type="character" w:styleId="24">
    <w:name w:val="annotation reference"/>
    <w:unhideWhenUsed/>
    <w:qFormat/>
    <w:uiPriority w:val="99"/>
    <w:rPr>
      <w:sz w:val="21"/>
      <w:szCs w:val="21"/>
    </w:rPr>
  </w:style>
  <w:style w:type="paragraph" w:customStyle="1" w:styleId="25">
    <w:name w:val="正文正"/>
    <w:basedOn w:val="26"/>
    <w:qFormat/>
    <w:uiPriority w:val="0"/>
    <w:pPr>
      <w:spacing w:line="560" w:lineRule="exact"/>
      <w:ind w:firstLine="561"/>
    </w:pPr>
    <w:rPr>
      <w:rFonts w:eastAsia="仿宋_GB2312"/>
      <w:sz w:val="28"/>
      <w:szCs w:val="24"/>
    </w:rPr>
  </w:style>
  <w:style w:type="paragraph" w:customStyle="1" w:styleId="26">
    <w:name w:val="正文 New New New New New New New"/>
    <w:qFormat/>
    <w:uiPriority w:val="0"/>
    <w:pPr>
      <w:widowControl w:val="0"/>
      <w:jc w:val="both"/>
    </w:pPr>
    <w:rPr>
      <w:rFonts w:ascii="宋体" w:hAnsi="宋体" w:eastAsia="宋体" w:cs="Times New Roman"/>
      <w:kern w:val="16"/>
      <w:sz w:val="21"/>
      <w:szCs w:val="24"/>
      <w:lang w:val="en-US" w:eastAsia="zh-CN" w:bidi="ar-SA"/>
    </w:rPr>
  </w:style>
  <w:style w:type="character" w:customStyle="1" w:styleId="27">
    <w:name w:val="批注框文本 字符"/>
    <w:link w:val="11"/>
    <w:qFormat/>
    <w:uiPriority w:val="0"/>
    <w:rPr>
      <w:rFonts w:ascii="Calibri" w:hAnsi="Calibri" w:eastAsia="仿宋" w:cs="Times New Roman"/>
      <w:kern w:val="2"/>
      <w:sz w:val="18"/>
      <w:szCs w:val="18"/>
    </w:rPr>
  </w:style>
  <w:style w:type="character" w:customStyle="1" w:styleId="28">
    <w:name w:val="页脚 字符"/>
    <w:link w:val="12"/>
    <w:qFormat/>
    <w:uiPriority w:val="99"/>
    <w:rPr>
      <w:rFonts w:eastAsia="仿宋"/>
      <w:kern w:val="2"/>
      <w:sz w:val="18"/>
      <w:szCs w:val="24"/>
    </w:rPr>
  </w:style>
  <w:style w:type="character" w:customStyle="1" w:styleId="29">
    <w:name w:val="xhebtnblocktag"/>
    <w:basedOn w:val="19"/>
    <w:qFormat/>
    <w:uiPriority w:val="0"/>
  </w:style>
  <w:style w:type="character" w:customStyle="1" w:styleId="30">
    <w:name w:val="xhebtnbold"/>
    <w:basedOn w:val="19"/>
    <w:qFormat/>
    <w:uiPriority w:val="0"/>
  </w:style>
  <w:style w:type="character" w:customStyle="1" w:styleId="31">
    <w:name w:val="xhebtnanchor"/>
    <w:basedOn w:val="19"/>
    <w:qFormat/>
    <w:uiPriority w:val="0"/>
  </w:style>
  <w:style w:type="character" w:customStyle="1" w:styleId="32">
    <w:name w:val="xhebtnindent"/>
    <w:basedOn w:val="19"/>
    <w:qFormat/>
    <w:uiPriority w:val="0"/>
  </w:style>
  <w:style w:type="character" w:customStyle="1" w:styleId="33">
    <w:name w:val="xheseparator"/>
    <w:basedOn w:val="19"/>
    <w:qFormat/>
    <w:uiPriority w:val="0"/>
  </w:style>
  <w:style w:type="character" w:customStyle="1" w:styleId="34">
    <w:name w:val="xhebtnprint"/>
    <w:basedOn w:val="19"/>
    <w:qFormat/>
    <w:uiPriority w:val="0"/>
  </w:style>
  <w:style w:type="character" w:customStyle="1" w:styleId="35">
    <w:name w:val="qxdate"/>
    <w:qFormat/>
    <w:uiPriority w:val="0"/>
    <w:rPr>
      <w:color w:val="333333"/>
      <w:sz w:val="18"/>
      <w:szCs w:val="18"/>
    </w:rPr>
  </w:style>
  <w:style w:type="character" w:customStyle="1" w:styleId="36">
    <w:name w:val="xhebtnstrikethrough"/>
    <w:basedOn w:val="19"/>
    <w:qFormat/>
    <w:uiPriority w:val="0"/>
  </w:style>
  <w:style w:type="character" w:customStyle="1" w:styleId="37">
    <w:name w:val="xhegend"/>
    <w:basedOn w:val="19"/>
    <w:qFormat/>
    <w:uiPriority w:val="0"/>
    <w:rPr>
      <w:vanish/>
    </w:rPr>
  </w:style>
  <w:style w:type="character" w:customStyle="1" w:styleId="38">
    <w:name w:val="redfilenumber"/>
    <w:qFormat/>
    <w:uiPriority w:val="0"/>
    <w:rPr>
      <w:color w:val="BA2636"/>
      <w:sz w:val="18"/>
      <w:szCs w:val="18"/>
    </w:rPr>
  </w:style>
  <w:style w:type="character" w:customStyle="1" w:styleId="39">
    <w:name w:val="xhebtnfontcolor"/>
    <w:basedOn w:val="19"/>
    <w:qFormat/>
    <w:uiPriority w:val="0"/>
  </w:style>
  <w:style w:type="character" w:customStyle="1" w:styleId="40">
    <w:name w:val="xhebtnunderline"/>
    <w:basedOn w:val="19"/>
    <w:qFormat/>
    <w:uiPriority w:val="0"/>
  </w:style>
  <w:style w:type="character" w:customStyle="1" w:styleId="41">
    <w:name w:val="xhebtnselectall"/>
    <w:basedOn w:val="19"/>
    <w:qFormat/>
    <w:uiPriority w:val="0"/>
  </w:style>
  <w:style w:type="character" w:customStyle="1" w:styleId="42">
    <w:name w:val="xhebtnpastetext"/>
    <w:basedOn w:val="19"/>
    <w:qFormat/>
    <w:uiPriority w:val="0"/>
  </w:style>
  <w:style w:type="character" w:customStyle="1" w:styleId="43">
    <w:name w:val="xhebtncopy"/>
    <w:basedOn w:val="19"/>
    <w:qFormat/>
    <w:uiPriority w:val="0"/>
  </w:style>
  <w:style w:type="character" w:customStyle="1" w:styleId="44">
    <w:name w:val="xhebtntable"/>
    <w:basedOn w:val="19"/>
    <w:qFormat/>
    <w:uiPriority w:val="0"/>
  </w:style>
  <w:style w:type="character" w:customStyle="1" w:styleId="45">
    <w:name w:val="xhebtnflash"/>
    <w:basedOn w:val="19"/>
    <w:qFormat/>
    <w:uiPriority w:val="0"/>
  </w:style>
  <w:style w:type="character" w:customStyle="1" w:styleId="46">
    <w:name w:val="xhebtnfontsize"/>
    <w:basedOn w:val="19"/>
    <w:qFormat/>
    <w:uiPriority w:val="0"/>
  </w:style>
  <w:style w:type="character" w:customStyle="1" w:styleId="47">
    <w:name w:val="xhebtnabout"/>
    <w:basedOn w:val="19"/>
    <w:qFormat/>
    <w:uiPriority w:val="0"/>
  </w:style>
  <w:style w:type="character" w:customStyle="1" w:styleId="48">
    <w:name w:val="gjfg"/>
    <w:basedOn w:val="19"/>
    <w:qFormat/>
    <w:uiPriority w:val="0"/>
  </w:style>
  <w:style w:type="character" w:customStyle="1" w:styleId="49">
    <w:name w:val="xhebtnlink"/>
    <w:basedOn w:val="19"/>
    <w:qFormat/>
    <w:uiPriority w:val="0"/>
  </w:style>
  <w:style w:type="character" w:customStyle="1" w:styleId="50">
    <w:name w:val="redfilefwwh"/>
    <w:qFormat/>
    <w:uiPriority w:val="0"/>
    <w:rPr>
      <w:color w:val="BA2636"/>
      <w:sz w:val="18"/>
      <w:szCs w:val="18"/>
    </w:rPr>
  </w:style>
  <w:style w:type="character" w:customStyle="1" w:styleId="51">
    <w:name w:val="xhebtnalign"/>
    <w:basedOn w:val="19"/>
    <w:qFormat/>
    <w:uiPriority w:val="0"/>
  </w:style>
  <w:style w:type="character" w:customStyle="1" w:styleId="52">
    <w:name w:val="xhebtnunlink"/>
    <w:basedOn w:val="19"/>
    <w:qFormat/>
    <w:uiPriority w:val="0"/>
  </w:style>
  <w:style w:type="character" w:customStyle="1" w:styleId="53">
    <w:name w:val="displayarti"/>
    <w:qFormat/>
    <w:uiPriority w:val="0"/>
    <w:rPr>
      <w:color w:val="FFFFFF"/>
      <w:shd w:val="clear" w:color="auto" w:fill="A00000"/>
    </w:rPr>
  </w:style>
  <w:style w:type="character" w:customStyle="1" w:styleId="54">
    <w:name w:val="xhebtnitalic"/>
    <w:basedOn w:val="19"/>
    <w:qFormat/>
    <w:uiPriority w:val="0"/>
  </w:style>
  <w:style w:type="character" w:customStyle="1" w:styleId="55">
    <w:name w:val="xhebtnmedia"/>
    <w:basedOn w:val="19"/>
    <w:qFormat/>
    <w:uiPriority w:val="0"/>
  </w:style>
  <w:style w:type="character" w:customStyle="1" w:styleId="56">
    <w:name w:val="xhebtncut"/>
    <w:basedOn w:val="19"/>
    <w:qFormat/>
    <w:uiPriority w:val="0"/>
  </w:style>
  <w:style w:type="character" w:customStyle="1" w:styleId="57">
    <w:name w:val="xhegstart"/>
    <w:basedOn w:val="19"/>
    <w:qFormat/>
    <w:uiPriority w:val="0"/>
    <w:rPr>
      <w:vanish/>
    </w:rPr>
  </w:style>
  <w:style w:type="character" w:customStyle="1" w:styleId="58">
    <w:name w:val="xheicon"/>
    <w:basedOn w:val="19"/>
    <w:qFormat/>
    <w:uiPriority w:val="0"/>
  </w:style>
  <w:style w:type="character" w:customStyle="1" w:styleId="59">
    <w:name w:val="tt-radio1"/>
    <w:basedOn w:val="19"/>
    <w:qFormat/>
    <w:uiPriority w:val="0"/>
  </w:style>
  <w:style w:type="character" w:customStyle="1" w:styleId="60">
    <w:name w:val="xhebtnremoveformat"/>
    <w:basedOn w:val="19"/>
    <w:qFormat/>
    <w:uiPriority w:val="0"/>
  </w:style>
  <w:style w:type="character" w:customStyle="1" w:styleId="61">
    <w:name w:val="xhebtnpaste"/>
    <w:basedOn w:val="19"/>
    <w:qFormat/>
    <w:uiPriority w:val="0"/>
  </w:style>
  <w:style w:type="character" w:customStyle="1" w:styleId="62">
    <w:name w:val="cfdate"/>
    <w:qFormat/>
    <w:uiPriority w:val="0"/>
    <w:rPr>
      <w:color w:val="333333"/>
      <w:sz w:val="18"/>
      <w:szCs w:val="18"/>
    </w:rPr>
  </w:style>
  <w:style w:type="character" w:customStyle="1" w:styleId="63">
    <w:name w:val="xhebtnfullscreen"/>
    <w:basedOn w:val="19"/>
    <w:qFormat/>
    <w:uiPriority w:val="0"/>
  </w:style>
  <w:style w:type="character" w:customStyle="1" w:styleId="64">
    <w:name w:val="xhebtnoutdent"/>
    <w:basedOn w:val="19"/>
    <w:qFormat/>
    <w:uiPriority w:val="0"/>
  </w:style>
  <w:style w:type="character" w:customStyle="1" w:styleId="65">
    <w:name w:val="xhebtnhr"/>
    <w:basedOn w:val="19"/>
    <w:qFormat/>
    <w:uiPriority w:val="0"/>
  </w:style>
  <w:style w:type="character" w:customStyle="1" w:styleId="66">
    <w:name w:val="xhebtnsource"/>
    <w:basedOn w:val="19"/>
    <w:qFormat/>
    <w:uiPriority w:val="0"/>
  </w:style>
  <w:style w:type="character" w:customStyle="1" w:styleId="67">
    <w:name w:val="xhebtnbackcolor"/>
    <w:basedOn w:val="19"/>
    <w:qFormat/>
    <w:uiPriority w:val="0"/>
  </w:style>
  <w:style w:type="character" w:customStyle="1" w:styleId="68">
    <w:name w:val="xhebtnlist"/>
    <w:basedOn w:val="19"/>
    <w:qFormat/>
    <w:uiPriority w:val="0"/>
  </w:style>
  <w:style w:type="character" w:customStyle="1" w:styleId="69">
    <w:name w:val="xhebtnimg"/>
    <w:basedOn w:val="19"/>
    <w:qFormat/>
    <w:uiPriority w:val="0"/>
  </w:style>
  <w:style w:type="character" w:customStyle="1" w:styleId="70">
    <w:name w:val="xhebtnpreview"/>
    <w:basedOn w:val="19"/>
    <w:qFormat/>
    <w:uiPriority w:val="0"/>
  </w:style>
  <w:style w:type="character" w:customStyle="1" w:styleId="71">
    <w:name w:val="xhebtnemot"/>
    <w:basedOn w:val="19"/>
    <w:qFormat/>
    <w:uiPriority w:val="0"/>
  </w:style>
  <w:style w:type="character" w:customStyle="1" w:styleId="72">
    <w:name w:val="xhebtnfontface"/>
    <w:basedOn w:val="19"/>
    <w:qFormat/>
    <w:uiPriority w:val="0"/>
  </w:style>
  <w:style w:type="paragraph" w:customStyle="1" w:styleId="73">
    <w:name w:val="列出段落11"/>
    <w:basedOn w:val="1"/>
    <w:qFormat/>
    <w:uiPriority w:val="34"/>
    <w:pPr>
      <w:ind w:firstLine="420" w:firstLineChars="200"/>
    </w:pPr>
    <w:rPr>
      <w:rFonts w:ascii="Calibri" w:hAnsi="Calibri" w:eastAsia="宋体" w:cs="Times New Roman"/>
      <w:szCs w:val="22"/>
      <w:lang w:val="zh-CN"/>
    </w:rPr>
  </w:style>
  <w:style w:type="paragraph" w:customStyle="1" w:styleId="74">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5">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76">
    <w:name w:val="样式N"/>
    <w:basedOn w:val="77"/>
    <w:qFormat/>
    <w:uiPriority w:val="0"/>
    <w:rPr>
      <w:sz w:val="30"/>
    </w:rPr>
  </w:style>
  <w:style w:type="paragraph" w:customStyle="1" w:styleId="77">
    <w:name w:val="样式H"/>
    <w:basedOn w:val="3"/>
    <w:next w:val="1"/>
    <w:qFormat/>
    <w:uiPriority w:val="0"/>
    <w:pPr>
      <w:spacing w:before="100" w:line="500" w:lineRule="exact"/>
    </w:pPr>
  </w:style>
  <w:style w:type="paragraph" w:customStyle="1" w:styleId="78">
    <w:name w:val="Normal New New New New"/>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79">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80">
    <w:name w:val="正文 New New New New New New New New New New"/>
    <w:qFormat/>
    <w:uiPriority w:val="0"/>
    <w:pPr>
      <w:widowControl w:val="0"/>
      <w:adjustRightInd w:val="0"/>
      <w:spacing w:before="60" w:after="60" w:line="360" w:lineRule="auto"/>
      <w:ind w:firstLine="200" w:firstLineChars="200"/>
      <w:jc w:val="both"/>
      <w:textAlignment w:val="baseline"/>
    </w:pPr>
    <w:rPr>
      <w:rFonts w:ascii="Times New Roman" w:hAnsi="Times New Roman" w:eastAsia="宋体" w:cs="Times New Roman"/>
      <w:sz w:val="21"/>
      <w:lang w:val="en-US" w:eastAsia="zh-CN" w:bidi="ar-SA"/>
    </w:rPr>
  </w:style>
  <w:style w:type="paragraph" w:customStyle="1" w:styleId="81">
    <w:name w:val="图"/>
    <w:basedOn w:val="1"/>
    <w:qFormat/>
    <w:uiPriority w:val="0"/>
    <w:pPr>
      <w:keepNext/>
      <w:adjustRightInd w:val="0"/>
      <w:spacing w:before="60" w:after="60" w:line="300" w:lineRule="auto"/>
      <w:jc w:val="center"/>
      <w:textAlignment w:val="center"/>
    </w:pPr>
    <w:rPr>
      <w:snapToGrid w:val="0"/>
      <w:spacing w:val="20"/>
      <w:kern w:val="0"/>
      <w:sz w:val="24"/>
      <w:szCs w:val="20"/>
    </w:rPr>
  </w:style>
  <w:style w:type="paragraph" w:styleId="82">
    <w:name w:val="List Paragraph"/>
    <w:basedOn w:val="1"/>
    <w:qFormat/>
    <w:uiPriority w:val="34"/>
    <w:pPr>
      <w:ind w:firstLine="420" w:firstLineChars="200"/>
    </w:pPr>
  </w:style>
  <w:style w:type="paragraph" w:customStyle="1" w:styleId="83">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4">
    <w:name w:val="样式1"/>
    <w:basedOn w:val="1"/>
    <w:qFormat/>
    <w:uiPriority w:val="0"/>
    <w:pPr>
      <w:numPr>
        <w:ilvl w:val="0"/>
        <w:numId w:val="1"/>
      </w:numPr>
      <w:adjustRightInd w:val="0"/>
      <w:textAlignment w:val="baseline"/>
    </w:pPr>
    <w:rPr>
      <w:rFonts w:ascii="宋体" w:hAnsi="宋体"/>
      <w:kern w:val="0"/>
      <w:szCs w:val="21"/>
    </w:rPr>
  </w:style>
  <w:style w:type="paragraph" w:customStyle="1" w:styleId="85">
    <w:name w:val="正文 New New New New New New New New New New New New New New New"/>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86">
    <w:name w:val="题注4"/>
    <w:basedOn w:val="1"/>
    <w:next w:val="7"/>
    <w:qFormat/>
    <w:uiPriority w:val="0"/>
    <w:pPr>
      <w:ind w:left="-132" w:leftChars="-64" w:right="-105" w:rightChars="-50" w:hanging="2"/>
      <w:jc w:val="center"/>
    </w:pPr>
    <w:rPr>
      <w:b/>
      <w:color w:val="FF0000"/>
      <w:szCs w:val="21"/>
      <w:lang w:val="en-GB"/>
    </w:rPr>
  </w:style>
  <w:style w:type="paragraph" w:customStyle="1" w:styleId="87">
    <w:name w:val="样式"/>
    <w:qFormat/>
    <w:uiPriority w:val="0"/>
    <w:pPr>
      <w:widowControl w:val="0"/>
      <w:autoSpaceDE w:val="0"/>
      <w:autoSpaceDN w:val="0"/>
      <w:adjustRightInd w:val="0"/>
    </w:pPr>
    <w:rPr>
      <w:rFonts w:ascii="宋体" w:hAnsi="宋体" w:eastAsia="宋体" w:cs="宋体"/>
      <w:sz w:val="24"/>
      <w:szCs w:val="24"/>
      <w:lang w:val="en-US" w:eastAsia="zh-CN" w:bidi="ar-SA"/>
    </w:rPr>
  </w:style>
  <w:style w:type="paragraph" w:customStyle="1" w:styleId="88">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89">
    <w:name w:val="WPSOffice手动目录 1"/>
    <w:qFormat/>
    <w:uiPriority w:val="0"/>
    <w:rPr>
      <w:rFonts w:ascii="Times New Roman" w:hAnsi="Times New Roman" w:eastAsia="宋体" w:cs="Times New Roman"/>
      <w:lang w:val="en-US" w:eastAsia="zh-CN" w:bidi="ar-SA"/>
    </w:rPr>
  </w:style>
  <w:style w:type="paragraph" w:customStyle="1" w:styleId="90">
    <w:name w:val="_Style 3"/>
    <w:basedOn w:val="1"/>
    <w:qFormat/>
    <w:uiPriority w:val="0"/>
    <w:pPr>
      <w:spacing w:line="360" w:lineRule="auto"/>
      <w:ind w:firstLine="420" w:firstLineChars="200"/>
    </w:pPr>
    <w:rPr>
      <w:rFonts w:ascii="Calibri" w:hAnsi="Calibri"/>
      <w:kern w:val="2"/>
      <w:sz w:val="21"/>
      <w:szCs w:val="22"/>
    </w:rPr>
  </w:style>
  <w:style w:type="paragraph" w:customStyle="1" w:styleId="91">
    <w:name w:val="Table Paragraph"/>
    <w:basedOn w:val="1"/>
    <w:qFormat/>
    <w:uiPriority w:val="1"/>
    <w:pPr>
      <w:autoSpaceDE w:val="0"/>
      <w:autoSpaceDN w:val="0"/>
      <w:jc w:val="left"/>
    </w:pPr>
    <w:rPr>
      <w:rFonts w:ascii="宋体" w:hAnsi="宋体" w:cs="宋体"/>
      <w:kern w:val="0"/>
      <w:sz w:val="22"/>
      <w:szCs w:val="22"/>
      <w:lang w:val="zh-CN" w:bidi="zh-CN"/>
    </w:rPr>
  </w:style>
  <w:style w:type="paragraph" w:customStyle="1" w:styleId="92">
    <w:name w:val="正文 New New New New New New New New New New New New New New New New New New New New New New New New New New New New New"/>
    <w:qFormat/>
    <w:uiPriority w:val="0"/>
    <w:pPr>
      <w:widowControl w:val="0"/>
      <w:jc w:val="both"/>
    </w:pPr>
    <w:rPr>
      <w:rFonts w:ascii="宋体" w:hAnsi="宋体" w:eastAsia="宋体" w:cs="Times New Roman"/>
      <w:kern w:val="16"/>
      <w:sz w:val="21"/>
      <w:szCs w:val="24"/>
      <w:lang w:val="en-US" w:eastAsia="zh-CN" w:bidi="ar-SA"/>
    </w:rPr>
  </w:style>
  <w:style w:type="paragraph" w:customStyle="1" w:styleId="93">
    <w:name w:val="正文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New"/>
    <w:qFormat/>
    <w:uiPriority w:val="0"/>
    <w:pPr>
      <w:widowControl w:val="0"/>
      <w:jc w:val="both"/>
    </w:pPr>
    <w:rPr>
      <w:rFonts w:ascii="宋体" w:hAnsi="宋体" w:eastAsia="宋体" w:cs="Times New Roman"/>
      <w:kern w:val="16"/>
      <w:sz w:val="21"/>
      <w:szCs w:val="24"/>
      <w:lang w:val="en-US" w:eastAsia="zh-CN" w:bidi="ar-SA"/>
    </w:rPr>
  </w:style>
  <w:style w:type="paragraph" w:customStyle="1" w:styleId="94">
    <w:name w:val="Default"/>
    <w:qFormat/>
    <w:uiPriority w:val="0"/>
    <w:pPr>
      <w:widowControl w:val="0"/>
      <w:autoSpaceDE w:val="0"/>
      <w:autoSpaceDN w:val="0"/>
      <w:adjustRightInd w:val="0"/>
    </w:pPr>
    <w:rPr>
      <w:rFonts w:ascii="宋体" w:hAnsi="Times New Roman" w:eastAsia="宋体" w:cs="宋体"/>
      <w:color w:val="000000"/>
      <w:kern w:val="0"/>
      <w:sz w:val="24"/>
      <w:szCs w:val="24"/>
      <w:lang w:val="en-US" w:eastAsia="zh-CN" w:bidi="ar-SA"/>
    </w:rPr>
  </w:style>
  <w:style w:type="paragraph" w:customStyle="1" w:styleId="95">
    <w:name w:val="正文 New New"/>
    <w:qFormat/>
    <w:uiPriority w:val="99"/>
    <w:pPr>
      <w:widowControl w:val="0"/>
      <w:numPr>
        <w:ilvl w:val="0"/>
        <w:numId w:val="2"/>
      </w:numPr>
      <w:jc w:val="both"/>
    </w:pPr>
    <w:rPr>
      <w:rFonts w:ascii="Times New Roman" w:hAnsi="Times New Roman" w:eastAsia="宋体" w:cs="Times New Roman"/>
      <w:kern w:val="2"/>
      <w:sz w:val="21"/>
      <w:szCs w:val="21"/>
      <w:lang w:val="en-US" w:eastAsia="zh-CN" w:bidi="ar-SA"/>
    </w:rPr>
  </w:style>
  <w:style w:type="paragraph" w:customStyle="1" w:styleId="96">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97">
    <w:name w:val="样式 行距: 1.5 倍行距 首行缩进:  2 字符"/>
    <w:basedOn w:val="1"/>
    <w:qFormat/>
    <w:uiPriority w:val="0"/>
    <w:pPr>
      <w:adjustRightInd w:val="0"/>
      <w:snapToGrid w:val="0"/>
      <w:spacing w:line="460" w:lineRule="exact"/>
    </w:pPr>
    <w:rPr>
      <w:sz w:val="24"/>
    </w:rPr>
  </w:style>
  <w:style w:type="paragraph" w:customStyle="1" w:styleId="98">
    <w:name w:val="样式2"/>
    <w:basedOn w:val="1"/>
    <w:qFormat/>
    <w:uiPriority w:val="0"/>
    <w:pPr>
      <w:wordWrap w:val="0"/>
      <w:jc w:val="center"/>
    </w:pPr>
    <w:rPr>
      <w:sz w:val="22"/>
      <w:szCs w:val="22"/>
    </w:rPr>
  </w:style>
  <w:style w:type="paragraph" w:customStyle="1" w:styleId="99">
    <w:name w:val="Table Text"/>
    <w:basedOn w:val="1"/>
    <w:semiHidden/>
    <w:qFormat/>
    <w:uiPriority w:val="0"/>
    <w:rPr>
      <w:rFonts w:ascii="宋体" w:hAnsi="宋体" w:eastAsia="宋体" w:cs="宋体"/>
      <w:sz w:val="20"/>
      <w:szCs w:val="20"/>
      <w:lang w:val="en-US" w:eastAsia="en-US" w:bidi="ar-SA"/>
    </w:rPr>
  </w:style>
  <w:style w:type="table" w:customStyle="1" w:styleId="100">
    <w:name w:val="Table Normal"/>
    <w:semiHidden/>
    <w:unhideWhenUsed/>
    <w:qFormat/>
    <w:uiPriority w:val="0"/>
    <w:tblPr>
      <w:tblCellMar>
        <w:top w:w="0" w:type="dxa"/>
        <w:left w:w="0" w:type="dxa"/>
        <w:bottom w:w="0" w:type="dxa"/>
        <w:right w:w="0" w:type="dxa"/>
      </w:tblCellMar>
    </w:tblPr>
  </w:style>
  <w:style w:type="paragraph" w:customStyle="1" w:styleId="101">
    <w:name w:val="null3"/>
    <w:hidden/>
    <w:qFormat/>
    <w:uiPriority w:val="0"/>
    <w:rPr>
      <w:rFonts w:hint="eastAsia" w:asciiTheme="minorHAnsi" w:hAnsiTheme="minorHAnsi" w:eastAsiaTheme="minorEastAsia" w:cstheme="minorBidi"/>
      <w:lang w:val="en-US" w:eastAsia="zh-Hans"/>
    </w:rPr>
  </w:style>
  <w:style w:type="paragraph" w:customStyle="1" w:styleId="102">
    <w:name w:val="正文 New New New New"/>
    <w:qFormat/>
    <w:uiPriority w:val="0"/>
    <w:pPr>
      <w:widowControl w:val="0"/>
      <w:jc w:val="both"/>
    </w:pPr>
    <w:rPr>
      <w:rFonts w:ascii="Times New Roman" w:hAnsi="Times New Roman" w:eastAsia="仿宋_GB2312" w:cs="Times New Roman"/>
      <w:kern w:val="2"/>
      <w:sz w:val="32"/>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52</Pages>
  <Words>37375</Words>
  <Characters>39352</Characters>
  <Lines>193</Lines>
  <Paragraphs>54</Paragraphs>
  <TotalTime>1</TotalTime>
  <ScaleCrop>false</ScaleCrop>
  <LinksUpToDate>false</LinksUpToDate>
  <CharactersWithSpaces>39928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2018-10-30T16:31:00Z</dcterms:created>
  <dc:creator>meimei</dc:creator>
  <cp:lastModifiedBy>Daishaoc</cp:lastModifiedBy>
  <cp:lastPrinted>2023-08-21T08:46:00Z</cp:lastPrinted>
  <dcterms:modified xsi:type="dcterms:W3CDTF">2025-06-27T08:35:53Z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FAA6C87BFEC54AFFACEAA69C096198D1_13</vt:lpwstr>
  </property>
  <property fmtid="{D5CDD505-2E9C-101B-9397-08002B2CF9AE}" pid="4" name="KSOTemplateDocerSaveRecord">
    <vt:lpwstr>eyJoZGlkIjoiZWU4ZTUyZDYxNGNiZDcwOGJkZDAxMTU2ODg0NDk3MmUiLCJ1c2VySWQiOiI2NTU3NzExNTAifQ==</vt:lpwstr>
  </property>
</Properties>
</file>