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E66963">
      <w:pPr>
        <w:spacing w:line="255" w:lineRule="auto"/>
        <w:rPr>
          <w:rFonts w:ascii="Arial"/>
          <w:sz w:val="21"/>
        </w:rPr>
      </w:pPr>
      <w:r>
        <w:rPr>
          <w:rFonts w:ascii="Arial"/>
          <w:sz w:val="21"/>
        </w:rPr>
        <w:drawing>
          <wp:inline distT="0" distB="0" distL="114300" distR="114300">
            <wp:extent cx="6111240" cy="8594090"/>
            <wp:effectExtent l="0" t="0" r="381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6111240" cy="8594090"/>
                    </a:xfrm>
                    <a:prstGeom prst="rect">
                      <a:avLst/>
                    </a:prstGeom>
                    <a:noFill/>
                    <a:ln>
                      <a:noFill/>
                    </a:ln>
                  </pic:spPr>
                </pic:pic>
              </a:graphicData>
            </a:graphic>
          </wp:inline>
        </w:drawing>
      </w:r>
    </w:p>
    <w:p w14:paraId="43122A82">
      <w:pPr>
        <w:spacing w:line="247" w:lineRule="auto"/>
        <w:rPr>
          <w:rFonts w:hint="eastAsia" w:ascii="Arial" w:eastAsia="宋体"/>
          <w:sz w:val="21"/>
          <w:lang w:eastAsia="zh-CN"/>
        </w:rPr>
      </w:pPr>
      <w:r>
        <w:rPr>
          <w:rFonts w:hint="eastAsia" w:ascii="Arial" w:eastAsia="宋体"/>
          <w:sz w:val="21"/>
          <w:lang w:eastAsia="zh-CN"/>
        </w:rPr>
        <w:br w:type="page"/>
      </w:r>
    </w:p>
    <w:p w14:paraId="00A4F4C3">
      <w:pPr>
        <w:spacing w:line="247" w:lineRule="auto"/>
        <w:rPr>
          <w:rFonts w:ascii="Arial"/>
          <w:sz w:val="21"/>
        </w:rPr>
      </w:pPr>
    </w:p>
    <w:p w14:paraId="6DB29ED9">
      <w:pPr>
        <w:spacing w:line="247" w:lineRule="auto"/>
        <w:rPr>
          <w:rFonts w:ascii="Arial"/>
          <w:sz w:val="21"/>
        </w:rPr>
      </w:pPr>
    </w:p>
    <w:p w14:paraId="5A7C886D">
      <w:pPr>
        <w:spacing w:before="153" w:line="225" w:lineRule="auto"/>
        <w:ind w:left="3802"/>
        <w:rPr>
          <w:rFonts w:ascii="宋体" w:hAnsi="宋体" w:eastAsia="宋体" w:cs="宋体"/>
          <w:sz w:val="47"/>
          <w:szCs w:val="47"/>
        </w:rPr>
      </w:pPr>
      <w:r>
        <w:rPr>
          <w:rFonts w:ascii="宋体" w:hAnsi="宋体" w:eastAsia="宋体" w:cs="宋体"/>
          <w:spacing w:val="-51"/>
          <w:sz w:val="47"/>
          <w:szCs w:val="47"/>
        </w:rPr>
        <w:t>目</w:t>
      </w:r>
      <w:r>
        <w:rPr>
          <w:rFonts w:ascii="宋体" w:hAnsi="宋体" w:eastAsia="宋体" w:cs="宋体"/>
          <w:spacing w:val="12"/>
          <w:sz w:val="47"/>
          <w:szCs w:val="47"/>
        </w:rPr>
        <w:t xml:space="preserve">   </w:t>
      </w:r>
      <w:r>
        <w:rPr>
          <w:rFonts w:ascii="宋体" w:hAnsi="宋体" w:eastAsia="宋体" w:cs="宋体"/>
          <w:spacing w:val="-51"/>
          <w:sz w:val="47"/>
          <w:szCs w:val="47"/>
        </w:rPr>
        <w:t>录</w:t>
      </w:r>
    </w:p>
    <w:p w14:paraId="19A44F14">
      <w:pPr>
        <w:spacing w:line="254" w:lineRule="auto"/>
        <w:rPr>
          <w:rFonts w:ascii="Arial"/>
          <w:sz w:val="21"/>
        </w:rPr>
      </w:pPr>
    </w:p>
    <w:p w14:paraId="260348DE">
      <w:pPr>
        <w:spacing w:line="255" w:lineRule="auto"/>
        <w:rPr>
          <w:rFonts w:ascii="Arial"/>
          <w:sz w:val="21"/>
        </w:rPr>
      </w:pPr>
    </w:p>
    <w:p w14:paraId="334D5851">
      <w:pPr>
        <w:spacing w:line="255" w:lineRule="auto"/>
        <w:rPr>
          <w:rFonts w:ascii="Arial"/>
          <w:sz w:val="21"/>
        </w:rPr>
      </w:pPr>
    </w:p>
    <w:p w14:paraId="33171DB5">
      <w:pPr>
        <w:pStyle w:val="5"/>
        <w:spacing w:before="97" w:line="222" w:lineRule="auto"/>
        <w:ind w:left="4095"/>
        <w:rPr>
          <w:sz w:val="30"/>
          <w:szCs w:val="30"/>
        </w:rPr>
      </w:pPr>
      <w:r>
        <w:rPr>
          <w:spacing w:val="-4"/>
          <w:sz w:val="30"/>
          <w:szCs w:val="30"/>
        </w:rPr>
        <w:t>第一卷</w:t>
      </w:r>
    </w:p>
    <w:sdt>
      <w:sdtPr>
        <w:rPr>
          <w:rFonts w:ascii="宋体" w:hAnsi="宋体" w:eastAsia="宋体" w:cs="Arial"/>
          <w:snapToGrid w:val="0"/>
          <w:color w:val="000000"/>
          <w:kern w:val="0"/>
          <w:sz w:val="21"/>
          <w:szCs w:val="21"/>
          <w:lang w:val="en-US" w:eastAsia="en-US" w:bidi="ar-SA"/>
        </w:rPr>
        <w:id w:val="147460974"/>
        <w15:color w:val="DBDBDB"/>
        <w:docPartObj>
          <w:docPartGallery w:val="Table of Contents"/>
          <w:docPartUnique/>
        </w:docPartObj>
      </w:sdtPr>
      <w:sdtEndPr>
        <w:rPr>
          <w:rFonts w:ascii="宋体" w:hAnsi="宋体" w:eastAsia="宋体" w:cs="Arial"/>
          <w:snapToGrid w:val="0"/>
          <w:color w:val="000000"/>
          <w:kern w:val="0"/>
          <w:sz w:val="21"/>
          <w:szCs w:val="21"/>
          <w:lang w:val="en-US" w:eastAsia="en-US" w:bidi="ar-SA"/>
        </w:rPr>
      </w:sdtEndPr>
      <w:sdtContent>
        <w:p w14:paraId="605299E9">
          <w:pPr>
            <w:spacing w:before="0" w:beforeLines="0" w:after="0" w:afterLines="0" w:line="240" w:lineRule="auto"/>
            <w:ind w:left="0" w:leftChars="0" w:right="0" w:rightChars="0" w:firstLine="0" w:firstLineChars="0"/>
            <w:jc w:val="center"/>
          </w:pPr>
        </w:p>
        <w:p w14:paraId="7079F7CE">
          <w:pPr>
            <w:pStyle w:val="8"/>
            <w:tabs>
              <w:tab w:val="right" w:leader="dot" w:pos="9067"/>
            </w:tabs>
          </w:pPr>
          <w:r>
            <w:fldChar w:fldCharType="begin"/>
          </w:r>
          <w:r>
            <w:instrText xml:space="preserve">TOC \o "1-1" \h \u </w:instrText>
          </w:r>
          <w:r>
            <w:fldChar w:fldCharType="separate"/>
          </w:r>
        </w:p>
        <w:p w14:paraId="12DF05DB">
          <w:pPr>
            <w:pStyle w:val="8"/>
            <w:keepNext w:val="0"/>
            <w:keepLines w:val="0"/>
            <w:pageBreakBefore w:val="0"/>
            <w:widowControl/>
            <w:tabs>
              <w:tab w:val="right" w:leader="dot" w:pos="9067"/>
            </w:tabs>
            <w:kinsoku w:val="0"/>
            <w:wordWrap/>
            <w:overflowPunct/>
            <w:topLinePunct w:val="0"/>
            <w:autoSpaceDE w:val="0"/>
            <w:autoSpaceDN w:val="0"/>
            <w:bidi w:val="0"/>
            <w:adjustRightInd w:val="0"/>
            <w:snapToGrid w:val="0"/>
            <w:spacing w:line="480" w:lineRule="auto"/>
            <w:textAlignment w:val="baseline"/>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_Toc27139 </w:instrText>
          </w:r>
          <w:r>
            <w:rPr>
              <w:rFonts w:hint="eastAsia" w:ascii="黑体" w:hAnsi="黑体" w:eastAsia="黑体" w:cs="黑体"/>
              <w:sz w:val="24"/>
              <w:szCs w:val="24"/>
            </w:rPr>
            <w:fldChar w:fldCharType="separate"/>
          </w:r>
          <w:r>
            <w:rPr>
              <w:rFonts w:hint="eastAsia" w:ascii="黑体" w:hAnsi="黑体" w:eastAsia="黑体" w:cs="黑体"/>
              <w:bCs/>
              <w:spacing w:val="5"/>
              <w:sz w:val="24"/>
              <w:szCs w:val="24"/>
            </w:rPr>
            <w:t>第一章</w:t>
          </w:r>
          <w:r>
            <w:rPr>
              <w:rFonts w:hint="eastAsia" w:ascii="黑体" w:hAnsi="黑体" w:eastAsia="黑体" w:cs="黑体"/>
              <w:spacing w:val="5"/>
              <w:sz w:val="24"/>
              <w:szCs w:val="24"/>
            </w:rPr>
            <w:t xml:space="preserve">  </w:t>
          </w:r>
          <w:r>
            <w:rPr>
              <w:rFonts w:hint="eastAsia" w:ascii="黑体" w:hAnsi="黑体" w:eastAsia="黑体" w:cs="黑体"/>
              <w:bCs/>
              <w:spacing w:val="5"/>
              <w:sz w:val="24"/>
              <w:szCs w:val="24"/>
            </w:rPr>
            <w:t>招标公告</w:t>
          </w:r>
          <w:r>
            <w:rPr>
              <w:rFonts w:hint="eastAsia" w:ascii="黑体" w:hAnsi="黑体" w:eastAsia="黑体" w:cs="黑体"/>
              <w:sz w:val="24"/>
              <w:szCs w:val="24"/>
            </w:rPr>
            <w:tab/>
          </w:r>
          <w:r>
            <w:rPr>
              <w:rFonts w:hint="eastAsia" w:ascii="黑体" w:hAnsi="黑体" w:eastAsia="黑体" w:cs="黑体"/>
              <w:sz w:val="24"/>
              <w:szCs w:val="24"/>
              <w:lang w:val="en-US" w:eastAsia="zh-CN"/>
            </w:rPr>
            <w:t>2</w:t>
          </w:r>
          <w:r>
            <w:rPr>
              <w:rFonts w:hint="eastAsia" w:ascii="黑体" w:hAnsi="黑体" w:eastAsia="黑体" w:cs="黑体"/>
              <w:sz w:val="24"/>
              <w:szCs w:val="24"/>
            </w:rPr>
            <w:fldChar w:fldCharType="end"/>
          </w:r>
        </w:p>
        <w:p w14:paraId="3B6CFA47">
          <w:pPr>
            <w:pStyle w:val="8"/>
            <w:keepNext w:val="0"/>
            <w:keepLines w:val="0"/>
            <w:pageBreakBefore w:val="0"/>
            <w:widowControl/>
            <w:tabs>
              <w:tab w:val="right" w:leader="dot" w:pos="9067"/>
            </w:tabs>
            <w:kinsoku w:val="0"/>
            <w:wordWrap/>
            <w:overflowPunct/>
            <w:topLinePunct w:val="0"/>
            <w:autoSpaceDE w:val="0"/>
            <w:autoSpaceDN w:val="0"/>
            <w:bidi w:val="0"/>
            <w:adjustRightInd w:val="0"/>
            <w:snapToGrid w:val="0"/>
            <w:spacing w:line="480" w:lineRule="auto"/>
            <w:textAlignment w:val="baseline"/>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_Toc17468 </w:instrText>
          </w:r>
          <w:r>
            <w:rPr>
              <w:rFonts w:hint="eastAsia" w:ascii="黑体" w:hAnsi="黑体" w:eastAsia="黑体" w:cs="黑体"/>
              <w:sz w:val="24"/>
              <w:szCs w:val="24"/>
            </w:rPr>
            <w:fldChar w:fldCharType="separate"/>
          </w:r>
          <w:r>
            <w:rPr>
              <w:rFonts w:hint="eastAsia" w:ascii="黑体" w:hAnsi="黑体" w:eastAsia="黑体" w:cs="黑体"/>
              <w:bCs/>
              <w:spacing w:val="4"/>
              <w:sz w:val="24"/>
              <w:szCs w:val="24"/>
            </w:rPr>
            <w:t>第二章</w:t>
          </w:r>
          <w:r>
            <w:rPr>
              <w:rFonts w:hint="eastAsia" w:ascii="黑体" w:hAnsi="黑体" w:eastAsia="黑体" w:cs="黑体"/>
              <w:spacing w:val="4"/>
              <w:sz w:val="24"/>
              <w:szCs w:val="24"/>
            </w:rPr>
            <w:t xml:space="preserve">  </w:t>
          </w:r>
          <w:r>
            <w:rPr>
              <w:rFonts w:hint="eastAsia" w:ascii="黑体" w:hAnsi="黑体" w:eastAsia="黑体" w:cs="黑体"/>
              <w:bCs/>
              <w:spacing w:val="4"/>
              <w:sz w:val="24"/>
              <w:szCs w:val="24"/>
            </w:rPr>
            <w:t>投标人须知</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_Toc17468 \h </w:instrText>
          </w:r>
          <w:r>
            <w:rPr>
              <w:rFonts w:hint="eastAsia" w:ascii="黑体" w:hAnsi="黑体" w:eastAsia="黑体" w:cs="黑体"/>
              <w:sz w:val="24"/>
              <w:szCs w:val="24"/>
            </w:rPr>
            <w:fldChar w:fldCharType="separate"/>
          </w:r>
          <w:r>
            <w:rPr>
              <w:rFonts w:hint="eastAsia" w:ascii="黑体" w:hAnsi="黑体" w:eastAsia="黑体" w:cs="黑体"/>
              <w:sz w:val="24"/>
              <w:szCs w:val="24"/>
            </w:rPr>
            <w:t>10</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14:paraId="3CFEAC73">
          <w:pPr>
            <w:pStyle w:val="8"/>
            <w:keepNext w:val="0"/>
            <w:keepLines w:val="0"/>
            <w:pageBreakBefore w:val="0"/>
            <w:widowControl/>
            <w:tabs>
              <w:tab w:val="right" w:leader="dot" w:pos="9067"/>
            </w:tabs>
            <w:kinsoku w:val="0"/>
            <w:wordWrap/>
            <w:overflowPunct/>
            <w:topLinePunct w:val="0"/>
            <w:autoSpaceDE w:val="0"/>
            <w:autoSpaceDN w:val="0"/>
            <w:bidi w:val="0"/>
            <w:adjustRightInd w:val="0"/>
            <w:snapToGrid w:val="0"/>
            <w:spacing w:line="480" w:lineRule="auto"/>
            <w:textAlignment w:val="baseline"/>
            <w:rPr>
              <w:rFonts w:hint="eastAsia" w:ascii="黑体" w:hAnsi="黑体" w:eastAsia="黑体" w:cs="黑体"/>
              <w:sz w:val="24"/>
              <w:szCs w:val="24"/>
              <w:lang w:val="en-US" w:eastAsia="zh-CN"/>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_Toc26940 </w:instrText>
          </w:r>
          <w:r>
            <w:rPr>
              <w:rFonts w:hint="eastAsia" w:ascii="黑体" w:hAnsi="黑体" w:eastAsia="黑体" w:cs="黑体"/>
              <w:sz w:val="24"/>
              <w:szCs w:val="24"/>
            </w:rPr>
            <w:fldChar w:fldCharType="separate"/>
          </w:r>
          <w:r>
            <w:rPr>
              <w:rFonts w:hint="eastAsia" w:ascii="黑体" w:hAnsi="黑体" w:eastAsia="黑体" w:cs="黑体"/>
              <w:bCs/>
              <w:spacing w:val="-3"/>
              <w:sz w:val="24"/>
              <w:szCs w:val="24"/>
            </w:rPr>
            <w:t>第三章</w:t>
          </w:r>
          <w:r>
            <w:rPr>
              <w:rFonts w:hint="eastAsia" w:ascii="黑体" w:hAnsi="黑体" w:eastAsia="黑体" w:cs="黑体"/>
              <w:spacing w:val="-3"/>
              <w:sz w:val="24"/>
              <w:szCs w:val="24"/>
            </w:rPr>
            <w:t xml:space="preserve">  </w:t>
          </w:r>
          <w:r>
            <w:rPr>
              <w:rFonts w:hint="eastAsia" w:ascii="黑体" w:hAnsi="黑体" w:eastAsia="黑体" w:cs="黑体"/>
              <w:bCs/>
              <w:spacing w:val="-3"/>
              <w:sz w:val="24"/>
              <w:szCs w:val="24"/>
            </w:rPr>
            <w:t>评标办法</w:t>
          </w:r>
          <w:r>
            <w:rPr>
              <w:rFonts w:hint="eastAsia" w:ascii="黑体" w:hAnsi="黑体" w:eastAsia="黑体" w:cs="黑体"/>
              <w:sz w:val="24"/>
              <w:szCs w:val="24"/>
            </w:rPr>
            <w:tab/>
          </w:r>
          <w:r>
            <w:rPr>
              <w:rFonts w:hint="eastAsia" w:ascii="黑体" w:hAnsi="黑体" w:eastAsia="黑体" w:cs="黑体"/>
              <w:sz w:val="24"/>
              <w:szCs w:val="24"/>
              <w:lang w:val="en-US" w:eastAsia="zh-CN"/>
            </w:rPr>
            <w:t>4</w:t>
          </w:r>
          <w:r>
            <w:rPr>
              <w:rFonts w:hint="eastAsia" w:ascii="黑体" w:hAnsi="黑体" w:eastAsia="黑体" w:cs="黑体"/>
              <w:sz w:val="24"/>
              <w:szCs w:val="24"/>
            </w:rPr>
            <w:fldChar w:fldCharType="end"/>
          </w:r>
          <w:r>
            <w:rPr>
              <w:rFonts w:hint="eastAsia" w:ascii="黑体" w:hAnsi="黑体" w:eastAsia="黑体" w:cs="黑体"/>
              <w:sz w:val="24"/>
              <w:szCs w:val="24"/>
              <w:lang w:val="en-US" w:eastAsia="zh-CN"/>
            </w:rPr>
            <w:t>3</w:t>
          </w:r>
        </w:p>
        <w:p w14:paraId="5B42BBA7">
          <w:pPr>
            <w:pStyle w:val="8"/>
            <w:keepNext w:val="0"/>
            <w:keepLines w:val="0"/>
            <w:pageBreakBefore w:val="0"/>
            <w:widowControl/>
            <w:tabs>
              <w:tab w:val="right" w:leader="dot" w:pos="9067"/>
            </w:tabs>
            <w:kinsoku w:val="0"/>
            <w:wordWrap/>
            <w:overflowPunct/>
            <w:topLinePunct w:val="0"/>
            <w:autoSpaceDE w:val="0"/>
            <w:autoSpaceDN w:val="0"/>
            <w:bidi w:val="0"/>
            <w:adjustRightInd w:val="0"/>
            <w:snapToGrid w:val="0"/>
            <w:spacing w:line="480" w:lineRule="auto"/>
            <w:textAlignment w:val="baseline"/>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_Toc24849 </w:instrText>
          </w:r>
          <w:r>
            <w:rPr>
              <w:rFonts w:hint="eastAsia" w:ascii="黑体" w:hAnsi="黑体" w:eastAsia="黑体" w:cs="黑体"/>
              <w:sz w:val="24"/>
              <w:szCs w:val="24"/>
            </w:rPr>
            <w:fldChar w:fldCharType="separate"/>
          </w:r>
          <w:r>
            <w:rPr>
              <w:rFonts w:hint="eastAsia" w:ascii="黑体" w:hAnsi="黑体" w:eastAsia="黑体" w:cs="黑体"/>
              <w:bCs/>
              <w:spacing w:val="5"/>
              <w:sz w:val="24"/>
              <w:szCs w:val="24"/>
            </w:rPr>
            <w:t xml:space="preserve">第四章 </w:t>
          </w:r>
          <w:r>
            <w:rPr>
              <w:rFonts w:hint="eastAsia" w:ascii="黑体" w:hAnsi="黑体" w:eastAsia="黑体" w:cs="黑体"/>
              <w:bCs/>
              <w:spacing w:val="5"/>
              <w:sz w:val="24"/>
              <w:szCs w:val="24"/>
              <w:lang w:eastAsia="zh-CN"/>
            </w:rPr>
            <w:t>定标办法</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_Toc24849 \h </w:instrText>
          </w:r>
          <w:r>
            <w:rPr>
              <w:rFonts w:hint="eastAsia" w:ascii="黑体" w:hAnsi="黑体" w:eastAsia="黑体" w:cs="黑体"/>
              <w:sz w:val="24"/>
              <w:szCs w:val="24"/>
            </w:rPr>
            <w:fldChar w:fldCharType="separate"/>
          </w:r>
          <w:r>
            <w:rPr>
              <w:rFonts w:hint="eastAsia" w:ascii="黑体" w:hAnsi="黑体" w:eastAsia="黑体" w:cs="黑体"/>
              <w:sz w:val="24"/>
              <w:szCs w:val="24"/>
            </w:rPr>
            <w:t>57</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14:paraId="477C9200">
          <w:pPr>
            <w:pStyle w:val="8"/>
            <w:keepNext w:val="0"/>
            <w:keepLines w:val="0"/>
            <w:pageBreakBefore w:val="0"/>
            <w:widowControl/>
            <w:tabs>
              <w:tab w:val="right" w:leader="dot" w:pos="9067"/>
            </w:tabs>
            <w:kinsoku w:val="0"/>
            <w:wordWrap/>
            <w:overflowPunct/>
            <w:topLinePunct w:val="0"/>
            <w:autoSpaceDE w:val="0"/>
            <w:autoSpaceDN w:val="0"/>
            <w:bidi w:val="0"/>
            <w:adjustRightInd w:val="0"/>
            <w:snapToGrid w:val="0"/>
            <w:spacing w:line="480" w:lineRule="auto"/>
            <w:textAlignment w:val="baseline"/>
            <w:rPr>
              <w:rFonts w:hint="eastAsia" w:ascii="黑体" w:hAnsi="黑体" w:eastAsia="黑体" w:cs="黑体"/>
              <w:sz w:val="24"/>
              <w:szCs w:val="24"/>
            </w:rPr>
          </w:pP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\l _Toc918 </w:instrText>
          </w:r>
          <w:r>
            <w:rPr>
              <w:rFonts w:hint="eastAsia" w:ascii="黑体" w:hAnsi="黑体" w:eastAsia="黑体" w:cs="黑体"/>
              <w:sz w:val="24"/>
              <w:szCs w:val="24"/>
            </w:rPr>
            <w:fldChar w:fldCharType="separate"/>
          </w:r>
          <w:r>
            <w:rPr>
              <w:rFonts w:hint="eastAsia" w:ascii="黑体" w:hAnsi="黑体" w:eastAsia="黑体" w:cs="黑体"/>
              <w:sz w:val="24"/>
              <w:szCs w:val="24"/>
            </w:rPr>
            <w:t xml:space="preserve">第五章 </w:t>
          </w:r>
          <w:r>
            <w:rPr>
              <w:rFonts w:hint="eastAsia" w:ascii="黑体" w:hAnsi="黑体" w:eastAsia="黑体" w:cs="黑体"/>
              <w:bCs/>
              <w:spacing w:val="5"/>
              <w:sz w:val="24"/>
              <w:szCs w:val="24"/>
            </w:rPr>
            <w:t>合同条款及格式</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_Toc918 \h </w:instrText>
          </w:r>
          <w:r>
            <w:rPr>
              <w:rFonts w:hint="eastAsia" w:ascii="黑体" w:hAnsi="黑体" w:eastAsia="黑体" w:cs="黑体"/>
              <w:sz w:val="24"/>
              <w:szCs w:val="24"/>
            </w:rPr>
            <w:fldChar w:fldCharType="separate"/>
          </w:r>
          <w:r>
            <w:rPr>
              <w:rFonts w:hint="eastAsia" w:ascii="黑体" w:hAnsi="黑体" w:eastAsia="黑体" w:cs="黑体"/>
              <w:sz w:val="24"/>
              <w:szCs w:val="24"/>
            </w:rPr>
            <w:t>60</w:t>
          </w:r>
          <w:r>
            <w:rPr>
              <w:rFonts w:hint="eastAsia" w:ascii="黑体" w:hAnsi="黑体" w:eastAsia="黑体" w:cs="黑体"/>
              <w:sz w:val="24"/>
              <w:szCs w:val="24"/>
            </w:rPr>
            <w:fldChar w:fldCharType="end"/>
          </w:r>
          <w:r>
            <w:rPr>
              <w:rFonts w:hint="eastAsia" w:ascii="黑体" w:hAnsi="黑体" w:eastAsia="黑体" w:cs="黑体"/>
              <w:sz w:val="24"/>
              <w:szCs w:val="24"/>
            </w:rPr>
            <w:fldChar w:fldCharType="end"/>
          </w:r>
        </w:p>
        <w:p w14:paraId="43168EA7">
          <w:pPr>
            <w:rPr>
              <w:rFonts w:hint="default" w:ascii="黑体" w:hAnsi="黑体" w:eastAsia="黑体" w:cs="黑体"/>
              <w:bCs/>
              <w:snapToGrid w:val="0"/>
              <w:color w:val="000000"/>
              <w:spacing w:val="5"/>
              <w:kern w:val="0"/>
              <w:sz w:val="24"/>
              <w:szCs w:val="24"/>
              <w:lang w:val="en-US" w:eastAsia="zh-CN" w:bidi="ar-SA"/>
            </w:rPr>
          </w:pPr>
          <w:r>
            <w:rPr>
              <w:rFonts w:hint="eastAsia" w:ascii="黑体" w:hAnsi="黑体" w:eastAsia="黑体" w:cs="黑体"/>
              <w:bCs/>
              <w:snapToGrid w:val="0"/>
              <w:color w:val="000000"/>
              <w:spacing w:val="5"/>
              <w:kern w:val="0"/>
              <w:sz w:val="24"/>
              <w:szCs w:val="24"/>
              <w:lang w:val="en-US" w:eastAsia="en-US" w:bidi="ar-SA"/>
            </w:rPr>
            <w:fldChar w:fldCharType="begin"/>
          </w:r>
          <w:r>
            <w:rPr>
              <w:rFonts w:hint="eastAsia" w:ascii="黑体" w:hAnsi="黑体" w:eastAsia="黑体" w:cs="黑体"/>
              <w:bCs/>
              <w:snapToGrid w:val="0"/>
              <w:color w:val="000000"/>
              <w:spacing w:val="5"/>
              <w:kern w:val="0"/>
              <w:sz w:val="24"/>
              <w:szCs w:val="24"/>
              <w:lang w:val="en-US" w:eastAsia="en-US" w:bidi="ar-SA"/>
            </w:rPr>
            <w:instrText xml:space="preserve"> HYPERLINK \l "bookmark12" </w:instrText>
          </w:r>
          <w:r>
            <w:rPr>
              <w:rFonts w:hint="eastAsia" w:ascii="黑体" w:hAnsi="黑体" w:eastAsia="黑体" w:cs="黑体"/>
              <w:bCs/>
              <w:snapToGrid w:val="0"/>
              <w:color w:val="000000"/>
              <w:spacing w:val="5"/>
              <w:kern w:val="0"/>
              <w:sz w:val="24"/>
              <w:szCs w:val="24"/>
              <w:lang w:val="en-US" w:eastAsia="en-US" w:bidi="ar-SA"/>
            </w:rPr>
            <w:fldChar w:fldCharType="separate"/>
          </w:r>
          <w:r>
            <w:rPr>
              <w:rFonts w:hint="eastAsia" w:ascii="黑体" w:hAnsi="黑体" w:eastAsia="黑体" w:cs="黑体"/>
              <w:bCs/>
              <w:snapToGrid w:val="0"/>
              <w:color w:val="000000"/>
              <w:spacing w:val="5"/>
              <w:kern w:val="0"/>
              <w:sz w:val="24"/>
              <w:szCs w:val="24"/>
              <w:lang w:val="en-US" w:eastAsia="en-US" w:bidi="ar-SA"/>
            </w:rPr>
            <w:t xml:space="preserve">第六章 </w:t>
          </w:r>
          <w:r>
            <w:rPr>
              <w:rFonts w:hint="eastAsia" w:ascii="黑体" w:hAnsi="黑体" w:eastAsia="黑体" w:cs="黑体"/>
              <w:bCs/>
              <w:snapToGrid w:val="0"/>
              <w:color w:val="000000"/>
              <w:spacing w:val="5"/>
              <w:kern w:val="0"/>
              <w:sz w:val="24"/>
              <w:szCs w:val="24"/>
              <w:lang w:val="en-US" w:eastAsia="zh-CN" w:bidi="ar-SA"/>
            </w:rPr>
            <w:t>工程量清单</w:t>
          </w:r>
          <w:r>
            <w:rPr>
              <w:rFonts w:hint="eastAsia" w:ascii="黑体" w:hAnsi="黑体" w:eastAsia="黑体" w:cs="黑体"/>
              <w:bCs/>
              <w:snapToGrid w:val="0"/>
              <w:color w:val="000000"/>
              <w:spacing w:val="5"/>
              <w:kern w:val="0"/>
              <w:sz w:val="24"/>
              <w:szCs w:val="24"/>
              <w:lang w:val="en-US" w:eastAsia="en-US" w:bidi="ar-SA"/>
            </w:rPr>
            <w:t xml:space="preserve"> .........</w:t>
          </w:r>
          <w:r>
            <w:rPr>
              <w:rFonts w:hint="eastAsia" w:ascii="黑体" w:hAnsi="黑体" w:eastAsia="黑体" w:cs="黑体"/>
              <w:bCs/>
              <w:snapToGrid w:val="0"/>
              <w:color w:val="000000"/>
              <w:spacing w:val="5"/>
              <w:kern w:val="0"/>
              <w:sz w:val="24"/>
              <w:szCs w:val="24"/>
              <w:lang w:val="en-US" w:eastAsia="zh-CN" w:bidi="ar-SA"/>
            </w:rPr>
            <w:t>.</w:t>
          </w:r>
          <w:r>
            <w:rPr>
              <w:rFonts w:hint="eastAsia" w:ascii="黑体" w:hAnsi="黑体" w:eastAsia="黑体" w:cs="黑体"/>
              <w:bCs/>
              <w:snapToGrid w:val="0"/>
              <w:color w:val="000000"/>
              <w:spacing w:val="5"/>
              <w:kern w:val="0"/>
              <w:sz w:val="24"/>
              <w:szCs w:val="24"/>
              <w:lang w:val="en-US" w:eastAsia="en-US" w:bidi="ar-SA"/>
            </w:rPr>
            <w:t>....................................</w:t>
          </w:r>
          <w:r>
            <w:rPr>
              <w:rFonts w:hint="eastAsia" w:ascii="黑体" w:hAnsi="黑体" w:eastAsia="黑体" w:cs="黑体"/>
              <w:bCs/>
              <w:snapToGrid w:val="0"/>
              <w:color w:val="000000"/>
              <w:spacing w:val="5"/>
              <w:kern w:val="0"/>
              <w:sz w:val="24"/>
              <w:szCs w:val="24"/>
              <w:lang w:val="en-US" w:eastAsia="zh-CN" w:bidi="ar-SA"/>
            </w:rPr>
            <w:t>.</w:t>
          </w:r>
          <w:r>
            <w:rPr>
              <w:rFonts w:hint="eastAsia" w:ascii="黑体" w:hAnsi="黑体" w:eastAsia="黑体" w:cs="黑体"/>
              <w:bCs/>
              <w:snapToGrid w:val="0"/>
              <w:color w:val="000000"/>
              <w:spacing w:val="5"/>
              <w:kern w:val="0"/>
              <w:sz w:val="24"/>
              <w:szCs w:val="24"/>
              <w:lang w:val="en-US" w:eastAsia="en-US" w:bidi="ar-SA"/>
            </w:rPr>
            <w:t>....</w:t>
          </w:r>
          <w:r>
            <w:rPr>
              <w:rFonts w:hint="eastAsia" w:ascii="黑体" w:hAnsi="黑体" w:eastAsia="黑体" w:cs="黑体"/>
              <w:bCs/>
              <w:snapToGrid w:val="0"/>
              <w:color w:val="000000"/>
              <w:spacing w:val="5"/>
              <w:kern w:val="0"/>
              <w:sz w:val="24"/>
              <w:szCs w:val="24"/>
              <w:lang w:val="en-US" w:eastAsia="zh-CN" w:bidi="ar-SA"/>
            </w:rPr>
            <w:t>1</w:t>
          </w:r>
          <w:r>
            <w:rPr>
              <w:rFonts w:hint="eastAsia" w:ascii="黑体" w:hAnsi="黑体" w:eastAsia="黑体" w:cs="黑体"/>
              <w:bCs/>
              <w:snapToGrid w:val="0"/>
              <w:color w:val="000000"/>
              <w:spacing w:val="5"/>
              <w:kern w:val="0"/>
              <w:sz w:val="24"/>
              <w:szCs w:val="24"/>
              <w:lang w:val="en-US" w:eastAsia="en-US" w:bidi="ar-SA"/>
            </w:rPr>
            <w:fldChar w:fldCharType="end"/>
          </w:r>
          <w:r>
            <w:rPr>
              <w:rFonts w:hint="eastAsia" w:ascii="黑体" w:hAnsi="黑体" w:eastAsia="黑体" w:cs="黑体"/>
              <w:bCs/>
              <w:snapToGrid w:val="0"/>
              <w:color w:val="000000"/>
              <w:spacing w:val="5"/>
              <w:kern w:val="0"/>
              <w:sz w:val="24"/>
              <w:szCs w:val="24"/>
              <w:lang w:val="en-US" w:eastAsia="zh-CN" w:bidi="ar-SA"/>
            </w:rPr>
            <w:t>23</w:t>
          </w:r>
        </w:p>
        <w:p w14:paraId="26AFE694">
          <w:pPr>
            <w:rPr>
              <w:rFonts w:hint="eastAsia"/>
            </w:rPr>
          </w:pPr>
        </w:p>
        <w:p w14:paraId="33918200"/>
        <w:p w14:paraId="6D584B76">
          <w:pPr>
            <w:pStyle w:val="8"/>
            <w:tabs>
              <w:tab w:val="right" w:leader="dot" w:pos="9067"/>
            </w:tabs>
          </w:pPr>
        </w:p>
        <w:p w14:paraId="60B570ED">
          <w:r>
            <w:fldChar w:fldCharType="end"/>
          </w:r>
        </w:p>
      </w:sdtContent>
    </w:sdt>
    <w:p w14:paraId="57ABAAC2"/>
    <w:p w14:paraId="68D35202">
      <w:pPr>
        <w:pStyle w:val="5"/>
        <w:spacing w:before="187" w:line="222" w:lineRule="auto"/>
        <w:ind w:left="4095"/>
        <w:rPr>
          <w:sz w:val="30"/>
          <w:szCs w:val="30"/>
        </w:rPr>
      </w:pPr>
      <w:r>
        <w:rPr>
          <w:spacing w:val="-4"/>
          <w:sz w:val="30"/>
          <w:szCs w:val="30"/>
        </w:rPr>
        <w:t>第二卷</w:t>
      </w:r>
    </w:p>
    <w:p w14:paraId="014C9407">
      <w:pPr>
        <w:pStyle w:val="5"/>
        <w:spacing w:before="215" w:line="222" w:lineRule="auto"/>
        <w:ind w:left="8"/>
        <w:rPr>
          <w:rFonts w:hint="default" w:eastAsia="黑体"/>
          <w:sz w:val="24"/>
          <w:szCs w:val="24"/>
          <w:lang w:val="en-US" w:eastAsia="zh-CN"/>
        </w:rPr>
      </w:pPr>
      <w:r>
        <w:fldChar w:fldCharType="begin"/>
      </w:r>
      <w:r>
        <w:instrText xml:space="preserve"> HYPERLINK \l "bookmark12" </w:instrText>
      </w:r>
      <w:r>
        <w:fldChar w:fldCharType="separate"/>
      </w:r>
      <w:r>
        <w:rPr>
          <w:sz w:val="24"/>
          <w:szCs w:val="24"/>
        </w:rPr>
        <w:t>第</w:t>
      </w:r>
      <w:r>
        <w:rPr>
          <w:rFonts w:hint="eastAsia"/>
          <w:sz w:val="24"/>
          <w:szCs w:val="24"/>
          <w:lang w:eastAsia="zh-CN"/>
        </w:rPr>
        <w:t>七</w:t>
      </w:r>
      <w:r>
        <w:rPr>
          <w:sz w:val="24"/>
          <w:szCs w:val="24"/>
        </w:rPr>
        <w:t>章  图纸</w:t>
      </w:r>
      <w:r>
        <w:rPr>
          <w:spacing w:val="-41"/>
          <w:sz w:val="24"/>
          <w:szCs w:val="24"/>
        </w:rPr>
        <w:t xml:space="preserve"> </w:t>
      </w:r>
      <w:r>
        <w:rPr>
          <w:sz w:val="24"/>
          <w:szCs w:val="24"/>
        </w:rPr>
        <w:t>...............................</w:t>
      </w:r>
      <w:r>
        <w:rPr>
          <w:spacing w:val="-1"/>
          <w:sz w:val="24"/>
          <w:szCs w:val="24"/>
        </w:rPr>
        <w:t xml:space="preserve">............................ </w:t>
      </w:r>
      <w:r>
        <w:rPr>
          <w:rFonts w:hint="eastAsia"/>
          <w:spacing w:val="-1"/>
          <w:sz w:val="24"/>
          <w:szCs w:val="24"/>
          <w:lang w:val="en-US" w:eastAsia="zh-CN"/>
        </w:rPr>
        <w:t>1</w:t>
      </w:r>
      <w:r>
        <w:rPr>
          <w:spacing w:val="-1"/>
          <w:sz w:val="24"/>
          <w:szCs w:val="24"/>
        </w:rPr>
        <w:fldChar w:fldCharType="end"/>
      </w:r>
      <w:r>
        <w:rPr>
          <w:rFonts w:hint="eastAsia"/>
          <w:spacing w:val="-1"/>
          <w:sz w:val="24"/>
          <w:szCs w:val="24"/>
          <w:lang w:val="en-US" w:eastAsia="zh-CN"/>
        </w:rPr>
        <w:t>25</w:t>
      </w:r>
    </w:p>
    <w:p w14:paraId="06F9D904">
      <w:pPr>
        <w:pStyle w:val="5"/>
        <w:spacing w:before="187" w:line="222" w:lineRule="auto"/>
        <w:ind w:left="4095"/>
        <w:rPr>
          <w:sz w:val="30"/>
          <w:szCs w:val="30"/>
        </w:rPr>
      </w:pPr>
      <w:r>
        <w:rPr>
          <w:spacing w:val="-4"/>
          <w:sz w:val="30"/>
          <w:szCs w:val="30"/>
        </w:rPr>
        <w:t>第三卷</w:t>
      </w:r>
    </w:p>
    <w:p w14:paraId="4F073B0A">
      <w:pPr>
        <w:pStyle w:val="5"/>
        <w:spacing w:before="214" w:line="222" w:lineRule="auto"/>
        <w:ind w:left="8"/>
        <w:rPr>
          <w:rFonts w:hint="default" w:eastAsia="黑体"/>
          <w:sz w:val="24"/>
          <w:szCs w:val="24"/>
          <w:lang w:val="en-US" w:eastAsia="zh-CN"/>
        </w:rPr>
      </w:pPr>
      <w:r>
        <w:fldChar w:fldCharType="begin"/>
      </w:r>
      <w:r>
        <w:instrText xml:space="preserve"> HYPERLINK \l "bookmark13" </w:instrText>
      </w:r>
      <w:r>
        <w:fldChar w:fldCharType="separate"/>
      </w:r>
      <w:r>
        <w:rPr>
          <w:sz w:val="24"/>
          <w:szCs w:val="24"/>
        </w:rPr>
        <w:t>第</w:t>
      </w:r>
      <w:r>
        <w:rPr>
          <w:rFonts w:hint="eastAsia"/>
          <w:sz w:val="24"/>
          <w:szCs w:val="24"/>
          <w:lang w:eastAsia="zh-CN"/>
        </w:rPr>
        <w:t>八</w:t>
      </w:r>
      <w:r>
        <w:rPr>
          <w:sz w:val="24"/>
          <w:szCs w:val="24"/>
        </w:rPr>
        <w:t>章 技术标准和要求</w:t>
      </w:r>
      <w:r>
        <w:rPr>
          <w:spacing w:val="-41"/>
          <w:sz w:val="24"/>
          <w:szCs w:val="24"/>
        </w:rPr>
        <w:t xml:space="preserve"> </w:t>
      </w:r>
      <w:r>
        <w:rPr>
          <w:sz w:val="24"/>
          <w:szCs w:val="24"/>
        </w:rPr>
        <w:t>......................</w:t>
      </w:r>
      <w:r>
        <w:rPr>
          <w:spacing w:val="-1"/>
          <w:sz w:val="24"/>
          <w:szCs w:val="24"/>
        </w:rPr>
        <w:t xml:space="preserve">............................ </w:t>
      </w:r>
      <w:r>
        <w:rPr>
          <w:rFonts w:hint="eastAsia"/>
          <w:spacing w:val="-1"/>
          <w:sz w:val="24"/>
          <w:szCs w:val="24"/>
          <w:lang w:val="en-US" w:eastAsia="zh-CN"/>
        </w:rPr>
        <w:t>1</w:t>
      </w:r>
      <w:r>
        <w:rPr>
          <w:spacing w:val="-1"/>
          <w:sz w:val="24"/>
          <w:szCs w:val="24"/>
        </w:rPr>
        <w:fldChar w:fldCharType="end"/>
      </w:r>
      <w:r>
        <w:rPr>
          <w:rFonts w:hint="eastAsia"/>
          <w:spacing w:val="-1"/>
          <w:sz w:val="24"/>
          <w:szCs w:val="24"/>
          <w:lang w:val="en-US" w:eastAsia="zh-CN"/>
        </w:rPr>
        <w:t>27</w:t>
      </w:r>
    </w:p>
    <w:p w14:paraId="50BBE85A">
      <w:pPr>
        <w:pStyle w:val="5"/>
        <w:spacing w:before="188" w:line="222" w:lineRule="auto"/>
        <w:ind w:left="4095"/>
        <w:rPr>
          <w:sz w:val="30"/>
          <w:szCs w:val="30"/>
        </w:rPr>
      </w:pPr>
      <w:r>
        <w:rPr>
          <w:spacing w:val="-4"/>
          <w:sz w:val="30"/>
          <w:szCs w:val="30"/>
        </w:rPr>
        <w:t>第四卷</w:t>
      </w:r>
    </w:p>
    <w:p w14:paraId="30CEE7D2">
      <w:pPr>
        <w:pStyle w:val="5"/>
        <w:spacing w:before="212" w:line="222" w:lineRule="auto"/>
        <w:ind w:left="8"/>
        <w:rPr>
          <w:rFonts w:hint="default" w:eastAsia="黑体"/>
          <w:sz w:val="24"/>
          <w:szCs w:val="24"/>
          <w:lang w:val="en-US" w:eastAsia="zh-CN"/>
        </w:rPr>
      </w:pPr>
      <w:r>
        <w:fldChar w:fldCharType="begin"/>
      </w:r>
      <w:r>
        <w:instrText xml:space="preserve"> HYPERLINK \l "bookmark14" </w:instrText>
      </w:r>
      <w:r>
        <w:fldChar w:fldCharType="separate"/>
      </w:r>
      <w:r>
        <w:rPr>
          <w:sz w:val="24"/>
          <w:szCs w:val="24"/>
        </w:rPr>
        <w:t>第</w:t>
      </w:r>
      <w:r>
        <w:rPr>
          <w:rFonts w:hint="eastAsia"/>
          <w:sz w:val="24"/>
          <w:szCs w:val="24"/>
          <w:lang w:eastAsia="zh-CN"/>
        </w:rPr>
        <w:t>九</w:t>
      </w:r>
      <w:r>
        <w:rPr>
          <w:sz w:val="24"/>
          <w:szCs w:val="24"/>
        </w:rPr>
        <w:t>章 投标文件格式</w:t>
      </w:r>
      <w:r>
        <w:rPr>
          <w:spacing w:val="-41"/>
          <w:sz w:val="24"/>
          <w:szCs w:val="24"/>
        </w:rPr>
        <w:t xml:space="preserve"> </w:t>
      </w:r>
      <w:r>
        <w:rPr>
          <w:sz w:val="24"/>
          <w:szCs w:val="24"/>
        </w:rPr>
        <w:t>........................</w:t>
      </w:r>
      <w:r>
        <w:rPr>
          <w:spacing w:val="-1"/>
          <w:sz w:val="24"/>
          <w:szCs w:val="24"/>
        </w:rPr>
        <w:t xml:space="preserve">............................ </w:t>
      </w:r>
      <w:r>
        <w:rPr>
          <w:rFonts w:hint="eastAsia"/>
          <w:spacing w:val="-1"/>
          <w:sz w:val="24"/>
          <w:szCs w:val="24"/>
          <w:lang w:val="en-US" w:eastAsia="zh-CN"/>
        </w:rPr>
        <w:t>1</w:t>
      </w:r>
      <w:r>
        <w:rPr>
          <w:spacing w:val="-1"/>
          <w:sz w:val="24"/>
          <w:szCs w:val="24"/>
        </w:rPr>
        <w:fldChar w:fldCharType="end"/>
      </w:r>
      <w:r>
        <w:rPr>
          <w:rFonts w:hint="eastAsia"/>
          <w:spacing w:val="-1"/>
          <w:sz w:val="24"/>
          <w:szCs w:val="24"/>
          <w:lang w:val="en-US" w:eastAsia="zh-CN"/>
        </w:rPr>
        <w:t>29</w:t>
      </w:r>
    </w:p>
    <w:p w14:paraId="75392101">
      <w:pPr>
        <w:spacing w:line="242" w:lineRule="auto"/>
        <w:rPr>
          <w:rFonts w:ascii="Arial"/>
          <w:sz w:val="21"/>
        </w:rPr>
        <w:sectPr>
          <w:headerReference r:id="rId5" w:type="default"/>
          <w:footerReference r:id="rId6" w:type="default"/>
          <w:pgSz w:w="11900" w:h="16839"/>
          <w:pgMar w:top="1440" w:right="1416" w:bottom="1440" w:left="1417" w:header="829" w:footer="793" w:gutter="0"/>
          <w:pgNumType w:fmt="decimal"/>
          <w:cols w:space="720" w:num="1"/>
        </w:sectPr>
      </w:pPr>
    </w:p>
    <w:p w14:paraId="7AA0F6BB">
      <w:pPr>
        <w:spacing w:line="242" w:lineRule="auto"/>
        <w:rPr>
          <w:rFonts w:ascii="Arial"/>
          <w:sz w:val="21"/>
        </w:rPr>
      </w:pPr>
    </w:p>
    <w:p w14:paraId="6210D053">
      <w:pPr>
        <w:spacing w:line="242" w:lineRule="auto"/>
        <w:rPr>
          <w:rFonts w:ascii="Arial"/>
          <w:sz w:val="21"/>
        </w:rPr>
      </w:pPr>
    </w:p>
    <w:p w14:paraId="085055BA">
      <w:pPr>
        <w:spacing w:line="242" w:lineRule="auto"/>
        <w:rPr>
          <w:rFonts w:ascii="Arial"/>
          <w:sz w:val="21"/>
        </w:rPr>
      </w:pPr>
    </w:p>
    <w:p w14:paraId="0D035B8C">
      <w:pPr>
        <w:spacing w:line="242" w:lineRule="auto"/>
        <w:rPr>
          <w:rFonts w:ascii="Arial"/>
          <w:sz w:val="21"/>
        </w:rPr>
      </w:pPr>
    </w:p>
    <w:p w14:paraId="75AD6A16">
      <w:pPr>
        <w:spacing w:line="242" w:lineRule="auto"/>
        <w:rPr>
          <w:rFonts w:ascii="Arial"/>
          <w:sz w:val="21"/>
        </w:rPr>
      </w:pPr>
    </w:p>
    <w:p w14:paraId="57F589DA">
      <w:pPr>
        <w:spacing w:line="242" w:lineRule="auto"/>
        <w:rPr>
          <w:rFonts w:ascii="Arial"/>
          <w:sz w:val="21"/>
        </w:rPr>
      </w:pPr>
    </w:p>
    <w:p w14:paraId="1380AB01">
      <w:pPr>
        <w:spacing w:line="242" w:lineRule="auto"/>
        <w:rPr>
          <w:rFonts w:ascii="Arial"/>
          <w:sz w:val="21"/>
        </w:rPr>
      </w:pPr>
    </w:p>
    <w:p w14:paraId="7B22F15E">
      <w:pPr>
        <w:spacing w:line="242" w:lineRule="auto"/>
        <w:rPr>
          <w:rFonts w:ascii="Arial"/>
          <w:sz w:val="21"/>
        </w:rPr>
      </w:pPr>
    </w:p>
    <w:p w14:paraId="07DD3D37">
      <w:pPr>
        <w:spacing w:line="242" w:lineRule="auto"/>
        <w:rPr>
          <w:rFonts w:ascii="Arial"/>
          <w:sz w:val="21"/>
        </w:rPr>
      </w:pPr>
    </w:p>
    <w:p w14:paraId="0736215B">
      <w:pPr>
        <w:spacing w:line="242" w:lineRule="auto"/>
        <w:rPr>
          <w:rFonts w:ascii="Arial"/>
          <w:sz w:val="21"/>
        </w:rPr>
      </w:pPr>
    </w:p>
    <w:p w14:paraId="43246E96">
      <w:pPr>
        <w:spacing w:line="242" w:lineRule="auto"/>
        <w:rPr>
          <w:rFonts w:ascii="Arial"/>
          <w:sz w:val="21"/>
        </w:rPr>
      </w:pPr>
    </w:p>
    <w:p w14:paraId="218CCC32">
      <w:pPr>
        <w:spacing w:line="242" w:lineRule="auto"/>
        <w:rPr>
          <w:rFonts w:ascii="Arial"/>
          <w:sz w:val="21"/>
        </w:rPr>
      </w:pPr>
    </w:p>
    <w:p w14:paraId="02DC56E4">
      <w:pPr>
        <w:spacing w:line="242" w:lineRule="auto"/>
        <w:rPr>
          <w:rFonts w:ascii="Arial"/>
          <w:sz w:val="21"/>
        </w:rPr>
      </w:pPr>
    </w:p>
    <w:p w14:paraId="192D5908">
      <w:pPr>
        <w:spacing w:line="242" w:lineRule="auto"/>
        <w:rPr>
          <w:rFonts w:ascii="Arial"/>
          <w:sz w:val="21"/>
        </w:rPr>
      </w:pPr>
    </w:p>
    <w:p w14:paraId="5E6573FA">
      <w:pPr>
        <w:spacing w:line="243" w:lineRule="auto"/>
        <w:rPr>
          <w:rFonts w:ascii="Arial"/>
          <w:sz w:val="21"/>
        </w:rPr>
      </w:pPr>
    </w:p>
    <w:p w14:paraId="4EC63DF9">
      <w:pPr>
        <w:spacing w:line="243" w:lineRule="auto"/>
        <w:rPr>
          <w:rFonts w:ascii="Arial"/>
          <w:sz w:val="21"/>
        </w:rPr>
      </w:pPr>
    </w:p>
    <w:p w14:paraId="1BF6492D">
      <w:pPr>
        <w:spacing w:line="243" w:lineRule="auto"/>
        <w:rPr>
          <w:rFonts w:ascii="Arial"/>
          <w:sz w:val="21"/>
        </w:rPr>
      </w:pPr>
    </w:p>
    <w:p w14:paraId="64CB91A2">
      <w:pPr>
        <w:spacing w:line="243" w:lineRule="auto"/>
        <w:rPr>
          <w:rFonts w:ascii="Arial"/>
          <w:sz w:val="21"/>
        </w:rPr>
      </w:pPr>
    </w:p>
    <w:p w14:paraId="5C5ACA45">
      <w:pPr>
        <w:spacing w:line="243" w:lineRule="auto"/>
        <w:rPr>
          <w:rFonts w:ascii="Arial"/>
          <w:sz w:val="21"/>
        </w:rPr>
      </w:pPr>
    </w:p>
    <w:p w14:paraId="3C1C4C19">
      <w:pPr>
        <w:spacing w:line="243" w:lineRule="auto"/>
        <w:rPr>
          <w:rFonts w:ascii="Arial"/>
          <w:sz w:val="21"/>
        </w:rPr>
      </w:pPr>
    </w:p>
    <w:p w14:paraId="4EF5D568">
      <w:pPr>
        <w:pStyle w:val="5"/>
        <w:spacing w:before="231" w:line="224" w:lineRule="auto"/>
        <w:ind w:left="3120"/>
        <w:outlineLvl w:val="0"/>
        <w:rPr>
          <w:sz w:val="71"/>
          <w:szCs w:val="71"/>
        </w:rPr>
      </w:pPr>
      <w:bookmarkStart w:id="0" w:name="_Toc4603"/>
      <w:r>
        <w:rPr>
          <w:spacing w:val="-16"/>
          <w:sz w:val="71"/>
          <w:szCs w:val="71"/>
        </w:rPr>
        <w:t>第</w:t>
      </w:r>
      <w:r>
        <w:rPr>
          <w:spacing w:val="44"/>
          <w:sz w:val="71"/>
          <w:szCs w:val="71"/>
        </w:rPr>
        <w:t xml:space="preserve"> </w:t>
      </w:r>
      <w:r>
        <w:rPr>
          <w:spacing w:val="-16"/>
          <w:sz w:val="71"/>
          <w:szCs w:val="71"/>
        </w:rPr>
        <w:t>一</w:t>
      </w:r>
      <w:r>
        <w:rPr>
          <w:spacing w:val="44"/>
          <w:sz w:val="71"/>
          <w:szCs w:val="71"/>
        </w:rPr>
        <w:t xml:space="preserve"> </w:t>
      </w:r>
      <w:r>
        <w:rPr>
          <w:spacing w:val="-16"/>
          <w:sz w:val="71"/>
          <w:szCs w:val="71"/>
        </w:rPr>
        <w:t>卷</w:t>
      </w:r>
      <w:bookmarkEnd w:id="0"/>
    </w:p>
    <w:p w14:paraId="4B551893">
      <w:pPr>
        <w:spacing w:line="244" w:lineRule="auto"/>
        <w:rPr>
          <w:rFonts w:hint="eastAsia" w:ascii="Arial" w:eastAsia="宋体"/>
          <w:sz w:val="21"/>
          <w:lang w:eastAsia="zh-CN"/>
        </w:rPr>
      </w:pPr>
      <w:r>
        <w:rPr>
          <w:rFonts w:hint="eastAsia" w:ascii="Arial" w:eastAsia="宋体"/>
          <w:sz w:val="21"/>
          <w:lang w:eastAsia="zh-CN"/>
        </w:rPr>
        <w:br w:type="page"/>
      </w:r>
    </w:p>
    <w:p w14:paraId="6563A747">
      <w:pPr>
        <w:spacing w:line="244" w:lineRule="auto"/>
        <w:rPr>
          <w:rFonts w:ascii="Arial"/>
          <w:sz w:val="21"/>
        </w:rPr>
      </w:pPr>
    </w:p>
    <w:p w14:paraId="603E6084">
      <w:pPr>
        <w:spacing w:line="244" w:lineRule="auto"/>
        <w:rPr>
          <w:rFonts w:ascii="Arial"/>
          <w:sz w:val="21"/>
        </w:rPr>
      </w:pPr>
    </w:p>
    <w:p w14:paraId="5134856D">
      <w:pPr>
        <w:spacing w:line="244" w:lineRule="auto"/>
        <w:rPr>
          <w:rFonts w:ascii="Arial"/>
          <w:sz w:val="21"/>
        </w:rPr>
      </w:pPr>
    </w:p>
    <w:p w14:paraId="6F43E903">
      <w:pPr>
        <w:spacing w:line="244" w:lineRule="auto"/>
        <w:rPr>
          <w:rFonts w:ascii="Arial"/>
          <w:sz w:val="21"/>
        </w:rPr>
      </w:pPr>
    </w:p>
    <w:p w14:paraId="63DE1139">
      <w:pPr>
        <w:spacing w:line="244" w:lineRule="auto"/>
        <w:rPr>
          <w:rFonts w:ascii="Arial"/>
          <w:sz w:val="21"/>
        </w:rPr>
      </w:pPr>
    </w:p>
    <w:p w14:paraId="1F26CC13">
      <w:pPr>
        <w:spacing w:line="244" w:lineRule="auto"/>
        <w:rPr>
          <w:rFonts w:ascii="Arial"/>
          <w:sz w:val="21"/>
        </w:rPr>
      </w:pPr>
    </w:p>
    <w:p w14:paraId="5417CBDE">
      <w:pPr>
        <w:spacing w:line="244" w:lineRule="auto"/>
        <w:rPr>
          <w:rFonts w:ascii="Arial"/>
          <w:sz w:val="21"/>
        </w:rPr>
      </w:pPr>
    </w:p>
    <w:p w14:paraId="1276E74D">
      <w:pPr>
        <w:spacing w:line="244" w:lineRule="auto"/>
        <w:rPr>
          <w:rFonts w:ascii="Arial"/>
          <w:sz w:val="21"/>
        </w:rPr>
      </w:pPr>
    </w:p>
    <w:p w14:paraId="42130251">
      <w:pPr>
        <w:spacing w:line="244" w:lineRule="auto"/>
        <w:rPr>
          <w:rFonts w:ascii="Arial"/>
          <w:sz w:val="21"/>
        </w:rPr>
      </w:pPr>
    </w:p>
    <w:p w14:paraId="67CE0A93">
      <w:pPr>
        <w:spacing w:line="244" w:lineRule="auto"/>
        <w:rPr>
          <w:rFonts w:ascii="Arial"/>
          <w:sz w:val="21"/>
        </w:rPr>
      </w:pPr>
    </w:p>
    <w:p w14:paraId="7AC635EA">
      <w:pPr>
        <w:spacing w:line="244" w:lineRule="auto"/>
        <w:rPr>
          <w:rFonts w:ascii="Arial"/>
          <w:sz w:val="21"/>
        </w:rPr>
      </w:pPr>
    </w:p>
    <w:p w14:paraId="3A098205">
      <w:pPr>
        <w:spacing w:line="244" w:lineRule="auto"/>
        <w:rPr>
          <w:rFonts w:ascii="Arial"/>
          <w:sz w:val="21"/>
        </w:rPr>
      </w:pPr>
    </w:p>
    <w:p w14:paraId="74EBCA6F">
      <w:pPr>
        <w:spacing w:line="244" w:lineRule="auto"/>
        <w:rPr>
          <w:rFonts w:ascii="Arial"/>
          <w:sz w:val="21"/>
        </w:rPr>
      </w:pPr>
    </w:p>
    <w:p w14:paraId="7BC9568E">
      <w:pPr>
        <w:spacing w:line="244" w:lineRule="auto"/>
        <w:rPr>
          <w:rFonts w:ascii="Arial"/>
          <w:sz w:val="21"/>
        </w:rPr>
      </w:pPr>
    </w:p>
    <w:p w14:paraId="7B396666">
      <w:pPr>
        <w:spacing w:line="244" w:lineRule="auto"/>
        <w:rPr>
          <w:rFonts w:ascii="Arial"/>
          <w:sz w:val="21"/>
        </w:rPr>
      </w:pPr>
    </w:p>
    <w:p w14:paraId="34E7CD5A">
      <w:pPr>
        <w:spacing w:line="245" w:lineRule="auto"/>
        <w:rPr>
          <w:rFonts w:ascii="Arial"/>
          <w:sz w:val="21"/>
        </w:rPr>
      </w:pPr>
    </w:p>
    <w:p w14:paraId="2EEFBB52">
      <w:pPr>
        <w:spacing w:line="245" w:lineRule="auto"/>
        <w:rPr>
          <w:rFonts w:ascii="Arial"/>
          <w:sz w:val="21"/>
        </w:rPr>
      </w:pPr>
    </w:p>
    <w:p w14:paraId="57E10202">
      <w:pPr>
        <w:spacing w:line="245" w:lineRule="auto"/>
        <w:rPr>
          <w:rFonts w:ascii="Arial"/>
          <w:sz w:val="21"/>
        </w:rPr>
      </w:pPr>
    </w:p>
    <w:p w14:paraId="107E99F7">
      <w:pPr>
        <w:spacing w:line="245" w:lineRule="auto"/>
        <w:rPr>
          <w:rFonts w:ascii="Arial"/>
          <w:sz w:val="21"/>
        </w:rPr>
      </w:pPr>
    </w:p>
    <w:p w14:paraId="52043FC0">
      <w:pPr>
        <w:spacing w:line="245" w:lineRule="auto"/>
        <w:rPr>
          <w:rFonts w:ascii="Arial"/>
          <w:sz w:val="21"/>
        </w:rPr>
      </w:pPr>
    </w:p>
    <w:p w14:paraId="2E3F25F6">
      <w:pPr>
        <w:spacing w:line="245" w:lineRule="auto"/>
        <w:rPr>
          <w:rFonts w:ascii="Arial"/>
          <w:sz w:val="21"/>
        </w:rPr>
      </w:pPr>
    </w:p>
    <w:p w14:paraId="102012C9">
      <w:pPr>
        <w:spacing w:before="297" w:line="233" w:lineRule="auto"/>
        <w:jc w:val="center"/>
        <w:outlineLvl w:val="0"/>
        <w:rPr>
          <w:rFonts w:ascii="宋体" w:hAnsi="宋体" w:eastAsia="宋体" w:cs="宋体"/>
          <w:b/>
          <w:bCs/>
          <w:spacing w:val="5"/>
          <w:sz w:val="43"/>
          <w:szCs w:val="43"/>
        </w:rPr>
      </w:pPr>
      <w:bookmarkStart w:id="1" w:name="_Toc27139"/>
      <w:r>
        <w:rPr>
          <w:rFonts w:ascii="宋体" w:hAnsi="宋体" w:eastAsia="宋体" w:cs="宋体"/>
          <w:b/>
          <w:bCs/>
          <w:spacing w:val="5"/>
          <w:sz w:val="43"/>
          <w:szCs w:val="43"/>
        </w:rPr>
        <w:t>第一章</w:t>
      </w:r>
      <w:r>
        <w:rPr>
          <w:rFonts w:ascii="宋体" w:hAnsi="宋体" w:eastAsia="宋体" w:cs="宋体"/>
          <w:spacing w:val="5"/>
          <w:sz w:val="43"/>
          <w:szCs w:val="43"/>
        </w:rPr>
        <w:t xml:space="preserve">  </w:t>
      </w:r>
      <w:r>
        <w:rPr>
          <w:rFonts w:ascii="宋体" w:hAnsi="宋体" w:eastAsia="宋体" w:cs="宋体"/>
          <w:b/>
          <w:bCs/>
          <w:spacing w:val="5"/>
          <w:sz w:val="43"/>
          <w:szCs w:val="43"/>
        </w:rPr>
        <w:t>招标公告</w:t>
      </w:r>
      <w:bookmarkEnd w:id="1"/>
    </w:p>
    <w:p w14:paraId="42BF6FEC">
      <w:pPr>
        <w:rPr>
          <w:rFonts w:ascii="宋体" w:hAnsi="宋体" w:eastAsia="宋体" w:cs="宋体"/>
          <w:b/>
          <w:bCs/>
          <w:spacing w:val="5"/>
          <w:sz w:val="43"/>
          <w:szCs w:val="43"/>
        </w:rPr>
      </w:pPr>
      <w:r>
        <w:rPr>
          <w:rFonts w:ascii="宋体" w:hAnsi="宋体" w:eastAsia="宋体" w:cs="宋体"/>
          <w:b/>
          <w:bCs/>
          <w:spacing w:val="5"/>
          <w:sz w:val="43"/>
          <w:szCs w:val="43"/>
        </w:rPr>
        <w:br w:type="page"/>
      </w:r>
    </w:p>
    <w:p w14:paraId="4401FA8F">
      <w:pPr>
        <w:spacing w:before="297" w:line="233" w:lineRule="auto"/>
        <w:ind w:left="3578"/>
        <w:outlineLvl w:val="0"/>
        <w:rPr>
          <w:rFonts w:ascii="宋体" w:hAnsi="宋体" w:eastAsia="宋体" w:cs="宋体"/>
          <w:sz w:val="16"/>
          <w:szCs w:val="16"/>
        </w:rPr>
      </w:pPr>
      <w:bookmarkStart w:id="2" w:name="_Toc11329"/>
      <w:r>
        <w:rPr>
          <w:rFonts w:ascii="宋体" w:hAnsi="宋体" w:eastAsia="宋体" w:cs="宋体"/>
          <w:b/>
          <w:bCs/>
          <w:spacing w:val="5"/>
          <w:sz w:val="31"/>
          <w:szCs w:val="31"/>
        </w:rPr>
        <w:t>第一章</w:t>
      </w:r>
      <w:r>
        <w:rPr>
          <w:rFonts w:ascii="宋体" w:hAnsi="宋体" w:eastAsia="宋体" w:cs="宋体"/>
          <w:spacing w:val="5"/>
          <w:sz w:val="31"/>
          <w:szCs w:val="31"/>
        </w:rPr>
        <w:t xml:space="preserve"> </w:t>
      </w:r>
      <w:r>
        <w:rPr>
          <w:rFonts w:ascii="宋体" w:hAnsi="宋体" w:eastAsia="宋体" w:cs="宋体"/>
          <w:b/>
          <w:bCs/>
          <w:spacing w:val="5"/>
          <w:sz w:val="31"/>
          <w:szCs w:val="31"/>
        </w:rPr>
        <w:t>招标公告</w:t>
      </w:r>
      <w:bookmarkEnd w:id="2"/>
    </w:p>
    <w:p w14:paraId="29C9387A">
      <w:pPr>
        <w:spacing w:line="185" w:lineRule="exact"/>
      </w:pPr>
    </w:p>
    <w:tbl>
      <w:tblPr>
        <w:tblStyle w:val="13"/>
        <w:tblW w:w="96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03"/>
        <w:gridCol w:w="1979"/>
        <w:gridCol w:w="1469"/>
        <w:gridCol w:w="1514"/>
        <w:gridCol w:w="2831"/>
      </w:tblGrid>
      <w:tr w14:paraId="5B1A9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903" w:type="dxa"/>
            <w:vAlign w:val="top"/>
          </w:tcPr>
          <w:p w14:paraId="14D2D171">
            <w:pPr>
              <w:pStyle w:val="14"/>
              <w:spacing w:before="183" w:line="228" w:lineRule="auto"/>
              <w:ind w:left="327"/>
            </w:pPr>
            <w:r>
              <w:rPr>
                <w:b/>
                <w:bCs/>
                <w:spacing w:val="6"/>
              </w:rPr>
              <w:t>投资项目代码</w:t>
            </w:r>
          </w:p>
        </w:tc>
        <w:tc>
          <w:tcPr>
            <w:tcW w:w="7793" w:type="dxa"/>
            <w:gridSpan w:val="4"/>
            <w:vAlign w:val="top"/>
          </w:tcPr>
          <w:p w14:paraId="28C4FC58">
            <w:pPr>
              <w:pStyle w:val="14"/>
              <w:spacing w:before="181" w:line="228" w:lineRule="auto"/>
              <w:jc w:val="center"/>
              <w:rPr>
                <w:rFonts w:hint="default" w:ascii="宋体" w:hAnsi="宋体" w:eastAsia="宋体" w:cs="宋体"/>
                <w:spacing w:val="5"/>
                <w:lang w:val="en-US" w:eastAsia="zh-CN"/>
              </w:rPr>
            </w:pPr>
            <w:r>
              <w:rPr>
                <w:rFonts w:hint="eastAsia" w:ascii="宋体" w:hAnsi="宋体" w:eastAsia="宋体" w:cs="宋体"/>
                <w:spacing w:val="5"/>
                <w:lang w:val="en-US" w:eastAsia="zh-CN"/>
              </w:rPr>
              <w:t>2504-440224-04-01-702563</w:t>
            </w:r>
          </w:p>
        </w:tc>
      </w:tr>
      <w:tr w14:paraId="291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903" w:type="dxa"/>
            <w:vAlign w:val="top"/>
          </w:tcPr>
          <w:p w14:paraId="68B2ADFC">
            <w:pPr>
              <w:pStyle w:val="14"/>
              <w:spacing w:before="179" w:line="228" w:lineRule="auto"/>
              <w:ind w:left="327"/>
            </w:pPr>
            <w:r>
              <w:rPr>
                <w:b/>
                <w:bCs/>
                <w:spacing w:val="6"/>
              </w:rPr>
              <w:t>投资项目名称</w:t>
            </w:r>
          </w:p>
        </w:tc>
        <w:tc>
          <w:tcPr>
            <w:tcW w:w="7793" w:type="dxa"/>
            <w:gridSpan w:val="4"/>
            <w:vAlign w:val="top"/>
          </w:tcPr>
          <w:p w14:paraId="15ED5576">
            <w:pPr>
              <w:pStyle w:val="14"/>
              <w:spacing w:before="181" w:line="228" w:lineRule="auto"/>
              <w:jc w:val="center"/>
              <w:rPr>
                <w:rFonts w:ascii="宋体" w:hAnsi="宋体" w:eastAsia="宋体" w:cs="宋体"/>
                <w:spacing w:val="5"/>
              </w:rPr>
            </w:pPr>
            <w:r>
              <w:rPr>
                <w:rFonts w:hint="eastAsia" w:ascii="宋体" w:hAnsi="宋体" w:eastAsia="宋体" w:cs="宋体"/>
                <w:spacing w:val="5"/>
                <w:lang w:eastAsia="zh-CN"/>
              </w:rPr>
              <w:t>韶关市北江（仁化大桥）渔港升级改造和整治维护项目施工</w:t>
            </w:r>
          </w:p>
        </w:tc>
      </w:tr>
      <w:tr w14:paraId="3512A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top"/>
          </w:tcPr>
          <w:p w14:paraId="0724A632">
            <w:pPr>
              <w:pStyle w:val="14"/>
              <w:spacing w:before="181" w:line="228" w:lineRule="auto"/>
              <w:ind w:left="325"/>
            </w:pPr>
            <w:r>
              <w:rPr>
                <w:b/>
                <w:bCs/>
                <w:spacing w:val="6"/>
              </w:rPr>
              <w:t>招标项目名称</w:t>
            </w:r>
          </w:p>
        </w:tc>
        <w:tc>
          <w:tcPr>
            <w:tcW w:w="7793" w:type="dxa"/>
            <w:gridSpan w:val="4"/>
            <w:vAlign w:val="top"/>
          </w:tcPr>
          <w:p w14:paraId="75B4C669">
            <w:pPr>
              <w:pStyle w:val="14"/>
              <w:spacing w:before="181" w:line="228" w:lineRule="auto"/>
              <w:jc w:val="center"/>
              <w:rPr>
                <w:rFonts w:ascii="宋体" w:hAnsi="宋体" w:eastAsia="宋体" w:cs="宋体"/>
                <w:spacing w:val="5"/>
              </w:rPr>
            </w:pPr>
            <w:r>
              <w:rPr>
                <w:rFonts w:hint="eastAsia" w:ascii="宋体" w:hAnsi="宋体" w:eastAsia="宋体" w:cs="宋体"/>
                <w:spacing w:val="5"/>
                <w:lang w:eastAsia="zh-CN"/>
              </w:rPr>
              <w:t>韶关市北江（仁化大桥）渔港升级改造和整治维护项目</w:t>
            </w:r>
            <w:r>
              <w:rPr>
                <w:rFonts w:hint="eastAsia" w:cs="宋体"/>
                <w:spacing w:val="5"/>
                <w:lang w:eastAsia="zh-CN"/>
              </w:rPr>
              <w:t>施工</w:t>
            </w:r>
            <w:bookmarkStart w:id="82" w:name="_GoBack"/>
            <w:bookmarkEnd w:id="82"/>
          </w:p>
        </w:tc>
      </w:tr>
      <w:tr w14:paraId="65376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903" w:type="dxa"/>
            <w:vAlign w:val="top"/>
          </w:tcPr>
          <w:p w14:paraId="4A34532A">
            <w:pPr>
              <w:pStyle w:val="14"/>
              <w:spacing w:before="305" w:line="228" w:lineRule="auto"/>
              <w:ind w:left="219"/>
            </w:pPr>
            <w:r>
              <w:rPr>
                <w:b/>
                <w:bCs/>
                <w:spacing w:val="7"/>
              </w:rPr>
              <w:t>标段（包）名称</w:t>
            </w:r>
          </w:p>
        </w:tc>
        <w:tc>
          <w:tcPr>
            <w:tcW w:w="1979" w:type="dxa"/>
            <w:vAlign w:val="top"/>
          </w:tcPr>
          <w:p w14:paraId="5383E99E">
            <w:pPr>
              <w:pStyle w:val="14"/>
              <w:spacing w:before="23" w:line="217" w:lineRule="auto"/>
              <w:rPr>
                <w:rFonts w:hint="eastAsia" w:ascii="宋体" w:hAnsi="宋体" w:eastAsia="宋体" w:cs="宋体"/>
                <w:spacing w:val="5"/>
                <w:lang w:val="en-US" w:eastAsia="zh-CN"/>
              </w:rPr>
            </w:pPr>
          </w:p>
          <w:p w14:paraId="179F36C0">
            <w:pPr>
              <w:pStyle w:val="14"/>
              <w:spacing w:before="23" w:line="217" w:lineRule="auto"/>
              <w:jc w:val="center"/>
              <w:rPr>
                <w:rFonts w:hint="eastAsia" w:eastAsia="宋体"/>
                <w:lang w:eastAsia="zh-CN"/>
              </w:rPr>
            </w:pPr>
            <w:r>
              <w:rPr>
                <w:rFonts w:hint="eastAsia" w:ascii="宋体" w:hAnsi="宋体" w:eastAsia="宋体" w:cs="宋体"/>
                <w:spacing w:val="5"/>
                <w:lang w:val="en-US" w:eastAsia="zh-CN"/>
              </w:rPr>
              <w:t>/</w:t>
            </w:r>
          </w:p>
        </w:tc>
        <w:tc>
          <w:tcPr>
            <w:tcW w:w="1469" w:type="dxa"/>
            <w:vAlign w:val="top"/>
          </w:tcPr>
          <w:p w14:paraId="516372D4">
            <w:pPr>
              <w:pStyle w:val="14"/>
              <w:spacing w:before="305" w:line="226" w:lineRule="auto"/>
              <w:ind w:left="325"/>
            </w:pPr>
            <w:r>
              <w:rPr>
                <w:b/>
                <w:bCs/>
                <w:spacing w:val="4"/>
              </w:rPr>
              <w:t>公告性质</w:t>
            </w:r>
          </w:p>
        </w:tc>
        <w:tc>
          <w:tcPr>
            <w:tcW w:w="4345" w:type="dxa"/>
            <w:gridSpan w:val="2"/>
            <w:vAlign w:val="top"/>
          </w:tcPr>
          <w:p w14:paraId="2CDAE7AE">
            <w:pPr>
              <w:pStyle w:val="14"/>
              <w:spacing w:before="287" w:line="265" w:lineRule="exact"/>
              <w:ind w:left="1918"/>
              <w:rPr>
                <w:sz w:val="10"/>
                <w:szCs w:val="10"/>
              </w:rPr>
            </w:pPr>
            <w:r>
              <w:rPr>
                <w:spacing w:val="4"/>
              </w:rPr>
              <w:t>正常</w:t>
            </w:r>
          </w:p>
        </w:tc>
      </w:tr>
      <w:tr w14:paraId="545D9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top"/>
          </w:tcPr>
          <w:p w14:paraId="0C95ECBF">
            <w:pPr>
              <w:pStyle w:val="14"/>
              <w:spacing w:before="181" w:line="228" w:lineRule="auto"/>
              <w:ind w:left="333"/>
            </w:pPr>
            <w:r>
              <w:rPr>
                <w:b/>
                <w:bCs/>
                <w:spacing w:val="5"/>
              </w:rPr>
              <w:t>资格审查方式</w:t>
            </w:r>
          </w:p>
        </w:tc>
        <w:tc>
          <w:tcPr>
            <w:tcW w:w="7793" w:type="dxa"/>
            <w:gridSpan w:val="4"/>
            <w:vAlign w:val="top"/>
          </w:tcPr>
          <w:p w14:paraId="53992ABE">
            <w:pPr>
              <w:pStyle w:val="14"/>
              <w:spacing w:before="181" w:line="228" w:lineRule="auto"/>
              <w:ind w:left="3489"/>
            </w:pPr>
            <w:r>
              <w:rPr>
                <w:spacing w:val="5"/>
                <w:highlight w:val="none"/>
              </w:rPr>
              <w:t>资格后审</w:t>
            </w:r>
          </w:p>
        </w:tc>
      </w:tr>
      <w:tr w14:paraId="40628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top"/>
          </w:tcPr>
          <w:p w14:paraId="4A46C8D3">
            <w:pPr>
              <w:pStyle w:val="14"/>
              <w:spacing w:before="44" w:line="239" w:lineRule="auto"/>
              <w:ind w:left="334" w:right="318" w:hanging="9"/>
            </w:pPr>
            <w:r>
              <w:rPr>
                <w:b/>
                <w:bCs/>
                <w:spacing w:val="6"/>
              </w:rPr>
              <w:t>招标项目实施</w:t>
            </w:r>
            <w:r>
              <w:rPr>
                <w:b/>
                <w:bCs/>
                <w:spacing w:val="5"/>
              </w:rPr>
              <w:t>（交货）地点</w:t>
            </w:r>
          </w:p>
        </w:tc>
        <w:tc>
          <w:tcPr>
            <w:tcW w:w="7793" w:type="dxa"/>
            <w:gridSpan w:val="4"/>
            <w:vAlign w:val="center"/>
          </w:tcPr>
          <w:p w14:paraId="779BB460">
            <w:pPr>
              <w:jc w:val="center"/>
              <w:rPr>
                <w:rFonts w:ascii="Arial"/>
                <w:sz w:val="21"/>
              </w:rPr>
            </w:pPr>
            <w:r>
              <w:rPr>
                <w:rFonts w:hint="eastAsia" w:ascii="Arial"/>
                <w:sz w:val="21"/>
                <w:lang w:eastAsia="zh-CN"/>
              </w:rPr>
              <w:t>广东省韶关市仁化县大桥镇</w:t>
            </w:r>
          </w:p>
        </w:tc>
      </w:tr>
      <w:tr w14:paraId="7D7DC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top"/>
          </w:tcPr>
          <w:p w14:paraId="58E172A1">
            <w:pPr>
              <w:pStyle w:val="14"/>
              <w:spacing w:before="179" w:line="228" w:lineRule="auto"/>
              <w:ind w:left="544"/>
            </w:pPr>
            <w:r>
              <w:rPr>
                <w:b/>
                <w:bCs/>
                <w:spacing w:val="4"/>
              </w:rPr>
              <w:t>资金来源</w:t>
            </w:r>
          </w:p>
        </w:tc>
        <w:tc>
          <w:tcPr>
            <w:tcW w:w="1979" w:type="dxa"/>
            <w:vAlign w:val="center"/>
          </w:tcPr>
          <w:p w14:paraId="6EB27982">
            <w:pPr>
              <w:jc w:val="center"/>
              <w:rPr>
                <w:rFonts w:hint="eastAsia" w:ascii="Arial" w:eastAsia="宋体"/>
                <w:sz w:val="21"/>
                <w:lang w:eastAsia="zh-CN"/>
              </w:rPr>
            </w:pPr>
            <w:r>
              <w:rPr>
                <w:rFonts w:hint="eastAsia" w:eastAsia="宋体"/>
                <w:sz w:val="21"/>
                <w:lang w:eastAsia="zh-CN"/>
              </w:rPr>
              <w:t>财政资金</w:t>
            </w:r>
          </w:p>
        </w:tc>
        <w:tc>
          <w:tcPr>
            <w:tcW w:w="1469" w:type="dxa"/>
            <w:vAlign w:val="center"/>
          </w:tcPr>
          <w:p w14:paraId="3037BA45">
            <w:pPr>
              <w:pStyle w:val="14"/>
              <w:spacing w:before="46" w:line="238" w:lineRule="auto"/>
              <w:ind w:left="634" w:right="207" w:hanging="412"/>
              <w:jc w:val="center"/>
            </w:pPr>
            <w:r>
              <w:rPr>
                <w:b/>
                <w:bCs/>
                <w:spacing w:val="4"/>
              </w:rPr>
              <w:t>资金来源构</w:t>
            </w:r>
            <w:r>
              <w:rPr>
                <w:b/>
                <w:bCs/>
                <w:spacing w:val="-3"/>
              </w:rPr>
              <w:t>成</w:t>
            </w:r>
          </w:p>
        </w:tc>
        <w:tc>
          <w:tcPr>
            <w:tcW w:w="4345" w:type="dxa"/>
            <w:gridSpan w:val="2"/>
            <w:vAlign w:val="center"/>
          </w:tcPr>
          <w:p w14:paraId="280B46D1">
            <w:pPr>
              <w:jc w:val="center"/>
              <w:rPr>
                <w:rFonts w:ascii="Arial"/>
                <w:sz w:val="21"/>
              </w:rPr>
            </w:pPr>
            <w:r>
              <w:rPr>
                <w:rFonts w:hint="eastAsia" w:ascii="Arial"/>
                <w:sz w:val="21"/>
                <w:lang w:val="en-US" w:eastAsia="zh-CN"/>
              </w:rPr>
              <w:t>中央财政渔业油价补贴政策调整专项转移支付补助资金800万元，其余资金由地方自筹</w:t>
            </w:r>
          </w:p>
        </w:tc>
      </w:tr>
      <w:tr w14:paraId="3C2DD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top"/>
          </w:tcPr>
          <w:p w14:paraId="5ACB9F59">
            <w:pPr>
              <w:pStyle w:val="14"/>
              <w:spacing w:before="181" w:line="228" w:lineRule="auto"/>
              <w:ind w:left="219"/>
            </w:pPr>
            <w:r>
              <w:rPr>
                <w:b/>
                <w:bCs/>
                <w:spacing w:val="7"/>
              </w:rPr>
              <w:t>招标范围及规模</w:t>
            </w:r>
          </w:p>
        </w:tc>
        <w:tc>
          <w:tcPr>
            <w:tcW w:w="7793" w:type="dxa"/>
            <w:gridSpan w:val="4"/>
            <w:vAlign w:val="center"/>
          </w:tcPr>
          <w:p w14:paraId="3BBD156D">
            <w:pPr>
              <w:pStyle w:val="14"/>
              <w:keepNext w:val="0"/>
              <w:keepLines w:val="0"/>
              <w:pageBreakBefore w:val="0"/>
              <w:widowControl/>
              <w:tabs>
                <w:tab w:val="left" w:pos="1578"/>
              </w:tabs>
              <w:kinsoku w:val="0"/>
              <w:wordWrap/>
              <w:overflowPunct/>
              <w:topLinePunct w:val="0"/>
              <w:autoSpaceDE w:val="0"/>
              <w:autoSpaceDN w:val="0"/>
              <w:bidi w:val="0"/>
              <w:adjustRightInd w:val="0"/>
              <w:snapToGrid w:val="0"/>
              <w:spacing w:line="227" w:lineRule="auto"/>
              <w:ind w:left="107" w:firstLine="400" w:firstLineChars="200"/>
              <w:jc w:val="both"/>
              <w:textAlignment w:val="baseline"/>
            </w:pPr>
            <w:r>
              <w:rPr>
                <w:rFonts w:hint="eastAsia"/>
                <w:u w:val="none" w:color="auto"/>
                <w:lang w:val="en-US" w:eastAsia="zh-CN"/>
              </w:rPr>
              <w:t>本项目为韶关市北江(仁化大桥)渔港升级改造和整治维护项目，为内陆渔港，本项目建设渔业码头77米，渔政船浮码头1座，护岸82米，港池挖泥0.82万立方米，场地平整及道路硬化3525米，现有渔港管理中心（装修），临时工程1项，配套码头照明、给排水、消防工程和监控设备等。；（具体以设计图纸为准）</w:t>
            </w:r>
          </w:p>
        </w:tc>
      </w:tr>
      <w:tr w14:paraId="09D2E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top"/>
          </w:tcPr>
          <w:p w14:paraId="63B48FC3">
            <w:pPr>
              <w:pStyle w:val="14"/>
              <w:spacing w:before="180" w:line="228" w:lineRule="auto"/>
              <w:ind w:left="536"/>
            </w:pPr>
            <w:r>
              <w:rPr>
                <w:b/>
                <w:bCs/>
                <w:spacing w:val="6"/>
              </w:rPr>
              <w:t>招标内容</w:t>
            </w:r>
          </w:p>
        </w:tc>
        <w:tc>
          <w:tcPr>
            <w:tcW w:w="7793" w:type="dxa"/>
            <w:gridSpan w:val="4"/>
            <w:vAlign w:val="center"/>
          </w:tcPr>
          <w:p w14:paraId="57A4C882">
            <w:pPr>
              <w:pStyle w:val="14"/>
              <w:keepNext w:val="0"/>
              <w:keepLines w:val="0"/>
              <w:pageBreakBefore w:val="0"/>
              <w:widowControl/>
              <w:kinsoku w:val="0"/>
              <w:wordWrap/>
              <w:overflowPunct/>
              <w:topLinePunct w:val="0"/>
              <w:autoSpaceDE w:val="0"/>
              <w:autoSpaceDN w:val="0"/>
              <w:bidi w:val="0"/>
              <w:adjustRightInd w:val="0"/>
              <w:snapToGrid w:val="0"/>
              <w:spacing w:line="285" w:lineRule="auto"/>
              <w:ind w:left="116" w:firstLine="436" w:firstLineChars="200"/>
              <w:jc w:val="both"/>
              <w:textAlignment w:val="baseline"/>
              <w:rPr>
                <w:sz w:val="10"/>
                <w:szCs w:val="10"/>
              </w:rPr>
            </w:pPr>
            <w:r>
              <w:rPr>
                <w:rFonts w:hint="eastAsia"/>
                <w:spacing w:val="9"/>
                <w:lang w:eastAsia="zh-CN"/>
              </w:rPr>
              <w:t>韶关市北江（仁化大桥）渔港升级改造和整治维护项目</w:t>
            </w:r>
            <w:r>
              <w:rPr>
                <w:spacing w:val="9"/>
              </w:rPr>
              <w:t>的施工达到</w:t>
            </w:r>
            <w:r>
              <w:rPr>
                <w:rFonts w:hint="eastAsia"/>
                <w:spacing w:val="9"/>
              </w:rPr>
              <w:t>施工图</w:t>
            </w:r>
            <w:r>
              <w:rPr>
                <w:spacing w:val="9"/>
              </w:rPr>
              <w:t>设计要求。内容主要包括根据招标人提供的技术要求，</w:t>
            </w:r>
            <w:r>
              <w:rPr>
                <w:rFonts w:hint="eastAsia"/>
                <w:spacing w:val="9"/>
              </w:rPr>
              <w:t>详见招标图纸和工程量清单</w:t>
            </w:r>
          </w:p>
        </w:tc>
      </w:tr>
      <w:tr w14:paraId="5A819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3" w:hRule="atLeast"/>
        </w:trPr>
        <w:tc>
          <w:tcPr>
            <w:tcW w:w="1903" w:type="dxa"/>
            <w:vAlign w:val="top"/>
          </w:tcPr>
          <w:p w14:paraId="551E4404">
            <w:pPr>
              <w:spacing w:line="459" w:lineRule="auto"/>
              <w:rPr>
                <w:rFonts w:ascii="Arial"/>
                <w:sz w:val="21"/>
              </w:rPr>
            </w:pPr>
          </w:p>
          <w:p w14:paraId="4B66EE58">
            <w:pPr>
              <w:pStyle w:val="14"/>
              <w:spacing w:before="65" w:line="227" w:lineRule="auto"/>
              <w:ind w:left="221"/>
            </w:pPr>
            <w:r>
              <w:rPr>
                <w:b/>
                <w:bCs/>
                <w:spacing w:val="5"/>
              </w:rPr>
              <w:t>工期（交货期）</w:t>
            </w:r>
          </w:p>
        </w:tc>
        <w:tc>
          <w:tcPr>
            <w:tcW w:w="7793" w:type="dxa"/>
            <w:gridSpan w:val="4"/>
            <w:vAlign w:val="top"/>
          </w:tcPr>
          <w:p w14:paraId="1F0C87A5">
            <w:pPr>
              <w:pStyle w:val="14"/>
              <w:spacing w:before="127" w:line="228" w:lineRule="auto"/>
              <w:ind w:left="116"/>
            </w:pPr>
            <w:r>
              <w:rPr>
                <w:spacing w:val="8"/>
              </w:rPr>
              <w:t>计划工期：</w:t>
            </w:r>
            <w:r>
              <w:rPr>
                <w:rFonts w:hint="eastAsia"/>
                <w:u w:val="single" w:color="auto"/>
                <w:lang w:val="en-US" w:eastAsia="zh-CN"/>
              </w:rPr>
              <w:t>180</w:t>
            </w:r>
            <w:r>
              <w:rPr>
                <w:rFonts w:hint="eastAsia"/>
                <w:u w:val="single" w:color="auto"/>
              </w:rPr>
              <w:t>日历天</w:t>
            </w:r>
            <w:r>
              <w:rPr>
                <w:u w:val="single" w:color="auto"/>
              </w:rPr>
              <w:t xml:space="preserve"> </w:t>
            </w:r>
          </w:p>
          <w:p w14:paraId="59DA5D7B">
            <w:pPr>
              <w:pStyle w:val="14"/>
              <w:spacing w:before="153" w:line="228" w:lineRule="auto"/>
              <w:ind w:left="116"/>
            </w:pPr>
            <w:r>
              <w:rPr>
                <w:spacing w:val="8"/>
              </w:rPr>
              <w:t>计划开工日期：</w:t>
            </w:r>
            <w:r>
              <w:rPr>
                <w:u w:val="single" w:color="auto"/>
              </w:rPr>
              <w:t xml:space="preserve"> </w:t>
            </w:r>
            <w:r>
              <w:rPr>
                <w:rFonts w:hint="eastAsia"/>
                <w:u w:val="single" w:color="auto"/>
                <w:lang w:val="en-US" w:eastAsia="zh-CN"/>
              </w:rPr>
              <w:t>以合同签订时间为准</w:t>
            </w:r>
            <w:r>
              <w:rPr>
                <w:u w:val="single" w:color="auto"/>
              </w:rPr>
              <w:t xml:space="preserve">  </w:t>
            </w:r>
          </w:p>
          <w:p w14:paraId="50C13E38">
            <w:pPr>
              <w:pStyle w:val="14"/>
              <w:spacing w:before="153" w:line="228" w:lineRule="auto"/>
              <w:ind w:left="116"/>
            </w:pPr>
            <w:r>
              <w:rPr>
                <w:spacing w:val="8"/>
              </w:rPr>
              <w:t>计划交工日期：</w:t>
            </w:r>
            <w:r>
              <w:rPr>
                <w:u w:val="single" w:color="auto"/>
              </w:rPr>
              <w:t xml:space="preserve"> </w:t>
            </w:r>
            <w:r>
              <w:rPr>
                <w:rFonts w:hint="eastAsia"/>
                <w:u w:val="single" w:color="auto"/>
                <w:lang w:val="en-US" w:eastAsia="zh-CN"/>
              </w:rPr>
              <w:t>以合同签订时间为准</w:t>
            </w:r>
            <w:r>
              <w:rPr>
                <w:u w:val="single" w:color="auto"/>
              </w:rPr>
              <w:t xml:space="preserve"> </w:t>
            </w:r>
          </w:p>
        </w:tc>
      </w:tr>
      <w:tr w14:paraId="75415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top"/>
          </w:tcPr>
          <w:p w14:paraId="1B41E286">
            <w:pPr>
              <w:pStyle w:val="14"/>
              <w:spacing w:before="181" w:line="226" w:lineRule="auto"/>
              <w:ind w:left="327"/>
            </w:pPr>
            <w:r>
              <w:rPr>
                <w:b/>
                <w:bCs/>
                <w:spacing w:val="6"/>
                <w:highlight w:val="none"/>
              </w:rPr>
              <w:t>最高投标限价</w:t>
            </w:r>
          </w:p>
        </w:tc>
        <w:tc>
          <w:tcPr>
            <w:tcW w:w="7793" w:type="dxa"/>
            <w:gridSpan w:val="4"/>
            <w:vAlign w:val="top"/>
          </w:tcPr>
          <w:p w14:paraId="35D6DF55">
            <w:pPr>
              <w:pStyle w:val="14"/>
              <w:spacing w:before="181" w:line="228" w:lineRule="auto"/>
              <w:jc w:val="center"/>
              <w:rPr>
                <w:rFonts w:hint="default" w:eastAsia="宋体"/>
                <w:lang w:val="en-US" w:eastAsia="zh-CN"/>
              </w:rPr>
            </w:pPr>
            <w:r>
              <w:rPr>
                <w:rFonts w:hint="eastAsia"/>
                <w:lang w:val="en-US" w:eastAsia="zh-CN"/>
              </w:rPr>
              <w:t>5649592.8元</w:t>
            </w:r>
          </w:p>
        </w:tc>
      </w:tr>
      <w:tr w14:paraId="1A1A40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9" w:hRule="atLeast"/>
        </w:trPr>
        <w:tc>
          <w:tcPr>
            <w:tcW w:w="1903" w:type="dxa"/>
            <w:vAlign w:val="top"/>
          </w:tcPr>
          <w:p w14:paraId="3381F949">
            <w:pPr>
              <w:spacing w:line="279" w:lineRule="auto"/>
              <w:rPr>
                <w:rFonts w:ascii="Arial"/>
                <w:sz w:val="21"/>
              </w:rPr>
            </w:pPr>
          </w:p>
          <w:p w14:paraId="5F6394F3">
            <w:pPr>
              <w:spacing w:line="279" w:lineRule="auto"/>
              <w:rPr>
                <w:rFonts w:ascii="Arial"/>
                <w:sz w:val="21"/>
              </w:rPr>
            </w:pPr>
          </w:p>
          <w:p w14:paraId="21CBB719">
            <w:pPr>
              <w:spacing w:line="280" w:lineRule="auto"/>
              <w:rPr>
                <w:rFonts w:ascii="Arial"/>
                <w:sz w:val="21"/>
              </w:rPr>
            </w:pPr>
          </w:p>
          <w:p w14:paraId="173B10AB">
            <w:pPr>
              <w:spacing w:line="280" w:lineRule="auto"/>
              <w:rPr>
                <w:rFonts w:ascii="Arial"/>
                <w:sz w:val="21"/>
              </w:rPr>
            </w:pPr>
          </w:p>
          <w:p w14:paraId="59162F65">
            <w:pPr>
              <w:spacing w:line="280" w:lineRule="auto"/>
              <w:rPr>
                <w:rFonts w:ascii="Arial"/>
                <w:sz w:val="21"/>
              </w:rPr>
            </w:pPr>
          </w:p>
          <w:p w14:paraId="253F4E9B">
            <w:pPr>
              <w:pStyle w:val="14"/>
              <w:spacing w:before="65" w:line="254" w:lineRule="auto"/>
              <w:ind w:left="746" w:right="213" w:hanging="524"/>
            </w:pPr>
            <w:r>
              <w:rPr>
                <w:b/>
                <w:bCs/>
                <w:spacing w:val="6"/>
              </w:rPr>
              <w:t>是否接受联合体</w:t>
            </w:r>
            <w:r>
              <w:rPr>
                <w:b/>
                <w:bCs/>
                <w:spacing w:val="2"/>
              </w:rPr>
              <w:t>投标</w:t>
            </w:r>
          </w:p>
        </w:tc>
        <w:tc>
          <w:tcPr>
            <w:tcW w:w="7793" w:type="dxa"/>
            <w:gridSpan w:val="4"/>
            <w:vAlign w:val="top"/>
          </w:tcPr>
          <w:p w14:paraId="2171C5BA">
            <w:pPr>
              <w:pStyle w:val="14"/>
              <w:spacing w:before="88" w:line="227" w:lineRule="auto"/>
              <w:ind w:left="116"/>
            </w:pPr>
            <w:r>
              <w:rPr>
                <w:spacing w:val="9"/>
              </w:rPr>
              <w:t>本次招标</w:t>
            </w:r>
            <w:r>
              <w:rPr>
                <w:spacing w:val="9"/>
                <w:u w:val="single" w:color="auto"/>
              </w:rPr>
              <w:t xml:space="preserve">  不接受</w:t>
            </w:r>
            <w:r>
              <w:rPr>
                <w:rFonts w:hint="eastAsia"/>
                <w:spacing w:val="9"/>
                <w:u w:val="single" w:color="auto"/>
                <w:lang w:val="en-US" w:eastAsia="zh-CN"/>
              </w:rPr>
              <w:t xml:space="preserve">  </w:t>
            </w:r>
            <w:r>
              <w:rPr>
                <w:spacing w:val="9"/>
              </w:rPr>
              <w:t>联合体</w:t>
            </w:r>
            <w:r>
              <w:rPr>
                <w:spacing w:val="8"/>
              </w:rPr>
              <w:t>投标。联合体投标的，应满足下列要求</w:t>
            </w:r>
            <w:r>
              <w:rPr>
                <w:spacing w:val="-59"/>
              </w:rPr>
              <w:t xml:space="preserve"> </w:t>
            </w:r>
            <w:r>
              <w:rPr>
                <w:spacing w:val="8"/>
              </w:rPr>
              <w:t>:</w:t>
            </w:r>
          </w:p>
          <w:p w14:paraId="1168BEB2">
            <w:pPr>
              <w:pStyle w:val="14"/>
              <w:spacing w:before="133" w:line="312" w:lineRule="auto"/>
              <w:ind w:left="116" w:right="115" w:firstLine="35"/>
            </w:pPr>
            <w:r>
              <w:rPr>
                <w:spacing w:val="6"/>
              </w:rPr>
              <w:t>(1)联合体各方应按招标文件提供的格式签订联合体协议书，明</w:t>
            </w:r>
            <w:r>
              <w:rPr>
                <w:spacing w:val="5"/>
              </w:rPr>
              <w:t>确联合体牵头人和各</w:t>
            </w:r>
            <w:r>
              <w:rPr>
                <w:spacing w:val="9"/>
              </w:rPr>
              <w:t>方权利义务，并承诺就中标项目向招标人承担连带责任；</w:t>
            </w:r>
          </w:p>
          <w:p w14:paraId="50B0FE48">
            <w:pPr>
              <w:pStyle w:val="14"/>
              <w:spacing w:line="380" w:lineRule="exact"/>
              <w:ind w:left="152"/>
              <w:rPr>
                <w:sz w:val="10"/>
                <w:szCs w:val="10"/>
              </w:rPr>
            </w:pPr>
            <w:r>
              <w:rPr>
                <w:spacing w:val="8"/>
                <w:position w:val="3"/>
              </w:rPr>
              <w:t>(2)由同一专业的单位组成的联合体，按照资质等级较低的单位确定资质等级；</w:t>
            </w:r>
          </w:p>
          <w:p w14:paraId="2AAF6D87">
            <w:pPr>
              <w:pStyle w:val="14"/>
              <w:spacing w:before="84" w:line="351" w:lineRule="auto"/>
              <w:ind w:left="116" w:right="115" w:firstLine="35"/>
            </w:pPr>
            <w:r>
              <w:rPr>
                <w:spacing w:val="6"/>
              </w:rPr>
              <w:t>(3)联合体各方不得再以自己名义单独或参加其他联合体在同一</w:t>
            </w:r>
            <w:r>
              <w:rPr>
                <w:spacing w:val="5"/>
                <w:u w:val="single" w:color="auto"/>
              </w:rPr>
              <w:t>（标类或标段）</w:t>
            </w:r>
            <w:r>
              <w:rPr>
                <w:spacing w:val="5"/>
              </w:rPr>
              <w:t>中投</w:t>
            </w:r>
            <w:r>
              <w:t>标；</w:t>
            </w:r>
          </w:p>
          <w:p w14:paraId="281892B5">
            <w:pPr>
              <w:pStyle w:val="14"/>
              <w:spacing w:line="226" w:lineRule="auto"/>
              <w:ind w:left="152"/>
            </w:pPr>
            <w:r>
              <w:rPr>
                <w:spacing w:val="6"/>
              </w:rPr>
              <w:t>(4)联合体所有成员（含牵头人）数量不得超过</w:t>
            </w:r>
            <w:r>
              <w:rPr>
                <w:spacing w:val="6"/>
                <w:u w:val="single" w:color="auto"/>
              </w:rPr>
              <w:t xml:space="preserve">      </w:t>
            </w:r>
            <w:r>
              <w:rPr>
                <w:spacing w:val="-81"/>
              </w:rPr>
              <w:t xml:space="preserve"> </w:t>
            </w:r>
            <w:r>
              <w:rPr>
                <w:spacing w:val="6"/>
              </w:rPr>
              <w:t>个；</w:t>
            </w:r>
          </w:p>
          <w:p w14:paraId="7A361098">
            <w:pPr>
              <w:pStyle w:val="14"/>
              <w:spacing w:before="116" w:line="243" w:lineRule="auto"/>
              <w:ind w:left="152"/>
            </w:pPr>
            <w:r>
              <w:rPr>
                <w:spacing w:val="6"/>
              </w:rPr>
              <w:t>(5)联合体牵头人所承担的工作量不得少于</w:t>
            </w:r>
            <w:r>
              <w:rPr>
                <w:spacing w:val="6"/>
                <w:u w:val="single" w:color="auto"/>
              </w:rPr>
              <w:t xml:space="preserve">     </w:t>
            </w:r>
            <w:r>
              <w:rPr>
                <w:spacing w:val="-92"/>
              </w:rPr>
              <w:t xml:space="preserve"> </w:t>
            </w:r>
            <w:r>
              <w:rPr>
                <w:spacing w:val="6"/>
              </w:rPr>
              <w:t>%;</w:t>
            </w:r>
          </w:p>
          <w:p w14:paraId="20810A52">
            <w:pPr>
              <w:pStyle w:val="14"/>
              <w:spacing w:before="136" w:line="227" w:lineRule="auto"/>
              <w:ind w:left="152"/>
              <w:rPr>
                <w:spacing w:val="6"/>
              </w:rPr>
            </w:pPr>
            <w:r>
              <w:rPr>
                <w:spacing w:val="6"/>
              </w:rPr>
              <w:t>(6)联合体各方应分别按照本招标文件的要求，填写投标文件中的相</w:t>
            </w:r>
            <w:r>
              <w:rPr>
                <w:spacing w:val="5"/>
              </w:rPr>
              <w:t>应表格，并由联</w:t>
            </w:r>
          </w:p>
          <w:p w14:paraId="645531F9">
            <w:pPr>
              <w:pStyle w:val="14"/>
              <w:spacing w:before="90" w:line="351" w:lineRule="auto"/>
              <w:ind w:left="116" w:right="122"/>
              <w:jc w:val="both"/>
            </w:pPr>
            <w:r>
              <w:rPr>
                <w:spacing w:val="10"/>
              </w:rPr>
              <w:t>合体牵头人负责对联合体各成员的资料进行统一汇总</w:t>
            </w:r>
            <w:r>
              <w:rPr>
                <w:spacing w:val="9"/>
              </w:rPr>
              <w:t>后一并提交给招标人；联合体</w:t>
            </w:r>
            <w:r>
              <w:rPr>
                <w:spacing w:val="10"/>
              </w:rPr>
              <w:t>牵头人所提交的投标文件应认为已代表了联合体各</w:t>
            </w:r>
            <w:r>
              <w:rPr>
                <w:spacing w:val="9"/>
              </w:rPr>
              <w:t>成员的真实情况；除联合体协议书，可统一由联合体牵头人按招标文件规定进行签字盖章；</w:t>
            </w:r>
          </w:p>
          <w:p w14:paraId="1CA8E37A">
            <w:pPr>
              <w:pStyle w:val="14"/>
              <w:spacing w:line="347" w:lineRule="auto"/>
              <w:ind w:left="123" w:right="115" w:firstLine="29"/>
            </w:pPr>
            <w:r>
              <w:rPr>
                <w:spacing w:val="6"/>
              </w:rPr>
              <w:t>(7)联合体各成员在投标、签订合同与履行合同过程中，仍负有</w:t>
            </w:r>
            <w:r>
              <w:rPr>
                <w:spacing w:val="5"/>
              </w:rPr>
              <w:t>连带的和各自的法律</w:t>
            </w:r>
            <w:r>
              <w:t>责任。</w:t>
            </w:r>
          </w:p>
        </w:tc>
      </w:tr>
      <w:tr w14:paraId="55551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2" w:hRule="atLeast"/>
        </w:trPr>
        <w:tc>
          <w:tcPr>
            <w:tcW w:w="1903" w:type="dxa"/>
            <w:vMerge w:val="restart"/>
            <w:tcBorders>
              <w:bottom w:val="nil"/>
            </w:tcBorders>
            <w:vAlign w:val="top"/>
          </w:tcPr>
          <w:p w14:paraId="76CA5C09">
            <w:pPr>
              <w:spacing w:line="317" w:lineRule="auto"/>
              <w:rPr>
                <w:rFonts w:ascii="Arial"/>
                <w:sz w:val="21"/>
              </w:rPr>
            </w:pPr>
          </w:p>
          <w:p w14:paraId="2F6751B6">
            <w:pPr>
              <w:pStyle w:val="14"/>
              <w:spacing w:before="65" w:line="228" w:lineRule="auto"/>
              <w:ind w:left="221"/>
            </w:pPr>
            <w:r>
              <w:rPr>
                <w:b/>
                <w:bCs/>
                <w:spacing w:val="6"/>
              </w:rPr>
              <w:t>投标资格能力要</w:t>
            </w:r>
          </w:p>
          <w:p w14:paraId="5A93B821">
            <w:pPr>
              <w:pStyle w:val="14"/>
              <w:spacing w:before="24" w:line="228" w:lineRule="auto"/>
              <w:ind w:left="122"/>
            </w:pPr>
            <w:r>
              <w:rPr>
                <w:b/>
                <w:bCs/>
                <w:spacing w:val="5"/>
              </w:rPr>
              <w:t>求（包括但不限于</w:t>
            </w:r>
          </w:p>
          <w:p w14:paraId="6E34A614">
            <w:pPr>
              <w:pStyle w:val="14"/>
              <w:spacing w:before="25" w:line="228" w:lineRule="auto"/>
              <w:ind w:left="129"/>
            </w:pPr>
            <w:r>
              <w:rPr>
                <w:b/>
                <w:bCs/>
                <w:spacing w:val="4"/>
              </w:rPr>
              <w:t>资质人员、业绩等</w:t>
            </w:r>
          </w:p>
          <w:p w14:paraId="4C46735E">
            <w:pPr>
              <w:pStyle w:val="14"/>
              <w:spacing w:before="24" w:line="229" w:lineRule="auto"/>
              <w:ind w:left="642"/>
            </w:pPr>
            <w:r>
              <w:rPr>
                <w:b/>
                <w:bCs/>
                <w:spacing w:val="1"/>
              </w:rPr>
              <w:t>要求）</w:t>
            </w:r>
          </w:p>
        </w:tc>
        <w:tc>
          <w:tcPr>
            <w:tcW w:w="1979" w:type="dxa"/>
            <w:vAlign w:val="top"/>
          </w:tcPr>
          <w:p w14:paraId="370D6C45">
            <w:pPr>
              <w:spacing w:line="436" w:lineRule="auto"/>
              <w:rPr>
                <w:rFonts w:ascii="Arial"/>
                <w:sz w:val="21"/>
              </w:rPr>
            </w:pPr>
          </w:p>
          <w:p w14:paraId="16C2721D">
            <w:pPr>
              <w:pStyle w:val="14"/>
              <w:spacing w:before="65" w:line="228" w:lineRule="auto"/>
              <w:ind w:left="260"/>
            </w:pPr>
            <w:r>
              <w:rPr>
                <w:spacing w:val="8"/>
              </w:rPr>
              <w:t>投标人资格要求</w:t>
            </w:r>
          </w:p>
        </w:tc>
        <w:tc>
          <w:tcPr>
            <w:tcW w:w="5814" w:type="dxa"/>
            <w:gridSpan w:val="3"/>
            <w:vAlign w:val="top"/>
          </w:tcPr>
          <w:p w14:paraId="2C5AB115">
            <w:pPr>
              <w:pStyle w:val="14"/>
              <w:spacing w:before="106" w:line="340" w:lineRule="auto"/>
              <w:ind w:left="117" w:right="112" w:firstLine="2"/>
              <w:jc w:val="both"/>
              <w:rPr>
                <w:rFonts w:hint="eastAsia"/>
                <w:spacing w:val="6"/>
                <w:lang w:val="en-US" w:eastAsia="zh-CN"/>
              </w:rPr>
            </w:pPr>
            <w:r>
              <w:rPr>
                <w:rFonts w:hint="eastAsia"/>
                <w:spacing w:val="6"/>
                <w:lang w:val="en-US" w:eastAsia="zh-CN"/>
              </w:rPr>
              <w:t>3.1本次招标要求投标人须具备上述第2.2款表中所列相应资质，并在人员、设备、资金等方面具有相应的施工能力。</w:t>
            </w:r>
          </w:p>
          <w:p w14:paraId="7664ADED">
            <w:pPr>
              <w:pStyle w:val="14"/>
              <w:spacing w:before="106" w:line="340" w:lineRule="auto"/>
              <w:ind w:left="117" w:right="112" w:firstLine="2"/>
              <w:jc w:val="both"/>
              <w:rPr>
                <w:rFonts w:hint="eastAsia"/>
                <w:spacing w:val="6"/>
                <w:lang w:val="en-US" w:eastAsia="zh-CN"/>
              </w:rPr>
            </w:pPr>
            <w:r>
              <w:rPr>
                <w:rFonts w:hint="eastAsia"/>
                <w:spacing w:val="6"/>
                <w:lang w:val="en-US" w:eastAsia="zh-CN"/>
              </w:rPr>
              <w:t>3.2本次招标不接受联合体投标。</w:t>
            </w:r>
          </w:p>
          <w:p w14:paraId="4F4A25D9">
            <w:pPr>
              <w:pStyle w:val="14"/>
              <w:spacing w:before="106" w:line="340" w:lineRule="auto"/>
              <w:ind w:left="117" w:right="112" w:firstLine="2"/>
              <w:jc w:val="both"/>
              <w:rPr>
                <w:rFonts w:hint="eastAsia"/>
                <w:spacing w:val="6"/>
                <w:lang w:val="en-US" w:eastAsia="zh-CN"/>
              </w:rPr>
            </w:pPr>
            <w:r>
              <w:rPr>
                <w:rFonts w:hint="eastAsia"/>
                <w:spacing w:val="6"/>
                <w:lang w:val="en-US" w:eastAsia="zh-CN"/>
              </w:rPr>
              <w:t>3.3本次招标中，每个投标人最多可对1个标段投标，但只允许中1个标。</w:t>
            </w:r>
          </w:p>
          <w:p w14:paraId="21B8DEBE">
            <w:pPr>
              <w:pStyle w:val="14"/>
              <w:spacing w:before="106" w:line="340" w:lineRule="auto"/>
              <w:ind w:left="117" w:right="112" w:firstLine="2"/>
              <w:jc w:val="both"/>
              <w:rPr>
                <w:rFonts w:hint="eastAsia"/>
                <w:spacing w:val="6"/>
                <w:lang w:val="en-US" w:eastAsia="zh-CN"/>
              </w:rPr>
            </w:pPr>
            <w:r>
              <w:rPr>
                <w:rFonts w:hint="eastAsia"/>
                <w:spacing w:val="6"/>
                <w:lang w:val="en-US" w:eastAsia="zh-CN"/>
              </w:rPr>
              <w:t>3.4与招标人存在利害关系可能影响招标公正性的法人，不得参加投标；若单位负责人为同一人、或者存在控股、管理关系的不同单位，不得参加同一标段投标或者未划分标段的同一招标项目投标，否则按否决其投标处理。</w:t>
            </w:r>
          </w:p>
          <w:p w14:paraId="330DF673">
            <w:pPr>
              <w:pStyle w:val="14"/>
              <w:spacing w:before="106" w:line="340" w:lineRule="auto"/>
              <w:ind w:left="117" w:right="112" w:firstLine="2"/>
              <w:jc w:val="both"/>
            </w:pPr>
            <w:r>
              <w:rPr>
                <w:rFonts w:hint="eastAsia"/>
                <w:spacing w:val="6"/>
                <w:lang w:val="en-US" w:eastAsia="zh-CN"/>
              </w:rPr>
              <w:t>3.5在“信用中国”网站（http://www.creditchina.gov.cn/）中被列入失信被执行人名单的投标人，在国家企业信用信息公示系统（www.gsxt.gov.cn）中被列入严重违法失信企业名单的投标人，均按否决投标处理。</w:t>
            </w:r>
          </w:p>
        </w:tc>
      </w:tr>
      <w:tr w14:paraId="1B8F7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Merge w:val="continue"/>
            <w:tcBorders>
              <w:top w:val="nil"/>
            </w:tcBorders>
            <w:vAlign w:val="top"/>
          </w:tcPr>
          <w:p w14:paraId="7C9A333C">
            <w:pPr>
              <w:rPr>
                <w:rFonts w:ascii="Arial"/>
                <w:sz w:val="21"/>
              </w:rPr>
            </w:pPr>
          </w:p>
        </w:tc>
        <w:tc>
          <w:tcPr>
            <w:tcW w:w="1979" w:type="dxa"/>
            <w:vAlign w:val="top"/>
          </w:tcPr>
          <w:p w14:paraId="16ADD885">
            <w:pPr>
              <w:pStyle w:val="14"/>
              <w:spacing w:before="180" w:line="228" w:lineRule="auto"/>
              <w:ind w:left="260"/>
            </w:pPr>
            <w:r>
              <w:rPr>
                <w:spacing w:val="8"/>
              </w:rPr>
              <w:t>投标人业绩要求</w:t>
            </w:r>
          </w:p>
        </w:tc>
        <w:tc>
          <w:tcPr>
            <w:tcW w:w="5814" w:type="dxa"/>
            <w:gridSpan w:val="3"/>
            <w:vAlign w:val="top"/>
          </w:tcPr>
          <w:p w14:paraId="02B6CC60">
            <w:pPr>
              <w:pStyle w:val="14"/>
              <w:spacing w:before="180" w:line="226" w:lineRule="auto"/>
              <w:ind w:left="2073"/>
              <w:rPr>
                <w:rFonts w:hint="eastAsia" w:eastAsia="宋体"/>
                <w:lang w:eastAsia="zh-CN"/>
              </w:rPr>
            </w:pPr>
            <w:r>
              <w:rPr>
                <w:rFonts w:hint="eastAsia"/>
                <w:spacing w:val="8"/>
                <w:lang w:eastAsia="zh-CN"/>
              </w:rPr>
              <w:t>无</w:t>
            </w:r>
          </w:p>
        </w:tc>
      </w:tr>
      <w:tr w14:paraId="4DB0A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4" w:hRule="atLeast"/>
        </w:trPr>
        <w:tc>
          <w:tcPr>
            <w:tcW w:w="1903" w:type="dxa"/>
            <w:vMerge w:val="restart"/>
            <w:tcBorders>
              <w:bottom w:val="nil"/>
            </w:tcBorders>
            <w:vAlign w:val="top"/>
          </w:tcPr>
          <w:p w14:paraId="64CE73E1">
            <w:pPr>
              <w:spacing w:line="250" w:lineRule="auto"/>
              <w:rPr>
                <w:rFonts w:ascii="Arial"/>
                <w:sz w:val="21"/>
              </w:rPr>
            </w:pPr>
          </w:p>
          <w:p w14:paraId="119C9A2B">
            <w:pPr>
              <w:spacing w:line="250" w:lineRule="auto"/>
              <w:rPr>
                <w:rFonts w:ascii="Arial"/>
                <w:sz w:val="21"/>
              </w:rPr>
            </w:pPr>
          </w:p>
          <w:p w14:paraId="6D9FFA17">
            <w:pPr>
              <w:spacing w:line="250" w:lineRule="auto"/>
              <w:rPr>
                <w:rFonts w:ascii="Arial"/>
                <w:sz w:val="21"/>
              </w:rPr>
            </w:pPr>
          </w:p>
          <w:p w14:paraId="2D88623B">
            <w:pPr>
              <w:spacing w:line="250" w:lineRule="auto"/>
              <w:rPr>
                <w:rFonts w:ascii="Arial"/>
                <w:sz w:val="21"/>
              </w:rPr>
            </w:pPr>
          </w:p>
          <w:p w14:paraId="19FBF9D7">
            <w:pPr>
              <w:spacing w:line="250" w:lineRule="auto"/>
              <w:rPr>
                <w:rFonts w:ascii="Arial"/>
                <w:sz w:val="21"/>
              </w:rPr>
            </w:pPr>
          </w:p>
          <w:p w14:paraId="4D3D240C">
            <w:pPr>
              <w:spacing w:line="250" w:lineRule="auto"/>
              <w:rPr>
                <w:rFonts w:ascii="Arial"/>
                <w:sz w:val="21"/>
              </w:rPr>
            </w:pPr>
          </w:p>
          <w:p w14:paraId="62527325">
            <w:pPr>
              <w:spacing w:line="250" w:lineRule="auto"/>
              <w:rPr>
                <w:rFonts w:ascii="Arial"/>
                <w:sz w:val="21"/>
              </w:rPr>
            </w:pPr>
          </w:p>
          <w:p w14:paraId="31FF2519">
            <w:pPr>
              <w:spacing w:line="250" w:lineRule="auto"/>
              <w:rPr>
                <w:rFonts w:ascii="Arial"/>
                <w:sz w:val="21"/>
              </w:rPr>
            </w:pPr>
          </w:p>
          <w:p w14:paraId="1FE425E4">
            <w:pPr>
              <w:spacing w:line="251" w:lineRule="auto"/>
              <w:rPr>
                <w:rFonts w:ascii="Arial"/>
                <w:sz w:val="21"/>
              </w:rPr>
            </w:pPr>
          </w:p>
          <w:p w14:paraId="3A2C5283">
            <w:pPr>
              <w:pStyle w:val="14"/>
              <w:spacing w:before="65" w:line="254" w:lineRule="auto"/>
              <w:ind w:left="325" w:right="318" w:firstLine="2"/>
            </w:pPr>
            <w:r>
              <w:rPr>
                <w:b/>
                <w:bCs/>
                <w:spacing w:val="6"/>
              </w:rPr>
              <w:t>是否采用电子招标投标方式</w:t>
            </w:r>
          </w:p>
        </w:tc>
        <w:tc>
          <w:tcPr>
            <w:tcW w:w="1979" w:type="dxa"/>
            <w:vMerge w:val="restart"/>
            <w:tcBorders>
              <w:bottom w:val="nil"/>
            </w:tcBorders>
            <w:vAlign w:val="top"/>
          </w:tcPr>
          <w:p w14:paraId="6FAF66F3">
            <w:pPr>
              <w:spacing w:line="265" w:lineRule="auto"/>
              <w:rPr>
                <w:rFonts w:ascii="Arial"/>
                <w:sz w:val="21"/>
              </w:rPr>
            </w:pPr>
          </w:p>
          <w:p w14:paraId="6B0DEAEA">
            <w:pPr>
              <w:spacing w:line="265" w:lineRule="auto"/>
              <w:rPr>
                <w:rFonts w:ascii="Arial"/>
                <w:sz w:val="21"/>
              </w:rPr>
            </w:pPr>
          </w:p>
          <w:p w14:paraId="001246B9">
            <w:pPr>
              <w:spacing w:line="265" w:lineRule="auto"/>
              <w:rPr>
                <w:rFonts w:ascii="Arial"/>
                <w:sz w:val="21"/>
              </w:rPr>
            </w:pPr>
          </w:p>
          <w:p w14:paraId="0E0CF344">
            <w:pPr>
              <w:spacing w:line="265" w:lineRule="auto"/>
              <w:rPr>
                <w:rFonts w:ascii="Arial"/>
                <w:sz w:val="21"/>
              </w:rPr>
            </w:pPr>
          </w:p>
          <w:p w14:paraId="18D9CCD3">
            <w:pPr>
              <w:spacing w:line="265" w:lineRule="auto"/>
              <w:rPr>
                <w:rFonts w:ascii="Arial"/>
                <w:sz w:val="21"/>
              </w:rPr>
            </w:pPr>
          </w:p>
          <w:p w14:paraId="55432B74">
            <w:pPr>
              <w:spacing w:line="265" w:lineRule="auto"/>
              <w:rPr>
                <w:rFonts w:ascii="Arial"/>
                <w:sz w:val="21"/>
              </w:rPr>
            </w:pPr>
          </w:p>
          <w:p w14:paraId="30C38405">
            <w:pPr>
              <w:spacing w:line="265" w:lineRule="auto"/>
              <w:rPr>
                <w:rFonts w:ascii="Arial"/>
                <w:sz w:val="21"/>
              </w:rPr>
            </w:pPr>
          </w:p>
          <w:p w14:paraId="06771D09">
            <w:pPr>
              <w:spacing w:line="265" w:lineRule="auto"/>
              <w:rPr>
                <w:rFonts w:ascii="Arial"/>
                <w:sz w:val="21"/>
              </w:rPr>
            </w:pPr>
          </w:p>
          <w:p w14:paraId="6B6C5771">
            <w:pPr>
              <w:spacing w:line="266" w:lineRule="auto"/>
              <w:rPr>
                <w:rFonts w:ascii="Arial"/>
                <w:sz w:val="21"/>
              </w:rPr>
            </w:pPr>
          </w:p>
          <w:p w14:paraId="327C35F1">
            <w:pPr>
              <w:pStyle w:val="14"/>
              <w:spacing w:before="65" w:line="231" w:lineRule="auto"/>
              <w:ind w:left="892"/>
            </w:pPr>
            <w:r>
              <w:t>是</w:t>
            </w:r>
          </w:p>
        </w:tc>
        <w:tc>
          <w:tcPr>
            <w:tcW w:w="1469" w:type="dxa"/>
            <w:vMerge w:val="restart"/>
            <w:tcBorders>
              <w:bottom w:val="nil"/>
            </w:tcBorders>
            <w:vAlign w:val="top"/>
          </w:tcPr>
          <w:p w14:paraId="0AC8E700">
            <w:pPr>
              <w:spacing w:line="249" w:lineRule="auto"/>
              <w:rPr>
                <w:rFonts w:ascii="Arial"/>
                <w:sz w:val="21"/>
              </w:rPr>
            </w:pPr>
          </w:p>
          <w:p w14:paraId="02AA4C07">
            <w:pPr>
              <w:spacing w:line="250" w:lineRule="auto"/>
              <w:rPr>
                <w:rFonts w:ascii="Arial"/>
                <w:sz w:val="21"/>
              </w:rPr>
            </w:pPr>
          </w:p>
          <w:p w14:paraId="57F9C7B5">
            <w:pPr>
              <w:spacing w:line="250" w:lineRule="auto"/>
              <w:rPr>
                <w:rFonts w:ascii="Arial"/>
                <w:sz w:val="21"/>
              </w:rPr>
            </w:pPr>
          </w:p>
          <w:p w14:paraId="3ECB5EA0">
            <w:pPr>
              <w:spacing w:line="250" w:lineRule="auto"/>
              <w:rPr>
                <w:rFonts w:ascii="Arial"/>
                <w:sz w:val="21"/>
              </w:rPr>
            </w:pPr>
          </w:p>
          <w:p w14:paraId="7816170F">
            <w:pPr>
              <w:spacing w:line="250" w:lineRule="auto"/>
              <w:rPr>
                <w:rFonts w:ascii="Arial"/>
                <w:sz w:val="21"/>
              </w:rPr>
            </w:pPr>
          </w:p>
          <w:p w14:paraId="11EC4A1E">
            <w:pPr>
              <w:spacing w:line="250" w:lineRule="auto"/>
              <w:rPr>
                <w:rFonts w:ascii="Arial"/>
                <w:sz w:val="21"/>
              </w:rPr>
            </w:pPr>
          </w:p>
          <w:p w14:paraId="338EA725">
            <w:pPr>
              <w:spacing w:line="250" w:lineRule="auto"/>
              <w:rPr>
                <w:rFonts w:ascii="Arial"/>
                <w:sz w:val="21"/>
              </w:rPr>
            </w:pPr>
          </w:p>
          <w:p w14:paraId="6007F246">
            <w:pPr>
              <w:spacing w:line="250" w:lineRule="auto"/>
              <w:rPr>
                <w:rFonts w:ascii="Arial"/>
                <w:sz w:val="21"/>
              </w:rPr>
            </w:pPr>
          </w:p>
          <w:p w14:paraId="2F988FBB">
            <w:pPr>
              <w:spacing w:line="250" w:lineRule="auto"/>
              <w:rPr>
                <w:rFonts w:ascii="Arial"/>
                <w:sz w:val="21"/>
              </w:rPr>
            </w:pPr>
          </w:p>
          <w:p w14:paraId="328BFF3F">
            <w:pPr>
              <w:pStyle w:val="14"/>
              <w:spacing w:before="65" w:line="255" w:lineRule="auto"/>
              <w:ind w:left="529" w:right="207" w:hanging="316"/>
            </w:pPr>
            <w:r>
              <w:rPr>
                <w:b/>
                <w:bCs/>
                <w:spacing w:val="6"/>
              </w:rPr>
              <w:t>招标文件的</w:t>
            </w:r>
            <w:r>
              <w:rPr>
                <w:b/>
                <w:bCs/>
                <w:spacing w:val="3"/>
              </w:rPr>
              <w:t>方式</w:t>
            </w:r>
          </w:p>
        </w:tc>
        <w:tc>
          <w:tcPr>
            <w:tcW w:w="1514" w:type="dxa"/>
            <w:vAlign w:val="top"/>
          </w:tcPr>
          <w:p w14:paraId="0272B16A">
            <w:pPr>
              <w:spacing w:line="457" w:lineRule="auto"/>
              <w:rPr>
                <w:rFonts w:ascii="Arial"/>
                <w:sz w:val="21"/>
              </w:rPr>
            </w:pPr>
          </w:p>
          <w:p w14:paraId="3428F0CC">
            <w:pPr>
              <w:pStyle w:val="14"/>
              <w:spacing w:before="65" w:line="255" w:lineRule="auto"/>
              <w:ind w:left="135" w:right="111" w:hanging="10"/>
            </w:pPr>
            <w:r>
              <w:rPr>
                <w:spacing w:val="11"/>
              </w:rPr>
              <w:t>下载招标文件</w:t>
            </w:r>
            <w:r>
              <w:rPr>
                <w:spacing w:val="4"/>
              </w:rPr>
              <w:t>的网络地址</w:t>
            </w:r>
          </w:p>
        </w:tc>
        <w:tc>
          <w:tcPr>
            <w:tcW w:w="2831" w:type="dxa"/>
            <w:vAlign w:val="center"/>
          </w:tcPr>
          <w:p w14:paraId="2D43B4A0">
            <w:pPr>
              <w:pStyle w:val="14"/>
              <w:spacing w:before="120" w:line="228" w:lineRule="auto"/>
              <w:ind w:left="119"/>
              <w:jc w:val="both"/>
            </w:pPr>
            <w:r>
              <w:rPr>
                <w:spacing w:val="8"/>
              </w:rPr>
              <w:t>广东省招标投标监管网、</w:t>
            </w:r>
          </w:p>
          <w:p w14:paraId="721DDB03">
            <w:pPr>
              <w:pStyle w:val="14"/>
              <w:tabs>
                <w:tab w:val="left" w:pos="530"/>
              </w:tabs>
              <w:spacing w:before="113" w:line="335" w:lineRule="auto"/>
              <w:ind w:left="119" w:right="112" w:hanging="9"/>
              <w:jc w:val="both"/>
            </w:pPr>
            <w:r>
              <w:rPr>
                <w:u w:val="single" w:color="auto"/>
              </w:rPr>
              <w:tab/>
            </w:r>
            <w:r>
              <w:rPr>
                <w:rFonts w:hint="eastAsia"/>
                <w:u w:val="single" w:color="auto"/>
                <w:lang w:eastAsia="zh-CN"/>
              </w:rPr>
              <w:t>韶关</w:t>
            </w:r>
            <w:r>
              <w:rPr>
                <w:u w:val="single" w:color="auto"/>
              </w:rPr>
              <w:tab/>
            </w:r>
            <w:r>
              <w:rPr>
                <w:spacing w:val="-81"/>
              </w:rPr>
              <w:t xml:space="preserve"> </w:t>
            </w:r>
            <w:r>
              <w:rPr>
                <w:spacing w:val="-8"/>
              </w:rPr>
              <w:t>公</w:t>
            </w:r>
            <w:r>
              <w:rPr>
                <w:spacing w:val="-54"/>
              </w:rPr>
              <w:t xml:space="preserve"> </w:t>
            </w:r>
            <w:r>
              <w:rPr>
                <w:spacing w:val="-8"/>
              </w:rPr>
              <w:t>共</w:t>
            </w:r>
            <w:r>
              <w:rPr>
                <w:spacing w:val="-47"/>
              </w:rPr>
              <w:t xml:space="preserve"> </w:t>
            </w:r>
            <w:r>
              <w:rPr>
                <w:spacing w:val="-8"/>
              </w:rPr>
              <w:t>资</w:t>
            </w:r>
            <w:r>
              <w:rPr>
                <w:spacing w:val="-55"/>
              </w:rPr>
              <w:t xml:space="preserve"> </w:t>
            </w:r>
            <w:r>
              <w:rPr>
                <w:spacing w:val="-8"/>
              </w:rPr>
              <w:t>源</w:t>
            </w:r>
            <w:r>
              <w:rPr>
                <w:spacing w:val="-49"/>
              </w:rPr>
              <w:t xml:space="preserve"> </w:t>
            </w:r>
            <w:r>
              <w:rPr>
                <w:spacing w:val="-8"/>
              </w:rPr>
              <w:t>交</w:t>
            </w:r>
            <w:r>
              <w:rPr>
                <w:spacing w:val="-40"/>
              </w:rPr>
              <w:t xml:space="preserve"> </w:t>
            </w:r>
            <w:r>
              <w:rPr>
                <w:spacing w:val="-8"/>
              </w:rPr>
              <w:t>易</w:t>
            </w:r>
            <w:r>
              <w:rPr>
                <w:spacing w:val="-36"/>
              </w:rPr>
              <w:t xml:space="preserve"> </w:t>
            </w:r>
            <w:r>
              <w:rPr>
                <w:spacing w:val="-8"/>
              </w:rPr>
              <w:t>中</w:t>
            </w:r>
            <w:r>
              <w:rPr>
                <w:spacing w:val="-47"/>
              </w:rPr>
              <w:t xml:space="preserve"> </w:t>
            </w:r>
            <w:r>
              <w:rPr>
                <w:spacing w:val="-8"/>
              </w:rPr>
              <w:t>心</w:t>
            </w:r>
            <w:r>
              <w:rPr>
                <w:spacing w:val="-37"/>
              </w:rPr>
              <w:t xml:space="preserve"> </w:t>
            </w:r>
            <w:r>
              <w:rPr>
                <w:spacing w:val="-8"/>
              </w:rPr>
              <w:t>网</w:t>
            </w:r>
            <w:r>
              <w:t>站</w:t>
            </w:r>
          </w:p>
        </w:tc>
      </w:tr>
      <w:tr w14:paraId="66FC9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4" w:hRule="atLeast"/>
        </w:trPr>
        <w:tc>
          <w:tcPr>
            <w:tcW w:w="1903" w:type="dxa"/>
            <w:vMerge w:val="continue"/>
            <w:tcBorders>
              <w:top w:val="nil"/>
            </w:tcBorders>
            <w:vAlign w:val="top"/>
          </w:tcPr>
          <w:p w14:paraId="62825BBD">
            <w:pPr>
              <w:rPr>
                <w:rFonts w:ascii="Arial"/>
                <w:sz w:val="21"/>
              </w:rPr>
            </w:pPr>
          </w:p>
        </w:tc>
        <w:tc>
          <w:tcPr>
            <w:tcW w:w="1979" w:type="dxa"/>
            <w:vMerge w:val="continue"/>
            <w:tcBorders>
              <w:top w:val="nil"/>
            </w:tcBorders>
            <w:vAlign w:val="top"/>
          </w:tcPr>
          <w:p w14:paraId="2EF2D16C">
            <w:pPr>
              <w:rPr>
                <w:rFonts w:ascii="Arial"/>
                <w:sz w:val="21"/>
              </w:rPr>
            </w:pPr>
          </w:p>
        </w:tc>
        <w:tc>
          <w:tcPr>
            <w:tcW w:w="1469" w:type="dxa"/>
            <w:vMerge w:val="continue"/>
            <w:tcBorders>
              <w:top w:val="nil"/>
            </w:tcBorders>
            <w:vAlign w:val="top"/>
          </w:tcPr>
          <w:p w14:paraId="60A9256C">
            <w:pPr>
              <w:rPr>
                <w:rFonts w:ascii="Arial"/>
                <w:sz w:val="21"/>
              </w:rPr>
            </w:pPr>
          </w:p>
        </w:tc>
        <w:tc>
          <w:tcPr>
            <w:tcW w:w="1514" w:type="dxa"/>
            <w:vAlign w:val="top"/>
          </w:tcPr>
          <w:p w14:paraId="32D4E65A">
            <w:pPr>
              <w:spacing w:line="247" w:lineRule="auto"/>
              <w:rPr>
                <w:rFonts w:ascii="Arial"/>
                <w:sz w:val="21"/>
              </w:rPr>
            </w:pPr>
          </w:p>
          <w:p w14:paraId="39180127">
            <w:pPr>
              <w:spacing w:line="247" w:lineRule="auto"/>
              <w:rPr>
                <w:rFonts w:ascii="Arial"/>
                <w:sz w:val="21"/>
              </w:rPr>
            </w:pPr>
          </w:p>
          <w:p w14:paraId="7CBD60EE">
            <w:pPr>
              <w:spacing w:line="247" w:lineRule="auto"/>
              <w:rPr>
                <w:rFonts w:ascii="Arial"/>
                <w:sz w:val="21"/>
              </w:rPr>
            </w:pPr>
          </w:p>
          <w:p w14:paraId="65B9F2EC">
            <w:pPr>
              <w:spacing w:line="248" w:lineRule="auto"/>
              <w:rPr>
                <w:rFonts w:ascii="Arial"/>
                <w:sz w:val="21"/>
              </w:rPr>
            </w:pPr>
          </w:p>
          <w:p w14:paraId="15A0B589">
            <w:pPr>
              <w:spacing w:line="248" w:lineRule="auto"/>
              <w:rPr>
                <w:rFonts w:ascii="Arial"/>
                <w:sz w:val="21"/>
              </w:rPr>
            </w:pPr>
          </w:p>
          <w:p w14:paraId="037411E8">
            <w:pPr>
              <w:spacing w:line="248" w:lineRule="auto"/>
              <w:rPr>
                <w:rFonts w:ascii="Arial"/>
                <w:sz w:val="21"/>
              </w:rPr>
            </w:pPr>
          </w:p>
          <w:p w14:paraId="349380B8">
            <w:pPr>
              <w:pStyle w:val="14"/>
              <w:spacing w:before="65" w:line="255" w:lineRule="auto"/>
              <w:ind w:left="135" w:right="111" w:hanging="13"/>
            </w:pPr>
            <w:r>
              <w:rPr>
                <w:spacing w:val="12"/>
              </w:rPr>
              <w:t>获取招标文件</w:t>
            </w:r>
            <w:r>
              <w:rPr>
                <w:spacing w:val="1"/>
              </w:rPr>
              <w:t>的方式</w:t>
            </w:r>
          </w:p>
        </w:tc>
        <w:tc>
          <w:tcPr>
            <w:tcW w:w="2831" w:type="dxa"/>
            <w:vAlign w:val="top"/>
          </w:tcPr>
          <w:p w14:paraId="478A0174">
            <w:pPr>
              <w:pStyle w:val="14"/>
              <w:spacing w:before="75" w:line="323" w:lineRule="auto"/>
              <w:ind w:left="118" w:right="112" w:firstLine="5"/>
              <w:jc w:val="both"/>
              <w:rPr>
                <w:sz w:val="12"/>
                <w:szCs w:val="12"/>
              </w:rPr>
            </w:pPr>
            <w:r>
              <w:rPr>
                <w:spacing w:val="15"/>
              </w:rPr>
              <w:t>凡有意参加投标者，请于获</w:t>
            </w:r>
            <w:r>
              <w:rPr>
                <w:spacing w:val="16"/>
              </w:rPr>
              <w:t>取招标文件截止时间前，登</w:t>
            </w:r>
            <w:r>
              <w:rPr>
                <w:spacing w:val="12"/>
              </w:rPr>
              <w:t>录</w:t>
            </w:r>
            <w:r>
              <w:rPr>
                <w:spacing w:val="-89"/>
              </w:rPr>
              <w:t xml:space="preserve"> </w:t>
            </w:r>
            <w:r>
              <w:rPr>
                <w:spacing w:val="11"/>
                <w:u w:val="single" w:color="auto"/>
              </w:rPr>
              <w:t xml:space="preserve"> </w:t>
            </w:r>
            <w:r>
              <w:rPr>
                <w:rFonts w:hint="eastAsia"/>
                <w:spacing w:val="11"/>
                <w:u w:val="single" w:color="auto"/>
                <w:lang w:eastAsia="zh-CN"/>
              </w:rPr>
              <w:t>韶关</w:t>
            </w:r>
            <w:r>
              <w:rPr>
                <w:spacing w:val="11"/>
                <w:u w:val="single" w:color="auto"/>
              </w:rPr>
              <w:t xml:space="preserve"> </w:t>
            </w:r>
            <w:r>
              <w:rPr>
                <w:spacing w:val="-84"/>
              </w:rPr>
              <w:t xml:space="preserve"> </w:t>
            </w:r>
            <w:r>
              <w:rPr>
                <w:spacing w:val="12"/>
              </w:rPr>
              <w:t>公共资源交易中心网</w:t>
            </w:r>
            <w:r>
              <w:rPr>
                <w:spacing w:val="16"/>
              </w:rPr>
              <w:t>站，选择对应招标项目进行投标登记，并自行在网站中下载招标文件。</w:t>
            </w:r>
            <w:r>
              <w:rPr>
                <w:spacing w:val="16"/>
                <w:u w:val="single" w:color="auto"/>
              </w:rPr>
              <w:t>投标人参加多个标段投标的，应按所投标段分别进行投标登记，并按所投标段分别递交投标文</w:t>
            </w:r>
            <w:r>
              <w:rPr>
                <w:spacing w:val="4"/>
                <w:position w:val="-2"/>
                <w:u w:val="single" w:color="auto"/>
              </w:rPr>
              <w:t>件。</w:t>
            </w:r>
          </w:p>
        </w:tc>
      </w:tr>
      <w:tr w14:paraId="05875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1903" w:type="dxa"/>
            <w:vAlign w:val="top"/>
          </w:tcPr>
          <w:p w14:paraId="1C504DBC">
            <w:pPr>
              <w:pStyle w:val="14"/>
              <w:spacing w:before="151" w:line="255" w:lineRule="auto"/>
              <w:ind w:left="641" w:right="213" w:hanging="419"/>
            </w:pPr>
            <w:r>
              <w:pict>
                <v:shape id="_x0000_s1030" o:spid="_x0000_s1030" style="position:absolute;left:0pt;margin-left:84.35pt;margin-top:17.55pt;height:0.5pt;width:87.7pt;z-index:251665408;mso-width-relative:page;mso-height-relative:page;" filled="f" stroked="t" coordsize="1753,10" path="m0,4l1753,4e">
                  <v:fill on="f" focussize="0,0"/>
                  <v:stroke weight="0.48pt" color="#000000" miterlimit="2" joinstyle="bevel"/>
                  <v:imagedata o:title=""/>
                  <o:lock v:ext="edit"/>
                </v:shape>
              </w:pict>
            </w:r>
            <w:r>
              <w:rPr>
                <w:b/>
                <w:bCs/>
                <w:spacing w:val="6"/>
              </w:rPr>
              <w:t>获取招标文件开</w:t>
            </w:r>
            <w:r>
              <w:rPr>
                <w:b/>
                <w:bCs/>
                <w:spacing w:val="5"/>
              </w:rPr>
              <w:t>始时间</w:t>
            </w:r>
          </w:p>
        </w:tc>
        <w:tc>
          <w:tcPr>
            <w:tcW w:w="1979" w:type="dxa"/>
            <w:vAlign w:val="top"/>
          </w:tcPr>
          <w:p w14:paraId="7389B863">
            <w:pPr>
              <w:pStyle w:val="14"/>
              <w:spacing w:before="152" w:line="228" w:lineRule="auto"/>
            </w:pPr>
            <w:r>
              <w:rPr>
                <w:rFonts w:hint="eastAsia"/>
                <w:spacing w:val="-1"/>
                <w:lang w:val="en-US" w:eastAsia="zh-CN"/>
              </w:rPr>
              <w:t>2026</w:t>
            </w:r>
            <w:r>
              <w:rPr>
                <w:spacing w:val="-1"/>
              </w:rPr>
              <w:t>年</w:t>
            </w:r>
            <w:r>
              <w:rPr>
                <w:spacing w:val="22"/>
              </w:rPr>
              <w:t xml:space="preserve"> </w:t>
            </w:r>
            <w:r>
              <w:rPr>
                <w:rFonts w:hint="eastAsia"/>
                <w:spacing w:val="22"/>
                <w:lang w:val="en-US" w:eastAsia="zh-CN"/>
              </w:rPr>
              <w:t>9</w:t>
            </w:r>
            <w:r>
              <w:rPr>
                <w:spacing w:val="22"/>
              </w:rPr>
              <w:t xml:space="preserve"> </w:t>
            </w:r>
            <w:r>
              <w:rPr>
                <w:spacing w:val="-1"/>
              </w:rPr>
              <w:t xml:space="preserve">月 </w:t>
            </w:r>
            <w:r>
              <w:rPr>
                <w:rFonts w:hint="eastAsia"/>
                <w:spacing w:val="-1"/>
                <w:lang w:val="en-US" w:eastAsia="zh-CN"/>
              </w:rPr>
              <w:t>14</w:t>
            </w:r>
            <w:r>
              <w:rPr>
                <w:spacing w:val="-1"/>
              </w:rPr>
              <w:t xml:space="preserve"> 日</w:t>
            </w:r>
          </w:p>
          <w:p w14:paraId="5472BE9D">
            <w:pPr>
              <w:pStyle w:val="14"/>
              <w:spacing w:before="27" w:line="228" w:lineRule="auto"/>
              <w:ind w:firstLine="600" w:firstLineChars="300"/>
            </w:pPr>
            <w:r>
              <w:rPr>
                <w:rFonts w:hint="default"/>
                <w:lang w:val="en-US"/>
              </w:rPr>
              <w:pict>
                <v:shape id="_x0000_s1031" o:spid="_x0000_s1031" style="position:absolute;left:0pt;margin-left:30.8pt;margin-top:11.2pt;height:0.5pt;width:57.85pt;z-index:251666432;mso-width-relative:page;mso-height-relative:page;" filled="f" stroked="t" coordsize="1156,10" path="m0,4l1156,4e">
                  <v:fill on="f" focussize="0,0"/>
                  <v:stroke weight="0.48pt" color="#000000" miterlimit="2" joinstyle="bevel"/>
                  <v:imagedata o:title=""/>
                  <o:lock v:ext="edit"/>
                </v:shape>
              </w:pict>
            </w:r>
            <w:r>
              <w:rPr>
                <w:rFonts w:hint="eastAsia"/>
                <w:lang w:val="en-US" w:eastAsia="zh-CN"/>
              </w:rPr>
              <w:t>16</w:t>
            </w:r>
            <w:r>
              <w:rPr>
                <w:rFonts w:hint="eastAsia"/>
                <w:spacing w:val="-5"/>
                <w:lang w:val="en-US" w:eastAsia="zh-CN"/>
              </w:rPr>
              <w:t xml:space="preserve"> </w:t>
            </w:r>
            <w:r>
              <w:rPr>
                <w:spacing w:val="-5"/>
              </w:rPr>
              <w:t>时</w:t>
            </w:r>
            <w:r>
              <w:rPr>
                <w:spacing w:val="9"/>
              </w:rPr>
              <w:t xml:space="preserve"> </w:t>
            </w:r>
            <w:r>
              <w:rPr>
                <w:rFonts w:hint="eastAsia"/>
                <w:spacing w:val="9"/>
                <w:lang w:val="en-US" w:eastAsia="zh-CN"/>
              </w:rPr>
              <w:t>00</w:t>
            </w:r>
            <w:r>
              <w:rPr>
                <w:spacing w:val="9"/>
              </w:rPr>
              <w:t xml:space="preserve"> </w:t>
            </w:r>
            <w:r>
              <w:rPr>
                <w:spacing w:val="-5"/>
              </w:rPr>
              <w:t>分</w:t>
            </w:r>
          </w:p>
        </w:tc>
        <w:tc>
          <w:tcPr>
            <w:tcW w:w="1469" w:type="dxa"/>
            <w:vAlign w:val="top"/>
          </w:tcPr>
          <w:p w14:paraId="37EB6BB0">
            <w:pPr>
              <w:pStyle w:val="14"/>
              <w:spacing w:before="152" w:line="254" w:lineRule="auto"/>
              <w:ind w:left="212" w:right="207" w:firstLine="4"/>
            </w:pPr>
            <w:r>
              <w:rPr>
                <w:b/>
                <w:bCs/>
                <w:spacing w:val="5"/>
              </w:rPr>
              <w:t>获取招标文</w:t>
            </w:r>
            <w:r>
              <w:rPr>
                <w:b/>
                <w:bCs/>
                <w:spacing w:val="6"/>
              </w:rPr>
              <w:t>件截止时间</w:t>
            </w:r>
          </w:p>
        </w:tc>
        <w:tc>
          <w:tcPr>
            <w:tcW w:w="4345" w:type="dxa"/>
            <w:gridSpan w:val="2"/>
            <w:vAlign w:val="top"/>
          </w:tcPr>
          <w:p w14:paraId="613F45E9">
            <w:pPr>
              <w:pStyle w:val="14"/>
              <w:spacing w:before="152" w:line="228" w:lineRule="auto"/>
              <w:ind w:left="1653"/>
            </w:pPr>
            <w:r>
              <w:pict>
                <v:shape id="_x0000_s1032" o:spid="_x0000_s1032" style="position:absolute;left:0pt;margin-left:88.65pt;margin-top:18.35pt;height:0.5pt;width:94.4pt;z-index:251663360;mso-width-relative:page;mso-height-relative:page;" filled="f" stroked="t" coordsize="1888,10" path="m0,4l1887,4e">
                  <v:fill on="f" focussize="0,0"/>
                  <v:stroke weight="0.48pt" color="#000000" miterlimit="2" joinstyle="bevel"/>
                  <v:imagedata o:title=""/>
                  <o:lock v:ext="edit"/>
                </v:shape>
              </w:pict>
            </w:r>
            <w:r>
              <w:rPr>
                <w:rFonts w:hint="eastAsia"/>
                <w:spacing w:val="-2"/>
                <w:lang w:val="en-US" w:eastAsia="zh-CN"/>
              </w:rPr>
              <w:t>2026</w:t>
            </w:r>
            <w:r>
              <w:rPr>
                <w:spacing w:val="-2"/>
              </w:rPr>
              <w:t>年</w:t>
            </w:r>
            <w:r>
              <w:rPr>
                <w:spacing w:val="8"/>
              </w:rPr>
              <w:t xml:space="preserve"> </w:t>
            </w:r>
            <w:r>
              <w:rPr>
                <w:rFonts w:hint="eastAsia"/>
                <w:spacing w:val="8"/>
                <w:lang w:val="en-US" w:eastAsia="zh-CN"/>
              </w:rPr>
              <w:t>10</w:t>
            </w:r>
            <w:r>
              <w:rPr>
                <w:spacing w:val="8"/>
              </w:rPr>
              <w:t xml:space="preserve"> </w:t>
            </w:r>
            <w:r>
              <w:rPr>
                <w:spacing w:val="-2"/>
              </w:rPr>
              <w:t>月</w:t>
            </w:r>
            <w:r>
              <w:rPr>
                <w:spacing w:val="17"/>
              </w:rPr>
              <w:t xml:space="preserve"> </w:t>
            </w:r>
            <w:r>
              <w:rPr>
                <w:rFonts w:hint="eastAsia"/>
                <w:spacing w:val="17"/>
                <w:lang w:val="en-US" w:eastAsia="zh-CN"/>
              </w:rPr>
              <w:t>14</w:t>
            </w:r>
            <w:r>
              <w:rPr>
                <w:spacing w:val="17"/>
              </w:rPr>
              <w:t xml:space="preserve"> </w:t>
            </w:r>
            <w:r>
              <w:rPr>
                <w:spacing w:val="-2"/>
              </w:rPr>
              <w:t>日</w:t>
            </w:r>
          </w:p>
          <w:p w14:paraId="39001872">
            <w:pPr>
              <w:pStyle w:val="14"/>
              <w:spacing w:before="27" w:line="228" w:lineRule="auto"/>
              <w:ind w:left="2029"/>
            </w:pPr>
            <w:r>
              <w:pict>
                <v:shape id="_x0000_s1033" o:spid="_x0000_s1033" style="position:absolute;left:0pt;margin-left:98.95pt;margin-top:11.2pt;height:0.5pt;width:57.75pt;z-index:251664384;mso-width-relative:page;mso-height-relative:page;" filled="f" stroked="t" coordsize="1155,10" path="m0,4l1154,4e">
                  <v:fill on="f" focussize="0,0"/>
                  <v:stroke weight="0.48pt" color="#000000" miterlimit="2" joinstyle="bevel"/>
                  <v:imagedata o:title=""/>
                  <o:lock v:ext="edit"/>
                </v:shape>
              </w:pict>
            </w:r>
            <w:r>
              <w:rPr>
                <w:rFonts w:hint="eastAsia"/>
                <w:spacing w:val="-5"/>
                <w:lang w:val="en-US" w:eastAsia="zh-CN"/>
              </w:rPr>
              <w:t xml:space="preserve">9 </w:t>
            </w:r>
            <w:r>
              <w:rPr>
                <w:spacing w:val="-5"/>
              </w:rPr>
              <w:t>时</w:t>
            </w:r>
            <w:r>
              <w:rPr>
                <w:spacing w:val="9"/>
              </w:rPr>
              <w:t xml:space="preserve"> </w:t>
            </w:r>
            <w:r>
              <w:rPr>
                <w:rFonts w:hint="eastAsia"/>
                <w:spacing w:val="9"/>
                <w:lang w:val="en-US" w:eastAsia="zh-CN"/>
              </w:rPr>
              <w:t>00</w:t>
            </w:r>
            <w:r>
              <w:rPr>
                <w:spacing w:val="9"/>
              </w:rPr>
              <w:t xml:space="preserve">  </w:t>
            </w:r>
            <w:r>
              <w:rPr>
                <w:spacing w:val="-5"/>
              </w:rPr>
              <w:t>分</w:t>
            </w:r>
          </w:p>
        </w:tc>
      </w:tr>
      <w:tr w14:paraId="1D32A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5" w:hRule="atLeast"/>
        </w:trPr>
        <w:tc>
          <w:tcPr>
            <w:tcW w:w="1903" w:type="dxa"/>
            <w:vAlign w:val="top"/>
          </w:tcPr>
          <w:p w14:paraId="14209679">
            <w:pPr>
              <w:spacing w:line="265" w:lineRule="auto"/>
              <w:rPr>
                <w:rFonts w:ascii="Arial"/>
                <w:sz w:val="21"/>
              </w:rPr>
            </w:pPr>
          </w:p>
          <w:p w14:paraId="12D41182">
            <w:pPr>
              <w:spacing w:line="266" w:lineRule="auto"/>
              <w:rPr>
                <w:rFonts w:ascii="Arial"/>
                <w:sz w:val="21"/>
              </w:rPr>
            </w:pPr>
          </w:p>
          <w:p w14:paraId="68A65FCD">
            <w:pPr>
              <w:spacing w:line="266" w:lineRule="auto"/>
              <w:rPr>
                <w:rFonts w:ascii="Arial"/>
                <w:sz w:val="21"/>
              </w:rPr>
            </w:pPr>
          </w:p>
          <w:p w14:paraId="5079A4F8">
            <w:pPr>
              <w:spacing w:line="266" w:lineRule="auto"/>
              <w:rPr>
                <w:rFonts w:ascii="Arial"/>
                <w:sz w:val="21"/>
              </w:rPr>
            </w:pPr>
          </w:p>
          <w:p w14:paraId="241F0BAB">
            <w:pPr>
              <w:spacing w:line="266" w:lineRule="auto"/>
              <w:rPr>
                <w:rFonts w:ascii="Arial"/>
                <w:sz w:val="21"/>
              </w:rPr>
            </w:pPr>
          </w:p>
          <w:p w14:paraId="29F30D73">
            <w:pPr>
              <w:pStyle w:val="14"/>
              <w:spacing w:before="65" w:line="253" w:lineRule="auto"/>
              <w:ind w:left="641" w:right="213" w:hanging="422"/>
            </w:pPr>
            <w:r>
              <w:rPr>
                <w:b/>
                <w:bCs/>
                <w:spacing w:val="7"/>
              </w:rPr>
              <w:t>递交投标文件截</w:t>
            </w:r>
            <w:r>
              <w:rPr>
                <w:b/>
                <w:bCs/>
                <w:spacing w:val="5"/>
              </w:rPr>
              <w:t>止时间</w:t>
            </w:r>
          </w:p>
        </w:tc>
        <w:tc>
          <w:tcPr>
            <w:tcW w:w="1979" w:type="dxa"/>
            <w:vAlign w:val="top"/>
          </w:tcPr>
          <w:p w14:paraId="573968FD">
            <w:pPr>
              <w:spacing w:line="265" w:lineRule="auto"/>
              <w:rPr>
                <w:rFonts w:ascii="Arial"/>
                <w:sz w:val="21"/>
              </w:rPr>
            </w:pPr>
          </w:p>
          <w:p w14:paraId="0A8CD2F2">
            <w:pPr>
              <w:spacing w:line="266" w:lineRule="auto"/>
              <w:rPr>
                <w:rFonts w:ascii="Arial"/>
                <w:sz w:val="21"/>
              </w:rPr>
            </w:pPr>
          </w:p>
          <w:p w14:paraId="447B25C7">
            <w:pPr>
              <w:spacing w:line="266" w:lineRule="auto"/>
              <w:rPr>
                <w:rFonts w:ascii="Arial"/>
                <w:sz w:val="21"/>
              </w:rPr>
            </w:pPr>
          </w:p>
          <w:p w14:paraId="3F6854DF">
            <w:pPr>
              <w:spacing w:line="266" w:lineRule="auto"/>
              <w:rPr>
                <w:rFonts w:ascii="Arial"/>
                <w:sz w:val="21"/>
              </w:rPr>
            </w:pPr>
          </w:p>
          <w:p w14:paraId="29149C70">
            <w:pPr>
              <w:spacing w:line="266" w:lineRule="auto"/>
              <w:rPr>
                <w:rFonts w:ascii="Arial"/>
                <w:sz w:val="21"/>
              </w:rPr>
            </w:pPr>
          </w:p>
          <w:p w14:paraId="50016998">
            <w:pPr>
              <w:pStyle w:val="14"/>
              <w:spacing w:before="65" w:line="228" w:lineRule="auto"/>
            </w:pPr>
            <w:r>
              <w:pict>
                <v:shape id="_x0000_s1034" o:spid="_x0000_s1034" style="position:absolute;left:0pt;margin-left:5.35pt;margin-top:13.1pt;height:0.5pt;width:87.7pt;z-index:251661312;mso-width-relative:page;mso-height-relative:page;" filled="f" stroked="t" coordsize="1753,10" path="m0,4l1753,4e">
                  <v:fill on="f" focussize="0,0"/>
                  <v:stroke weight="0.48pt" color="#000000" miterlimit="2" joinstyle="bevel"/>
                  <v:imagedata o:title=""/>
                  <o:lock v:ext="edit"/>
                </v:shape>
              </w:pict>
            </w:r>
            <w:r>
              <w:rPr>
                <w:rFonts w:hint="eastAsia"/>
                <w:spacing w:val="-1"/>
                <w:lang w:val="en-US" w:eastAsia="zh-CN"/>
              </w:rPr>
              <w:t>2026</w:t>
            </w:r>
            <w:r>
              <w:rPr>
                <w:spacing w:val="-1"/>
              </w:rPr>
              <w:t>年</w:t>
            </w:r>
            <w:r>
              <w:rPr>
                <w:spacing w:val="22"/>
              </w:rPr>
              <w:t xml:space="preserve"> </w:t>
            </w:r>
            <w:r>
              <w:rPr>
                <w:rFonts w:hint="eastAsia"/>
                <w:spacing w:val="22"/>
                <w:lang w:val="en-US" w:eastAsia="zh-CN"/>
              </w:rPr>
              <w:t>10</w:t>
            </w:r>
            <w:r>
              <w:rPr>
                <w:spacing w:val="-1"/>
              </w:rPr>
              <w:t xml:space="preserve">月 </w:t>
            </w:r>
            <w:r>
              <w:rPr>
                <w:rFonts w:hint="eastAsia"/>
                <w:spacing w:val="-1"/>
                <w:lang w:val="en-US" w:eastAsia="zh-CN"/>
              </w:rPr>
              <w:t>14</w:t>
            </w:r>
            <w:r>
              <w:rPr>
                <w:spacing w:val="-1"/>
              </w:rPr>
              <w:t xml:space="preserve"> 日</w:t>
            </w:r>
          </w:p>
          <w:p w14:paraId="74B68360">
            <w:pPr>
              <w:pStyle w:val="14"/>
              <w:spacing w:before="24" w:line="228" w:lineRule="auto"/>
              <w:ind w:left="545"/>
            </w:pPr>
            <w:r>
              <w:pict>
                <v:shape id="_x0000_s1035" o:spid="_x0000_s1035" style="position:absolute;left:0pt;margin-left:24.7pt;margin-top:14.3pt;height:0.5pt;width:57.9pt;z-index:251662336;mso-width-relative:page;mso-height-relative:page;" filled="f" stroked="t" coordsize="1158,10" path="m0,4l1157,4e">
                  <v:fill on="f" focussize="0,0"/>
                  <v:stroke weight="0.48pt" color="#000000" miterlimit="2" joinstyle="bevel"/>
                  <v:imagedata o:title=""/>
                  <o:lock v:ext="edit"/>
                </v:shape>
              </w:pict>
            </w:r>
            <w:r>
              <w:rPr>
                <w:rFonts w:hint="eastAsia"/>
                <w:spacing w:val="-5"/>
                <w:lang w:val="en-US" w:eastAsia="zh-CN"/>
              </w:rPr>
              <w:t xml:space="preserve">9 </w:t>
            </w:r>
            <w:r>
              <w:rPr>
                <w:spacing w:val="-5"/>
              </w:rPr>
              <w:t>时</w:t>
            </w:r>
            <w:r>
              <w:rPr>
                <w:spacing w:val="9"/>
              </w:rPr>
              <w:t xml:space="preserve"> </w:t>
            </w:r>
            <w:r>
              <w:rPr>
                <w:rFonts w:hint="eastAsia"/>
                <w:spacing w:val="9"/>
                <w:lang w:val="en-US" w:eastAsia="zh-CN"/>
              </w:rPr>
              <w:t>30</w:t>
            </w:r>
            <w:r>
              <w:rPr>
                <w:spacing w:val="9"/>
              </w:rPr>
              <w:t xml:space="preserve">  </w:t>
            </w:r>
            <w:r>
              <w:rPr>
                <w:spacing w:val="-5"/>
              </w:rPr>
              <w:t>分</w:t>
            </w:r>
          </w:p>
        </w:tc>
        <w:tc>
          <w:tcPr>
            <w:tcW w:w="1469" w:type="dxa"/>
            <w:vAlign w:val="top"/>
          </w:tcPr>
          <w:p w14:paraId="5A8AA923">
            <w:pPr>
              <w:spacing w:line="266" w:lineRule="auto"/>
              <w:rPr>
                <w:rFonts w:ascii="Arial"/>
                <w:sz w:val="21"/>
              </w:rPr>
            </w:pPr>
          </w:p>
          <w:p w14:paraId="352289CC">
            <w:pPr>
              <w:spacing w:line="266" w:lineRule="auto"/>
              <w:rPr>
                <w:rFonts w:ascii="Arial"/>
                <w:sz w:val="21"/>
              </w:rPr>
            </w:pPr>
          </w:p>
          <w:p w14:paraId="0063148E">
            <w:pPr>
              <w:spacing w:line="266" w:lineRule="auto"/>
              <w:rPr>
                <w:rFonts w:ascii="Arial"/>
                <w:sz w:val="21"/>
              </w:rPr>
            </w:pPr>
          </w:p>
          <w:p w14:paraId="56A07BE6">
            <w:pPr>
              <w:spacing w:line="266" w:lineRule="auto"/>
              <w:rPr>
                <w:rFonts w:ascii="Arial"/>
                <w:sz w:val="21"/>
              </w:rPr>
            </w:pPr>
          </w:p>
          <w:p w14:paraId="3EB65103">
            <w:pPr>
              <w:spacing w:line="266" w:lineRule="auto"/>
              <w:rPr>
                <w:rFonts w:ascii="Arial"/>
                <w:sz w:val="21"/>
              </w:rPr>
            </w:pPr>
          </w:p>
          <w:p w14:paraId="411F040A">
            <w:pPr>
              <w:pStyle w:val="14"/>
              <w:spacing w:before="65" w:line="252" w:lineRule="auto"/>
              <w:ind w:left="427" w:right="207" w:hanging="212"/>
            </w:pPr>
            <w:r>
              <w:rPr>
                <w:b/>
                <w:bCs/>
                <w:spacing w:val="6"/>
              </w:rPr>
              <w:t>投标文件递</w:t>
            </w:r>
            <w:r>
              <w:rPr>
                <w:b/>
                <w:bCs/>
                <w:spacing w:val="4"/>
              </w:rPr>
              <w:t>交方式</w:t>
            </w:r>
          </w:p>
        </w:tc>
        <w:tc>
          <w:tcPr>
            <w:tcW w:w="4345" w:type="dxa"/>
            <w:gridSpan w:val="2"/>
            <w:vAlign w:val="top"/>
          </w:tcPr>
          <w:p w14:paraId="796E038F">
            <w:pPr>
              <w:pStyle w:val="14"/>
              <w:spacing w:before="137" w:line="362" w:lineRule="auto"/>
              <w:ind w:left="117" w:right="60" w:firstLine="4"/>
              <w:jc w:val="both"/>
            </w:pPr>
            <w:r>
              <w:rPr>
                <w:spacing w:val="5"/>
              </w:rPr>
              <w:t>投标人应在递交投标文件截止时间前，通过互</w:t>
            </w:r>
            <w:r>
              <w:rPr>
                <w:spacing w:val="1"/>
              </w:rPr>
              <w:t>联网使用</w:t>
            </w:r>
            <w:r>
              <w:t>CA</w:t>
            </w:r>
            <w:r>
              <w:rPr>
                <w:spacing w:val="-21"/>
              </w:rPr>
              <w:t xml:space="preserve"> </w:t>
            </w:r>
            <w:r>
              <w:rPr>
                <w:spacing w:val="1"/>
              </w:rPr>
              <w:t>数字证书登录“</w:t>
            </w:r>
            <w:r>
              <w:rPr>
                <w:spacing w:val="-68"/>
              </w:rPr>
              <w:t xml:space="preserve"> </w:t>
            </w:r>
            <w:r>
              <w:rPr>
                <w:spacing w:val="1"/>
              </w:rPr>
              <w:t>电子交易平台</w:t>
            </w:r>
            <w:r>
              <w:rPr>
                <w:spacing w:val="-70"/>
              </w:rPr>
              <w:t xml:space="preserve"> </w:t>
            </w:r>
            <w:r>
              <w:rPr>
                <w:spacing w:val="1"/>
              </w:rPr>
              <w:t>”，</w:t>
            </w:r>
            <w:r>
              <w:rPr>
                <w:spacing w:val="5"/>
              </w:rPr>
              <w:t>将加密的投标文件上传，并保存上传成功后系统自动生成的电子签收凭证，递交时间即为电子签收凭证时间。逾期未完成上传或未按规定加密的投标文件，招标人予以拒收。投标人如</w:t>
            </w:r>
            <w:r>
              <w:rPr>
                <w:spacing w:val="4"/>
              </w:rPr>
              <w:t>需提交投标文件光盘或</w:t>
            </w:r>
            <w:r>
              <w:rPr>
                <w:spacing w:val="-34"/>
              </w:rPr>
              <w:t xml:space="preserve"> </w:t>
            </w:r>
            <w:r>
              <w:rPr>
                <w:spacing w:val="4"/>
              </w:rPr>
              <w:t>U</w:t>
            </w:r>
            <w:r>
              <w:rPr>
                <w:spacing w:val="-38"/>
              </w:rPr>
              <w:t xml:space="preserve"> </w:t>
            </w:r>
            <w:r>
              <w:rPr>
                <w:spacing w:val="4"/>
              </w:rPr>
              <w:t>盘备用，具体要求详</w:t>
            </w:r>
            <w:r>
              <w:rPr>
                <w:spacing w:val="5"/>
              </w:rPr>
              <w:t>见投标人须知前附表</w:t>
            </w:r>
            <w:r>
              <w:rPr>
                <w:spacing w:val="-24"/>
              </w:rPr>
              <w:t xml:space="preserve"> </w:t>
            </w:r>
            <w:r>
              <w:rPr>
                <w:spacing w:val="5"/>
              </w:rPr>
              <w:t>3.7.4</w:t>
            </w:r>
            <w:r>
              <w:rPr>
                <w:spacing w:val="-35"/>
              </w:rPr>
              <w:t xml:space="preserve"> </w:t>
            </w:r>
            <w:r>
              <w:rPr>
                <w:spacing w:val="5"/>
              </w:rPr>
              <w:t>项。</w:t>
            </w:r>
          </w:p>
        </w:tc>
      </w:tr>
      <w:tr w14:paraId="127D6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903" w:type="dxa"/>
            <w:vMerge w:val="restart"/>
            <w:tcBorders>
              <w:bottom w:val="nil"/>
            </w:tcBorders>
            <w:vAlign w:val="top"/>
          </w:tcPr>
          <w:p w14:paraId="74AAA024">
            <w:pPr>
              <w:spacing w:line="377" w:lineRule="auto"/>
              <w:rPr>
                <w:rFonts w:ascii="Arial"/>
                <w:sz w:val="21"/>
              </w:rPr>
            </w:pPr>
          </w:p>
          <w:p w14:paraId="2A088D10">
            <w:pPr>
              <w:pStyle w:val="14"/>
              <w:spacing w:before="65" w:line="228" w:lineRule="auto"/>
              <w:ind w:left="536"/>
            </w:pPr>
            <w:r>
              <w:rPr>
                <w:b/>
                <w:bCs/>
                <w:spacing w:val="6"/>
              </w:rPr>
              <w:t>开标时间</w:t>
            </w:r>
          </w:p>
        </w:tc>
        <w:tc>
          <w:tcPr>
            <w:tcW w:w="1979" w:type="dxa"/>
            <w:vMerge w:val="restart"/>
            <w:tcBorders>
              <w:bottom w:val="nil"/>
            </w:tcBorders>
            <w:vAlign w:val="top"/>
          </w:tcPr>
          <w:p w14:paraId="1E90D5C6">
            <w:pPr>
              <w:pStyle w:val="14"/>
              <w:spacing w:before="35" w:line="228" w:lineRule="auto"/>
            </w:pPr>
            <w:r>
              <w:pict>
                <v:shape id="_x0000_s1037" o:spid="_x0000_s1037" style="position:absolute;left:0pt;margin-left:5.35pt;margin-top:11.6pt;height:0.5pt;width:87.7pt;z-index:251667456;mso-width-relative:page;mso-height-relative:page;" filled="f" stroked="t" coordsize="1753,10" path="m0,4l1753,4e">
                  <v:fill on="f" focussize="0,0"/>
                  <v:stroke weight="0.48pt" color="#000000" miterlimit="2" joinstyle="bevel"/>
                  <v:imagedata o:title=""/>
                  <o:lock v:ext="edit"/>
                </v:shape>
              </w:pict>
            </w:r>
            <w:r>
              <w:rPr>
                <w:rFonts w:hint="eastAsia"/>
                <w:spacing w:val="-1"/>
                <w:lang w:val="en-US" w:eastAsia="zh-CN"/>
              </w:rPr>
              <w:t>2026</w:t>
            </w:r>
            <w:r>
              <w:rPr>
                <w:spacing w:val="-1"/>
              </w:rPr>
              <w:t>年</w:t>
            </w:r>
            <w:r>
              <w:rPr>
                <w:spacing w:val="22"/>
              </w:rPr>
              <w:t xml:space="preserve"> </w:t>
            </w:r>
            <w:r>
              <w:rPr>
                <w:rFonts w:hint="eastAsia"/>
                <w:spacing w:val="22"/>
                <w:lang w:val="en-US" w:eastAsia="zh-CN"/>
              </w:rPr>
              <w:t>10</w:t>
            </w:r>
            <w:r>
              <w:rPr>
                <w:spacing w:val="22"/>
              </w:rPr>
              <w:t xml:space="preserve"> </w:t>
            </w:r>
            <w:r>
              <w:rPr>
                <w:spacing w:val="-1"/>
              </w:rPr>
              <w:t>月</w:t>
            </w:r>
            <w:r>
              <w:rPr>
                <w:rFonts w:hint="eastAsia"/>
                <w:spacing w:val="-1"/>
                <w:lang w:val="en-US" w:eastAsia="zh-CN"/>
              </w:rPr>
              <w:t>14</w:t>
            </w:r>
            <w:r>
              <w:rPr>
                <w:spacing w:val="-1"/>
              </w:rPr>
              <w:t xml:space="preserve"> 日</w:t>
            </w:r>
          </w:p>
          <w:p w14:paraId="3EADCA9D">
            <w:pPr>
              <w:pStyle w:val="14"/>
              <w:tabs>
                <w:tab w:val="left" w:pos="545"/>
              </w:tabs>
              <w:spacing w:before="25"/>
              <w:ind w:left="116" w:right="111" w:hanging="9"/>
              <w:jc w:val="both"/>
            </w:pPr>
            <w:r>
              <w:rPr>
                <w:u w:val="single" w:color="auto"/>
              </w:rPr>
              <w:tab/>
            </w:r>
            <w:r>
              <w:rPr>
                <w:u w:val="single" w:color="auto"/>
              </w:rPr>
              <w:tab/>
            </w:r>
            <w:r>
              <w:rPr>
                <w:rFonts w:hint="eastAsia"/>
                <w:u w:val="single" w:color="auto"/>
                <w:lang w:val="en-US" w:eastAsia="zh-CN"/>
              </w:rPr>
              <w:t xml:space="preserve">9 </w:t>
            </w:r>
            <w:r>
              <w:rPr>
                <w:spacing w:val="4"/>
                <w:u w:val="single" w:color="auto"/>
              </w:rPr>
              <w:t>时</w:t>
            </w:r>
            <w:r>
              <w:rPr>
                <w:spacing w:val="48"/>
                <w:u w:val="single" w:color="auto"/>
              </w:rPr>
              <w:t xml:space="preserve"> </w:t>
            </w:r>
            <w:r>
              <w:rPr>
                <w:rFonts w:hint="eastAsia"/>
                <w:spacing w:val="48"/>
                <w:u w:val="single" w:color="auto"/>
                <w:lang w:val="en-US" w:eastAsia="zh-CN"/>
              </w:rPr>
              <w:t>30</w:t>
            </w:r>
            <w:r>
              <w:rPr>
                <w:spacing w:val="48"/>
                <w:u w:val="single" w:color="auto"/>
              </w:rPr>
              <w:t xml:space="preserve"> </w:t>
            </w:r>
            <w:r>
              <w:rPr>
                <w:spacing w:val="4"/>
                <w:u w:val="single" w:color="auto"/>
              </w:rPr>
              <w:t>分</w:t>
            </w:r>
            <w:r>
              <w:rPr>
                <w:spacing w:val="4"/>
              </w:rPr>
              <w:t>（与投</w:t>
            </w:r>
            <w:r>
              <w:rPr>
                <w:spacing w:val="8"/>
              </w:rPr>
              <w:t>标截止时间为同一</w:t>
            </w:r>
            <w:r>
              <w:rPr>
                <w:spacing w:val="2"/>
              </w:rPr>
              <w:t>时间）</w:t>
            </w:r>
          </w:p>
        </w:tc>
        <w:tc>
          <w:tcPr>
            <w:tcW w:w="1469" w:type="dxa"/>
            <w:vMerge w:val="restart"/>
            <w:tcBorders>
              <w:bottom w:val="nil"/>
            </w:tcBorders>
            <w:vAlign w:val="top"/>
          </w:tcPr>
          <w:p w14:paraId="0911A532">
            <w:pPr>
              <w:spacing w:line="377" w:lineRule="auto"/>
              <w:rPr>
                <w:rFonts w:ascii="Arial"/>
                <w:sz w:val="21"/>
              </w:rPr>
            </w:pPr>
          </w:p>
          <w:p w14:paraId="624BD3E3">
            <w:pPr>
              <w:pStyle w:val="14"/>
              <w:spacing w:before="65" w:line="228" w:lineRule="auto"/>
              <w:ind w:left="319"/>
            </w:pPr>
            <w:r>
              <w:rPr>
                <w:b/>
                <w:bCs/>
                <w:spacing w:val="6"/>
              </w:rPr>
              <w:t>开标地点</w:t>
            </w:r>
          </w:p>
        </w:tc>
        <w:tc>
          <w:tcPr>
            <w:tcW w:w="4345" w:type="dxa"/>
            <w:gridSpan w:val="2"/>
            <w:vAlign w:val="top"/>
          </w:tcPr>
          <w:p w14:paraId="592A380A">
            <w:pPr>
              <w:rPr>
                <w:rFonts w:ascii="Arial"/>
                <w:sz w:val="21"/>
              </w:rPr>
            </w:pPr>
          </w:p>
          <w:p w14:paraId="627040CC">
            <w:pPr>
              <w:pStyle w:val="14"/>
              <w:spacing w:before="65" w:line="180" w:lineRule="auto"/>
            </w:pPr>
            <w:r>
              <w:rPr>
                <w:rFonts w:hint="eastAsia"/>
                <w:spacing w:val="9"/>
                <w:lang w:eastAsia="zh-CN"/>
              </w:rPr>
              <w:t>韶关</w:t>
            </w:r>
            <w:r>
              <w:rPr>
                <w:spacing w:val="9"/>
              </w:rPr>
              <w:t>公共资源交易中心开标室(具体开标室以</w:t>
            </w:r>
          </w:p>
        </w:tc>
      </w:tr>
      <w:tr w14:paraId="6DF6F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903" w:type="dxa"/>
            <w:vMerge w:val="continue"/>
            <w:tcBorders>
              <w:top w:val="nil"/>
            </w:tcBorders>
            <w:vAlign w:val="top"/>
          </w:tcPr>
          <w:p w14:paraId="77F84C76">
            <w:pPr>
              <w:rPr>
                <w:rFonts w:ascii="Arial"/>
                <w:sz w:val="21"/>
              </w:rPr>
            </w:pPr>
          </w:p>
        </w:tc>
        <w:tc>
          <w:tcPr>
            <w:tcW w:w="1979" w:type="dxa"/>
            <w:vMerge w:val="continue"/>
            <w:tcBorders>
              <w:top w:val="nil"/>
            </w:tcBorders>
            <w:vAlign w:val="top"/>
          </w:tcPr>
          <w:p w14:paraId="4CA77AB1">
            <w:pPr>
              <w:rPr>
                <w:rFonts w:ascii="Arial"/>
                <w:sz w:val="21"/>
              </w:rPr>
            </w:pPr>
          </w:p>
        </w:tc>
        <w:tc>
          <w:tcPr>
            <w:tcW w:w="1469" w:type="dxa"/>
            <w:vMerge w:val="continue"/>
            <w:tcBorders>
              <w:top w:val="nil"/>
            </w:tcBorders>
            <w:vAlign w:val="top"/>
          </w:tcPr>
          <w:p w14:paraId="1FE2B632">
            <w:pPr>
              <w:rPr>
                <w:rFonts w:ascii="Arial"/>
                <w:sz w:val="21"/>
              </w:rPr>
            </w:pPr>
          </w:p>
        </w:tc>
        <w:tc>
          <w:tcPr>
            <w:tcW w:w="4345" w:type="dxa"/>
            <w:gridSpan w:val="2"/>
            <w:vAlign w:val="top"/>
          </w:tcPr>
          <w:p w14:paraId="70B2E6B5">
            <w:pPr>
              <w:pStyle w:val="14"/>
              <w:spacing w:before="64" w:line="226" w:lineRule="auto"/>
            </w:pPr>
            <w:r>
              <w:rPr>
                <w:spacing w:val="8"/>
                <w:u w:val="single" w:color="auto"/>
              </w:rPr>
              <w:t>公共资源交易中心公告为准)</w:t>
            </w:r>
          </w:p>
        </w:tc>
      </w:tr>
      <w:tr w14:paraId="78544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 w:hRule="atLeast"/>
        </w:trPr>
        <w:tc>
          <w:tcPr>
            <w:tcW w:w="1903" w:type="dxa"/>
            <w:vAlign w:val="top"/>
          </w:tcPr>
          <w:p w14:paraId="56BB32E8">
            <w:pPr>
              <w:spacing w:line="251" w:lineRule="auto"/>
              <w:rPr>
                <w:rFonts w:ascii="Arial"/>
                <w:sz w:val="21"/>
              </w:rPr>
            </w:pPr>
          </w:p>
          <w:p w14:paraId="63A76866">
            <w:pPr>
              <w:spacing w:line="251" w:lineRule="auto"/>
              <w:rPr>
                <w:rFonts w:ascii="Arial"/>
                <w:sz w:val="21"/>
              </w:rPr>
            </w:pPr>
          </w:p>
          <w:p w14:paraId="3E7F4ABC">
            <w:pPr>
              <w:pStyle w:val="14"/>
              <w:spacing w:before="65" w:line="226" w:lineRule="auto"/>
              <w:ind w:left="328"/>
            </w:pPr>
            <w:r>
              <w:rPr>
                <w:b/>
                <w:bCs/>
                <w:spacing w:val="6"/>
              </w:rPr>
              <w:t>发布公告媒介</w:t>
            </w:r>
          </w:p>
        </w:tc>
        <w:tc>
          <w:tcPr>
            <w:tcW w:w="7793" w:type="dxa"/>
            <w:gridSpan w:val="4"/>
            <w:vAlign w:val="top"/>
          </w:tcPr>
          <w:p w14:paraId="2CAFC2CC">
            <w:pPr>
              <w:spacing w:line="303" w:lineRule="auto"/>
              <w:rPr>
                <w:rFonts w:ascii="Arial"/>
                <w:sz w:val="21"/>
              </w:rPr>
            </w:pPr>
          </w:p>
          <w:p w14:paraId="46B55382">
            <w:pPr>
              <w:pStyle w:val="14"/>
              <w:spacing w:before="65" w:line="371" w:lineRule="auto"/>
              <w:ind w:left="139" w:right="163" w:hanging="23"/>
            </w:pPr>
            <w:r>
              <w:rPr>
                <w:spacing w:val="8"/>
              </w:rPr>
              <w:t>广东省招标投标监管网、</w:t>
            </w:r>
            <w:r>
              <w:rPr>
                <w:spacing w:val="8"/>
                <w:u w:val="single" w:color="auto"/>
              </w:rPr>
              <w:t xml:space="preserve"> </w:t>
            </w:r>
            <w:r>
              <w:rPr>
                <w:rFonts w:hint="eastAsia"/>
                <w:spacing w:val="8"/>
                <w:u w:val="single" w:color="auto"/>
                <w:lang w:eastAsia="zh-CN"/>
              </w:rPr>
              <w:t>韶关</w:t>
            </w:r>
            <w:r>
              <w:rPr>
                <w:spacing w:val="8"/>
                <w:u w:val="single" w:color="auto"/>
              </w:rPr>
              <w:t xml:space="preserve"> </w:t>
            </w:r>
            <w:r>
              <w:rPr>
                <w:spacing w:val="-85"/>
              </w:rPr>
              <w:t xml:space="preserve"> </w:t>
            </w:r>
            <w:r>
              <w:rPr>
                <w:spacing w:val="8"/>
              </w:rPr>
              <w:t>公共资源交易中心网站</w:t>
            </w:r>
            <w:r>
              <w:rPr>
                <w:spacing w:val="7"/>
              </w:rPr>
              <w:t>，如公告详细内容不一致者，以广东省招标投标监管网公告为准。</w:t>
            </w:r>
          </w:p>
        </w:tc>
      </w:tr>
      <w:tr w14:paraId="32D4C7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903" w:type="dxa"/>
            <w:vAlign w:val="top"/>
          </w:tcPr>
          <w:p w14:paraId="0C8DA156">
            <w:pPr>
              <w:pStyle w:val="14"/>
              <w:spacing w:before="181" w:line="228" w:lineRule="auto"/>
              <w:ind w:left="642"/>
            </w:pPr>
            <w:r>
              <w:rPr>
                <w:b/>
                <w:bCs/>
                <w:spacing w:val="5"/>
              </w:rPr>
              <w:t>招标人</w:t>
            </w:r>
          </w:p>
        </w:tc>
        <w:tc>
          <w:tcPr>
            <w:tcW w:w="1979" w:type="dxa"/>
            <w:vAlign w:val="center"/>
          </w:tcPr>
          <w:p w14:paraId="75B4D8CC">
            <w:pPr>
              <w:jc w:val="center"/>
              <w:rPr>
                <w:rFonts w:ascii="Arial"/>
                <w:sz w:val="21"/>
              </w:rPr>
            </w:pPr>
            <w:r>
              <w:rPr>
                <w:rFonts w:hint="eastAsia" w:ascii="Arial"/>
                <w:sz w:val="21"/>
                <w:lang w:eastAsia="zh-CN"/>
              </w:rPr>
              <w:t>仁化县大桥镇人民政府</w:t>
            </w:r>
          </w:p>
        </w:tc>
        <w:tc>
          <w:tcPr>
            <w:tcW w:w="1469" w:type="dxa"/>
            <w:vAlign w:val="center"/>
          </w:tcPr>
          <w:p w14:paraId="0998D69C">
            <w:pPr>
              <w:pStyle w:val="14"/>
              <w:spacing w:before="180" w:line="230" w:lineRule="auto"/>
              <w:ind w:left="319"/>
              <w:jc w:val="center"/>
            </w:pPr>
            <w:r>
              <w:rPr>
                <w:b/>
                <w:bCs/>
                <w:spacing w:val="6"/>
              </w:rPr>
              <w:t>联系地址</w:t>
            </w:r>
          </w:p>
        </w:tc>
        <w:tc>
          <w:tcPr>
            <w:tcW w:w="4345" w:type="dxa"/>
            <w:gridSpan w:val="2"/>
            <w:vAlign w:val="center"/>
          </w:tcPr>
          <w:p w14:paraId="5EE7BB67">
            <w:pPr>
              <w:jc w:val="center"/>
              <w:rPr>
                <w:rFonts w:ascii="Arial"/>
                <w:sz w:val="21"/>
              </w:rPr>
            </w:pPr>
            <w:r>
              <w:rPr>
                <w:rFonts w:hint="eastAsia" w:ascii="Arial"/>
                <w:sz w:val="21"/>
                <w:lang w:val="en-US" w:eastAsia="zh-CN"/>
              </w:rPr>
              <w:t>广东省韶关市仁化县大桥镇</w:t>
            </w:r>
          </w:p>
        </w:tc>
      </w:tr>
      <w:tr w14:paraId="39C73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top"/>
          </w:tcPr>
          <w:p w14:paraId="41B0458D">
            <w:pPr>
              <w:pStyle w:val="14"/>
              <w:spacing w:before="181" w:line="228" w:lineRule="auto"/>
              <w:ind w:left="325"/>
            </w:pPr>
            <w:r>
              <w:rPr>
                <w:b/>
                <w:bCs/>
                <w:spacing w:val="6"/>
              </w:rPr>
              <w:t>招标人联系人</w:t>
            </w:r>
          </w:p>
        </w:tc>
        <w:tc>
          <w:tcPr>
            <w:tcW w:w="1979" w:type="dxa"/>
            <w:vAlign w:val="center"/>
          </w:tcPr>
          <w:p w14:paraId="3A245551">
            <w:pPr>
              <w:jc w:val="center"/>
              <w:rPr>
                <w:rFonts w:hint="default" w:ascii="Arial" w:eastAsia="宋体"/>
                <w:sz w:val="21"/>
                <w:lang w:val="en-US" w:eastAsia="zh-CN"/>
              </w:rPr>
            </w:pPr>
            <w:r>
              <w:rPr>
                <w:rFonts w:hint="eastAsia" w:eastAsia="宋体"/>
                <w:sz w:val="21"/>
                <w:lang w:eastAsia="zh-CN"/>
              </w:rPr>
              <w:t>赖</w:t>
            </w:r>
            <w:r>
              <w:rPr>
                <w:rFonts w:hint="eastAsia" w:eastAsia="宋体"/>
                <w:sz w:val="21"/>
                <w:lang w:val="en-US" w:eastAsia="zh-CN"/>
              </w:rPr>
              <w:t>工</w:t>
            </w:r>
          </w:p>
        </w:tc>
        <w:tc>
          <w:tcPr>
            <w:tcW w:w="1469" w:type="dxa"/>
            <w:vAlign w:val="center"/>
          </w:tcPr>
          <w:p w14:paraId="4102B013">
            <w:pPr>
              <w:pStyle w:val="14"/>
              <w:spacing w:before="180" w:line="230" w:lineRule="auto"/>
              <w:ind w:left="319"/>
              <w:jc w:val="center"/>
            </w:pPr>
            <w:r>
              <w:rPr>
                <w:b/>
                <w:bCs/>
                <w:spacing w:val="6"/>
              </w:rPr>
              <w:t>联系电话</w:t>
            </w:r>
          </w:p>
        </w:tc>
        <w:tc>
          <w:tcPr>
            <w:tcW w:w="4345" w:type="dxa"/>
            <w:gridSpan w:val="2"/>
            <w:vAlign w:val="center"/>
          </w:tcPr>
          <w:p w14:paraId="2F4AB67D">
            <w:pPr>
              <w:jc w:val="center"/>
              <w:rPr>
                <w:rFonts w:ascii="Arial"/>
                <w:sz w:val="21"/>
              </w:rPr>
            </w:pPr>
            <w:r>
              <w:rPr>
                <w:rFonts w:hint="eastAsia" w:ascii="Arial"/>
                <w:sz w:val="21"/>
                <w:lang w:val="en-US" w:eastAsia="zh-CN"/>
              </w:rPr>
              <w:t>0751-6411006</w:t>
            </w:r>
          </w:p>
        </w:tc>
      </w:tr>
      <w:tr w14:paraId="75E31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top"/>
          </w:tcPr>
          <w:p w14:paraId="5597AF5B">
            <w:pPr>
              <w:pStyle w:val="14"/>
              <w:spacing w:before="181" w:line="227" w:lineRule="auto"/>
              <w:ind w:left="325"/>
            </w:pPr>
            <w:r>
              <w:rPr>
                <w:b/>
                <w:bCs/>
                <w:spacing w:val="6"/>
              </w:rPr>
              <w:t>招标代理机构</w:t>
            </w:r>
          </w:p>
        </w:tc>
        <w:tc>
          <w:tcPr>
            <w:tcW w:w="1979" w:type="dxa"/>
            <w:vAlign w:val="center"/>
          </w:tcPr>
          <w:p w14:paraId="3A417319">
            <w:pPr>
              <w:jc w:val="center"/>
              <w:rPr>
                <w:rFonts w:ascii="Arial"/>
                <w:sz w:val="21"/>
              </w:rPr>
            </w:pPr>
            <w:r>
              <w:rPr>
                <w:rFonts w:hint="eastAsia" w:ascii="Arial"/>
                <w:sz w:val="21"/>
                <w:lang w:eastAsia="zh-CN"/>
              </w:rPr>
              <w:t>广东聚佳项目管理咨询有限公司</w:t>
            </w:r>
          </w:p>
        </w:tc>
        <w:tc>
          <w:tcPr>
            <w:tcW w:w="1469" w:type="dxa"/>
            <w:vAlign w:val="center"/>
          </w:tcPr>
          <w:p w14:paraId="5AB02A88">
            <w:pPr>
              <w:pStyle w:val="14"/>
              <w:spacing w:before="181" w:line="230" w:lineRule="auto"/>
              <w:ind w:left="319"/>
              <w:jc w:val="center"/>
            </w:pPr>
            <w:r>
              <w:rPr>
                <w:b/>
                <w:bCs/>
                <w:spacing w:val="6"/>
              </w:rPr>
              <w:t>联系地址</w:t>
            </w:r>
          </w:p>
        </w:tc>
        <w:tc>
          <w:tcPr>
            <w:tcW w:w="4345" w:type="dxa"/>
            <w:gridSpan w:val="2"/>
            <w:vAlign w:val="center"/>
          </w:tcPr>
          <w:p w14:paraId="210D42CC">
            <w:pPr>
              <w:jc w:val="center"/>
              <w:rPr>
                <w:rFonts w:ascii="Arial"/>
                <w:sz w:val="21"/>
              </w:rPr>
            </w:pPr>
            <w:r>
              <w:rPr>
                <w:rFonts w:hint="eastAsia" w:ascii="Arial"/>
                <w:sz w:val="21"/>
                <w:lang w:eastAsia="zh-CN"/>
              </w:rPr>
              <w:t>广州市天河区元岗横路35号2层B3208房</w:t>
            </w:r>
          </w:p>
        </w:tc>
      </w:tr>
      <w:tr w14:paraId="5082A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top"/>
          </w:tcPr>
          <w:p w14:paraId="597C4B57">
            <w:pPr>
              <w:pStyle w:val="14"/>
              <w:spacing w:before="180" w:line="228" w:lineRule="auto"/>
              <w:ind w:left="219"/>
            </w:pPr>
            <w:r>
              <w:rPr>
                <w:b/>
                <w:bCs/>
                <w:spacing w:val="7"/>
              </w:rPr>
              <w:t>招标代理联系人</w:t>
            </w:r>
          </w:p>
        </w:tc>
        <w:tc>
          <w:tcPr>
            <w:tcW w:w="1979" w:type="dxa"/>
            <w:vAlign w:val="center"/>
          </w:tcPr>
          <w:p w14:paraId="452072E1">
            <w:pPr>
              <w:jc w:val="center"/>
              <w:rPr>
                <w:rFonts w:hint="eastAsia" w:ascii="Arial" w:eastAsia="宋体"/>
                <w:sz w:val="21"/>
                <w:lang w:eastAsia="zh-CN"/>
              </w:rPr>
            </w:pPr>
            <w:r>
              <w:rPr>
                <w:rFonts w:hint="eastAsia" w:eastAsia="宋体"/>
                <w:sz w:val="21"/>
                <w:lang w:eastAsia="zh-CN"/>
              </w:rPr>
              <w:t>赵工</w:t>
            </w:r>
          </w:p>
        </w:tc>
        <w:tc>
          <w:tcPr>
            <w:tcW w:w="1469" w:type="dxa"/>
            <w:vAlign w:val="center"/>
          </w:tcPr>
          <w:p w14:paraId="1528E8A3">
            <w:pPr>
              <w:pStyle w:val="14"/>
              <w:spacing w:before="180" w:line="230" w:lineRule="auto"/>
              <w:ind w:left="319"/>
              <w:jc w:val="center"/>
            </w:pPr>
            <w:r>
              <w:rPr>
                <w:b/>
                <w:bCs/>
                <w:spacing w:val="6"/>
              </w:rPr>
              <w:t>联系电话</w:t>
            </w:r>
          </w:p>
        </w:tc>
        <w:tc>
          <w:tcPr>
            <w:tcW w:w="4345" w:type="dxa"/>
            <w:gridSpan w:val="2"/>
            <w:vAlign w:val="center"/>
          </w:tcPr>
          <w:p w14:paraId="624FC76C">
            <w:pPr>
              <w:jc w:val="center"/>
              <w:rPr>
                <w:rFonts w:ascii="Arial"/>
                <w:sz w:val="21"/>
              </w:rPr>
            </w:pPr>
            <w:r>
              <w:rPr>
                <w:rFonts w:hint="eastAsia" w:ascii="Arial"/>
                <w:sz w:val="21"/>
                <w:lang w:val="en-US" w:eastAsia="zh-CN"/>
              </w:rPr>
              <w:t>020-31567964</w:t>
            </w:r>
          </w:p>
        </w:tc>
      </w:tr>
      <w:tr w14:paraId="42F39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03" w:type="dxa"/>
            <w:vAlign w:val="top"/>
          </w:tcPr>
          <w:p w14:paraId="24C62777">
            <w:pPr>
              <w:pStyle w:val="14"/>
              <w:spacing w:before="182" w:line="227" w:lineRule="auto"/>
              <w:ind w:left="325"/>
            </w:pPr>
            <w:r>
              <w:rPr>
                <w:b/>
                <w:bCs/>
                <w:spacing w:val="6"/>
              </w:rPr>
              <w:t>招标监督机构</w:t>
            </w:r>
          </w:p>
        </w:tc>
        <w:tc>
          <w:tcPr>
            <w:tcW w:w="1979" w:type="dxa"/>
            <w:vAlign w:val="center"/>
          </w:tcPr>
          <w:p w14:paraId="0BD2E113">
            <w:pPr>
              <w:jc w:val="center"/>
              <w:rPr>
                <w:rFonts w:ascii="Arial"/>
                <w:sz w:val="21"/>
              </w:rPr>
            </w:pPr>
            <w:r>
              <w:rPr>
                <w:rFonts w:hint="eastAsia" w:ascii="Arial"/>
                <w:sz w:val="21"/>
                <w:lang w:eastAsia="zh-CN"/>
              </w:rPr>
              <w:t>仁化县农业农村局</w:t>
            </w:r>
          </w:p>
        </w:tc>
        <w:tc>
          <w:tcPr>
            <w:tcW w:w="1469" w:type="dxa"/>
            <w:vAlign w:val="center"/>
          </w:tcPr>
          <w:p w14:paraId="37BF8279">
            <w:pPr>
              <w:pStyle w:val="14"/>
              <w:spacing w:before="182" w:line="230" w:lineRule="auto"/>
              <w:ind w:left="319"/>
              <w:jc w:val="center"/>
            </w:pPr>
            <w:r>
              <w:rPr>
                <w:b/>
                <w:bCs/>
                <w:spacing w:val="6"/>
              </w:rPr>
              <w:t>联系电话</w:t>
            </w:r>
          </w:p>
        </w:tc>
        <w:tc>
          <w:tcPr>
            <w:tcW w:w="4345" w:type="dxa"/>
            <w:gridSpan w:val="2"/>
            <w:vAlign w:val="center"/>
          </w:tcPr>
          <w:p w14:paraId="12AE385A">
            <w:pPr>
              <w:jc w:val="center"/>
              <w:rPr>
                <w:rFonts w:ascii="Arial"/>
                <w:sz w:val="21"/>
              </w:rPr>
            </w:pPr>
            <w:r>
              <w:rPr>
                <w:rFonts w:hint="eastAsia" w:ascii="Arial"/>
                <w:sz w:val="21"/>
                <w:lang w:eastAsia="zh-CN"/>
              </w:rPr>
              <w:t>0751-6352126</w:t>
            </w:r>
          </w:p>
        </w:tc>
      </w:tr>
      <w:tr w14:paraId="6A08A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903" w:type="dxa"/>
            <w:vAlign w:val="center"/>
          </w:tcPr>
          <w:p w14:paraId="7E259C2F">
            <w:pPr>
              <w:pStyle w:val="14"/>
              <w:spacing w:before="65" w:line="252" w:lineRule="auto"/>
              <w:ind w:right="213"/>
              <w:jc w:val="center"/>
            </w:pPr>
            <w:r>
              <w:rPr>
                <w:b/>
                <w:bCs/>
                <w:spacing w:val="7"/>
              </w:rPr>
              <w:t>其他依法应当载</w:t>
            </w:r>
            <w:r>
              <w:rPr>
                <w:b/>
                <w:bCs/>
                <w:spacing w:val="1"/>
              </w:rPr>
              <w:t>明的内容</w:t>
            </w:r>
          </w:p>
        </w:tc>
        <w:tc>
          <w:tcPr>
            <w:tcW w:w="7793" w:type="dxa"/>
            <w:gridSpan w:val="4"/>
            <w:vAlign w:val="top"/>
          </w:tcPr>
          <w:p w14:paraId="10572706">
            <w:pPr>
              <w:pStyle w:val="14"/>
              <w:spacing w:before="1" w:line="389" w:lineRule="auto"/>
              <w:ind w:left="120"/>
              <w:rPr>
                <w:sz w:val="10"/>
                <w:szCs w:val="10"/>
              </w:rPr>
            </w:pPr>
            <w:r>
              <w:rPr>
                <w:rFonts w:hint="eastAsia"/>
                <w:spacing w:val="4"/>
                <w:lang w:val="en-US" w:eastAsia="zh-CN"/>
              </w:rPr>
              <w:t>投标人须缴纳金额为人民币10万元整（¥100000.00）的投标保证。</w:t>
            </w:r>
          </w:p>
        </w:tc>
      </w:tr>
    </w:tbl>
    <w:p w14:paraId="582EB4FD">
      <w:pPr>
        <w:rPr>
          <w:rFonts w:ascii="Arial"/>
          <w:sz w:val="21"/>
        </w:rPr>
      </w:pPr>
    </w:p>
    <w:p w14:paraId="719669A7">
      <w:pPr>
        <w:spacing w:before="65" w:line="226" w:lineRule="auto"/>
        <w:ind w:left="325"/>
        <w:rPr>
          <w:rFonts w:ascii="宋体" w:hAnsi="宋体" w:eastAsia="宋体" w:cs="宋体"/>
          <w:sz w:val="20"/>
          <w:szCs w:val="20"/>
        </w:rPr>
      </w:pPr>
      <w:r>
        <w:rPr>
          <w:rFonts w:ascii="宋体" w:hAnsi="宋体" w:eastAsia="宋体" w:cs="宋体"/>
          <w:spacing w:val="8"/>
          <w:sz w:val="20"/>
          <w:szCs w:val="20"/>
        </w:rPr>
        <w:t>招标公告附件</w:t>
      </w:r>
    </w:p>
    <w:p w14:paraId="53A897C2">
      <w:pPr>
        <w:spacing w:before="162" w:line="227" w:lineRule="auto"/>
        <w:ind w:left="341"/>
        <w:rPr>
          <w:rFonts w:ascii="宋体" w:hAnsi="宋体" w:eastAsia="宋体" w:cs="宋体"/>
          <w:sz w:val="20"/>
          <w:szCs w:val="20"/>
        </w:rPr>
      </w:pPr>
      <w:r>
        <w:rPr>
          <w:rFonts w:ascii="宋体" w:hAnsi="宋体" w:eastAsia="宋体" w:cs="宋体"/>
          <w:spacing w:val="6"/>
          <w:sz w:val="20"/>
          <w:szCs w:val="20"/>
        </w:rPr>
        <w:t>附件</w:t>
      </w:r>
      <w:r>
        <w:rPr>
          <w:rFonts w:ascii="宋体" w:hAnsi="宋体" w:eastAsia="宋体" w:cs="宋体"/>
          <w:spacing w:val="-7"/>
          <w:sz w:val="20"/>
          <w:szCs w:val="20"/>
        </w:rPr>
        <w:t xml:space="preserve"> </w:t>
      </w:r>
      <w:r>
        <w:rPr>
          <w:rFonts w:ascii="宋体" w:hAnsi="宋体" w:eastAsia="宋体" w:cs="宋体"/>
          <w:spacing w:val="6"/>
          <w:sz w:val="20"/>
          <w:szCs w:val="20"/>
        </w:rPr>
        <w:t>1：标段的划分及主要工程项目情况</w:t>
      </w:r>
    </w:p>
    <w:p w14:paraId="7A0EA246">
      <w:pPr>
        <w:spacing w:before="132" w:line="408" w:lineRule="exact"/>
        <w:ind w:left="341"/>
        <w:rPr>
          <w:rFonts w:ascii="宋体" w:hAnsi="宋体" w:eastAsia="宋体" w:cs="宋体"/>
          <w:sz w:val="10"/>
          <w:szCs w:val="10"/>
        </w:rPr>
      </w:pPr>
      <w:r>
        <w:rPr>
          <w:rFonts w:ascii="宋体" w:hAnsi="宋体" w:eastAsia="宋体" w:cs="宋体"/>
          <w:spacing w:val="8"/>
          <w:position w:val="4"/>
          <w:sz w:val="20"/>
          <w:szCs w:val="20"/>
        </w:rPr>
        <w:t>附件</w:t>
      </w:r>
      <w:r>
        <w:rPr>
          <w:rFonts w:ascii="宋体" w:hAnsi="宋体" w:eastAsia="宋体" w:cs="宋体"/>
          <w:spacing w:val="-35"/>
          <w:position w:val="4"/>
          <w:sz w:val="20"/>
          <w:szCs w:val="20"/>
        </w:rPr>
        <w:t xml:space="preserve"> </w:t>
      </w:r>
      <w:r>
        <w:rPr>
          <w:rFonts w:ascii="宋体" w:hAnsi="宋体" w:eastAsia="宋体" w:cs="宋体"/>
          <w:spacing w:val="8"/>
          <w:position w:val="4"/>
          <w:sz w:val="20"/>
          <w:szCs w:val="20"/>
        </w:rPr>
        <w:t>2：招标文件（含资格审查条件、评标办法</w:t>
      </w:r>
      <w:r>
        <w:rPr>
          <w:rFonts w:ascii="宋体" w:hAnsi="宋体" w:eastAsia="宋体" w:cs="宋体"/>
          <w:spacing w:val="7"/>
          <w:position w:val="4"/>
          <w:sz w:val="20"/>
          <w:szCs w:val="20"/>
        </w:rPr>
        <w:t>）</w:t>
      </w:r>
    </w:p>
    <w:p w14:paraId="70E0C1D5">
      <w:pPr>
        <w:spacing w:line="254" w:lineRule="auto"/>
        <w:rPr>
          <w:rFonts w:ascii="Arial"/>
          <w:sz w:val="21"/>
        </w:rPr>
      </w:pPr>
    </w:p>
    <w:p w14:paraId="1CD45B96">
      <w:pPr>
        <w:spacing w:line="254" w:lineRule="auto"/>
        <w:rPr>
          <w:rFonts w:ascii="Arial"/>
          <w:sz w:val="21"/>
        </w:rPr>
      </w:pPr>
    </w:p>
    <w:p w14:paraId="07F321EF">
      <w:pPr>
        <w:spacing w:line="254" w:lineRule="auto"/>
        <w:rPr>
          <w:rFonts w:ascii="Arial"/>
          <w:sz w:val="21"/>
        </w:rPr>
      </w:pPr>
    </w:p>
    <w:p w14:paraId="359DDDE6">
      <w:pPr>
        <w:spacing w:line="254" w:lineRule="auto"/>
        <w:rPr>
          <w:rFonts w:ascii="Arial"/>
          <w:sz w:val="21"/>
        </w:rPr>
      </w:pPr>
    </w:p>
    <w:p w14:paraId="3E1A14C8">
      <w:pPr>
        <w:spacing w:line="254" w:lineRule="auto"/>
        <w:rPr>
          <w:rFonts w:ascii="Arial"/>
          <w:sz w:val="21"/>
        </w:rPr>
      </w:pPr>
    </w:p>
    <w:p w14:paraId="0790A299">
      <w:pPr>
        <w:spacing w:line="254" w:lineRule="auto"/>
        <w:rPr>
          <w:rFonts w:ascii="Arial"/>
          <w:sz w:val="21"/>
        </w:rPr>
      </w:pPr>
    </w:p>
    <w:p w14:paraId="70C3C33C">
      <w:pPr>
        <w:spacing w:line="254" w:lineRule="auto"/>
        <w:rPr>
          <w:rFonts w:ascii="Arial"/>
          <w:sz w:val="21"/>
        </w:rPr>
      </w:pPr>
    </w:p>
    <w:p w14:paraId="7966AD39">
      <w:pPr>
        <w:spacing w:line="254" w:lineRule="auto"/>
        <w:rPr>
          <w:rFonts w:ascii="Arial"/>
          <w:sz w:val="21"/>
        </w:rPr>
      </w:pPr>
    </w:p>
    <w:p w14:paraId="08BECB99">
      <w:pPr>
        <w:spacing w:line="254" w:lineRule="auto"/>
        <w:rPr>
          <w:rFonts w:ascii="Arial"/>
          <w:sz w:val="21"/>
        </w:rPr>
      </w:pPr>
    </w:p>
    <w:p w14:paraId="19BBC802">
      <w:pPr>
        <w:spacing w:line="255" w:lineRule="auto"/>
        <w:rPr>
          <w:rFonts w:ascii="Arial"/>
          <w:sz w:val="21"/>
        </w:rPr>
      </w:pPr>
    </w:p>
    <w:p w14:paraId="3A6528CC">
      <w:pPr>
        <w:spacing w:line="255" w:lineRule="auto"/>
        <w:rPr>
          <w:rFonts w:ascii="Arial"/>
          <w:sz w:val="21"/>
        </w:rPr>
      </w:pPr>
    </w:p>
    <w:p w14:paraId="3104F1A4">
      <w:pPr>
        <w:rPr>
          <w:rFonts w:ascii="宋体" w:hAnsi="宋体" w:eastAsia="宋体" w:cs="宋体"/>
          <w:spacing w:val="-4"/>
          <w:sz w:val="24"/>
          <w:szCs w:val="24"/>
        </w:rPr>
      </w:pPr>
      <w:r>
        <w:rPr>
          <w:rFonts w:ascii="宋体" w:hAnsi="宋体" w:eastAsia="宋体" w:cs="宋体"/>
          <w:spacing w:val="-4"/>
          <w:sz w:val="24"/>
          <w:szCs w:val="24"/>
        </w:rPr>
        <w:br w:type="page"/>
      </w:r>
    </w:p>
    <w:p w14:paraId="0C7D8196">
      <w:pPr>
        <w:spacing w:before="311" w:line="219" w:lineRule="auto"/>
        <w:ind w:left="139"/>
        <w:rPr>
          <w:rFonts w:ascii="宋体" w:hAnsi="宋体" w:eastAsia="宋体" w:cs="宋体"/>
          <w:b/>
          <w:bCs/>
          <w:sz w:val="21"/>
          <w:szCs w:val="21"/>
        </w:rPr>
      </w:pPr>
      <w:r>
        <w:rPr>
          <w:rFonts w:ascii="宋体" w:hAnsi="宋体" w:eastAsia="宋体" w:cs="宋体"/>
          <w:b/>
          <w:bCs/>
          <w:spacing w:val="-4"/>
          <w:sz w:val="21"/>
          <w:szCs w:val="21"/>
        </w:rPr>
        <w:t>附件</w:t>
      </w:r>
      <w:r>
        <w:rPr>
          <w:rFonts w:ascii="宋体" w:hAnsi="宋体" w:eastAsia="宋体" w:cs="宋体"/>
          <w:b/>
          <w:bCs/>
          <w:spacing w:val="-22"/>
          <w:sz w:val="21"/>
          <w:szCs w:val="21"/>
        </w:rPr>
        <w:t xml:space="preserve"> </w:t>
      </w:r>
      <w:r>
        <w:rPr>
          <w:rFonts w:ascii="宋体" w:hAnsi="宋体" w:eastAsia="宋体" w:cs="宋体"/>
          <w:b/>
          <w:bCs/>
          <w:spacing w:val="-4"/>
          <w:sz w:val="21"/>
          <w:szCs w:val="21"/>
        </w:rPr>
        <w:t>1：</w:t>
      </w:r>
    </w:p>
    <w:p w14:paraId="21964A26">
      <w:pPr>
        <w:spacing w:before="159" w:line="225" w:lineRule="auto"/>
        <w:ind w:left="2571"/>
        <w:rPr>
          <w:rFonts w:ascii="宋体" w:hAnsi="宋体" w:eastAsia="宋体" w:cs="宋体"/>
          <w:sz w:val="31"/>
          <w:szCs w:val="31"/>
        </w:rPr>
      </w:pPr>
      <w:r>
        <w:rPr>
          <w:rFonts w:ascii="宋体" w:hAnsi="宋体" w:eastAsia="宋体" w:cs="宋体"/>
          <w:b/>
          <w:bCs/>
          <w:spacing w:val="6"/>
          <w:sz w:val="31"/>
          <w:szCs w:val="31"/>
        </w:rPr>
        <w:t>标段划分及主要工程项目情况</w:t>
      </w:r>
    </w:p>
    <w:p w14:paraId="0E8A40FF">
      <w:pPr>
        <w:spacing w:before="262" w:line="219" w:lineRule="auto"/>
        <w:ind w:left="602"/>
        <w:rPr>
          <w:rFonts w:ascii="宋体" w:hAnsi="宋体" w:eastAsia="宋体" w:cs="宋体"/>
          <w:sz w:val="24"/>
          <w:szCs w:val="24"/>
        </w:rPr>
      </w:pPr>
      <w:r>
        <w:rPr>
          <w:rFonts w:ascii="宋体" w:hAnsi="宋体" w:eastAsia="宋体" w:cs="宋体"/>
          <w:spacing w:val="-2"/>
          <w:sz w:val="24"/>
          <w:szCs w:val="24"/>
        </w:rPr>
        <w:t>本次招标共分</w:t>
      </w:r>
      <w:r>
        <w:rPr>
          <w:rFonts w:ascii="宋体" w:hAnsi="宋体" w:eastAsia="宋体" w:cs="宋体"/>
          <w:spacing w:val="-2"/>
          <w:sz w:val="24"/>
          <w:szCs w:val="24"/>
          <w:u w:val="single" w:color="auto"/>
        </w:rPr>
        <w:t xml:space="preserve">  </w:t>
      </w:r>
      <w:r>
        <w:rPr>
          <w:rFonts w:hint="eastAsia" w:ascii="宋体" w:hAnsi="宋体" w:eastAsia="宋体" w:cs="宋体"/>
          <w:spacing w:val="-2"/>
          <w:sz w:val="24"/>
          <w:szCs w:val="24"/>
          <w:u w:val="single" w:color="auto"/>
          <w:lang w:val="en-US" w:eastAsia="zh-CN"/>
        </w:rPr>
        <w:t>1</w:t>
      </w:r>
      <w:r>
        <w:rPr>
          <w:rFonts w:ascii="宋体" w:hAnsi="宋体" w:eastAsia="宋体" w:cs="宋体"/>
          <w:spacing w:val="-2"/>
          <w:sz w:val="24"/>
          <w:szCs w:val="24"/>
          <w:u w:val="single" w:color="auto"/>
        </w:rPr>
        <w:t xml:space="preserve"> </w:t>
      </w:r>
      <w:r>
        <w:rPr>
          <w:rFonts w:ascii="宋体" w:hAnsi="宋体" w:eastAsia="宋体" w:cs="宋体"/>
          <w:spacing w:val="-103"/>
          <w:sz w:val="24"/>
          <w:szCs w:val="24"/>
        </w:rPr>
        <w:t xml:space="preserve"> </w:t>
      </w:r>
      <w:r>
        <w:rPr>
          <w:rFonts w:ascii="宋体" w:hAnsi="宋体" w:eastAsia="宋体" w:cs="宋体"/>
          <w:spacing w:val="-2"/>
          <w:sz w:val="24"/>
          <w:szCs w:val="24"/>
        </w:rPr>
        <w:t>个标类</w:t>
      </w:r>
      <w:r>
        <w:rPr>
          <w:rFonts w:ascii="宋体" w:hAnsi="宋体" w:eastAsia="宋体" w:cs="宋体"/>
          <w:spacing w:val="-2"/>
          <w:sz w:val="24"/>
          <w:szCs w:val="24"/>
          <w:u w:val="single" w:color="auto"/>
        </w:rPr>
        <w:t xml:space="preserve">  </w:t>
      </w:r>
      <w:r>
        <w:rPr>
          <w:rFonts w:hint="eastAsia" w:ascii="宋体" w:hAnsi="宋体" w:eastAsia="宋体" w:cs="宋体"/>
          <w:spacing w:val="-2"/>
          <w:sz w:val="24"/>
          <w:szCs w:val="24"/>
          <w:u w:val="single" w:color="auto"/>
          <w:lang w:val="en-US" w:eastAsia="zh-CN"/>
        </w:rPr>
        <w:t>1</w:t>
      </w:r>
      <w:r>
        <w:rPr>
          <w:rFonts w:ascii="宋体" w:hAnsi="宋体" w:eastAsia="宋体" w:cs="宋体"/>
          <w:spacing w:val="-2"/>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2"/>
          <w:sz w:val="24"/>
          <w:szCs w:val="24"/>
        </w:rPr>
        <w:t>个标段。</w:t>
      </w:r>
    </w:p>
    <w:p w14:paraId="12E93938">
      <w:pPr>
        <w:spacing w:line="147" w:lineRule="exact"/>
      </w:pPr>
    </w:p>
    <w:tbl>
      <w:tblPr>
        <w:tblStyle w:val="10"/>
        <w:tblW w:w="89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9"/>
        <w:gridCol w:w="2073"/>
        <w:gridCol w:w="1911"/>
        <w:gridCol w:w="2605"/>
        <w:gridCol w:w="1259"/>
      </w:tblGrid>
      <w:tr w14:paraId="06C03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079" w:type="dxa"/>
            <w:noWrap w:val="0"/>
            <w:vAlign w:val="center"/>
          </w:tcPr>
          <w:p w14:paraId="242EA4AF">
            <w:pPr>
              <w:keepNext w:val="0"/>
              <w:keepLines w:val="0"/>
              <w:widowControl/>
              <w:suppressLineNumbers w:val="0"/>
              <w:spacing w:before="32" w:beforeAutospacing="0" w:after="0" w:afterAutospacing="0" w:line="228" w:lineRule="auto"/>
              <w:ind w:left="119" w:right="0"/>
              <w:rPr>
                <w:rFonts w:hint="default" w:ascii="宋体" w:hAnsi="宋体" w:eastAsia="宋体" w:cs="宋体"/>
                <w:spacing w:val="9"/>
                <w:sz w:val="20"/>
                <w:szCs w:val="20"/>
              </w:rPr>
            </w:pPr>
            <w:bookmarkStart w:id="3" w:name="bookmark31"/>
            <w:bookmarkEnd w:id="3"/>
            <w:r>
              <w:rPr>
                <w:rFonts w:hint="eastAsia" w:ascii="宋体" w:hAnsi="宋体" w:eastAsia="宋体" w:cs="宋体"/>
                <w:spacing w:val="9"/>
                <w:sz w:val="20"/>
                <w:szCs w:val="20"/>
              </w:rPr>
              <w:t>标段号</w:t>
            </w:r>
          </w:p>
        </w:tc>
        <w:tc>
          <w:tcPr>
            <w:tcW w:w="2073" w:type="dxa"/>
            <w:tcBorders>
              <w:left w:val="nil"/>
            </w:tcBorders>
            <w:noWrap w:val="0"/>
            <w:vAlign w:val="center"/>
          </w:tcPr>
          <w:p w14:paraId="13C0ECEE">
            <w:pPr>
              <w:keepNext w:val="0"/>
              <w:keepLines w:val="0"/>
              <w:widowControl/>
              <w:suppressLineNumbers w:val="0"/>
              <w:spacing w:before="32" w:beforeAutospacing="0" w:after="0" w:afterAutospacing="0" w:line="228" w:lineRule="auto"/>
              <w:ind w:left="119" w:right="0"/>
              <w:rPr>
                <w:rFonts w:hint="default" w:ascii="宋体" w:hAnsi="宋体" w:eastAsia="宋体" w:cs="宋体"/>
                <w:spacing w:val="9"/>
                <w:sz w:val="20"/>
                <w:szCs w:val="20"/>
              </w:rPr>
            </w:pPr>
            <w:r>
              <w:rPr>
                <w:rFonts w:hint="eastAsia" w:ascii="宋体" w:hAnsi="宋体" w:eastAsia="宋体" w:cs="宋体"/>
                <w:spacing w:val="9"/>
                <w:sz w:val="20"/>
                <w:szCs w:val="20"/>
              </w:rPr>
              <w:t>标段类别</w:t>
            </w:r>
          </w:p>
        </w:tc>
        <w:tc>
          <w:tcPr>
            <w:tcW w:w="1911" w:type="dxa"/>
            <w:noWrap w:val="0"/>
            <w:vAlign w:val="center"/>
          </w:tcPr>
          <w:p w14:paraId="6C1CD0A8">
            <w:pPr>
              <w:keepNext w:val="0"/>
              <w:keepLines w:val="0"/>
              <w:widowControl/>
              <w:suppressLineNumbers w:val="0"/>
              <w:spacing w:before="32" w:beforeAutospacing="0" w:after="0" w:afterAutospacing="0" w:line="228" w:lineRule="auto"/>
              <w:ind w:left="119" w:right="0"/>
              <w:rPr>
                <w:rFonts w:hint="default" w:ascii="宋体" w:hAnsi="宋体" w:eastAsia="宋体" w:cs="宋体"/>
                <w:spacing w:val="9"/>
                <w:sz w:val="20"/>
                <w:szCs w:val="20"/>
              </w:rPr>
            </w:pPr>
            <w:r>
              <w:rPr>
                <w:rFonts w:hint="eastAsia" w:ascii="宋体" w:hAnsi="宋体" w:eastAsia="宋体" w:cs="宋体"/>
                <w:spacing w:val="9"/>
                <w:sz w:val="20"/>
                <w:szCs w:val="20"/>
              </w:rPr>
              <w:t>起讫桩号</w:t>
            </w:r>
          </w:p>
        </w:tc>
        <w:tc>
          <w:tcPr>
            <w:tcW w:w="2605" w:type="dxa"/>
            <w:tcBorders>
              <w:left w:val="nil"/>
            </w:tcBorders>
            <w:noWrap w:val="0"/>
            <w:vAlign w:val="center"/>
          </w:tcPr>
          <w:p w14:paraId="3794235A">
            <w:pPr>
              <w:keepNext w:val="0"/>
              <w:keepLines w:val="0"/>
              <w:widowControl/>
              <w:suppressLineNumbers w:val="0"/>
              <w:spacing w:before="32" w:beforeAutospacing="0" w:after="0" w:afterAutospacing="0" w:line="228" w:lineRule="auto"/>
              <w:ind w:left="119" w:right="0"/>
              <w:rPr>
                <w:rFonts w:hint="default" w:ascii="宋体" w:hAnsi="宋体" w:eastAsia="宋体" w:cs="宋体"/>
                <w:spacing w:val="9"/>
                <w:sz w:val="20"/>
                <w:szCs w:val="20"/>
              </w:rPr>
            </w:pPr>
            <w:r>
              <w:rPr>
                <w:rFonts w:hint="eastAsia" w:ascii="宋体" w:hAnsi="宋体" w:eastAsia="宋体" w:cs="宋体"/>
                <w:spacing w:val="9"/>
                <w:sz w:val="20"/>
                <w:szCs w:val="20"/>
              </w:rPr>
              <w:t>长度（</w:t>
            </w:r>
            <w:r>
              <w:rPr>
                <w:rFonts w:hint="default" w:ascii="宋体" w:hAnsi="宋体" w:eastAsia="宋体" w:cs="宋体"/>
                <w:spacing w:val="9"/>
                <w:sz w:val="20"/>
                <w:szCs w:val="20"/>
              </w:rPr>
              <w:t>Km</w:t>
            </w:r>
            <w:r>
              <w:rPr>
                <w:rFonts w:hint="eastAsia" w:ascii="宋体" w:hAnsi="宋体" w:eastAsia="宋体" w:cs="宋体"/>
                <w:spacing w:val="9"/>
                <w:sz w:val="20"/>
                <w:szCs w:val="20"/>
              </w:rPr>
              <w:t>）</w:t>
            </w:r>
          </w:p>
        </w:tc>
        <w:tc>
          <w:tcPr>
            <w:tcW w:w="1259" w:type="dxa"/>
            <w:tcBorders>
              <w:left w:val="nil"/>
            </w:tcBorders>
            <w:noWrap w:val="0"/>
            <w:vAlign w:val="center"/>
          </w:tcPr>
          <w:p w14:paraId="09323F18">
            <w:pPr>
              <w:keepNext w:val="0"/>
              <w:keepLines w:val="0"/>
              <w:widowControl/>
              <w:suppressLineNumbers w:val="0"/>
              <w:spacing w:before="32" w:beforeAutospacing="0" w:after="0" w:afterAutospacing="0" w:line="228" w:lineRule="auto"/>
              <w:ind w:left="0" w:right="0"/>
              <w:rPr>
                <w:rFonts w:hint="default" w:ascii="宋体" w:hAnsi="宋体" w:eastAsia="宋体" w:cs="宋体"/>
                <w:spacing w:val="9"/>
                <w:sz w:val="20"/>
                <w:szCs w:val="20"/>
              </w:rPr>
            </w:pPr>
            <w:r>
              <w:rPr>
                <w:rFonts w:hint="eastAsia" w:ascii="宋体" w:hAnsi="宋体" w:eastAsia="宋体" w:cs="宋体"/>
                <w:spacing w:val="9"/>
                <w:sz w:val="20"/>
                <w:szCs w:val="20"/>
              </w:rPr>
              <w:t>主要工程项目</w:t>
            </w:r>
          </w:p>
        </w:tc>
      </w:tr>
      <w:tr w14:paraId="2959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jc w:val="center"/>
        </w:trPr>
        <w:tc>
          <w:tcPr>
            <w:tcW w:w="1079" w:type="dxa"/>
            <w:noWrap w:val="0"/>
            <w:vAlign w:val="center"/>
          </w:tcPr>
          <w:p w14:paraId="4F3636B9">
            <w:pPr>
              <w:keepNext w:val="0"/>
              <w:keepLines w:val="0"/>
              <w:widowControl/>
              <w:suppressLineNumbers w:val="0"/>
              <w:spacing w:before="32" w:beforeAutospacing="0" w:after="0" w:afterAutospacing="0" w:line="228" w:lineRule="auto"/>
              <w:ind w:left="0" w:right="0" w:firstLine="436" w:firstLineChars="200"/>
              <w:jc w:val="both"/>
              <w:rPr>
                <w:rFonts w:hint="default" w:ascii="宋体" w:hAnsi="宋体" w:eastAsia="宋体" w:cs="宋体"/>
                <w:spacing w:val="9"/>
                <w:sz w:val="20"/>
                <w:szCs w:val="20"/>
              </w:rPr>
            </w:pPr>
            <w:r>
              <w:rPr>
                <w:rFonts w:hint="default" w:ascii="宋体" w:hAnsi="宋体" w:eastAsia="宋体" w:cs="宋体"/>
                <w:spacing w:val="9"/>
                <w:sz w:val="20"/>
                <w:szCs w:val="20"/>
              </w:rPr>
              <w:t>1</w:t>
            </w:r>
          </w:p>
        </w:tc>
        <w:tc>
          <w:tcPr>
            <w:tcW w:w="2073" w:type="dxa"/>
            <w:tcBorders>
              <w:left w:val="nil"/>
            </w:tcBorders>
            <w:noWrap w:val="0"/>
            <w:vAlign w:val="center"/>
          </w:tcPr>
          <w:p w14:paraId="050B8B02">
            <w:pPr>
              <w:keepNext w:val="0"/>
              <w:keepLines w:val="0"/>
              <w:widowControl/>
              <w:suppressLineNumbers w:val="0"/>
              <w:spacing w:before="32" w:beforeAutospacing="0" w:after="0" w:afterAutospacing="0" w:line="228" w:lineRule="auto"/>
              <w:ind w:left="119" w:right="0"/>
              <w:jc w:val="center"/>
              <w:rPr>
                <w:rFonts w:hint="default" w:ascii="宋体" w:hAnsi="宋体" w:eastAsia="宋体" w:cs="宋体"/>
                <w:spacing w:val="9"/>
                <w:sz w:val="20"/>
                <w:szCs w:val="20"/>
              </w:rPr>
            </w:pPr>
            <w:r>
              <w:rPr>
                <w:rFonts w:hint="default" w:ascii="宋体" w:hAnsi="宋体" w:eastAsia="宋体" w:cs="宋体"/>
                <w:spacing w:val="9"/>
                <w:sz w:val="20"/>
                <w:szCs w:val="20"/>
              </w:rPr>
              <w:t>A类</w:t>
            </w:r>
          </w:p>
          <w:p w14:paraId="52BD57BE">
            <w:pPr>
              <w:keepNext w:val="0"/>
              <w:keepLines w:val="0"/>
              <w:widowControl/>
              <w:suppressLineNumbers w:val="0"/>
              <w:spacing w:before="32" w:beforeAutospacing="0" w:after="0" w:afterAutospacing="0" w:line="228" w:lineRule="auto"/>
              <w:ind w:left="119" w:right="0"/>
              <w:jc w:val="center"/>
              <w:rPr>
                <w:rFonts w:hint="default" w:ascii="宋体" w:hAnsi="宋体" w:eastAsia="宋体" w:cs="宋体"/>
                <w:spacing w:val="9"/>
                <w:sz w:val="20"/>
                <w:szCs w:val="20"/>
                <w:lang w:eastAsia="zh-CN"/>
              </w:rPr>
            </w:pPr>
            <w:r>
              <w:rPr>
                <w:rFonts w:hint="eastAsia" w:ascii="宋体" w:hAnsi="宋体" w:eastAsia="宋体" w:cs="宋体"/>
                <w:spacing w:val="9"/>
                <w:sz w:val="20"/>
                <w:szCs w:val="20"/>
                <w:lang w:eastAsia="zh-CN"/>
              </w:rPr>
              <w:t>港口工程</w:t>
            </w:r>
          </w:p>
          <w:p w14:paraId="56B4F752">
            <w:pPr>
              <w:keepNext w:val="0"/>
              <w:keepLines w:val="0"/>
              <w:widowControl/>
              <w:suppressLineNumbers w:val="0"/>
              <w:spacing w:before="32" w:beforeAutospacing="0" w:after="0" w:afterAutospacing="0" w:line="228" w:lineRule="auto"/>
              <w:ind w:left="119" w:right="0"/>
              <w:jc w:val="center"/>
              <w:rPr>
                <w:rFonts w:hint="default" w:ascii="宋体" w:hAnsi="宋体" w:eastAsia="宋体" w:cs="宋体"/>
                <w:spacing w:val="9"/>
                <w:sz w:val="20"/>
                <w:szCs w:val="20"/>
              </w:rPr>
            </w:pPr>
          </w:p>
        </w:tc>
        <w:tc>
          <w:tcPr>
            <w:tcW w:w="1911" w:type="dxa"/>
            <w:noWrap w:val="0"/>
            <w:vAlign w:val="center"/>
          </w:tcPr>
          <w:p w14:paraId="7B108721">
            <w:pPr>
              <w:keepNext w:val="0"/>
              <w:keepLines w:val="0"/>
              <w:widowControl/>
              <w:suppressLineNumbers w:val="0"/>
              <w:spacing w:before="32" w:beforeAutospacing="0" w:after="0" w:afterAutospacing="0" w:line="228" w:lineRule="auto"/>
              <w:ind w:left="119" w:right="0"/>
              <w:jc w:val="center"/>
              <w:rPr>
                <w:rFonts w:hint="default" w:ascii="宋体" w:hAnsi="宋体" w:eastAsia="宋体" w:cs="宋体"/>
                <w:spacing w:val="9"/>
                <w:sz w:val="20"/>
                <w:szCs w:val="20"/>
                <w:lang w:val="en-US"/>
              </w:rPr>
            </w:pPr>
            <w:r>
              <w:rPr>
                <w:rFonts w:hint="eastAsia" w:ascii="宋体" w:hAnsi="宋体" w:eastAsia="宋体" w:cs="宋体"/>
                <w:spacing w:val="9"/>
                <w:sz w:val="20"/>
                <w:szCs w:val="20"/>
                <w:lang w:val="en-US" w:eastAsia="zh-CN"/>
              </w:rPr>
              <w:t>详见施工图设计</w:t>
            </w:r>
          </w:p>
        </w:tc>
        <w:tc>
          <w:tcPr>
            <w:tcW w:w="2605" w:type="dxa"/>
            <w:tcBorders>
              <w:left w:val="nil"/>
            </w:tcBorders>
            <w:noWrap w:val="0"/>
            <w:vAlign w:val="center"/>
          </w:tcPr>
          <w:p w14:paraId="667D9024">
            <w:pPr>
              <w:keepNext w:val="0"/>
              <w:keepLines w:val="0"/>
              <w:widowControl/>
              <w:suppressLineNumbers w:val="0"/>
              <w:spacing w:before="32" w:beforeAutospacing="0" w:after="0" w:afterAutospacing="0" w:line="228" w:lineRule="auto"/>
              <w:ind w:left="119" w:right="0"/>
              <w:jc w:val="center"/>
              <w:rPr>
                <w:rFonts w:hint="default" w:ascii="宋体" w:hAnsi="宋体" w:eastAsia="宋体" w:cs="宋体"/>
                <w:spacing w:val="9"/>
                <w:sz w:val="20"/>
                <w:szCs w:val="20"/>
              </w:rPr>
            </w:pPr>
            <w:r>
              <w:rPr>
                <w:rFonts w:hint="eastAsia" w:ascii="宋体" w:hAnsi="宋体" w:eastAsia="宋体" w:cs="宋体"/>
                <w:spacing w:val="9"/>
                <w:sz w:val="20"/>
                <w:szCs w:val="20"/>
                <w:lang w:val="en-US" w:eastAsia="zh-CN"/>
              </w:rPr>
              <w:t>渔业码头77米，渔政船浮码头1座，护岸82米，港池挖泥0.82万立方米，场地平整及道路硬化3525米</w:t>
            </w:r>
          </w:p>
        </w:tc>
        <w:tc>
          <w:tcPr>
            <w:tcW w:w="1259" w:type="dxa"/>
            <w:tcBorders>
              <w:left w:val="nil"/>
            </w:tcBorders>
            <w:noWrap w:val="0"/>
            <w:vAlign w:val="center"/>
          </w:tcPr>
          <w:p w14:paraId="2F0CB929">
            <w:pPr>
              <w:keepNext w:val="0"/>
              <w:keepLines w:val="0"/>
              <w:widowControl/>
              <w:suppressLineNumbers w:val="0"/>
              <w:spacing w:before="32" w:beforeAutospacing="0" w:after="0" w:afterAutospacing="0" w:line="228" w:lineRule="auto"/>
              <w:ind w:left="119" w:right="0"/>
              <w:jc w:val="center"/>
              <w:rPr>
                <w:rFonts w:hint="default" w:ascii="宋体" w:hAnsi="宋体" w:eastAsia="宋体" w:cs="宋体"/>
                <w:spacing w:val="9"/>
                <w:sz w:val="20"/>
                <w:szCs w:val="20"/>
              </w:rPr>
            </w:pPr>
            <w:r>
              <w:rPr>
                <w:rFonts w:hint="eastAsia" w:ascii="宋体" w:hAnsi="宋体" w:eastAsia="宋体" w:cs="宋体"/>
                <w:spacing w:val="9"/>
                <w:sz w:val="20"/>
                <w:szCs w:val="20"/>
              </w:rPr>
              <w:t>本项目范围内工程施工</w:t>
            </w:r>
          </w:p>
        </w:tc>
      </w:tr>
    </w:tbl>
    <w:p w14:paraId="560F5FDE">
      <w:pPr>
        <w:spacing w:line="245" w:lineRule="auto"/>
        <w:rPr>
          <w:rFonts w:ascii="Arial"/>
          <w:sz w:val="21"/>
        </w:rPr>
      </w:pPr>
    </w:p>
    <w:p w14:paraId="470C37A7">
      <w:pPr>
        <w:spacing w:line="245" w:lineRule="auto"/>
        <w:rPr>
          <w:rFonts w:ascii="Arial"/>
          <w:sz w:val="21"/>
        </w:rPr>
      </w:pPr>
    </w:p>
    <w:p w14:paraId="62A95860">
      <w:pPr>
        <w:spacing w:line="245" w:lineRule="auto"/>
        <w:rPr>
          <w:rFonts w:ascii="Arial"/>
          <w:sz w:val="21"/>
        </w:rPr>
      </w:pPr>
    </w:p>
    <w:p w14:paraId="56722C8F">
      <w:pPr>
        <w:spacing w:line="245" w:lineRule="auto"/>
        <w:rPr>
          <w:rFonts w:ascii="Arial"/>
          <w:sz w:val="21"/>
        </w:rPr>
      </w:pPr>
    </w:p>
    <w:p w14:paraId="19EFA92A">
      <w:pPr>
        <w:spacing w:line="245" w:lineRule="auto"/>
        <w:rPr>
          <w:rFonts w:ascii="Arial"/>
          <w:sz w:val="21"/>
        </w:rPr>
      </w:pPr>
    </w:p>
    <w:p w14:paraId="5C3A4D27">
      <w:pPr>
        <w:spacing w:line="245" w:lineRule="auto"/>
        <w:rPr>
          <w:rFonts w:ascii="Arial"/>
          <w:sz w:val="21"/>
        </w:rPr>
      </w:pPr>
    </w:p>
    <w:p w14:paraId="109A9320">
      <w:pPr>
        <w:spacing w:line="245" w:lineRule="auto"/>
        <w:rPr>
          <w:rFonts w:ascii="Arial"/>
          <w:sz w:val="21"/>
        </w:rPr>
      </w:pPr>
    </w:p>
    <w:p w14:paraId="01272D51">
      <w:pPr>
        <w:spacing w:line="245" w:lineRule="auto"/>
        <w:rPr>
          <w:rFonts w:ascii="Arial"/>
          <w:sz w:val="21"/>
        </w:rPr>
      </w:pPr>
    </w:p>
    <w:p w14:paraId="587E1270">
      <w:pPr>
        <w:spacing w:line="245" w:lineRule="auto"/>
        <w:rPr>
          <w:rFonts w:ascii="Arial"/>
          <w:sz w:val="21"/>
        </w:rPr>
      </w:pPr>
    </w:p>
    <w:p w14:paraId="56710258">
      <w:pPr>
        <w:spacing w:line="245" w:lineRule="auto"/>
        <w:rPr>
          <w:rFonts w:ascii="Arial"/>
          <w:sz w:val="21"/>
        </w:rPr>
      </w:pPr>
    </w:p>
    <w:p w14:paraId="5699ADE1">
      <w:pPr>
        <w:spacing w:line="245" w:lineRule="auto"/>
        <w:rPr>
          <w:rFonts w:ascii="Arial"/>
          <w:sz w:val="21"/>
        </w:rPr>
      </w:pPr>
    </w:p>
    <w:p w14:paraId="630B8AFF">
      <w:pPr>
        <w:spacing w:line="245" w:lineRule="auto"/>
        <w:rPr>
          <w:rFonts w:ascii="Arial"/>
          <w:sz w:val="21"/>
        </w:rPr>
      </w:pPr>
    </w:p>
    <w:p w14:paraId="3754227D">
      <w:pPr>
        <w:spacing w:line="246" w:lineRule="auto"/>
        <w:rPr>
          <w:rFonts w:ascii="Arial"/>
          <w:sz w:val="21"/>
        </w:rPr>
      </w:pPr>
    </w:p>
    <w:p w14:paraId="7962FD93">
      <w:pPr>
        <w:spacing w:line="246" w:lineRule="auto"/>
        <w:rPr>
          <w:rFonts w:ascii="Arial"/>
          <w:sz w:val="21"/>
        </w:rPr>
      </w:pPr>
    </w:p>
    <w:p w14:paraId="526C2AF2">
      <w:pPr>
        <w:spacing w:line="246" w:lineRule="auto"/>
        <w:rPr>
          <w:rFonts w:ascii="Arial"/>
          <w:sz w:val="21"/>
        </w:rPr>
      </w:pPr>
    </w:p>
    <w:p w14:paraId="4904E12A">
      <w:pPr>
        <w:spacing w:line="246" w:lineRule="auto"/>
        <w:rPr>
          <w:rFonts w:ascii="Arial"/>
          <w:sz w:val="21"/>
        </w:rPr>
      </w:pPr>
    </w:p>
    <w:p w14:paraId="72F8AB55">
      <w:pPr>
        <w:spacing w:line="246" w:lineRule="auto"/>
        <w:rPr>
          <w:rFonts w:ascii="Arial"/>
          <w:sz w:val="21"/>
        </w:rPr>
      </w:pPr>
    </w:p>
    <w:p w14:paraId="318D32BB">
      <w:pPr>
        <w:spacing w:line="246" w:lineRule="auto"/>
        <w:rPr>
          <w:rFonts w:ascii="Arial"/>
          <w:sz w:val="21"/>
        </w:rPr>
      </w:pPr>
    </w:p>
    <w:p w14:paraId="1B4E3316">
      <w:pPr>
        <w:spacing w:line="246" w:lineRule="auto"/>
        <w:rPr>
          <w:rFonts w:ascii="Arial"/>
          <w:sz w:val="21"/>
        </w:rPr>
      </w:pPr>
    </w:p>
    <w:p w14:paraId="49B69AC3">
      <w:pPr>
        <w:spacing w:line="246" w:lineRule="auto"/>
        <w:rPr>
          <w:rFonts w:ascii="Arial"/>
          <w:sz w:val="21"/>
        </w:rPr>
      </w:pPr>
    </w:p>
    <w:p w14:paraId="75AA85DF">
      <w:pPr>
        <w:spacing w:line="246" w:lineRule="auto"/>
        <w:rPr>
          <w:rFonts w:ascii="Arial"/>
          <w:sz w:val="21"/>
        </w:rPr>
      </w:pPr>
    </w:p>
    <w:p w14:paraId="05EC021E">
      <w:pPr>
        <w:spacing w:line="246" w:lineRule="auto"/>
        <w:rPr>
          <w:rFonts w:ascii="Arial"/>
          <w:sz w:val="21"/>
        </w:rPr>
      </w:pPr>
    </w:p>
    <w:p w14:paraId="27C47252">
      <w:pPr>
        <w:spacing w:line="246" w:lineRule="auto"/>
        <w:rPr>
          <w:rFonts w:ascii="Arial"/>
          <w:sz w:val="21"/>
        </w:rPr>
      </w:pPr>
    </w:p>
    <w:p w14:paraId="35A66F03">
      <w:pPr>
        <w:spacing w:line="246" w:lineRule="auto"/>
        <w:rPr>
          <w:rFonts w:ascii="Arial"/>
          <w:sz w:val="21"/>
        </w:rPr>
      </w:pPr>
    </w:p>
    <w:p w14:paraId="7DB034AD">
      <w:pPr>
        <w:spacing w:line="246" w:lineRule="auto"/>
        <w:rPr>
          <w:rFonts w:ascii="Arial"/>
          <w:sz w:val="21"/>
        </w:rPr>
      </w:pPr>
    </w:p>
    <w:p w14:paraId="267C3F5A">
      <w:pPr>
        <w:spacing w:line="246" w:lineRule="auto"/>
        <w:rPr>
          <w:rFonts w:ascii="Arial"/>
          <w:sz w:val="21"/>
        </w:rPr>
      </w:pPr>
    </w:p>
    <w:p w14:paraId="2B3364CB">
      <w:pPr>
        <w:spacing w:line="246" w:lineRule="auto"/>
        <w:rPr>
          <w:rFonts w:ascii="Arial"/>
          <w:sz w:val="21"/>
        </w:rPr>
      </w:pPr>
    </w:p>
    <w:p w14:paraId="4D7B53D4">
      <w:pPr>
        <w:spacing w:line="246" w:lineRule="auto"/>
        <w:rPr>
          <w:rFonts w:ascii="Arial"/>
          <w:sz w:val="21"/>
        </w:rPr>
      </w:pPr>
    </w:p>
    <w:p w14:paraId="141A0D0C">
      <w:pPr>
        <w:spacing w:line="246" w:lineRule="auto"/>
        <w:rPr>
          <w:rFonts w:ascii="Arial"/>
          <w:sz w:val="21"/>
        </w:rPr>
      </w:pPr>
    </w:p>
    <w:p w14:paraId="2589FBDE">
      <w:pPr>
        <w:spacing w:line="246" w:lineRule="auto"/>
        <w:rPr>
          <w:rFonts w:ascii="Arial"/>
          <w:sz w:val="21"/>
        </w:rPr>
      </w:pPr>
    </w:p>
    <w:p w14:paraId="1CF88510">
      <w:pPr>
        <w:rPr>
          <w:rFonts w:ascii="宋体" w:hAnsi="宋体" w:eastAsia="宋体" w:cs="Times New Roman"/>
          <w:snapToGrid/>
          <w:color w:val="auto"/>
          <w:kern w:val="2"/>
          <w:sz w:val="24"/>
          <w:szCs w:val="24"/>
          <w:highlight w:val="none"/>
          <w:lang w:eastAsia="zh-CN"/>
        </w:rPr>
      </w:pPr>
      <w:r>
        <w:rPr>
          <w:rFonts w:hint="eastAsia" w:ascii="宋体" w:hAnsi="宋体" w:eastAsia="宋体" w:cs="宋体"/>
          <w:b/>
          <w:bCs/>
          <w:snapToGrid/>
          <w:color w:val="auto"/>
          <w:spacing w:val="0"/>
          <w:kern w:val="2"/>
          <w:sz w:val="21"/>
          <w:szCs w:val="21"/>
          <w:highlight w:val="none"/>
          <w:lang w:eastAsia="zh-CN"/>
        </w:rPr>
        <w:br w:type="page"/>
      </w:r>
      <w:r>
        <w:rPr>
          <w:rFonts w:hint="eastAsia" w:ascii="宋体" w:hAnsi="宋体" w:eastAsia="宋体" w:cs="宋体"/>
          <w:b/>
          <w:bCs/>
          <w:snapToGrid/>
          <w:color w:val="auto"/>
          <w:spacing w:val="0"/>
          <w:kern w:val="2"/>
          <w:sz w:val="21"/>
          <w:szCs w:val="21"/>
          <w:highlight w:val="none"/>
          <w:lang w:eastAsia="zh-CN"/>
        </w:rPr>
        <w:t>附件</w:t>
      </w:r>
      <w:r>
        <w:rPr>
          <w:rFonts w:hint="eastAsia" w:ascii="宋体" w:hAnsi="宋体" w:eastAsia="宋体" w:cs="宋体"/>
          <w:b/>
          <w:bCs/>
          <w:snapToGrid/>
          <w:color w:val="auto"/>
          <w:spacing w:val="0"/>
          <w:kern w:val="2"/>
          <w:sz w:val="21"/>
          <w:szCs w:val="21"/>
          <w:highlight w:val="none"/>
          <w:lang w:val="en-US" w:eastAsia="zh-CN"/>
        </w:rPr>
        <w:t>2</w:t>
      </w:r>
      <w:r>
        <w:rPr>
          <w:rFonts w:hint="eastAsia" w:ascii="宋体" w:hAnsi="宋体" w:eastAsia="宋体" w:cs="宋体"/>
          <w:b/>
          <w:bCs/>
          <w:snapToGrid/>
          <w:color w:val="auto"/>
          <w:spacing w:val="0"/>
          <w:kern w:val="2"/>
          <w:sz w:val="21"/>
          <w:szCs w:val="21"/>
          <w:highlight w:val="none"/>
          <w:lang w:eastAsia="zh-CN"/>
        </w:rPr>
        <w:t>：</w:t>
      </w:r>
    </w:p>
    <w:p w14:paraId="58523552">
      <w:pPr>
        <w:widowControl w:val="0"/>
        <w:kinsoku/>
        <w:autoSpaceDE/>
        <w:autoSpaceDN/>
        <w:adjustRightInd/>
        <w:snapToGrid/>
        <w:spacing w:line="360" w:lineRule="auto"/>
        <w:ind w:firstLine="480" w:firstLineChars="200"/>
        <w:jc w:val="center"/>
        <w:textAlignment w:val="auto"/>
        <w:rPr>
          <w:rFonts w:hint="eastAsia" w:ascii="宋体" w:hAnsi="宋体" w:eastAsia="宋体" w:cs="Times New Roman"/>
          <w:snapToGrid/>
          <w:color w:val="auto"/>
          <w:kern w:val="2"/>
          <w:sz w:val="24"/>
          <w:szCs w:val="24"/>
          <w:highlight w:val="none"/>
          <w:lang w:eastAsia="zh-CN"/>
        </w:rPr>
      </w:pPr>
      <w:r>
        <w:rPr>
          <w:rFonts w:ascii="宋体" w:hAnsi="宋体" w:eastAsia="宋体" w:cs="Times New Roman"/>
          <w:snapToGrid/>
          <w:color w:val="auto"/>
          <w:kern w:val="2"/>
          <w:sz w:val="24"/>
          <w:szCs w:val="24"/>
          <w:highlight w:val="none"/>
          <w:lang w:eastAsia="zh-CN"/>
        </w:rPr>
        <w:t>附录 1 资格审查条件(资质最低条件)</w:t>
      </w: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43"/>
      </w:tblGrid>
      <w:tr w14:paraId="083AC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9343" w:type="dxa"/>
            <w:noWrap w:val="0"/>
            <w:vAlign w:val="center"/>
          </w:tcPr>
          <w:p w14:paraId="26F25691">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宋体"/>
                <w:snapToGrid/>
                <w:color w:val="auto"/>
                <w:kern w:val="2"/>
                <w:szCs w:val="21"/>
                <w:highlight w:val="none"/>
                <w:lang w:eastAsia="zh-CN"/>
              </w:rPr>
            </w:pPr>
            <w:r>
              <w:rPr>
                <w:rFonts w:hint="default" w:ascii="宋体" w:hAnsi="宋体" w:eastAsia="宋体" w:cs="Times New Roman"/>
                <w:snapToGrid/>
                <w:color w:val="auto"/>
                <w:kern w:val="2"/>
                <w:sz w:val="21"/>
                <w:szCs w:val="21"/>
                <w:highlight w:val="none"/>
                <w:lang w:eastAsia="zh-CN"/>
              </w:rPr>
              <w:t>施工企业资质等级要求</w:t>
            </w:r>
          </w:p>
        </w:tc>
      </w:tr>
      <w:tr w14:paraId="272FB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5" w:hRule="atLeast"/>
        </w:trPr>
        <w:tc>
          <w:tcPr>
            <w:tcW w:w="9343" w:type="dxa"/>
            <w:noWrap w:val="0"/>
            <w:vAlign w:val="top"/>
          </w:tcPr>
          <w:p w14:paraId="4FB7AB1C">
            <w:pPr>
              <w:keepNext w:val="0"/>
              <w:keepLines w:val="0"/>
              <w:widowControl w:val="0"/>
              <w:suppressLineNumbers w:val="0"/>
              <w:kinsoku/>
              <w:autoSpaceDE/>
              <w:autoSpaceDN/>
              <w:adjustRightInd/>
              <w:snapToGrid/>
              <w:spacing w:before="0" w:beforeAutospacing="0" w:after="0" w:afterAutospacing="0" w:line="240" w:lineRule="auto"/>
              <w:ind w:left="0" w:right="0"/>
              <w:jc w:val="both"/>
              <w:textAlignment w:val="auto"/>
              <w:rPr>
                <w:rFonts w:hint="default" w:ascii="宋体" w:hAnsi="宋体" w:eastAsia="宋体" w:cs="Times New Roman"/>
                <w:snapToGrid/>
                <w:color w:val="auto"/>
                <w:kern w:val="2"/>
                <w:sz w:val="21"/>
                <w:szCs w:val="21"/>
                <w:highlight w:val="none"/>
                <w:lang w:eastAsia="zh-CN"/>
              </w:rPr>
            </w:pPr>
          </w:p>
          <w:p w14:paraId="44A7B31D">
            <w:pPr>
              <w:keepNext w:val="0"/>
              <w:keepLines w:val="0"/>
              <w:widowControl w:val="0"/>
              <w:suppressLineNumbers w:val="0"/>
              <w:kinsoku/>
              <w:autoSpaceDE/>
              <w:autoSpaceDN/>
              <w:adjustRightInd/>
              <w:snapToGrid/>
              <w:spacing w:before="0" w:beforeAutospacing="0" w:after="0" w:afterAutospacing="0" w:line="240" w:lineRule="auto"/>
              <w:ind w:left="0" w:right="0"/>
              <w:jc w:val="both"/>
              <w:textAlignment w:val="auto"/>
              <w:rPr>
                <w:rFonts w:hint="eastAsia" w:ascii="宋体" w:hAnsi="宋体" w:eastAsia="宋体" w:cs="Times New Roman"/>
                <w:snapToGrid/>
                <w:color w:val="auto"/>
                <w:kern w:val="2"/>
                <w:sz w:val="21"/>
                <w:szCs w:val="21"/>
                <w:highlight w:val="none"/>
                <w:lang w:eastAsia="zh-CN"/>
              </w:rPr>
            </w:pPr>
            <w:r>
              <w:rPr>
                <w:rFonts w:hint="default" w:ascii="宋体" w:hAnsi="宋体" w:eastAsia="宋体" w:cs="Times New Roman"/>
                <w:snapToGrid/>
                <w:color w:val="auto"/>
                <w:kern w:val="2"/>
                <w:sz w:val="21"/>
                <w:szCs w:val="21"/>
                <w:highlight w:val="none"/>
                <w:lang w:eastAsia="zh-CN"/>
              </w:rPr>
              <w:t>A类（港口工程）：港口与航道工程施工总承包</w:t>
            </w:r>
            <w:r>
              <w:rPr>
                <w:rFonts w:hint="eastAsia" w:ascii="宋体" w:hAnsi="宋体" w:eastAsia="宋体" w:cs="Times New Roman"/>
                <w:snapToGrid/>
                <w:color w:val="auto"/>
                <w:kern w:val="2"/>
                <w:sz w:val="21"/>
                <w:szCs w:val="21"/>
                <w:highlight w:val="none"/>
                <w:u w:val="single"/>
                <w:lang w:eastAsia="zh-CN"/>
              </w:rPr>
              <w:t>三</w:t>
            </w:r>
            <w:r>
              <w:rPr>
                <w:rFonts w:hint="default" w:ascii="宋体" w:hAnsi="宋体" w:eastAsia="宋体" w:cs="Times New Roman"/>
                <w:snapToGrid/>
                <w:color w:val="auto"/>
                <w:kern w:val="2"/>
                <w:sz w:val="21"/>
                <w:szCs w:val="21"/>
                <w:highlight w:val="none"/>
                <w:u w:val="single"/>
                <w:lang w:eastAsia="zh-CN"/>
              </w:rPr>
              <w:t>级</w:t>
            </w:r>
            <w:r>
              <w:rPr>
                <w:rFonts w:hint="eastAsia" w:ascii="宋体" w:hAnsi="宋体" w:eastAsia="宋体" w:cs="Times New Roman"/>
                <w:snapToGrid/>
                <w:color w:val="auto"/>
                <w:kern w:val="2"/>
                <w:sz w:val="21"/>
                <w:szCs w:val="21"/>
                <w:highlight w:val="none"/>
                <w:u w:val="single"/>
                <w:lang w:eastAsia="zh-CN"/>
              </w:rPr>
              <w:t>（或以上）</w:t>
            </w:r>
            <w:r>
              <w:rPr>
                <w:rFonts w:hint="default" w:ascii="宋体" w:hAnsi="宋体" w:eastAsia="宋体" w:cs="Times New Roman"/>
                <w:snapToGrid/>
                <w:color w:val="auto"/>
                <w:kern w:val="2"/>
                <w:sz w:val="21"/>
                <w:szCs w:val="21"/>
                <w:highlight w:val="none"/>
                <w:lang w:eastAsia="zh-CN"/>
              </w:rPr>
              <w:t>资质。</w:t>
            </w:r>
          </w:p>
          <w:p w14:paraId="7534D914">
            <w:pPr>
              <w:keepNext w:val="0"/>
              <w:keepLines w:val="0"/>
              <w:widowControl w:val="0"/>
              <w:suppressLineNumbers w:val="0"/>
              <w:kinsoku/>
              <w:autoSpaceDE/>
              <w:autoSpaceDN/>
              <w:adjustRightInd/>
              <w:snapToGrid/>
              <w:spacing w:before="0" w:beforeAutospacing="0" w:after="0" w:afterAutospacing="0" w:line="240" w:lineRule="auto"/>
              <w:ind w:left="0" w:right="0"/>
              <w:jc w:val="both"/>
              <w:textAlignment w:val="auto"/>
              <w:rPr>
                <w:rFonts w:hint="default" w:ascii="宋体" w:hAnsi="宋体" w:eastAsia="宋体" w:cs="宋体"/>
                <w:snapToGrid/>
                <w:color w:val="auto"/>
                <w:kern w:val="2"/>
                <w:szCs w:val="21"/>
                <w:highlight w:val="none"/>
                <w:lang w:eastAsia="zh-CN"/>
              </w:rPr>
            </w:pPr>
            <w:r>
              <w:rPr>
                <w:rFonts w:hint="eastAsia" w:ascii="宋体" w:hAnsi="宋体" w:eastAsia="宋体" w:cs="Times New Roman"/>
                <w:snapToGrid/>
                <w:color w:val="auto"/>
                <w:kern w:val="2"/>
                <w:sz w:val="21"/>
                <w:szCs w:val="21"/>
                <w:highlight w:val="none"/>
                <w:lang w:eastAsia="zh-CN"/>
              </w:rPr>
              <w:t xml:space="preserve">                </w:t>
            </w:r>
            <w:r>
              <w:rPr>
                <w:rFonts w:hint="eastAsia" w:ascii="宋体" w:hAnsi="宋体" w:eastAsia="宋体" w:cs="Times New Roman"/>
                <w:snapToGrid/>
                <w:color w:val="auto"/>
                <w:kern w:val="2"/>
                <w:sz w:val="21"/>
                <w:szCs w:val="21"/>
                <w:highlight w:val="none"/>
                <w:lang w:val="en-US" w:eastAsia="zh-CN"/>
              </w:rPr>
              <w:t xml:space="preserve"> </w:t>
            </w:r>
          </w:p>
        </w:tc>
      </w:tr>
    </w:tbl>
    <w:p w14:paraId="5B80692D">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szCs w:val="21"/>
          <w:highlight w:val="none"/>
          <w:lang w:eastAsia="zh-CN"/>
        </w:rPr>
      </w:pPr>
      <w:r>
        <w:rPr>
          <w:rFonts w:hint="eastAsia" w:ascii="宋体" w:hAnsi="宋体" w:eastAsia="宋体" w:cs="Times New Roman"/>
          <w:snapToGrid/>
          <w:color w:val="auto"/>
          <w:kern w:val="2"/>
          <w:szCs w:val="21"/>
          <w:highlight w:val="none"/>
          <w:lang w:eastAsia="zh-CN"/>
        </w:rPr>
        <w:t xml:space="preserve">注：资质内容按照建市[2014]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建设工程企业资质延续有关事项的通知》（建办市函〔2020〕334号）、《住房和城乡建设部办公厅关于做好建筑业“证照分离”改革衔接有关工作的通知》（建办市〔2021〕30号）、《住房和城乡建设部办公厅关于建设工程企业资质统一延续有关事项的通知》（建办市函[2021]510号）、《广东省住房和城乡建设厅关于建设工程企业资质有效期延期的通知》（粤建许函〔2021〕849号）的要求设置。 </w:t>
      </w:r>
    </w:p>
    <w:p w14:paraId="1CC070B6">
      <w:pPr>
        <w:widowControl w:val="0"/>
        <w:kinsoku/>
        <w:autoSpaceDE/>
        <w:autoSpaceDN/>
        <w:adjustRightInd/>
        <w:snapToGrid/>
        <w:spacing w:line="360" w:lineRule="auto"/>
        <w:ind w:firstLine="480" w:firstLineChars="200"/>
        <w:jc w:val="center"/>
        <w:textAlignment w:val="auto"/>
        <w:rPr>
          <w:rFonts w:ascii="宋体" w:hAnsi="宋体" w:eastAsia="宋体" w:cs="Times New Roman"/>
          <w:snapToGrid/>
          <w:color w:val="auto"/>
          <w:kern w:val="2"/>
          <w:sz w:val="24"/>
          <w:szCs w:val="24"/>
          <w:highlight w:val="none"/>
          <w:lang w:eastAsia="zh-CN"/>
        </w:rPr>
      </w:pPr>
    </w:p>
    <w:p w14:paraId="37E2F42D">
      <w:pPr>
        <w:widowControl w:val="0"/>
        <w:kinsoku/>
        <w:autoSpaceDE/>
        <w:autoSpaceDN/>
        <w:adjustRightInd/>
        <w:snapToGrid/>
        <w:spacing w:line="360" w:lineRule="auto"/>
        <w:ind w:firstLine="480" w:firstLineChars="200"/>
        <w:jc w:val="center"/>
        <w:textAlignment w:val="auto"/>
        <w:rPr>
          <w:rFonts w:ascii="宋体" w:hAnsi="宋体" w:eastAsia="宋体" w:cs="Times New Roman"/>
          <w:snapToGrid/>
          <w:color w:val="auto"/>
          <w:kern w:val="2"/>
          <w:sz w:val="24"/>
          <w:szCs w:val="24"/>
          <w:highlight w:val="none"/>
          <w:lang w:eastAsia="zh-CN"/>
        </w:rPr>
      </w:pPr>
    </w:p>
    <w:p w14:paraId="60EA7004">
      <w:pPr>
        <w:widowControl w:val="0"/>
        <w:kinsoku/>
        <w:autoSpaceDE/>
        <w:autoSpaceDN/>
        <w:adjustRightInd/>
        <w:snapToGrid/>
        <w:spacing w:line="360" w:lineRule="auto"/>
        <w:ind w:firstLine="480" w:firstLineChars="200"/>
        <w:jc w:val="center"/>
        <w:textAlignment w:val="auto"/>
        <w:rPr>
          <w:rFonts w:ascii="宋体" w:hAnsi="宋体" w:eastAsia="宋体" w:cs="Times New Roman"/>
          <w:snapToGrid/>
          <w:color w:val="auto"/>
          <w:kern w:val="2"/>
          <w:sz w:val="24"/>
          <w:szCs w:val="24"/>
          <w:highlight w:val="none"/>
          <w:lang w:eastAsia="zh-CN"/>
        </w:rPr>
      </w:pPr>
    </w:p>
    <w:p w14:paraId="7E7A6CED">
      <w:pPr>
        <w:widowControl w:val="0"/>
        <w:kinsoku/>
        <w:autoSpaceDE/>
        <w:autoSpaceDN/>
        <w:adjustRightInd/>
        <w:snapToGrid/>
        <w:spacing w:line="360" w:lineRule="auto"/>
        <w:ind w:firstLine="480" w:firstLineChars="200"/>
        <w:jc w:val="center"/>
        <w:textAlignment w:val="auto"/>
        <w:rPr>
          <w:rFonts w:hint="eastAsia" w:ascii="宋体" w:hAnsi="宋体" w:eastAsia="宋体" w:cs="Times New Roman"/>
          <w:snapToGrid/>
          <w:color w:val="auto"/>
          <w:kern w:val="2"/>
          <w:sz w:val="24"/>
          <w:szCs w:val="24"/>
          <w:highlight w:val="none"/>
          <w:lang w:eastAsia="zh-CN"/>
        </w:rPr>
      </w:pPr>
      <w:r>
        <w:rPr>
          <w:rFonts w:ascii="宋体" w:hAnsi="宋体" w:eastAsia="宋体" w:cs="Times New Roman"/>
          <w:snapToGrid/>
          <w:color w:val="auto"/>
          <w:kern w:val="2"/>
          <w:sz w:val="24"/>
          <w:szCs w:val="24"/>
          <w:highlight w:val="none"/>
          <w:lang w:eastAsia="zh-CN"/>
        </w:rPr>
        <w:t>附录 2 资格审查条件(财务最低要求)</w:t>
      </w: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43"/>
      </w:tblGrid>
      <w:tr w14:paraId="5D193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7" w:hRule="atLeast"/>
        </w:trPr>
        <w:tc>
          <w:tcPr>
            <w:tcW w:w="9343" w:type="dxa"/>
            <w:noWrap w:val="0"/>
            <w:vAlign w:val="center"/>
          </w:tcPr>
          <w:p w14:paraId="5D92FC1E">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Times New Roman"/>
                <w:snapToGrid/>
                <w:color w:val="auto"/>
                <w:kern w:val="2"/>
                <w:sz w:val="21"/>
                <w:szCs w:val="21"/>
                <w:highlight w:val="none"/>
                <w:lang w:eastAsia="zh-CN"/>
              </w:rPr>
            </w:pPr>
            <w:r>
              <w:rPr>
                <w:rFonts w:hint="eastAsia" w:ascii="宋体" w:hAnsi="宋体" w:eastAsia="宋体" w:cs="Times New Roman"/>
                <w:snapToGrid/>
                <w:color w:val="auto"/>
                <w:kern w:val="2"/>
                <w:sz w:val="21"/>
                <w:szCs w:val="21"/>
                <w:highlight w:val="none"/>
                <w:lang w:eastAsia="zh-CN"/>
              </w:rPr>
              <w:t>财务要求</w:t>
            </w:r>
          </w:p>
        </w:tc>
      </w:tr>
      <w:tr w14:paraId="6304E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5" w:hRule="atLeast"/>
        </w:trPr>
        <w:tc>
          <w:tcPr>
            <w:tcW w:w="9343" w:type="dxa"/>
            <w:noWrap w:val="0"/>
            <w:vAlign w:val="top"/>
          </w:tcPr>
          <w:p w14:paraId="59569DFD">
            <w:pPr>
              <w:keepNext w:val="0"/>
              <w:keepLines w:val="0"/>
              <w:widowControl w:val="0"/>
              <w:suppressLineNumbers w:val="0"/>
              <w:kinsoku/>
              <w:autoSpaceDE/>
              <w:autoSpaceDN/>
              <w:adjustRightInd/>
              <w:snapToGrid/>
              <w:spacing w:before="0" w:beforeAutospacing="0" w:after="0" w:afterAutospacing="0" w:line="240" w:lineRule="auto"/>
              <w:ind w:left="0" w:right="0"/>
              <w:jc w:val="both"/>
              <w:textAlignment w:val="auto"/>
              <w:rPr>
                <w:rFonts w:hint="default" w:ascii="宋体" w:hAnsi="宋体" w:eastAsia="宋体" w:cs="Times New Roman"/>
                <w:snapToGrid/>
                <w:color w:val="auto"/>
                <w:kern w:val="2"/>
                <w:sz w:val="21"/>
                <w:szCs w:val="21"/>
                <w:highlight w:val="none"/>
                <w:lang w:eastAsia="zh-CN"/>
              </w:rPr>
            </w:pPr>
          </w:p>
          <w:p w14:paraId="79A5075B">
            <w:pPr>
              <w:keepNext w:val="0"/>
              <w:keepLines w:val="0"/>
              <w:widowControl w:val="0"/>
              <w:suppressLineNumbers w:val="0"/>
              <w:kinsoku/>
              <w:autoSpaceDE/>
              <w:autoSpaceDN/>
              <w:adjustRightInd/>
              <w:snapToGrid/>
              <w:spacing w:before="0" w:beforeAutospacing="0" w:after="0" w:afterAutospacing="0" w:line="240" w:lineRule="atLeast"/>
              <w:ind w:left="0" w:right="0" w:firstLine="420"/>
              <w:jc w:val="both"/>
              <w:textAlignment w:val="auto"/>
              <w:rPr>
                <w:rFonts w:hint="default" w:ascii="宋体" w:hAnsi="Calibri" w:eastAsia="宋体" w:cs="Times New Roman"/>
                <w:snapToGrid/>
                <w:color w:val="auto"/>
                <w:spacing w:val="0"/>
                <w:kern w:val="2"/>
                <w:sz w:val="21"/>
                <w:szCs w:val="21"/>
                <w:highlight w:val="none"/>
                <w:lang w:eastAsia="zh-CN"/>
              </w:rPr>
            </w:pPr>
            <w:bookmarkStart w:id="4" w:name="EBf4b12d1f250b494fab6d71b24f616233"/>
            <w:r>
              <w:rPr>
                <w:rFonts w:hint="eastAsia" w:ascii="宋体" w:hAnsi="Calibri" w:eastAsia="宋体" w:cs="Times New Roman"/>
                <w:snapToGrid/>
                <w:color w:val="auto"/>
                <w:spacing w:val="0"/>
                <w:kern w:val="2"/>
                <w:sz w:val="21"/>
                <w:szCs w:val="21"/>
                <w:highlight w:val="none"/>
                <w:lang w:val="en-US" w:eastAsia="zh-CN"/>
              </w:rPr>
              <w:t>1</w:t>
            </w:r>
            <w:r>
              <w:rPr>
                <w:rFonts w:hint="eastAsia" w:ascii="宋体" w:hAnsi="Calibri" w:eastAsia="宋体" w:cs="Times New Roman"/>
                <w:snapToGrid/>
                <w:color w:val="auto"/>
                <w:spacing w:val="0"/>
                <w:kern w:val="2"/>
                <w:sz w:val="21"/>
                <w:szCs w:val="21"/>
                <w:highlight w:val="none"/>
                <w:lang w:eastAsia="zh-CN"/>
              </w:rPr>
              <w:t>、近三个年度的年平均营业总收入不少于</w:t>
            </w:r>
            <w:r>
              <w:rPr>
                <w:rFonts w:hint="eastAsia" w:ascii="宋体" w:hAnsi="Calibri" w:eastAsia="宋体" w:cs="Times New Roman"/>
                <w:snapToGrid/>
                <w:color w:val="auto"/>
                <w:spacing w:val="0"/>
                <w:kern w:val="2"/>
                <w:sz w:val="21"/>
                <w:szCs w:val="21"/>
                <w:highlight w:val="none"/>
                <w:lang w:val="en-US" w:eastAsia="zh-CN"/>
              </w:rPr>
              <w:t>5</w:t>
            </w:r>
            <w:r>
              <w:rPr>
                <w:rFonts w:hint="eastAsia" w:ascii="宋体" w:hAnsi="Calibri" w:eastAsia="宋体" w:cs="Times New Roman"/>
                <w:snapToGrid/>
                <w:color w:val="auto"/>
                <w:spacing w:val="0"/>
                <w:kern w:val="2"/>
                <w:sz w:val="21"/>
                <w:szCs w:val="21"/>
                <w:highlight w:val="none"/>
                <w:lang w:eastAsia="zh-CN"/>
              </w:rPr>
              <w:t>00万元人民币。</w:t>
            </w:r>
          </w:p>
          <w:p w14:paraId="2CC94227">
            <w:pPr>
              <w:keepNext w:val="0"/>
              <w:keepLines w:val="0"/>
              <w:widowControl w:val="0"/>
              <w:suppressLineNumbers w:val="0"/>
              <w:kinsoku/>
              <w:autoSpaceDE/>
              <w:autoSpaceDN/>
              <w:adjustRightInd/>
              <w:snapToGrid/>
              <w:spacing w:before="0" w:beforeAutospacing="0" w:after="0" w:afterAutospacing="0" w:line="240" w:lineRule="auto"/>
              <w:ind w:left="0" w:right="0" w:firstLine="420" w:firstLineChars="200"/>
              <w:jc w:val="both"/>
              <w:textAlignment w:val="auto"/>
              <w:rPr>
                <w:rFonts w:hint="default" w:ascii="宋体" w:hAnsi="宋体" w:eastAsia="宋体" w:cs="Times New Roman"/>
                <w:b w:val="0"/>
                <w:bCs w:val="0"/>
                <w:i w:val="0"/>
                <w:iCs w:val="0"/>
                <w:snapToGrid/>
                <w:color w:val="auto"/>
                <w:kern w:val="2"/>
                <w:sz w:val="21"/>
                <w:szCs w:val="21"/>
                <w:highlight w:val="none"/>
                <w:lang w:val="en-US" w:eastAsia="zh-CN"/>
              </w:rPr>
            </w:pPr>
            <w:r>
              <w:rPr>
                <w:rFonts w:hint="eastAsia" w:ascii="宋体" w:hAnsi="Calibri" w:eastAsia="宋体" w:cs="Times New Roman"/>
                <w:snapToGrid/>
                <w:color w:val="auto"/>
                <w:spacing w:val="0"/>
                <w:kern w:val="2"/>
                <w:sz w:val="21"/>
                <w:szCs w:val="21"/>
                <w:highlight w:val="none"/>
                <w:lang w:val="en-US" w:eastAsia="zh-CN"/>
              </w:rPr>
              <w:t>2</w:t>
            </w:r>
            <w:r>
              <w:rPr>
                <w:rFonts w:hint="eastAsia" w:ascii="宋体" w:hAnsi="Calibri" w:eastAsia="宋体" w:cs="Times New Roman"/>
                <w:snapToGrid/>
                <w:color w:val="auto"/>
                <w:spacing w:val="0"/>
                <w:kern w:val="2"/>
                <w:sz w:val="21"/>
                <w:szCs w:val="21"/>
                <w:highlight w:val="none"/>
                <w:lang w:eastAsia="zh-CN"/>
              </w:rPr>
              <w:t>、近三个年度至少有2年盈利。</w:t>
            </w:r>
            <w:bookmarkEnd w:id="4"/>
          </w:p>
          <w:p w14:paraId="1989DEBB">
            <w:pPr>
              <w:keepNext w:val="0"/>
              <w:keepLines w:val="0"/>
              <w:widowControl w:val="0"/>
              <w:suppressLineNumbers w:val="0"/>
              <w:kinsoku/>
              <w:autoSpaceDE/>
              <w:autoSpaceDN/>
              <w:adjustRightInd/>
              <w:snapToGrid/>
              <w:spacing w:before="0" w:beforeAutospacing="0" w:after="0" w:afterAutospacing="0" w:line="240" w:lineRule="auto"/>
              <w:ind w:left="0" w:right="0"/>
              <w:jc w:val="both"/>
              <w:textAlignment w:val="auto"/>
              <w:rPr>
                <w:rFonts w:hint="default" w:ascii="宋体" w:hAnsi="Calibri" w:eastAsia="宋体" w:cs="Times New Roman"/>
                <w:snapToGrid/>
                <w:color w:val="auto"/>
                <w:kern w:val="0"/>
                <w:sz w:val="24"/>
                <w:szCs w:val="20"/>
                <w:highlight w:val="none"/>
                <w:u w:val="none"/>
                <w:lang w:val="en-US" w:eastAsia="zh-CN" w:bidi="ar-SA"/>
              </w:rPr>
            </w:pPr>
            <w:r>
              <w:rPr>
                <w:rFonts w:hint="eastAsia" w:ascii="宋体" w:hAnsi="宋体" w:eastAsia="宋体" w:cs="Times New Roman"/>
                <w:b w:val="0"/>
                <w:bCs w:val="0"/>
                <w:i w:val="0"/>
                <w:iCs w:val="0"/>
                <w:snapToGrid/>
                <w:color w:val="auto"/>
                <w:kern w:val="2"/>
                <w:sz w:val="21"/>
                <w:szCs w:val="21"/>
                <w:highlight w:val="none"/>
                <w:lang w:eastAsia="zh-CN"/>
              </w:rPr>
              <w:t>近三个年度财务信息以投标人提供的最新三年度（20</w:t>
            </w:r>
            <w:r>
              <w:rPr>
                <w:rFonts w:hint="eastAsia" w:ascii="宋体" w:hAnsi="宋体" w:eastAsia="宋体" w:cs="Times New Roman"/>
                <w:b w:val="0"/>
                <w:bCs w:val="0"/>
                <w:i w:val="0"/>
                <w:iCs w:val="0"/>
                <w:snapToGrid/>
                <w:color w:val="auto"/>
                <w:kern w:val="2"/>
                <w:sz w:val="21"/>
                <w:szCs w:val="21"/>
                <w:highlight w:val="none"/>
                <w:lang w:val="en-US" w:eastAsia="zh-CN"/>
              </w:rPr>
              <w:t>23</w:t>
            </w:r>
            <w:r>
              <w:rPr>
                <w:rFonts w:hint="eastAsia" w:ascii="宋体" w:hAnsi="宋体" w:eastAsia="宋体" w:cs="Times New Roman"/>
                <w:b w:val="0"/>
                <w:bCs w:val="0"/>
                <w:i w:val="0"/>
                <w:iCs w:val="0"/>
                <w:snapToGrid/>
                <w:color w:val="auto"/>
                <w:kern w:val="2"/>
                <w:sz w:val="21"/>
                <w:szCs w:val="21"/>
                <w:highlight w:val="none"/>
                <w:lang w:eastAsia="zh-CN"/>
              </w:rPr>
              <w:t>年、202</w:t>
            </w:r>
            <w:r>
              <w:rPr>
                <w:rFonts w:hint="eastAsia" w:ascii="宋体" w:hAnsi="宋体" w:eastAsia="宋体" w:cs="Times New Roman"/>
                <w:b w:val="0"/>
                <w:bCs w:val="0"/>
                <w:i w:val="0"/>
                <w:iCs w:val="0"/>
                <w:snapToGrid/>
                <w:color w:val="auto"/>
                <w:kern w:val="2"/>
                <w:sz w:val="21"/>
                <w:szCs w:val="21"/>
                <w:highlight w:val="none"/>
                <w:lang w:val="en-US" w:eastAsia="zh-CN"/>
              </w:rPr>
              <w:t>4</w:t>
            </w:r>
            <w:r>
              <w:rPr>
                <w:rFonts w:hint="eastAsia" w:ascii="宋体" w:hAnsi="宋体" w:eastAsia="宋体" w:cs="Times New Roman"/>
                <w:b w:val="0"/>
                <w:bCs w:val="0"/>
                <w:i w:val="0"/>
                <w:iCs w:val="0"/>
                <w:snapToGrid/>
                <w:color w:val="auto"/>
                <w:kern w:val="2"/>
                <w:sz w:val="21"/>
                <w:szCs w:val="21"/>
                <w:highlight w:val="none"/>
                <w:lang w:eastAsia="zh-CN"/>
              </w:rPr>
              <w:t>年、</w:t>
            </w:r>
            <w:r>
              <w:rPr>
                <w:rFonts w:hint="eastAsia" w:ascii="宋体" w:hAnsi="宋体" w:eastAsia="宋体" w:cs="Times New Roman"/>
                <w:b w:val="0"/>
                <w:bCs w:val="0"/>
                <w:i w:val="0"/>
                <w:iCs w:val="0"/>
                <w:snapToGrid/>
                <w:color w:val="auto"/>
                <w:kern w:val="2"/>
                <w:sz w:val="21"/>
                <w:szCs w:val="21"/>
                <w:highlight w:val="none"/>
                <w:lang w:val="en-US" w:eastAsia="zh-CN"/>
              </w:rPr>
              <w:t>2025</w:t>
            </w:r>
            <w:r>
              <w:rPr>
                <w:rFonts w:hint="eastAsia" w:ascii="宋体" w:hAnsi="宋体" w:eastAsia="宋体" w:cs="Times New Roman"/>
                <w:b w:val="0"/>
                <w:bCs w:val="0"/>
                <w:i w:val="0"/>
                <w:iCs w:val="0"/>
                <w:snapToGrid/>
                <w:color w:val="auto"/>
                <w:kern w:val="2"/>
                <w:sz w:val="21"/>
                <w:szCs w:val="21"/>
                <w:highlight w:val="none"/>
                <w:lang w:eastAsia="zh-CN"/>
              </w:rPr>
              <w:t>年）经会计师事务所或审计机构审计的财务审计意见（报告），主要提供（不限于）资产负债表、现金流量表、利润表的原件扫描件</w:t>
            </w:r>
            <w:r>
              <w:rPr>
                <w:rFonts w:hint="default" w:ascii="宋体" w:hAnsi="宋体" w:eastAsia="宋体" w:cs="Times New Roman"/>
                <w:b w:val="0"/>
                <w:bCs w:val="0"/>
                <w:i w:val="0"/>
                <w:iCs w:val="0"/>
                <w:snapToGrid/>
                <w:color w:val="auto"/>
                <w:kern w:val="2"/>
                <w:sz w:val="21"/>
                <w:szCs w:val="21"/>
                <w:highlight w:val="none"/>
                <w:lang w:eastAsia="zh-CN"/>
              </w:rPr>
              <w:t>。</w:t>
            </w:r>
            <w:r>
              <w:rPr>
                <w:rFonts w:hint="eastAsia" w:ascii="宋体" w:hAnsi="宋体" w:eastAsia="宋体" w:cs="Times New Roman"/>
                <w:b w:val="0"/>
                <w:bCs w:val="0"/>
                <w:i w:val="0"/>
                <w:iCs w:val="0"/>
                <w:snapToGrid/>
                <w:color w:val="auto"/>
                <w:kern w:val="2"/>
                <w:sz w:val="21"/>
                <w:szCs w:val="21"/>
                <w:highlight w:val="none"/>
                <w:lang w:eastAsia="zh-CN"/>
              </w:rPr>
              <w:t>（投标人的成立时间少于规定年份的，应提供成立以来的财务状况表。）</w:t>
            </w:r>
          </w:p>
        </w:tc>
      </w:tr>
    </w:tbl>
    <w:p w14:paraId="7135D1AE">
      <w:pPr>
        <w:widowControl w:val="0"/>
        <w:spacing w:line="360" w:lineRule="auto"/>
        <w:jc w:val="left"/>
        <w:rPr>
          <w:rFonts w:hint="eastAsia" w:ascii="宋体" w:hAnsi="宋体" w:eastAsia="宋体" w:cs="宋体"/>
          <w:color w:val="auto"/>
          <w:kern w:val="2"/>
          <w:sz w:val="24"/>
          <w:szCs w:val="24"/>
          <w:highlight w:val="none"/>
          <w:lang w:val="en-US" w:eastAsia="zh-CN" w:bidi="ar"/>
        </w:rPr>
      </w:pPr>
    </w:p>
    <w:p w14:paraId="679076CE">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szCs w:val="21"/>
          <w:highlight w:val="none"/>
          <w:lang w:eastAsia="zh-CN"/>
        </w:rPr>
      </w:pPr>
      <w:r>
        <w:rPr>
          <w:rFonts w:ascii="宋体" w:hAnsi="宋体" w:eastAsia="宋体" w:cs="Times New Roman"/>
          <w:snapToGrid/>
          <w:color w:val="auto"/>
          <w:kern w:val="2"/>
          <w:szCs w:val="21"/>
          <w:highlight w:val="none"/>
          <w:lang w:eastAsia="zh-CN"/>
        </w:rPr>
        <w:br w:type="page"/>
      </w:r>
    </w:p>
    <w:p w14:paraId="1CC3568E">
      <w:pPr>
        <w:widowControl w:val="0"/>
        <w:kinsoku/>
        <w:autoSpaceDE/>
        <w:autoSpaceDN/>
        <w:adjustRightInd/>
        <w:snapToGrid/>
        <w:spacing w:line="360" w:lineRule="auto"/>
        <w:ind w:firstLine="480" w:firstLineChars="200"/>
        <w:jc w:val="center"/>
        <w:textAlignment w:val="auto"/>
        <w:rPr>
          <w:rFonts w:hint="eastAsia" w:ascii="宋体" w:hAnsi="宋体" w:eastAsia="宋体" w:cs="Times New Roman"/>
          <w:snapToGrid/>
          <w:color w:val="auto"/>
          <w:kern w:val="2"/>
          <w:sz w:val="24"/>
          <w:szCs w:val="24"/>
          <w:highlight w:val="none"/>
          <w:lang w:eastAsia="zh-CN"/>
        </w:rPr>
      </w:pPr>
      <w:r>
        <w:rPr>
          <w:rFonts w:ascii="宋体" w:hAnsi="宋体" w:eastAsia="宋体" w:cs="Times New Roman"/>
          <w:snapToGrid/>
          <w:color w:val="auto"/>
          <w:kern w:val="2"/>
          <w:sz w:val="24"/>
          <w:szCs w:val="24"/>
          <w:highlight w:val="none"/>
          <w:lang w:eastAsia="zh-CN"/>
        </w:rPr>
        <w:t xml:space="preserve">附录 </w:t>
      </w:r>
      <w:r>
        <w:rPr>
          <w:rFonts w:hint="eastAsia" w:ascii="宋体" w:hAnsi="宋体" w:eastAsia="宋体" w:cs="Times New Roman"/>
          <w:snapToGrid/>
          <w:color w:val="auto"/>
          <w:kern w:val="2"/>
          <w:sz w:val="24"/>
          <w:szCs w:val="24"/>
          <w:highlight w:val="none"/>
          <w:lang w:val="en-US" w:eastAsia="zh-CN"/>
        </w:rPr>
        <w:t>3</w:t>
      </w:r>
      <w:r>
        <w:rPr>
          <w:rFonts w:ascii="宋体" w:hAnsi="宋体" w:eastAsia="宋体" w:cs="Times New Roman"/>
          <w:snapToGrid/>
          <w:color w:val="auto"/>
          <w:kern w:val="2"/>
          <w:sz w:val="24"/>
          <w:szCs w:val="24"/>
          <w:highlight w:val="none"/>
          <w:lang w:eastAsia="zh-CN"/>
        </w:rPr>
        <w:t xml:space="preserve"> 资格审查条件(信誉最低要求)</w:t>
      </w: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43"/>
      </w:tblGrid>
      <w:tr w14:paraId="0F091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5" w:hRule="atLeast"/>
        </w:trPr>
        <w:tc>
          <w:tcPr>
            <w:tcW w:w="9343" w:type="dxa"/>
            <w:noWrap w:val="0"/>
            <w:vAlign w:val="center"/>
          </w:tcPr>
          <w:p w14:paraId="73C872E1">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Times New Roman"/>
                <w:snapToGrid/>
                <w:color w:val="auto"/>
                <w:kern w:val="2"/>
                <w:sz w:val="21"/>
                <w:szCs w:val="21"/>
                <w:highlight w:val="none"/>
                <w:lang w:eastAsia="zh-CN"/>
              </w:rPr>
            </w:pPr>
            <w:r>
              <w:rPr>
                <w:rFonts w:hint="eastAsia" w:ascii="宋体" w:hAnsi="宋体" w:eastAsia="宋体" w:cs="Times New Roman"/>
                <w:snapToGrid/>
                <w:color w:val="auto"/>
                <w:kern w:val="2"/>
                <w:sz w:val="21"/>
                <w:szCs w:val="21"/>
                <w:highlight w:val="none"/>
                <w:lang w:eastAsia="zh-CN"/>
              </w:rPr>
              <w:t>信誉要求</w:t>
            </w:r>
          </w:p>
        </w:tc>
      </w:tr>
      <w:tr w14:paraId="1C58D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0" w:hRule="atLeast"/>
        </w:trPr>
        <w:tc>
          <w:tcPr>
            <w:tcW w:w="9343" w:type="dxa"/>
            <w:noWrap w:val="0"/>
            <w:vAlign w:val="top"/>
          </w:tcPr>
          <w:p w14:paraId="713CF29F">
            <w:pPr>
              <w:keepNext w:val="0"/>
              <w:keepLines w:val="0"/>
              <w:widowControl w:val="0"/>
              <w:suppressLineNumbers w:val="0"/>
              <w:kinsoku/>
              <w:autoSpaceDE/>
              <w:autoSpaceDN/>
              <w:adjustRightInd/>
              <w:snapToGrid/>
              <w:spacing w:before="0" w:beforeAutospacing="0" w:after="0" w:afterAutospacing="0" w:line="240" w:lineRule="auto"/>
              <w:ind w:left="0" w:right="0"/>
              <w:jc w:val="both"/>
              <w:textAlignment w:val="auto"/>
              <w:rPr>
                <w:rFonts w:hint="default" w:ascii="宋体" w:hAnsi="宋体" w:eastAsia="宋体" w:cs="Times New Roman"/>
                <w:snapToGrid/>
                <w:color w:val="auto"/>
                <w:kern w:val="2"/>
                <w:sz w:val="21"/>
                <w:szCs w:val="21"/>
                <w:highlight w:val="none"/>
                <w:lang w:eastAsia="zh-CN"/>
              </w:rPr>
            </w:pPr>
          </w:p>
          <w:p w14:paraId="264E9D20">
            <w:pPr>
              <w:keepNext w:val="0"/>
              <w:keepLines w:val="0"/>
              <w:widowControl/>
              <w:suppressLineNumbers w:val="0"/>
              <w:kinsoku/>
              <w:autoSpaceDE/>
              <w:autoSpaceDN/>
              <w:adjustRightInd/>
              <w:snapToGrid/>
              <w:spacing w:before="0" w:beforeAutospacing="0" w:after="0" w:afterAutospacing="0" w:line="360" w:lineRule="auto"/>
              <w:ind w:left="0" w:right="0" w:firstLine="420" w:firstLineChars="200"/>
              <w:jc w:val="left"/>
              <w:textAlignment w:val="auto"/>
              <w:rPr>
                <w:rFonts w:hint="default" w:ascii="宋体" w:hAnsi="宋体" w:eastAsia="宋体" w:cs="Times New Roman"/>
                <w:snapToGrid/>
                <w:color w:val="auto"/>
                <w:kern w:val="0"/>
                <w:sz w:val="21"/>
                <w:szCs w:val="21"/>
                <w:highlight w:val="none"/>
                <w:lang w:val="en-US" w:eastAsia="zh-CN"/>
              </w:rPr>
            </w:pPr>
            <w:r>
              <w:rPr>
                <w:rFonts w:hint="eastAsia" w:ascii="宋体" w:hAnsi="宋体" w:eastAsia="宋体" w:cs="Times New Roman"/>
                <w:snapToGrid/>
                <w:color w:val="auto"/>
                <w:kern w:val="0"/>
                <w:sz w:val="21"/>
                <w:szCs w:val="21"/>
                <w:highlight w:val="none"/>
                <w:lang w:val="en-US" w:eastAsia="zh-CN"/>
              </w:rPr>
              <w:t>除了“投标人须知”第1.4.4项规定的内容外，投标人还需满足以下信誉要求：</w:t>
            </w:r>
          </w:p>
          <w:p w14:paraId="424E77A1">
            <w:pPr>
              <w:keepNext w:val="0"/>
              <w:keepLines w:val="0"/>
              <w:widowControl w:val="0"/>
              <w:suppressLineNumbers w:val="0"/>
              <w:kinsoku/>
              <w:autoSpaceDE/>
              <w:autoSpaceDN/>
              <w:adjustRightInd/>
              <w:snapToGrid/>
              <w:spacing w:before="0" w:beforeAutospacing="0" w:after="0" w:afterAutospacing="0" w:line="240" w:lineRule="auto"/>
              <w:ind w:left="0" w:right="0" w:firstLine="420" w:firstLineChars="200"/>
              <w:jc w:val="both"/>
              <w:textAlignment w:val="auto"/>
              <w:rPr>
                <w:rFonts w:hint="default" w:ascii="宋体" w:hAnsi="宋体" w:eastAsia="宋体" w:cs="Times New Roman"/>
                <w:snapToGrid/>
                <w:color w:val="auto"/>
                <w:kern w:val="2"/>
                <w:sz w:val="21"/>
                <w:szCs w:val="21"/>
                <w:highlight w:val="none"/>
                <w:lang w:eastAsia="zh-CN"/>
              </w:rPr>
            </w:pPr>
            <w:r>
              <w:rPr>
                <w:rFonts w:hint="default" w:ascii="宋体" w:hAnsi="宋体" w:eastAsia="宋体" w:cs="Times New Roman"/>
                <w:snapToGrid/>
                <w:color w:val="auto"/>
                <w:kern w:val="2"/>
                <w:sz w:val="21"/>
                <w:szCs w:val="21"/>
                <w:highlight w:val="none"/>
                <w:lang w:eastAsia="zh-CN"/>
              </w:rPr>
              <w:t>在最新年度广东省水运工程从业单位（施工单位）信用评价（含无最新年度而上 一年度有信用评价）中，信用等级未被评为 D 级；初次进入广东省的投标人，在最新 年度的全国水运从业单位（施工单位）信用评价结果中未被评为 D 级。</w:t>
            </w:r>
          </w:p>
        </w:tc>
      </w:tr>
    </w:tbl>
    <w:p w14:paraId="7F01BD73">
      <w:pPr>
        <w:widowControl w:val="0"/>
        <w:kinsoku/>
        <w:autoSpaceDE/>
        <w:autoSpaceDN/>
        <w:adjustRightInd/>
        <w:snapToGrid/>
        <w:spacing w:line="360" w:lineRule="auto"/>
        <w:ind w:firstLine="480" w:firstLineChars="200"/>
        <w:jc w:val="center"/>
        <w:textAlignment w:val="auto"/>
        <w:rPr>
          <w:rFonts w:ascii="宋体" w:hAnsi="宋体" w:eastAsia="宋体" w:cs="Times New Roman"/>
          <w:snapToGrid/>
          <w:color w:val="auto"/>
          <w:kern w:val="2"/>
          <w:sz w:val="24"/>
          <w:szCs w:val="24"/>
          <w:highlight w:val="none"/>
          <w:lang w:eastAsia="zh-CN"/>
        </w:rPr>
      </w:pPr>
    </w:p>
    <w:p w14:paraId="33A17E25">
      <w:pPr>
        <w:widowControl w:val="0"/>
        <w:kinsoku/>
        <w:autoSpaceDE/>
        <w:autoSpaceDN/>
        <w:adjustRightInd/>
        <w:snapToGrid/>
        <w:spacing w:line="360" w:lineRule="auto"/>
        <w:ind w:firstLine="480" w:firstLineChars="200"/>
        <w:jc w:val="center"/>
        <w:textAlignment w:val="auto"/>
        <w:rPr>
          <w:rFonts w:ascii="宋体" w:hAnsi="宋体" w:eastAsia="宋体" w:cs="Times New Roman"/>
          <w:snapToGrid/>
          <w:color w:val="auto"/>
          <w:kern w:val="2"/>
          <w:sz w:val="24"/>
          <w:szCs w:val="24"/>
          <w:highlight w:val="none"/>
          <w:lang w:eastAsia="zh-CN"/>
        </w:rPr>
      </w:pPr>
    </w:p>
    <w:p w14:paraId="6C7F3983">
      <w:pPr>
        <w:widowControl w:val="0"/>
        <w:kinsoku/>
        <w:autoSpaceDE/>
        <w:autoSpaceDN/>
        <w:adjustRightInd/>
        <w:snapToGrid/>
        <w:spacing w:line="360" w:lineRule="auto"/>
        <w:ind w:firstLine="480" w:firstLineChars="200"/>
        <w:jc w:val="center"/>
        <w:textAlignment w:val="auto"/>
        <w:rPr>
          <w:rFonts w:ascii="宋体" w:hAnsi="宋体" w:eastAsia="宋体" w:cs="Times New Roman"/>
          <w:snapToGrid/>
          <w:color w:val="auto"/>
          <w:kern w:val="2"/>
          <w:sz w:val="24"/>
          <w:szCs w:val="24"/>
          <w:highlight w:val="none"/>
          <w:lang w:eastAsia="zh-CN"/>
        </w:rPr>
      </w:pPr>
    </w:p>
    <w:p w14:paraId="773DC1D4">
      <w:pPr>
        <w:widowControl w:val="0"/>
        <w:kinsoku/>
        <w:autoSpaceDE/>
        <w:autoSpaceDN/>
        <w:adjustRightInd/>
        <w:snapToGrid/>
        <w:spacing w:line="360" w:lineRule="auto"/>
        <w:ind w:firstLine="480" w:firstLineChars="200"/>
        <w:jc w:val="center"/>
        <w:textAlignment w:val="auto"/>
        <w:rPr>
          <w:rFonts w:hint="eastAsia" w:ascii="宋体" w:hAnsi="宋体" w:eastAsia="宋体" w:cs="Times New Roman"/>
          <w:snapToGrid/>
          <w:color w:val="auto"/>
          <w:kern w:val="2"/>
          <w:sz w:val="24"/>
          <w:szCs w:val="24"/>
          <w:highlight w:val="none"/>
          <w:lang w:eastAsia="zh-CN"/>
        </w:rPr>
      </w:pPr>
      <w:r>
        <w:rPr>
          <w:rFonts w:ascii="宋体" w:hAnsi="宋体" w:eastAsia="宋体" w:cs="Times New Roman"/>
          <w:snapToGrid/>
          <w:color w:val="auto"/>
          <w:kern w:val="2"/>
          <w:sz w:val="24"/>
          <w:szCs w:val="24"/>
          <w:highlight w:val="none"/>
          <w:lang w:eastAsia="zh-CN"/>
        </w:rPr>
        <w:t xml:space="preserve">附录 </w:t>
      </w:r>
      <w:r>
        <w:rPr>
          <w:rFonts w:hint="eastAsia" w:ascii="宋体" w:hAnsi="宋体" w:eastAsia="宋体" w:cs="Times New Roman"/>
          <w:snapToGrid/>
          <w:color w:val="auto"/>
          <w:kern w:val="2"/>
          <w:sz w:val="24"/>
          <w:szCs w:val="24"/>
          <w:highlight w:val="none"/>
          <w:lang w:val="en-US" w:eastAsia="zh-CN"/>
        </w:rPr>
        <w:t>4</w:t>
      </w:r>
      <w:r>
        <w:rPr>
          <w:rFonts w:ascii="宋体" w:hAnsi="宋体" w:eastAsia="宋体" w:cs="Times New Roman"/>
          <w:snapToGrid/>
          <w:color w:val="auto"/>
          <w:kern w:val="2"/>
          <w:sz w:val="24"/>
          <w:szCs w:val="24"/>
          <w:highlight w:val="none"/>
          <w:lang w:eastAsia="zh-CN"/>
        </w:rPr>
        <w:t xml:space="preserve"> 资格审查条件(</w:t>
      </w:r>
      <w:r>
        <w:rPr>
          <w:rFonts w:hint="eastAsia" w:ascii="宋体" w:hAnsi="宋体" w:eastAsia="宋体" w:cs="Times New Roman"/>
          <w:snapToGrid/>
          <w:color w:val="auto"/>
          <w:kern w:val="2"/>
          <w:sz w:val="24"/>
          <w:szCs w:val="24"/>
          <w:highlight w:val="none"/>
          <w:lang w:eastAsia="zh-CN"/>
        </w:rPr>
        <w:t>项目负责人</w:t>
      </w:r>
      <w:r>
        <w:rPr>
          <w:rFonts w:ascii="宋体" w:hAnsi="宋体" w:eastAsia="宋体" w:cs="Times New Roman"/>
          <w:snapToGrid/>
          <w:color w:val="auto"/>
          <w:kern w:val="2"/>
          <w:sz w:val="24"/>
          <w:szCs w:val="24"/>
          <w:highlight w:val="none"/>
          <w:lang w:eastAsia="zh-CN"/>
        </w:rPr>
        <w:t>和</w:t>
      </w:r>
      <w:r>
        <w:rPr>
          <w:rFonts w:hint="eastAsia" w:ascii="宋体" w:hAnsi="宋体" w:eastAsia="宋体" w:cs="Times New Roman"/>
          <w:snapToGrid/>
          <w:color w:val="auto"/>
          <w:kern w:val="2"/>
          <w:sz w:val="24"/>
          <w:szCs w:val="24"/>
          <w:highlight w:val="none"/>
          <w:lang w:eastAsia="zh-CN"/>
        </w:rPr>
        <w:t>项目技术负责人</w:t>
      </w:r>
      <w:r>
        <w:rPr>
          <w:rFonts w:ascii="宋体" w:hAnsi="宋体" w:eastAsia="宋体" w:cs="Times New Roman"/>
          <w:snapToGrid/>
          <w:color w:val="auto"/>
          <w:kern w:val="2"/>
          <w:sz w:val="24"/>
          <w:szCs w:val="24"/>
          <w:highlight w:val="none"/>
          <w:lang w:eastAsia="zh-CN"/>
        </w:rPr>
        <w:t>最低要求)</w:t>
      </w:r>
    </w:p>
    <w:tbl>
      <w:tblPr>
        <w:tblStyle w:val="10"/>
        <w:tblW w:w="934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94"/>
        <w:gridCol w:w="932"/>
        <w:gridCol w:w="4281"/>
        <w:gridCol w:w="2336"/>
      </w:tblGrid>
      <w:tr w14:paraId="34B17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94" w:type="dxa"/>
            <w:noWrap w:val="0"/>
            <w:vAlign w:val="center"/>
          </w:tcPr>
          <w:p w14:paraId="6B3EAB45">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Times New Roman"/>
                <w:b/>
                <w:bCs/>
                <w:snapToGrid/>
                <w:color w:val="auto"/>
                <w:kern w:val="2"/>
                <w:sz w:val="24"/>
                <w:szCs w:val="24"/>
                <w:highlight w:val="none"/>
                <w:lang w:eastAsia="zh-CN"/>
              </w:rPr>
            </w:pPr>
            <w:r>
              <w:rPr>
                <w:rFonts w:hint="eastAsia" w:ascii="宋体" w:hAnsi="宋体" w:eastAsia="宋体" w:cs="Times New Roman"/>
                <w:b/>
                <w:bCs/>
                <w:snapToGrid/>
                <w:color w:val="auto"/>
                <w:kern w:val="2"/>
                <w:sz w:val="24"/>
                <w:szCs w:val="24"/>
                <w:highlight w:val="none"/>
                <w:lang w:eastAsia="zh-CN"/>
              </w:rPr>
              <w:t>人员</w:t>
            </w:r>
          </w:p>
        </w:tc>
        <w:tc>
          <w:tcPr>
            <w:tcW w:w="932" w:type="dxa"/>
            <w:noWrap w:val="0"/>
            <w:vAlign w:val="center"/>
          </w:tcPr>
          <w:p w14:paraId="50BFAC6D">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Times New Roman"/>
                <w:b/>
                <w:bCs/>
                <w:snapToGrid/>
                <w:color w:val="auto"/>
                <w:kern w:val="2"/>
                <w:sz w:val="24"/>
                <w:szCs w:val="24"/>
                <w:highlight w:val="none"/>
                <w:lang w:eastAsia="zh-CN"/>
              </w:rPr>
            </w:pPr>
            <w:r>
              <w:rPr>
                <w:rFonts w:hint="eastAsia" w:ascii="宋体" w:hAnsi="宋体" w:eastAsia="宋体" w:cs="Times New Roman"/>
                <w:b/>
                <w:bCs/>
                <w:snapToGrid/>
                <w:color w:val="auto"/>
                <w:kern w:val="2"/>
                <w:sz w:val="24"/>
                <w:szCs w:val="24"/>
                <w:highlight w:val="none"/>
                <w:lang w:eastAsia="zh-CN"/>
              </w:rPr>
              <w:t>数量</w:t>
            </w:r>
          </w:p>
        </w:tc>
        <w:tc>
          <w:tcPr>
            <w:tcW w:w="4281" w:type="dxa"/>
            <w:noWrap w:val="0"/>
            <w:vAlign w:val="center"/>
          </w:tcPr>
          <w:p w14:paraId="5968A0DE">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Times New Roman"/>
                <w:b/>
                <w:bCs/>
                <w:snapToGrid/>
                <w:color w:val="auto"/>
                <w:kern w:val="2"/>
                <w:sz w:val="24"/>
                <w:szCs w:val="24"/>
                <w:highlight w:val="none"/>
                <w:lang w:eastAsia="zh-CN"/>
              </w:rPr>
            </w:pPr>
            <w:r>
              <w:rPr>
                <w:rFonts w:hint="eastAsia" w:ascii="宋体" w:hAnsi="宋体" w:eastAsia="宋体" w:cs="Times New Roman"/>
                <w:b/>
                <w:bCs/>
                <w:snapToGrid/>
                <w:color w:val="auto"/>
                <w:kern w:val="2"/>
                <w:sz w:val="24"/>
                <w:szCs w:val="24"/>
                <w:highlight w:val="none"/>
                <w:lang w:eastAsia="zh-CN"/>
              </w:rPr>
              <w:t>资格要求</w:t>
            </w:r>
          </w:p>
        </w:tc>
        <w:tc>
          <w:tcPr>
            <w:tcW w:w="2336" w:type="dxa"/>
            <w:noWrap w:val="0"/>
            <w:vAlign w:val="center"/>
          </w:tcPr>
          <w:p w14:paraId="244C38D9">
            <w:pPr>
              <w:keepNext w:val="0"/>
              <w:keepLines w:val="0"/>
              <w:widowControl w:val="0"/>
              <w:suppressLineNumbers w:val="0"/>
              <w:kinsoku/>
              <w:autoSpaceDE/>
              <w:autoSpaceDN/>
              <w:adjustRightInd/>
              <w:snapToGrid/>
              <w:spacing w:before="0" w:beforeAutospacing="0" w:after="0" w:afterAutospacing="0" w:line="360" w:lineRule="auto"/>
              <w:ind w:left="0" w:right="0"/>
              <w:jc w:val="center"/>
              <w:textAlignment w:val="auto"/>
              <w:rPr>
                <w:rFonts w:hint="default" w:ascii="宋体" w:hAnsi="宋体" w:eastAsia="宋体" w:cs="Times New Roman"/>
                <w:b/>
                <w:bCs/>
                <w:snapToGrid/>
                <w:color w:val="auto"/>
                <w:kern w:val="2"/>
                <w:sz w:val="24"/>
                <w:szCs w:val="24"/>
                <w:highlight w:val="none"/>
                <w:lang w:eastAsia="zh-CN"/>
              </w:rPr>
            </w:pPr>
            <w:r>
              <w:rPr>
                <w:rFonts w:hint="eastAsia" w:ascii="宋体" w:hAnsi="宋体" w:eastAsia="宋体" w:cs="Times New Roman"/>
                <w:b/>
                <w:bCs/>
                <w:snapToGrid/>
                <w:color w:val="auto"/>
                <w:kern w:val="2"/>
                <w:sz w:val="24"/>
                <w:szCs w:val="24"/>
                <w:highlight w:val="none"/>
                <w:lang w:eastAsia="zh-CN"/>
              </w:rPr>
              <w:t>在岗要求</w:t>
            </w:r>
          </w:p>
        </w:tc>
      </w:tr>
      <w:tr w14:paraId="411C2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7" w:hRule="atLeast"/>
        </w:trPr>
        <w:tc>
          <w:tcPr>
            <w:tcW w:w="1794" w:type="dxa"/>
            <w:noWrap w:val="0"/>
            <w:vAlign w:val="center"/>
          </w:tcPr>
          <w:p w14:paraId="48869552">
            <w:pPr>
              <w:keepNext w:val="0"/>
              <w:keepLines w:val="0"/>
              <w:widowControl w:val="0"/>
              <w:suppressLineNumbers w:val="0"/>
              <w:spacing w:before="78" w:beforeAutospacing="0" w:after="0" w:afterAutospacing="0" w:line="219" w:lineRule="auto"/>
              <w:ind w:left="0" w:right="0"/>
              <w:jc w:val="both"/>
              <w:rPr>
                <w:rFonts w:hint="default" w:ascii="宋体" w:hAnsi="宋体" w:eastAsia="宋体" w:cs="Times New Roman"/>
                <w:color w:val="auto"/>
                <w:kern w:val="2"/>
                <w:sz w:val="20"/>
                <w:szCs w:val="21"/>
                <w:highlight w:val="none"/>
                <w:lang w:val="en-US" w:eastAsia="zh-CN" w:bidi="ar-SA"/>
              </w:rPr>
            </w:pPr>
            <w:r>
              <w:rPr>
                <w:rFonts w:hint="default" w:ascii="宋体" w:hAnsi="宋体" w:eastAsia="宋体" w:cs="宋体"/>
                <w:spacing w:val="-3"/>
                <w:kern w:val="2"/>
                <w:sz w:val="24"/>
                <w:szCs w:val="24"/>
                <w:lang w:val="en-US" w:eastAsia="en-US" w:bidi="ar-SA"/>
              </w:rPr>
              <w:t>项目负责人</w:t>
            </w:r>
          </w:p>
        </w:tc>
        <w:tc>
          <w:tcPr>
            <w:tcW w:w="932" w:type="dxa"/>
            <w:noWrap w:val="0"/>
            <w:vAlign w:val="center"/>
          </w:tcPr>
          <w:p w14:paraId="7FC9EFA6">
            <w:pPr>
              <w:keepNext w:val="0"/>
              <w:keepLines w:val="0"/>
              <w:widowControl w:val="0"/>
              <w:suppressLineNumbers w:val="0"/>
              <w:kinsoku/>
              <w:autoSpaceDE/>
              <w:autoSpaceDN/>
              <w:adjustRightInd/>
              <w:snapToGrid/>
              <w:spacing w:before="0" w:beforeAutospacing="0" w:after="0" w:afterAutospacing="0" w:line="270" w:lineRule="auto"/>
              <w:ind w:left="0" w:right="0"/>
              <w:jc w:val="both"/>
              <w:textAlignment w:val="auto"/>
              <w:rPr>
                <w:rFonts w:hint="default" w:ascii="Arial" w:hAnsi="Times New Roman" w:eastAsia="宋体" w:cs="Times New Roman"/>
                <w:snapToGrid/>
                <w:kern w:val="2"/>
                <w:sz w:val="21"/>
                <w:szCs w:val="24"/>
                <w:lang w:eastAsia="zh-CN"/>
              </w:rPr>
            </w:pPr>
          </w:p>
          <w:p w14:paraId="640D7E97">
            <w:pPr>
              <w:keepNext w:val="0"/>
              <w:keepLines w:val="0"/>
              <w:widowControl w:val="0"/>
              <w:suppressLineNumbers w:val="0"/>
              <w:kinsoku/>
              <w:autoSpaceDE/>
              <w:autoSpaceDN/>
              <w:adjustRightInd/>
              <w:snapToGrid/>
              <w:spacing w:before="0" w:beforeAutospacing="0" w:after="0" w:afterAutospacing="0" w:line="270" w:lineRule="auto"/>
              <w:ind w:left="0" w:right="0"/>
              <w:jc w:val="center"/>
              <w:textAlignment w:val="auto"/>
              <w:rPr>
                <w:rFonts w:hint="eastAsia" w:ascii="Arial" w:hAnsi="Times New Roman" w:eastAsia="宋体" w:cs="Times New Roman"/>
                <w:snapToGrid/>
                <w:kern w:val="2"/>
                <w:sz w:val="21"/>
                <w:szCs w:val="24"/>
                <w:lang w:val="en-US" w:eastAsia="zh-CN"/>
              </w:rPr>
            </w:pPr>
            <w:r>
              <w:rPr>
                <w:rFonts w:hint="eastAsia" w:ascii="Arial" w:hAnsi="Times New Roman" w:eastAsia="宋体" w:cs="Times New Roman"/>
                <w:snapToGrid/>
                <w:kern w:val="2"/>
                <w:sz w:val="21"/>
                <w:szCs w:val="24"/>
                <w:lang w:val="en-US" w:eastAsia="zh-CN"/>
              </w:rPr>
              <w:t>1</w:t>
            </w:r>
          </w:p>
          <w:p w14:paraId="496B88E4">
            <w:pPr>
              <w:keepNext w:val="0"/>
              <w:keepLines w:val="0"/>
              <w:widowControl w:val="0"/>
              <w:suppressLineNumbers w:val="0"/>
              <w:spacing w:before="78" w:beforeAutospacing="0" w:after="0" w:afterAutospacing="0" w:line="241" w:lineRule="auto"/>
              <w:ind w:left="622" w:leftChars="0" w:right="0"/>
              <w:jc w:val="center"/>
              <w:rPr>
                <w:rFonts w:hint="default" w:ascii="宋体" w:hAnsi="宋体" w:eastAsia="宋体" w:cs="Times New Roman"/>
                <w:color w:val="auto"/>
                <w:kern w:val="2"/>
                <w:sz w:val="20"/>
                <w:szCs w:val="21"/>
                <w:highlight w:val="none"/>
                <w:lang w:val="en-US" w:eastAsia="en-US" w:bidi="ar-SA"/>
              </w:rPr>
            </w:pPr>
          </w:p>
        </w:tc>
        <w:tc>
          <w:tcPr>
            <w:tcW w:w="4281" w:type="dxa"/>
            <w:noWrap w:val="0"/>
            <w:vAlign w:val="center"/>
          </w:tcPr>
          <w:p w14:paraId="5E896450">
            <w:pPr>
              <w:keepNext w:val="0"/>
              <w:keepLines w:val="0"/>
              <w:widowControl w:val="0"/>
              <w:suppressLineNumbers w:val="0"/>
              <w:spacing w:before="39" w:beforeAutospacing="0" w:after="0" w:afterAutospacing="0" w:line="354" w:lineRule="auto"/>
              <w:ind w:left="231" w:leftChars="0" w:right="103" w:rightChars="0" w:firstLine="5" w:firstLineChars="0"/>
              <w:jc w:val="center"/>
              <w:rPr>
                <w:rFonts w:hint="default" w:ascii="宋体" w:hAnsi="宋体" w:eastAsia="宋体" w:cs="Times New Roman"/>
                <w:color w:val="auto"/>
                <w:kern w:val="2"/>
                <w:sz w:val="21"/>
                <w:szCs w:val="24"/>
                <w:highlight w:val="none"/>
                <w:lang w:val="en-US" w:eastAsia="zh-CN" w:bidi="ar-SA"/>
              </w:rPr>
            </w:pPr>
            <w:r>
              <w:rPr>
                <w:rFonts w:hint="default" w:ascii="宋体" w:hAnsi="宋体" w:eastAsia="宋体" w:cs="Times New Roman"/>
                <w:color w:val="auto"/>
                <w:kern w:val="2"/>
                <w:sz w:val="21"/>
                <w:szCs w:val="24"/>
                <w:highlight w:val="none"/>
                <w:lang w:val="en-US" w:eastAsia="zh-CN" w:bidi="ar-SA"/>
              </w:rPr>
              <w:t>具有港口与航道工程</w:t>
            </w:r>
            <w:r>
              <w:rPr>
                <w:rFonts w:hint="eastAsia" w:ascii="宋体" w:hAnsi="宋体" w:eastAsia="宋体" w:cs="Times New Roman"/>
                <w:color w:val="auto"/>
                <w:kern w:val="2"/>
                <w:sz w:val="21"/>
                <w:szCs w:val="24"/>
                <w:highlight w:val="none"/>
                <w:lang w:val="en-US" w:eastAsia="zh-CN" w:bidi="ar-SA"/>
              </w:rPr>
              <w:t>类</w:t>
            </w:r>
            <w:r>
              <w:rPr>
                <w:rFonts w:hint="default" w:ascii="宋体" w:hAnsi="宋体" w:eastAsia="宋体" w:cs="Times New Roman"/>
                <w:color w:val="auto"/>
                <w:kern w:val="2"/>
                <w:sz w:val="21"/>
                <w:szCs w:val="24"/>
                <w:highlight w:val="none"/>
                <w:lang w:val="en-US" w:eastAsia="zh-CN" w:bidi="ar-SA"/>
              </w:rPr>
              <w:t>专业</w:t>
            </w:r>
            <w:r>
              <w:rPr>
                <w:rFonts w:hint="eastAsia" w:ascii="宋体" w:hAnsi="宋体" w:eastAsia="宋体" w:cs="Times New Roman"/>
                <w:color w:val="auto"/>
                <w:kern w:val="2"/>
                <w:sz w:val="21"/>
                <w:szCs w:val="24"/>
                <w:highlight w:val="none"/>
                <w:lang w:val="en-US" w:eastAsia="zh-CN" w:bidi="ar-SA"/>
              </w:rPr>
              <w:t>二</w:t>
            </w:r>
            <w:r>
              <w:rPr>
                <w:rFonts w:hint="default" w:ascii="宋体" w:hAnsi="宋体" w:eastAsia="宋体" w:cs="Times New Roman"/>
                <w:color w:val="auto"/>
                <w:kern w:val="2"/>
                <w:sz w:val="21"/>
                <w:szCs w:val="24"/>
                <w:highlight w:val="none"/>
                <w:lang w:val="en-US" w:eastAsia="zh-CN" w:bidi="ar-SA"/>
              </w:rPr>
              <w:t>级</w:t>
            </w:r>
            <w:r>
              <w:rPr>
                <w:rFonts w:hint="eastAsia" w:ascii="宋体" w:hAnsi="宋体" w:eastAsia="宋体" w:cs="Times New Roman"/>
                <w:color w:val="auto"/>
                <w:kern w:val="2"/>
                <w:sz w:val="21"/>
                <w:szCs w:val="24"/>
                <w:highlight w:val="none"/>
                <w:lang w:val="en-US" w:eastAsia="zh-CN" w:bidi="ar-SA"/>
              </w:rPr>
              <w:t>及以上</w:t>
            </w:r>
            <w:r>
              <w:rPr>
                <w:rFonts w:hint="default" w:ascii="宋体" w:hAnsi="宋体" w:eastAsia="宋体" w:cs="Times New Roman"/>
                <w:color w:val="auto"/>
                <w:kern w:val="2"/>
                <w:sz w:val="21"/>
                <w:szCs w:val="24"/>
                <w:highlight w:val="none"/>
                <w:lang w:val="en-US" w:eastAsia="zh-CN" w:bidi="ar-SA"/>
              </w:rPr>
              <w:t>注册建造师注册证书，具有交通行政主管部门颁发的有效的安全生产考核合格证书（B证）。</w:t>
            </w:r>
          </w:p>
        </w:tc>
        <w:tc>
          <w:tcPr>
            <w:tcW w:w="2336" w:type="dxa"/>
            <w:vMerge w:val="restart"/>
            <w:noWrap w:val="0"/>
            <w:vAlign w:val="center"/>
          </w:tcPr>
          <w:p w14:paraId="74ED0CB4">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Times New Roman"/>
                <w:snapToGrid/>
                <w:color w:val="auto"/>
                <w:kern w:val="2"/>
                <w:sz w:val="24"/>
                <w:szCs w:val="24"/>
                <w:highlight w:val="none"/>
                <w:lang w:eastAsia="zh-CN"/>
              </w:rPr>
            </w:pPr>
            <w:r>
              <w:rPr>
                <w:rFonts w:hint="default" w:ascii="宋体" w:hAnsi="宋体" w:eastAsia="宋体" w:cs="Times New Roman"/>
                <w:snapToGrid/>
                <w:color w:val="auto"/>
                <w:kern w:val="2"/>
                <w:szCs w:val="24"/>
                <w:highlight w:val="none"/>
                <w:lang w:eastAsia="zh-CN"/>
              </w:rPr>
              <w:t>无在岗项目（指目前未在其他项目上任职，或虽在其他项目上任职但本项目中标后能够从该项目撤离</w:t>
            </w:r>
            <w:r>
              <w:rPr>
                <w:rFonts w:hint="eastAsia" w:ascii="宋体" w:hAnsi="宋体" w:eastAsia="宋体" w:cs="Times New Roman"/>
                <w:snapToGrid/>
                <w:color w:val="auto"/>
                <w:kern w:val="2"/>
                <w:szCs w:val="24"/>
                <w:highlight w:val="none"/>
                <w:lang w:eastAsia="zh-CN"/>
              </w:rPr>
              <w:t>）</w:t>
            </w:r>
          </w:p>
        </w:tc>
      </w:tr>
      <w:tr w14:paraId="65BDF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8" w:hRule="atLeast"/>
        </w:trPr>
        <w:tc>
          <w:tcPr>
            <w:tcW w:w="1794" w:type="dxa"/>
            <w:noWrap w:val="0"/>
            <w:vAlign w:val="center"/>
          </w:tcPr>
          <w:p w14:paraId="241A817C">
            <w:pPr>
              <w:keepNext w:val="0"/>
              <w:keepLines w:val="0"/>
              <w:widowControl w:val="0"/>
              <w:suppressLineNumbers w:val="0"/>
              <w:spacing w:before="78" w:beforeAutospacing="0" w:after="0" w:afterAutospacing="0" w:line="219" w:lineRule="auto"/>
              <w:ind w:left="0" w:right="0"/>
              <w:jc w:val="both"/>
              <w:rPr>
                <w:rFonts w:hint="default" w:ascii="宋体" w:hAnsi="宋体" w:eastAsia="宋体" w:cs="宋体"/>
                <w:spacing w:val="-4"/>
                <w:kern w:val="2"/>
                <w:sz w:val="24"/>
                <w:szCs w:val="24"/>
                <w:lang w:val="en-US" w:eastAsia="en-US" w:bidi="ar-SA"/>
              </w:rPr>
            </w:pPr>
            <w:r>
              <w:rPr>
                <w:rFonts w:hint="default" w:ascii="宋体" w:hAnsi="宋体" w:eastAsia="宋体" w:cs="宋体"/>
                <w:spacing w:val="-4"/>
                <w:kern w:val="2"/>
                <w:sz w:val="24"/>
                <w:szCs w:val="24"/>
                <w:lang w:val="en-US" w:eastAsia="en-US" w:bidi="ar-SA"/>
              </w:rPr>
              <w:t>项目技术</w:t>
            </w:r>
          </w:p>
          <w:p w14:paraId="410F054B">
            <w:pPr>
              <w:keepNext w:val="0"/>
              <w:keepLines w:val="0"/>
              <w:widowControl w:val="0"/>
              <w:suppressLineNumbers w:val="0"/>
              <w:spacing w:before="78" w:beforeAutospacing="0" w:after="0" w:afterAutospacing="0" w:line="219" w:lineRule="auto"/>
              <w:ind w:left="0" w:right="0"/>
              <w:jc w:val="both"/>
              <w:rPr>
                <w:rFonts w:hint="default" w:ascii="宋体" w:hAnsi="宋体" w:eastAsia="宋体" w:cs="Times New Roman"/>
                <w:color w:val="auto"/>
                <w:kern w:val="2"/>
                <w:sz w:val="20"/>
                <w:szCs w:val="21"/>
                <w:highlight w:val="none"/>
                <w:lang w:val="en-US" w:eastAsia="zh-CN" w:bidi="ar-SA"/>
              </w:rPr>
            </w:pPr>
            <w:r>
              <w:rPr>
                <w:rFonts w:hint="default" w:ascii="宋体" w:hAnsi="宋体" w:eastAsia="宋体" w:cs="宋体"/>
                <w:spacing w:val="-7"/>
                <w:kern w:val="2"/>
                <w:sz w:val="24"/>
                <w:szCs w:val="24"/>
                <w:lang w:val="en-US" w:eastAsia="en-US" w:bidi="ar-SA"/>
              </w:rPr>
              <w:t>负责人</w:t>
            </w:r>
          </w:p>
        </w:tc>
        <w:tc>
          <w:tcPr>
            <w:tcW w:w="932" w:type="dxa"/>
            <w:noWrap w:val="0"/>
            <w:vAlign w:val="center"/>
          </w:tcPr>
          <w:p w14:paraId="1979DCFD">
            <w:pPr>
              <w:keepNext w:val="0"/>
              <w:keepLines w:val="0"/>
              <w:widowControl w:val="0"/>
              <w:suppressLineNumbers w:val="0"/>
              <w:kinsoku/>
              <w:autoSpaceDE/>
              <w:autoSpaceDN/>
              <w:adjustRightInd/>
              <w:snapToGrid/>
              <w:spacing w:before="0" w:beforeAutospacing="0" w:after="0" w:afterAutospacing="0" w:line="296" w:lineRule="auto"/>
              <w:ind w:left="0" w:right="0"/>
              <w:jc w:val="both"/>
              <w:textAlignment w:val="auto"/>
              <w:rPr>
                <w:rFonts w:hint="default" w:ascii="Arial" w:hAnsi="Times New Roman" w:eastAsia="宋体" w:cs="Times New Roman"/>
                <w:snapToGrid/>
                <w:kern w:val="2"/>
                <w:sz w:val="21"/>
                <w:szCs w:val="24"/>
                <w:lang w:eastAsia="zh-CN"/>
              </w:rPr>
            </w:pPr>
          </w:p>
          <w:p w14:paraId="58DBC590">
            <w:pPr>
              <w:keepNext w:val="0"/>
              <w:keepLines w:val="0"/>
              <w:widowControl w:val="0"/>
              <w:suppressLineNumbers w:val="0"/>
              <w:kinsoku/>
              <w:autoSpaceDE/>
              <w:autoSpaceDN/>
              <w:adjustRightInd/>
              <w:snapToGrid/>
              <w:spacing w:before="0" w:beforeAutospacing="0" w:after="0" w:afterAutospacing="0" w:line="296" w:lineRule="auto"/>
              <w:ind w:left="0" w:right="0"/>
              <w:jc w:val="center"/>
              <w:textAlignment w:val="auto"/>
              <w:rPr>
                <w:rFonts w:hint="eastAsia" w:ascii="Arial" w:hAnsi="Times New Roman" w:eastAsia="宋体" w:cs="Times New Roman"/>
                <w:snapToGrid/>
                <w:kern w:val="2"/>
                <w:sz w:val="21"/>
                <w:szCs w:val="24"/>
                <w:lang w:val="en-US" w:eastAsia="zh-CN"/>
              </w:rPr>
            </w:pPr>
            <w:r>
              <w:rPr>
                <w:rFonts w:hint="eastAsia" w:ascii="Arial" w:hAnsi="Times New Roman" w:eastAsia="宋体" w:cs="Times New Roman"/>
                <w:snapToGrid/>
                <w:kern w:val="2"/>
                <w:sz w:val="21"/>
                <w:szCs w:val="24"/>
                <w:lang w:val="en-US" w:eastAsia="zh-CN"/>
              </w:rPr>
              <w:t>1</w:t>
            </w:r>
          </w:p>
          <w:p w14:paraId="14FC0A09">
            <w:pPr>
              <w:keepNext w:val="0"/>
              <w:keepLines w:val="0"/>
              <w:widowControl w:val="0"/>
              <w:suppressLineNumbers w:val="0"/>
              <w:spacing w:before="78" w:beforeAutospacing="0" w:after="0" w:afterAutospacing="0" w:line="241" w:lineRule="auto"/>
              <w:ind w:left="622" w:leftChars="0" w:right="0"/>
              <w:jc w:val="center"/>
              <w:rPr>
                <w:rFonts w:hint="default" w:ascii="宋体" w:hAnsi="宋体" w:eastAsia="宋体" w:cs="Times New Roman"/>
                <w:color w:val="auto"/>
                <w:kern w:val="2"/>
                <w:sz w:val="20"/>
                <w:szCs w:val="21"/>
                <w:highlight w:val="none"/>
                <w:lang w:val="en-US" w:eastAsia="en-US" w:bidi="ar-SA"/>
              </w:rPr>
            </w:pPr>
          </w:p>
        </w:tc>
        <w:tc>
          <w:tcPr>
            <w:tcW w:w="4281" w:type="dxa"/>
            <w:noWrap w:val="0"/>
            <w:vAlign w:val="center"/>
          </w:tcPr>
          <w:p w14:paraId="06802D95">
            <w:pPr>
              <w:keepNext w:val="0"/>
              <w:keepLines w:val="0"/>
              <w:widowControl w:val="0"/>
              <w:suppressLineNumbers w:val="0"/>
              <w:spacing w:before="37" w:beforeAutospacing="0" w:after="0" w:afterAutospacing="0" w:line="353" w:lineRule="auto"/>
              <w:ind w:left="233" w:leftChars="0" w:right="41" w:rightChars="0" w:firstLine="3" w:firstLineChars="0"/>
              <w:jc w:val="center"/>
              <w:rPr>
                <w:rFonts w:hint="default" w:ascii="宋体" w:hAnsi="宋体" w:eastAsia="宋体" w:cs="Times New Roman"/>
                <w:color w:val="auto"/>
                <w:kern w:val="2"/>
                <w:sz w:val="21"/>
                <w:szCs w:val="24"/>
                <w:highlight w:val="none"/>
                <w:lang w:val="en-US" w:eastAsia="zh-CN" w:bidi="ar-SA"/>
              </w:rPr>
            </w:pPr>
            <w:r>
              <w:rPr>
                <w:rFonts w:hint="default" w:ascii="宋体" w:hAnsi="宋体" w:eastAsia="宋体" w:cs="Times New Roman"/>
                <w:color w:val="auto"/>
                <w:kern w:val="2"/>
                <w:sz w:val="21"/>
                <w:szCs w:val="24"/>
                <w:highlight w:val="none"/>
                <w:lang w:val="en-US" w:eastAsia="zh-CN" w:bidi="ar-SA"/>
              </w:rPr>
              <w:t>具有工程</w:t>
            </w:r>
            <w:r>
              <w:rPr>
                <w:rFonts w:hint="eastAsia" w:ascii="宋体" w:hAnsi="宋体" w:eastAsia="宋体" w:cs="Times New Roman"/>
                <w:color w:val="auto"/>
                <w:kern w:val="2"/>
                <w:sz w:val="21"/>
                <w:szCs w:val="24"/>
                <w:highlight w:val="none"/>
                <w:lang w:val="en-US" w:eastAsia="zh-CN" w:bidi="ar-SA"/>
              </w:rPr>
              <w:t>类</w:t>
            </w:r>
            <w:r>
              <w:rPr>
                <w:rFonts w:hint="default" w:ascii="宋体" w:hAnsi="宋体" w:eastAsia="宋体" w:cs="Times New Roman"/>
                <w:color w:val="auto"/>
                <w:kern w:val="2"/>
                <w:sz w:val="21"/>
                <w:szCs w:val="24"/>
                <w:highlight w:val="none"/>
                <w:lang w:val="en-US" w:eastAsia="zh-CN" w:bidi="ar-SA"/>
              </w:rPr>
              <w:t>中级职称，具有交通行政主管部门颁发的有效的安全生产考核合格证书（B证）。</w:t>
            </w:r>
          </w:p>
        </w:tc>
        <w:tc>
          <w:tcPr>
            <w:tcW w:w="2336" w:type="dxa"/>
            <w:vMerge w:val="continue"/>
            <w:noWrap w:val="0"/>
            <w:vAlign w:val="center"/>
          </w:tcPr>
          <w:p w14:paraId="32812217">
            <w:pPr>
              <w:keepNext w:val="0"/>
              <w:keepLines w:val="0"/>
              <w:widowControl w:val="0"/>
              <w:suppressLineNumbers w:val="0"/>
              <w:kinsoku/>
              <w:autoSpaceDE/>
              <w:autoSpaceDN/>
              <w:adjustRightInd/>
              <w:snapToGrid/>
              <w:spacing w:before="0" w:beforeAutospacing="0" w:after="0" w:afterAutospacing="0" w:line="360" w:lineRule="auto"/>
              <w:ind w:left="0" w:right="0"/>
              <w:jc w:val="center"/>
              <w:textAlignment w:val="auto"/>
              <w:rPr>
                <w:rFonts w:hint="default" w:ascii="宋体" w:hAnsi="宋体" w:eastAsia="宋体" w:cs="Times New Roman"/>
                <w:snapToGrid/>
                <w:color w:val="auto"/>
                <w:kern w:val="2"/>
                <w:sz w:val="24"/>
                <w:szCs w:val="24"/>
                <w:highlight w:val="none"/>
                <w:lang w:eastAsia="zh-CN"/>
              </w:rPr>
            </w:pPr>
          </w:p>
        </w:tc>
      </w:tr>
    </w:tbl>
    <w:p w14:paraId="4F6BFD9D">
      <w:pPr>
        <w:widowControl w:val="0"/>
        <w:kinsoku/>
        <w:autoSpaceDE/>
        <w:autoSpaceDN/>
        <w:adjustRightInd/>
        <w:snapToGrid/>
        <w:spacing w:line="360" w:lineRule="auto"/>
        <w:ind w:firstLine="400" w:firstLineChars="200"/>
        <w:jc w:val="both"/>
        <w:textAlignment w:val="auto"/>
        <w:rPr>
          <w:rFonts w:hint="eastAsia" w:ascii="CIDFont+F1" w:hAnsi="CIDFont+F1" w:eastAsia="宋体" w:cs="Times New Roman"/>
          <w:snapToGrid/>
          <w:color w:val="auto"/>
          <w:kern w:val="2"/>
          <w:sz w:val="20"/>
          <w:szCs w:val="20"/>
          <w:highlight w:val="none"/>
          <w:lang w:eastAsia="zh-CN"/>
        </w:rPr>
      </w:pPr>
      <w:r>
        <w:rPr>
          <w:rFonts w:ascii="CIDFont+F1" w:hAnsi="CIDFont+F1" w:eastAsia="宋体" w:cs="Times New Roman"/>
          <w:snapToGrid/>
          <w:color w:val="auto"/>
          <w:kern w:val="2"/>
          <w:sz w:val="20"/>
          <w:szCs w:val="20"/>
          <w:highlight w:val="none"/>
          <w:lang w:eastAsia="zh-CN"/>
        </w:rPr>
        <w:t>注：资格要求的人员建造师注册证书、安全生产“三类人员”B 类证书均应在投标人所在单位，否则视为无效。</w:t>
      </w:r>
    </w:p>
    <w:p w14:paraId="176EEE31">
      <w:pPr>
        <w:widowControl w:val="0"/>
        <w:kinsoku/>
        <w:autoSpaceDE/>
        <w:autoSpaceDN/>
        <w:adjustRightInd/>
        <w:snapToGrid/>
        <w:spacing w:line="360" w:lineRule="auto"/>
        <w:ind w:firstLine="420" w:firstLineChars="200"/>
        <w:jc w:val="center"/>
        <w:textAlignment w:val="auto"/>
        <w:rPr>
          <w:rFonts w:hint="eastAsia" w:ascii="宋体" w:hAnsi="宋体" w:eastAsia="宋体" w:cs="Times New Roman"/>
          <w:snapToGrid/>
          <w:color w:val="auto"/>
          <w:kern w:val="2"/>
          <w:sz w:val="24"/>
          <w:szCs w:val="24"/>
          <w:highlight w:val="none"/>
          <w:lang w:eastAsia="zh-CN"/>
        </w:rPr>
      </w:pPr>
      <w:r>
        <w:rPr>
          <w:rFonts w:ascii="宋体" w:hAnsi="宋体" w:eastAsia="宋体" w:cs="Times New Roman"/>
          <w:snapToGrid/>
          <w:color w:val="auto"/>
          <w:kern w:val="2"/>
          <w:szCs w:val="21"/>
          <w:highlight w:val="none"/>
          <w:lang w:eastAsia="zh-CN"/>
        </w:rPr>
        <w:br w:type="page"/>
      </w:r>
      <w:r>
        <w:rPr>
          <w:rFonts w:ascii="宋体" w:hAnsi="宋体" w:eastAsia="宋体" w:cs="Times New Roman"/>
          <w:snapToGrid/>
          <w:color w:val="auto"/>
          <w:kern w:val="2"/>
          <w:sz w:val="24"/>
          <w:szCs w:val="24"/>
          <w:highlight w:val="none"/>
          <w:lang w:eastAsia="zh-CN"/>
        </w:rPr>
        <w:t xml:space="preserve">附录 </w:t>
      </w:r>
      <w:r>
        <w:rPr>
          <w:rFonts w:hint="eastAsia" w:ascii="宋体" w:hAnsi="宋体" w:eastAsia="宋体" w:cs="Times New Roman"/>
          <w:snapToGrid/>
          <w:color w:val="auto"/>
          <w:kern w:val="2"/>
          <w:sz w:val="24"/>
          <w:szCs w:val="24"/>
          <w:highlight w:val="none"/>
          <w:lang w:val="en-US" w:eastAsia="zh-CN"/>
        </w:rPr>
        <w:t>5</w:t>
      </w:r>
      <w:r>
        <w:rPr>
          <w:rFonts w:ascii="宋体" w:hAnsi="宋体" w:eastAsia="宋体" w:cs="Times New Roman"/>
          <w:snapToGrid/>
          <w:color w:val="auto"/>
          <w:kern w:val="2"/>
          <w:sz w:val="24"/>
          <w:szCs w:val="24"/>
          <w:highlight w:val="none"/>
          <w:lang w:eastAsia="zh-CN"/>
        </w:rPr>
        <w:t xml:space="preserve"> 资格审查条件(主要设备最低要求)</w:t>
      </w: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3077"/>
        <w:gridCol w:w="900"/>
        <w:gridCol w:w="1312"/>
        <w:gridCol w:w="1394"/>
      </w:tblGrid>
      <w:tr w14:paraId="141B7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817" w:type="dxa"/>
            <w:noWrap w:val="0"/>
            <w:vAlign w:val="center"/>
          </w:tcPr>
          <w:p w14:paraId="0B3EB0EF">
            <w:pPr>
              <w:keepNext w:val="0"/>
              <w:keepLines w:val="0"/>
              <w:widowControl w:val="0"/>
              <w:suppressLineNumbers w:val="0"/>
              <w:kinsoku/>
              <w:autoSpaceDE/>
              <w:autoSpaceDN/>
              <w:adjustRightInd/>
              <w:snapToGrid/>
              <w:spacing w:before="0" w:beforeAutospacing="0" w:after="0" w:afterAutospacing="0" w:line="360" w:lineRule="auto"/>
              <w:ind w:left="0" w:right="0"/>
              <w:jc w:val="center"/>
              <w:textAlignment w:val="auto"/>
              <w:rPr>
                <w:rFonts w:hint="default" w:ascii="宋体" w:hAnsi="宋体" w:eastAsia="宋体" w:cs="Times New Roman"/>
                <w:b/>
                <w:bCs/>
                <w:snapToGrid/>
                <w:color w:val="auto"/>
                <w:kern w:val="2"/>
                <w:szCs w:val="21"/>
                <w:highlight w:val="none"/>
                <w:lang w:eastAsia="zh-CN"/>
              </w:rPr>
            </w:pPr>
            <w:r>
              <w:rPr>
                <w:rFonts w:hint="eastAsia" w:ascii="宋体" w:hAnsi="宋体" w:eastAsia="宋体" w:cs="Times New Roman"/>
                <w:b/>
                <w:bCs/>
                <w:snapToGrid/>
                <w:color w:val="auto"/>
                <w:kern w:val="2"/>
                <w:szCs w:val="21"/>
                <w:highlight w:val="none"/>
                <w:lang w:eastAsia="zh-CN"/>
              </w:rPr>
              <w:t>序号</w:t>
            </w:r>
          </w:p>
        </w:tc>
        <w:tc>
          <w:tcPr>
            <w:tcW w:w="1843" w:type="dxa"/>
            <w:noWrap w:val="0"/>
            <w:vAlign w:val="center"/>
          </w:tcPr>
          <w:p w14:paraId="0AA41673">
            <w:pPr>
              <w:keepNext w:val="0"/>
              <w:keepLines w:val="0"/>
              <w:widowControl w:val="0"/>
              <w:suppressLineNumbers w:val="0"/>
              <w:kinsoku/>
              <w:autoSpaceDE/>
              <w:autoSpaceDN/>
              <w:adjustRightInd/>
              <w:snapToGrid/>
              <w:spacing w:before="0" w:beforeAutospacing="0" w:after="0" w:afterAutospacing="0" w:line="360" w:lineRule="auto"/>
              <w:ind w:left="0" w:right="0"/>
              <w:jc w:val="center"/>
              <w:textAlignment w:val="auto"/>
              <w:rPr>
                <w:rFonts w:hint="default" w:ascii="宋体" w:hAnsi="宋体" w:eastAsia="宋体" w:cs="Times New Roman"/>
                <w:b/>
                <w:bCs/>
                <w:snapToGrid/>
                <w:color w:val="auto"/>
                <w:kern w:val="2"/>
                <w:szCs w:val="21"/>
                <w:highlight w:val="none"/>
                <w:lang w:eastAsia="zh-CN"/>
              </w:rPr>
            </w:pPr>
            <w:r>
              <w:rPr>
                <w:rFonts w:hint="eastAsia" w:ascii="宋体" w:hAnsi="宋体" w:eastAsia="宋体" w:cs="Times New Roman"/>
                <w:b/>
                <w:bCs/>
                <w:snapToGrid/>
                <w:color w:val="auto"/>
                <w:kern w:val="2"/>
                <w:szCs w:val="21"/>
                <w:highlight w:val="none"/>
                <w:lang w:eastAsia="zh-CN"/>
              </w:rPr>
              <w:t>设备名称</w:t>
            </w:r>
          </w:p>
        </w:tc>
        <w:tc>
          <w:tcPr>
            <w:tcW w:w="3077" w:type="dxa"/>
            <w:noWrap w:val="0"/>
            <w:vAlign w:val="center"/>
          </w:tcPr>
          <w:p w14:paraId="14FDBEDF">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Times New Roman"/>
                <w:b/>
                <w:bCs/>
                <w:snapToGrid/>
                <w:color w:val="auto"/>
                <w:kern w:val="2"/>
                <w:szCs w:val="21"/>
                <w:highlight w:val="none"/>
                <w:lang w:eastAsia="zh-CN"/>
              </w:rPr>
            </w:pPr>
            <w:r>
              <w:rPr>
                <w:rFonts w:hint="eastAsia" w:ascii="宋体" w:hAnsi="宋体" w:eastAsia="宋体" w:cs="Times New Roman"/>
                <w:b/>
                <w:bCs/>
                <w:snapToGrid/>
                <w:color w:val="auto"/>
                <w:kern w:val="2"/>
                <w:szCs w:val="21"/>
                <w:highlight w:val="none"/>
                <w:lang w:eastAsia="zh-CN"/>
              </w:rPr>
              <w:t>舱容量/设计产量（生产效率）</w:t>
            </w:r>
          </w:p>
        </w:tc>
        <w:tc>
          <w:tcPr>
            <w:tcW w:w="900" w:type="dxa"/>
            <w:noWrap w:val="0"/>
            <w:vAlign w:val="center"/>
          </w:tcPr>
          <w:p w14:paraId="520C96C6">
            <w:pPr>
              <w:keepNext w:val="0"/>
              <w:keepLines w:val="0"/>
              <w:widowControl w:val="0"/>
              <w:suppressLineNumbers w:val="0"/>
              <w:kinsoku/>
              <w:autoSpaceDE/>
              <w:autoSpaceDN/>
              <w:adjustRightInd/>
              <w:snapToGrid/>
              <w:spacing w:before="0" w:beforeAutospacing="0" w:after="0" w:afterAutospacing="0" w:line="360" w:lineRule="auto"/>
              <w:ind w:left="0" w:right="0"/>
              <w:jc w:val="center"/>
              <w:textAlignment w:val="auto"/>
              <w:rPr>
                <w:rFonts w:hint="default" w:ascii="宋体" w:hAnsi="宋体" w:eastAsia="宋体" w:cs="Times New Roman"/>
                <w:b/>
                <w:bCs/>
                <w:snapToGrid/>
                <w:color w:val="auto"/>
                <w:kern w:val="2"/>
                <w:szCs w:val="21"/>
                <w:highlight w:val="none"/>
                <w:lang w:eastAsia="zh-CN"/>
              </w:rPr>
            </w:pPr>
            <w:r>
              <w:rPr>
                <w:rFonts w:hint="eastAsia" w:ascii="宋体" w:hAnsi="宋体" w:eastAsia="宋体" w:cs="Times New Roman"/>
                <w:b/>
                <w:bCs/>
                <w:snapToGrid/>
                <w:color w:val="auto"/>
                <w:kern w:val="2"/>
                <w:szCs w:val="21"/>
                <w:highlight w:val="none"/>
                <w:lang w:eastAsia="zh-CN"/>
              </w:rPr>
              <w:t>单位</w:t>
            </w:r>
          </w:p>
        </w:tc>
        <w:tc>
          <w:tcPr>
            <w:tcW w:w="1312" w:type="dxa"/>
            <w:noWrap w:val="0"/>
            <w:vAlign w:val="center"/>
          </w:tcPr>
          <w:p w14:paraId="774F1353">
            <w:pPr>
              <w:keepNext w:val="0"/>
              <w:keepLines w:val="0"/>
              <w:widowControl w:val="0"/>
              <w:suppressLineNumbers w:val="0"/>
              <w:kinsoku/>
              <w:autoSpaceDE/>
              <w:autoSpaceDN/>
              <w:adjustRightInd/>
              <w:snapToGrid/>
              <w:spacing w:before="0" w:beforeAutospacing="0" w:after="0" w:afterAutospacing="0" w:line="360" w:lineRule="auto"/>
              <w:ind w:left="0" w:right="0"/>
              <w:jc w:val="center"/>
              <w:textAlignment w:val="auto"/>
              <w:rPr>
                <w:rFonts w:hint="default" w:ascii="宋体" w:hAnsi="宋体" w:eastAsia="宋体" w:cs="Times New Roman"/>
                <w:b/>
                <w:bCs/>
                <w:snapToGrid/>
                <w:color w:val="auto"/>
                <w:kern w:val="2"/>
                <w:szCs w:val="21"/>
                <w:highlight w:val="none"/>
                <w:lang w:eastAsia="zh-CN"/>
              </w:rPr>
            </w:pPr>
            <w:r>
              <w:rPr>
                <w:rFonts w:hint="eastAsia" w:ascii="宋体" w:hAnsi="宋体" w:eastAsia="宋体" w:cs="Times New Roman"/>
                <w:b/>
                <w:bCs/>
                <w:snapToGrid/>
                <w:color w:val="auto"/>
                <w:kern w:val="2"/>
                <w:szCs w:val="21"/>
                <w:highlight w:val="none"/>
                <w:lang w:eastAsia="zh-CN"/>
              </w:rPr>
              <w:t>最低数量</w:t>
            </w:r>
          </w:p>
        </w:tc>
        <w:tc>
          <w:tcPr>
            <w:tcW w:w="1394" w:type="dxa"/>
            <w:noWrap w:val="0"/>
            <w:vAlign w:val="center"/>
          </w:tcPr>
          <w:p w14:paraId="586A16B9">
            <w:pPr>
              <w:keepNext w:val="0"/>
              <w:keepLines w:val="0"/>
              <w:widowControl w:val="0"/>
              <w:suppressLineNumbers w:val="0"/>
              <w:kinsoku/>
              <w:autoSpaceDE/>
              <w:autoSpaceDN/>
              <w:adjustRightInd/>
              <w:snapToGrid/>
              <w:spacing w:before="0" w:beforeAutospacing="0" w:after="0" w:afterAutospacing="0" w:line="360" w:lineRule="auto"/>
              <w:ind w:left="0" w:right="0"/>
              <w:jc w:val="center"/>
              <w:textAlignment w:val="auto"/>
              <w:rPr>
                <w:rFonts w:hint="default" w:ascii="宋体" w:hAnsi="宋体" w:eastAsia="宋体" w:cs="Times New Roman"/>
                <w:b/>
                <w:bCs/>
                <w:snapToGrid/>
                <w:color w:val="auto"/>
                <w:kern w:val="2"/>
                <w:szCs w:val="21"/>
                <w:highlight w:val="none"/>
                <w:lang w:eastAsia="zh-CN"/>
              </w:rPr>
            </w:pPr>
            <w:r>
              <w:rPr>
                <w:rFonts w:hint="eastAsia" w:ascii="宋体" w:hAnsi="宋体" w:eastAsia="宋体" w:cs="Times New Roman"/>
                <w:b/>
                <w:bCs/>
                <w:snapToGrid/>
                <w:color w:val="auto"/>
                <w:kern w:val="2"/>
                <w:szCs w:val="21"/>
                <w:highlight w:val="none"/>
                <w:lang w:eastAsia="zh-CN"/>
              </w:rPr>
              <w:t>备注</w:t>
            </w:r>
          </w:p>
        </w:tc>
      </w:tr>
      <w:tr w14:paraId="13BBA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817" w:type="dxa"/>
            <w:noWrap w:val="0"/>
            <w:vAlign w:val="center"/>
          </w:tcPr>
          <w:p w14:paraId="75187A18">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Times New Roman"/>
                <w:snapToGrid/>
                <w:color w:val="auto"/>
                <w:kern w:val="2"/>
                <w:szCs w:val="21"/>
                <w:highlight w:val="none"/>
                <w:lang w:eastAsia="zh-CN"/>
              </w:rPr>
            </w:pPr>
            <w:r>
              <w:rPr>
                <w:rFonts w:hint="eastAsia" w:ascii="宋体" w:hAnsi="宋体" w:eastAsia="宋体" w:cs="Times New Roman"/>
                <w:snapToGrid/>
                <w:color w:val="auto"/>
                <w:kern w:val="2"/>
                <w:szCs w:val="21"/>
                <w:highlight w:val="none"/>
                <w:lang w:val="en-US" w:eastAsia="zh-CN"/>
              </w:rPr>
              <w:t>1</w:t>
            </w:r>
          </w:p>
        </w:tc>
        <w:tc>
          <w:tcPr>
            <w:tcW w:w="1843" w:type="dxa"/>
            <w:noWrap w:val="0"/>
            <w:vAlign w:val="center"/>
          </w:tcPr>
          <w:p w14:paraId="252F1AFA">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宋体"/>
                <w:snapToGrid/>
                <w:color w:val="auto"/>
                <w:kern w:val="2"/>
                <w:szCs w:val="21"/>
                <w:highlight w:val="none"/>
                <w:lang w:eastAsia="zh-CN"/>
              </w:rPr>
            </w:pPr>
            <w:r>
              <w:rPr>
                <w:rFonts w:hint="default" w:ascii="CIDFont+F1" w:hAnsi="CIDFont+F1" w:eastAsia="宋体" w:cs="Times New Roman"/>
                <w:snapToGrid/>
                <w:color w:val="auto"/>
                <w:kern w:val="2"/>
                <w:sz w:val="21"/>
                <w:szCs w:val="21"/>
                <w:highlight w:val="none"/>
                <w:lang w:eastAsia="zh-CN"/>
              </w:rPr>
              <w:t>耙吸式挖泥船</w:t>
            </w:r>
          </w:p>
        </w:tc>
        <w:tc>
          <w:tcPr>
            <w:tcW w:w="3077" w:type="dxa"/>
            <w:noWrap w:val="0"/>
            <w:vAlign w:val="center"/>
          </w:tcPr>
          <w:p w14:paraId="4B34AEEC">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宋体"/>
                <w:snapToGrid/>
                <w:color w:val="auto"/>
                <w:kern w:val="2"/>
                <w:szCs w:val="21"/>
                <w:highlight w:val="none"/>
                <w:lang w:eastAsia="zh-CN"/>
              </w:rPr>
            </w:pPr>
            <w:r>
              <w:rPr>
                <w:rFonts w:hint="default" w:ascii="CIDFont+F1" w:hAnsi="CIDFont+F1" w:eastAsia="宋体" w:cs="Times New Roman"/>
                <w:snapToGrid/>
                <w:color w:val="auto"/>
                <w:kern w:val="2"/>
                <w:sz w:val="21"/>
                <w:szCs w:val="21"/>
                <w:highlight w:val="none"/>
                <w:lang w:eastAsia="zh-CN"/>
              </w:rPr>
              <w:t>舱容≥2000 立方米</w:t>
            </w:r>
          </w:p>
        </w:tc>
        <w:tc>
          <w:tcPr>
            <w:tcW w:w="900" w:type="dxa"/>
            <w:noWrap w:val="0"/>
            <w:vAlign w:val="center"/>
          </w:tcPr>
          <w:p w14:paraId="238FD554">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Times New Roman"/>
                <w:snapToGrid/>
                <w:color w:val="auto"/>
                <w:kern w:val="2"/>
                <w:szCs w:val="21"/>
                <w:highlight w:val="none"/>
                <w:lang w:eastAsia="zh-CN"/>
              </w:rPr>
            </w:pPr>
            <w:r>
              <w:rPr>
                <w:rFonts w:hint="default" w:ascii="宋体" w:hAnsi="宋体" w:eastAsia="宋体" w:cs="Times New Roman"/>
                <w:snapToGrid/>
                <w:color w:val="auto"/>
                <w:kern w:val="2"/>
                <w:szCs w:val="21"/>
                <w:highlight w:val="none"/>
                <w:lang w:eastAsia="zh-CN"/>
              </w:rPr>
              <w:t>艘</w:t>
            </w:r>
          </w:p>
        </w:tc>
        <w:tc>
          <w:tcPr>
            <w:tcW w:w="1312" w:type="dxa"/>
            <w:noWrap w:val="0"/>
            <w:vAlign w:val="center"/>
          </w:tcPr>
          <w:p w14:paraId="11EFD29D">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Times New Roman"/>
                <w:snapToGrid/>
                <w:color w:val="auto"/>
                <w:kern w:val="2"/>
                <w:szCs w:val="21"/>
                <w:highlight w:val="none"/>
                <w:lang w:val="en-US" w:eastAsia="zh-CN"/>
              </w:rPr>
            </w:pPr>
            <w:r>
              <w:rPr>
                <w:rFonts w:hint="eastAsia" w:ascii="宋体" w:hAnsi="宋体" w:eastAsia="宋体" w:cs="Times New Roman"/>
                <w:snapToGrid/>
                <w:color w:val="auto"/>
                <w:kern w:val="2"/>
                <w:szCs w:val="21"/>
                <w:highlight w:val="none"/>
                <w:lang w:val="en-US" w:eastAsia="zh-CN"/>
              </w:rPr>
              <w:t>1</w:t>
            </w:r>
          </w:p>
        </w:tc>
        <w:tc>
          <w:tcPr>
            <w:tcW w:w="1394" w:type="dxa"/>
            <w:noWrap w:val="0"/>
            <w:vAlign w:val="top"/>
          </w:tcPr>
          <w:p w14:paraId="6699C89F">
            <w:pPr>
              <w:keepNext w:val="0"/>
              <w:keepLines w:val="0"/>
              <w:widowControl w:val="0"/>
              <w:suppressLineNumbers w:val="0"/>
              <w:kinsoku/>
              <w:autoSpaceDE/>
              <w:autoSpaceDN/>
              <w:adjustRightInd/>
              <w:snapToGrid/>
              <w:spacing w:before="0" w:beforeAutospacing="0" w:after="0" w:afterAutospacing="0" w:line="360" w:lineRule="auto"/>
              <w:ind w:left="0" w:right="0"/>
              <w:jc w:val="center"/>
              <w:textAlignment w:val="auto"/>
              <w:rPr>
                <w:rFonts w:hint="default" w:ascii="宋体" w:hAnsi="宋体" w:eastAsia="宋体" w:cs="Times New Roman"/>
                <w:snapToGrid/>
                <w:color w:val="auto"/>
                <w:kern w:val="2"/>
                <w:szCs w:val="21"/>
                <w:highlight w:val="none"/>
                <w:lang w:eastAsia="zh-CN"/>
              </w:rPr>
            </w:pPr>
          </w:p>
        </w:tc>
      </w:tr>
      <w:tr w14:paraId="323FD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817" w:type="dxa"/>
            <w:noWrap w:val="0"/>
            <w:vAlign w:val="center"/>
          </w:tcPr>
          <w:p w14:paraId="04B82732">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Times New Roman"/>
                <w:snapToGrid/>
                <w:color w:val="auto"/>
                <w:kern w:val="2"/>
                <w:szCs w:val="21"/>
                <w:highlight w:val="none"/>
                <w:lang w:val="en-US" w:eastAsia="zh-CN"/>
              </w:rPr>
            </w:pPr>
            <w:r>
              <w:rPr>
                <w:rFonts w:hint="eastAsia" w:ascii="宋体" w:hAnsi="宋体" w:eastAsia="宋体" w:cs="Times New Roman"/>
                <w:snapToGrid/>
                <w:color w:val="auto"/>
                <w:kern w:val="2"/>
                <w:szCs w:val="21"/>
                <w:highlight w:val="none"/>
                <w:lang w:val="en-US" w:eastAsia="zh-CN"/>
              </w:rPr>
              <w:t>2</w:t>
            </w:r>
          </w:p>
        </w:tc>
        <w:tc>
          <w:tcPr>
            <w:tcW w:w="1843" w:type="dxa"/>
            <w:noWrap w:val="0"/>
            <w:vAlign w:val="center"/>
          </w:tcPr>
          <w:p w14:paraId="77CDE3D5">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宋体"/>
                <w:snapToGrid/>
                <w:color w:val="auto"/>
                <w:kern w:val="2"/>
                <w:szCs w:val="21"/>
                <w:highlight w:val="none"/>
                <w:lang w:eastAsia="zh-CN"/>
              </w:rPr>
            </w:pPr>
            <w:r>
              <w:rPr>
                <w:rFonts w:hint="default" w:ascii="CIDFont+F1" w:hAnsi="CIDFont+F1" w:eastAsia="宋体" w:cs="Times New Roman"/>
                <w:snapToGrid/>
                <w:color w:val="auto"/>
                <w:kern w:val="2"/>
                <w:sz w:val="21"/>
                <w:szCs w:val="21"/>
                <w:highlight w:val="none"/>
                <w:lang w:eastAsia="zh-CN"/>
              </w:rPr>
              <w:t>挖泥船</w:t>
            </w:r>
          </w:p>
        </w:tc>
        <w:tc>
          <w:tcPr>
            <w:tcW w:w="3077" w:type="dxa"/>
            <w:noWrap w:val="0"/>
            <w:vAlign w:val="center"/>
          </w:tcPr>
          <w:p w14:paraId="289EF2AC">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宋体"/>
                <w:snapToGrid/>
                <w:color w:val="auto"/>
                <w:kern w:val="2"/>
                <w:sz w:val="21"/>
                <w:szCs w:val="21"/>
                <w:highlight w:val="none"/>
                <w:lang w:eastAsia="zh-CN"/>
              </w:rPr>
            </w:pPr>
            <w:r>
              <w:rPr>
                <w:rFonts w:hint="default" w:ascii="CIDFont+F1" w:hAnsi="CIDFont+F1" w:eastAsia="宋体" w:cs="Times New Roman"/>
                <w:snapToGrid/>
                <w:color w:val="auto"/>
                <w:kern w:val="2"/>
                <w:sz w:val="21"/>
                <w:szCs w:val="21"/>
                <w:highlight w:val="none"/>
                <w:lang w:eastAsia="zh-CN"/>
              </w:rPr>
              <w:t>斗容≥8 立方米</w:t>
            </w:r>
          </w:p>
        </w:tc>
        <w:tc>
          <w:tcPr>
            <w:tcW w:w="900" w:type="dxa"/>
            <w:noWrap w:val="0"/>
            <w:vAlign w:val="center"/>
          </w:tcPr>
          <w:p w14:paraId="321CBBB7">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Times New Roman"/>
                <w:snapToGrid/>
                <w:color w:val="auto"/>
                <w:kern w:val="2"/>
                <w:szCs w:val="21"/>
                <w:highlight w:val="none"/>
                <w:lang w:eastAsia="zh-CN"/>
              </w:rPr>
            </w:pPr>
            <w:r>
              <w:rPr>
                <w:rFonts w:hint="default" w:ascii="宋体" w:hAnsi="宋体" w:eastAsia="宋体" w:cs="Times New Roman"/>
                <w:snapToGrid/>
                <w:color w:val="auto"/>
                <w:kern w:val="2"/>
                <w:szCs w:val="21"/>
                <w:highlight w:val="none"/>
                <w:lang w:eastAsia="zh-CN"/>
              </w:rPr>
              <w:t>艘</w:t>
            </w:r>
          </w:p>
        </w:tc>
        <w:tc>
          <w:tcPr>
            <w:tcW w:w="1312" w:type="dxa"/>
            <w:noWrap w:val="0"/>
            <w:vAlign w:val="center"/>
          </w:tcPr>
          <w:p w14:paraId="7EDA7C23">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Times New Roman"/>
                <w:snapToGrid/>
                <w:color w:val="auto"/>
                <w:kern w:val="2"/>
                <w:szCs w:val="21"/>
                <w:highlight w:val="none"/>
                <w:lang w:val="en-US" w:eastAsia="zh-CN"/>
              </w:rPr>
            </w:pPr>
            <w:r>
              <w:rPr>
                <w:rFonts w:hint="eastAsia" w:ascii="宋体" w:hAnsi="宋体" w:eastAsia="宋体" w:cs="Times New Roman"/>
                <w:snapToGrid/>
                <w:color w:val="auto"/>
                <w:kern w:val="2"/>
                <w:szCs w:val="21"/>
                <w:highlight w:val="none"/>
                <w:lang w:val="en-US" w:eastAsia="zh-CN"/>
              </w:rPr>
              <w:t>1</w:t>
            </w:r>
          </w:p>
        </w:tc>
        <w:tc>
          <w:tcPr>
            <w:tcW w:w="1394" w:type="dxa"/>
            <w:noWrap w:val="0"/>
            <w:vAlign w:val="top"/>
          </w:tcPr>
          <w:p w14:paraId="2C6D5AA1">
            <w:pPr>
              <w:keepNext w:val="0"/>
              <w:keepLines w:val="0"/>
              <w:widowControl w:val="0"/>
              <w:suppressLineNumbers w:val="0"/>
              <w:kinsoku/>
              <w:autoSpaceDE/>
              <w:autoSpaceDN/>
              <w:adjustRightInd/>
              <w:snapToGrid/>
              <w:spacing w:before="0" w:beforeAutospacing="0" w:after="0" w:afterAutospacing="0" w:line="360" w:lineRule="auto"/>
              <w:ind w:left="0" w:right="0"/>
              <w:jc w:val="center"/>
              <w:textAlignment w:val="auto"/>
              <w:rPr>
                <w:rFonts w:hint="default" w:ascii="宋体" w:hAnsi="宋体" w:eastAsia="宋体" w:cs="Times New Roman"/>
                <w:snapToGrid/>
                <w:color w:val="auto"/>
                <w:kern w:val="2"/>
                <w:szCs w:val="21"/>
                <w:highlight w:val="none"/>
                <w:lang w:eastAsia="zh-CN"/>
              </w:rPr>
            </w:pPr>
          </w:p>
        </w:tc>
      </w:tr>
      <w:tr w14:paraId="0E4AD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817" w:type="dxa"/>
            <w:noWrap w:val="0"/>
            <w:vAlign w:val="center"/>
          </w:tcPr>
          <w:p w14:paraId="6C664663">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napToGrid/>
                <w:color w:val="auto"/>
                <w:kern w:val="2"/>
                <w:sz w:val="21"/>
                <w:szCs w:val="21"/>
                <w:highlight w:val="none"/>
                <w:lang w:eastAsia="zh-CN"/>
              </w:rPr>
            </w:pPr>
            <w:r>
              <w:rPr>
                <w:rFonts w:hint="eastAsia" w:ascii="CIDFont+F1" w:hAnsi="CIDFont+F1" w:eastAsia="宋体" w:cs="Times New Roman"/>
                <w:snapToGrid/>
                <w:color w:val="auto"/>
                <w:kern w:val="2"/>
                <w:sz w:val="21"/>
                <w:szCs w:val="21"/>
                <w:highlight w:val="none"/>
                <w:lang w:eastAsia="zh-CN"/>
              </w:rPr>
              <w:t>...</w:t>
            </w:r>
          </w:p>
        </w:tc>
        <w:tc>
          <w:tcPr>
            <w:tcW w:w="1843" w:type="dxa"/>
            <w:noWrap w:val="0"/>
            <w:vAlign w:val="center"/>
          </w:tcPr>
          <w:p w14:paraId="620BAC60">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napToGrid/>
                <w:color w:val="auto"/>
                <w:kern w:val="2"/>
                <w:sz w:val="21"/>
                <w:szCs w:val="21"/>
                <w:highlight w:val="none"/>
                <w:lang w:eastAsia="zh-CN"/>
              </w:rPr>
            </w:pPr>
            <w:r>
              <w:rPr>
                <w:rFonts w:hint="eastAsia" w:ascii="CIDFont+F1" w:hAnsi="CIDFont+F1" w:eastAsia="宋体" w:cs="Times New Roman"/>
                <w:snapToGrid/>
                <w:color w:val="auto"/>
                <w:kern w:val="2"/>
                <w:sz w:val="21"/>
                <w:szCs w:val="21"/>
                <w:highlight w:val="none"/>
                <w:lang w:eastAsia="zh-CN"/>
              </w:rPr>
              <w:t>...</w:t>
            </w:r>
          </w:p>
        </w:tc>
        <w:tc>
          <w:tcPr>
            <w:tcW w:w="3077" w:type="dxa"/>
            <w:noWrap w:val="0"/>
            <w:vAlign w:val="center"/>
          </w:tcPr>
          <w:p w14:paraId="69F0D45A">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napToGrid/>
                <w:color w:val="auto"/>
                <w:kern w:val="2"/>
                <w:sz w:val="21"/>
                <w:szCs w:val="21"/>
                <w:highlight w:val="none"/>
                <w:lang w:eastAsia="zh-CN"/>
              </w:rPr>
            </w:pPr>
            <w:r>
              <w:rPr>
                <w:rFonts w:hint="eastAsia" w:ascii="CIDFont+F1" w:hAnsi="CIDFont+F1" w:eastAsia="宋体" w:cs="Times New Roman"/>
                <w:snapToGrid/>
                <w:color w:val="auto"/>
                <w:kern w:val="2"/>
                <w:sz w:val="21"/>
                <w:szCs w:val="21"/>
                <w:highlight w:val="none"/>
                <w:lang w:eastAsia="zh-CN"/>
              </w:rPr>
              <w:t>...</w:t>
            </w:r>
          </w:p>
        </w:tc>
        <w:tc>
          <w:tcPr>
            <w:tcW w:w="900" w:type="dxa"/>
            <w:noWrap w:val="0"/>
            <w:vAlign w:val="center"/>
          </w:tcPr>
          <w:p w14:paraId="004CEC7E">
            <w:pPr>
              <w:keepNext w:val="0"/>
              <w:keepLines w:val="0"/>
              <w:widowControl w:val="0"/>
              <w:suppressLineNumbers w:val="0"/>
              <w:kinsoku/>
              <w:autoSpaceDE/>
              <w:autoSpaceDN/>
              <w:adjustRightInd/>
              <w:snapToGrid/>
              <w:spacing w:before="0" w:beforeAutospacing="0" w:after="0" w:afterAutospacing="0" w:line="360" w:lineRule="auto"/>
              <w:ind w:left="0" w:right="0"/>
              <w:jc w:val="center"/>
              <w:textAlignment w:val="auto"/>
              <w:rPr>
                <w:rFonts w:hint="default" w:ascii="宋体" w:hAnsi="宋体" w:eastAsia="宋体" w:cs="Times New Roman"/>
                <w:snapToGrid/>
                <w:color w:val="auto"/>
                <w:kern w:val="2"/>
                <w:szCs w:val="21"/>
                <w:highlight w:val="none"/>
                <w:lang w:eastAsia="zh-CN"/>
              </w:rPr>
            </w:pPr>
          </w:p>
        </w:tc>
        <w:tc>
          <w:tcPr>
            <w:tcW w:w="1312" w:type="dxa"/>
            <w:noWrap w:val="0"/>
            <w:vAlign w:val="top"/>
          </w:tcPr>
          <w:p w14:paraId="50A7CBDB">
            <w:pPr>
              <w:keepNext w:val="0"/>
              <w:keepLines w:val="0"/>
              <w:widowControl w:val="0"/>
              <w:suppressLineNumbers w:val="0"/>
              <w:kinsoku/>
              <w:autoSpaceDE/>
              <w:autoSpaceDN/>
              <w:adjustRightInd/>
              <w:snapToGrid/>
              <w:spacing w:before="0" w:beforeAutospacing="0" w:after="0" w:afterAutospacing="0" w:line="360" w:lineRule="auto"/>
              <w:ind w:left="0" w:right="0"/>
              <w:jc w:val="center"/>
              <w:textAlignment w:val="auto"/>
              <w:rPr>
                <w:rFonts w:hint="default" w:ascii="宋体" w:hAnsi="宋体" w:eastAsia="宋体" w:cs="Times New Roman"/>
                <w:snapToGrid/>
                <w:color w:val="auto"/>
                <w:kern w:val="2"/>
                <w:szCs w:val="21"/>
                <w:highlight w:val="none"/>
                <w:lang w:eastAsia="zh-CN"/>
              </w:rPr>
            </w:pPr>
          </w:p>
        </w:tc>
        <w:tc>
          <w:tcPr>
            <w:tcW w:w="1394" w:type="dxa"/>
            <w:noWrap w:val="0"/>
            <w:vAlign w:val="top"/>
          </w:tcPr>
          <w:p w14:paraId="36479C15">
            <w:pPr>
              <w:keepNext w:val="0"/>
              <w:keepLines w:val="0"/>
              <w:widowControl w:val="0"/>
              <w:suppressLineNumbers w:val="0"/>
              <w:kinsoku/>
              <w:autoSpaceDE/>
              <w:autoSpaceDN/>
              <w:adjustRightInd/>
              <w:snapToGrid/>
              <w:spacing w:before="0" w:beforeAutospacing="0" w:after="0" w:afterAutospacing="0" w:line="360" w:lineRule="auto"/>
              <w:ind w:left="0" w:right="0"/>
              <w:jc w:val="center"/>
              <w:textAlignment w:val="auto"/>
              <w:rPr>
                <w:rFonts w:hint="default" w:ascii="宋体" w:hAnsi="宋体" w:eastAsia="宋体" w:cs="Times New Roman"/>
                <w:snapToGrid/>
                <w:color w:val="auto"/>
                <w:kern w:val="2"/>
                <w:szCs w:val="21"/>
                <w:highlight w:val="none"/>
                <w:lang w:eastAsia="zh-CN"/>
              </w:rPr>
            </w:pPr>
          </w:p>
        </w:tc>
      </w:tr>
    </w:tbl>
    <w:p w14:paraId="69F1B120">
      <w:pPr>
        <w:widowControl w:val="0"/>
        <w:kinsoku/>
        <w:autoSpaceDE/>
        <w:autoSpaceDN/>
        <w:adjustRightInd/>
        <w:snapToGrid/>
        <w:spacing w:line="360" w:lineRule="auto"/>
        <w:ind w:firstLine="400" w:firstLineChars="200"/>
        <w:jc w:val="both"/>
        <w:textAlignment w:val="auto"/>
        <w:rPr>
          <w:rFonts w:ascii="CIDFont+F1" w:hAnsi="CIDFont+F1" w:eastAsia="宋体" w:cs="Times New Roman"/>
          <w:snapToGrid/>
          <w:color w:val="auto"/>
          <w:kern w:val="2"/>
          <w:sz w:val="20"/>
          <w:szCs w:val="20"/>
          <w:highlight w:val="none"/>
          <w:lang w:eastAsia="zh-CN"/>
        </w:rPr>
      </w:pPr>
      <w:r>
        <w:rPr>
          <w:rFonts w:ascii="CIDFont+F1" w:hAnsi="CIDFont+F1" w:eastAsia="宋体" w:cs="Times New Roman"/>
          <w:snapToGrid/>
          <w:color w:val="auto"/>
          <w:kern w:val="2"/>
          <w:sz w:val="20"/>
          <w:szCs w:val="20"/>
          <w:highlight w:val="none"/>
          <w:lang w:eastAsia="zh-CN"/>
        </w:rPr>
        <w:t>注：</w:t>
      </w:r>
    </w:p>
    <w:p w14:paraId="1E72625E">
      <w:pPr>
        <w:widowControl w:val="0"/>
        <w:kinsoku/>
        <w:autoSpaceDE/>
        <w:autoSpaceDN/>
        <w:adjustRightInd/>
        <w:snapToGrid/>
        <w:spacing w:line="360" w:lineRule="auto"/>
        <w:ind w:firstLine="400" w:firstLineChars="200"/>
        <w:jc w:val="both"/>
        <w:textAlignment w:val="auto"/>
        <w:rPr>
          <w:rFonts w:hint="eastAsia" w:ascii="CIDFont+F1" w:hAnsi="CIDFont+F1" w:eastAsia="宋体" w:cs="Times New Roman"/>
          <w:snapToGrid/>
          <w:color w:val="auto"/>
          <w:kern w:val="2"/>
          <w:sz w:val="20"/>
          <w:szCs w:val="20"/>
          <w:highlight w:val="none"/>
          <w:lang w:eastAsia="zh-CN"/>
        </w:rPr>
      </w:pPr>
      <w:r>
        <w:rPr>
          <w:rFonts w:ascii="CIDFont+F1" w:hAnsi="CIDFont+F1" w:eastAsia="宋体" w:cs="Times New Roman"/>
          <w:snapToGrid/>
          <w:color w:val="auto"/>
          <w:kern w:val="2"/>
          <w:sz w:val="20"/>
          <w:szCs w:val="20"/>
          <w:highlight w:val="none"/>
          <w:lang w:eastAsia="zh-CN"/>
        </w:rPr>
        <w:t>1、投标人须按投标文件投标函的格式承诺。</w:t>
      </w:r>
    </w:p>
    <w:p w14:paraId="3B1937A6">
      <w:pPr>
        <w:widowControl w:val="0"/>
        <w:numPr>
          <w:ilvl w:val="0"/>
          <w:numId w:val="1"/>
        </w:numPr>
        <w:kinsoku/>
        <w:autoSpaceDE/>
        <w:autoSpaceDN/>
        <w:adjustRightInd/>
        <w:snapToGrid/>
        <w:spacing w:line="360" w:lineRule="auto"/>
        <w:ind w:firstLine="400" w:firstLineChars="200"/>
        <w:jc w:val="both"/>
        <w:textAlignment w:val="auto"/>
        <w:rPr>
          <w:rFonts w:ascii="CIDFont+F1" w:hAnsi="CIDFont+F1" w:eastAsia="宋体" w:cs="Times New Roman"/>
          <w:snapToGrid/>
          <w:color w:val="auto"/>
          <w:kern w:val="2"/>
          <w:sz w:val="20"/>
          <w:szCs w:val="20"/>
          <w:highlight w:val="none"/>
          <w:lang w:eastAsia="zh-CN"/>
        </w:rPr>
      </w:pPr>
      <w:r>
        <w:rPr>
          <w:rFonts w:ascii="CIDFont+F1" w:hAnsi="CIDFont+F1" w:eastAsia="宋体" w:cs="Times New Roman"/>
          <w:snapToGrid/>
          <w:color w:val="auto"/>
          <w:kern w:val="2"/>
          <w:sz w:val="20"/>
          <w:szCs w:val="20"/>
          <w:highlight w:val="none"/>
          <w:lang w:eastAsia="zh-CN"/>
        </w:rPr>
        <w:t>招标人有权根据标段的工程特点、工程量及工程进度情况要求增加相应的施工设备，由此不存在索赔问题。</w:t>
      </w:r>
    </w:p>
    <w:p w14:paraId="5F4C9C88">
      <w:pPr>
        <w:rPr>
          <w:rFonts w:ascii="Arial"/>
          <w:sz w:val="21"/>
        </w:rPr>
      </w:pPr>
      <w:r>
        <w:rPr>
          <w:rFonts w:ascii="Arial"/>
          <w:sz w:val="21"/>
        </w:rPr>
        <w:br w:type="page"/>
      </w:r>
    </w:p>
    <w:p w14:paraId="4248966A">
      <w:pPr>
        <w:spacing w:line="246" w:lineRule="auto"/>
        <w:rPr>
          <w:rFonts w:ascii="Arial"/>
          <w:sz w:val="21"/>
        </w:rPr>
      </w:pPr>
    </w:p>
    <w:p w14:paraId="6ED0FD71">
      <w:pPr>
        <w:spacing w:line="246" w:lineRule="auto"/>
        <w:rPr>
          <w:rFonts w:ascii="Arial"/>
          <w:sz w:val="21"/>
        </w:rPr>
      </w:pPr>
    </w:p>
    <w:p w14:paraId="7D533C56">
      <w:pPr>
        <w:spacing w:line="246" w:lineRule="auto"/>
        <w:rPr>
          <w:rFonts w:ascii="Arial"/>
          <w:sz w:val="21"/>
        </w:rPr>
      </w:pPr>
    </w:p>
    <w:p w14:paraId="51DAD647">
      <w:pPr>
        <w:spacing w:line="246" w:lineRule="auto"/>
        <w:rPr>
          <w:rFonts w:ascii="Arial"/>
          <w:sz w:val="21"/>
        </w:rPr>
      </w:pPr>
    </w:p>
    <w:p w14:paraId="458ADD37">
      <w:pPr>
        <w:spacing w:line="246" w:lineRule="auto"/>
        <w:rPr>
          <w:rFonts w:ascii="Arial"/>
          <w:sz w:val="21"/>
        </w:rPr>
      </w:pPr>
    </w:p>
    <w:p w14:paraId="11DFE85A">
      <w:pPr>
        <w:spacing w:line="246" w:lineRule="auto"/>
        <w:rPr>
          <w:rFonts w:ascii="Arial"/>
          <w:sz w:val="21"/>
        </w:rPr>
      </w:pPr>
    </w:p>
    <w:p w14:paraId="781F4C53">
      <w:pPr>
        <w:spacing w:line="246" w:lineRule="auto"/>
        <w:rPr>
          <w:rFonts w:ascii="Arial"/>
          <w:sz w:val="21"/>
        </w:rPr>
      </w:pPr>
    </w:p>
    <w:p w14:paraId="7135899D">
      <w:pPr>
        <w:spacing w:line="246" w:lineRule="auto"/>
        <w:rPr>
          <w:rFonts w:ascii="Arial"/>
          <w:sz w:val="21"/>
        </w:rPr>
      </w:pPr>
    </w:p>
    <w:p w14:paraId="3EC70BC7">
      <w:pPr>
        <w:spacing w:line="246" w:lineRule="auto"/>
        <w:rPr>
          <w:rFonts w:ascii="Arial"/>
          <w:sz w:val="21"/>
        </w:rPr>
      </w:pPr>
    </w:p>
    <w:p w14:paraId="04E96569">
      <w:pPr>
        <w:spacing w:line="246" w:lineRule="auto"/>
        <w:rPr>
          <w:rFonts w:ascii="Arial"/>
          <w:sz w:val="21"/>
        </w:rPr>
      </w:pPr>
    </w:p>
    <w:p w14:paraId="400425C8">
      <w:pPr>
        <w:spacing w:line="246" w:lineRule="auto"/>
        <w:rPr>
          <w:rFonts w:ascii="Arial"/>
          <w:sz w:val="21"/>
        </w:rPr>
      </w:pPr>
    </w:p>
    <w:p w14:paraId="1AFE6D5A">
      <w:pPr>
        <w:spacing w:line="246" w:lineRule="auto"/>
        <w:rPr>
          <w:rFonts w:ascii="Arial"/>
          <w:sz w:val="21"/>
        </w:rPr>
      </w:pPr>
    </w:p>
    <w:p w14:paraId="15AF80BE">
      <w:pPr>
        <w:spacing w:line="246" w:lineRule="auto"/>
        <w:rPr>
          <w:rFonts w:ascii="Arial"/>
          <w:sz w:val="21"/>
        </w:rPr>
      </w:pPr>
    </w:p>
    <w:p w14:paraId="37437D27">
      <w:pPr>
        <w:spacing w:line="246" w:lineRule="auto"/>
        <w:rPr>
          <w:rFonts w:ascii="Arial"/>
          <w:sz w:val="21"/>
        </w:rPr>
      </w:pPr>
    </w:p>
    <w:p w14:paraId="03F111E3">
      <w:pPr>
        <w:spacing w:line="246" w:lineRule="auto"/>
        <w:rPr>
          <w:rFonts w:ascii="Arial"/>
          <w:sz w:val="21"/>
        </w:rPr>
      </w:pPr>
    </w:p>
    <w:p w14:paraId="4942418D">
      <w:pPr>
        <w:spacing w:line="246" w:lineRule="auto"/>
        <w:rPr>
          <w:rFonts w:ascii="Arial"/>
          <w:sz w:val="21"/>
        </w:rPr>
      </w:pPr>
    </w:p>
    <w:p w14:paraId="0C531530">
      <w:pPr>
        <w:spacing w:line="246" w:lineRule="auto"/>
        <w:rPr>
          <w:rFonts w:ascii="Arial"/>
          <w:sz w:val="21"/>
        </w:rPr>
      </w:pPr>
    </w:p>
    <w:p w14:paraId="5CB3D114">
      <w:pPr>
        <w:spacing w:line="246" w:lineRule="auto"/>
        <w:rPr>
          <w:rFonts w:ascii="Arial"/>
          <w:sz w:val="21"/>
        </w:rPr>
      </w:pPr>
    </w:p>
    <w:p w14:paraId="6B810326">
      <w:pPr>
        <w:spacing w:line="246" w:lineRule="auto"/>
        <w:rPr>
          <w:rFonts w:ascii="Arial"/>
          <w:sz w:val="21"/>
        </w:rPr>
      </w:pPr>
    </w:p>
    <w:p w14:paraId="30B4F046">
      <w:pPr>
        <w:spacing w:line="246" w:lineRule="auto"/>
        <w:rPr>
          <w:rFonts w:ascii="Arial"/>
          <w:sz w:val="21"/>
        </w:rPr>
      </w:pPr>
    </w:p>
    <w:p w14:paraId="0027880E">
      <w:pPr>
        <w:spacing w:line="246" w:lineRule="auto"/>
        <w:rPr>
          <w:rFonts w:ascii="Arial"/>
          <w:sz w:val="21"/>
        </w:rPr>
      </w:pPr>
    </w:p>
    <w:p w14:paraId="39CB5A25">
      <w:pPr>
        <w:spacing w:line="246" w:lineRule="auto"/>
        <w:rPr>
          <w:rFonts w:ascii="Arial"/>
          <w:sz w:val="21"/>
        </w:rPr>
      </w:pPr>
    </w:p>
    <w:p w14:paraId="4DE7FAB9">
      <w:pPr>
        <w:spacing w:before="140" w:line="222" w:lineRule="auto"/>
        <w:jc w:val="center"/>
        <w:outlineLvl w:val="0"/>
        <w:rPr>
          <w:rFonts w:ascii="宋体" w:hAnsi="宋体" w:eastAsia="宋体" w:cs="宋体"/>
          <w:sz w:val="43"/>
          <w:szCs w:val="43"/>
        </w:rPr>
      </w:pPr>
      <w:bookmarkStart w:id="5" w:name="_Toc17468"/>
      <w:r>
        <w:rPr>
          <w:rFonts w:ascii="宋体" w:hAnsi="宋体" w:eastAsia="宋体" w:cs="宋体"/>
          <w:b/>
          <w:bCs/>
          <w:spacing w:val="4"/>
          <w:sz w:val="43"/>
          <w:szCs w:val="43"/>
        </w:rPr>
        <w:t>第二章</w:t>
      </w:r>
      <w:r>
        <w:rPr>
          <w:rFonts w:ascii="宋体" w:hAnsi="宋体" w:eastAsia="宋体" w:cs="宋体"/>
          <w:spacing w:val="4"/>
          <w:sz w:val="43"/>
          <w:szCs w:val="43"/>
        </w:rPr>
        <w:t xml:space="preserve">  </w:t>
      </w:r>
      <w:r>
        <w:rPr>
          <w:rFonts w:ascii="宋体" w:hAnsi="宋体" w:eastAsia="宋体" w:cs="宋体"/>
          <w:b/>
          <w:bCs/>
          <w:spacing w:val="4"/>
          <w:sz w:val="43"/>
          <w:szCs w:val="43"/>
        </w:rPr>
        <w:t>投标人须知</w:t>
      </w:r>
      <w:bookmarkEnd w:id="5"/>
    </w:p>
    <w:p w14:paraId="606166BB">
      <w:pPr>
        <w:tabs>
          <w:tab w:val="left" w:pos="8620"/>
        </w:tabs>
        <w:spacing w:before="319" w:line="344" w:lineRule="auto"/>
        <w:ind w:left="134" w:right="1507" w:rightChars="0" w:firstLine="3253"/>
        <w:rPr>
          <w:rFonts w:hint="eastAsia" w:ascii="宋体" w:hAnsi="宋体" w:eastAsia="宋体" w:cs="宋体"/>
          <w:b/>
          <w:bCs/>
          <w:spacing w:val="-4"/>
          <w:sz w:val="30"/>
          <w:szCs w:val="30"/>
          <w:lang w:eastAsia="zh-CN"/>
        </w:rPr>
      </w:pPr>
      <w:r>
        <w:rPr>
          <w:rFonts w:ascii="宋体" w:hAnsi="宋体" w:eastAsia="宋体" w:cs="宋体"/>
          <w:b/>
          <w:bCs/>
          <w:spacing w:val="-4"/>
          <w:sz w:val="30"/>
          <w:szCs w:val="30"/>
        </w:rPr>
        <w:br w:type="page"/>
      </w:r>
      <w:r>
        <w:rPr>
          <w:rFonts w:ascii="宋体" w:hAnsi="宋体" w:eastAsia="宋体" w:cs="宋体"/>
          <w:b/>
          <w:bCs/>
          <w:spacing w:val="-4"/>
          <w:sz w:val="30"/>
          <w:szCs w:val="30"/>
        </w:rPr>
        <w:t>第二章</w:t>
      </w:r>
      <w:r>
        <w:rPr>
          <w:rFonts w:ascii="宋体" w:hAnsi="宋体" w:eastAsia="宋体" w:cs="宋体"/>
          <w:spacing w:val="-4"/>
          <w:sz w:val="30"/>
          <w:szCs w:val="30"/>
        </w:rPr>
        <w:t xml:space="preserve"> </w:t>
      </w:r>
      <w:r>
        <w:rPr>
          <w:rFonts w:ascii="宋体" w:hAnsi="宋体" w:eastAsia="宋体" w:cs="宋体"/>
          <w:b/>
          <w:bCs/>
          <w:spacing w:val="-4"/>
          <w:sz w:val="30"/>
          <w:szCs w:val="30"/>
        </w:rPr>
        <w:t>投标人</w:t>
      </w:r>
      <w:r>
        <w:rPr>
          <w:rFonts w:hint="eastAsia" w:ascii="宋体" w:hAnsi="宋体" w:eastAsia="宋体" w:cs="宋体"/>
          <w:b/>
          <w:bCs/>
          <w:spacing w:val="-4"/>
          <w:sz w:val="30"/>
          <w:szCs w:val="30"/>
          <w:lang w:eastAsia="zh-CN"/>
        </w:rPr>
        <w:t>须知</w:t>
      </w:r>
    </w:p>
    <w:p w14:paraId="285992D6">
      <w:pPr>
        <w:spacing w:before="319" w:line="344" w:lineRule="auto"/>
        <w:ind w:right="3473"/>
        <w:rPr>
          <w:rFonts w:ascii="宋体" w:hAnsi="宋体" w:eastAsia="宋体" w:cs="宋体"/>
          <w:sz w:val="12"/>
          <w:szCs w:val="12"/>
        </w:rPr>
      </w:pPr>
      <w:r>
        <w:rPr>
          <w:rFonts w:ascii="宋体" w:hAnsi="宋体" w:eastAsia="宋体" w:cs="宋体"/>
          <w:b/>
          <w:bCs/>
          <w:spacing w:val="-3"/>
          <w:sz w:val="24"/>
          <w:szCs w:val="24"/>
        </w:rPr>
        <w:t>投标人</w:t>
      </w:r>
      <w:r>
        <w:rPr>
          <w:rFonts w:hint="eastAsia" w:ascii="宋体" w:hAnsi="宋体" w:eastAsia="宋体" w:cs="宋体"/>
          <w:b/>
          <w:bCs/>
          <w:spacing w:val="-3"/>
          <w:sz w:val="24"/>
          <w:szCs w:val="24"/>
          <w:lang w:eastAsia="zh-CN"/>
        </w:rPr>
        <w:t>须</w:t>
      </w:r>
      <w:r>
        <w:rPr>
          <w:rFonts w:ascii="宋体" w:hAnsi="宋体" w:eastAsia="宋体" w:cs="宋体"/>
          <w:b/>
          <w:bCs/>
          <w:spacing w:val="-3"/>
          <w:sz w:val="24"/>
          <w:szCs w:val="24"/>
        </w:rPr>
        <w:t>知前附表</w:t>
      </w:r>
    </w:p>
    <w:tbl>
      <w:tblPr>
        <w:tblStyle w:val="13"/>
        <w:tblW w:w="94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5"/>
        <w:gridCol w:w="3073"/>
        <w:gridCol w:w="5404"/>
      </w:tblGrid>
      <w:tr w14:paraId="712E63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25" w:type="dxa"/>
            <w:vAlign w:val="top"/>
          </w:tcPr>
          <w:p w14:paraId="797FB272">
            <w:pPr>
              <w:pStyle w:val="14"/>
              <w:keepNext w:val="0"/>
              <w:keepLines w:val="0"/>
              <w:pageBreakBefore w:val="0"/>
              <w:widowControl/>
              <w:kinsoku w:val="0"/>
              <w:wordWrap/>
              <w:overflowPunct/>
              <w:topLinePunct w:val="0"/>
              <w:autoSpaceDE w:val="0"/>
              <w:autoSpaceDN w:val="0"/>
              <w:bidi w:val="0"/>
              <w:adjustRightInd w:val="0"/>
              <w:snapToGrid w:val="0"/>
              <w:spacing w:line="228" w:lineRule="auto"/>
              <w:ind w:left="217"/>
              <w:jc w:val="center"/>
              <w:textAlignment w:val="baseline"/>
              <w:rPr>
                <w:b/>
                <w:bCs/>
              </w:rPr>
            </w:pPr>
            <w:r>
              <w:rPr>
                <w:b/>
                <w:bCs/>
                <w:spacing w:val="6"/>
              </w:rPr>
              <w:t>条款号</w:t>
            </w:r>
          </w:p>
        </w:tc>
        <w:tc>
          <w:tcPr>
            <w:tcW w:w="3073" w:type="dxa"/>
            <w:vAlign w:val="top"/>
          </w:tcPr>
          <w:p w14:paraId="6D4C3E56">
            <w:pPr>
              <w:pStyle w:val="14"/>
              <w:keepNext w:val="0"/>
              <w:keepLines w:val="0"/>
              <w:pageBreakBefore w:val="0"/>
              <w:widowControl/>
              <w:kinsoku w:val="0"/>
              <w:wordWrap/>
              <w:overflowPunct/>
              <w:topLinePunct w:val="0"/>
              <w:autoSpaceDE w:val="0"/>
              <w:autoSpaceDN w:val="0"/>
              <w:bidi w:val="0"/>
              <w:adjustRightInd w:val="0"/>
              <w:snapToGrid w:val="0"/>
              <w:spacing w:line="228" w:lineRule="auto"/>
              <w:ind w:left="595"/>
              <w:jc w:val="center"/>
              <w:textAlignment w:val="baseline"/>
              <w:rPr>
                <w:b/>
                <w:bCs/>
              </w:rPr>
            </w:pPr>
            <w:r>
              <w:rPr>
                <w:b/>
                <w:bCs/>
                <w:spacing w:val="6"/>
              </w:rPr>
              <w:t>条款名称</w:t>
            </w:r>
          </w:p>
        </w:tc>
        <w:tc>
          <w:tcPr>
            <w:tcW w:w="5404" w:type="dxa"/>
            <w:vAlign w:val="top"/>
          </w:tcPr>
          <w:p w14:paraId="45973C11">
            <w:pPr>
              <w:pStyle w:val="14"/>
              <w:keepNext w:val="0"/>
              <w:keepLines w:val="0"/>
              <w:pageBreakBefore w:val="0"/>
              <w:widowControl/>
              <w:kinsoku w:val="0"/>
              <w:wordWrap/>
              <w:overflowPunct/>
              <w:topLinePunct w:val="0"/>
              <w:autoSpaceDE w:val="0"/>
              <w:autoSpaceDN w:val="0"/>
              <w:bidi w:val="0"/>
              <w:adjustRightInd w:val="0"/>
              <w:snapToGrid w:val="0"/>
              <w:spacing w:line="228" w:lineRule="auto"/>
              <w:jc w:val="center"/>
              <w:textAlignment w:val="baseline"/>
              <w:rPr>
                <w:b/>
                <w:bCs/>
              </w:rPr>
            </w:pPr>
            <w:r>
              <w:rPr>
                <w:b/>
                <w:bCs/>
                <w:spacing w:val="6"/>
              </w:rPr>
              <w:t>编列内容</w:t>
            </w:r>
          </w:p>
        </w:tc>
      </w:tr>
      <w:tr w14:paraId="176B2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9" w:hRule="atLeast"/>
        </w:trPr>
        <w:tc>
          <w:tcPr>
            <w:tcW w:w="925" w:type="dxa"/>
            <w:vAlign w:val="top"/>
          </w:tcPr>
          <w:p w14:paraId="6B71A309">
            <w:pPr>
              <w:spacing w:line="341" w:lineRule="auto"/>
              <w:rPr>
                <w:rFonts w:ascii="Arial"/>
                <w:sz w:val="21"/>
              </w:rPr>
            </w:pPr>
          </w:p>
          <w:p w14:paraId="75027F9E">
            <w:pPr>
              <w:spacing w:line="342" w:lineRule="auto"/>
              <w:rPr>
                <w:rFonts w:ascii="Arial"/>
                <w:sz w:val="21"/>
              </w:rPr>
            </w:pPr>
          </w:p>
          <w:p w14:paraId="214D2DD2">
            <w:pPr>
              <w:pStyle w:val="14"/>
              <w:spacing w:before="65" w:line="267" w:lineRule="exact"/>
              <w:ind w:left="284"/>
            </w:pPr>
            <w:r>
              <w:rPr>
                <w:position w:val="1"/>
              </w:rPr>
              <w:t>1.1.2</w:t>
            </w:r>
          </w:p>
        </w:tc>
        <w:tc>
          <w:tcPr>
            <w:tcW w:w="3073" w:type="dxa"/>
            <w:vAlign w:val="center"/>
          </w:tcPr>
          <w:p w14:paraId="3FAF85A6">
            <w:pPr>
              <w:pStyle w:val="14"/>
              <w:spacing w:before="65" w:line="228" w:lineRule="auto"/>
              <w:jc w:val="center"/>
            </w:pPr>
            <w:r>
              <w:rPr>
                <w:spacing w:val="6"/>
              </w:rPr>
              <w:t>招标人</w:t>
            </w:r>
          </w:p>
        </w:tc>
        <w:tc>
          <w:tcPr>
            <w:tcW w:w="5404" w:type="dxa"/>
            <w:vAlign w:val="top"/>
          </w:tcPr>
          <w:p w14:paraId="087D6C7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42" w:leftChars="20" w:right="0"/>
              <w:jc w:val="left"/>
              <w:textAlignment w:val="baseline"/>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名称：仁化县大桥镇人民政府</w:t>
            </w:r>
          </w:p>
          <w:p w14:paraId="483758D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42" w:leftChars="20" w:right="0"/>
              <w:jc w:val="left"/>
              <w:textAlignment w:val="baseline"/>
              <w:rPr>
                <w:rFonts w:hint="default"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 xml:space="preserve">地址：广东省韶关市仁化县大桥镇     </w:t>
            </w:r>
          </w:p>
          <w:p w14:paraId="5F470C8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42" w:leftChars="20" w:right="0"/>
              <w:jc w:val="left"/>
              <w:textAlignment w:val="baseline"/>
              <w:rPr>
                <w:rFonts w:hint="default"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 xml:space="preserve">联系人：赖庆智 </w:t>
            </w:r>
          </w:p>
          <w:p w14:paraId="585DF1ED">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2" w:leftChars="20" w:right="0"/>
              <w:textAlignment w:val="baseline"/>
            </w:pPr>
            <w:r>
              <w:rPr>
                <w:rFonts w:hint="eastAsia" w:ascii="新宋体" w:hAnsi="新宋体" w:eastAsia="新宋体" w:cs="新宋体"/>
                <w:color w:val="auto"/>
                <w:kern w:val="2"/>
                <w:sz w:val="21"/>
                <w:szCs w:val="21"/>
                <w:highlight w:val="none"/>
                <w:lang w:val="en-US" w:eastAsia="zh-CN" w:bidi="ar-SA"/>
              </w:rPr>
              <w:t>电话：0751-6411006</w:t>
            </w:r>
          </w:p>
        </w:tc>
      </w:tr>
      <w:tr w14:paraId="5871F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9" w:hRule="atLeast"/>
        </w:trPr>
        <w:tc>
          <w:tcPr>
            <w:tcW w:w="925" w:type="dxa"/>
            <w:vAlign w:val="top"/>
          </w:tcPr>
          <w:p w14:paraId="711FDC17">
            <w:pPr>
              <w:spacing w:line="241" w:lineRule="auto"/>
              <w:rPr>
                <w:rFonts w:ascii="Arial"/>
                <w:sz w:val="21"/>
              </w:rPr>
            </w:pPr>
          </w:p>
          <w:p w14:paraId="0C64E279">
            <w:pPr>
              <w:spacing w:line="241" w:lineRule="auto"/>
              <w:rPr>
                <w:rFonts w:ascii="Arial"/>
                <w:sz w:val="21"/>
              </w:rPr>
            </w:pPr>
          </w:p>
          <w:p w14:paraId="3E3C01C0">
            <w:pPr>
              <w:spacing w:line="242" w:lineRule="auto"/>
              <w:rPr>
                <w:rFonts w:ascii="Arial"/>
                <w:sz w:val="21"/>
              </w:rPr>
            </w:pPr>
          </w:p>
          <w:p w14:paraId="22CDAA39">
            <w:pPr>
              <w:pStyle w:val="14"/>
              <w:spacing w:before="65" w:line="267" w:lineRule="exact"/>
              <w:ind w:left="284"/>
            </w:pPr>
            <w:r>
              <w:rPr>
                <w:position w:val="1"/>
              </w:rPr>
              <w:t>1.1.3</w:t>
            </w:r>
          </w:p>
        </w:tc>
        <w:tc>
          <w:tcPr>
            <w:tcW w:w="3073" w:type="dxa"/>
            <w:vAlign w:val="center"/>
          </w:tcPr>
          <w:p w14:paraId="560B150D">
            <w:pPr>
              <w:pStyle w:val="14"/>
              <w:spacing w:before="65" w:line="227" w:lineRule="auto"/>
              <w:jc w:val="center"/>
            </w:pPr>
            <w:r>
              <w:rPr>
                <w:spacing w:val="8"/>
              </w:rPr>
              <w:t>招标代理机构</w:t>
            </w:r>
          </w:p>
        </w:tc>
        <w:tc>
          <w:tcPr>
            <w:tcW w:w="5404" w:type="dxa"/>
            <w:vAlign w:val="top"/>
          </w:tcPr>
          <w:p w14:paraId="4777AE5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42" w:leftChars="20" w:right="0"/>
              <w:jc w:val="left"/>
              <w:textAlignment w:val="baseline"/>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名称：广东聚佳项目管理咨询有限公司</w:t>
            </w:r>
          </w:p>
          <w:p w14:paraId="33A8F74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42" w:leftChars="20" w:right="0"/>
              <w:jc w:val="left"/>
              <w:textAlignment w:val="baseline"/>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地址：广州市天河区元岗横路35号2层B3208房</w:t>
            </w:r>
          </w:p>
          <w:p w14:paraId="066B9FE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60" w:lineRule="auto"/>
              <w:ind w:left="42" w:leftChars="20" w:right="0"/>
              <w:jc w:val="left"/>
              <w:textAlignment w:val="baseline"/>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联系人：赵工</w:t>
            </w:r>
          </w:p>
          <w:p w14:paraId="7903F9BF">
            <w:pPr>
              <w:pStyle w:val="14"/>
              <w:keepNext w:val="0"/>
              <w:keepLines w:val="0"/>
              <w:pageBreakBefore w:val="0"/>
              <w:widowControl/>
              <w:kinsoku w:val="0"/>
              <w:wordWrap/>
              <w:overflowPunct/>
              <w:topLinePunct w:val="0"/>
              <w:autoSpaceDE w:val="0"/>
              <w:autoSpaceDN w:val="0"/>
              <w:bidi w:val="0"/>
              <w:adjustRightInd w:val="0"/>
              <w:snapToGrid w:val="0"/>
              <w:spacing w:line="360" w:lineRule="auto"/>
              <w:ind w:left="42" w:leftChars="20" w:right="0"/>
              <w:textAlignment w:val="baseline"/>
            </w:pPr>
            <w:r>
              <w:rPr>
                <w:rFonts w:hint="eastAsia" w:ascii="新宋体" w:hAnsi="新宋体" w:eastAsia="新宋体" w:cs="新宋体"/>
                <w:color w:val="auto"/>
                <w:kern w:val="2"/>
                <w:sz w:val="21"/>
                <w:szCs w:val="21"/>
                <w:highlight w:val="none"/>
                <w:lang w:val="en-US" w:eastAsia="zh-CN" w:bidi="ar-SA"/>
              </w:rPr>
              <w:t>电话：020-31567964</w:t>
            </w:r>
          </w:p>
        </w:tc>
      </w:tr>
      <w:tr w14:paraId="1121B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25" w:type="dxa"/>
            <w:vAlign w:val="top"/>
          </w:tcPr>
          <w:p w14:paraId="15623F8B">
            <w:pPr>
              <w:pStyle w:val="14"/>
              <w:spacing w:before="226" w:line="268" w:lineRule="exact"/>
              <w:ind w:left="284"/>
            </w:pPr>
            <w:r>
              <w:rPr>
                <w:position w:val="1"/>
              </w:rPr>
              <w:t>1.1.4</w:t>
            </w:r>
          </w:p>
        </w:tc>
        <w:tc>
          <w:tcPr>
            <w:tcW w:w="3073" w:type="dxa"/>
            <w:vAlign w:val="center"/>
          </w:tcPr>
          <w:p w14:paraId="11AA228B">
            <w:pPr>
              <w:pStyle w:val="14"/>
              <w:spacing w:before="227" w:line="228" w:lineRule="auto"/>
              <w:jc w:val="center"/>
            </w:pPr>
            <w:r>
              <w:rPr>
                <w:spacing w:val="8"/>
              </w:rPr>
              <w:t>招标项目名称</w:t>
            </w:r>
          </w:p>
        </w:tc>
        <w:tc>
          <w:tcPr>
            <w:tcW w:w="5404" w:type="dxa"/>
            <w:vAlign w:val="center"/>
          </w:tcPr>
          <w:p w14:paraId="252FF473">
            <w:pPr>
              <w:keepNext w:val="0"/>
              <w:keepLines w:val="0"/>
              <w:pageBreakBefore w:val="0"/>
              <w:widowControl/>
              <w:kinsoku w:val="0"/>
              <w:wordWrap/>
              <w:overflowPunct/>
              <w:topLinePunct w:val="0"/>
              <w:autoSpaceDE w:val="0"/>
              <w:autoSpaceDN w:val="0"/>
              <w:bidi w:val="0"/>
              <w:adjustRightInd w:val="0"/>
              <w:snapToGrid w:val="0"/>
              <w:ind w:left="42" w:leftChars="20"/>
              <w:jc w:val="both"/>
              <w:textAlignment w:val="baseline"/>
              <w:rPr>
                <w:rFonts w:ascii="Arial"/>
                <w:sz w:val="21"/>
              </w:rPr>
            </w:pPr>
            <w:r>
              <w:rPr>
                <w:rFonts w:hint="eastAsia" w:ascii="Arial"/>
                <w:sz w:val="21"/>
                <w:lang w:eastAsia="zh-CN"/>
              </w:rPr>
              <w:t>韶关市北江（仁化大桥）渔港升级改造和整治维护项目施工</w:t>
            </w:r>
          </w:p>
        </w:tc>
      </w:tr>
      <w:tr w14:paraId="19994D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25" w:type="dxa"/>
            <w:vAlign w:val="top"/>
          </w:tcPr>
          <w:p w14:paraId="677F66E6">
            <w:pPr>
              <w:pStyle w:val="14"/>
              <w:spacing w:before="225" w:line="268" w:lineRule="exact"/>
              <w:ind w:left="284"/>
            </w:pPr>
            <w:r>
              <w:rPr>
                <w:position w:val="1"/>
              </w:rPr>
              <w:t>1.1.5</w:t>
            </w:r>
          </w:p>
        </w:tc>
        <w:tc>
          <w:tcPr>
            <w:tcW w:w="3073" w:type="dxa"/>
            <w:vAlign w:val="center"/>
          </w:tcPr>
          <w:p w14:paraId="40756667">
            <w:pPr>
              <w:pStyle w:val="14"/>
              <w:spacing w:before="208" w:line="265" w:lineRule="exact"/>
              <w:jc w:val="center"/>
              <w:rPr>
                <w:sz w:val="10"/>
                <w:szCs w:val="10"/>
              </w:rPr>
            </w:pPr>
            <w:r>
              <w:rPr>
                <w:spacing w:val="8"/>
              </w:rPr>
              <w:t>标段建设地点</w:t>
            </w:r>
          </w:p>
        </w:tc>
        <w:tc>
          <w:tcPr>
            <w:tcW w:w="5404" w:type="dxa"/>
            <w:vAlign w:val="center"/>
          </w:tcPr>
          <w:p w14:paraId="20E7EC19">
            <w:pPr>
              <w:keepNext w:val="0"/>
              <w:keepLines w:val="0"/>
              <w:pageBreakBefore w:val="0"/>
              <w:widowControl/>
              <w:kinsoku w:val="0"/>
              <w:wordWrap/>
              <w:overflowPunct/>
              <w:topLinePunct w:val="0"/>
              <w:autoSpaceDE w:val="0"/>
              <w:autoSpaceDN w:val="0"/>
              <w:bidi w:val="0"/>
              <w:adjustRightInd w:val="0"/>
              <w:snapToGrid w:val="0"/>
              <w:ind w:left="42" w:leftChars="20"/>
              <w:jc w:val="both"/>
              <w:textAlignment w:val="baseline"/>
              <w:rPr>
                <w:rFonts w:ascii="Arial"/>
                <w:sz w:val="21"/>
              </w:rPr>
            </w:pPr>
            <w:r>
              <w:rPr>
                <w:rFonts w:hint="eastAsia" w:ascii="Arial"/>
                <w:sz w:val="21"/>
                <w:lang w:val="en-US" w:eastAsia="zh-CN"/>
              </w:rPr>
              <w:t>广东省韶关市仁化县大桥镇</w:t>
            </w:r>
          </w:p>
        </w:tc>
      </w:tr>
      <w:tr w14:paraId="594D0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25" w:type="dxa"/>
            <w:vAlign w:val="top"/>
          </w:tcPr>
          <w:p w14:paraId="21CED536">
            <w:pPr>
              <w:pStyle w:val="14"/>
              <w:spacing w:before="227" w:line="267" w:lineRule="exact"/>
              <w:ind w:left="284"/>
            </w:pPr>
            <w:r>
              <w:rPr>
                <w:position w:val="1"/>
              </w:rPr>
              <w:t>1.2.1</w:t>
            </w:r>
          </w:p>
        </w:tc>
        <w:tc>
          <w:tcPr>
            <w:tcW w:w="3073" w:type="dxa"/>
            <w:vAlign w:val="center"/>
          </w:tcPr>
          <w:p w14:paraId="5A1622E6">
            <w:pPr>
              <w:pStyle w:val="14"/>
              <w:spacing w:before="226" w:line="228" w:lineRule="auto"/>
              <w:jc w:val="center"/>
            </w:pPr>
            <w:r>
              <w:rPr>
                <w:spacing w:val="7"/>
              </w:rPr>
              <w:t>资金来源及比例</w:t>
            </w:r>
          </w:p>
        </w:tc>
        <w:tc>
          <w:tcPr>
            <w:tcW w:w="5404" w:type="dxa"/>
            <w:vAlign w:val="center"/>
          </w:tcPr>
          <w:p w14:paraId="30073AEF">
            <w:pPr>
              <w:keepNext w:val="0"/>
              <w:keepLines w:val="0"/>
              <w:pageBreakBefore w:val="0"/>
              <w:widowControl/>
              <w:kinsoku w:val="0"/>
              <w:wordWrap/>
              <w:overflowPunct/>
              <w:topLinePunct w:val="0"/>
              <w:autoSpaceDE w:val="0"/>
              <w:autoSpaceDN w:val="0"/>
              <w:bidi w:val="0"/>
              <w:adjustRightInd w:val="0"/>
              <w:snapToGrid w:val="0"/>
              <w:ind w:left="42" w:leftChars="20"/>
              <w:jc w:val="both"/>
              <w:textAlignment w:val="baseline"/>
              <w:rPr>
                <w:rFonts w:ascii="Arial"/>
                <w:sz w:val="21"/>
              </w:rPr>
            </w:pPr>
            <w:r>
              <w:rPr>
                <w:rFonts w:hint="eastAsia" w:ascii="Arial"/>
                <w:sz w:val="21"/>
                <w:lang w:val="en-US" w:eastAsia="zh-CN"/>
              </w:rPr>
              <w:t>财政性资金，100%</w:t>
            </w:r>
          </w:p>
        </w:tc>
      </w:tr>
      <w:tr w14:paraId="76C8C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25" w:type="dxa"/>
            <w:vAlign w:val="top"/>
          </w:tcPr>
          <w:p w14:paraId="712DF459">
            <w:pPr>
              <w:pStyle w:val="14"/>
              <w:spacing w:before="226" w:line="267" w:lineRule="exact"/>
              <w:ind w:left="284"/>
            </w:pPr>
            <w:r>
              <w:rPr>
                <w:position w:val="1"/>
              </w:rPr>
              <w:t>1.2.2</w:t>
            </w:r>
          </w:p>
        </w:tc>
        <w:tc>
          <w:tcPr>
            <w:tcW w:w="3073" w:type="dxa"/>
            <w:vAlign w:val="center"/>
          </w:tcPr>
          <w:p w14:paraId="4482B0AF">
            <w:pPr>
              <w:pStyle w:val="14"/>
              <w:spacing w:before="226" w:line="228" w:lineRule="auto"/>
              <w:jc w:val="center"/>
            </w:pPr>
            <w:r>
              <w:rPr>
                <w:spacing w:val="6"/>
              </w:rPr>
              <w:t>资金落实情况</w:t>
            </w:r>
          </w:p>
        </w:tc>
        <w:tc>
          <w:tcPr>
            <w:tcW w:w="5404" w:type="dxa"/>
            <w:vAlign w:val="center"/>
          </w:tcPr>
          <w:p w14:paraId="4434942C">
            <w:pPr>
              <w:keepNext w:val="0"/>
              <w:keepLines w:val="0"/>
              <w:pageBreakBefore w:val="0"/>
              <w:widowControl/>
              <w:kinsoku w:val="0"/>
              <w:wordWrap/>
              <w:overflowPunct/>
              <w:topLinePunct w:val="0"/>
              <w:autoSpaceDE w:val="0"/>
              <w:autoSpaceDN w:val="0"/>
              <w:bidi w:val="0"/>
              <w:adjustRightInd w:val="0"/>
              <w:snapToGrid w:val="0"/>
              <w:ind w:left="42" w:leftChars="20"/>
              <w:jc w:val="both"/>
              <w:textAlignment w:val="baseline"/>
              <w:rPr>
                <w:rFonts w:ascii="Arial"/>
                <w:sz w:val="21"/>
              </w:rPr>
            </w:pPr>
            <w:r>
              <w:rPr>
                <w:rFonts w:ascii="Arial"/>
                <w:sz w:val="21"/>
                <w:lang w:val="en-US" w:eastAsia="zh-CN"/>
              </w:rPr>
              <w:t>已落实</w:t>
            </w:r>
          </w:p>
        </w:tc>
      </w:tr>
      <w:tr w14:paraId="0326A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25" w:type="dxa"/>
            <w:vAlign w:val="top"/>
          </w:tcPr>
          <w:p w14:paraId="48124201">
            <w:pPr>
              <w:pStyle w:val="14"/>
              <w:spacing w:before="225" w:line="267" w:lineRule="exact"/>
              <w:ind w:left="284"/>
            </w:pPr>
            <w:r>
              <w:rPr>
                <w:position w:val="1"/>
              </w:rPr>
              <w:t>1.3.1</w:t>
            </w:r>
          </w:p>
        </w:tc>
        <w:tc>
          <w:tcPr>
            <w:tcW w:w="3073" w:type="dxa"/>
            <w:vAlign w:val="center"/>
          </w:tcPr>
          <w:p w14:paraId="69E2F4A4">
            <w:pPr>
              <w:pStyle w:val="14"/>
              <w:spacing w:before="225" w:line="228" w:lineRule="auto"/>
              <w:jc w:val="center"/>
            </w:pPr>
            <w:r>
              <w:rPr>
                <w:spacing w:val="7"/>
              </w:rPr>
              <w:t>招标范围</w:t>
            </w:r>
          </w:p>
        </w:tc>
        <w:tc>
          <w:tcPr>
            <w:tcW w:w="5404" w:type="dxa"/>
            <w:vAlign w:val="top"/>
          </w:tcPr>
          <w:p w14:paraId="56E686FA">
            <w:pPr>
              <w:keepNext w:val="0"/>
              <w:keepLines w:val="0"/>
              <w:pageBreakBefore w:val="0"/>
              <w:widowControl/>
              <w:kinsoku w:val="0"/>
              <w:wordWrap/>
              <w:overflowPunct/>
              <w:topLinePunct w:val="0"/>
              <w:autoSpaceDE w:val="0"/>
              <w:autoSpaceDN w:val="0"/>
              <w:bidi w:val="0"/>
              <w:adjustRightInd w:val="0"/>
              <w:snapToGrid w:val="0"/>
              <w:ind w:left="42" w:leftChars="20" w:firstLine="420" w:firstLineChars="200"/>
              <w:textAlignment w:val="baseline"/>
              <w:rPr>
                <w:rFonts w:ascii="Arial"/>
                <w:sz w:val="21"/>
              </w:rPr>
            </w:pPr>
            <w:r>
              <w:rPr>
                <w:rFonts w:hint="eastAsia" w:ascii="Arial"/>
                <w:sz w:val="21"/>
                <w:lang w:val="en-US" w:eastAsia="zh-CN"/>
              </w:rPr>
              <w:t>本项目为韶关市北江(仁化大桥)渔港升级改造和整治维护项目，为内陆渔港，本项目建设渔业码头77米，渔政船浮码头1座，护岸82米，港池挖泥0.82万立方米，场地平整及道路硬化3525米，现有渔港管理中心（装修），临时工程1项，配套码头照明、给排水、消防工程和监控设备等。</w:t>
            </w:r>
          </w:p>
        </w:tc>
      </w:tr>
      <w:tr w14:paraId="590F7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925" w:type="dxa"/>
            <w:vAlign w:val="top"/>
          </w:tcPr>
          <w:p w14:paraId="03B2CF49">
            <w:pPr>
              <w:spacing w:line="267" w:lineRule="auto"/>
              <w:rPr>
                <w:rFonts w:ascii="Arial"/>
                <w:sz w:val="21"/>
              </w:rPr>
            </w:pPr>
          </w:p>
          <w:p w14:paraId="305CF8AA">
            <w:pPr>
              <w:spacing w:line="268" w:lineRule="auto"/>
              <w:rPr>
                <w:rFonts w:ascii="Arial"/>
                <w:sz w:val="21"/>
              </w:rPr>
            </w:pPr>
          </w:p>
          <w:p w14:paraId="40375BC9">
            <w:pPr>
              <w:pStyle w:val="14"/>
              <w:spacing w:before="65" w:line="267" w:lineRule="exact"/>
              <w:ind w:left="284"/>
            </w:pPr>
            <w:r>
              <w:rPr>
                <w:position w:val="1"/>
              </w:rPr>
              <w:t>1.3.2</w:t>
            </w:r>
          </w:p>
        </w:tc>
        <w:tc>
          <w:tcPr>
            <w:tcW w:w="3073" w:type="dxa"/>
            <w:vAlign w:val="center"/>
          </w:tcPr>
          <w:p w14:paraId="508D95B9">
            <w:pPr>
              <w:spacing w:line="267" w:lineRule="auto"/>
              <w:jc w:val="center"/>
              <w:rPr>
                <w:rFonts w:ascii="Arial"/>
                <w:sz w:val="21"/>
              </w:rPr>
            </w:pPr>
          </w:p>
          <w:p w14:paraId="70BCB37C">
            <w:pPr>
              <w:pStyle w:val="14"/>
              <w:spacing w:before="65" w:line="228" w:lineRule="auto"/>
              <w:jc w:val="center"/>
            </w:pPr>
            <w:r>
              <w:rPr>
                <w:spacing w:val="7"/>
              </w:rPr>
              <w:t>计划工期</w:t>
            </w:r>
          </w:p>
        </w:tc>
        <w:tc>
          <w:tcPr>
            <w:tcW w:w="5404" w:type="dxa"/>
            <w:vAlign w:val="top"/>
          </w:tcPr>
          <w:p w14:paraId="5D007B06">
            <w:pPr>
              <w:pStyle w:val="14"/>
              <w:spacing w:before="203" w:line="228" w:lineRule="auto"/>
              <w:ind w:left="118"/>
            </w:pPr>
            <w:r>
              <w:rPr>
                <w:spacing w:val="3"/>
              </w:rPr>
              <w:t>计划工期：</w:t>
            </w:r>
            <w:r>
              <w:rPr>
                <w:spacing w:val="3"/>
                <w:u w:val="single" w:color="auto"/>
              </w:rPr>
              <w:t xml:space="preserve"> </w:t>
            </w:r>
            <w:r>
              <w:rPr>
                <w:rFonts w:hint="eastAsia"/>
                <w:spacing w:val="3"/>
                <w:u w:val="single" w:color="auto"/>
                <w:lang w:val="en-US" w:eastAsia="zh-CN"/>
              </w:rPr>
              <w:t>180</w:t>
            </w:r>
            <w:r>
              <w:rPr>
                <w:spacing w:val="-50"/>
              </w:rPr>
              <w:t xml:space="preserve"> </w:t>
            </w:r>
            <w:r>
              <w:rPr>
                <w:spacing w:val="3"/>
              </w:rPr>
              <w:t>日历天</w:t>
            </w:r>
          </w:p>
          <w:p w14:paraId="50BEA433">
            <w:pPr>
              <w:pStyle w:val="14"/>
              <w:spacing w:before="153" w:line="228" w:lineRule="auto"/>
              <w:ind w:left="118"/>
            </w:pPr>
            <w:r>
              <w:rPr>
                <w:spacing w:val="5"/>
              </w:rPr>
              <w:t>计划开工日期：</w:t>
            </w:r>
            <w:r>
              <w:rPr>
                <w:spacing w:val="5"/>
                <w:u w:val="single" w:color="auto"/>
                <w:lang w:val="en-US" w:eastAsia="zh-CN"/>
              </w:rPr>
              <w:t>以合同签订时间为准</w:t>
            </w:r>
          </w:p>
          <w:p w14:paraId="167E46DE">
            <w:pPr>
              <w:pStyle w:val="14"/>
              <w:spacing w:before="134" w:line="246" w:lineRule="auto"/>
              <w:ind w:left="118"/>
              <w:rPr>
                <w:spacing w:val="3"/>
                <w:u w:val="single" w:color="auto"/>
                <w:lang w:val="en-US" w:eastAsia="zh-CN"/>
              </w:rPr>
            </w:pPr>
            <w:r>
              <w:rPr>
                <w:spacing w:val="3"/>
              </w:rPr>
              <w:t>计划交工日期：</w:t>
            </w:r>
            <w:r>
              <w:rPr>
                <w:spacing w:val="3"/>
                <w:u w:val="single" w:color="auto"/>
                <w:lang w:val="en-US" w:eastAsia="zh-CN"/>
              </w:rPr>
              <w:t>以合同签订时间为准</w:t>
            </w:r>
          </w:p>
          <w:p w14:paraId="0DAFDB64">
            <w:pPr>
              <w:pStyle w:val="14"/>
              <w:spacing w:before="134" w:line="246" w:lineRule="auto"/>
              <w:rPr>
                <w:sz w:val="10"/>
                <w:szCs w:val="10"/>
              </w:rPr>
            </w:pPr>
          </w:p>
        </w:tc>
      </w:tr>
      <w:tr w14:paraId="136B4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925" w:type="dxa"/>
            <w:vAlign w:val="top"/>
          </w:tcPr>
          <w:p w14:paraId="1F25DB71">
            <w:pPr>
              <w:pStyle w:val="14"/>
              <w:spacing w:before="241" w:line="268" w:lineRule="exact"/>
              <w:ind w:left="284"/>
            </w:pPr>
            <w:r>
              <w:rPr>
                <w:position w:val="1"/>
              </w:rPr>
              <w:t>1.3.3</w:t>
            </w:r>
          </w:p>
        </w:tc>
        <w:tc>
          <w:tcPr>
            <w:tcW w:w="3073" w:type="dxa"/>
            <w:vAlign w:val="center"/>
          </w:tcPr>
          <w:p w14:paraId="6E94FF75">
            <w:pPr>
              <w:pStyle w:val="14"/>
              <w:spacing w:before="242" w:line="228" w:lineRule="auto"/>
              <w:jc w:val="center"/>
            </w:pPr>
            <w:r>
              <w:rPr>
                <w:spacing w:val="7"/>
              </w:rPr>
              <w:t>质量要求</w:t>
            </w:r>
          </w:p>
        </w:tc>
        <w:tc>
          <w:tcPr>
            <w:tcW w:w="5404" w:type="dxa"/>
            <w:vAlign w:val="center"/>
          </w:tcPr>
          <w:p w14:paraId="5807CF1E">
            <w:pPr>
              <w:keepNext w:val="0"/>
              <w:keepLines w:val="0"/>
              <w:pageBreakBefore w:val="0"/>
              <w:widowControl/>
              <w:kinsoku w:val="0"/>
              <w:wordWrap/>
              <w:overflowPunct/>
              <w:topLinePunct w:val="0"/>
              <w:autoSpaceDE w:val="0"/>
              <w:autoSpaceDN w:val="0"/>
              <w:bidi w:val="0"/>
              <w:adjustRightInd w:val="0"/>
              <w:snapToGrid w:val="0"/>
              <w:ind w:left="42" w:leftChars="20"/>
              <w:jc w:val="both"/>
              <w:textAlignment w:val="baseline"/>
              <w:rPr>
                <w:rFonts w:ascii="Arial"/>
                <w:sz w:val="21"/>
              </w:rPr>
            </w:pPr>
            <w:r>
              <w:rPr>
                <w:rFonts w:ascii="Arial"/>
                <w:sz w:val="21"/>
                <w:lang w:val="en-US" w:eastAsia="zh-CN"/>
              </w:rPr>
              <w:t>合格</w:t>
            </w:r>
          </w:p>
        </w:tc>
      </w:tr>
      <w:tr w14:paraId="1CD21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925" w:type="dxa"/>
            <w:vAlign w:val="top"/>
          </w:tcPr>
          <w:p w14:paraId="652D3A34">
            <w:pPr>
              <w:spacing w:line="404" w:lineRule="auto"/>
              <w:rPr>
                <w:rFonts w:ascii="Arial"/>
                <w:sz w:val="21"/>
              </w:rPr>
            </w:pPr>
          </w:p>
          <w:p w14:paraId="79897B34">
            <w:pPr>
              <w:pStyle w:val="14"/>
              <w:spacing w:before="65" w:line="268" w:lineRule="exact"/>
              <w:ind w:left="284"/>
            </w:pPr>
            <w:r>
              <w:rPr>
                <w:position w:val="1"/>
              </w:rPr>
              <w:t>1.3.4</w:t>
            </w:r>
          </w:p>
        </w:tc>
        <w:tc>
          <w:tcPr>
            <w:tcW w:w="3073" w:type="dxa"/>
            <w:vAlign w:val="center"/>
          </w:tcPr>
          <w:p w14:paraId="5F270A18">
            <w:pPr>
              <w:spacing w:line="405" w:lineRule="auto"/>
              <w:jc w:val="center"/>
              <w:rPr>
                <w:rFonts w:ascii="Arial"/>
                <w:sz w:val="21"/>
              </w:rPr>
            </w:pPr>
          </w:p>
          <w:p w14:paraId="1AAA956F">
            <w:pPr>
              <w:pStyle w:val="14"/>
              <w:spacing w:before="65" w:line="228" w:lineRule="auto"/>
              <w:jc w:val="center"/>
            </w:pPr>
            <w:r>
              <w:rPr>
                <w:spacing w:val="6"/>
              </w:rPr>
              <w:t>安全目标</w:t>
            </w:r>
          </w:p>
        </w:tc>
        <w:tc>
          <w:tcPr>
            <w:tcW w:w="5404" w:type="dxa"/>
            <w:vAlign w:val="top"/>
          </w:tcPr>
          <w:p w14:paraId="34BD74AB">
            <w:pPr>
              <w:pStyle w:val="14"/>
              <w:spacing w:before="271" w:line="359" w:lineRule="auto"/>
              <w:ind w:left="143" w:right="337" w:hanging="24"/>
            </w:pPr>
            <w:r>
              <w:rPr>
                <w:spacing w:val="9"/>
              </w:rPr>
              <w:t>严格执行有关安全生产的法律法规和规章制度，确保项目建设期</w:t>
            </w:r>
            <w:r>
              <w:rPr>
                <w:spacing w:val="-13"/>
              </w:rPr>
              <w:t>内</w:t>
            </w:r>
            <w:r>
              <w:rPr>
                <w:spacing w:val="1"/>
                <w:u w:val="single" w:color="auto"/>
              </w:rPr>
              <w:t xml:space="preserve">   </w:t>
            </w:r>
            <w:r>
              <w:rPr>
                <w:rFonts w:hint="eastAsia"/>
                <w:spacing w:val="1"/>
                <w:u w:val="single" w:color="auto"/>
                <w:lang w:val="en-US" w:eastAsia="zh-CN"/>
              </w:rPr>
              <w:t>无安全责任事故</w:t>
            </w:r>
            <w:r>
              <w:rPr>
                <w:spacing w:val="1"/>
                <w:u w:val="single" w:color="auto"/>
              </w:rPr>
              <w:t xml:space="preserve">   </w:t>
            </w:r>
            <w:r>
              <w:rPr>
                <w:u w:val="single" w:color="auto"/>
              </w:rPr>
              <w:t xml:space="preserve">  </w:t>
            </w:r>
            <w:r>
              <w:rPr>
                <w:spacing w:val="-13"/>
              </w:rPr>
              <w:t>。</w:t>
            </w:r>
          </w:p>
        </w:tc>
      </w:tr>
      <w:tr w14:paraId="180BD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925" w:type="dxa"/>
            <w:vAlign w:val="top"/>
          </w:tcPr>
          <w:p w14:paraId="13196107">
            <w:pPr>
              <w:spacing w:line="337" w:lineRule="auto"/>
              <w:rPr>
                <w:rFonts w:ascii="Arial"/>
                <w:sz w:val="21"/>
              </w:rPr>
            </w:pPr>
          </w:p>
          <w:p w14:paraId="0FF8EE67">
            <w:pPr>
              <w:spacing w:line="338" w:lineRule="auto"/>
              <w:rPr>
                <w:rFonts w:ascii="Arial"/>
                <w:sz w:val="21"/>
              </w:rPr>
            </w:pPr>
          </w:p>
          <w:p w14:paraId="645CDFF6">
            <w:pPr>
              <w:pStyle w:val="14"/>
              <w:spacing w:before="65" w:line="268" w:lineRule="exact"/>
              <w:ind w:left="284"/>
            </w:pPr>
            <w:r>
              <w:rPr>
                <w:position w:val="1"/>
              </w:rPr>
              <w:t>1.4.1</w:t>
            </w:r>
          </w:p>
        </w:tc>
        <w:tc>
          <w:tcPr>
            <w:tcW w:w="3073" w:type="dxa"/>
            <w:vAlign w:val="center"/>
          </w:tcPr>
          <w:p w14:paraId="38B5336A">
            <w:pPr>
              <w:pStyle w:val="14"/>
              <w:spacing w:before="65" w:line="369" w:lineRule="auto"/>
              <w:ind w:right="112"/>
              <w:jc w:val="center"/>
            </w:pPr>
            <w:r>
              <w:rPr>
                <w:spacing w:val="-2"/>
              </w:rPr>
              <w:t>投标人资质条件、能</w:t>
            </w:r>
            <w:r>
              <w:rPr>
                <w:spacing w:val="6"/>
              </w:rPr>
              <w:t>力和信誉</w:t>
            </w:r>
          </w:p>
        </w:tc>
        <w:tc>
          <w:tcPr>
            <w:tcW w:w="5404" w:type="dxa"/>
            <w:vAlign w:val="top"/>
          </w:tcPr>
          <w:p w14:paraId="4168F413">
            <w:pPr>
              <w:pStyle w:val="14"/>
              <w:spacing w:before="144" w:line="227" w:lineRule="auto"/>
              <w:ind w:left="127"/>
            </w:pPr>
            <w:r>
              <w:rPr>
                <w:spacing w:val="7"/>
              </w:rPr>
              <w:t>资质条件要求：见附录</w:t>
            </w:r>
            <w:r>
              <w:rPr>
                <w:spacing w:val="-22"/>
              </w:rPr>
              <w:t xml:space="preserve"> </w:t>
            </w:r>
            <w:r>
              <w:rPr>
                <w:spacing w:val="7"/>
              </w:rPr>
              <w:t>1</w:t>
            </w:r>
          </w:p>
          <w:p w14:paraId="492F1B0A">
            <w:pPr>
              <w:pStyle w:val="14"/>
              <w:spacing w:before="154" w:line="227" w:lineRule="auto"/>
              <w:ind w:left="119"/>
            </w:pPr>
            <w:r>
              <w:rPr>
                <w:spacing w:val="7"/>
              </w:rPr>
              <w:t>财务要求：见附录</w:t>
            </w:r>
            <w:r>
              <w:rPr>
                <w:spacing w:val="-32"/>
              </w:rPr>
              <w:t xml:space="preserve"> </w:t>
            </w:r>
            <w:r>
              <w:rPr>
                <w:spacing w:val="7"/>
              </w:rPr>
              <w:t>2</w:t>
            </w:r>
          </w:p>
          <w:p w14:paraId="4448C762">
            <w:pPr>
              <w:pStyle w:val="14"/>
              <w:spacing w:before="152" w:line="227" w:lineRule="auto"/>
              <w:ind w:left="117"/>
            </w:pPr>
            <w:r>
              <w:rPr>
                <w:spacing w:val="7"/>
              </w:rPr>
              <w:t>业绩要求：见附录</w:t>
            </w:r>
            <w:r>
              <w:rPr>
                <w:spacing w:val="-29"/>
              </w:rPr>
              <w:t xml:space="preserve"> </w:t>
            </w:r>
            <w:r>
              <w:rPr>
                <w:spacing w:val="7"/>
              </w:rPr>
              <w:t>3</w:t>
            </w:r>
          </w:p>
          <w:p w14:paraId="03262077">
            <w:pPr>
              <w:pStyle w:val="14"/>
              <w:spacing w:before="155" w:line="227" w:lineRule="auto"/>
              <w:ind w:left="118"/>
              <w:rPr>
                <w:spacing w:val="14"/>
              </w:rPr>
            </w:pPr>
            <w:r>
              <w:rPr>
                <w:spacing w:val="14"/>
              </w:rPr>
              <w:t>信誉要求：见附录4</w:t>
            </w:r>
          </w:p>
          <w:p w14:paraId="0DF317D2">
            <w:pPr>
              <w:pStyle w:val="14"/>
              <w:spacing w:before="155" w:line="227" w:lineRule="auto"/>
              <w:ind w:left="118"/>
              <w:rPr>
                <w:spacing w:val="14"/>
              </w:rPr>
            </w:pPr>
            <w:r>
              <w:rPr>
                <w:spacing w:val="14"/>
              </w:rPr>
              <w:t>项目负责人和项目技术负责人要求：见附录 5</w:t>
            </w:r>
          </w:p>
        </w:tc>
      </w:tr>
    </w:tbl>
    <w:p w14:paraId="4DA347A3">
      <w:pPr>
        <w:spacing w:before="34"/>
        <w:rPr>
          <w:rFonts w:hint="eastAsia" w:eastAsia="宋体"/>
          <w:lang w:eastAsia="zh-CN"/>
        </w:rPr>
      </w:pPr>
      <w:r>
        <w:rPr>
          <w:rFonts w:hint="eastAsia" w:eastAsia="宋体"/>
          <w:lang w:eastAsia="zh-CN"/>
        </w:rPr>
        <w:br w:type="page"/>
      </w:r>
    </w:p>
    <w:tbl>
      <w:tblPr>
        <w:tblStyle w:val="13"/>
        <w:tblW w:w="94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1"/>
        <w:gridCol w:w="3087"/>
        <w:gridCol w:w="5404"/>
      </w:tblGrid>
      <w:tr w14:paraId="3B7C13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 w:hRule="atLeast"/>
        </w:trPr>
        <w:tc>
          <w:tcPr>
            <w:tcW w:w="911" w:type="dxa"/>
            <w:vAlign w:val="top"/>
          </w:tcPr>
          <w:p w14:paraId="1F1FF0DD">
            <w:pPr>
              <w:pStyle w:val="14"/>
              <w:keepNext w:val="0"/>
              <w:keepLines w:val="0"/>
              <w:pageBreakBefore w:val="0"/>
              <w:widowControl/>
              <w:kinsoku w:val="0"/>
              <w:wordWrap/>
              <w:overflowPunct/>
              <w:topLinePunct w:val="0"/>
              <w:autoSpaceDE w:val="0"/>
              <w:autoSpaceDN w:val="0"/>
              <w:bidi w:val="0"/>
              <w:adjustRightInd w:val="0"/>
              <w:snapToGrid w:val="0"/>
              <w:spacing w:line="228" w:lineRule="auto"/>
              <w:ind w:left="217"/>
              <w:jc w:val="center"/>
              <w:textAlignment w:val="baseline"/>
              <w:rPr>
                <w:b/>
                <w:bCs/>
              </w:rPr>
            </w:pPr>
            <w:r>
              <w:rPr>
                <w:b/>
                <w:bCs/>
                <w:spacing w:val="6"/>
              </w:rPr>
              <w:t>条款号</w:t>
            </w:r>
          </w:p>
        </w:tc>
        <w:tc>
          <w:tcPr>
            <w:tcW w:w="3087" w:type="dxa"/>
            <w:vAlign w:val="top"/>
          </w:tcPr>
          <w:p w14:paraId="79D74308">
            <w:pPr>
              <w:pStyle w:val="14"/>
              <w:keepNext w:val="0"/>
              <w:keepLines w:val="0"/>
              <w:pageBreakBefore w:val="0"/>
              <w:widowControl/>
              <w:kinsoku w:val="0"/>
              <w:wordWrap/>
              <w:overflowPunct/>
              <w:topLinePunct w:val="0"/>
              <w:autoSpaceDE w:val="0"/>
              <w:autoSpaceDN w:val="0"/>
              <w:bidi w:val="0"/>
              <w:adjustRightInd w:val="0"/>
              <w:snapToGrid w:val="0"/>
              <w:spacing w:line="228" w:lineRule="auto"/>
              <w:ind w:left="595"/>
              <w:jc w:val="center"/>
              <w:textAlignment w:val="baseline"/>
              <w:rPr>
                <w:b/>
                <w:bCs/>
              </w:rPr>
            </w:pPr>
            <w:r>
              <w:rPr>
                <w:b/>
                <w:bCs/>
                <w:spacing w:val="6"/>
              </w:rPr>
              <w:t>条款名称</w:t>
            </w:r>
          </w:p>
        </w:tc>
        <w:tc>
          <w:tcPr>
            <w:tcW w:w="5404" w:type="dxa"/>
            <w:vAlign w:val="top"/>
          </w:tcPr>
          <w:p w14:paraId="507551F7">
            <w:pPr>
              <w:pStyle w:val="14"/>
              <w:keepNext w:val="0"/>
              <w:keepLines w:val="0"/>
              <w:pageBreakBefore w:val="0"/>
              <w:widowControl/>
              <w:kinsoku w:val="0"/>
              <w:wordWrap/>
              <w:overflowPunct/>
              <w:topLinePunct w:val="0"/>
              <w:autoSpaceDE w:val="0"/>
              <w:autoSpaceDN w:val="0"/>
              <w:bidi w:val="0"/>
              <w:adjustRightInd w:val="0"/>
              <w:snapToGrid w:val="0"/>
              <w:spacing w:line="228" w:lineRule="auto"/>
              <w:jc w:val="center"/>
              <w:textAlignment w:val="baseline"/>
              <w:rPr>
                <w:b/>
                <w:bCs/>
              </w:rPr>
            </w:pPr>
            <w:r>
              <w:rPr>
                <w:b/>
                <w:bCs/>
                <w:spacing w:val="6"/>
              </w:rPr>
              <w:t>编列内容</w:t>
            </w:r>
          </w:p>
        </w:tc>
      </w:tr>
      <w:tr w14:paraId="7980BA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0" w:hRule="atLeast"/>
        </w:trPr>
        <w:tc>
          <w:tcPr>
            <w:tcW w:w="911" w:type="dxa"/>
            <w:vAlign w:val="top"/>
          </w:tcPr>
          <w:p w14:paraId="10E43077">
            <w:pPr>
              <w:spacing w:line="290" w:lineRule="auto"/>
              <w:rPr>
                <w:rFonts w:ascii="Arial"/>
                <w:sz w:val="21"/>
              </w:rPr>
            </w:pPr>
          </w:p>
          <w:p w14:paraId="6FE2A602">
            <w:pPr>
              <w:spacing w:line="291" w:lineRule="auto"/>
              <w:rPr>
                <w:rFonts w:ascii="Arial"/>
                <w:sz w:val="21"/>
              </w:rPr>
            </w:pPr>
          </w:p>
          <w:p w14:paraId="2BD0E2FB">
            <w:pPr>
              <w:spacing w:line="291" w:lineRule="auto"/>
              <w:rPr>
                <w:rFonts w:ascii="Arial"/>
                <w:sz w:val="21"/>
              </w:rPr>
            </w:pPr>
          </w:p>
          <w:p w14:paraId="72FCACA8">
            <w:pPr>
              <w:pStyle w:val="14"/>
              <w:spacing w:before="65" w:line="268" w:lineRule="exact"/>
              <w:ind w:left="284"/>
            </w:pPr>
            <w:r>
              <w:rPr>
                <w:position w:val="1"/>
              </w:rPr>
              <w:t>1.4.2</w:t>
            </w:r>
          </w:p>
        </w:tc>
        <w:tc>
          <w:tcPr>
            <w:tcW w:w="3087" w:type="dxa"/>
            <w:vAlign w:val="center"/>
          </w:tcPr>
          <w:p w14:paraId="7EEFA9F4">
            <w:pPr>
              <w:pStyle w:val="14"/>
              <w:spacing w:before="65" w:line="228" w:lineRule="auto"/>
              <w:jc w:val="center"/>
            </w:pPr>
            <w:r>
              <w:rPr>
                <w:spacing w:val="8"/>
              </w:rPr>
              <w:t>是否接受联合体投</w:t>
            </w:r>
            <w:r>
              <w:t>标</w:t>
            </w:r>
          </w:p>
        </w:tc>
        <w:tc>
          <w:tcPr>
            <w:tcW w:w="5404" w:type="dxa"/>
            <w:vAlign w:val="top"/>
          </w:tcPr>
          <w:p w14:paraId="6E69877D">
            <w:pPr>
              <w:pStyle w:val="14"/>
              <w:spacing w:before="141" w:line="229" w:lineRule="auto"/>
              <w:ind w:left="140"/>
            </w:pPr>
            <w:r>
              <w:rPr>
                <w:rFonts w:hint="eastAsia"/>
                <w:spacing w:val="2"/>
                <w:lang w:eastAsia="zh-CN"/>
              </w:rPr>
              <w:t>☑</w:t>
            </w:r>
            <w:r>
              <w:rPr>
                <w:spacing w:val="2"/>
              </w:rPr>
              <w:t>不接受</w:t>
            </w:r>
          </w:p>
          <w:p w14:paraId="016D3667">
            <w:pPr>
              <w:pStyle w:val="14"/>
              <w:spacing w:before="152" w:line="228" w:lineRule="auto"/>
              <w:ind w:left="140"/>
            </w:pPr>
            <w:r>
              <w:rPr>
                <w:spacing w:val="6"/>
              </w:rPr>
              <w:t>□接受，应满足下列要求：</w:t>
            </w:r>
          </w:p>
          <w:p w14:paraId="1DA7CCB6">
            <w:pPr>
              <w:pStyle w:val="14"/>
              <w:spacing w:before="153" w:line="228" w:lineRule="auto"/>
              <w:ind w:left="23"/>
            </w:pPr>
            <w:r>
              <w:rPr>
                <w:spacing w:val="7"/>
              </w:rPr>
              <w:t>（1）联合体所有成员数量不得超过</w:t>
            </w:r>
            <w:r>
              <w:rPr>
                <w:spacing w:val="-93"/>
              </w:rPr>
              <w:t xml:space="preserve"> </w:t>
            </w:r>
            <w:r>
              <w:rPr>
                <w:spacing w:val="5"/>
                <w:u w:val="single" w:color="auto"/>
              </w:rPr>
              <w:t xml:space="preserve">    </w:t>
            </w:r>
            <w:r>
              <w:rPr>
                <w:spacing w:val="-89"/>
              </w:rPr>
              <w:t xml:space="preserve"> </w:t>
            </w:r>
            <w:r>
              <w:rPr>
                <w:spacing w:val="7"/>
              </w:rPr>
              <w:t>家；</w:t>
            </w:r>
          </w:p>
          <w:p w14:paraId="09F8E966">
            <w:pPr>
              <w:pStyle w:val="14"/>
              <w:spacing w:before="151" w:line="227" w:lineRule="auto"/>
              <w:ind w:left="23"/>
            </w:pPr>
            <w:r>
              <w:rPr>
                <w:spacing w:val="6"/>
              </w:rPr>
              <w:t>（2）联合体牵头人应具备</w:t>
            </w:r>
            <w:r>
              <w:rPr>
                <w:spacing w:val="-95"/>
              </w:rPr>
              <w:t xml:space="preserve"> </w:t>
            </w:r>
            <w:r>
              <w:rPr>
                <w:spacing w:val="5"/>
                <w:u w:val="single" w:color="auto"/>
              </w:rPr>
              <w:t xml:space="preserve">     </w:t>
            </w:r>
            <w:r>
              <w:rPr>
                <w:spacing w:val="-82"/>
              </w:rPr>
              <w:t xml:space="preserve"> </w:t>
            </w:r>
            <w:r>
              <w:rPr>
                <w:spacing w:val="6"/>
              </w:rPr>
              <w:t>资质；</w:t>
            </w:r>
          </w:p>
        </w:tc>
      </w:tr>
      <w:tr w14:paraId="61F93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911" w:type="dxa"/>
            <w:vAlign w:val="top"/>
          </w:tcPr>
          <w:p w14:paraId="022BEEB2">
            <w:pPr>
              <w:pStyle w:val="14"/>
              <w:spacing w:before="65" w:line="267" w:lineRule="exact"/>
              <w:jc w:val="center"/>
            </w:pPr>
            <w:r>
              <w:rPr>
                <w:position w:val="1"/>
              </w:rPr>
              <w:t>1.4.3</w:t>
            </w:r>
          </w:p>
        </w:tc>
        <w:tc>
          <w:tcPr>
            <w:tcW w:w="3087" w:type="dxa"/>
            <w:vAlign w:val="center"/>
          </w:tcPr>
          <w:p w14:paraId="31C64A0D">
            <w:pPr>
              <w:pStyle w:val="14"/>
              <w:spacing w:before="142" w:line="301" w:lineRule="auto"/>
              <w:ind w:right="169"/>
              <w:jc w:val="center"/>
            </w:pPr>
            <w:r>
              <w:rPr>
                <w:spacing w:val="8"/>
              </w:rPr>
              <w:t>投标人不得存在的其他关联情形</w:t>
            </w:r>
          </w:p>
        </w:tc>
        <w:tc>
          <w:tcPr>
            <w:tcW w:w="5404" w:type="dxa"/>
            <w:vAlign w:val="center"/>
          </w:tcPr>
          <w:p w14:paraId="3A034DE6">
            <w:pPr>
              <w:ind w:firstLine="210" w:firstLineChars="100"/>
              <w:jc w:val="both"/>
              <w:rPr>
                <w:rFonts w:hint="eastAsia" w:ascii="Arial" w:eastAsia="宋体"/>
                <w:sz w:val="21"/>
                <w:lang w:val="en-US" w:eastAsia="zh-CN"/>
              </w:rPr>
            </w:pPr>
            <w:r>
              <w:rPr>
                <w:rFonts w:hint="eastAsia" w:eastAsia="宋体"/>
                <w:sz w:val="21"/>
                <w:lang w:val="en-US" w:eastAsia="zh-CN"/>
              </w:rPr>
              <w:t>/</w:t>
            </w:r>
          </w:p>
        </w:tc>
      </w:tr>
      <w:tr w14:paraId="1D034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911" w:type="dxa"/>
            <w:tcBorders>
              <w:bottom w:val="single" w:color="auto" w:sz="4" w:space="0"/>
            </w:tcBorders>
            <w:vAlign w:val="center"/>
          </w:tcPr>
          <w:p w14:paraId="3F1A2CCA">
            <w:pPr>
              <w:pStyle w:val="14"/>
              <w:spacing w:before="65" w:line="268" w:lineRule="exact"/>
              <w:jc w:val="center"/>
            </w:pPr>
            <w:r>
              <w:rPr>
                <w:position w:val="1"/>
              </w:rPr>
              <w:t>1.4.4</w:t>
            </w:r>
          </w:p>
        </w:tc>
        <w:tc>
          <w:tcPr>
            <w:tcW w:w="3087" w:type="dxa"/>
            <w:tcBorders>
              <w:bottom w:val="single" w:color="auto" w:sz="4" w:space="0"/>
            </w:tcBorders>
            <w:vAlign w:val="center"/>
          </w:tcPr>
          <w:p w14:paraId="72618A70">
            <w:pPr>
              <w:pStyle w:val="14"/>
              <w:spacing w:before="142" w:line="228" w:lineRule="auto"/>
              <w:jc w:val="center"/>
            </w:pPr>
            <w:r>
              <w:rPr>
                <w:spacing w:val="8"/>
              </w:rPr>
              <w:t>投标人不得存在的其他不良状况或不</w:t>
            </w:r>
            <w:r>
              <w:rPr>
                <w:spacing w:val="1"/>
              </w:rPr>
              <w:t>良信用记录</w:t>
            </w:r>
          </w:p>
        </w:tc>
        <w:tc>
          <w:tcPr>
            <w:tcW w:w="5404" w:type="dxa"/>
            <w:tcBorders>
              <w:bottom w:val="single" w:color="auto" w:sz="4" w:space="0"/>
            </w:tcBorders>
            <w:vAlign w:val="center"/>
          </w:tcPr>
          <w:p w14:paraId="47A0CB1F">
            <w:pPr>
              <w:ind w:firstLine="210" w:firstLineChars="100"/>
              <w:jc w:val="both"/>
              <w:rPr>
                <w:rFonts w:hint="eastAsia" w:ascii="Arial" w:eastAsia="宋体"/>
                <w:sz w:val="21"/>
                <w:lang w:val="en-US" w:eastAsia="zh-CN"/>
              </w:rPr>
            </w:pPr>
            <w:r>
              <w:rPr>
                <w:rFonts w:hint="eastAsia" w:eastAsia="宋体"/>
                <w:sz w:val="21"/>
                <w:lang w:val="en-US" w:eastAsia="zh-CN"/>
              </w:rPr>
              <w:t>/</w:t>
            </w:r>
          </w:p>
        </w:tc>
      </w:tr>
      <w:tr w14:paraId="09150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11" w:type="dxa"/>
            <w:tcBorders>
              <w:top w:val="single" w:color="auto" w:sz="4" w:space="0"/>
              <w:left w:val="single" w:color="auto" w:sz="4" w:space="0"/>
              <w:bottom w:val="single" w:color="auto" w:sz="4" w:space="0"/>
            </w:tcBorders>
            <w:vAlign w:val="center"/>
          </w:tcPr>
          <w:p w14:paraId="6CB60721">
            <w:pPr>
              <w:pStyle w:val="14"/>
              <w:spacing w:before="65" w:line="287" w:lineRule="exact"/>
              <w:jc w:val="center"/>
              <w:rPr>
                <w:sz w:val="10"/>
                <w:szCs w:val="10"/>
                <w:u w:val="none"/>
              </w:rPr>
            </w:pPr>
            <w:r>
              <w:rPr>
                <w:spacing w:val="1"/>
                <w:position w:val="-1"/>
                <w:u w:val="none"/>
              </w:rPr>
              <w:t>1.10.2</w:t>
            </w:r>
          </w:p>
        </w:tc>
        <w:tc>
          <w:tcPr>
            <w:tcW w:w="3087" w:type="dxa"/>
            <w:tcBorders>
              <w:top w:val="single" w:color="auto" w:sz="4" w:space="0"/>
              <w:bottom w:val="single" w:color="auto" w:sz="4" w:space="0"/>
            </w:tcBorders>
            <w:vAlign w:val="center"/>
          </w:tcPr>
          <w:p w14:paraId="200A7704">
            <w:pPr>
              <w:spacing w:line="249" w:lineRule="auto"/>
              <w:jc w:val="center"/>
              <w:rPr>
                <w:rFonts w:ascii="Arial"/>
                <w:sz w:val="21"/>
                <w:u w:val="none"/>
              </w:rPr>
            </w:pPr>
          </w:p>
          <w:p w14:paraId="5FC9D667">
            <w:pPr>
              <w:pStyle w:val="14"/>
              <w:spacing w:before="65" w:line="371" w:lineRule="auto"/>
              <w:ind w:right="169"/>
              <w:jc w:val="center"/>
              <w:rPr>
                <w:u w:val="none"/>
              </w:rPr>
            </w:pPr>
            <w:r>
              <w:rPr>
                <w:spacing w:val="8"/>
                <w:u w:val="none"/>
              </w:rPr>
              <w:t>投标人在投标预备会前提出问题</w:t>
            </w:r>
          </w:p>
        </w:tc>
        <w:tc>
          <w:tcPr>
            <w:tcW w:w="5404" w:type="dxa"/>
            <w:tcBorders>
              <w:top w:val="single" w:color="auto" w:sz="4" w:space="0"/>
              <w:bottom w:val="single" w:color="auto" w:sz="4" w:space="0"/>
              <w:right w:val="single" w:color="auto" w:sz="4" w:space="0"/>
            </w:tcBorders>
            <w:vAlign w:val="top"/>
          </w:tcPr>
          <w:p w14:paraId="243DBC67">
            <w:pPr>
              <w:spacing w:before="226" w:line="227" w:lineRule="auto"/>
              <w:ind w:left="128"/>
              <w:rPr>
                <w:u w:val="none"/>
              </w:rPr>
            </w:pPr>
            <w:r>
              <w:rPr>
                <w:rFonts w:hint="eastAsia" w:hAnsi="宋体" w:cs="宋体"/>
                <w:color w:val="auto"/>
                <w:spacing w:val="0"/>
                <w:kern w:val="0"/>
                <w:sz w:val="21"/>
                <w:szCs w:val="21"/>
                <w:highlight w:val="none"/>
                <w:u w:val="none"/>
                <w:lang w:val="en-US" w:eastAsia="zh-CN" w:bidi="ar-SA"/>
              </w:rPr>
              <w:t>☑</w:t>
            </w:r>
            <w:r>
              <w:rPr>
                <w:rFonts w:hint="eastAsia" w:ascii="宋体" w:hAnsi="宋体" w:eastAsia="宋体" w:cs="宋体"/>
                <w:color w:val="auto"/>
                <w:spacing w:val="0"/>
                <w:kern w:val="0"/>
                <w:sz w:val="21"/>
                <w:szCs w:val="21"/>
                <w:highlight w:val="none"/>
                <w:u w:val="none"/>
                <w:lang w:val="en-US" w:eastAsia="zh-CN" w:bidi="ar-SA"/>
              </w:rPr>
              <w:t>不召开,投标人自行踏勘现场，踏勘所产生费用和风险由投标人自行承担，且不能造成招标人有任何损失。</w:t>
            </w:r>
          </w:p>
        </w:tc>
      </w:tr>
      <w:tr w14:paraId="04827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9" w:hRule="atLeast"/>
        </w:trPr>
        <w:tc>
          <w:tcPr>
            <w:tcW w:w="911" w:type="dxa"/>
            <w:tcBorders>
              <w:top w:val="single" w:color="auto" w:sz="4" w:space="0"/>
            </w:tcBorders>
            <w:vAlign w:val="top"/>
          </w:tcPr>
          <w:p w14:paraId="66197298">
            <w:pPr>
              <w:spacing w:line="242" w:lineRule="auto"/>
              <w:rPr>
                <w:rFonts w:ascii="Arial"/>
                <w:sz w:val="21"/>
              </w:rPr>
            </w:pPr>
          </w:p>
          <w:p w14:paraId="05D0479D">
            <w:pPr>
              <w:spacing w:line="242" w:lineRule="auto"/>
              <w:rPr>
                <w:rFonts w:ascii="Arial"/>
                <w:sz w:val="21"/>
              </w:rPr>
            </w:pPr>
          </w:p>
          <w:p w14:paraId="1481609C">
            <w:pPr>
              <w:pStyle w:val="14"/>
              <w:spacing w:before="65" w:line="285" w:lineRule="exact"/>
              <w:ind w:firstLine="202" w:firstLineChars="100"/>
              <w:rPr>
                <w:sz w:val="10"/>
                <w:szCs w:val="10"/>
              </w:rPr>
            </w:pPr>
            <w:r>
              <w:rPr>
                <w:spacing w:val="1"/>
              </w:rPr>
              <w:t>1.11.1</w:t>
            </w:r>
          </w:p>
        </w:tc>
        <w:tc>
          <w:tcPr>
            <w:tcW w:w="3087" w:type="dxa"/>
            <w:tcBorders>
              <w:top w:val="single" w:color="auto" w:sz="4" w:space="0"/>
            </w:tcBorders>
            <w:vAlign w:val="center"/>
          </w:tcPr>
          <w:p w14:paraId="6CB49D33">
            <w:pPr>
              <w:pStyle w:val="14"/>
              <w:spacing w:before="65" w:line="228" w:lineRule="auto"/>
              <w:jc w:val="center"/>
            </w:pPr>
            <w:r>
              <w:rPr>
                <w:spacing w:val="3"/>
              </w:rPr>
              <w:t>分包</w:t>
            </w:r>
          </w:p>
        </w:tc>
        <w:tc>
          <w:tcPr>
            <w:tcW w:w="5404" w:type="dxa"/>
            <w:tcBorders>
              <w:top w:val="single" w:color="auto" w:sz="4" w:space="0"/>
            </w:tcBorders>
            <w:vAlign w:val="top"/>
          </w:tcPr>
          <w:p w14:paraId="588D1CF4">
            <w:pPr>
              <w:pStyle w:val="14"/>
              <w:spacing w:before="143" w:line="228" w:lineRule="auto"/>
              <w:ind w:left="140"/>
            </w:pPr>
            <w:r>
              <w:rPr>
                <w:rFonts w:hint="eastAsia"/>
                <w:spacing w:val="2"/>
                <w:lang w:eastAsia="zh-CN"/>
              </w:rPr>
              <w:t>☑</w:t>
            </w:r>
            <w:r>
              <w:rPr>
                <w:spacing w:val="2"/>
              </w:rPr>
              <w:t>不允许</w:t>
            </w:r>
          </w:p>
          <w:p w14:paraId="74BFAA37">
            <w:pPr>
              <w:pStyle w:val="14"/>
              <w:spacing w:before="153" w:line="369" w:lineRule="auto"/>
              <w:ind w:left="117" w:right="599" w:firstLine="22"/>
            </w:pPr>
            <w:r>
              <w:rPr>
                <w:spacing w:val="8"/>
              </w:rPr>
              <w:t>□允许，允许分包的专项工程（或不允许分包的专项工程</w:t>
            </w:r>
            <w:r>
              <w:rPr>
                <w:spacing w:val="-8"/>
              </w:rPr>
              <w:t>）：</w:t>
            </w:r>
            <w:r>
              <w:rPr>
                <w:spacing w:val="9"/>
              </w:rPr>
              <w:t>对分包人的资格要求：</w:t>
            </w:r>
            <w:r>
              <w:rPr>
                <w:u w:val="single" w:color="auto"/>
              </w:rPr>
              <w:t xml:space="preserve">         </w:t>
            </w:r>
          </w:p>
        </w:tc>
      </w:tr>
      <w:tr w14:paraId="3095B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911" w:type="dxa"/>
            <w:vAlign w:val="center"/>
          </w:tcPr>
          <w:p w14:paraId="350EDE52">
            <w:pPr>
              <w:pStyle w:val="14"/>
              <w:spacing w:before="65" w:line="267" w:lineRule="exact"/>
              <w:jc w:val="center"/>
            </w:pPr>
            <w:r>
              <w:rPr>
                <w:spacing w:val="1"/>
                <w:position w:val="1"/>
              </w:rPr>
              <w:t>2.1</w:t>
            </w:r>
          </w:p>
        </w:tc>
        <w:tc>
          <w:tcPr>
            <w:tcW w:w="3087" w:type="dxa"/>
            <w:vAlign w:val="center"/>
          </w:tcPr>
          <w:p w14:paraId="53F652A1">
            <w:pPr>
              <w:pStyle w:val="14"/>
              <w:spacing w:before="145" w:line="300" w:lineRule="auto"/>
              <w:ind w:right="169"/>
              <w:jc w:val="center"/>
            </w:pPr>
            <w:r>
              <w:rPr>
                <w:spacing w:val="8"/>
              </w:rPr>
              <w:t>构成招标文件的其</w:t>
            </w:r>
            <w:r>
              <w:rPr>
                <w:spacing w:val="6"/>
              </w:rPr>
              <w:t>他资料</w:t>
            </w:r>
          </w:p>
        </w:tc>
        <w:tc>
          <w:tcPr>
            <w:tcW w:w="5404" w:type="dxa"/>
            <w:vAlign w:val="center"/>
          </w:tcPr>
          <w:p w14:paraId="679D5D77">
            <w:pPr>
              <w:pStyle w:val="14"/>
              <w:spacing w:before="65" w:line="228" w:lineRule="auto"/>
              <w:ind w:firstLine="216" w:firstLineChars="100"/>
              <w:jc w:val="both"/>
            </w:pPr>
            <w:r>
              <w:rPr>
                <w:spacing w:val="8"/>
                <w:u w:val="single" w:color="auto"/>
                <w:lang w:val="en-US" w:eastAsia="zh-CN"/>
              </w:rPr>
              <w:t>施工技术规格书（含有关图纸、工程量清单）</w:t>
            </w:r>
          </w:p>
        </w:tc>
      </w:tr>
      <w:tr w14:paraId="3D070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11" w:type="dxa"/>
            <w:vMerge w:val="restart"/>
            <w:tcBorders>
              <w:bottom w:val="nil"/>
            </w:tcBorders>
            <w:vAlign w:val="top"/>
          </w:tcPr>
          <w:p w14:paraId="23F2A437">
            <w:pPr>
              <w:spacing w:line="448" w:lineRule="auto"/>
              <w:rPr>
                <w:rFonts w:ascii="Arial"/>
                <w:sz w:val="21"/>
              </w:rPr>
            </w:pPr>
          </w:p>
          <w:p w14:paraId="2A727144">
            <w:pPr>
              <w:pStyle w:val="14"/>
              <w:spacing w:before="65" w:line="268" w:lineRule="exact"/>
              <w:ind w:left="271"/>
            </w:pPr>
            <w:r>
              <w:rPr>
                <w:spacing w:val="2"/>
                <w:position w:val="1"/>
              </w:rPr>
              <w:t>2.2.1</w:t>
            </w:r>
          </w:p>
        </w:tc>
        <w:tc>
          <w:tcPr>
            <w:tcW w:w="3087" w:type="dxa"/>
            <w:vMerge w:val="restart"/>
            <w:tcBorders>
              <w:bottom w:val="nil"/>
            </w:tcBorders>
            <w:vAlign w:val="center"/>
          </w:tcPr>
          <w:p w14:paraId="6CDC5EB3">
            <w:pPr>
              <w:pStyle w:val="14"/>
              <w:spacing w:before="65" w:line="371" w:lineRule="auto"/>
              <w:ind w:right="169"/>
              <w:jc w:val="center"/>
            </w:pPr>
            <w:r>
              <w:rPr>
                <w:spacing w:val="8"/>
              </w:rPr>
              <w:t>投标人要求澄清招</w:t>
            </w:r>
            <w:r>
              <w:rPr>
                <w:spacing w:val="6"/>
              </w:rPr>
              <w:t>标文件</w:t>
            </w:r>
          </w:p>
        </w:tc>
        <w:tc>
          <w:tcPr>
            <w:tcW w:w="5404" w:type="dxa"/>
            <w:vAlign w:val="top"/>
          </w:tcPr>
          <w:p w14:paraId="66557692">
            <w:pPr>
              <w:pStyle w:val="14"/>
              <w:spacing w:before="228" w:line="228" w:lineRule="auto"/>
              <w:ind w:left="128"/>
            </w:pPr>
            <w:r>
              <w:rPr>
                <w:spacing w:val="7"/>
              </w:rPr>
              <w:t>时间：递交投标文件截止之日</w:t>
            </w:r>
            <w:r>
              <w:rPr>
                <w:spacing w:val="7"/>
                <w:u w:val="single" w:color="auto"/>
              </w:rPr>
              <w:t xml:space="preserve">  </w:t>
            </w:r>
            <w:r>
              <w:rPr>
                <w:rFonts w:hint="eastAsia"/>
                <w:spacing w:val="7"/>
                <w:u w:val="single" w:color="auto"/>
                <w:lang w:val="en-US" w:eastAsia="zh-CN"/>
              </w:rPr>
              <w:t>18</w:t>
            </w:r>
            <w:r>
              <w:rPr>
                <w:spacing w:val="7"/>
                <w:u w:val="single" w:color="auto"/>
              </w:rPr>
              <w:t xml:space="preserve">  </w:t>
            </w:r>
            <w:r>
              <w:rPr>
                <w:spacing w:val="-86"/>
              </w:rPr>
              <w:t xml:space="preserve"> </w:t>
            </w:r>
            <w:r>
              <w:rPr>
                <w:spacing w:val="7"/>
              </w:rPr>
              <w:t>天前</w:t>
            </w:r>
          </w:p>
        </w:tc>
      </w:tr>
      <w:tr w14:paraId="0A1359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11" w:type="dxa"/>
            <w:vMerge w:val="continue"/>
            <w:tcBorders>
              <w:top w:val="nil"/>
            </w:tcBorders>
            <w:vAlign w:val="top"/>
          </w:tcPr>
          <w:p w14:paraId="26A1A2F7">
            <w:pPr>
              <w:rPr>
                <w:rFonts w:ascii="Arial"/>
                <w:sz w:val="21"/>
              </w:rPr>
            </w:pPr>
          </w:p>
        </w:tc>
        <w:tc>
          <w:tcPr>
            <w:tcW w:w="3087" w:type="dxa"/>
            <w:vMerge w:val="continue"/>
            <w:tcBorders>
              <w:top w:val="nil"/>
            </w:tcBorders>
            <w:vAlign w:val="center"/>
          </w:tcPr>
          <w:p w14:paraId="684C3850">
            <w:pPr>
              <w:jc w:val="center"/>
              <w:rPr>
                <w:rFonts w:ascii="Arial"/>
                <w:sz w:val="21"/>
              </w:rPr>
            </w:pPr>
          </w:p>
        </w:tc>
        <w:tc>
          <w:tcPr>
            <w:tcW w:w="5404" w:type="dxa"/>
            <w:vAlign w:val="top"/>
          </w:tcPr>
          <w:p w14:paraId="6AA484FD">
            <w:pPr>
              <w:pStyle w:val="14"/>
              <w:spacing w:before="227" w:line="228" w:lineRule="auto"/>
              <w:ind w:left="121"/>
            </w:pPr>
            <w:r>
              <w:rPr>
                <w:spacing w:val="4"/>
              </w:rPr>
              <w:t>形式：通过</w:t>
            </w:r>
            <w:r>
              <w:rPr>
                <w:spacing w:val="4"/>
                <w:lang w:val="en-US" w:eastAsia="zh-CN"/>
              </w:rPr>
              <w:t>传真或电子邮</w:t>
            </w:r>
            <w:r>
              <w:rPr>
                <w:rFonts w:hint="eastAsia"/>
                <w:spacing w:val="4"/>
                <w:lang w:val="en-US" w:eastAsia="zh-CN"/>
              </w:rPr>
              <w:t>件</w:t>
            </w:r>
          </w:p>
        </w:tc>
      </w:tr>
      <w:tr w14:paraId="475C7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911" w:type="dxa"/>
            <w:vAlign w:val="top"/>
          </w:tcPr>
          <w:p w14:paraId="2810F921">
            <w:pPr>
              <w:spacing w:line="279" w:lineRule="auto"/>
              <w:rPr>
                <w:rFonts w:ascii="Arial"/>
                <w:sz w:val="21"/>
              </w:rPr>
            </w:pPr>
          </w:p>
          <w:p w14:paraId="3DBD06CF">
            <w:pPr>
              <w:pStyle w:val="14"/>
              <w:spacing w:before="65" w:line="268" w:lineRule="exact"/>
              <w:ind w:left="271"/>
            </w:pPr>
            <w:r>
              <w:rPr>
                <w:spacing w:val="2"/>
                <w:position w:val="1"/>
              </w:rPr>
              <w:t>2.2.2</w:t>
            </w:r>
          </w:p>
        </w:tc>
        <w:tc>
          <w:tcPr>
            <w:tcW w:w="3087" w:type="dxa"/>
            <w:vAlign w:val="center"/>
          </w:tcPr>
          <w:p w14:paraId="4944529E">
            <w:pPr>
              <w:pStyle w:val="14"/>
              <w:spacing w:before="144" w:line="301" w:lineRule="auto"/>
              <w:ind w:right="169"/>
              <w:jc w:val="center"/>
            </w:pPr>
            <w:r>
              <w:rPr>
                <w:spacing w:val="8"/>
              </w:rPr>
              <w:t>招标文件澄清发出</w:t>
            </w:r>
            <w:r>
              <w:rPr>
                <w:spacing w:val="1"/>
              </w:rPr>
              <w:t>的形式</w:t>
            </w:r>
          </w:p>
        </w:tc>
        <w:tc>
          <w:tcPr>
            <w:tcW w:w="5404" w:type="dxa"/>
            <w:vAlign w:val="top"/>
          </w:tcPr>
          <w:p w14:paraId="4D8F8E11">
            <w:pPr>
              <w:spacing w:line="279" w:lineRule="auto"/>
              <w:rPr>
                <w:rFonts w:ascii="Arial"/>
                <w:sz w:val="21"/>
              </w:rPr>
            </w:pPr>
          </w:p>
          <w:p w14:paraId="64B7A367">
            <w:pPr>
              <w:pStyle w:val="14"/>
              <w:spacing w:before="65" w:line="228" w:lineRule="auto"/>
              <w:ind w:left="118"/>
            </w:pPr>
            <w:r>
              <w:rPr>
                <w:spacing w:val="5"/>
              </w:rPr>
              <w:t>通过“</w:t>
            </w:r>
            <w:r>
              <w:rPr>
                <w:spacing w:val="-57"/>
              </w:rPr>
              <w:t xml:space="preserve"> </w:t>
            </w:r>
            <w:r>
              <w:rPr>
                <w:spacing w:val="5"/>
              </w:rPr>
              <w:t>电子交易平台</w:t>
            </w:r>
            <w:r>
              <w:rPr>
                <w:spacing w:val="-70"/>
              </w:rPr>
              <w:t xml:space="preserve"> </w:t>
            </w:r>
            <w:r>
              <w:rPr>
                <w:spacing w:val="5"/>
              </w:rPr>
              <w:t>”发出招标文件澄清。</w:t>
            </w:r>
          </w:p>
        </w:tc>
      </w:tr>
      <w:tr w14:paraId="7B577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8" w:hRule="atLeast"/>
        </w:trPr>
        <w:tc>
          <w:tcPr>
            <w:tcW w:w="911" w:type="dxa"/>
            <w:vAlign w:val="top"/>
          </w:tcPr>
          <w:p w14:paraId="726D37D1">
            <w:pPr>
              <w:spacing w:line="478" w:lineRule="auto"/>
              <w:rPr>
                <w:rFonts w:ascii="Arial"/>
                <w:sz w:val="21"/>
              </w:rPr>
            </w:pPr>
          </w:p>
          <w:p w14:paraId="6B2D6171">
            <w:pPr>
              <w:pStyle w:val="14"/>
              <w:spacing w:before="65" w:line="268" w:lineRule="exact"/>
              <w:ind w:left="271"/>
            </w:pPr>
            <w:r>
              <w:rPr>
                <w:spacing w:val="2"/>
                <w:position w:val="1"/>
              </w:rPr>
              <w:t>2.2.3</w:t>
            </w:r>
          </w:p>
        </w:tc>
        <w:tc>
          <w:tcPr>
            <w:tcW w:w="3087" w:type="dxa"/>
            <w:vAlign w:val="center"/>
          </w:tcPr>
          <w:p w14:paraId="56CE3177">
            <w:pPr>
              <w:pStyle w:val="14"/>
              <w:spacing w:before="65" w:line="371" w:lineRule="auto"/>
              <w:ind w:right="169"/>
              <w:jc w:val="center"/>
            </w:pPr>
            <w:r>
              <w:rPr>
                <w:spacing w:val="8"/>
              </w:rPr>
              <w:t>投标人确认收到招</w:t>
            </w:r>
            <w:r>
              <w:rPr>
                <w:spacing w:val="7"/>
              </w:rPr>
              <w:t>标文件澄清</w:t>
            </w:r>
          </w:p>
        </w:tc>
        <w:tc>
          <w:tcPr>
            <w:tcW w:w="5404" w:type="dxa"/>
            <w:vAlign w:val="center"/>
          </w:tcPr>
          <w:p w14:paraId="2C0C6B46">
            <w:pPr>
              <w:pStyle w:val="14"/>
              <w:spacing w:before="65" w:line="371" w:lineRule="auto"/>
              <w:ind w:right="126" w:firstLine="436" w:firstLineChars="200"/>
              <w:jc w:val="both"/>
            </w:pPr>
            <w:r>
              <w:rPr>
                <w:spacing w:val="9"/>
              </w:rPr>
              <w:t>投标人应注意及时浏览网上发出的澄清，因投标人自身原因未及时获知澄清内容而导致的任何后果将由投标人自行承担。</w:t>
            </w:r>
          </w:p>
        </w:tc>
      </w:tr>
      <w:tr w14:paraId="5DA323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11" w:type="dxa"/>
            <w:vAlign w:val="top"/>
          </w:tcPr>
          <w:p w14:paraId="6CB2966B">
            <w:pPr>
              <w:spacing w:line="274" w:lineRule="auto"/>
              <w:rPr>
                <w:rFonts w:ascii="Arial"/>
                <w:sz w:val="21"/>
              </w:rPr>
            </w:pPr>
          </w:p>
          <w:p w14:paraId="3BEC34C4">
            <w:pPr>
              <w:pStyle w:val="14"/>
              <w:spacing w:before="65" w:line="267" w:lineRule="exact"/>
              <w:ind w:left="271"/>
            </w:pPr>
            <w:r>
              <w:rPr>
                <w:spacing w:val="2"/>
                <w:position w:val="1"/>
              </w:rPr>
              <w:t>2.3.1</w:t>
            </w:r>
          </w:p>
        </w:tc>
        <w:tc>
          <w:tcPr>
            <w:tcW w:w="3087" w:type="dxa"/>
            <w:vAlign w:val="center"/>
          </w:tcPr>
          <w:p w14:paraId="1DEFF170">
            <w:pPr>
              <w:pStyle w:val="14"/>
              <w:spacing w:before="140" w:line="302" w:lineRule="auto"/>
              <w:ind w:left="713" w:right="169" w:hanging="539"/>
              <w:jc w:val="center"/>
            </w:pPr>
            <w:r>
              <w:rPr>
                <w:spacing w:val="8"/>
              </w:rPr>
              <w:t>招标文件修改发出</w:t>
            </w:r>
            <w:r>
              <w:rPr>
                <w:spacing w:val="1"/>
              </w:rPr>
              <w:t>的形式</w:t>
            </w:r>
          </w:p>
        </w:tc>
        <w:tc>
          <w:tcPr>
            <w:tcW w:w="5404" w:type="dxa"/>
            <w:vAlign w:val="top"/>
          </w:tcPr>
          <w:p w14:paraId="656A6569">
            <w:pPr>
              <w:spacing w:line="273" w:lineRule="auto"/>
              <w:rPr>
                <w:rFonts w:ascii="Arial"/>
                <w:sz w:val="21"/>
              </w:rPr>
            </w:pPr>
          </w:p>
          <w:p w14:paraId="529704B0">
            <w:pPr>
              <w:pStyle w:val="14"/>
              <w:spacing w:before="65" w:line="228" w:lineRule="auto"/>
              <w:ind w:left="118"/>
            </w:pPr>
            <w:r>
              <w:rPr>
                <w:spacing w:val="5"/>
              </w:rPr>
              <w:t>通过“</w:t>
            </w:r>
            <w:r>
              <w:rPr>
                <w:spacing w:val="-57"/>
              </w:rPr>
              <w:t xml:space="preserve"> </w:t>
            </w:r>
            <w:r>
              <w:rPr>
                <w:spacing w:val="5"/>
              </w:rPr>
              <w:t>电子交易平台</w:t>
            </w:r>
            <w:r>
              <w:rPr>
                <w:spacing w:val="-70"/>
              </w:rPr>
              <w:t xml:space="preserve"> </w:t>
            </w:r>
            <w:r>
              <w:rPr>
                <w:spacing w:val="5"/>
              </w:rPr>
              <w:t>”发出招标文件修改。</w:t>
            </w:r>
          </w:p>
        </w:tc>
      </w:tr>
      <w:tr w14:paraId="429B6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911" w:type="dxa"/>
            <w:vAlign w:val="top"/>
          </w:tcPr>
          <w:p w14:paraId="0B13ADCE">
            <w:pPr>
              <w:spacing w:line="418" w:lineRule="auto"/>
              <w:rPr>
                <w:rFonts w:ascii="Arial"/>
                <w:sz w:val="21"/>
              </w:rPr>
            </w:pPr>
          </w:p>
          <w:p w14:paraId="7D2DEF12">
            <w:pPr>
              <w:pStyle w:val="14"/>
              <w:spacing w:before="65" w:line="268" w:lineRule="exact"/>
              <w:ind w:left="271"/>
            </w:pPr>
            <w:r>
              <w:rPr>
                <w:spacing w:val="2"/>
                <w:position w:val="1"/>
              </w:rPr>
              <w:t>2.3.2</w:t>
            </w:r>
          </w:p>
        </w:tc>
        <w:tc>
          <w:tcPr>
            <w:tcW w:w="3087" w:type="dxa"/>
            <w:vAlign w:val="top"/>
          </w:tcPr>
          <w:p w14:paraId="6267092B">
            <w:pPr>
              <w:pStyle w:val="14"/>
              <w:spacing w:before="286" w:line="368" w:lineRule="auto"/>
              <w:ind w:right="169"/>
              <w:jc w:val="center"/>
            </w:pPr>
            <w:r>
              <w:rPr>
                <w:spacing w:val="8"/>
              </w:rPr>
              <w:t>投标人确认收到招</w:t>
            </w:r>
            <w:r>
              <w:rPr>
                <w:spacing w:val="7"/>
              </w:rPr>
              <w:t>标文件修改</w:t>
            </w:r>
          </w:p>
        </w:tc>
        <w:tc>
          <w:tcPr>
            <w:tcW w:w="5404" w:type="dxa"/>
            <w:vAlign w:val="top"/>
          </w:tcPr>
          <w:p w14:paraId="1D488DB3">
            <w:pPr>
              <w:pStyle w:val="14"/>
              <w:spacing w:before="286" w:line="368" w:lineRule="auto"/>
              <w:ind w:left="121" w:right="126" w:firstLine="436" w:firstLineChars="200"/>
            </w:pPr>
            <w:r>
              <w:rPr>
                <w:spacing w:val="9"/>
              </w:rPr>
              <w:t>投标人应注意及时浏览网上发出的修改，因投标人自身原因未及时获知修改内容而导致的任何后果将由投标人自行承担。</w:t>
            </w:r>
          </w:p>
        </w:tc>
      </w:tr>
      <w:tr w14:paraId="7D9DE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911" w:type="dxa"/>
            <w:vAlign w:val="center"/>
          </w:tcPr>
          <w:p w14:paraId="2239D20F">
            <w:pPr>
              <w:pStyle w:val="14"/>
              <w:spacing w:before="65" w:line="268" w:lineRule="exact"/>
              <w:jc w:val="center"/>
            </w:pPr>
            <w:r>
              <w:rPr>
                <w:spacing w:val="2"/>
                <w:position w:val="1"/>
              </w:rPr>
              <w:t>3.1.1</w:t>
            </w:r>
          </w:p>
        </w:tc>
        <w:tc>
          <w:tcPr>
            <w:tcW w:w="3087" w:type="dxa"/>
            <w:vAlign w:val="center"/>
          </w:tcPr>
          <w:p w14:paraId="39407CF1">
            <w:pPr>
              <w:pStyle w:val="14"/>
              <w:spacing w:before="142" w:line="301" w:lineRule="auto"/>
              <w:ind w:left="696" w:right="169" w:hanging="520"/>
              <w:jc w:val="center"/>
            </w:pPr>
            <w:r>
              <w:rPr>
                <w:spacing w:val="8"/>
              </w:rPr>
              <w:t>构成投标文件的其</w:t>
            </w:r>
            <w:r>
              <w:rPr>
                <w:spacing w:val="6"/>
              </w:rPr>
              <w:t>他资料</w:t>
            </w:r>
          </w:p>
        </w:tc>
        <w:tc>
          <w:tcPr>
            <w:tcW w:w="5404" w:type="dxa"/>
            <w:vAlign w:val="center"/>
          </w:tcPr>
          <w:p w14:paraId="236E3466">
            <w:pPr>
              <w:ind w:firstLine="210" w:firstLineChars="100"/>
              <w:jc w:val="center"/>
              <w:rPr>
                <w:rFonts w:hint="eastAsia" w:ascii="Arial" w:eastAsia="宋体"/>
                <w:sz w:val="21"/>
                <w:lang w:val="en-US" w:eastAsia="zh-CN"/>
              </w:rPr>
            </w:pPr>
            <w:r>
              <w:rPr>
                <w:rFonts w:hint="eastAsia" w:eastAsia="宋体"/>
                <w:sz w:val="21"/>
                <w:lang w:val="en-US" w:eastAsia="zh-CN"/>
              </w:rPr>
              <w:t>补充公告、答疑纪要、澄清文件等（如有）。</w:t>
            </w:r>
          </w:p>
        </w:tc>
      </w:tr>
    </w:tbl>
    <w:p w14:paraId="20F59A17">
      <w:pPr>
        <w:pStyle w:val="14"/>
        <w:keepNext w:val="0"/>
        <w:keepLines w:val="0"/>
        <w:pageBreakBefore w:val="0"/>
        <w:widowControl/>
        <w:kinsoku w:val="0"/>
        <w:wordWrap/>
        <w:overflowPunct/>
        <w:topLinePunct w:val="0"/>
        <w:autoSpaceDE w:val="0"/>
        <w:autoSpaceDN w:val="0"/>
        <w:bidi w:val="0"/>
        <w:adjustRightInd w:val="0"/>
        <w:snapToGrid w:val="0"/>
        <w:spacing w:line="228" w:lineRule="auto"/>
        <w:ind w:left="0" w:leftChars="0"/>
        <w:jc w:val="center"/>
        <w:textAlignment w:val="baseline"/>
        <w:rPr>
          <w:b/>
          <w:bCs/>
          <w:spacing w:val="6"/>
        </w:rPr>
      </w:pPr>
      <w:r>
        <w:rPr>
          <w:b/>
          <w:bCs/>
          <w:spacing w:val="6"/>
        </w:rPr>
        <w:br w:type="page"/>
      </w:r>
    </w:p>
    <w:tbl>
      <w:tblPr>
        <w:tblStyle w:val="13"/>
        <w:tblW w:w="94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1"/>
        <w:gridCol w:w="3087"/>
        <w:gridCol w:w="5404"/>
      </w:tblGrid>
      <w:tr w14:paraId="2F83B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11" w:type="dxa"/>
            <w:shd w:val="clear" w:color="auto" w:fill="auto"/>
            <w:vAlign w:val="center"/>
          </w:tcPr>
          <w:p w14:paraId="56BB86E7">
            <w:pPr>
              <w:pStyle w:val="14"/>
              <w:keepNext w:val="0"/>
              <w:keepLines w:val="0"/>
              <w:pageBreakBefore w:val="0"/>
              <w:widowControl/>
              <w:kinsoku w:val="0"/>
              <w:wordWrap/>
              <w:overflowPunct/>
              <w:topLinePunct w:val="0"/>
              <w:autoSpaceDE w:val="0"/>
              <w:autoSpaceDN w:val="0"/>
              <w:bidi w:val="0"/>
              <w:adjustRightInd w:val="0"/>
              <w:snapToGrid w:val="0"/>
              <w:spacing w:line="228" w:lineRule="auto"/>
              <w:ind w:left="0" w:leftChars="0"/>
              <w:jc w:val="center"/>
              <w:textAlignment w:val="baseline"/>
              <w:rPr>
                <w:rFonts w:ascii="宋体" w:hAnsi="宋体" w:eastAsia="宋体" w:cs="宋体"/>
                <w:b/>
                <w:bCs/>
                <w:snapToGrid w:val="0"/>
                <w:color w:val="000000"/>
                <w:kern w:val="0"/>
                <w:sz w:val="20"/>
                <w:szCs w:val="20"/>
                <w:lang w:val="en-US" w:eastAsia="en-US" w:bidi="ar-SA"/>
              </w:rPr>
            </w:pPr>
            <w:r>
              <w:rPr>
                <w:b/>
                <w:bCs/>
                <w:spacing w:val="6"/>
              </w:rPr>
              <w:t>条款号</w:t>
            </w:r>
          </w:p>
        </w:tc>
        <w:tc>
          <w:tcPr>
            <w:tcW w:w="3087" w:type="dxa"/>
            <w:shd w:val="clear" w:color="auto" w:fill="auto"/>
            <w:vAlign w:val="center"/>
          </w:tcPr>
          <w:p w14:paraId="5543BF9D">
            <w:pPr>
              <w:pStyle w:val="14"/>
              <w:keepNext w:val="0"/>
              <w:keepLines w:val="0"/>
              <w:pageBreakBefore w:val="0"/>
              <w:widowControl/>
              <w:kinsoku w:val="0"/>
              <w:wordWrap/>
              <w:overflowPunct/>
              <w:topLinePunct w:val="0"/>
              <w:autoSpaceDE w:val="0"/>
              <w:autoSpaceDN w:val="0"/>
              <w:bidi w:val="0"/>
              <w:adjustRightInd w:val="0"/>
              <w:snapToGrid w:val="0"/>
              <w:spacing w:line="228" w:lineRule="auto"/>
              <w:ind w:left="0" w:firstLine="851" w:firstLineChars="400"/>
              <w:jc w:val="center"/>
              <w:textAlignment w:val="baseline"/>
              <w:rPr>
                <w:rFonts w:ascii="宋体" w:hAnsi="宋体" w:eastAsia="宋体" w:cs="宋体"/>
                <w:b/>
                <w:bCs/>
                <w:snapToGrid w:val="0"/>
                <w:color w:val="000000"/>
                <w:kern w:val="0"/>
                <w:sz w:val="20"/>
                <w:szCs w:val="20"/>
                <w:lang w:val="en-US" w:eastAsia="en-US" w:bidi="ar-SA"/>
              </w:rPr>
            </w:pPr>
            <w:r>
              <w:rPr>
                <w:b/>
                <w:bCs/>
                <w:spacing w:val="6"/>
              </w:rPr>
              <w:t>条款名称</w:t>
            </w:r>
          </w:p>
        </w:tc>
        <w:tc>
          <w:tcPr>
            <w:tcW w:w="5404" w:type="dxa"/>
            <w:shd w:val="clear" w:color="auto" w:fill="auto"/>
            <w:vAlign w:val="center"/>
          </w:tcPr>
          <w:p w14:paraId="516DC97F">
            <w:pPr>
              <w:pStyle w:val="14"/>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rFonts w:hint="eastAsia" w:ascii="宋体" w:hAnsi="宋体" w:eastAsia="宋体" w:cs="宋体"/>
                <w:b/>
                <w:bCs/>
                <w:snapToGrid w:val="0"/>
                <w:color w:val="000000"/>
                <w:kern w:val="0"/>
                <w:sz w:val="20"/>
                <w:szCs w:val="20"/>
                <w:lang w:val="en-US" w:eastAsia="zh-CN" w:bidi="ar-SA"/>
              </w:rPr>
            </w:pPr>
            <w:r>
              <w:rPr>
                <w:b/>
                <w:bCs/>
                <w:spacing w:val="6"/>
              </w:rPr>
              <w:t>编列内容</w:t>
            </w:r>
          </w:p>
        </w:tc>
      </w:tr>
      <w:tr w14:paraId="4220A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911" w:type="dxa"/>
            <w:vAlign w:val="center"/>
          </w:tcPr>
          <w:p w14:paraId="5314E10C">
            <w:pPr>
              <w:pStyle w:val="14"/>
              <w:keepNext w:val="0"/>
              <w:keepLines w:val="0"/>
              <w:pageBreakBefore w:val="0"/>
              <w:widowControl/>
              <w:kinsoku w:val="0"/>
              <w:wordWrap/>
              <w:overflowPunct/>
              <w:topLinePunct w:val="0"/>
              <w:autoSpaceDE w:val="0"/>
              <w:autoSpaceDN w:val="0"/>
              <w:bidi w:val="0"/>
              <w:adjustRightInd w:val="0"/>
              <w:snapToGrid w:val="0"/>
              <w:spacing w:line="268" w:lineRule="exact"/>
              <w:jc w:val="center"/>
              <w:textAlignment w:val="baseline"/>
            </w:pPr>
            <w:r>
              <w:rPr>
                <w:spacing w:val="2"/>
                <w:position w:val="1"/>
              </w:rPr>
              <w:t>3.2.1</w:t>
            </w:r>
          </w:p>
        </w:tc>
        <w:tc>
          <w:tcPr>
            <w:tcW w:w="3087" w:type="dxa"/>
            <w:vAlign w:val="center"/>
          </w:tcPr>
          <w:p w14:paraId="7E2FC5E0">
            <w:pPr>
              <w:pStyle w:val="14"/>
              <w:keepNext w:val="0"/>
              <w:keepLines w:val="0"/>
              <w:pageBreakBefore w:val="0"/>
              <w:widowControl/>
              <w:kinsoku w:val="0"/>
              <w:wordWrap/>
              <w:overflowPunct/>
              <w:topLinePunct w:val="0"/>
              <w:autoSpaceDE w:val="0"/>
              <w:autoSpaceDN w:val="0"/>
              <w:bidi w:val="0"/>
              <w:adjustRightInd w:val="0"/>
              <w:snapToGrid w:val="0"/>
              <w:spacing w:line="300" w:lineRule="auto"/>
              <w:ind w:right="0"/>
              <w:jc w:val="center"/>
              <w:textAlignment w:val="baseline"/>
            </w:pPr>
            <w:r>
              <w:rPr>
                <w:spacing w:val="8"/>
              </w:rPr>
              <w:t>増值税税金的计算</w:t>
            </w:r>
            <w:r>
              <w:rPr>
                <w:spacing w:val="4"/>
              </w:rPr>
              <w:t>方法</w:t>
            </w:r>
          </w:p>
        </w:tc>
        <w:tc>
          <w:tcPr>
            <w:tcW w:w="5404" w:type="dxa"/>
            <w:vAlign w:val="top"/>
          </w:tcPr>
          <w:p w14:paraId="7455F17D">
            <w:pPr>
              <w:keepNext w:val="0"/>
              <w:keepLines w:val="0"/>
              <w:pageBreakBefore w:val="0"/>
              <w:widowControl/>
              <w:kinsoku w:val="0"/>
              <w:wordWrap/>
              <w:overflowPunct/>
              <w:topLinePunct w:val="0"/>
              <w:autoSpaceDE w:val="0"/>
              <w:autoSpaceDN w:val="0"/>
              <w:bidi w:val="0"/>
              <w:adjustRightInd w:val="0"/>
              <w:snapToGrid w:val="0"/>
              <w:ind w:firstLine="210" w:firstLineChars="100"/>
              <w:jc w:val="both"/>
              <w:textAlignment w:val="baseline"/>
              <w:rPr>
                <w:rFonts w:hint="eastAsia" w:ascii="Arial" w:eastAsia="宋体"/>
                <w:sz w:val="21"/>
                <w:lang w:val="en-US" w:eastAsia="zh-CN"/>
              </w:rPr>
            </w:pPr>
            <w:r>
              <w:rPr>
                <w:rFonts w:hint="eastAsia" w:eastAsia="宋体"/>
                <w:sz w:val="21"/>
                <w:lang w:val="en-US" w:eastAsia="zh-CN"/>
              </w:rPr>
              <w:t>/</w:t>
            </w:r>
          </w:p>
        </w:tc>
      </w:tr>
      <w:tr w14:paraId="05550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9" w:hRule="atLeast"/>
        </w:trPr>
        <w:tc>
          <w:tcPr>
            <w:tcW w:w="911" w:type="dxa"/>
            <w:vAlign w:val="top"/>
          </w:tcPr>
          <w:p w14:paraId="791A06CD">
            <w:pPr>
              <w:spacing w:line="246" w:lineRule="auto"/>
              <w:rPr>
                <w:rFonts w:ascii="Arial"/>
                <w:sz w:val="21"/>
              </w:rPr>
            </w:pPr>
          </w:p>
          <w:p w14:paraId="42457686">
            <w:pPr>
              <w:spacing w:line="247" w:lineRule="auto"/>
              <w:rPr>
                <w:rFonts w:ascii="Arial"/>
                <w:sz w:val="21"/>
              </w:rPr>
            </w:pPr>
          </w:p>
          <w:p w14:paraId="4DBF4CE2">
            <w:pPr>
              <w:spacing w:line="247" w:lineRule="auto"/>
              <w:rPr>
                <w:rFonts w:ascii="Arial"/>
                <w:sz w:val="21"/>
              </w:rPr>
            </w:pPr>
          </w:p>
          <w:p w14:paraId="3124DEAD">
            <w:pPr>
              <w:pStyle w:val="14"/>
              <w:spacing w:before="65" w:line="268" w:lineRule="exact"/>
              <w:ind w:left="273"/>
            </w:pPr>
            <w:r>
              <w:rPr>
                <w:spacing w:val="2"/>
                <w:position w:val="1"/>
              </w:rPr>
              <w:t>3.2.1</w:t>
            </w:r>
          </w:p>
        </w:tc>
        <w:tc>
          <w:tcPr>
            <w:tcW w:w="3087" w:type="dxa"/>
            <w:vAlign w:val="center"/>
          </w:tcPr>
          <w:p w14:paraId="64FFE4D3">
            <w:pPr>
              <w:spacing w:line="270" w:lineRule="auto"/>
              <w:jc w:val="center"/>
              <w:rPr>
                <w:rFonts w:ascii="Arial"/>
                <w:sz w:val="21"/>
              </w:rPr>
            </w:pPr>
          </w:p>
          <w:p w14:paraId="059700D3">
            <w:pPr>
              <w:pStyle w:val="14"/>
              <w:spacing w:before="65" w:line="372" w:lineRule="auto"/>
              <w:ind w:right="169"/>
              <w:jc w:val="center"/>
            </w:pPr>
            <w:r>
              <w:rPr>
                <w:spacing w:val="8"/>
              </w:rPr>
              <w:t>工程量清单的填写</w:t>
            </w:r>
            <w:r>
              <w:rPr>
                <w:spacing w:val="4"/>
              </w:rPr>
              <w:t>方式</w:t>
            </w:r>
          </w:p>
        </w:tc>
        <w:tc>
          <w:tcPr>
            <w:tcW w:w="5404" w:type="dxa"/>
            <w:vAlign w:val="top"/>
          </w:tcPr>
          <w:p w14:paraId="16306B5C">
            <w:pPr>
              <w:pStyle w:val="14"/>
              <w:spacing w:before="65" w:line="369" w:lineRule="auto"/>
              <w:ind w:right="128"/>
            </w:pPr>
            <w:r>
              <w:rPr>
                <w:rFonts w:hint="eastAsia"/>
                <w:spacing w:val="9"/>
                <w:lang w:eastAsia="zh-CN"/>
              </w:rPr>
              <w:t>□</w:t>
            </w:r>
            <w:r>
              <w:rPr>
                <w:spacing w:val="9"/>
              </w:rPr>
              <w:t>投标人按照招标人提供的工程量固化清单电子文件</w:t>
            </w:r>
            <w:r>
              <w:rPr>
                <w:spacing w:val="8"/>
              </w:rPr>
              <w:t>填写工程量清</w:t>
            </w:r>
            <w:r>
              <w:rPr>
                <w:spacing w:val="7"/>
              </w:rPr>
              <w:t>单，招标人提供固化清单的形式：通过“</w:t>
            </w:r>
            <w:r>
              <w:rPr>
                <w:spacing w:val="-64"/>
              </w:rPr>
              <w:t xml:space="preserve"> </w:t>
            </w:r>
            <w:r>
              <w:rPr>
                <w:spacing w:val="7"/>
              </w:rPr>
              <w:t>电子交易平台</w:t>
            </w:r>
            <w:r>
              <w:rPr>
                <w:spacing w:val="-70"/>
              </w:rPr>
              <w:t xml:space="preserve"> </w:t>
            </w:r>
            <w:r>
              <w:rPr>
                <w:spacing w:val="7"/>
              </w:rPr>
              <w:t>”发出</w:t>
            </w:r>
          </w:p>
          <w:p w14:paraId="149284D9">
            <w:pPr>
              <w:pStyle w:val="14"/>
              <w:spacing w:line="226" w:lineRule="auto"/>
            </w:pPr>
            <w:r>
              <w:rPr>
                <w:rFonts w:hint="eastAsia"/>
                <w:spacing w:val="9"/>
                <w:lang w:eastAsia="zh-CN"/>
              </w:rPr>
              <w:t>☑</w:t>
            </w:r>
            <w:r>
              <w:rPr>
                <w:spacing w:val="9"/>
              </w:rPr>
              <w:t>投标人按照招标人提供的书面工程量清单</w:t>
            </w:r>
            <w:r>
              <w:rPr>
                <w:spacing w:val="8"/>
              </w:rPr>
              <w:t>填写工程量清单</w:t>
            </w:r>
          </w:p>
        </w:tc>
      </w:tr>
      <w:tr w14:paraId="1C53A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911" w:type="dxa"/>
            <w:vAlign w:val="center"/>
          </w:tcPr>
          <w:p w14:paraId="04A5FA09">
            <w:pPr>
              <w:pStyle w:val="14"/>
              <w:spacing w:before="65" w:line="267" w:lineRule="exact"/>
              <w:jc w:val="center"/>
            </w:pPr>
            <w:r>
              <w:rPr>
                <w:spacing w:val="2"/>
                <w:position w:val="1"/>
              </w:rPr>
              <w:t>3.2.3</w:t>
            </w:r>
          </w:p>
        </w:tc>
        <w:tc>
          <w:tcPr>
            <w:tcW w:w="3087" w:type="dxa"/>
            <w:vAlign w:val="center"/>
          </w:tcPr>
          <w:p w14:paraId="67002664">
            <w:pPr>
              <w:pStyle w:val="14"/>
              <w:spacing w:before="65" w:line="226" w:lineRule="auto"/>
              <w:jc w:val="center"/>
            </w:pPr>
            <w:r>
              <w:rPr>
                <w:spacing w:val="7"/>
              </w:rPr>
              <w:t>报价方式</w:t>
            </w:r>
          </w:p>
        </w:tc>
        <w:tc>
          <w:tcPr>
            <w:tcW w:w="5404" w:type="dxa"/>
            <w:vAlign w:val="center"/>
          </w:tcPr>
          <w:p w14:paraId="172926FA">
            <w:pPr>
              <w:pStyle w:val="14"/>
              <w:keepNext w:val="0"/>
              <w:keepLines w:val="0"/>
              <w:pageBreakBefore w:val="0"/>
              <w:widowControl/>
              <w:kinsoku w:val="0"/>
              <w:wordWrap/>
              <w:overflowPunct/>
              <w:topLinePunct w:val="0"/>
              <w:autoSpaceDE w:val="0"/>
              <w:autoSpaceDN w:val="0"/>
              <w:bidi w:val="0"/>
              <w:adjustRightInd w:val="0"/>
              <w:snapToGrid w:val="0"/>
              <w:spacing w:line="226" w:lineRule="auto"/>
              <w:ind w:firstLine="198" w:firstLineChars="100"/>
              <w:jc w:val="both"/>
              <w:textAlignment w:val="baseline"/>
            </w:pPr>
            <w:r>
              <w:rPr>
                <w:rFonts w:hint="eastAsia"/>
                <w:spacing w:val="-1"/>
                <w:lang w:eastAsia="zh-CN"/>
              </w:rPr>
              <w:t>□</w:t>
            </w:r>
            <w:r>
              <w:rPr>
                <w:spacing w:val="-1"/>
              </w:rPr>
              <w:t>单价</w:t>
            </w:r>
            <w:r>
              <w:rPr>
                <w:rFonts w:hint="eastAsia"/>
                <w:spacing w:val="-1"/>
                <w:lang w:val="en-US" w:eastAsia="zh-CN"/>
              </w:rPr>
              <w:t xml:space="preserve">    </w:t>
            </w:r>
            <w:r>
              <w:rPr>
                <w:rFonts w:hint="eastAsia"/>
                <w:spacing w:val="-1"/>
                <w:lang w:eastAsia="zh-CN"/>
              </w:rPr>
              <w:t>☑</w:t>
            </w:r>
            <w:r>
              <w:rPr>
                <w:spacing w:val="-1"/>
              </w:rPr>
              <w:t>总价</w:t>
            </w:r>
          </w:p>
        </w:tc>
      </w:tr>
      <w:tr w14:paraId="1F5F5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911" w:type="dxa"/>
            <w:vAlign w:val="center"/>
          </w:tcPr>
          <w:p w14:paraId="6395358E">
            <w:pPr>
              <w:pStyle w:val="14"/>
              <w:spacing w:before="65" w:line="268" w:lineRule="exact"/>
              <w:jc w:val="center"/>
            </w:pPr>
            <w:r>
              <w:rPr>
                <w:spacing w:val="2"/>
                <w:position w:val="1"/>
              </w:rPr>
              <w:t>3.2.6</w:t>
            </w:r>
          </w:p>
        </w:tc>
        <w:tc>
          <w:tcPr>
            <w:tcW w:w="3087" w:type="dxa"/>
            <w:vAlign w:val="center"/>
          </w:tcPr>
          <w:p w14:paraId="6BF79983">
            <w:pPr>
              <w:pStyle w:val="14"/>
              <w:spacing w:before="65" w:line="242" w:lineRule="auto"/>
              <w:jc w:val="center"/>
              <w:rPr>
                <w:rFonts w:hint="eastAsia" w:eastAsia="宋体"/>
                <w:sz w:val="10"/>
                <w:szCs w:val="10"/>
                <w:lang w:val="en-US" w:eastAsia="zh-CN"/>
              </w:rPr>
            </w:pPr>
            <w:r>
              <w:rPr>
                <w:spacing w:val="7"/>
              </w:rPr>
              <w:t>是否接受调价函</w:t>
            </w:r>
          </w:p>
        </w:tc>
        <w:tc>
          <w:tcPr>
            <w:tcW w:w="5404" w:type="dxa"/>
            <w:vAlign w:val="center"/>
          </w:tcPr>
          <w:p w14:paraId="3DFBFCD2">
            <w:pPr>
              <w:pStyle w:val="14"/>
              <w:keepNext w:val="0"/>
              <w:keepLines w:val="0"/>
              <w:pageBreakBefore w:val="0"/>
              <w:widowControl/>
              <w:kinsoku w:val="0"/>
              <w:wordWrap/>
              <w:overflowPunct/>
              <w:topLinePunct w:val="0"/>
              <w:autoSpaceDE w:val="0"/>
              <w:autoSpaceDN w:val="0"/>
              <w:bidi w:val="0"/>
              <w:adjustRightInd w:val="0"/>
              <w:snapToGrid w:val="0"/>
              <w:spacing w:line="240" w:lineRule="auto"/>
              <w:ind w:right="0" w:firstLine="188" w:firstLineChars="100"/>
              <w:jc w:val="both"/>
              <w:textAlignment w:val="baseline"/>
              <w:rPr>
                <w:rFonts w:hint="eastAsia"/>
                <w:spacing w:val="-6"/>
                <w:lang w:val="en-US" w:eastAsia="zh-CN"/>
              </w:rPr>
            </w:pPr>
            <w:r>
              <w:rPr>
                <w:rFonts w:hint="eastAsia"/>
                <w:spacing w:val="-6"/>
                <w:lang w:eastAsia="zh-CN"/>
              </w:rPr>
              <w:t>□</w:t>
            </w:r>
            <w:r>
              <w:rPr>
                <w:rFonts w:hint="eastAsia"/>
                <w:spacing w:val="-6"/>
                <w:lang w:val="en-US" w:eastAsia="zh-CN"/>
              </w:rPr>
              <w:t xml:space="preserve">是    </w:t>
            </w:r>
          </w:p>
          <w:p w14:paraId="40DC71F0">
            <w:pPr>
              <w:pStyle w:val="14"/>
              <w:keepNext w:val="0"/>
              <w:keepLines w:val="0"/>
              <w:pageBreakBefore w:val="0"/>
              <w:widowControl/>
              <w:kinsoku w:val="0"/>
              <w:wordWrap/>
              <w:overflowPunct/>
              <w:topLinePunct w:val="0"/>
              <w:autoSpaceDE w:val="0"/>
              <w:autoSpaceDN w:val="0"/>
              <w:bidi w:val="0"/>
              <w:adjustRightInd w:val="0"/>
              <w:snapToGrid w:val="0"/>
              <w:spacing w:line="240" w:lineRule="auto"/>
              <w:ind w:right="0" w:firstLine="188" w:firstLineChars="100"/>
              <w:jc w:val="both"/>
              <w:textAlignment w:val="baseline"/>
            </w:pPr>
            <w:r>
              <w:rPr>
                <w:rFonts w:hint="eastAsia"/>
                <w:spacing w:val="-6"/>
                <w:lang w:eastAsia="zh-CN"/>
              </w:rPr>
              <w:t>☑</w:t>
            </w:r>
            <w:r>
              <w:rPr>
                <w:spacing w:val="-6"/>
              </w:rPr>
              <w:t>否</w:t>
            </w:r>
          </w:p>
        </w:tc>
      </w:tr>
      <w:tr w14:paraId="0B73A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911" w:type="dxa"/>
            <w:vAlign w:val="center"/>
          </w:tcPr>
          <w:p w14:paraId="714C7C6E">
            <w:pPr>
              <w:pStyle w:val="14"/>
              <w:spacing w:before="65" w:line="267" w:lineRule="exact"/>
              <w:jc w:val="center"/>
            </w:pPr>
            <w:r>
              <w:rPr>
                <w:spacing w:val="2"/>
                <w:position w:val="1"/>
              </w:rPr>
              <w:t>3.2.8</w:t>
            </w:r>
          </w:p>
        </w:tc>
        <w:tc>
          <w:tcPr>
            <w:tcW w:w="3087" w:type="dxa"/>
            <w:vAlign w:val="center"/>
          </w:tcPr>
          <w:p w14:paraId="70B216A7">
            <w:pPr>
              <w:pStyle w:val="14"/>
              <w:spacing w:before="65" w:line="226" w:lineRule="auto"/>
              <w:jc w:val="center"/>
            </w:pPr>
            <w:r>
              <w:rPr>
                <w:spacing w:val="7"/>
                <w:highlight w:val="none"/>
              </w:rPr>
              <w:t>最髙投标限价</w:t>
            </w:r>
          </w:p>
        </w:tc>
        <w:tc>
          <w:tcPr>
            <w:tcW w:w="5404" w:type="dxa"/>
            <w:vAlign w:val="top"/>
          </w:tcPr>
          <w:p w14:paraId="67203E2C">
            <w:pPr>
              <w:pStyle w:val="14"/>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sz w:val="20"/>
                <w:szCs w:val="20"/>
                <w:lang w:val="en-US" w:eastAsia="zh-CN"/>
              </w:rPr>
            </w:pPr>
          </w:p>
          <w:p w14:paraId="6EA87F46">
            <w:pPr>
              <w:pStyle w:val="14"/>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default" w:eastAsia="宋体"/>
                <w:sz w:val="20"/>
                <w:szCs w:val="20"/>
                <w:lang w:val="en-US" w:eastAsia="zh-CN"/>
              </w:rPr>
            </w:pPr>
            <w:r>
              <w:rPr>
                <w:rFonts w:hint="eastAsia"/>
                <w:sz w:val="20"/>
                <w:szCs w:val="20"/>
                <w:lang w:val="en-US" w:eastAsia="zh-CN"/>
              </w:rPr>
              <w:t>5649592.8元</w:t>
            </w:r>
          </w:p>
        </w:tc>
      </w:tr>
      <w:tr w14:paraId="7A737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911" w:type="dxa"/>
            <w:vAlign w:val="center"/>
          </w:tcPr>
          <w:p w14:paraId="278324FD">
            <w:pPr>
              <w:pStyle w:val="14"/>
              <w:spacing w:before="65" w:line="268" w:lineRule="exact"/>
              <w:jc w:val="center"/>
            </w:pPr>
            <w:r>
              <w:rPr>
                <w:spacing w:val="2"/>
                <w:position w:val="1"/>
              </w:rPr>
              <w:t>3.2.9</w:t>
            </w:r>
          </w:p>
        </w:tc>
        <w:tc>
          <w:tcPr>
            <w:tcW w:w="3087" w:type="dxa"/>
            <w:vAlign w:val="center"/>
          </w:tcPr>
          <w:p w14:paraId="62747E03">
            <w:pPr>
              <w:pStyle w:val="14"/>
              <w:keepNext w:val="0"/>
              <w:keepLines w:val="0"/>
              <w:pageBreakBefore w:val="0"/>
              <w:widowControl/>
              <w:kinsoku w:val="0"/>
              <w:wordWrap/>
              <w:overflowPunct/>
              <w:topLinePunct w:val="0"/>
              <w:autoSpaceDE w:val="0"/>
              <w:autoSpaceDN w:val="0"/>
              <w:bidi w:val="0"/>
              <w:adjustRightInd w:val="0"/>
              <w:snapToGrid w:val="0"/>
              <w:spacing w:line="226" w:lineRule="auto"/>
              <w:jc w:val="center"/>
              <w:textAlignment w:val="baseline"/>
            </w:pPr>
            <w:r>
              <w:rPr>
                <w:spacing w:val="8"/>
              </w:rPr>
              <w:t>投标报价的其他要</w:t>
            </w:r>
            <w:r>
              <w:t>求</w:t>
            </w:r>
          </w:p>
        </w:tc>
        <w:tc>
          <w:tcPr>
            <w:tcW w:w="5404" w:type="dxa"/>
            <w:vAlign w:val="center"/>
          </w:tcPr>
          <w:p w14:paraId="7516E6D0">
            <w:pPr>
              <w:ind w:firstLine="210" w:firstLineChars="100"/>
              <w:jc w:val="both"/>
              <w:rPr>
                <w:rFonts w:hint="default" w:ascii="Arial" w:eastAsia="宋体"/>
                <w:sz w:val="21"/>
                <w:lang w:val="en-US" w:eastAsia="zh-CN"/>
              </w:rPr>
            </w:pPr>
            <w:r>
              <w:rPr>
                <w:rFonts w:hint="eastAsia" w:eastAsia="宋体"/>
                <w:sz w:val="21"/>
                <w:lang w:val="en-US" w:eastAsia="zh-CN"/>
              </w:rPr>
              <w:t>/</w:t>
            </w:r>
          </w:p>
        </w:tc>
      </w:tr>
      <w:tr w14:paraId="5BFD0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911" w:type="dxa"/>
            <w:vAlign w:val="top"/>
          </w:tcPr>
          <w:p w14:paraId="7645188E">
            <w:pPr>
              <w:pStyle w:val="14"/>
              <w:spacing w:before="65" w:line="268" w:lineRule="exact"/>
              <w:ind w:firstLine="204" w:firstLineChars="100"/>
            </w:pPr>
            <w:r>
              <w:rPr>
                <w:spacing w:val="2"/>
                <w:position w:val="1"/>
              </w:rPr>
              <w:t>3.3.1</w:t>
            </w:r>
          </w:p>
        </w:tc>
        <w:tc>
          <w:tcPr>
            <w:tcW w:w="3087" w:type="dxa"/>
            <w:vAlign w:val="center"/>
          </w:tcPr>
          <w:p w14:paraId="1B7E93D3">
            <w:pPr>
              <w:pStyle w:val="14"/>
              <w:spacing w:before="65" w:line="228" w:lineRule="auto"/>
              <w:jc w:val="center"/>
            </w:pPr>
            <w:r>
              <w:rPr>
                <w:spacing w:val="7"/>
              </w:rPr>
              <w:t>投标有效期</w:t>
            </w:r>
          </w:p>
        </w:tc>
        <w:tc>
          <w:tcPr>
            <w:tcW w:w="5404" w:type="dxa"/>
            <w:vAlign w:val="top"/>
          </w:tcPr>
          <w:p w14:paraId="15EA4F8D">
            <w:pPr>
              <w:pStyle w:val="14"/>
              <w:spacing w:before="65" w:line="228" w:lineRule="auto"/>
            </w:pPr>
            <w:r>
              <w:rPr>
                <w:spacing w:val="6"/>
              </w:rPr>
              <w:t>自投标人提交投标文件截止之日起计算</w:t>
            </w:r>
            <w:r>
              <w:rPr>
                <w:rFonts w:hint="eastAsia"/>
                <w:spacing w:val="6"/>
                <w:u w:val="single" w:color="auto"/>
                <w:lang w:val="en-US" w:eastAsia="zh-CN"/>
              </w:rPr>
              <w:t>90</w:t>
            </w:r>
            <w:r>
              <w:rPr>
                <w:spacing w:val="6"/>
              </w:rPr>
              <w:t>日</w:t>
            </w:r>
          </w:p>
        </w:tc>
      </w:tr>
      <w:tr w14:paraId="487033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00" w:hRule="atLeast"/>
        </w:trPr>
        <w:tc>
          <w:tcPr>
            <w:tcW w:w="911" w:type="dxa"/>
            <w:vAlign w:val="top"/>
          </w:tcPr>
          <w:p w14:paraId="1772C557">
            <w:pPr>
              <w:spacing w:line="243" w:lineRule="auto"/>
              <w:rPr>
                <w:rFonts w:ascii="Arial"/>
                <w:sz w:val="21"/>
              </w:rPr>
            </w:pPr>
          </w:p>
          <w:p w14:paraId="613406B9">
            <w:pPr>
              <w:spacing w:line="243" w:lineRule="auto"/>
              <w:rPr>
                <w:rFonts w:ascii="Arial"/>
                <w:sz w:val="21"/>
              </w:rPr>
            </w:pPr>
          </w:p>
          <w:p w14:paraId="6E697C80">
            <w:pPr>
              <w:spacing w:line="243" w:lineRule="auto"/>
              <w:rPr>
                <w:rFonts w:ascii="Arial"/>
                <w:sz w:val="21"/>
              </w:rPr>
            </w:pPr>
          </w:p>
          <w:p w14:paraId="3A618CCD">
            <w:pPr>
              <w:spacing w:line="243" w:lineRule="auto"/>
              <w:rPr>
                <w:rFonts w:ascii="Arial"/>
                <w:sz w:val="21"/>
              </w:rPr>
            </w:pPr>
          </w:p>
          <w:p w14:paraId="3E23107D">
            <w:pPr>
              <w:spacing w:line="243" w:lineRule="auto"/>
              <w:rPr>
                <w:rFonts w:ascii="Arial"/>
                <w:sz w:val="21"/>
              </w:rPr>
            </w:pPr>
          </w:p>
          <w:p w14:paraId="5254CA79">
            <w:pPr>
              <w:spacing w:line="243" w:lineRule="auto"/>
              <w:rPr>
                <w:rFonts w:ascii="Arial"/>
                <w:sz w:val="21"/>
              </w:rPr>
            </w:pPr>
          </w:p>
          <w:p w14:paraId="38F33DD3">
            <w:pPr>
              <w:spacing w:line="243" w:lineRule="auto"/>
              <w:rPr>
                <w:rFonts w:ascii="Arial"/>
                <w:sz w:val="21"/>
              </w:rPr>
            </w:pPr>
          </w:p>
          <w:p w14:paraId="6ADAB209">
            <w:pPr>
              <w:spacing w:line="243" w:lineRule="auto"/>
              <w:rPr>
                <w:rFonts w:ascii="Arial"/>
                <w:sz w:val="21"/>
              </w:rPr>
            </w:pPr>
          </w:p>
          <w:p w14:paraId="48735FEA">
            <w:pPr>
              <w:spacing w:line="243" w:lineRule="auto"/>
              <w:rPr>
                <w:rFonts w:ascii="Arial"/>
                <w:sz w:val="21"/>
              </w:rPr>
            </w:pPr>
          </w:p>
          <w:p w14:paraId="1CAEC2EB">
            <w:pPr>
              <w:spacing w:line="243" w:lineRule="auto"/>
              <w:rPr>
                <w:rFonts w:ascii="Arial"/>
                <w:sz w:val="21"/>
              </w:rPr>
            </w:pPr>
          </w:p>
          <w:p w14:paraId="2F930841">
            <w:pPr>
              <w:spacing w:line="243" w:lineRule="auto"/>
              <w:rPr>
                <w:rFonts w:ascii="Arial"/>
                <w:sz w:val="21"/>
              </w:rPr>
            </w:pPr>
          </w:p>
          <w:p w14:paraId="20A64559">
            <w:pPr>
              <w:spacing w:line="243" w:lineRule="auto"/>
              <w:rPr>
                <w:rFonts w:ascii="Arial"/>
                <w:sz w:val="21"/>
              </w:rPr>
            </w:pPr>
          </w:p>
          <w:p w14:paraId="7028E9DE">
            <w:pPr>
              <w:spacing w:line="243" w:lineRule="auto"/>
              <w:rPr>
                <w:rFonts w:ascii="Arial"/>
                <w:sz w:val="21"/>
              </w:rPr>
            </w:pPr>
          </w:p>
          <w:p w14:paraId="331D790D">
            <w:pPr>
              <w:spacing w:line="244" w:lineRule="auto"/>
              <w:rPr>
                <w:rFonts w:ascii="Arial"/>
                <w:sz w:val="21"/>
              </w:rPr>
            </w:pPr>
          </w:p>
          <w:p w14:paraId="237B72DF">
            <w:pPr>
              <w:spacing w:line="244" w:lineRule="auto"/>
              <w:rPr>
                <w:rFonts w:ascii="Arial"/>
                <w:sz w:val="21"/>
              </w:rPr>
            </w:pPr>
          </w:p>
          <w:p w14:paraId="1EB8591C">
            <w:pPr>
              <w:spacing w:line="244" w:lineRule="auto"/>
              <w:rPr>
                <w:rFonts w:ascii="Arial"/>
                <w:sz w:val="21"/>
              </w:rPr>
            </w:pPr>
          </w:p>
          <w:p w14:paraId="36455DF8">
            <w:pPr>
              <w:spacing w:line="244" w:lineRule="auto"/>
              <w:rPr>
                <w:rFonts w:ascii="Arial"/>
                <w:sz w:val="21"/>
              </w:rPr>
            </w:pPr>
          </w:p>
          <w:p w14:paraId="2D5078FE">
            <w:pPr>
              <w:spacing w:line="244" w:lineRule="auto"/>
              <w:rPr>
                <w:rFonts w:ascii="Arial"/>
                <w:sz w:val="21"/>
              </w:rPr>
            </w:pPr>
          </w:p>
          <w:p w14:paraId="5324BC8A">
            <w:pPr>
              <w:pStyle w:val="14"/>
              <w:spacing w:before="65" w:line="268" w:lineRule="exact"/>
              <w:ind w:left="273"/>
            </w:pPr>
            <w:r>
              <w:rPr>
                <w:spacing w:val="2"/>
                <w:position w:val="1"/>
              </w:rPr>
              <w:t>3.4.1</w:t>
            </w:r>
          </w:p>
        </w:tc>
        <w:tc>
          <w:tcPr>
            <w:tcW w:w="3087" w:type="dxa"/>
            <w:vAlign w:val="top"/>
          </w:tcPr>
          <w:p w14:paraId="4EE946AC">
            <w:pPr>
              <w:spacing w:line="242" w:lineRule="auto"/>
              <w:rPr>
                <w:rFonts w:ascii="Arial"/>
                <w:sz w:val="21"/>
              </w:rPr>
            </w:pPr>
          </w:p>
          <w:p w14:paraId="520F74BD">
            <w:pPr>
              <w:spacing w:line="242" w:lineRule="auto"/>
              <w:rPr>
                <w:rFonts w:ascii="Arial"/>
                <w:sz w:val="21"/>
              </w:rPr>
            </w:pPr>
          </w:p>
          <w:p w14:paraId="7AF7788D">
            <w:pPr>
              <w:spacing w:line="242" w:lineRule="auto"/>
              <w:rPr>
                <w:rFonts w:ascii="Arial"/>
                <w:sz w:val="21"/>
              </w:rPr>
            </w:pPr>
          </w:p>
          <w:p w14:paraId="0DF5D402">
            <w:pPr>
              <w:spacing w:line="242" w:lineRule="auto"/>
              <w:rPr>
                <w:rFonts w:ascii="Arial"/>
                <w:sz w:val="21"/>
              </w:rPr>
            </w:pPr>
          </w:p>
          <w:p w14:paraId="645DA84F">
            <w:pPr>
              <w:spacing w:line="242" w:lineRule="auto"/>
              <w:rPr>
                <w:rFonts w:ascii="Arial"/>
                <w:sz w:val="21"/>
              </w:rPr>
            </w:pPr>
          </w:p>
          <w:p w14:paraId="3C48C60A">
            <w:pPr>
              <w:spacing w:line="242" w:lineRule="auto"/>
              <w:rPr>
                <w:rFonts w:ascii="Arial"/>
                <w:sz w:val="21"/>
              </w:rPr>
            </w:pPr>
          </w:p>
          <w:p w14:paraId="43760DD4">
            <w:pPr>
              <w:spacing w:line="242" w:lineRule="auto"/>
              <w:rPr>
                <w:rFonts w:ascii="Arial"/>
                <w:sz w:val="21"/>
              </w:rPr>
            </w:pPr>
          </w:p>
          <w:p w14:paraId="309AD88C">
            <w:pPr>
              <w:spacing w:line="242" w:lineRule="auto"/>
              <w:rPr>
                <w:rFonts w:ascii="Arial"/>
                <w:sz w:val="21"/>
              </w:rPr>
            </w:pPr>
          </w:p>
          <w:p w14:paraId="112FF1CA">
            <w:pPr>
              <w:spacing w:line="242" w:lineRule="auto"/>
              <w:rPr>
                <w:rFonts w:ascii="Arial"/>
                <w:sz w:val="21"/>
              </w:rPr>
            </w:pPr>
          </w:p>
          <w:p w14:paraId="1B56225E">
            <w:pPr>
              <w:spacing w:line="243" w:lineRule="auto"/>
              <w:rPr>
                <w:rFonts w:ascii="Arial"/>
                <w:sz w:val="21"/>
              </w:rPr>
            </w:pPr>
          </w:p>
          <w:p w14:paraId="6E3E4F1D">
            <w:pPr>
              <w:spacing w:line="243" w:lineRule="auto"/>
              <w:rPr>
                <w:rFonts w:ascii="Arial"/>
                <w:sz w:val="21"/>
              </w:rPr>
            </w:pPr>
          </w:p>
          <w:p w14:paraId="5FB92F2E">
            <w:pPr>
              <w:spacing w:line="243" w:lineRule="auto"/>
              <w:rPr>
                <w:rFonts w:ascii="Arial"/>
                <w:sz w:val="21"/>
              </w:rPr>
            </w:pPr>
          </w:p>
          <w:p w14:paraId="2FE4ECA5">
            <w:pPr>
              <w:spacing w:line="243" w:lineRule="auto"/>
              <w:rPr>
                <w:rFonts w:ascii="Arial"/>
                <w:sz w:val="21"/>
              </w:rPr>
            </w:pPr>
          </w:p>
          <w:p w14:paraId="366B42AC">
            <w:pPr>
              <w:spacing w:line="243" w:lineRule="auto"/>
              <w:rPr>
                <w:rFonts w:ascii="Arial"/>
                <w:sz w:val="21"/>
              </w:rPr>
            </w:pPr>
          </w:p>
          <w:p w14:paraId="20193BBA">
            <w:pPr>
              <w:spacing w:line="243" w:lineRule="auto"/>
              <w:rPr>
                <w:rFonts w:ascii="Arial"/>
                <w:sz w:val="21"/>
              </w:rPr>
            </w:pPr>
          </w:p>
          <w:p w14:paraId="38B2BA6E">
            <w:pPr>
              <w:spacing w:line="243" w:lineRule="auto"/>
              <w:rPr>
                <w:rFonts w:ascii="Arial"/>
                <w:sz w:val="21"/>
              </w:rPr>
            </w:pPr>
          </w:p>
          <w:p w14:paraId="0F527FA8">
            <w:pPr>
              <w:spacing w:line="243" w:lineRule="auto"/>
              <w:rPr>
                <w:rFonts w:ascii="Arial"/>
                <w:sz w:val="21"/>
              </w:rPr>
            </w:pPr>
          </w:p>
          <w:p w14:paraId="2275B6A1">
            <w:pPr>
              <w:spacing w:line="243" w:lineRule="auto"/>
              <w:rPr>
                <w:rFonts w:ascii="Arial"/>
                <w:sz w:val="21"/>
              </w:rPr>
            </w:pPr>
          </w:p>
          <w:p w14:paraId="50799B4E">
            <w:pPr>
              <w:pStyle w:val="14"/>
              <w:spacing w:before="65" w:line="265" w:lineRule="exact"/>
              <w:ind w:left="437" w:firstLine="428" w:firstLineChars="200"/>
              <w:rPr>
                <w:sz w:val="10"/>
                <w:szCs w:val="10"/>
              </w:rPr>
            </w:pPr>
            <w:r>
              <w:rPr>
                <w:spacing w:val="7"/>
              </w:rPr>
              <w:t>投标保证金</w:t>
            </w:r>
          </w:p>
        </w:tc>
        <w:tc>
          <w:tcPr>
            <w:tcW w:w="5404" w:type="dxa"/>
            <w:vAlign w:val="top"/>
          </w:tcPr>
          <w:p w14:paraId="301494CE">
            <w:pPr>
              <w:pStyle w:val="14"/>
              <w:spacing w:before="114" w:line="224" w:lineRule="auto"/>
              <w:ind w:left="140"/>
              <w:rPr>
                <w:rFonts w:hint="default"/>
                <w:spacing w:val="8"/>
              </w:rPr>
            </w:pPr>
            <w:r>
              <w:rPr>
                <w:rFonts w:hint="default"/>
                <w:spacing w:val="8"/>
              </w:rPr>
              <w:t>是否要求投标人递交投标保证金：</w:t>
            </w:r>
          </w:p>
          <w:p w14:paraId="38D482E7">
            <w:pPr>
              <w:pStyle w:val="14"/>
              <w:spacing w:before="114" w:line="224" w:lineRule="auto"/>
              <w:ind w:left="140"/>
              <w:rPr>
                <w:rFonts w:hint="default"/>
                <w:spacing w:val="8"/>
              </w:rPr>
            </w:pPr>
            <w:r>
              <w:rPr>
                <w:rFonts w:hint="eastAsia"/>
                <w:spacing w:val="8"/>
              </w:rPr>
              <w:fldChar w:fldCharType="begin"/>
            </w:r>
            <w:r>
              <w:rPr>
                <w:rFonts w:hint="eastAsia"/>
                <w:spacing w:val="8"/>
              </w:rPr>
              <w:instrText xml:space="preserve"> eq \o\ac(□</w:instrText>
            </w:r>
            <w:r>
              <w:rPr>
                <w:rFonts w:hint="eastAsia"/>
                <w:spacing w:val="8"/>
                <w:lang w:eastAsia="zh-CN"/>
              </w:rPr>
              <w:instrText xml:space="preserve">,√</w:instrText>
            </w:r>
            <w:r>
              <w:rPr>
                <w:rFonts w:hint="eastAsia"/>
                <w:spacing w:val="8"/>
              </w:rPr>
              <w:instrText xml:space="preserve">)</w:instrText>
            </w:r>
            <w:r>
              <w:rPr>
                <w:rFonts w:hint="eastAsia"/>
                <w:spacing w:val="8"/>
              </w:rPr>
              <w:fldChar w:fldCharType="end"/>
            </w:r>
            <w:r>
              <w:rPr>
                <w:rFonts w:hint="default"/>
                <w:spacing w:val="8"/>
              </w:rPr>
              <w:t>要求，投标保证金的金额：</w:t>
            </w:r>
            <w:r>
              <w:rPr>
                <w:rFonts w:hint="eastAsia"/>
                <w:spacing w:val="8"/>
              </w:rPr>
              <w:t xml:space="preserve">  </w:t>
            </w:r>
            <w:r>
              <w:rPr>
                <w:rFonts w:hint="eastAsia"/>
                <w:spacing w:val="8"/>
                <w:lang w:val="en-US" w:eastAsia="zh-CN"/>
              </w:rPr>
              <w:t>10</w:t>
            </w:r>
            <w:r>
              <w:rPr>
                <w:rFonts w:hint="eastAsia"/>
                <w:spacing w:val="8"/>
              </w:rPr>
              <w:t>万元。</w:t>
            </w:r>
          </w:p>
          <w:p w14:paraId="0E34649E">
            <w:pPr>
              <w:pStyle w:val="14"/>
              <w:spacing w:before="114" w:line="224" w:lineRule="auto"/>
              <w:ind w:left="140"/>
              <w:rPr>
                <w:rFonts w:hint="eastAsia"/>
                <w:spacing w:val="8"/>
                <w:lang w:val="en-US" w:eastAsia="zh-CN"/>
              </w:rPr>
            </w:pPr>
            <w:r>
              <w:rPr>
                <w:rFonts w:hint="eastAsia"/>
                <w:spacing w:val="8"/>
              </w:rPr>
              <w:t>缴纳方式：投标保证金、投标保证担保、投标保证保险三种，由投标人自主选择。</w:t>
            </w:r>
          </w:p>
          <w:p w14:paraId="3C149FF0">
            <w:pPr>
              <w:pStyle w:val="14"/>
              <w:spacing w:before="114" w:line="224" w:lineRule="auto"/>
              <w:ind w:left="140"/>
              <w:rPr>
                <w:rFonts w:hint="eastAsia"/>
                <w:spacing w:val="8"/>
                <w:lang w:val="en-US" w:eastAsia="zh-CN"/>
              </w:rPr>
            </w:pPr>
            <w:r>
              <w:rPr>
                <w:rFonts w:hint="eastAsia"/>
                <w:spacing w:val="8"/>
                <w:lang w:val="en-US" w:eastAsia="zh-CN"/>
              </w:rPr>
              <w:t>（1）采用投标保证金的，投标人在建设工程交易系统获取招标文件完毕后，即可在系统申请缴纳投标保证金，获取本次招标投标保证金缴纳账号。投标人必须于投标保证金到账截止时间（见本招标文件“重要事项时间地点一览表 ”）前，从其基本账户将投标保证金转账到指定的缴纳账号。逾期到账的、从非投标人基本账户转出的， 其投标无效。</w:t>
            </w:r>
          </w:p>
          <w:p w14:paraId="6A5B59E6">
            <w:pPr>
              <w:pStyle w:val="14"/>
              <w:spacing w:before="114" w:line="224" w:lineRule="auto"/>
              <w:ind w:left="140"/>
              <w:rPr>
                <w:rFonts w:hint="eastAsia"/>
                <w:spacing w:val="8"/>
                <w:lang w:val="en-US" w:eastAsia="zh-CN"/>
              </w:rPr>
            </w:pPr>
            <w:r>
              <w:rPr>
                <w:rFonts w:hint="eastAsia"/>
                <w:spacing w:val="8"/>
                <w:lang w:val="en-US" w:eastAsia="zh-CN"/>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2C59E3C4">
            <w:pPr>
              <w:pStyle w:val="14"/>
              <w:spacing w:before="114" w:line="224" w:lineRule="auto"/>
              <w:ind w:left="140"/>
              <w:rPr>
                <w:rFonts w:hint="eastAsia"/>
                <w:spacing w:val="8"/>
                <w:lang w:val="en-US" w:eastAsia="zh-CN"/>
              </w:rPr>
            </w:pPr>
            <w:r>
              <w:rPr>
                <w:rFonts w:hint="eastAsia"/>
                <w:spacing w:val="8"/>
                <w:lang w:val="en-US" w:eastAsia="zh-CN"/>
              </w:rPr>
              <w:t>（3）采用投标保证保险的，投标人须在投标保证保险投保截止时间（见本招标文件“重要事项时间地点一览表 ”）前，使用建设工程交易系统完成网上投保。投标人可在系统选择保险机构、录入投保信息、支付保费、打印电子保单，电子保单的有效期不得短于投标有效期。投标人可登录全国公共资源交易平台（广东省 ·韶关市）（</w:t>
            </w:r>
            <w:r>
              <w:rPr>
                <w:rFonts w:hint="eastAsia"/>
                <w:spacing w:val="8"/>
                <w:lang w:val="en-US" w:eastAsia="zh-CN"/>
              </w:rPr>
              <w:fldChar w:fldCharType="begin"/>
            </w:r>
            <w:r>
              <w:rPr>
                <w:rFonts w:hint="eastAsia"/>
                <w:spacing w:val="8"/>
                <w:lang w:val="en-US" w:eastAsia="zh-CN"/>
              </w:rPr>
              <w:instrText xml:space="preserve"> HYPERLINK "https://ygp.gdzwfw.gov.cn/ggzy-portal/#/440200/index" </w:instrText>
            </w:r>
            <w:r>
              <w:rPr>
                <w:rFonts w:hint="eastAsia"/>
                <w:spacing w:val="8"/>
                <w:lang w:val="en-US" w:eastAsia="zh-CN"/>
              </w:rPr>
              <w:fldChar w:fldCharType="separate"/>
            </w:r>
            <w:r>
              <w:rPr>
                <w:rFonts w:hint="eastAsia"/>
                <w:spacing w:val="8"/>
                <w:lang w:val="en-US" w:eastAsia="zh-CN"/>
              </w:rPr>
              <w:t>https://ygp.gdzwfw.gov.cn/ggzy-portal/#/440200/index</w:t>
            </w:r>
            <w:r>
              <w:rPr>
                <w:rFonts w:hint="eastAsia"/>
                <w:spacing w:val="8"/>
                <w:lang w:val="en-US" w:eastAsia="zh-CN"/>
              </w:rPr>
              <w:fldChar w:fldCharType="end"/>
            </w:r>
            <w:r>
              <w:rPr>
                <w:rFonts w:hint="eastAsia"/>
                <w:spacing w:val="8"/>
                <w:lang w:val="en-US" w:eastAsia="zh-CN"/>
              </w:rPr>
              <w:t>），在【服务指南】栏目中下载《建设工程网上交易系统保险保证金缴纳操作指南》，了解网上投保具体操作流程。逾期投保的，其投标无效。</w:t>
            </w:r>
          </w:p>
          <w:p w14:paraId="1DFC377C">
            <w:pPr>
              <w:pStyle w:val="14"/>
              <w:spacing w:before="114" w:line="224" w:lineRule="auto"/>
              <w:ind w:left="140"/>
              <w:rPr>
                <w:rFonts w:hint="eastAsia"/>
                <w:spacing w:val="8"/>
                <w:lang w:val="en-US" w:eastAsia="zh-CN"/>
              </w:rPr>
            </w:pPr>
            <w:r>
              <w:rPr>
                <w:rFonts w:hint="eastAsia"/>
                <w:spacing w:val="8"/>
                <w:lang w:val="en-US" w:eastAsia="zh-CN"/>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EE02AC6">
            <w:pPr>
              <w:pStyle w:val="14"/>
              <w:spacing w:before="114" w:line="224" w:lineRule="auto"/>
              <w:ind w:left="140"/>
              <w:rPr>
                <w:spacing w:val="2"/>
              </w:rPr>
            </w:pPr>
            <w:r>
              <w:rPr>
                <w:rFonts w:hint="eastAsia"/>
                <w:spacing w:val="8"/>
                <w:lang w:val="en-US" w:eastAsia="zh-CN"/>
              </w:rPr>
              <w:t>□不要求</w:t>
            </w:r>
          </w:p>
        </w:tc>
      </w:tr>
    </w:tbl>
    <w:p w14:paraId="0C034C6D">
      <w:pPr>
        <w:pStyle w:val="14"/>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spacing w:val="6"/>
        </w:rPr>
      </w:pPr>
      <w:r>
        <w:rPr>
          <w:spacing w:val="6"/>
        </w:rPr>
        <w:br w:type="page"/>
      </w:r>
    </w:p>
    <w:tbl>
      <w:tblPr>
        <w:tblStyle w:val="13"/>
        <w:tblW w:w="94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1"/>
        <w:gridCol w:w="3087"/>
        <w:gridCol w:w="5404"/>
      </w:tblGrid>
      <w:tr w14:paraId="4BFC7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 w:hRule="atLeast"/>
        </w:trPr>
        <w:tc>
          <w:tcPr>
            <w:tcW w:w="911" w:type="dxa"/>
            <w:vAlign w:val="top"/>
          </w:tcPr>
          <w:p w14:paraId="1CDB09D6">
            <w:pPr>
              <w:pStyle w:val="14"/>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b/>
                <w:bCs/>
              </w:rPr>
            </w:pPr>
            <w:r>
              <w:rPr>
                <w:b/>
                <w:bCs/>
                <w:spacing w:val="6"/>
              </w:rPr>
              <w:t>条款号</w:t>
            </w:r>
          </w:p>
        </w:tc>
        <w:tc>
          <w:tcPr>
            <w:tcW w:w="3087" w:type="dxa"/>
            <w:vAlign w:val="top"/>
          </w:tcPr>
          <w:p w14:paraId="6C501992">
            <w:pPr>
              <w:pStyle w:val="14"/>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b/>
                <w:bCs/>
              </w:rPr>
            </w:pPr>
            <w:r>
              <w:rPr>
                <w:b/>
                <w:bCs/>
                <w:spacing w:val="6"/>
              </w:rPr>
              <w:t>条款名称</w:t>
            </w:r>
          </w:p>
        </w:tc>
        <w:tc>
          <w:tcPr>
            <w:tcW w:w="5404" w:type="dxa"/>
            <w:vAlign w:val="top"/>
          </w:tcPr>
          <w:p w14:paraId="29D8ABEA">
            <w:pPr>
              <w:pStyle w:val="14"/>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b/>
                <w:bCs/>
              </w:rPr>
            </w:pPr>
            <w:r>
              <w:rPr>
                <w:b/>
                <w:bCs/>
                <w:spacing w:val="6"/>
              </w:rPr>
              <w:t>编列内容</w:t>
            </w:r>
          </w:p>
        </w:tc>
      </w:tr>
      <w:tr w14:paraId="4F695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3" w:hRule="atLeast"/>
        </w:trPr>
        <w:tc>
          <w:tcPr>
            <w:tcW w:w="911" w:type="dxa"/>
            <w:vAlign w:val="center"/>
          </w:tcPr>
          <w:p w14:paraId="4FFDF92E">
            <w:pPr>
              <w:pStyle w:val="14"/>
              <w:spacing w:before="65" w:line="268" w:lineRule="exact"/>
              <w:jc w:val="center"/>
            </w:pPr>
            <w:r>
              <w:rPr>
                <w:spacing w:val="2"/>
                <w:position w:val="1"/>
              </w:rPr>
              <w:t>3.4.3</w:t>
            </w:r>
          </w:p>
        </w:tc>
        <w:tc>
          <w:tcPr>
            <w:tcW w:w="3087" w:type="dxa"/>
            <w:vAlign w:val="center"/>
          </w:tcPr>
          <w:p w14:paraId="6F4DADDA">
            <w:pPr>
              <w:pStyle w:val="14"/>
              <w:spacing w:before="65" w:line="371" w:lineRule="auto"/>
              <w:ind w:right="169"/>
              <w:jc w:val="center"/>
            </w:pPr>
            <w:r>
              <w:rPr>
                <w:spacing w:val="8"/>
              </w:rPr>
              <w:t>投标保证金的利息</w:t>
            </w:r>
            <w:r>
              <w:rPr>
                <w:spacing w:val="7"/>
              </w:rPr>
              <w:t>计算原则</w:t>
            </w:r>
          </w:p>
        </w:tc>
        <w:tc>
          <w:tcPr>
            <w:tcW w:w="5404" w:type="dxa"/>
            <w:shd w:val="clear" w:color="auto" w:fill="auto"/>
            <w:vAlign w:val="center"/>
          </w:tcPr>
          <w:p w14:paraId="213A9E22">
            <w:pPr>
              <w:pStyle w:val="6"/>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left"/>
              <w:textAlignment w:val="baseline"/>
              <w:rPr>
                <w:rFonts w:ascii="新宋体" w:hAnsi="新宋体" w:eastAsia="新宋体" w:cs="新宋体"/>
                <w:color w:val="auto"/>
                <w:sz w:val="20"/>
                <w:szCs w:val="20"/>
                <w:highlight w:val="none"/>
                <w:lang w:val="en-US" w:eastAsia="zh-CN"/>
              </w:rPr>
            </w:pPr>
            <w:r>
              <w:rPr>
                <w:rFonts w:ascii="新宋体" w:hAnsi="新宋体" w:eastAsia="新宋体" w:cs="新宋体"/>
                <w:color w:val="auto"/>
                <w:sz w:val="20"/>
                <w:szCs w:val="20"/>
                <w:highlight w:val="none"/>
                <w:lang w:val="en-US" w:eastAsia="zh-CN"/>
              </w:rPr>
              <w:t>(1) 计算利息的起始日期为投标截止当日，终止日期为招标人退还投标保证金日期的前一日；</w:t>
            </w:r>
          </w:p>
          <w:p w14:paraId="50DC8E5A">
            <w:pPr>
              <w:pStyle w:val="6"/>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left"/>
              <w:textAlignment w:val="baseline"/>
              <w:rPr>
                <w:rFonts w:ascii="新宋体" w:hAnsi="新宋体" w:eastAsia="新宋体" w:cs="新宋体"/>
                <w:color w:val="auto"/>
                <w:sz w:val="20"/>
                <w:szCs w:val="20"/>
                <w:highlight w:val="none"/>
                <w:lang w:val="en-US" w:eastAsia="zh-CN"/>
              </w:rPr>
            </w:pPr>
            <w:r>
              <w:rPr>
                <w:rFonts w:ascii="新宋体" w:hAnsi="新宋体" w:eastAsia="新宋体" w:cs="新宋体"/>
                <w:color w:val="auto"/>
                <w:sz w:val="20"/>
                <w:szCs w:val="20"/>
                <w:highlight w:val="none"/>
                <w:lang w:val="en-US" w:eastAsia="zh-CN"/>
              </w:rPr>
              <w:t>(2) 投标保证金的利息按照第（1)款所述计息时间段内招标人指定汇入银行公告的活期存款利率计付，并扣除招标人汇款手续费；</w:t>
            </w:r>
          </w:p>
          <w:p w14:paraId="32547EAE">
            <w:pPr>
              <w:pStyle w:val="6"/>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leftChars="0" w:right="0" w:rightChars="0"/>
              <w:jc w:val="left"/>
              <w:textAlignment w:val="baseline"/>
              <w:rPr>
                <w:rFonts w:hint="eastAsia" w:ascii="新宋体" w:hAnsi="新宋体" w:eastAsia="新宋体" w:cs="新宋体"/>
                <w:snapToGrid w:val="0"/>
                <w:color w:val="auto"/>
                <w:kern w:val="0"/>
                <w:sz w:val="21"/>
                <w:szCs w:val="21"/>
                <w:highlight w:val="none"/>
                <w:lang w:val="en-US" w:eastAsia="zh-CN" w:bidi="ar-SA"/>
              </w:rPr>
            </w:pPr>
            <w:r>
              <w:rPr>
                <w:rFonts w:ascii="新宋体" w:hAnsi="新宋体" w:eastAsia="新宋体" w:cs="新宋体"/>
                <w:color w:val="auto"/>
                <w:sz w:val="20"/>
                <w:szCs w:val="20"/>
                <w:highlight w:val="none"/>
                <w:lang w:val="en-US" w:eastAsia="zh-CN"/>
              </w:rPr>
              <w:t>(3) 利息金额计算至分位，分以下尾数四舍五入。</w:t>
            </w:r>
          </w:p>
        </w:tc>
      </w:tr>
      <w:tr w14:paraId="2608E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8" w:hRule="atLeast"/>
        </w:trPr>
        <w:tc>
          <w:tcPr>
            <w:tcW w:w="911" w:type="dxa"/>
            <w:vAlign w:val="top"/>
          </w:tcPr>
          <w:p w14:paraId="256D3AAC">
            <w:pPr>
              <w:spacing w:line="296" w:lineRule="auto"/>
              <w:rPr>
                <w:rFonts w:ascii="Arial"/>
                <w:sz w:val="21"/>
              </w:rPr>
            </w:pPr>
          </w:p>
          <w:p w14:paraId="14AEA262">
            <w:pPr>
              <w:spacing w:line="296" w:lineRule="auto"/>
              <w:rPr>
                <w:rFonts w:ascii="Arial"/>
                <w:sz w:val="21"/>
              </w:rPr>
            </w:pPr>
          </w:p>
          <w:p w14:paraId="458C7683">
            <w:pPr>
              <w:spacing w:line="296" w:lineRule="auto"/>
              <w:rPr>
                <w:rFonts w:ascii="Arial"/>
                <w:sz w:val="21"/>
              </w:rPr>
            </w:pPr>
          </w:p>
          <w:p w14:paraId="212587D5">
            <w:pPr>
              <w:spacing w:line="296" w:lineRule="auto"/>
              <w:rPr>
                <w:rFonts w:ascii="Arial"/>
                <w:sz w:val="21"/>
              </w:rPr>
            </w:pPr>
          </w:p>
          <w:p w14:paraId="0F5B31F9">
            <w:pPr>
              <w:pStyle w:val="14"/>
              <w:spacing w:before="65" w:line="268" w:lineRule="exact"/>
              <w:ind w:left="273"/>
            </w:pPr>
            <w:r>
              <w:rPr>
                <w:spacing w:val="2"/>
                <w:position w:val="1"/>
              </w:rPr>
              <w:t>3.4.4</w:t>
            </w:r>
          </w:p>
        </w:tc>
        <w:tc>
          <w:tcPr>
            <w:tcW w:w="3087" w:type="dxa"/>
            <w:vAlign w:val="top"/>
          </w:tcPr>
          <w:p w14:paraId="111D432C">
            <w:pPr>
              <w:spacing w:line="246" w:lineRule="auto"/>
              <w:rPr>
                <w:rFonts w:ascii="Arial"/>
                <w:sz w:val="21"/>
              </w:rPr>
            </w:pPr>
          </w:p>
          <w:p w14:paraId="12CFAE88">
            <w:pPr>
              <w:spacing w:line="246" w:lineRule="auto"/>
              <w:rPr>
                <w:rFonts w:ascii="Arial"/>
                <w:sz w:val="21"/>
              </w:rPr>
            </w:pPr>
          </w:p>
          <w:p w14:paraId="77FB1FC4">
            <w:pPr>
              <w:spacing w:line="246" w:lineRule="auto"/>
              <w:rPr>
                <w:rFonts w:ascii="Arial"/>
                <w:sz w:val="21"/>
              </w:rPr>
            </w:pPr>
          </w:p>
          <w:p w14:paraId="033BA733">
            <w:pPr>
              <w:spacing w:line="247" w:lineRule="auto"/>
              <w:rPr>
                <w:rFonts w:ascii="Arial"/>
                <w:sz w:val="21"/>
              </w:rPr>
            </w:pPr>
          </w:p>
          <w:p w14:paraId="11F74E4A">
            <w:pPr>
              <w:pStyle w:val="14"/>
              <w:spacing w:before="65" w:line="372" w:lineRule="auto"/>
              <w:ind w:left="175" w:right="169" w:hanging="1"/>
            </w:pPr>
            <w:r>
              <w:rPr>
                <w:spacing w:val="8"/>
              </w:rPr>
              <w:t>其他可以不予退还投标保证金的情形</w:t>
            </w:r>
          </w:p>
        </w:tc>
        <w:tc>
          <w:tcPr>
            <w:tcW w:w="5404" w:type="dxa"/>
            <w:vAlign w:val="top"/>
          </w:tcPr>
          <w:p w14:paraId="50C3EF16">
            <w:pPr>
              <w:pStyle w:val="14"/>
              <w:keepNext w:val="0"/>
              <w:keepLines w:val="0"/>
              <w:pageBreakBefore w:val="0"/>
              <w:widowControl/>
              <w:kinsoku w:val="0"/>
              <w:wordWrap/>
              <w:overflowPunct/>
              <w:topLinePunct w:val="0"/>
              <w:autoSpaceDE w:val="0"/>
              <w:autoSpaceDN w:val="0"/>
              <w:bidi w:val="0"/>
              <w:adjustRightInd w:val="0"/>
              <w:snapToGrid w:val="0"/>
              <w:spacing w:before="258" w:line="240" w:lineRule="auto"/>
              <w:ind w:left="128"/>
              <w:textAlignment w:val="baseline"/>
            </w:pPr>
            <w:r>
              <w:rPr>
                <w:spacing w:val="7"/>
              </w:rPr>
              <w:t>（4）串通投标；或</w:t>
            </w:r>
          </w:p>
          <w:p w14:paraId="77B30814">
            <w:pPr>
              <w:pStyle w:val="14"/>
              <w:keepNext w:val="0"/>
              <w:keepLines w:val="0"/>
              <w:pageBreakBefore w:val="0"/>
              <w:widowControl/>
              <w:kinsoku w:val="0"/>
              <w:wordWrap/>
              <w:overflowPunct/>
              <w:topLinePunct w:val="0"/>
              <w:autoSpaceDE w:val="0"/>
              <w:autoSpaceDN w:val="0"/>
              <w:bidi w:val="0"/>
              <w:adjustRightInd w:val="0"/>
              <w:snapToGrid w:val="0"/>
              <w:spacing w:before="150" w:line="240" w:lineRule="auto"/>
              <w:ind w:left="119" w:right="114" w:firstLine="9"/>
              <w:textAlignment w:val="baseline"/>
            </w:pPr>
            <w:r>
              <w:rPr>
                <w:spacing w:val="6"/>
              </w:rPr>
              <w:t>（5）评标、中标候选人公示、签订合同前等环节因作假而被取消中</w:t>
            </w:r>
            <w:r>
              <w:rPr>
                <w:spacing w:val="8"/>
              </w:rPr>
              <w:t>标资格；或</w:t>
            </w:r>
          </w:p>
          <w:p w14:paraId="33EF0E67">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128"/>
              <w:textAlignment w:val="baseline"/>
            </w:pPr>
            <w:r>
              <w:rPr>
                <w:spacing w:val="8"/>
              </w:rPr>
              <w:t>（6）因投诉属实取消投标资格的；或</w:t>
            </w:r>
          </w:p>
          <w:p w14:paraId="0AFF0687">
            <w:pPr>
              <w:pStyle w:val="14"/>
              <w:keepNext w:val="0"/>
              <w:keepLines w:val="0"/>
              <w:pageBreakBefore w:val="0"/>
              <w:widowControl/>
              <w:kinsoku w:val="0"/>
              <w:wordWrap/>
              <w:overflowPunct/>
              <w:topLinePunct w:val="0"/>
              <w:autoSpaceDE w:val="0"/>
              <w:autoSpaceDN w:val="0"/>
              <w:bidi w:val="0"/>
              <w:adjustRightInd w:val="0"/>
              <w:snapToGrid w:val="0"/>
              <w:spacing w:before="152" w:line="240" w:lineRule="auto"/>
              <w:ind w:left="131" w:right="1492" w:hanging="3"/>
              <w:textAlignment w:val="baseline"/>
            </w:pPr>
            <w:r>
              <w:rPr>
                <w:spacing w:val="9"/>
              </w:rPr>
              <w:t>（7）其他违反规定、妨碍公平竞争准则的行</w:t>
            </w:r>
            <w:r>
              <w:rPr>
                <w:spacing w:val="8"/>
              </w:rPr>
              <w:t>为；或</w:t>
            </w:r>
            <w:r>
              <w:rPr>
                <w:spacing w:val="-2"/>
              </w:rPr>
              <w:t>……</w:t>
            </w:r>
          </w:p>
        </w:tc>
      </w:tr>
      <w:tr w14:paraId="610D97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trPr>
        <w:tc>
          <w:tcPr>
            <w:tcW w:w="911" w:type="dxa"/>
            <w:vAlign w:val="center"/>
          </w:tcPr>
          <w:p w14:paraId="4E7278D1">
            <w:pPr>
              <w:pStyle w:val="14"/>
              <w:spacing w:before="65" w:line="268" w:lineRule="exact"/>
              <w:jc w:val="center"/>
            </w:pPr>
            <w:r>
              <w:rPr>
                <w:spacing w:val="1"/>
                <w:position w:val="1"/>
              </w:rPr>
              <w:t>3.5</w:t>
            </w:r>
          </w:p>
        </w:tc>
        <w:tc>
          <w:tcPr>
            <w:tcW w:w="3087" w:type="dxa"/>
            <w:vAlign w:val="center"/>
          </w:tcPr>
          <w:p w14:paraId="4ED930CD">
            <w:pPr>
              <w:spacing w:line="266" w:lineRule="auto"/>
              <w:jc w:val="center"/>
              <w:rPr>
                <w:rFonts w:ascii="Arial"/>
                <w:sz w:val="21"/>
              </w:rPr>
            </w:pPr>
          </w:p>
          <w:p w14:paraId="4928450F">
            <w:pPr>
              <w:pStyle w:val="14"/>
              <w:spacing w:before="65" w:line="372" w:lineRule="auto"/>
              <w:ind w:left="696" w:right="169" w:hanging="514"/>
              <w:jc w:val="center"/>
            </w:pPr>
            <w:r>
              <w:rPr>
                <w:spacing w:val="7"/>
              </w:rPr>
              <w:t>资格审查资料的特</w:t>
            </w:r>
            <w:r>
              <w:rPr>
                <w:spacing w:val="6"/>
              </w:rPr>
              <w:t>殊要求</w:t>
            </w:r>
          </w:p>
        </w:tc>
        <w:tc>
          <w:tcPr>
            <w:tcW w:w="5404" w:type="dxa"/>
            <w:vAlign w:val="top"/>
          </w:tcPr>
          <w:p w14:paraId="49BB0C59">
            <w:pPr>
              <w:pStyle w:val="14"/>
              <w:spacing w:before="65" w:line="228" w:lineRule="auto"/>
              <w:ind w:firstLine="188" w:firstLineChars="100"/>
            </w:pPr>
            <w:r>
              <w:rPr>
                <w:rFonts w:hint="eastAsia"/>
                <w:spacing w:val="-6"/>
                <w:lang w:eastAsia="zh-CN"/>
              </w:rPr>
              <w:t>☑</w:t>
            </w:r>
            <w:r>
              <w:rPr>
                <w:spacing w:val="-6"/>
              </w:rPr>
              <w:t>无</w:t>
            </w:r>
          </w:p>
          <w:p w14:paraId="6099AC3A">
            <w:pPr>
              <w:pStyle w:val="14"/>
              <w:spacing w:before="153" w:line="228" w:lineRule="auto"/>
              <w:ind w:firstLine="212" w:firstLineChars="100"/>
            </w:pPr>
            <w:r>
              <w:rPr>
                <w:spacing w:val="6"/>
              </w:rPr>
              <w:t>□有，具体要求：</w:t>
            </w:r>
            <w:r>
              <w:rPr>
                <w:u w:val="single" w:color="auto"/>
              </w:rPr>
              <w:t xml:space="preserve">          </w:t>
            </w:r>
          </w:p>
        </w:tc>
      </w:tr>
      <w:tr w14:paraId="2C5DA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911" w:type="dxa"/>
            <w:vAlign w:val="center"/>
          </w:tcPr>
          <w:p w14:paraId="7BAE78D0">
            <w:pPr>
              <w:pStyle w:val="14"/>
              <w:keepNext w:val="0"/>
              <w:keepLines w:val="0"/>
              <w:pageBreakBefore w:val="0"/>
              <w:widowControl/>
              <w:kinsoku w:val="0"/>
              <w:wordWrap/>
              <w:overflowPunct/>
              <w:topLinePunct w:val="0"/>
              <w:autoSpaceDE w:val="0"/>
              <w:autoSpaceDN w:val="0"/>
              <w:bidi w:val="0"/>
              <w:adjustRightInd w:val="0"/>
              <w:snapToGrid w:val="0"/>
              <w:spacing w:before="65" w:line="240" w:lineRule="auto"/>
              <w:jc w:val="center"/>
              <w:textAlignment w:val="baseline"/>
            </w:pPr>
            <w:r>
              <w:rPr>
                <w:spacing w:val="2"/>
                <w:position w:val="1"/>
              </w:rPr>
              <w:t>3.5.2</w:t>
            </w:r>
          </w:p>
        </w:tc>
        <w:tc>
          <w:tcPr>
            <w:tcW w:w="3087" w:type="dxa"/>
            <w:vAlign w:val="center"/>
          </w:tcPr>
          <w:p w14:paraId="3A92390C">
            <w:pPr>
              <w:pStyle w:val="14"/>
              <w:keepNext w:val="0"/>
              <w:keepLines w:val="0"/>
              <w:pageBreakBefore w:val="0"/>
              <w:widowControl/>
              <w:kinsoku w:val="0"/>
              <w:wordWrap/>
              <w:overflowPunct/>
              <w:topLinePunct w:val="0"/>
              <w:autoSpaceDE w:val="0"/>
              <w:autoSpaceDN w:val="0"/>
              <w:bidi w:val="0"/>
              <w:adjustRightInd w:val="0"/>
              <w:snapToGrid w:val="0"/>
              <w:spacing w:before="145" w:line="240" w:lineRule="auto"/>
              <w:ind w:left="696" w:right="169" w:hanging="524"/>
              <w:jc w:val="center"/>
              <w:textAlignment w:val="baseline"/>
            </w:pPr>
            <w:r>
              <w:rPr>
                <w:spacing w:val="8"/>
              </w:rPr>
              <w:t>近年财务状况的年</w:t>
            </w:r>
            <w:r>
              <w:rPr>
                <w:spacing w:val="6"/>
              </w:rPr>
              <w:t>份要求</w:t>
            </w:r>
          </w:p>
        </w:tc>
        <w:tc>
          <w:tcPr>
            <w:tcW w:w="5404" w:type="dxa"/>
            <w:vAlign w:val="top"/>
          </w:tcPr>
          <w:p w14:paraId="190B5A06">
            <w:pPr>
              <w:pStyle w:val="14"/>
              <w:keepNext w:val="0"/>
              <w:keepLines w:val="0"/>
              <w:pageBreakBefore w:val="0"/>
              <w:widowControl/>
              <w:tabs>
                <w:tab w:val="left" w:pos="738"/>
              </w:tabs>
              <w:kinsoku w:val="0"/>
              <w:wordWrap/>
              <w:overflowPunct/>
              <w:topLinePunct w:val="0"/>
              <w:autoSpaceDE w:val="0"/>
              <w:autoSpaceDN w:val="0"/>
              <w:bidi w:val="0"/>
              <w:adjustRightInd w:val="0"/>
              <w:snapToGrid w:val="0"/>
              <w:spacing w:before="204" w:line="240" w:lineRule="auto"/>
              <w:ind w:left="109"/>
              <w:textAlignment w:val="baseline"/>
              <w:rPr>
                <w:sz w:val="10"/>
                <w:szCs w:val="10"/>
              </w:rPr>
            </w:pPr>
            <w:r>
              <w:rPr>
                <w:rFonts w:hint="eastAsia"/>
                <w:u w:val="single" w:color="auto"/>
                <w:lang w:val="en-US" w:eastAsia="zh-CN"/>
              </w:rPr>
              <w:t>2023</w:t>
            </w:r>
            <w:r>
              <w:rPr>
                <w:u w:val="single" w:color="auto"/>
              </w:rPr>
              <w:tab/>
            </w:r>
            <w:r>
              <w:rPr>
                <w:spacing w:val="-88"/>
              </w:rPr>
              <w:t xml:space="preserve"> </w:t>
            </w:r>
            <w:r>
              <w:rPr>
                <w:spacing w:val="6"/>
              </w:rPr>
              <w:t>年~</w:t>
            </w:r>
            <w:r>
              <w:rPr>
                <w:spacing w:val="6"/>
                <w:u w:val="single" w:color="auto"/>
              </w:rPr>
              <w:t xml:space="preserve">   </w:t>
            </w:r>
            <w:r>
              <w:rPr>
                <w:rFonts w:hint="eastAsia"/>
                <w:spacing w:val="6"/>
                <w:u w:val="single" w:color="auto"/>
                <w:lang w:val="en-US" w:eastAsia="zh-CN"/>
              </w:rPr>
              <w:t>2025</w:t>
            </w:r>
            <w:r>
              <w:rPr>
                <w:spacing w:val="6"/>
                <w:u w:val="single" w:color="auto"/>
              </w:rPr>
              <w:t xml:space="preserve"> </w:t>
            </w:r>
            <w:r>
              <w:rPr>
                <w:spacing w:val="-91"/>
              </w:rPr>
              <w:t xml:space="preserve"> </w:t>
            </w:r>
            <w:r>
              <w:rPr>
                <w:spacing w:val="6"/>
              </w:rPr>
              <w:t>年（近三年）</w:t>
            </w:r>
          </w:p>
        </w:tc>
      </w:tr>
      <w:tr w14:paraId="6B8D7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911" w:type="dxa"/>
            <w:vAlign w:val="center"/>
          </w:tcPr>
          <w:p w14:paraId="7A26A8FF">
            <w:pPr>
              <w:pStyle w:val="14"/>
              <w:spacing w:before="65" w:line="268" w:lineRule="exact"/>
              <w:jc w:val="center"/>
            </w:pPr>
            <w:r>
              <w:rPr>
                <w:spacing w:val="2"/>
                <w:position w:val="1"/>
              </w:rPr>
              <w:t>3.5.3</w:t>
            </w:r>
          </w:p>
        </w:tc>
        <w:tc>
          <w:tcPr>
            <w:tcW w:w="3087" w:type="dxa"/>
            <w:vAlign w:val="center"/>
          </w:tcPr>
          <w:p w14:paraId="62B59D6C">
            <w:pPr>
              <w:pStyle w:val="14"/>
              <w:spacing w:before="65" w:line="366" w:lineRule="auto"/>
              <w:ind w:right="114"/>
              <w:jc w:val="center"/>
              <w:rPr>
                <w:sz w:val="10"/>
                <w:szCs w:val="10"/>
              </w:rPr>
            </w:pPr>
            <w:r>
              <w:rPr>
                <w:spacing w:val="8"/>
              </w:rPr>
              <w:t>近年完成的类似项</w:t>
            </w:r>
            <w:r>
              <w:rPr>
                <w:spacing w:val="4"/>
              </w:rPr>
              <w:t>目情况的时间要求</w:t>
            </w:r>
          </w:p>
        </w:tc>
        <w:tc>
          <w:tcPr>
            <w:tcW w:w="5404" w:type="dxa"/>
            <w:vAlign w:val="top"/>
          </w:tcPr>
          <w:p w14:paraId="4939984D">
            <w:pPr>
              <w:pStyle w:val="14"/>
              <w:spacing w:line="226" w:lineRule="auto"/>
              <w:ind w:left="140"/>
              <w:rPr>
                <w:rFonts w:hint="eastAsia"/>
                <w:u w:val="none" w:color="auto"/>
                <w:lang w:val="en-US" w:eastAsia="zh-CN"/>
              </w:rPr>
            </w:pPr>
          </w:p>
          <w:p w14:paraId="2A1E3C02">
            <w:pPr>
              <w:pStyle w:val="14"/>
              <w:spacing w:line="226" w:lineRule="auto"/>
              <w:ind w:left="140"/>
              <w:rPr>
                <w:rFonts w:hint="eastAsia" w:eastAsia="宋体"/>
                <w:lang w:eastAsia="zh-CN"/>
              </w:rPr>
            </w:pPr>
            <w:r>
              <w:rPr>
                <w:rFonts w:hint="eastAsia"/>
                <w:u w:val="none" w:color="auto"/>
                <w:lang w:val="en-US" w:eastAsia="zh-CN"/>
              </w:rPr>
              <w:t>/</w:t>
            </w:r>
          </w:p>
        </w:tc>
      </w:tr>
      <w:tr w14:paraId="2A4DCD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trPr>
        <w:tc>
          <w:tcPr>
            <w:tcW w:w="911" w:type="dxa"/>
            <w:vAlign w:val="center"/>
          </w:tcPr>
          <w:p w14:paraId="5AB431A8">
            <w:pPr>
              <w:pStyle w:val="14"/>
              <w:spacing w:before="65" w:line="268" w:lineRule="exact"/>
              <w:jc w:val="center"/>
            </w:pPr>
            <w:r>
              <w:rPr>
                <w:spacing w:val="2"/>
                <w:position w:val="1"/>
              </w:rPr>
              <w:t>3.6.1</w:t>
            </w:r>
          </w:p>
        </w:tc>
        <w:tc>
          <w:tcPr>
            <w:tcW w:w="3087" w:type="dxa"/>
            <w:vAlign w:val="center"/>
          </w:tcPr>
          <w:p w14:paraId="04FFF0A5">
            <w:pPr>
              <w:pStyle w:val="14"/>
              <w:spacing w:before="65" w:line="372" w:lineRule="auto"/>
              <w:ind w:right="169"/>
              <w:jc w:val="center"/>
            </w:pPr>
            <w:r>
              <w:rPr>
                <w:spacing w:val="8"/>
              </w:rPr>
              <w:t>是否允许递交备选</w:t>
            </w:r>
            <w:r>
              <w:rPr>
                <w:spacing w:val="6"/>
              </w:rPr>
              <w:t>投标方案</w:t>
            </w:r>
          </w:p>
        </w:tc>
        <w:tc>
          <w:tcPr>
            <w:tcW w:w="5404" w:type="dxa"/>
            <w:vAlign w:val="top"/>
          </w:tcPr>
          <w:p w14:paraId="1F0B5A99">
            <w:pPr>
              <w:spacing w:line="253" w:lineRule="auto"/>
              <w:rPr>
                <w:rFonts w:ascii="Arial"/>
                <w:sz w:val="21"/>
              </w:rPr>
            </w:pPr>
          </w:p>
          <w:p w14:paraId="43A21EC7">
            <w:pPr>
              <w:pStyle w:val="14"/>
              <w:keepNext w:val="0"/>
              <w:keepLines w:val="0"/>
              <w:pageBreakBefore w:val="0"/>
              <w:widowControl/>
              <w:kinsoku w:val="0"/>
              <w:wordWrap/>
              <w:overflowPunct/>
              <w:topLinePunct w:val="0"/>
              <w:autoSpaceDE w:val="0"/>
              <w:autoSpaceDN w:val="0"/>
              <w:bidi w:val="0"/>
              <w:adjustRightInd w:val="0"/>
              <w:snapToGrid w:val="0"/>
              <w:spacing w:line="372" w:lineRule="auto"/>
              <w:ind w:left="0" w:right="0"/>
              <w:textAlignment w:val="baseline"/>
              <w:rPr>
                <w:spacing w:val="2"/>
              </w:rPr>
            </w:pPr>
            <w:r>
              <w:rPr>
                <w:rFonts w:hint="eastAsia"/>
                <w:spacing w:val="2"/>
                <w:lang w:eastAsia="zh-CN"/>
              </w:rPr>
              <w:t>☑</w:t>
            </w:r>
            <w:r>
              <w:rPr>
                <w:spacing w:val="2"/>
              </w:rPr>
              <w:t>不允许</w:t>
            </w:r>
          </w:p>
          <w:p w14:paraId="6FED40CA">
            <w:pPr>
              <w:pStyle w:val="14"/>
              <w:keepNext w:val="0"/>
              <w:keepLines w:val="0"/>
              <w:pageBreakBefore w:val="0"/>
              <w:widowControl/>
              <w:kinsoku w:val="0"/>
              <w:wordWrap/>
              <w:overflowPunct/>
              <w:topLinePunct w:val="0"/>
              <w:autoSpaceDE w:val="0"/>
              <w:autoSpaceDN w:val="0"/>
              <w:bidi w:val="0"/>
              <w:adjustRightInd w:val="0"/>
              <w:snapToGrid w:val="0"/>
              <w:spacing w:line="372" w:lineRule="auto"/>
              <w:ind w:left="0" w:right="0"/>
              <w:textAlignment w:val="baseline"/>
            </w:pPr>
            <w:r>
              <w:rPr>
                <w:spacing w:val="-1"/>
              </w:rPr>
              <w:t>□允许</w:t>
            </w:r>
          </w:p>
        </w:tc>
      </w:tr>
      <w:tr w14:paraId="52D6C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911" w:type="dxa"/>
            <w:vAlign w:val="top"/>
          </w:tcPr>
          <w:p w14:paraId="5C1F20CA">
            <w:pPr>
              <w:pStyle w:val="14"/>
              <w:spacing w:before="65" w:line="268" w:lineRule="exact"/>
              <w:jc w:val="center"/>
            </w:pPr>
            <w:r>
              <w:rPr>
                <w:spacing w:val="2"/>
                <w:position w:val="1"/>
              </w:rPr>
              <w:t>3.7.4</w:t>
            </w:r>
          </w:p>
        </w:tc>
        <w:tc>
          <w:tcPr>
            <w:tcW w:w="3087" w:type="dxa"/>
            <w:vAlign w:val="top"/>
          </w:tcPr>
          <w:p w14:paraId="283F5DC8">
            <w:pPr>
              <w:pStyle w:val="14"/>
              <w:spacing w:before="65" w:line="228" w:lineRule="auto"/>
              <w:jc w:val="center"/>
            </w:pPr>
            <w:r>
              <w:rPr>
                <w:spacing w:val="8"/>
              </w:rPr>
              <w:t>投标文件其他要求</w:t>
            </w:r>
          </w:p>
        </w:tc>
        <w:tc>
          <w:tcPr>
            <w:tcW w:w="5404" w:type="dxa"/>
            <w:vAlign w:val="top"/>
          </w:tcPr>
          <w:p w14:paraId="6E5F5A27">
            <w:pPr>
              <w:pStyle w:val="14"/>
              <w:spacing w:before="116" w:line="344" w:lineRule="auto"/>
              <w:ind w:left="113" w:right="114" w:firstLine="7"/>
              <w:jc w:val="both"/>
            </w:pPr>
            <w:r>
              <w:rPr>
                <w:rFonts w:hint="eastAsia"/>
                <w:spacing w:val="9"/>
              </w:rPr>
              <w:t>按相关规定执行</w:t>
            </w:r>
          </w:p>
        </w:tc>
      </w:tr>
      <w:tr w14:paraId="3405F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4" w:hRule="atLeast"/>
        </w:trPr>
        <w:tc>
          <w:tcPr>
            <w:tcW w:w="911" w:type="dxa"/>
            <w:vAlign w:val="top"/>
          </w:tcPr>
          <w:p w14:paraId="15AE0B59">
            <w:pPr>
              <w:spacing w:line="245" w:lineRule="auto"/>
              <w:rPr>
                <w:rFonts w:ascii="Arial"/>
                <w:sz w:val="21"/>
              </w:rPr>
            </w:pPr>
          </w:p>
          <w:p w14:paraId="16DDAE69">
            <w:pPr>
              <w:spacing w:line="245" w:lineRule="auto"/>
              <w:rPr>
                <w:rFonts w:ascii="Arial"/>
                <w:sz w:val="21"/>
              </w:rPr>
            </w:pPr>
          </w:p>
          <w:p w14:paraId="77369C7D">
            <w:pPr>
              <w:spacing w:line="245" w:lineRule="auto"/>
              <w:rPr>
                <w:rFonts w:ascii="Arial"/>
                <w:sz w:val="21"/>
              </w:rPr>
            </w:pPr>
          </w:p>
          <w:p w14:paraId="4F55A607">
            <w:pPr>
              <w:spacing w:line="245" w:lineRule="auto"/>
              <w:rPr>
                <w:rFonts w:ascii="Arial"/>
                <w:sz w:val="21"/>
              </w:rPr>
            </w:pPr>
          </w:p>
          <w:p w14:paraId="3AA49DBA">
            <w:pPr>
              <w:spacing w:line="245" w:lineRule="auto"/>
              <w:rPr>
                <w:rFonts w:ascii="Arial"/>
                <w:sz w:val="21"/>
              </w:rPr>
            </w:pPr>
          </w:p>
          <w:p w14:paraId="2CE62E3F">
            <w:pPr>
              <w:spacing w:line="245" w:lineRule="auto"/>
              <w:rPr>
                <w:rFonts w:ascii="Arial"/>
                <w:sz w:val="21"/>
              </w:rPr>
            </w:pPr>
          </w:p>
          <w:p w14:paraId="504F6CE2">
            <w:pPr>
              <w:pStyle w:val="14"/>
              <w:spacing w:before="65" w:line="267" w:lineRule="exact"/>
              <w:ind w:left="378"/>
            </w:pPr>
            <w:r>
              <w:rPr>
                <w:spacing w:val="1"/>
                <w:position w:val="1"/>
              </w:rPr>
              <w:t>5.1</w:t>
            </w:r>
          </w:p>
        </w:tc>
        <w:tc>
          <w:tcPr>
            <w:tcW w:w="3087" w:type="dxa"/>
            <w:vAlign w:val="top"/>
          </w:tcPr>
          <w:p w14:paraId="10328E55">
            <w:pPr>
              <w:spacing w:line="245" w:lineRule="auto"/>
              <w:rPr>
                <w:rFonts w:ascii="Arial"/>
                <w:sz w:val="21"/>
              </w:rPr>
            </w:pPr>
          </w:p>
          <w:p w14:paraId="182A67C5">
            <w:pPr>
              <w:spacing w:line="245" w:lineRule="auto"/>
              <w:rPr>
                <w:rFonts w:ascii="Arial"/>
                <w:sz w:val="21"/>
              </w:rPr>
            </w:pPr>
          </w:p>
          <w:p w14:paraId="1E691669">
            <w:pPr>
              <w:spacing w:line="245" w:lineRule="auto"/>
              <w:rPr>
                <w:rFonts w:ascii="Arial"/>
                <w:sz w:val="21"/>
              </w:rPr>
            </w:pPr>
          </w:p>
          <w:p w14:paraId="0B7D7CD5">
            <w:pPr>
              <w:spacing w:line="245" w:lineRule="auto"/>
              <w:rPr>
                <w:rFonts w:ascii="Arial"/>
                <w:sz w:val="21"/>
              </w:rPr>
            </w:pPr>
          </w:p>
          <w:p w14:paraId="13CDE24F">
            <w:pPr>
              <w:spacing w:line="245" w:lineRule="auto"/>
              <w:rPr>
                <w:rFonts w:ascii="Arial"/>
                <w:sz w:val="21"/>
              </w:rPr>
            </w:pPr>
          </w:p>
          <w:p w14:paraId="585DD1E9">
            <w:pPr>
              <w:spacing w:line="245" w:lineRule="auto"/>
              <w:rPr>
                <w:rFonts w:ascii="Arial"/>
                <w:sz w:val="21"/>
              </w:rPr>
            </w:pPr>
          </w:p>
          <w:p w14:paraId="64529C06">
            <w:pPr>
              <w:pStyle w:val="14"/>
              <w:spacing w:before="65" w:line="228" w:lineRule="auto"/>
              <w:jc w:val="center"/>
            </w:pPr>
            <w:r>
              <w:rPr>
                <w:spacing w:val="8"/>
              </w:rPr>
              <w:t>开标时间和地点</w:t>
            </w:r>
          </w:p>
        </w:tc>
        <w:tc>
          <w:tcPr>
            <w:tcW w:w="5404" w:type="dxa"/>
            <w:vAlign w:val="top"/>
          </w:tcPr>
          <w:p w14:paraId="3E46C605">
            <w:pPr>
              <w:pStyle w:val="14"/>
              <w:spacing w:before="144" w:line="369" w:lineRule="auto"/>
              <w:ind w:left="134" w:right="126" w:hanging="13"/>
            </w:pPr>
            <w:r>
              <w:rPr>
                <w:spacing w:val="9"/>
              </w:rPr>
              <w:t>投标文件第一个信封（商务及技术文件）开标时间：同投标截止时</w:t>
            </w:r>
            <w:r>
              <w:t>间</w:t>
            </w:r>
          </w:p>
          <w:p w14:paraId="79292084">
            <w:pPr>
              <w:pStyle w:val="14"/>
              <w:spacing w:before="1" w:line="368" w:lineRule="auto"/>
              <w:ind w:left="117" w:right="126" w:firstLine="3"/>
            </w:pPr>
            <w:r>
              <w:rPr>
                <w:spacing w:val="9"/>
              </w:rPr>
              <w:t>投标文件第一个信封（商务及技术文件）开标地点：同递交投标文</w:t>
            </w:r>
            <w:r>
              <w:rPr>
                <w:spacing w:val="7"/>
              </w:rPr>
              <w:t>件地点</w:t>
            </w:r>
          </w:p>
          <w:p w14:paraId="26BFC893">
            <w:pPr>
              <w:pStyle w:val="14"/>
              <w:spacing w:before="1" w:line="299" w:lineRule="auto"/>
              <w:ind w:left="123" w:right="59" w:hanging="2"/>
              <w:rPr>
                <w:spacing w:val="9"/>
                <w:u w:val="single" w:color="auto"/>
              </w:rPr>
            </w:pPr>
            <w:r>
              <w:rPr>
                <w:spacing w:val="9"/>
              </w:rPr>
              <w:t>投标文件第二个信封（报价文件）开标时间：</w:t>
            </w:r>
            <w:r>
              <w:rPr>
                <w:rFonts w:hint="eastAsia"/>
                <w:spacing w:val="9"/>
                <w:u w:val="single" w:color="auto"/>
                <w:lang w:val="en-US" w:eastAsia="zh-CN"/>
              </w:rPr>
              <w:t>在商务及技术文件评审完成后。通过了评标办法规定的资格审查和初步评审，未出现废标情况的投标文件可进入投标文件第二个信封评审。</w:t>
            </w:r>
          </w:p>
          <w:p w14:paraId="1057B829">
            <w:pPr>
              <w:pStyle w:val="14"/>
              <w:spacing w:before="1" w:line="299" w:lineRule="auto"/>
              <w:ind w:left="123" w:right="59" w:hanging="2"/>
            </w:pPr>
            <w:r>
              <w:rPr>
                <w:spacing w:val="5"/>
              </w:rPr>
              <w:t>投标文件第二个信封（报价文件）开标地点：</w:t>
            </w:r>
            <w:r>
              <w:rPr>
                <w:rFonts w:hint="eastAsia"/>
                <w:spacing w:val="5"/>
                <w:u w:val="single" w:color="auto"/>
                <w:lang w:val="en-US" w:eastAsia="zh-CN"/>
              </w:rPr>
              <w:t>以现场通知为准（第一个信封评审结束后）</w:t>
            </w:r>
          </w:p>
        </w:tc>
      </w:tr>
    </w:tbl>
    <w:p w14:paraId="6C65BF3C">
      <w:pPr>
        <w:pStyle w:val="14"/>
        <w:keepNext w:val="0"/>
        <w:keepLines w:val="0"/>
        <w:pageBreakBefore w:val="0"/>
        <w:widowControl/>
        <w:kinsoku w:val="0"/>
        <w:wordWrap/>
        <w:overflowPunct/>
        <w:topLinePunct w:val="0"/>
        <w:autoSpaceDE w:val="0"/>
        <w:autoSpaceDN w:val="0"/>
        <w:bidi w:val="0"/>
        <w:adjustRightInd w:val="0"/>
        <w:snapToGrid w:val="0"/>
        <w:spacing w:line="228" w:lineRule="auto"/>
        <w:ind w:left="0" w:leftChars="0"/>
        <w:jc w:val="center"/>
        <w:textAlignment w:val="baseline"/>
        <w:rPr>
          <w:b/>
          <w:bCs/>
          <w:spacing w:val="6"/>
        </w:rPr>
      </w:pPr>
      <w:r>
        <w:rPr>
          <w:b/>
          <w:bCs/>
          <w:spacing w:val="6"/>
        </w:rPr>
        <w:br w:type="page"/>
      </w:r>
    </w:p>
    <w:tbl>
      <w:tblPr>
        <w:tblStyle w:val="13"/>
        <w:tblW w:w="94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1"/>
        <w:gridCol w:w="3087"/>
        <w:gridCol w:w="5404"/>
      </w:tblGrid>
      <w:tr w14:paraId="210CE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11" w:type="dxa"/>
            <w:shd w:val="clear" w:color="auto" w:fill="auto"/>
            <w:vAlign w:val="top"/>
          </w:tcPr>
          <w:p w14:paraId="0901E49B">
            <w:pPr>
              <w:pStyle w:val="14"/>
              <w:keepNext w:val="0"/>
              <w:keepLines w:val="0"/>
              <w:pageBreakBefore w:val="0"/>
              <w:widowControl/>
              <w:kinsoku w:val="0"/>
              <w:wordWrap/>
              <w:overflowPunct/>
              <w:topLinePunct w:val="0"/>
              <w:autoSpaceDE w:val="0"/>
              <w:autoSpaceDN w:val="0"/>
              <w:bidi w:val="0"/>
              <w:adjustRightInd w:val="0"/>
              <w:snapToGrid w:val="0"/>
              <w:spacing w:line="228" w:lineRule="auto"/>
              <w:ind w:left="0" w:leftChars="0"/>
              <w:jc w:val="center"/>
              <w:textAlignment w:val="baseline"/>
              <w:rPr>
                <w:rFonts w:ascii="宋体" w:hAnsi="宋体" w:eastAsia="宋体" w:cs="宋体"/>
                <w:b/>
                <w:bCs/>
                <w:snapToGrid w:val="0"/>
                <w:color w:val="000000"/>
                <w:kern w:val="0"/>
                <w:sz w:val="20"/>
                <w:szCs w:val="20"/>
                <w:lang w:val="en-US" w:eastAsia="en-US" w:bidi="ar-SA"/>
              </w:rPr>
            </w:pPr>
            <w:r>
              <w:rPr>
                <w:b/>
                <w:bCs/>
                <w:spacing w:val="6"/>
              </w:rPr>
              <w:t>条款号</w:t>
            </w:r>
          </w:p>
        </w:tc>
        <w:tc>
          <w:tcPr>
            <w:tcW w:w="3087" w:type="dxa"/>
            <w:shd w:val="clear" w:color="auto" w:fill="auto"/>
            <w:vAlign w:val="top"/>
          </w:tcPr>
          <w:p w14:paraId="60A9A07F">
            <w:pPr>
              <w:pStyle w:val="14"/>
              <w:keepNext w:val="0"/>
              <w:keepLines w:val="0"/>
              <w:pageBreakBefore w:val="0"/>
              <w:widowControl/>
              <w:kinsoku w:val="0"/>
              <w:wordWrap/>
              <w:overflowPunct/>
              <w:topLinePunct w:val="0"/>
              <w:autoSpaceDE w:val="0"/>
              <w:autoSpaceDN w:val="0"/>
              <w:bidi w:val="0"/>
              <w:adjustRightInd w:val="0"/>
              <w:snapToGrid w:val="0"/>
              <w:spacing w:line="228" w:lineRule="auto"/>
              <w:ind w:left="0" w:leftChars="0"/>
              <w:jc w:val="center"/>
              <w:textAlignment w:val="baseline"/>
              <w:rPr>
                <w:rFonts w:ascii="宋体" w:hAnsi="宋体" w:eastAsia="宋体" w:cs="宋体"/>
                <w:b/>
                <w:bCs/>
                <w:snapToGrid w:val="0"/>
                <w:color w:val="000000"/>
                <w:kern w:val="0"/>
                <w:sz w:val="20"/>
                <w:szCs w:val="20"/>
                <w:lang w:val="en-US" w:eastAsia="en-US" w:bidi="ar-SA"/>
              </w:rPr>
            </w:pPr>
            <w:r>
              <w:rPr>
                <w:b/>
                <w:bCs/>
                <w:spacing w:val="6"/>
              </w:rPr>
              <w:t>条款名称</w:t>
            </w:r>
          </w:p>
        </w:tc>
        <w:tc>
          <w:tcPr>
            <w:tcW w:w="5404" w:type="dxa"/>
            <w:shd w:val="clear" w:color="auto" w:fill="auto"/>
            <w:vAlign w:val="top"/>
          </w:tcPr>
          <w:p w14:paraId="4F036DB4">
            <w:pPr>
              <w:pStyle w:val="14"/>
              <w:keepNext w:val="0"/>
              <w:keepLines w:val="0"/>
              <w:pageBreakBefore w:val="0"/>
              <w:widowControl/>
              <w:kinsoku w:val="0"/>
              <w:wordWrap/>
              <w:overflowPunct/>
              <w:topLinePunct w:val="0"/>
              <w:autoSpaceDE w:val="0"/>
              <w:autoSpaceDN w:val="0"/>
              <w:bidi w:val="0"/>
              <w:adjustRightInd w:val="0"/>
              <w:snapToGrid w:val="0"/>
              <w:spacing w:line="228" w:lineRule="auto"/>
              <w:ind w:left="0" w:leftChars="0"/>
              <w:jc w:val="center"/>
              <w:textAlignment w:val="baseline"/>
              <w:rPr>
                <w:rFonts w:hint="eastAsia" w:ascii="宋体" w:hAnsi="宋体" w:eastAsia="宋体" w:cs="宋体"/>
                <w:b/>
                <w:bCs/>
                <w:snapToGrid w:val="0"/>
                <w:color w:val="000000"/>
                <w:kern w:val="0"/>
                <w:sz w:val="20"/>
                <w:szCs w:val="20"/>
                <w:lang w:val="en-US" w:eastAsia="zh-CN" w:bidi="ar-SA"/>
              </w:rPr>
            </w:pPr>
            <w:r>
              <w:rPr>
                <w:b/>
                <w:bCs/>
                <w:spacing w:val="6"/>
              </w:rPr>
              <w:t>编列内容</w:t>
            </w:r>
          </w:p>
        </w:tc>
      </w:tr>
      <w:tr w14:paraId="3AE67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4" w:hRule="atLeast"/>
        </w:trPr>
        <w:tc>
          <w:tcPr>
            <w:tcW w:w="911" w:type="dxa"/>
            <w:vAlign w:val="center"/>
          </w:tcPr>
          <w:p w14:paraId="4E65ACB5">
            <w:pPr>
              <w:pStyle w:val="14"/>
              <w:spacing w:before="65" w:line="267" w:lineRule="exact"/>
              <w:jc w:val="center"/>
            </w:pPr>
            <w:r>
              <w:rPr>
                <w:spacing w:val="2"/>
                <w:position w:val="1"/>
              </w:rPr>
              <w:t>5.2.1</w:t>
            </w:r>
          </w:p>
        </w:tc>
        <w:tc>
          <w:tcPr>
            <w:tcW w:w="3087" w:type="dxa"/>
            <w:vAlign w:val="center"/>
          </w:tcPr>
          <w:p w14:paraId="6745F417">
            <w:pPr>
              <w:pStyle w:val="14"/>
              <w:spacing w:before="65" w:line="228" w:lineRule="auto"/>
              <w:jc w:val="center"/>
            </w:pPr>
            <w:r>
              <w:rPr>
                <w:spacing w:val="8"/>
              </w:rPr>
              <w:t>投标文件第一个信封（商务及技术文</w:t>
            </w:r>
            <w:r>
              <w:rPr>
                <w:spacing w:val="7"/>
              </w:rPr>
              <w:t>件）开标</w:t>
            </w:r>
          </w:p>
        </w:tc>
        <w:tc>
          <w:tcPr>
            <w:tcW w:w="5404" w:type="dxa"/>
            <w:vAlign w:val="top"/>
          </w:tcPr>
          <w:p w14:paraId="51591D20">
            <w:pPr>
              <w:pStyle w:val="14"/>
              <w:keepNext w:val="0"/>
              <w:keepLines w:val="0"/>
              <w:pageBreakBefore w:val="0"/>
              <w:widowControl/>
              <w:kinsoku w:val="0"/>
              <w:wordWrap/>
              <w:overflowPunct/>
              <w:topLinePunct w:val="0"/>
              <w:autoSpaceDE w:val="0"/>
              <w:autoSpaceDN w:val="0"/>
              <w:bidi w:val="0"/>
              <w:adjustRightInd w:val="0"/>
              <w:snapToGrid w:val="0"/>
              <w:spacing w:line="240" w:lineRule="auto"/>
              <w:ind w:right="0"/>
              <w:jc w:val="both"/>
              <w:textAlignment w:val="baseline"/>
              <w:rPr>
                <w:rFonts w:hint="default"/>
                <w:spacing w:val="6"/>
                <w:lang w:val="en-US" w:eastAsia="zh-CN"/>
              </w:rPr>
            </w:pPr>
            <w:r>
              <w:rPr>
                <w:rFonts w:hint="eastAsia"/>
                <w:spacing w:val="6"/>
                <w:lang w:val="en-US" w:eastAsia="zh-CN"/>
              </w:rPr>
              <w:t>（1）开标由招标人或其委托的招标代理机构主持，宣布开标纪律。</w:t>
            </w:r>
          </w:p>
          <w:p w14:paraId="27863849">
            <w:pPr>
              <w:pStyle w:val="14"/>
              <w:keepNext w:val="0"/>
              <w:keepLines w:val="0"/>
              <w:pageBreakBefore w:val="0"/>
              <w:widowControl/>
              <w:kinsoku w:val="0"/>
              <w:wordWrap/>
              <w:overflowPunct/>
              <w:topLinePunct w:val="0"/>
              <w:autoSpaceDE w:val="0"/>
              <w:autoSpaceDN w:val="0"/>
              <w:bidi w:val="0"/>
              <w:adjustRightInd w:val="0"/>
              <w:snapToGrid w:val="0"/>
              <w:spacing w:line="240" w:lineRule="auto"/>
              <w:ind w:right="0"/>
              <w:jc w:val="both"/>
              <w:textAlignment w:val="baseline"/>
              <w:rPr>
                <w:rFonts w:hint="default"/>
                <w:spacing w:val="6"/>
                <w:lang w:val="en-US" w:eastAsia="zh-CN"/>
              </w:rPr>
            </w:pPr>
            <w:r>
              <w:rPr>
                <w:rFonts w:hint="eastAsia"/>
                <w:spacing w:val="6"/>
                <w:lang w:val="en-US" w:eastAsia="zh-CN"/>
              </w:rPr>
              <w:t>（2）宣布招标人代表、监标人(如有)等有关人员姓名。</w:t>
            </w:r>
          </w:p>
          <w:p w14:paraId="6DF033F2">
            <w:pPr>
              <w:pStyle w:val="14"/>
              <w:keepNext w:val="0"/>
              <w:keepLines w:val="0"/>
              <w:pageBreakBefore w:val="0"/>
              <w:widowControl/>
              <w:kinsoku w:val="0"/>
              <w:wordWrap/>
              <w:overflowPunct/>
              <w:topLinePunct w:val="0"/>
              <w:autoSpaceDE w:val="0"/>
              <w:autoSpaceDN w:val="0"/>
              <w:bidi w:val="0"/>
              <w:adjustRightInd w:val="0"/>
              <w:snapToGrid w:val="0"/>
              <w:spacing w:line="240" w:lineRule="auto"/>
              <w:ind w:right="0"/>
              <w:jc w:val="both"/>
              <w:textAlignment w:val="baseline"/>
              <w:rPr>
                <w:rFonts w:hint="default"/>
                <w:spacing w:val="6"/>
                <w:lang w:val="en-US" w:eastAsia="zh-CN"/>
              </w:rPr>
            </w:pPr>
            <w:r>
              <w:rPr>
                <w:rFonts w:hint="eastAsia"/>
                <w:spacing w:val="6"/>
                <w:lang w:val="en-US" w:eastAsia="zh-CN"/>
              </w:rPr>
              <w:t>（3）检查各标段投标文件递交到达的情况。若某标段递交到达投标文件的投标人不足3个，则该标段不予开标。</w:t>
            </w:r>
          </w:p>
          <w:p w14:paraId="556DFD1B">
            <w:pPr>
              <w:pStyle w:val="14"/>
              <w:keepNext w:val="0"/>
              <w:keepLines w:val="0"/>
              <w:pageBreakBefore w:val="0"/>
              <w:widowControl/>
              <w:kinsoku w:val="0"/>
              <w:wordWrap/>
              <w:overflowPunct/>
              <w:topLinePunct w:val="0"/>
              <w:autoSpaceDE w:val="0"/>
              <w:autoSpaceDN w:val="0"/>
              <w:bidi w:val="0"/>
              <w:adjustRightInd w:val="0"/>
              <w:snapToGrid w:val="0"/>
              <w:spacing w:line="240" w:lineRule="auto"/>
              <w:ind w:right="0"/>
              <w:jc w:val="both"/>
              <w:textAlignment w:val="baseline"/>
              <w:rPr>
                <w:rFonts w:hint="default"/>
                <w:spacing w:val="6"/>
                <w:lang w:val="en-US" w:eastAsia="zh-CN"/>
              </w:rPr>
            </w:pPr>
            <w:r>
              <w:rPr>
                <w:rFonts w:hint="eastAsia"/>
                <w:spacing w:val="6"/>
                <w:lang w:val="en-US" w:eastAsia="zh-CN"/>
              </w:rPr>
              <w:t>（4）投标人解密。投标人应在投标截止时间后30分钟内对所递交的投标文件第一个信封(商务及技术文件）进行解密。投标人可远程解密或开标现场解密，开标现场解密的投标人，可自备手提电脑进入开标现场。（注：须要通过加密投标文件时的机构数字证书或业务数字证书解密）</w:t>
            </w:r>
          </w:p>
          <w:p w14:paraId="1868987F">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119" w:right="0" w:firstLine="9"/>
              <w:jc w:val="both"/>
              <w:textAlignment w:val="baseline"/>
              <w:rPr>
                <w:rFonts w:hint="default"/>
                <w:spacing w:val="6"/>
                <w:lang w:val="en-US" w:eastAsia="zh-CN"/>
              </w:rPr>
            </w:pPr>
            <w:r>
              <w:rPr>
                <w:rFonts w:hint="eastAsia"/>
                <w:spacing w:val="6"/>
                <w:lang w:val="en-US" w:eastAsia="zh-CN"/>
              </w:rPr>
              <w:t>（5）招标人解密。招标人在投标人解密截止时间（或所有递交投标文件的投标人均解密成功）后，对投标人解密成功的第一个信封（商务及技术文件）进行解密。</w:t>
            </w:r>
          </w:p>
          <w:p w14:paraId="7FA82224">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119" w:right="0" w:firstLine="9"/>
              <w:jc w:val="both"/>
              <w:textAlignment w:val="baseline"/>
              <w:rPr>
                <w:rFonts w:hint="default"/>
                <w:spacing w:val="6"/>
                <w:lang w:val="en-US" w:eastAsia="zh-CN"/>
              </w:rPr>
            </w:pPr>
            <w:r>
              <w:rPr>
                <w:rFonts w:hint="eastAsia"/>
                <w:spacing w:val="6"/>
                <w:lang w:val="en-US" w:eastAsia="zh-CN"/>
              </w:rPr>
              <w:t>（6）公布投标人名称、投标保证金递交情况、解密情况及其他内容，并记录在案。</w:t>
            </w:r>
          </w:p>
          <w:p w14:paraId="52701345">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119" w:right="0" w:firstLine="9"/>
              <w:jc w:val="both"/>
              <w:textAlignment w:val="baseline"/>
              <w:rPr>
                <w:rFonts w:hint="default"/>
                <w:spacing w:val="6"/>
                <w:lang w:val="en-US" w:eastAsia="zh-CN"/>
              </w:rPr>
            </w:pPr>
            <w:r>
              <w:rPr>
                <w:rFonts w:hint="eastAsia"/>
                <w:spacing w:val="6"/>
                <w:lang w:val="en-US" w:eastAsia="zh-CN"/>
              </w:rPr>
              <w:t>（7）投标人代表、招标人、监标人（如有）、见证人（如有）等有关人员在开标记录上签字确认，投标人代表未签字确认的视为默认开标结果。</w:t>
            </w:r>
          </w:p>
          <w:p w14:paraId="37C2651F">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119" w:right="0" w:firstLine="9"/>
              <w:jc w:val="both"/>
              <w:textAlignment w:val="baseline"/>
              <w:rPr>
                <w:rFonts w:hint="default"/>
                <w:spacing w:val="6"/>
                <w:lang w:val="en-US" w:eastAsia="zh-CN"/>
              </w:rPr>
            </w:pPr>
            <w:r>
              <w:rPr>
                <w:rFonts w:hint="eastAsia"/>
                <w:spacing w:val="6"/>
                <w:lang w:val="en-US" w:eastAsia="zh-CN"/>
              </w:rPr>
              <w:t>（8）开标会议结束。</w:t>
            </w:r>
          </w:p>
          <w:p w14:paraId="0F052FBF">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119" w:right="0" w:firstLine="9"/>
              <w:jc w:val="both"/>
              <w:textAlignment w:val="baseline"/>
            </w:pPr>
            <w:r>
              <w:rPr>
                <w:rFonts w:hint="eastAsia"/>
                <w:spacing w:val="6"/>
                <w:lang w:val="en-US" w:eastAsia="zh-CN"/>
              </w:rPr>
              <w:t>投标截止时间前未完成投标文件传输的，或因投标人原因造成投标文件未解密的或未在投标截止时间后30分钟内解密的，视为撤销其投标文件。因投标人之外的原因造成投标文件未解密的，在开标现场读取U盘内容，继续开标程序。评标委员会对其投标文件的评审以U盘内容为准。因投标人之外原因解密失败且未递交U盘的，视为撤回投标文件。</w:t>
            </w:r>
            <w:r>
              <w:rPr>
                <w:rFonts w:hint="eastAsia"/>
                <w:spacing w:val="6"/>
              </w:rPr>
              <w:t>递交的</w:t>
            </w:r>
            <w:r>
              <w:rPr>
                <w:rFonts w:hint="eastAsia"/>
                <w:spacing w:val="6"/>
                <w:lang w:val="en-US" w:eastAsia="zh-CN"/>
              </w:rPr>
              <w:t>U盘</w:t>
            </w:r>
            <w:r>
              <w:rPr>
                <w:rFonts w:hint="eastAsia"/>
                <w:spacing w:val="6"/>
              </w:rPr>
              <w:t>不得加密。</w:t>
            </w:r>
            <w:r>
              <w:rPr>
                <w:rFonts w:hint="eastAsia"/>
                <w:spacing w:val="6"/>
                <w:lang w:val="en-US" w:eastAsia="zh-CN"/>
              </w:rPr>
              <w:t>U盘无法读取或导入的，则视为未提交备用投标文件U盘。</w:t>
            </w:r>
          </w:p>
        </w:tc>
      </w:tr>
      <w:tr w14:paraId="65ADA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11" w:type="dxa"/>
            <w:vAlign w:val="center"/>
          </w:tcPr>
          <w:p w14:paraId="6A445394">
            <w:pPr>
              <w:pStyle w:val="14"/>
              <w:spacing w:before="65" w:line="268" w:lineRule="exact"/>
              <w:jc w:val="center"/>
            </w:pPr>
            <w:r>
              <w:rPr>
                <w:spacing w:val="2"/>
                <w:position w:val="1"/>
              </w:rPr>
              <w:t>5.2.3</w:t>
            </w:r>
          </w:p>
        </w:tc>
        <w:tc>
          <w:tcPr>
            <w:tcW w:w="3087" w:type="dxa"/>
            <w:vAlign w:val="center"/>
          </w:tcPr>
          <w:p w14:paraId="4CAE4772">
            <w:pPr>
              <w:pStyle w:val="14"/>
              <w:spacing w:before="65" w:line="368" w:lineRule="auto"/>
              <w:ind w:right="114"/>
              <w:jc w:val="both"/>
            </w:pPr>
            <w:r>
              <w:rPr>
                <w:spacing w:val="8"/>
              </w:rPr>
              <w:t>投标文件第二个信</w:t>
            </w:r>
            <w:r>
              <w:rPr>
                <w:spacing w:val="-2"/>
              </w:rPr>
              <w:t>封（报价文件）开标</w:t>
            </w:r>
          </w:p>
        </w:tc>
        <w:tc>
          <w:tcPr>
            <w:tcW w:w="5404" w:type="dxa"/>
            <w:vAlign w:val="top"/>
          </w:tcPr>
          <w:p w14:paraId="32A97DAB">
            <w:pPr>
              <w:pStyle w:val="14"/>
              <w:keepNext w:val="0"/>
              <w:keepLines w:val="0"/>
              <w:pageBreakBefore w:val="0"/>
              <w:widowControl/>
              <w:kinsoku w:val="0"/>
              <w:wordWrap/>
              <w:overflowPunct/>
              <w:topLinePunct w:val="0"/>
              <w:autoSpaceDE w:val="0"/>
              <w:autoSpaceDN w:val="0"/>
              <w:bidi w:val="0"/>
              <w:adjustRightInd w:val="0"/>
              <w:snapToGrid w:val="0"/>
              <w:spacing w:line="240" w:lineRule="auto"/>
              <w:ind w:right="0"/>
              <w:jc w:val="both"/>
              <w:textAlignment w:val="baseline"/>
              <w:rPr>
                <w:rFonts w:hint="default"/>
                <w:spacing w:val="6"/>
                <w:lang w:val="en-US" w:eastAsia="zh-CN"/>
              </w:rPr>
            </w:pPr>
            <w:r>
              <w:rPr>
                <w:rFonts w:hint="eastAsia"/>
                <w:spacing w:val="6"/>
                <w:lang w:val="en-US" w:eastAsia="zh-CN"/>
              </w:rPr>
              <w:t>（1）宣布开标纪律</w:t>
            </w:r>
          </w:p>
          <w:p w14:paraId="46822032">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
              <w:jc w:val="both"/>
              <w:textAlignment w:val="baseline"/>
              <w:rPr>
                <w:rFonts w:hint="default"/>
                <w:spacing w:val="6"/>
                <w:lang w:val="en-US" w:eastAsia="zh-CN"/>
              </w:rPr>
            </w:pPr>
            <w:r>
              <w:rPr>
                <w:rFonts w:hint="eastAsia"/>
                <w:spacing w:val="6"/>
                <w:lang w:val="en-US" w:eastAsia="zh-CN"/>
              </w:rPr>
              <w:t>（2）招标人或招标代理宣布第一个信封（商务及技术文件）评审结果。投标人未通过第一个信封（商务及技术文件）评审的，对应标段的第二个信封（报价文件）不予开标。</w:t>
            </w:r>
          </w:p>
          <w:p w14:paraId="44E263BC">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
              <w:jc w:val="both"/>
              <w:textAlignment w:val="baseline"/>
              <w:rPr>
                <w:rFonts w:hint="default"/>
                <w:spacing w:val="6"/>
                <w:lang w:val="en-US" w:eastAsia="zh-CN"/>
              </w:rPr>
            </w:pPr>
            <w:r>
              <w:rPr>
                <w:rFonts w:hint="eastAsia"/>
                <w:spacing w:val="6"/>
                <w:lang w:val="en-US" w:eastAsia="zh-CN"/>
              </w:rPr>
              <w:t>（3）宣布招标人代表、监标人(如有)等有关人员姓名。</w:t>
            </w:r>
          </w:p>
          <w:p w14:paraId="62358E5A">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
              <w:jc w:val="both"/>
              <w:textAlignment w:val="baseline"/>
              <w:rPr>
                <w:rFonts w:hint="default"/>
                <w:spacing w:val="6"/>
                <w:lang w:val="en-US" w:eastAsia="zh-CN"/>
              </w:rPr>
            </w:pPr>
            <w:r>
              <w:rPr>
                <w:rFonts w:hint="eastAsia"/>
                <w:spacing w:val="6"/>
                <w:lang w:val="en-US" w:eastAsia="zh-CN"/>
              </w:rPr>
              <w:t>（4）招标人解密。对投标人第二个信封（报价文件）进行解密。</w:t>
            </w:r>
          </w:p>
          <w:p w14:paraId="4B78819E">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
              <w:jc w:val="both"/>
              <w:textAlignment w:val="baseline"/>
              <w:rPr>
                <w:rFonts w:hint="default"/>
                <w:spacing w:val="6"/>
                <w:lang w:val="en-US" w:eastAsia="zh-CN"/>
              </w:rPr>
            </w:pPr>
            <w:r>
              <w:rPr>
                <w:rFonts w:hint="eastAsia"/>
                <w:spacing w:val="6"/>
                <w:lang w:val="en-US" w:eastAsia="zh-CN"/>
              </w:rPr>
              <w:t>（5）公布投标人名称、投标报价及其他内容，并记录在案。</w:t>
            </w:r>
          </w:p>
          <w:p w14:paraId="46850D9C">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
              <w:jc w:val="both"/>
              <w:textAlignment w:val="baseline"/>
              <w:rPr>
                <w:rFonts w:hint="default"/>
                <w:spacing w:val="6"/>
                <w:lang w:val="en-US" w:eastAsia="zh-CN"/>
              </w:rPr>
            </w:pPr>
            <w:r>
              <w:rPr>
                <w:rFonts w:hint="eastAsia"/>
                <w:spacing w:val="6"/>
                <w:lang w:val="en-US" w:eastAsia="zh-CN"/>
              </w:rPr>
              <w:t>（6）投标人代表、招标人、监标人（如有）、公证人（如有）等有关人员在开标记录上签字确认，投标人代表未签字确认的视为默认开标结果。</w:t>
            </w:r>
          </w:p>
          <w:p w14:paraId="60691230">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
              <w:jc w:val="both"/>
              <w:textAlignment w:val="baseline"/>
            </w:pPr>
            <w:r>
              <w:rPr>
                <w:rFonts w:hint="eastAsia"/>
                <w:spacing w:val="6"/>
                <w:lang w:val="en-US" w:eastAsia="zh-CN"/>
              </w:rPr>
              <w:t>（7）开标会议结束。</w:t>
            </w:r>
          </w:p>
        </w:tc>
      </w:tr>
      <w:tr w14:paraId="0B1D6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3" w:hRule="atLeast"/>
        </w:trPr>
        <w:tc>
          <w:tcPr>
            <w:tcW w:w="911" w:type="dxa"/>
            <w:vAlign w:val="center"/>
          </w:tcPr>
          <w:p w14:paraId="60A3A3BF">
            <w:pPr>
              <w:pStyle w:val="14"/>
              <w:spacing w:before="65" w:line="267" w:lineRule="exact"/>
              <w:jc w:val="center"/>
            </w:pPr>
            <w:r>
              <w:rPr>
                <w:spacing w:val="2"/>
                <w:position w:val="1"/>
              </w:rPr>
              <w:t>6.1.1</w:t>
            </w:r>
          </w:p>
        </w:tc>
        <w:tc>
          <w:tcPr>
            <w:tcW w:w="3087" w:type="dxa"/>
            <w:vAlign w:val="center"/>
          </w:tcPr>
          <w:p w14:paraId="2C117D17">
            <w:pPr>
              <w:pStyle w:val="14"/>
              <w:spacing w:before="65" w:line="262" w:lineRule="exact"/>
              <w:jc w:val="center"/>
              <w:rPr>
                <w:sz w:val="10"/>
                <w:szCs w:val="10"/>
              </w:rPr>
            </w:pPr>
            <w:r>
              <w:rPr>
                <w:spacing w:val="8"/>
              </w:rPr>
              <w:t>评标委员会的组建</w:t>
            </w:r>
          </w:p>
        </w:tc>
        <w:tc>
          <w:tcPr>
            <w:tcW w:w="5404" w:type="dxa"/>
            <w:vAlign w:val="top"/>
          </w:tcPr>
          <w:p w14:paraId="55104175">
            <w:pPr>
              <w:pStyle w:val="14"/>
              <w:spacing w:before="65" w:line="371" w:lineRule="auto"/>
              <w:ind w:right="114"/>
              <w:rPr>
                <w:spacing w:val="9"/>
                <w:lang w:val="en-US" w:eastAsia="zh-CN"/>
              </w:rPr>
            </w:pPr>
            <w:r>
              <w:rPr>
                <w:spacing w:val="9"/>
              </w:rPr>
              <w:t>评标委员会构成：</w:t>
            </w:r>
            <w:r>
              <w:rPr>
                <w:spacing w:val="9"/>
                <w:u w:val="single" w:color="auto"/>
              </w:rPr>
              <w:t xml:space="preserve">  </w:t>
            </w:r>
            <w:r>
              <w:rPr>
                <w:rFonts w:hint="eastAsia"/>
                <w:spacing w:val="9"/>
                <w:u w:val="single" w:color="auto"/>
                <w:lang w:val="en-US" w:eastAsia="zh-CN"/>
              </w:rPr>
              <w:t>5</w:t>
            </w:r>
            <w:r>
              <w:rPr>
                <w:spacing w:val="9"/>
                <w:u w:val="single" w:color="auto"/>
              </w:rPr>
              <w:t xml:space="preserve">  </w:t>
            </w:r>
            <w:r>
              <w:rPr>
                <w:spacing w:val="-87"/>
              </w:rPr>
              <w:t xml:space="preserve"> </w:t>
            </w:r>
            <w:r>
              <w:rPr>
                <w:spacing w:val="9"/>
              </w:rPr>
              <w:t>人，评标委员会由招标人代表和有关专家组成，</w:t>
            </w:r>
            <w:r>
              <w:rPr>
                <w:spacing w:val="9"/>
                <w:lang w:val="en-US" w:eastAsia="zh-CN"/>
              </w:rPr>
              <w:t>专家：</w:t>
            </w:r>
            <w:r>
              <w:rPr>
                <w:rFonts w:hint="eastAsia"/>
                <w:spacing w:val="9"/>
                <w:lang w:val="en-US" w:eastAsia="zh-CN"/>
              </w:rPr>
              <w:t>5</w:t>
            </w:r>
            <w:r>
              <w:rPr>
                <w:spacing w:val="9"/>
                <w:lang w:val="en-US" w:eastAsia="zh-CN"/>
              </w:rPr>
              <w:t>人，招标人代表：</w:t>
            </w:r>
            <w:r>
              <w:rPr>
                <w:rFonts w:hint="eastAsia"/>
                <w:spacing w:val="9"/>
                <w:lang w:val="en-US" w:eastAsia="zh-CN"/>
              </w:rPr>
              <w:t>0</w:t>
            </w:r>
            <w:r>
              <w:rPr>
                <w:spacing w:val="9"/>
                <w:lang w:val="en-US" w:eastAsia="zh-CN"/>
              </w:rPr>
              <w:t>名。</w:t>
            </w:r>
          </w:p>
          <w:p w14:paraId="686AA0C8">
            <w:pPr>
              <w:pStyle w:val="14"/>
              <w:spacing w:before="65" w:line="371" w:lineRule="auto"/>
              <w:ind w:right="114"/>
            </w:pPr>
            <w:r>
              <w:rPr>
                <w:spacing w:val="9"/>
              </w:rPr>
              <w:t>评标专家确定方式：依法从相应评标专家库中随机抽取。</w:t>
            </w:r>
          </w:p>
        </w:tc>
      </w:tr>
      <w:tr w14:paraId="61D06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911" w:type="dxa"/>
            <w:vAlign w:val="center"/>
          </w:tcPr>
          <w:p w14:paraId="59772684">
            <w:pPr>
              <w:pStyle w:val="14"/>
              <w:spacing w:before="65" w:line="268" w:lineRule="exact"/>
              <w:jc w:val="center"/>
              <w:rPr>
                <w:rFonts w:hint="eastAsia" w:eastAsia="宋体"/>
                <w:highlight w:val="none"/>
                <w:lang w:eastAsia="zh-CN"/>
              </w:rPr>
            </w:pPr>
            <w:r>
              <w:rPr>
                <w:spacing w:val="2"/>
                <w:position w:val="1"/>
                <w:highlight w:val="none"/>
              </w:rPr>
              <w:t>6.3.</w:t>
            </w:r>
            <w:r>
              <w:rPr>
                <w:rFonts w:hint="eastAsia"/>
                <w:spacing w:val="2"/>
                <w:position w:val="1"/>
                <w:highlight w:val="none"/>
                <w:lang w:val="en-US" w:eastAsia="zh-CN"/>
              </w:rPr>
              <w:t>1</w:t>
            </w:r>
          </w:p>
        </w:tc>
        <w:tc>
          <w:tcPr>
            <w:tcW w:w="3087" w:type="dxa"/>
            <w:vAlign w:val="center"/>
          </w:tcPr>
          <w:p w14:paraId="62EED118">
            <w:pPr>
              <w:pStyle w:val="14"/>
              <w:spacing w:before="145" w:line="300" w:lineRule="auto"/>
              <w:ind w:left="276" w:right="169" w:hanging="104"/>
              <w:jc w:val="center"/>
              <w:rPr>
                <w:rFonts w:hint="eastAsia" w:eastAsia="宋体"/>
                <w:highlight w:val="none"/>
                <w:lang w:eastAsia="zh-CN"/>
              </w:rPr>
            </w:pPr>
            <w:r>
              <w:rPr>
                <w:rFonts w:hint="eastAsia"/>
                <w:highlight w:val="none"/>
                <w:lang w:eastAsia="zh-CN"/>
              </w:rPr>
              <w:t>评标办法</w:t>
            </w:r>
          </w:p>
        </w:tc>
        <w:tc>
          <w:tcPr>
            <w:tcW w:w="5404" w:type="dxa"/>
            <w:vAlign w:val="top"/>
          </w:tcPr>
          <w:p w14:paraId="622AE950">
            <w:pPr>
              <w:pStyle w:val="14"/>
              <w:spacing w:before="203" w:line="403" w:lineRule="auto"/>
              <w:ind w:left="123"/>
              <w:rPr>
                <w:highlight w:val="none"/>
              </w:rPr>
            </w:pPr>
            <w:r>
              <w:rPr>
                <w:rFonts w:hint="eastAsia"/>
                <w:spacing w:val="7"/>
                <w:highlight w:val="none"/>
                <w:lang w:val="en-US" w:eastAsia="zh-CN"/>
              </w:rPr>
              <w:t>本次招标采用评定分离办法</w:t>
            </w:r>
          </w:p>
        </w:tc>
      </w:tr>
      <w:tr w14:paraId="6968A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6" w:hRule="atLeast"/>
        </w:trPr>
        <w:tc>
          <w:tcPr>
            <w:tcW w:w="911" w:type="dxa"/>
            <w:vAlign w:val="center"/>
          </w:tcPr>
          <w:p w14:paraId="083AA4BF">
            <w:pPr>
              <w:pStyle w:val="14"/>
              <w:spacing w:before="65" w:line="267" w:lineRule="exact"/>
              <w:jc w:val="center"/>
              <w:rPr>
                <w:rFonts w:hint="default" w:eastAsia="宋体"/>
                <w:position w:val="1"/>
                <w:lang w:val="en-US" w:eastAsia="zh-CN"/>
              </w:rPr>
            </w:pPr>
            <w:r>
              <w:rPr>
                <w:rFonts w:hint="eastAsia"/>
                <w:position w:val="1"/>
                <w:lang w:val="en-US" w:eastAsia="zh-CN"/>
              </w:rPr>
              <w:t>7.2.1.1</w:t>
            </w:r>
          </w:p>
        </w:tc>
        <w:tc>
          <w:tcPr>
            <w:tcW w:w="3087" w:type="dxa"/>
            <w:vAlign w:val="center"/>
          </w:tcPr>
          <w:p w14:paraId="3AA0430B">
            <w:pPr>
              <w:pStyle w:val="14"/>
              <w:spacing w:before="65" w:line="371" w:lineRule="auto"/>
              <w:ind w:right="169"/>
              <w:jc w:val="center"/>
              <w:rPr>
                <w:spacing w:val="6"/>
              </w:rPr>
            </w:pPr>
            <w:r>
              <w:rPr>
                <w:rFonts w:hint="eastAsia"/>
                <w:spacing w:val="6"/>
                <w:lang w:val="en-US" w:eastAsia="zh-CN"/>
              </w:rPr>
              <w:t>定标委员会的组建</w:t>
            </w:r>
          </w:p>
        </w:tc>
        <w:tc>
          <w:tcPr>
            <w:tcW w:w="5404" w:type="dxa"/>
            <w:vAlign w:val="top"/>
          </w:tcPr>
          <w:p w14:paraId="06798C97">
            <w:pPr>
              <w:pStyle w:val="14"/>
              <w:keepNext w:val="0"/>
              <w:keepLines w:val="0"/>
              <w:pageBreakBefore w:val="0"/>
              <w:widowControl/>
              <w:kinsoku w:val="0"/>
              <w:wordWrap/>
              <w:overflowPunct/>
              <w:topLinePunct w:val="0"/>
              <w:autoSpaceDE w:val="0"/>
              <w:autoSpaceDN w:val="0"/>
              <w:bidi w:val="0"/>
              <w:adjustRightInd w:val="0"/>
              <w:snapToGrid w:val="0"/>
              <w:spacing w:line="209" w:lineRule="auto"/>
              <w:ind w:left="125"/>
              <w:textAlignment w:val="baseline"/>
              <w:rPr>
                <w:spacing w:val="1"/>
              </w:rPr>
            </w:pPr>
            <w:r>
              <w:rPr>
                <w:rFonts w:hint="eastAsia"/>
                <w:spacing w:val="1"/>
                <w:lang w:val="en-US" w:eastAsia="zh-CN"/>
              </w:rPr>
              <w:t xml:space="preserve">定标委员会由招标人按规定负责组建，定标委员会人数： </w:t>
            </w:r>
          </w:p>
          <w:p w14:paraId="54067FCD">
            <w:pPr>
              <w:pStyle w:val="14"/>
              <w:keepNext w:val="0"/>
              <w:keepLines w:val="0"/>
              <w:pageBreakBefore w:val="0"/>
              <w:widowControl/>
              <w:kinsoku w:val="0"/>
              <w:wordWrap/>
              <w:overflowPunct/>
              <w:topLinePunct w:val="0"/>
              <w:autoSpaceDE w:val="0"/>
              <w:autoSpaceDN w:val="0"/>
              <w:bidi w:val="0"/>
              <w:adjustRightInd w:val="0"/>
              <w:snapToGrid w:val="0"/>
              <w:spacing w:line="209" w:lineRule="auto"/>
              <w:ind w:left="125"/>
              <w:textAlignment w:val="baseline"/>
              <w:rPr>
                <w:spacing w:val="1"/>
              </w:rPr>
            </w:pPr>
            <w:r>
              <w:rPr>
                <w:rFonts w:hint="eastAsia"/>
                <w:spacing w:val="1"/>
                <w:lang w:val="en-US" w:eastAsia="zh-CN"/>
              </w:rPr>
              <w:t xml:space="preserve">7 人。 </w:t>
            </w:r>
          </w:p>
          <w:p w14:paraId="75B0AD7A">
            <w:pPr>
              <w:pStyle w:val="14"/>
              <w:keepNext w:val="0"/>
              <w:keepLines w:val="0"/>
              <w:pageBreakBefore w:val="0"/>
              <w:widowControl/>
              <w:kinsoku w:val="0"/>
              <w:wordWrap/>
              <w:overflowPunct/>
              <w:topLinePunct w:val="0"/>
              <w:autoSpaceDE w:val="0"/>
              <w:autoSpaceDN w:val="0"/>
              <w:bidi w:val="0"/>
              <w:adjustRightInd w:val="0"/>
              <w:snapToGrid w:val="0"/>
              <w:spacing w:line="209" w:lineRule="auto"/>
              <w:ind w:left="125"/>
              <w:textAlignment w:val="baseline"/>
              <w:rPr>
                <w:spacing w:val="1"/>
              </w:rPr>
            </w:pPr>
            <w:r>
              <w:rPr>
                <w:rFonts w:hint="eastAsia"/>
                <w:spacing w:val="1"/>
                <w:lang w:val="en-US" w:eastAsia="zh-CN"/>
              </w:rPr>
              <w:t xml:space="preserve">1.根据《韶关市人民政府关于印发韶关市推进工程建设项目招标投标“评定分离”改革实施方案的通知》，定标委员会人数：7 人。 </w:t>
            </w:r>
          </w:p>
          <w:p w14:paraId="11EF2133">
            <w:pPr>
              <w:pStyle w:val="14"/>
              <w:keepNext w:val="0"/>
              <w:keepLines w:val="0"/>
              <w:pageBreakBefore w:val="0"/>
              <w:widowControl/>
              <w:kinsoku w:val="0"/>
              <w:wordWrap/>
              <w:overflowPunct/>
              <w:topLinePunct w:val="0"/>
              <w:autoSpaceDE w:val="0"/>
              <w:autoSpaceDN w:val="0"/>
              <w:bidi w:val="0"/>
              <w:adjustRightInd w:val="0"/>
              <w:snapToGrid w:val="0"/>
              <w:spacing w:line="209" w:lineRule="auto"/>
              <w:ind w:left="125"/>
              <w:textAlignment w:val="baseline"/>
              <w:rPr>
                <w:spacing w:val="1"/>
              </w:rPr>
            </w:pPr>
            <w:r>
              <w:rPr>
                <w:rFonts w:hint="eastAsia"/>
                <w:spacing w:val="1"/>
                <w:lang w:val="en-US" w:eastAsia="zh-CN"/>
              </w:rPr>
              <w:t>2.定标委员会组长负责组织本次工程定标的全部工作。</w:t>
            </w:r>
          </w:p>
        </w:tc>
      </w:tr>
      <w:tr w14:paraId="659E3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911" w:type="dxa"/>
            <w:vAlign w:val="center"/>
          </w:tcPr>
          <w:p w14:paraId="148295B8">
            <w:pPr>
              <w:pStyle w:val="14"/>
              <w:keepNext w:val="0"/>
              <w:keepLines w:val="0"/>
              <w:pageBreakBefore w:val="0"/>
              <w:widowControl/>
              <w:kinsoku w:val="0"/>
              <w:wordWrap/>
              <w:overflowPunct/>
              <w:topLinePunct w:val="0"/>
              <w:autoSpaceDE w:val="0"/>
              <w:autoSpaceDN w:val="0"/>
              <w:bidi w:val="0"/>
              <w:adjustRightInd w:val="0"/>
              <w:snapToGrid w:val="0"/>
              <w:spacing w:line="267" w:lineRule="exact"/>
              <w:jc w:val="center"/>
              <w:textAlignment w:val="baseline"/>
              <w:rPr>
                <w:rFonts w:hint="default" w:eastAsia="宋体"/>
                <w:position w:val="1"/>
                <w:lang w:val="en-US" w:eastAsia="zh-CN"/>
              </w:rPr>
            </w:pPr>
            <w:r>
              <w:rPr>
                <w:rFonts w:hint="eastAsia"/>
                <w:position w:val="1"/>
                <w:lang w:val="en-US" w:eastAsia="zh-CN"/>
              </w:rPr>
              <w:t>7.2.2</w:t>
            </w:r>
          </w:p>
        </w:tc>
        <w:tc>
          <w:tcPr>
            <w:tcW w:w="3087" w:type="dxa"/>
            <w:vAlign w:val="center"/>
          </w:tcPr>
          <w:p w14:paraId="68344BA4">
            <w:pPr>
              <w:pStyle w:val="14"/>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eastAsia="宋体"/>
                <w:spacing w:val="6"/>
                <w:lang w:eastAsia="zh-CN"/>
              </w:rPr>
            </w:pPr>
            <w:r>
              <w:rPr>
                <w:rFonts w:hint="eastAsia"/>
                <w:spacing w:val="6"/>
                <w:lang w:eastAsia="zh-CN"/>
              </w:rPr>
              <w:t>定标方式</w:t>
            </w:r>
          </w:p>
        </w:tc>
        <w:tc>
          <w:tcPr>
            <w:tcW w:w="5404" w:type="dxa"/>
            <w:vAlign w:val="top"/>
          </w:tcPr>
          <w:p w14:paraId="3F4C265A">
            <w:pPr>
              <w:pStyle w:val="14"/>
              <w:spacing w:before="137" w:line="209" w:lineRule="auto"/>
              <w:ind w:left="125"/>
              <w:rPr>
                <w:spacing w:val="1"/>
              </w:rPr>
            </w:pPr>
            <w:r>
              <w:rPr>
                <w:rFonts w:hint="eastAsia"/>
                <w:spacing w:val="1"/>
                <w:lang w:val="en-US" w:eastAsia="zh-CN"/>
              </w:rPr>
              <w:t>票决定标法</w:t>
            </w:r>
          </w:p>
        </w:tc>
      </w:tr>
      <w:tr w14:paraId="55602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9" w:hRule="atLeast"/>
        </w:trPr>
        <w:tc>
          <w:tcPr>
            <w:tcW w:w="911" w:type="dxa"/>
            <w:vAlign w:val="center"/>
          </w:tcPr>
          <w:p w14:paraId="225EB3F2">
            <w:pPr>
              <w:pStyle w:val="14"/>
              <w:spacing w:before="65" w:line="267" w:lineRule="exact"/>
              <w:jc w:val="center"/>
            </w:pPr>
            <w:r>
              <w:rPr>
                <w:position w:val="1"/>
              </w:rPr>
              <w:t>7.1</w:t>
            </w:r>
          </w:p>
        </w:tc>
        <w:tc>
          <w:tcPr>
            <w:tcW w:w="3087" w:type="dxa"/>
            <w:vAlign w:val="center"/>
          </w:tcPr>
          <w:p w14:paraId="1D1C59D2">
            <w:pPr>
              <w:pStyle w:val="14"/>
              <w:spacing w:before="65" w:line="371" w:lineRule="auto"/>
              <w:ind w:right="169"/>
              <w:jc w:val="center"/>
            </w:pPr>
            <w:r>
              <w:rPr>
                <w:spacing w:val="6"/>
              </w:rPr>
              <w:t>中标候选人公示媒</w:t>
            </w:r>
            <w:r>
              <w:rPr>
                <w:spacing w:val="7"/>
              </w:rPr>
              <w:t>介及期限</w:t>
            </w:r>
          </w:p>
        </w:tc>
        <w:tc>
          <w:tcPr>
            <w:tcW w:w="5404" w:type="dxa"/>
            <w:vAlign w:val="top"/>
          </w:tcPr>
          <w:p w14:paraId="48420CF1">
            <w:pPr>
              <w:pStyle w:val="14"/>
              <w:spacing w:before="142" w:line="227" w:lineRule="auto"/>
              <w:ind w:left="125"/>
            </w:pPr>
            <w:r>
              <w:rPr>
                <w:spacing w:val="9"/>
              </w:rPr>
              <w:t>公示媒介：广东省招标投标监管网、</w:t>
            </w:r>
            <w:r>
              <w:rPr>
                <w:spacing w:val="9"/>
                <w:u w:val="single" w:color="auto"/>
              </w:rPr>
              <w:t xml:space="preserve"> </w:t>
            </w:r>
            <w:r>
              <w:rPr>
                <w:rFonts w:hint="eastAsia"/>
                <w:spacing w:val="9"/>
                <w:u w:val="single" w:color="auto"/>
                <w:lang w:eastAsia="zh-CN"/>
              </w:rPr>
              <w:t>韶关</w:t>
            </w:r>
            <w:r>
              <w:rPr>
                <w:spacing w:val="9"/>
                <w:u w:val="single" w:color="auto"/>
              </w:rPr>
              <w:t>公共</w:t>
            </w:r>
            <w:r>
              <w:rPr>
                <w:spacing w:val="8"/>
                <w:u w:val="single" w:color="auto"/>
              </w:rPr>
              <w:t>资源交易中心网站</w:t>
            </w:r>
          </w:p>
          <w:p w14:paraId="53BF0839">
            <w:pPr>
              <w:pStyle w:val="14"/>
              <w:spacing w:before="137" w:line="209" w:lineRule="auto"/>
              <w:ind w:left="125"/>
              <w:rPr>
                <w:rFonts w:hint="eastAsia" w:eastAsia="宋体"/>
                <w:lang w:eastAsia="zh-CN"/>
              </w:rPr>
            </w:pPr>
            <w:r>
              <w:rPr>
                <w:spacing w:val="1"/>
              </w:rPr>
              <w:t>公示期限：</w:t>
            </w:r>
            <w:r>
              <w:rPr>
                <w:spacing w:val="1"/>
                <w:u w:val="single" w:color="auto"/>
              </w:rPr>
              <w:t>3</w:t>
            </w:r>
            <w:r>
              <w:rPr>
                <w:spacing w:val="-46"/>
                <w:u w:val="single" w:color="auto"/>
              </w:rPr>
              <w:t xml:space="preserve"> </w:t>
            </w:r>
            <w:r>
              <w:rPr>
                <w:spacing w:val="-56"/>
              </w:rPr>
              <w:t xml:space="preserve"> </w:t>
            </w:r>
            <w:r>
              <w:rPr>
                <w:rFonts w:hint="eastAsia"/>
                <w:spacing w:val="-56"/>
                <w:lang w:eastAsia="zh-CN"/>
              </w:rPr>
              <w:t>个</w:t>
            </w:r>
            <w:r>
              <w:rPr>
                <w:spacing w:val="1"/>
              </w:rPr>
              <w:t>日</w:t>
            </w:r>
            <w:r>
              <w:rPr>
                <w:rFonts w:hint="eastAsia"/>
                <w:spacing w:val="1"/>
                <w:lang w:eastAsia="zh-CN"/>
              </w:rPr>
              <w:t>历天</w:t>
            </w:r>
          </w:p>
        </w:tc>
      </w:tr>
      <w:tr w14:paraId="33C31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911" w:type="dxa"/>
            <w:vAlign w:val="center"/>
          </w:tcPr>
          <w:p w14:paraId="34EE041D">
            <w:pPr>
              <w:pStyle w:val="14"/>
              <w:spacing w:before="65" w:line="267" w:lineRule="exact"/>
              <w:jc w:val="center"/>
            </w:pPr>
            <w:r>
              <w:rPr>
                <w:position w:val="1"/>
              </w:rPr>
              <w:t>7.5</w:t>
            </w:r>
          </w:p>
        </w:tc>
        <w:tc>
          <w:tcPr>
            <w:tcW w:w="3087" w:type="dxa"/>
            <w:vAlign w:val="center"/>
          </w:tcPr>
          <w:p w14:paraId="60011431">
            <w:pPr>
              <w:pStyle w:val="14"/>
              <w:spacing w:before="65" w:line="227" w:lineRule="auto"/>
              <w:jc w:val="center"/>
            </w:pPr>
            <w:r>
              <w:rPr>
                <w:spacing w:val="6"/>
              </w:rPr>
              <w:t>中标通知书和中标</w:t>
            </w:r>
            <w:r>
              <w:rPr>
                <w:spacing w:val="8"/>
              </w:rPr>
              <w:t>结果通知发出的形</w:t>
            </w:r>
            <w:r>
              <w:t>式</w:t>
            </w:r>
          </w:p>
        </w:tc>
        <w:tc>
          <w:tcPr>
            <w:tcW w:w="5404" w:type="dxa"/>
            <w:vAlign w:val="top"/>
          </w:tcPr>
          <w:p w14:paraId="6406E8BB">
            <w:pPr>
              <w:pStyle w:val="14"/>
              <w:spacing w:before="65" w:line="371" w:lineRule="auto"/>
              <w:ind w:right="126" w:firstLine="218" w:firstLineChars="100"/>
            </w:pPr>
            <w:r>
              <w:rPr>
                <w:spacing w:val="9"/>
              </w:rPr>
              <w:t>中标通知书以书面或电子形式发出；中标结果在广东省招标投</w:t>
            </w:r>
            <w:r>
              <w:rPr>
                <w:spacing w:val="8"/>
              </w:rPr>
              <w:t>标监</w:t>
            </w:r>
            <w:r>
              <w:rPr>
                <w:spacing w:val="7"/>
              </w:rPr>
              <w:t>管网及</w:t>
            </w:r>
            <w:r>
              <w:rPr>
                <w:spacing w:val="7"/>
                <w:u w:val="single" w:color="auto"/>
              </w:rPr>
              <w:t xml:space="preserve"> </w:t>
            </w:r>
            <w:r>
              <w:rPr>
                <w:rFonts w:hint="eastAsia"/>
                <w:spacing w:val="7"/>
                <w:u w:val="single" w:color="auto"/>
                <w:lang w:eastAsia="zh-CN"/>
              </w:rPr>
              <w:t>韶关</w:t>
            </w:r>
            <w:r>
              <w:rPr>
                <w:spacing w:val="7"/>
                <w:u w:val="single" w:color="auto"/>
              </w:rPr>
              <w:t>公共资源交易中心网站</w:t>
            </w:r>
            <w:r>
              <w:rPr>
                <w:spacing w:val="7"/>
              </w:rPr>
              <w:t>发布。</w:t>
            </w:r>
          </w:p>
        </w:tc>
      </w:tr>
      <w:tr w14:paraId="63B79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911" w:type="dxa"/>
            <w:vAlign w:val="top"/>
          </w:tcPr>
          <w:p w14:paraId="1F91947E">
            <w:pPr>
              <w:pStyle w:val="14"/>
              <w:spacing w:before="65" w:line="267" w:lineRule="exact"/>
              <w:jc w:val="center"/>
            </w:pPr>
            <w:r>
              <w:rPr>
                <w:rFonts w:hint="eastAsia"/>
                <w:position w:val="1"/>
                <w:lang w:val="en-US" w:eastAsia="zh-CN"/>
              </w:rPr>
              <w:t>7</w:t>
            </w:r>
            <w:r>
              <w:rPr>
                <w:position w:val="1"/>
              </w:rPr>
              <w:t>.6</w:t>
            </w:r>
          </w:p>
        </w:tc>
        <w:tc>
          <w:tcPr>
            <w:tcW w:w="3087" w:type="dxa"/>
            <w:vAlign w:val="center"/>
          </w:tcPr>
          <w:p w14:paraId="216402AB">
            <w:pPr>
              <w:pStyle w:val="14"/>
              <w:spacing w:before="65" w:line="372" w:lineRule="auto"/>
              <w:ind w:right="169"/>
              <w:jc w:val="center"/>
            </w:pPr>
            <w:r>
              <w:rPr>
                <w:spacing w:val="6"/>
              </w:rPr>
              <w:t>中标结果公告媒介</w:t>
            </w:r>
          </w:p>
        </w:tc>
        <w:tc>
          <w:tcPr>
            <w:tcW w:w="5404" w:type="dxa"/>
            <w:vAlign w:val="top"/>
          </w:tcPr>
          <w:p w14:paraId="30D2F3CA">
            <w:pPr>
              <w:pStyle w:val="14"/>
              <w:keepNext w:val="0"/>
              <w:keepLines w:val="0"/>
              <w:pageBreakBefore w:val="0"/>
              <w:widowControl/>
              <w:kinsoku w:val="0"/>
              <w:wordWrap/>
              <w:overflowPunct/>
              <w:topLinePunct w:val="0"/>
              <w:autoSpaceDE w:val="0"/>
              <w:autoSpaceDN w:val="0"/>
              <w:bidi w:val="0"/>
              <w:adjustRightInd w:val="0"/>
              <w:snapToGrid w:val="0"/>
              <w:spacing w:before="65" w:line="372" w:lineRule="auto"/>
              <w:ind w:right="0"/>
              <w:textAlignment w:val="baseline"/>
            </w:pPr>
            <w:r>
              <w:rPr>
                <w:spacing w:val="8"/>
              </w:rPr>
              <w:t>广东省招标投标监管网、</w:t>
            </w:r>
            <w:r>
              <w:rPr>
                <w:spacing w:val="8"/>
                <w:u w:val="single" w:color="auto"/>
              </w:rPr>
              <w:t xml:space="preserve"> </w:t>
            </w:r>
            <w:r>
              <w:rPr>
                <w:rFonts w:hint="eastAsia"/>
                <w:spacing w:val="8"/>
                <w:u w:val="single" w:color="auto"/>
                <w:lang w:eastAsia="zh-CN"/>
              </w:rPr>
              <w:t>韶关</w:t>
            </w:r>
            <w:r>
              <w:rPr>
                <w:spacing w:val="8"/>
                <w:u w:val="single" w:color="auto"/>
              </w:rPr>
              <w:t>公共资源交易中心网站</w:t>
            </w:r>
          </w:p>
        </w:tc>
      </w:tr>
      <w:tr w14:paraId="5A6F3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3" w:hRule="atLeast"/>
        </w:trPr>
        <w:tc>
          <w:tcPr>
            <w:tcW w:w="911" w:type="dxa"/>
            <w:vAlign w:val="top"/>
          </w:tcPr>
          <w:p w14:paraId="39767ABA">
            <w:pPr>
              <w:spacing w:line="268" w:lineRule="auto"/>
              <w:rPr>
                <w:rFonts w:ascii="Arial"/>
                <w:sz w:val="21"/>
              </w:rPr>
            </w:pPr>
          </w:p>
          <w:p w14:paraId="4758C918">
            <w:pPr>
              <w:spacing w:line="268" w:lineRule="auto"/>
              <w:rPr>
                <w:rFonts w:ascii="Arial"/>
                <w:sz w:val="21"/>
              </w:rPr>
            </w:pPr>
          </w:p>
          <w:p w14:paraId="1CCE1618">
            <w:pPr>
              <w:spacing w:line="268" w:lineRule="auto"/>
              <w:rPr>
                <w:rFonts w:ascii="Arial"/>
                <w:sz w:val="21"/>
              </w:rPr>
            </w:pPr>
          </w:p>
          <w:p w14:paraId="3207E77F">
            <w:pPr>
              <w:spacing w:line="268" w:lineRule="auto"/>
              <w:rPr>
                <w:rFonts w:ascii="Arial"/>
                <w:sz w:val="21"/>
              </w:rPr>
            </w:pPr>
          </w:p>
          <w:p w14:paraId="2CAACBE4">
            <w:pPr>
              <w:spacing w:line="268" w:lineRule="auto"/>
              <w:rPr>
                <w:rFonts w:ascii="Arial"/>
                <w:sz w:val="21"/>
              </w:rPr>
            </w:pPr>
          </w:p>
          <w:p w14:paraId="3B7E1367">
            <w:pPr>
              <w:spacing w:line="268" w:lineRule="auto"/>
              <w:rPr>
                <w:rFonts w:ascii="Arial"/>
                <w:sz w:val="21"/>
              </w:rPr>
            </w:pPr>
          </w:p>
          <w:p w14:paraId="67B81121">
            <w:pPr>
              <w:spacing w:line="268" w:lineRule="auto"/>
              <w:rPr>
                <w:rFonts w:ascii="Arial"/>
                <w:sz w:val="21"/>
              </w:rPr>
            </w:pPr>
          </w:p>
          <w:p w14:paraId="539F7E78">
            <w:pPr>
              <w:spacing w:line="268" w:lineRule="auto"/>
              <w:rPr>
                <w:rFonts w:ascii="Arial"/>
                <w:sz w:val="21"/>
              </w:rPr>
            </w:pPr>
          </w:p>
          <w:p w14:paraId="1CEA3A22">
            <w:pPr>
              <w:pStyle w:val="14"/>
              <w:spacing w:before="65" w:line="267" w:lineRule="exact"/>
              <w:ind w:left="273"/>
            </w:pPr>
            <w:r>
              <w:rPr>
                <w:spacing w:val="2"/>
                <w:position w:val="1"/>
              </w:rPr>
              <w:t>7.7.1</w:t>
            </w:r>
          </w:p>
        </w:tc>
        <w:tc>
          <w:tcPr>
            <w:tcW w:w="3087" w:type="dxa"/>
            <w:vAlign w:val="top"/>
          </w:tcPr>
          <w:p w14:paraId="28511091">
            <w:pPr>
              <w:spacing w:line="268" w:lineRule="auto"/>
              <w:rPr>
                <w:rFonts w:ascii="Arial"/>
                <w:sz w:val="21"/>
              </w:rPr>
            </w:pPr>
          </w:p>
          <w:p w14:paraId="04BB9668">
            <w:pPr>
              <w:spacing w:line="268" w:lineRule="auto"/>
              <w:rPr>
                <w:rFonts w:ascii="Arial"/>
                <w:sz w:val="21"/>
              </w:rPr>
            </w:pPr>
          </w:p>
          <w:p w14:paraId="052817AF">
            <w:pPr>
              <w:spacing w:line="268" w:lineRule="auto"/>
              <w:rPr>
                <w:rFonts w:ascii="Arial"/>
                <w:sz w:val="21"/>
              </w:rPr>
            </w:pPr>
          </w:p>
          <w:p w14:paraId="0D2EC904">
            <w:pPr>
              <w:spacing w:line="268" w:lineRule="auto"/>
              <w:rPr>
                <w:rFonts w:ascii="Arial"/>
                <w:sz w:val="21"/>
              </w:rPr>
            </w:pPr>
          </w:p>
          <w:p w14:paraId="71B36A12">
            <w:pPr>
              <w:spacing w:line="268" w:lineRule="auto"/>
              <w:rPr>
                <w:rFonts w:ascii="Arial"/>
                <w:sz w:val="21"/>
              </w:rPr>
            </w:pPr>
          </w:p>
          <w:p w14:paraId="74E1E3E6">
            <w:pPr>
              <w:spacing w:line="268" w:lineRule="auto"/>
              <w:rPr>
                <w:rFonts w:ascii="Arial"/>
                <w:sz w:val="21"/>
              </w:rPr>
            </w:pPr>
          </w:p>
          <w:p w14:paraId="7E3CCD21">
            <w:pPr>
              <w:spacing w:line="268" w:lineRule="auto"/>
              <w:rPr>
                <w:rFonts w:ascii="Arial"/>
                <w:sz w:val="21"/>
              </w:rPr>
            </w:pPr>
          </w:p>
          <w:p w14:paraId="06B011D9">
            <w:pPr>
              <w:spacing w:line="268" w:lineRule="auto"/>
              <w:rPr>
                <w:rFonts w:ascii="Arial"/>
                <w:sz w:val="21"/>
              </w:rPr>
            </w:pPr>
          </w:p>
          <w:p w14:paraId="75C25D65">
            <w:pPr>
              <w:pStyle w:val="14"/>
              <w:spacing w:before="65" w:line="228" w:lineRule="auto"/>
              <w:ind w:left="491" w:firstLine="428" w:firstLineChars="200"/>
            </w:pPr>
            <w:r>
              <w:rPr>
                <w:spacing w:val="7"/>
              </w:rPr>
              <w:t>履约保证金</w:t>
            </w:r>
          </w:p>
        </w:tc>
        <w:tc>
          <w:tcPr>
            <w:tcW w:w="5404" w:type="dxa"/>
            <w:vAlign w:val="top"/>
          </w:tcPr>
          <w:p w14:paraId="239BB17E">
            <w:pPr>
              <w:pStyle w:val="14"/>
              <w:spacing w:before="125" w:line="228" w:lineRule="auto"/>
              <w:ind w:left="122"/>
            </w:pPr>
            <w:r>
              <w:rPr>
                <w:spacing w:val="8"/>
              </w:rPr>
              <w:t>是否要求中标人提交履约保证金：</w:t>
            </w:r>
          </w:p>
          <w:p w14:paraId="70BB1175">
            <w:pPr>
              <w:pStyle w:val="14"/>
              <w:spacing w:before="133" w:line="293" w:lineRule="auto"/>
              <w:ind w:left="121" w:right="43" w:firstLine="18"/>
              <w:rPr>
                <w:sz w:val="10"/>
                <w:szCs w:val="10"/>
              </w:rPr>
            </w:pPr>
            <w:r>
              <w:rPr>
                <w:rFonts w:hint="eastAsia"/>
                <w:spacing w:val="5"/>
                <w:lang w:eastAsia="zh-CN"/>
              </w:rPr>
              <w:t>☑</w:t>
            </w:r>
            <w:r>
              <w:rPr>
                <w:spacing w:val="5"/>
              </w:rPr>
              <w:t>要求，履约保证金形式：</w:t>
            </w:r>
            <w:r>
              <w:rPr>
                <w:spacing w:val="5"/>
                <w:u w:val="single" w:color="auto"/>
              </w:rPr>
              <w:t>由投标人自主选择采</w:t>
            </w:r>
            <w:r>
              <w:rPr>
                <w:spacing w:val="4"/>
                <w:u w:val="single" w:color="auto"/>
              </w:rPr>
              <w:t>用现金（或支票）、</w:t>
            </w:r>
            <w:r>
              <w:rPr>
                <w:spacing w:val="9"/>
                <w:u w:val="single" w:color="auto"/>
              </w:rPr>
              <w:t>或银行保函、或其他合法形式</w:t>
            </w:r>
            <w:r>
              <w:rPr>
                <w:spacing w:val="9"/>
              </w:rPr>
              <w:t>。</w:t>
            </w:r>
          </w:p>
          <w:p w14:paraId="0A6DFC91">
            <w:pPr>
              <w:pStyle w:val="14"/>
              <w:spacing w:line="384" w:lineRule="auto"/>
              <w:ind w:left="122"/>
              <w:rPr>
                <w:sz w:val="10"/>
                <w:szCs w:val="10"/>
              </w:rPr>
            </w:pPr>
            <w:r>
              <w:rPr>
                <w:spacing w:val="7"/>
              </w:rPr>
              <w:t>履约保证金金额：</w:t>
            </w:r>
            <w:r>
              <w:rPr>
                <w:spacing w:val="7"/>
                <w:u w:val="single" w:color="auto"/>
              </w:rPr>
              <w:t xml:space="preserve"> </w:t>
            </w:r>
            <w:r>
              <w:rPr>
                <w:rFonts w:hint="eastAsia"/>
                <w:spacing w:val="7"/>
                <w:u w:val="single" w:color="auto"/>
                <w:lang w:val="en-US" w:eastAsia="zh-CN"/>
              </w:rPr>
              <w:t>3</w:t>
            </w:r>
            <w:r>
              <w:rPr>
                <w:spacing w:val="7"/>
                <w:u w:val="single" w:color="auto"/>
              </w:rPr>
              <w:t xml:space="preserve">  </w:t>
            </w:r>
            <w:r>
              <w:rPr>
                <w:spacing w:val="-80"/>
              </w:rPr>
              <w:t xml:space="preserve"> </w:t>
            </w:r>
            <w:r>
              <w:rPr>
                <w:spacing w:val="7"/>
              </w:rPr>
              <w:t>%签约合同价。</w:t>
            </w:r>
          </w:p>
          <w:p w14:paraId="1FEA7964">
            <w:pPr>
              <w:pStyle w:val="14"/>
              <w:spacing w:before="89" w:line="345" w:lineRule="auto"/>
              <w:ind w:left="119" w:right="114" w:firstLine="20"/>
            </w:pPr>
            <w:r>
              <w:rPr>
                <w:spacing w:val="5"/>
              </w:rPr>
              <w:t>□广东省交通运输厅最新年度的信用评价为</w:t>
            </w:r>
            <w:r>
              <w:rPr>
                <w:spacing w:val="-33"/>
              </w:rPr>
              <w:t xml:space="preserve"> </w:t>
            </w:r>
            <w:r>
              <w:t>AA</w:t>
            </w:r>
            <w:r>
              <w:rPr>
                <w:spacing w:val="-37"/>
              </w:rPr>
              <w:t xml:space="preserve"> </w:t>
            </w:r>
            <w:r>
              <w:rPr>
                <w:spacing w:val="5"/>
              </w:rPr>
              <w:t>级的投标人，给予减</w:t>
            </w:r>
            <w:r>
              <w:rPr>
                <w:spacing w:val="6"/>
              </w:rPr>
              <w:t>少履约保证金，减少后的履约保证金金额:</w:t>
            </w:r>
            <w:r>
              <w:rPr>
                <w:spacing w:val="64"/>
              </w:rPr>
              <w:t xml:space="preserve"> </w:t>
            </w:r>
            <w:r>
              <w:rPr>
                <w:u w:val="single" w:color="auto"/>
              </w:rPr>
              <w:t xml:space="preserve">     </w:t>
            </w:r>
          </w:p>
          <w:p w14:paraId="1B151684">
            <w:pPr>
              <w:pStyle w:val="14"/>
              <w:spacing w:before="9" w:line="347" w:lineRule="auto"/>
              <w:ind w:left="119" w:right="126" w:firstLine="20"/>
            </w:pPr>
            <w:r>
              <w:rPr>
                <w:spacing w:val="8"/>
              </w:rPr>
              <w:t>□广东省交通运输厅最新年度的信用评价为</w:t>
            </w:r>
            <w:r>
              <w:rPr>
                <w:spacing w:val="-39"/>
              </w:rPr>
              <w:t xml:space="preserve"> </w:t>
            </w:r>
            <w:r>
              <w:rPr>
                <w:spacing w:val="8"/>
              </w:rPr>
              <w:t>A</w:t>
            </w:r>
            <w:r>
              <w:rPr>
                <w:spacing w:val="-35"/>
              </w:rPr>
              <w:t xml:space="preserve"> </w:t>
            </w:r>
            <w:r>
              <w:rPr>
                <w:spacing w:val="8"/>
              </w:rPr>
              <w:t>级的投标人，给予减</w:t>
            </w:r>
            <w:r>
              <w:rPr>
                <w:spacing w:val="6"/>
              </w:rPr>
              <w:t>少履约保证金，减少后的履约保证金金额:</w:t>
            </w:r>
            <w:r>
              <w:rPr>
                <w:spacing w:val="64"/>
              </w:rPr>
              <w:t xml:space="preserve"> </w:t>
            </w:r>
            <w:r>
              <w:rPr>
                <w:u w:val="single" w:color="auto"/>
              </w:rPr>
              <w:t xml:space="preserve">     </w:t>
            </w:r>
          </w:p>
          <w:p w14:paraId="1B0F055C">
            <w:pPr>
              <w:pStyle w:val="14"/>
              <w:spacing w:before="9" w:line="351" w:lineRule="auto"/>
              <w:ind w:left="117" w:right="126"/>
              <w:jc w:val="both"/>
            </w:pPr>
            <w:r>
              <w:rPr>
                <w:spacing w:val="10"/>
              </w:rPr>
              <w:t>采用银行保函时，出具履约担保的银行级别</w:t>
            </w:r>
            <w:r>
              <w:rPr>
                <w:spacing w:val="9"/>
              </w:rPr>
              <w:t>：</w:t>
            </w:r>
            <w:r>
              <w:rPr>
                <w:spacing w:val="9"/>
                <w:u w:val="single" w:color="auto"/>
              </w:rPr>
              <w:t>投标人公司注册所在地的股份制商业银行或城市商业银行或农村商业银行或全国性国有</w:t>
            </w:r>
            <w:r>
              <w:rPr>
                <w:spacing w:val="10"/>
                <w:u w:val="single" w:color="auto"/>
              </w:rPr>
              <w:t>商业银行的分支机构。</w:t>
            </w:r>
          </w:p>
          <w:p w14:paraId="4F76529C">
            <w:pPr>
              <w:pStyle w:val="14"/>
              <w:spacing w:before="1" w:line="228" w:lineRule="auto"/>
              <w:ind w:left="140"/>
            </w:pPr>
            <w:r>
              <w:rPr>
                <w:spacing w:val="2"/>
              </w:rPr>
              <w:t>□不要求</w:t>
            </w:r>
          </w:p>
        </w:tc>
      </w:tr>
      <w:tr w14:paraId="79940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0" w:hRule="atLeast"/>
        </w:trPr>
        <w:tc>
          <w:tcPr>
            <w:tcW w:w="911" w:type="dxa"/>
            <w:vAlign w:val="center"/>
          </w:tcPr>
          <w:p w14:paraId="3D02F4CB">
            <w:pPr>
              <w:spacing w:line="257" w:lineRule="auto"/>
              <w:jc w:val="both"/>
              <w:rPr>
                <w:rFonts w:ascii="Arial"/>
                <w:sz w:val="21"/>
              </w:rPr>
            </w:pPr>
          </w:p>
          <w:p w14:paraId="514A2585">
            <w:pPr>
              <w:pStyle w:val="14"/>
              <w:spacing w:before="65" w:line="268" w:lineRule="exact"/>
              <w:jc w:val="center"/>
              <w:rPr>
                <w:spacing w:val="2"/>
                <w:position w:val="1"/>
              </w:rPr>
            </w:pPr>
            <w:r>
              <w:rPr>
                <w:spacing w:val="3"/>
                <w:position w:val="1"/>
              </w:rPr>
              <w:t>8.5.1</w:t>
            </w:r>
          </w:p>
        </w:tc>
        <w:tc>
          <w:tcPr>
            <w:tcW w:w="3087" w:type="dxa"/>
            <w:vAlign w:val="center"/>
          </w:tcPr>
          <w:p w14:paraId="749856BD">
            <w:pPr>
              <w:spacing w:line="257" w:lineRule="auto"/>
              <w:jc w:val="both"/>
              <w:rPr>
                <w:rFonts w:ascii="Arial"/>
                <w:sz w:val="21"/>
              </w:rPr>
            </w:pPr>
          </w:p>
          <w:p w14:paraId="3ABE9423">
            <w:pPr>
              <w:pStyle w:val="14"/>
              <w:spacing w:before="65" w:line="228" w:lineRule="auto"/>
              <w:jc w:val="center"/>
              <w:rPr>
                <w:spacing w:val="7"/>
              </w:rPr>
            </w:pPr>
            <w:r>
              <w:rPr>
                <w:spacing w:val="7"/>
              </w:rPr>
              <w:t>监督部门</w:t>
            </w:r>
          </w:p>
        </w:tc>
        <w:tc>
          <w:tcPr>
            <w:tcW w:w="5404" w:type="dxa"/>
            <w:vAlign w:val="top"/>
          </w:tcPr>
          <w:p w14:paraId="06C7A61C">
            <w:pPr>
              <w:keepNext w:val="0"/>
              <w:keepLines w:val="0"/>
              <w:widowControl w:val="0"/>
              <w:suppressLineNumbers w:val="0"/>
              <w:spacing w:before="0" w:beforeAutospacing="0" w:after="0" w:afterAutospacing="0"/>
              <w:ind w:left="0" w:right="0"/>
              <w:jc w:val="left"/>
              <w:rPr>
                <w:rFonts w:hint="eastAsia" w:ascii="宋体" w:hAnsi="Courier New" w:eastAsia="新宋体" w:cs="Times New Roman"/>
                <w:color w:val="auto"/>
                <w:kern w:val="2"/>
                <w:sz w:val="21"/>
                <w:szCs w:val="21"/>
                <w:highlight w:val="none"/>
                <w:lang w:val="en-US" w:eastAsia="zh-CN" w:bidi="ar-SA"/>
              </w:rPr>
            </w:pPr>
            <w:r>
              <w:rPr>
                <w:rFonts w:hint="eastAsia" w:ascii="新宋体" w:hAnsi="新宋体" w:eastAsia="新宋体" w:cs="新宋体"/>
                <w:color w:val="auto"/>
                <w:kern w:val="2"/>
                <w:sz w:val="21"/>
                <w:szCs w:val="21"/>
                <w:highlight w:val="none"/>
                <w:lang w:val="en-US" w:eastAsia="zh-CN" w:bidi="ar-SA"/>
              </w:rPr>
              <w:t>监管部门：仁化县农业农村局</w:t>
            </w:r>
          </w:p>
          <w:p w14:paraId="68F1B810">
            <w:pPr>
              <w:keepNext w:val="0"/>
              <w:keepLines w:val="0"/>
              <w:widowControl w:val="0"/>
              <w:suppressLineNumbers w:val="0"/>
              <w:spacing w:before="0" w:beforeAutospacing="0" w:after="0" w:afterAutospacing="0"/>
              <w:ind w:left="0" w:right="0"/>
              <w:jc w:val="left"/>
              <w:rPr>
                <w:rFonts w:hint="eastAsia" w:ascii="宋体" w:hAnsi="Courier New" w:eastAsia="宋体" w:cs="Times New Roman"/>
                <w:color w:val="auto"/>
                <w:kern w:val="2"/>
                <w:sz w:val="21"/>
                <w:szCs w:val="21"/>
                <w:highlight w:val="none"/>
                <w:lang w:val="en-US" w:eastAsia="zh-CN" w:bidi="ar-SA"/>
              </w:rPr>
            </w:pPr>
            <w:r>
              <w:rPr>
                <w:rFonts w:hint="eastAsia" w:ascii="宋体" w:hAnsi="Courier New" w:eastAsia="宋体" w:cs="Times New Roman"/>
                <w:color w:val="auto"/>
                <w:kern w:val="2"/>
                <w:sz w:val="21"/>
                <w:szCs w:val="21"/>
                <w:highlight w:val="none"/>
                <w:lang w:val="en-US" w:eastAsia="zh-CN" w:bidi="ar-SA"/>
              </w:rPr>
              <w:t>地址：广东省韶关市仁化县新城路24号</w:t>
            </w:r>
          </w:p>
          <w:p w14:paraId="26901342">
            <w:pPr>
              <w:keepNext w:val="0"/>
              <w:keepLines w:val="0"/>
              <w:widowControl w:val="0"/>
              <w:suppressLineNumbers w:val="0"/>
              <w:spacing w:before="0" w:beforeAutospacing="0" w:after="0" w:afterAutospacing="0"/>
              <w:ind w:left="0" w:right="0"/>
              <w:jc w:val="left"/>
              <w:rPr>
                <w:rFonts w:hint="eastAsia" w:ascii="宋体" w:hAnsi="Courier New" w:eastAsia="宋体" w:cs="Times New Roman"/>
                <w:color w:val="auto"/>
                <w:kern w:val="2"/>
                <w:sz w:val="21"/>
                <w:szCs w:val="21"/>
                <w:highlight w:val="none"/>
                <w:lang w:val="en-US" w:eastAsia="zh-CN" w:bidi="ar-SA"/>
              </w:rPr>
            </w:pPr>
            <w:r>
              <w:rPr>
                <w:rFonts w:hint="eastAsia" w:ascii="宋体" w:hAnsi="Courier New" w:eastAsia="宋体" w:cs="Times New Roman"/>
                <w:color w:val="auto"/>
                <w:kern w:val="2"/>
                <w:sz w:val="21"/>
                <w:szCs w:val="21"/>
                <w:highlight w:val="none"/>
                <w:lang w:val="en-US" w:eastAsia="zh-CN" w:bidi="ar-SA"/>
              </w:rPr>
              <w:t>电话：</w:t>
            </w:r>
            <w:r>
              <w:rPr>
                <w:rFonts w:hint="default" w:ascii="宋体" w:hAnsi="Courier New" w:eastAsia="宋体" w:cs="Times New Roman"/>
                <w:color w:val="auto"/>
                <w:kern w:val="2"/>
                <w:sz w:val="21"/>
                <w:szCs w:val="21"/>
                <w:highlight w:val="none"/>
                <w:lang w:val="en-US" w:eastAsia="zh-CN" w:bidi="ar-SA"/>
              </w:rPr>
              <w:t>0751-6352126</w:t>
            </w:r>
          </w:p>
          <w:p w14:paraId="33CF9E04">
            <w:pPr>
              <w:pStyle w:val="14"/>
              <w:spacing w:before="1" w:line="228" w:lineRule="auto"/>
              <w:rPr>
                <w:spacing w:val="2"/>
              </w:rPr>
            </w:pPr>
            <w:r>
              <w:rPr>
                <w:rFonts w:hint="eastAsia" w:ascii="宋体" w:hAnsi="Courier New" w:eastAsia="宋体" w:cs="Times New Roman"/>
                <w:color w:val="auto"/>
                <w:kern w:val="2"/>
                <w:sz w:val="21"/>
                <w:szCs w:val="21"/>
                <w:highlight w:val="none"/>
                <w:lang w:val="en-US" w:eastAsia="zh-CN" w:bidi="ar-SA"/>
              </w:rPr>
              <w:t>邮编：/</w:t>
            </w:r>
          </w:p>
        </w:tc>
      </w:tr>
      <w:tr w14:paraId="42481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6" w:hRule="atLeast"/>
        </w:trPr>
        <w:tc>
          <w:tcPr>
            <w:tcW w:w="911" w:type="dxa"/>
            <w:vAlign w:val="center"/>
          </w:tcPr>
          <w:p w14:paraId="44FA4939">
            <w:pPr>
              <w:pStyle w:val="14"/>
              <w:spacing w:before="65" w:line="269" w:lineRule="exact"/>
              <w:jc w:val="center"/>
            </w:pPr>
            <w:r>
              <w:rPr>
                <w:position w:val="1"/>
              </w:rPr>
              <w:t>9</w:t>
            </w:r>
          </w:p>
        </w:tc>
        <w:tc>
          <w:tcPr>
            <w:tcW w:w="3087" w:type="dxa"/>
            <w:vAlign w:val="center"/>
          </w:tcPr>
          <w:p w14:paraId="30A6069E">
            <w:pPr>
              <w:pStyle w:val="14"/>
              <w:spacing w:before="65" w:line="370" w:lineRule="auto"/>
              <w:ind w:right="227"/>
              <w:jc w:val="center"/>
            </w:pPr>
            <w:r>
              <w:rPr>
                <w:spacing w:val="8"/>
              </w:rPr>
              <w:t>是否采用电子招标</w:t>
            </w:r>
            <w:r>
              <w:rPr>
                <w:spacing w:val="3"/>
              </w:rPr>
              <w:t>投标</w:t>
            </w:r>
          </w:p>
        </w:tc>
        <w:tc>
          <w:tcPr>
            <w:tcW w:w="5404" w:type="dxa"/>
            <w:vAlign w:val="top"/>
          </w:tcPr>
          <w:p w14:paraId="13FA4967">
            <w:pPr>
              <w:pStyle w:val="14"/>
              <w:spacing w:before="65" w:line="228" w:lineRule="auto"/>
              <w:ind w:firstLine="188" w:firstLineChars="100"/>
            </w:pPr>
            <w:r>
              <w:rPr>
                <w:spacing w:val="-6"/>
              </w:rPr>
              <w:t>□否</w:t>
            </w:r>
          </w:p>
          <w:p w14:paraId="63CCABE3">
            <w:pPr>
              <w:pStyle w:val="14"/>
              <w:spacing w:before="151" w:line="228" w:lineRule="auto"/>
              <w:ind w:firstLine="214" w:firstLineChars="100"/>
            </w:pPr>
            <w:r>
              <w:rPr>
                <w:rFonts w:ascii="MS Mincho" w:hAnsi="MS Mincho" w:eastAsia="MS Mincho" w:cs="MS Mincho"/>
                <w:spacing w:val="7"/>
              </w:rPr>
              <w:t>☑</w:t>
            </w:r>
            <w:r>
              <w:rPr>
                <w:spacing w:val="7"/>
              </w:rPr>
              <w:t>是，电子招标投标的其他要求：</w:t>
            </w:r>
            <w:r>
              <w:rPr>
                <w:spacing w:val="7"/>
                <w:u w:val="single" w:color="auto"/>
              </w:rPr>
              <w:t xml:space="preserve">  </w:t>
            </w:r>
            <w:r>
              <w:rPr>
                <w:rFonts w:hint="eastAsia"/>
                <w:spacing w:val="7"/>
                <w:u w:val="single" w:color="auto"/>
                <w:lang w:val="en-US" w:eastAsia="zh-CN"/>
              </w:rPr>
              <w:t>按本项目招标文件及韶关公共资源交易中心规定执行</w:t>
            </w:r>
            <w:r>
              <w:rPr>
                <w:spacing w:val="7"/>
                <w:u w:val="single" w:color="auto"/>
              </w:rPr>
              <w:t xml:space="preserve">      </w:t>
            </w:r>
            <w:r>
              <w:rPr>
                <w:spacing w:val="7"/>
              </w:rPr>
              <w:t>。</w:t>
            </w:r>
          </w:p>
        </w:tc>
      </w:tr>
      <w:tr w14:paraId="1D699D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402" w:type="dxa"/>
            <w:gridSpan w:val="3"/>
            <w:vAlign w:val="top"/>
          </w:tcPr>
          <w:p w14:paraId="15D0F525">
            <w:pPr>
              <w:pStyle w:val="14"/>
              <w:keepNext w:val="0"/>
              <w:keepLines w:val="0"/>
              <w:pageBreakBefore w:val="0"/>
              <w:widowControl/>
              <w:kinsoku w:val="0"/>
              <w:wordWrap/>
              <w:overflowPunct/>
              <w:topLinePunct w:val="0"/>
              <w:autoSpaceDE w:val="0"/>
              <w:autoSpaceDN w:val="0"/>
              <w:bidi w:val="0"/>
              <w:adjustRightInd w:val="0"/>
              <w:snapToGrid w:val="0"/>
              <w:spacing w:line="228" w:lineRule="auto"/>
              <w:ind w:left="130"/>
              <w:textAlignment w:val="baseline"/>
            </w:pPr>
            <w:r>
              <w:rPr>
                <w:b/>
                <w:bCs/>
                <w:spacing w:val="6"/>
              </w:rPr>
              <w:t>需要补充的其他内容</w:t>
            </w:r>
          </w:p>
        </w:tc>
      </w:tr>
      <w:tr w14:paraId="4CD06E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11" w:type="dxa"/>
            <w:shd w:val="clear" w:color="auto" w:fill="auto"/>
            <w:vAlign w:val="center"/>
          </w:tcPr>
          <w:p w14:paraId="331825D3">
            <w:pPr>
              <w:pStyle w:val="6"/>
              <w:keepNext w:val="0"/>
              <w:keepLines w:val="0"/>
              <w:suppressLineNumbers w:val="0"/>
              <w:spacing w:before="0" w:beforeAutospacing="0" w:after="0" w:afterAutospacing="0"/>
              <w:ind w:left="0" w:leftChars="0" w:right="0" w:rightChars="0"/>
              <w:jc w:val="center"/>
              <w:rPr>
                <w:rFonts w:hint="default" w:ascii="新宋体" w:hAnsi="新宋体" w:eastAsia="新宋体" w:cs="新宋体"/>
                <w:snapToGrid w:val="0"/>
                <w:color w:val="auto"/>
                <w:kern w:val="0"/>
                <w:sz w:val="20"/>
                <w:szCs w:val="20"/>
                <w:highlight w:val="none"/>
                <w:lang w:val="en-US" w:eastAsia="zh-CN" w:bidi="ar-SA"/>
              </w:rPr>
            </w:pPr>
            <w:r>
              <w:rPr>
                <w:rFonts w:hint="eastAsia" w:ascii="新宋体" w:hAnsi="新宋体" w:eastAsia="新宋体" w:cs="新宋体"/>
                <w:color w:val="auto"/>
                <w:sz w:val="20"/>
                <w:szCs w:val="20"/>
                <w:highlight w:val="none"/>
                <w:lang w:val="en-US" w:eastAsia="zh-CN"/>
              </w:rPr>
              <w:t>1.4.1</w:t>
            </w:r>
          </w:p>
        </w:tc>
        <w:tc>
          <w:tcPr>
            <w:tcW w:w="8491" w:type="dxa"/>
            <w:gridSpan w:val="2"/>
            <w:shd w:val="clear" w:color="auto" w:fill="auto"/>
            <w:vAlign w:val="center"/>
          </w:tcPr>
          <w:p w14:paraId="564A577E">
            <w:pPr>
              <w:pStyle w:val="6"/>
              <w:keepNext w:val="0"/>
              <w:keepLines w:val="0"/>
              <w:suppressLineNumbers w:val="0"/>
              <w:spacing w:before="0" w:beforeAutospacing="0" w:after="0" w:afterAutospacing="0"/>
              <w:ind w:left="0" w:right="0"/>
              <w:jc w:val="both"/>
              <w:rPr>
                <w:rFonts w:hint="eastAsia" w:ascii="新宋体" w:hAnsi="新宋体" w:eastAsia="新宋体" w:cs="新宋体"/>
                <w:color w:val="auto"/>
                <w:sz w:val="20"/>
                <w:szCs w:val="20"/>
                <w:highlight w:val="none"/>
                <w:lang w:val="en-US" w:eastAsia="zh-CN"/>
              </w:rPr>
            </w:pPr>
            <w:r>
              <w:rPr>
                <w:rFonts w:hint="eastAsia" w:ascii="新宋体" w:hAnsi="新宋体" w:eastAsia="新宋体" w:cs="新宋体"/>
                <w:color w:val="auto"/>
                <w:sz w:val="20"/>
                <w:szCs w:val="20"/>
                <w:highlight w:val="none"/>
                <w:lang w:val="en-US" w:eastAsia="zh-CN"/>
              </w:rPr>
              <w:t>第 1.4.1（3）目内容删除：</w:t>
            </w:r>
          </w:p>
          <w:p w14:paraId="36B4EAD6">
            <w:pPr>
              <w:pStyle w:val="6"/>
              <w:keepNext w:val="0"/>
              <w:keepLines w:val="0"/>
              <w:suppressLineNumbers w:val="0"/>
              <w:spacing w:before="0" w:beforeAutospacing="0" w:after="0" w:afterAutospacing="0"/>
              <w:ind w:left="0" w:leftChars="0" w:right="0" w:rightChars="0"/>
              <w:jc w:val="both"/>
              <w:rPr>
                <w:rFonts w:hint="eastAsia" w:ascii="新宋体" w:hAnsi="新宋体" w:eastAsia="新宋体" w:cs="新宋体"/>
                <w:snapToGrid w:val="0"/>
                <w:color w:val="auto"/>
                <w:kern w:val="0"/>
                <w:sz w:val="20"/>
                <w:szCs w:val="20"/>
                <w:highlight w:val="none"/>
                <w:lang w:val="en-US" w:eastAsia="zh-CN" w:bidi="ar-SA"/>
              </w:rPr>
            </w:pPr>
            <w:r>
              <w:rPr>
                <w:rFonts w:hint="eastAsia" w:ascii="新宋体" w:hAnsi="新宋体" w:eastAsia="新宋体" w:cs="新宋体"/>
                <w:color w:val="auto"/>
                <w:sz w:val="20"/>
                <w:szCs w:val="20"/>
                <w:highlight w:val="none"/>
                <w:lang w:val="en-US" w:eastAsia="zh-CN"/>
              </w:rPr>
              <w:t>业绩要求：见投标人须知前附表；</w:t>
            </w:r>
          </w:p>
        </w:tc>
      </w:tr>
      <w:tr w14:paraId="61E56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911" w:type="dxa"/>
            <w:shd w:val="clear" w:color="auto" w:fill="auto"/>
            <w:vAlign w:val="center"/>
          </w:tcPr>
          <w:p w14:paraId="50BE98AC">
            <w:pPr>
              <w:pStyle w:val="6"/>
              <w:keepNext w:val="0"/>
              <w:keepLines w:val="0"/>
              <w:suppressLineNumbers w:val="0"/>
              <w:spacing w:before="0" w:beforeAutospacing="0" w:after="0" w:afterAutospacing="0"/>
              <w:ind w:left="0" w:leftChars="0" w:right="0" w:rightChars="0"/>
              <w:jc w:val="center"/>
              <w:rPr>
                <w:rFonts w:hint="eastAsia" w:ascii="新宋体" w:hAnsi="新宋体" w:eastAsia="新宋体" w:cs="新宋体"/>
                <w:snapToGrid w:val="0"/>
                <w:color w:val="auto"/>
                <w:kern w:val="0"/>
                <w:sz w:val="20"/>
                <w:szCs w:val="20"/>
                <w:highlight w:val="none"/>
                <w:lang w:val="en-US" w:eastAsia="zh-CN" w:bidi="ar-SA"/>
              </w:rPr>
            </w:pPr>
            <w:r>
              <w:rPr>
                <w:rFonts w:ascii="新宋体" w:hAnsi="新宋体" w:eastAsia="新宋体" w:cs="新宋体"/>
                <w:color w:val="auto"/>
                <w:sz w:val="20"/>
                <w:szCs w:val="20"/>
                <w:highlight w:val="none"/>
                <w:lang w:val="en-US" w:eastAsia="zh-CN"/>
              </w:rPr>
              <w:t>1.4.4</w:t>
            </w:r>
          </w:p>
        </w:tc>
        <w:tc>
          <w:tcPr>
            <w:tcW w:w="8491" w:type="dxa"/>
            <w:gridSpan w:val="2"/>
            <w:shd w:val="clear" w:color="auto" w:fill="auto"/>
            <w:vAlign w:val="center"/>
          </w:tcPr>
          <w:p w14:paraId="1804A25E">
            <w:pPr>
              <w:pStyle w:val="6"/>
              <w:keepNext w:val="0"/>
              <w:keepLines w:val="0"/>
              <w:suppressLineNumbers w:val="0"/>
              <w:spacing w:before="0" w:beforeAutospacing="0" w:after="0" w:afterAutospacing="0"/>
              <w:ind w:left="0" w:right="0"/>
              <w:jc w:val="both"/>
              <w:rPr>
                <w:rFonts w:ascii="新宋体" w:hAnsi="新宋体" w:eastAsia="新宋体" w:cs="新宋体"/>
                <w:color w:val="auto"/>
                <w:sz w:val="20"/>
                <w:szCs w:val="20"/>
                <w:highlight w:val="none"/>
                <w:lang w:val="en-US" w:eastAsia="zh-CN"/>
              </w:rPr>
            </w:pPr>
            <w:r>
              <w:rPr>
                <w:rFonts w:ascii="新宋体" w:hAnsi="新宋体" w:eastAsia="新宋体" w:cs="新宋体"/>
                <w:color w:val="auto"/>
                <w:sz w:val="20"/>
                <w:szCs w:val="20"/>
                <w:highlight w:val="none"/>
                <w:lang w:val="en-US" w:eastAsia="zh-CN"/>
              </w:rPr>
              <w:t>投标人须知正文</w:t>
            </w:r>
          </w:p>
          <w:p w14:paraId="49CF5750">
            <w:pPr>
              <w:pStyle w:val="6"/>
              <w:keepNext w:val="0"/>
              <w:keepLines w:val="0"/>
              <w:suppressLineNumbers w:val="0"/>
              <w:spacing w:before="0" w:beforeAutospacing="0" w:after="0" w:afterAutospacing="0"/>
              <w:ind w:left="0" w:right="0"/>
              <w:jc w:val="both"/>
              <w:rPr>
                <w:rFonts w:ascii="新宋体" w:hAnsi="新宋体" w:eastAsia="新宋体" w:cs="新宋体"/>
                <w:color w:val="auto"/>
                <w:sz w:val="20"/>
                <w:szCs w:val="20"/>
                <w:highlight w:val="none"/>
                <w:lang w:val="en-US" w:eastAsia="zh-CN"/>
              </w:rPr>
            </w:pPr>
            <w:r>
              <w:rPr>
                <w:rFonts w:ascii="新宋体" w:hAnsi="新宋体" w:eastAsia="新宋体" w:cs="新宋体"/>
                <w:color w:val="auto"/>
                <w:sz w:val="20"/>
                <w:szCs w:val="20"/>
                <w:highlight w:val="none"/>
                <w:lang w:val="en-US" w:eastAsia="zh-CN"/>
              </w:rPr>
              <w:t>第 1.4.4 项中（1）目中的“招标项目所在地”指“广东省”。</w:t>
            </w:r>
          </w:p>
          <w:p w14:paraId="70EF974B">
            <w:pPr>
              <w:pStyle w:val="6"/>
              <w:keepNext w:val="0"/>
              <w:keepLines w:val="0"/>
              <w:suppressLineNumbers w:val="0"/>
              <w:spacing w:before="0" w:beforeAutospacing="0" w:after="0" w:afterAutospacing="0"/>
              <w:ind w:left="0" w:right="0"/>
              <w:jc w:val="both"/>
              <w:rPr>
                <w:rFonts w:hint="eastAsia" w:ascii="新宋体" w:hAnsi="新宋体" w:eastAsia="新宋体" w:cs="新宋体"/>
                <w:color w:val="auto"/>
                <w:sz w:val="20"/>
                <w:szCs w:val="20"/>
                <w:highlight w:val="none"/>
                <w:lang w:val="en-US" w:eastAsia="zh-CN"/>
              </w:rPr>
            </w:pPr>
            <w:r>
              <w:rPr>
                <w:rFonts w:hint="eastAsia" w:ascii="新宋体" w:hAnsi="新宋体" w:eastAsia="新宋体" w:cs="新宋体"/>
                <w:color w:val="auto"/>
                <w:sz w:val="20"/>
                <w:szCs w:val="20"/>
                <w:highlight w:val="none"/>
                <w:lang w:val="en-US" w:eastAsia="zh-CN"/>
              </w:rPr>
              <w:t>第 1.4.4（6）目内容删除：</w:t>
            </w:r>
          </w:p>
          <w:p w14:paraId="7001A42F">
            <w:pPr>
              <w:pStyle w:val="6"/>
              <w:keepNext w:val="0"/>
              <w:keepLines w:val="0"/>
              <w:suppressLineNumbers w:val="0"/>
              <w:spacing w:before="0" w:beforeAutospacing="0" w:after="0" w:afterAutospacing="0"/>
              <w:ind w:left="0" w:leftChars="0" w:right="0" w:rightChars="0"/>
              <w:jc w:val="both"/>
              <w:rPr>
                <w:rFonts w:hint="eastAsia" w:ascii="新宋体" w:hAnsi="新宋体" w:eastAsia="新宋体" w:cs="新宋体"/>
                <w:snapToGrid w:val="0"/>
                <w:color w:val="auto"/>
                <w:kern w:val="0"/>
                <w:sz w:val="20"/>
                <w:szCs w:val="20"/>
                <w:highlight w:val="none"/>
                <w:lang w:val="en-US" w:eastAsia="zh-CN" w:bidi="ar-SA"/>
              </w:rPr>
            </w:pPr>
            <w:r>
              <w:rPr>
                <w:rFonts w:hint="eastAsia" w:ascii="新宋体" w:hAnsi="新宋体" w:eastAsia="新宋体" w:cs="新宋体"/>
                <w:color w:val="auto"/>
                <w:sz w:val="20"/>
                <w:szCs w:val="20"/>
                <w:highlight w:val="none"/>
                <w:lang w:val="en-US" w:eastAsia="zh-CN"/>
              </w:rPr>
              <w:t>投标人或其法定代表人、拟委任的项目负责人在近三年内有行贿犯罪行为的、（行贿犯罪行为的认定以检察机关职务犯罪预防部门出具的查询结果为准）；</w:t>
            </w:r>
          </w:p>
        </w:tc>
      </w:tr>
      <w:tr w14:paraId="7553E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911" w:type="dxa"/>
            <w:shd w:val="clear" w:color="auto" w:fill="auto"/>
            <w:vAlign w:val="center"/>
          </w:tcPr>
          <w:p w14:paraId="2CE90DC0">
            <w:pPr>
              <w:pStyle w:val="6"/>
              <w:keepNext w:val="0"/>
              <w:keepLines w:val="0"/>
              <w:suppressLineNumbers w:val="0"/>
              <w:spacing w:before="0" w:beforeAutospacing="0" w:after="0" w:afterAutospacing="0"/>
              <w:ind w:left="0" w:leftChars="0" w:right="0" w:rightChars="0"/>
              <w:jc w:val="center"/>
              <w:rPr>
                <w:rFonts w:hint="eastAsia" w:ascii="新宋体" w:hAnsi="新宋体" w:eastAsia="新宋体" w:cs="新宋体"/>
                <w:snapToGrid w:val="0"/>
                <w:color w:val="auto"/>
                <w:kern w:val="0"/>
                <w:sz w:val="20"/>
                <w:szCs w:val="20"/>
                <w:highlight w:val="none"/>
                <w:lang w:val="en-US" w:eastAsia="zh-CN" w:bidi="ar-SA"/>
              </w:rPr>
            </w:pPr>
            <w:r>
              <w:rPr>
                <w:rFonts w:ascii="新宋体" w:hAnsi="新宋体" w:eastAsia="新宋体" w:cs="新宋体"/>
                <w:color w:val="auto"/>
                <w:sz w:val="20"/>
                <w:szCs w:val="20"/>
                <w:highlight w:val="none"/>
                <w:lang w:val="en-US" w:eastAsia="zh-CN"/>
              </w:rPr>
              <w:t>3.2.1</w:t>
            </w:r>
          </w:p>
        </w:tc>
        <w:tc>
          <w:tcPr>
            <w:tcW w:w="8491" w:type="dxa"/>
            <w:gridSpan w:val="2"/>
            <w:shd w:val="clear" w:color="auto" w:fill="auto"/>
            <w:vAlign w:val="center"/>
          </w:tcPr>
          <w:p w14:paraId="7A1BCAD7">
            <w:pPr>
              <w:pStyle w:val="6"/>
              <w:keepNext w:val="0"/>
              <w:keepLines w:val="0"/>
              <w:suppressLineNumbers w:val="0"/>
              <w:spacing w:before="0" w:beforeAutospacing="0" w:after="0" w:afterAutospacing="0"/>
              <w:ind w:left="0" w:right="0"/>
              <w:jc w:val="both"/>
              <w:rPr>
                <w:rFonts w:hint="eastAsia" w:ascii="宋体" w:hAnsi="Courier New" w:eastAsia="宋体" w:cs="Times New Roman"/>
                <w:color w:val="auto"/>
                <w:sz w:val="20"/>
                <w:szCs w:val="20"/>
                <w:highlight w:val="none"/>
                <w:lang w:val="en-US" w:eastAsia="zh-CN"/>
              </w:rPr>
            </w:pPr>
            <w:r>
              <w:rPr>
                <w:rFonts w:hint="eastAsia" w:ascii="宋体" w:hAnsi="Courier New" w:eastAsia="宋体" w:cs="Times New Roman"/>
                <w:color w:val="auto"/>
                <w:sz w:val="20"/>
                <w:szCs w:val="20"/>
                <w:highlight w:val="none"/>
                <w:lang w:val="en-US" w:eastAsia="zh-CN"/>
              </w:rPr>
              <w:t>投标人须知正文第3.2.1项部分内容细化如下：</w:t>
            </w:r>
          </w:p>
          <w:p w14:paraId="719E106C">
            <w:pPr>
              <w:pStyle w:val="6"/>
              <w:keepNext w:val="0"/>
              <w:keepLines w:val="0"/>
              <w:suppressLineNumbers w:val="0"/>
              <w:spacing w:before="0" w:beforeAutospacing="0" w:after="0" w:afterAutospacing="0"/>
              <w:ind w:left="0" w:right="0"/>
              <w:jc w:val="both"/>
              <w:rPr>
                <w:rFonts w:hint="eastAsia" w:ascii="宋体" w:hAnsi="Courier New" w:eastAsia="宋体" w:cs="Times New Roman"/>
                <w:color w:val="auto"/>
                <w:sz w:val="20"/>
                <w:szCs w:val="20"/>
                <w:highlight w:val="none"/>
                <w:lang w:val="en-US" w:eastAsia="zh-CN"/>
              </w:rPr>
            </w:pPr>
            <w:r>
              <w:rPr>
                <w:rFonts w:hint="eastAsia" w:ascii="宋体" w:hAnsi="Courier New" w:eastAsia="宋体" w:cs="Times New Roman"/>
                <w:color w:val="auto"/>
                <w:sz w:val="20"/>
                <w:szCs w:val="20"/>
                <w:highlight w:val="none"/>
                <w:lang w:val="en-US" w:eastAsia="zh-CN"/>
              </w:rPr>
              <w:t>（1）本项目招标由招标人提供书面工程量清单，由投标人按照招标人提供的工程量清单填写本合同各工程子目的单价、合价和总额价。</w:t>
            </w:r>
          </w:p>
          <w:p w14:paraId="1336EBB3">
            <w:pPr>
              <w:pStyle w:val="6"/>
              <w:keepNext w:val="0"/>
              <w:keepLines w:val="0"/>
              <w:suppressLineNumbers w:val="0"/>
              <w:spacing w:before="0" w:beforeAutospacing="0" w:after="0" w:afterAutospacing="0"/>
              <w:ind w:left="0" w:right="0" w:firstLine="400" w:firstLineChars="200"/>
              <w:jc w:val="both"/>
              <w:rPr>
                <w:rFonts w:hint="eastAsia" w:ascii="宋体" w:hAnsi="Courier New" w:eastAsia="宋体" w:cs="Times New Roman"/>
                <w:color w:val="auto"/>
                <w:sz w:val="20"/>
                <w:szCs w:val="20"/>
                <w:highlight w:val="none"/>
                <w:lang w:val="en-US" w:eastAsia="zh-CN"/>
              </w:rPr>
            </w:pPr>
            <w:r>
              <w:rPr>
                <w:rFonts w:hint="eastAsia" w:ascii="宋体" w:hAnsi="Courier New" w:eastAsia="宋体" w:cs="Times New Roman"/>
                <w:color w:val="auto"/>
                <w:sz w:val="20"/>
                <w:szCs w:val="20"/>
                <w:highlight w:val="none"/>
                <w:lang w:val="en-US" w:eastAsia="zh-CN"/>
              </w:rPr>
              <w:t>增加以下内容：</w:t>
            </w:r>
          </w:p>
          <w:p w14:paraId="4DC62BCB">
            <w:pPr>
              <w:pStyle w:val="6"/>
              <w:keepNext w:val="0"/>
              <w:keepLines w:val="0"/>
              <w:suppressLineNumbers w:val="0"/>
              <w:spacing w:before="0" w:beforeAutospacing="0" w:after="0" w:afterAutospacing="0"/>
              <w:ind w:left="0" w:right="0"/>
              <w:jc w:val="both"/>
              <w:rPr>
                <w:rFonts w:hint="eastAsia" w:ascii="宋体" w:hAnsi="Courier New" w:eastAsia="宋体" w:cs="Times New Roman"/>
                <w:color w:val="auto"/>
                <w:sz w:val="20"/>
                <w:szCs w:val="20"/>
                <w:highlight w:val="none"/>
                <w:lang w:val="en-US" w:eastAsia="zh-CN"/>
              </w:rPr>
            </w:pPr>
            <w:r>
              <w:rPr>
                <w:rFonts w:hint="eastAsia" w:ascii="宋体" w:hAnsi="Courier New" w:eastAsia="宋体" w:cs="Times New Roman"/>
                <w:color w:val="auto"/>
                <w:sz w:val="20"/>
                <w:szCs w:val="20"/>
                <w:highlight w:val="none"/>
                <w:lang w:val="en-US" w:eastAsia="zh-CN"/>
              </w:rPr>
              <w:t>（2）投标报价的所有单价取小数点后两位，所有合价和总价应四舍五入取整数。</w:t>
            </w:r>
          </w:p>
          <w:p w14:paraId="695BD5B8">
            <w:pPr>
              <w:pStyle w:val="6"/>
              <w:keepNext w:val="0"/>
              <w:keepLines w:val="0"/>
              <w:suppressLineNumbers w:val="0"/>
              <w:spacing w:before="0" w:beforeAutospacing="0" w:after="0" w:afterAutospacing="0"/>
              <w:ind w:left="0" w:leftChars="0" w:right="0" w:rightChars="0"/>
              <w:jc w:val="both"/>
              <w:rPr>
                <w:rFonts w:hint="eastAsia" w:ascii="宋体" w:hAnsi="Courier New" w:eastAsia="宋体" w:cs="Times New Roman"/>
                <w:snapToGrid w:val="0"/>
                <w:color w:val="auto"/>
                <w:kern w:val="0"/>
                <w:sz w:val="20"/>
                <w:szCs w:val="20"/>
                <w:highlight w:val="none"/>
                <w:lang w:val="en-US" w:eastAsia="zh-CN" w:bidi="ar-SA"/>
              </w:rPr>
            </w:pPr>
            <w:r>
              <w:rPr>
                <w:rFonts w:hint="eastAsia" w:ascii="宋体" w:hAnsi="Courier New" w:eastAsia="宋体" w:cs="Times New Roman"/>
                <w:color w:val="auto"/>
                <w:sz w:val="20"/>
                <w:szCs w:val="20"/>
                <w:highlight w:val="none"/>
                <w:lang w:val="en-US" w:eastAsia="zh-CN"/>
              </w:rPr>
              <w:t>工程量清单</w:t>
            </w:r>
            <w:r>
              <w:rPr>
                <w:rFonts w:hint="eastAsia" w:cs="Times New Roman"/>
                <w:color w:val="auto"/>
                <w:sz w:val="20"/>
                <w:szCs w:val="20"/>
                <w:highlight w:val="none"/>
                <w:lang w:val="en-US" w:eastAsia="zh-CN"/>
              </w:rPr>
              <w:t>不</w:t>
            </w:r>
            <w:r>
              <w:rPr>
                <w:rFonts w:hint="eastAsia" w:ascii="宋体" w:hAnsi="Courier New" w:eastAsia="宋体" w:cs="Times New Roman"/>
                <w:color w:val="auto"/>
                <w:sz w:val="20"/>
                <w:szCs w:val="20"/>
                <w:highlight w:val="none"/>
                <w:lang w:val="en-US" w:eastAsia="zh-CN"/>
              </w:rPr>
              <w:t>需要附</w:t>
            </w:r>
            <w:r>
              <w:rPr>
                <w:rFonts w:hint="eastAsia" w:cs="Times New Roman"/>
                <w:color w:val="auto"/>
                <w:sz w:val="20"/>
                <w:szCs w:val="20"/>
                <w:highlight w:val="none"/>
                <w:lang w:val="en-US" w:eastAsia="zh-CN"/>
              </w:rPr>
              <w:t>综合</w:t>
            </w:r>
            <w:r>
              <w:rPr>
                <w:rFonts w:hint="eastAsia" w:ascii="宋体" w:hAnsi="Courier New" w:eastAsia="宋体" w:cs="Times New Roman"/>
                <w:color w:val="auto"/>
                <w:sz w:val="20"/>
                <w:szCs w:val="20"/>
                <w:highlight w:val="none"/>
                <w:lang w:val="en-US" w:eastAsia="zh-CN"/>
              </w:rPr>
              <w:t>单价分析表</w:t>
            </w:r>
            <w:r>
              <w:rPr>
                <w:rFonts w:hint="eastAsia" w:cs="Times New Roman"/>
                <w:color w:val="auto"/>
                <w:sz w:val="20"/>
                <w:szCs w:val="20"/>
                <w:highlight w:val="none"/>
                <w:lang w:val="en-US" w:eastAsia="zh-CN"/>
              </w:rPr>
              <w:t>，</w:t>
            </w:r>
            <w:r>
              <w:rPr>
                <w:rFonts w:hint="eastAsia" w:ascii="宋体" w:hAnsi="Courier New" w:eastAsia="宋体" w:cs="Times New Roman"/>
                <w:color w:val="auto"/>
                <w:sz w:val="20"/>
                <w:szCs w:val="20"/>
                <w:highlight w:val="none"/>
                <w:lang w:val="en-US" w:eastAsia="zh-CN"/>
              </w:rPr>
              <w:t>但投标人中标后，发包人可要求中标人提交项目清单、分项清单及</w:t>
            </w:r>
            <w:r>
              <w:rPr>
                <w:rFonts w:hint="eastAsia" w:cs="Times New Roman"/>
                <w:color w:val="auto"/>
                <w:sz w:val="20"/>
                <w:szCs w:val="20"/>
                <w:highlight w:val="none"/>
                <w:lang w:val="en-US" w:eastAsia="zh-CN"/>
              </w:rPr>
              <w:t>综合</w:t>
            </w:r>
            <w:r>
              <w:rPr>
                <w:rFonts w:hint="eastAsia" w:ascii="宋体" w:hAnsi="Courier New" w:eastAsia="宋体" w:cs="Times New Roman"/>
                <w:color w:val="auto"/>
                <w:sz w:val="20"/>
                <w:szCs w:val="20"/>
                <w:highlight w:val="none"/>
                <w:lang w:val="en-US" w:eastAsia="zh-CN"/>
              </w:rPr>
              <w:t>单价分析表，中标人不得拒绝。</w:t>
            </w:r>
          </w:p>
        </w:tc>
      </w:tr>
      <w:tr w14:paraId="1D698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9" w:hRule="atLeast"/>
        </w:trPr>
        <w:tc>
          <w:tcPr>
            <w:tcW w:w="911" w:type="dxa"/>
            <w:shd w:val="clear" w:color="auto" w:fill="auto"/>
            <w:vAlign w:val="center"/>
          </w:tcPr>
          <w:p w14:paraId="04C85553">
            <w:pPr>
              <w:pStyle w:val="6"/>
              <w:keepNext w:val="0"/>
              <w:keepLines w:val="0"/>
              <w:suppressLineNumbers w:val="0"/>
              <w:spacing w:before="0" w:beforeAutospacing="0" w:after="0" w:afterAutospacing="0"/>
              <w:ind w:left="0" w:leftChars="0" w:right="0" w:rightChars="0"/>
              <w:jc w:val="center"/>
              <w:rPr>
                <w:rFonts w:hint="eastAsia" w:ascii="新宋体" w:hAnsi="新宋体" w:eastAsia="新宋体" w:cs="新宋体"/>
                <w:snapToGrid w:val="0"/>
                <w:color w:val="auto"/>
                <w:kern w:val="0"/>
                <w:sz w:val="20"/>
                <w:szCs w:val="20"/>
                <w:highlight w:val="none"/>
                <w:lang w:val="en-US" w:eastAsia="zh-CN" w:bidi="ar-SA"/>
              </w:rPr>
            </w:pPr>
            <w:r>
              <w:rPr>
                <w:rFonts w:ascii="新宋体" w:hAnsi="新宋体" w:eastAsia="新宋体" w:cs="新宋体"/>
                <w:color w:val="auto"/>
                <w:sz w:val="20"/>
                <w:szCs w:val="20"/>
                <w:highlight w:val="none"/>
                <w:lang w:val="en-US" w:eastAsia="zh-CN"/>
              </w:rPr>
              <w:t>3.5.1</w:t>
            </w:r>
          </w:p>
        </w:tc>
        <w:tc>
          <w:tcPr>
            <w:tcW w:w="8491" w:type="dxa"/>
            <w:gridSpan w:val="2"/>
            <w:shd w:val="clear" w:color="auto" w:fill="auto"/>
            <w:vAlign w:val="center"/>
          </w:tcPr>
          <w:p w14:paraId="34E80F84">
            <w:pPr>
              <w:pStyle w:val="6"/>
              <w:keepNext w:val="0"/>
              <w:keepLines w:val="0"/>
              <w:suppressLineNumbers w:val="0"/>
              <w:spacing w:before="0" w:beforeAutospacing="0" w:after="0" w:afterAutospacing="0"/>
              <w:ind w:left="0" w:right="0" w:firstLine="400" w:firstLineChars="200"/>
              <w:jc w:val="both"/>
              <w:rPr>
                <w:rFonts w:ascii="新宋体" w:hAnsi="新宋体" w:eastAsia="新宋体" w:cs="新宋体"/>
                <w:color w:val="auto"/>
                <w:sz w:val="20"/>
                <w:szCs w:val="20"/>
                <w:highlight w:val="none"/>
                <w:lang w:val="en-US" w:eastAsia="zh-CN"/>
              </w:rPr>
            </w:pPr>
            <w:r>
              <w:rPr>
                <w:rFonts w:ascii="新宋体" w:hAnsi="新宋体" w:eastAsia="新宋体" w:cs="新宋体"/>
                <w:color w:val="auto"/>
                <w:sz w:val="20"/>
                <w:szCs w:val="20"/>
                <w:highlight w:val="none"/>
                <w:lang w:val="en-US" w:eastAsia="zh-CN"/>
              </w:rPr>
              <w:t>投标人须知正文第 3.5.1 项内容修改如下：</w:t>
            </w:r>
          </w:p>
          <w:p w14:paraId="7C5442B6">
            <w:pPr>
              <w:pStyle w:val="6"/>
              <w:keepNext w:val="0"/>
              <w:keepLines w:val="0"/>
              <w:suppressLineNumbers w:val="0"/>
              <w:spacing w:before="0" w:beforeAutospacing="0" w:after="0" w:afterAutospacing="0"/>
              <w:ind w:left="0" w:right="0" w:firstLine="400" w:firstLineChars="200"/>
              <w:jc w:val="both"/>
              <w:rPr>
                <w:rFonts w:ascii="新宋体" w:hAnsi="新宋体" w:eastAsia="新宋体" w:cs="新宋体"/>
                <w:color w:val="auto"/>
                <w:sz w:val="20"/>
                <w:szCs w:val="20"/>
                <w:highlight w:val="none"/>
                <w:lang w:val="en-US" w:eastAsia="zh-CN"/>
              </w:rPr>
            </w:pPr>
            <w:r>
              <w:rPr>
                <w:rFonts w:ascii="新宋体" w:hAnsi="新宋体" w:eastAsia="新宋体" w:cs="新宋体"/>
                <w:color w:val="auto"/>
                <w:sz w:val="20"/>
                <w:szCs w:val="20"/>
                <w:highlight w:val="none"/>
                <w:lang w:val="en-US" w:eastAsia="zh-CN"/>
              </w:rPr>
              <w:t>“投标人基本情况表”应附企业法人营业执照和组织机构代码证（按照“三证合一”或“五证合一”登记制度进行登记的，可仅提供营业执照，下同）、施工资质证书、安全生产许可证、基本账户开户许可证（如企业所在地已取消企业银行账户许可而无法提供开户许可证的，则需附上开户银行出具的“基本存款账户信息”或“人民银行账户管理系统查询的基本账户信息截图”）的</w:t>
            </w:r>
            <w:r>
              <w:rPr>
                <w:rFonts w:hint="eastAsia" w:ascii="新宋体" w:hAnsi="新宋体" w:eastAsia="新宋体" w:cs="新宋体"/>
                <w:color w:val="auto"/>
                <w:sz w:val="20"/>
                <w:szCs w:val="20"/>
                <w:highlight w:val="none"/>
                <w:lang w:val="en-US" w:eastAsia="zh-CN"/>
              </w:rPr>
              <w:t>原件扫描</w:t>
            </w:r>
            <w:r>
              <w:rPr>
                <w:rFonts w:ascii="新宋体" w:hAnsi="新宋体" w:eastAsia="新宋体" w:cs="新宋体"/>
                <w:color w:val="auto"/>
                <w:sz w:val="20"/>
                <w:szCs w:val="20"/>
                <w:highlight w:val="none"/>
                <w:lang w:val="en-US" w:eastAsia="zh-CN"/>
              </w:rPr>
              <w:t>件，投标人在国家企业信用信息公示系统中基础信息（体现股东及出资详细信息）的网页截图。</w:t>
            </w:r>
          </w:p>
          <w:p w14:paraId="5DC8883F">
            <w:pPr>
              <w:pStyle w:val="6"/>
              <w:keepNext w:val="0"/>
              <w:keepLines w:val="0"/>
              <w:suppressLineNumbers w:val="0"/>
              <w:spacing w:before="0" w:beforeAutospacing="0" w:after="0" w:afterAutospacing="0"/>
              <w:ind w:left="0" w:leftChars="0" w:right="0" w:rightChars="0" w:firstLine="400" w:firstLineChars="200"/>
              <w:jc w:val="both"/>
              <w:rPr>
                <w:rFonts w:hint="eastAsia" w:ascii="新宋体" w:hAnsi="新宋体" w:eastAsia="新宋体" w:cs="新宋体"/>
                <w:snapToGrid w:val="0"/>
                <w:color w:val="auto"/>
                <w:kern w:val="0"/>
                <w:sz w:val="20"/>
                <w:szCs w:val="20"/>
                <w:highlight w:val="none"/>
                <w:lang w:val="en-US" w:eastAsia="zh-CN" w:bidi="ar-SA"/>
              </w:rPr>
            </w:pPr>
            <w:r>
              <w:rPr>
                <w:rFonts w:ascii="新宋体" w:hAnsi="新宋体" w:eastAsia="新宋体" w:cs="新宋体"/>
                <w:color w:val="auto"/>
                <w:sz w:val="20"/>
                <w:szCs w:val="20"/>
                <w:highlight w:val="none"/>
                <w:lang w:val="en-US" w:eastAsia="zh-CN"/>
              </w:rPr>
              <w:t>企业法人营业执照和组织机构代码证、施工资质证书、安全生产许可证、基本账户开户许可证（如企业所在地已取消企业银行账户许可而无法提供开户许可证的，则需附上开户银行出具的“基本存款账户信息”或“人民银行账户管理系统查询的基本账户信息截图”的</w:t>
            </w:r>
            <w:r>
              <w:rPr>
                <w:rFonts w:hint="eastAsia" w:ascii="新宋体" w:hAnsi="新宋体" w:eastAsia="新宋体" w:cs="新宋体"/>
                <w:color w:val="auto"/>
                <w:sz w:val="20"/>
                <w:szCs w:val="20"/>
                <w:highlight w:val="none"/>
                <w:lang w:val="en-US" w:eastAsia="zh-CN"/>
              </w:rPr>
              <w:t>原件扫描</w:t>
            </w:r>
            <w:r>
              <w:rPr>
                <w:rFonts w:ascii="新宋体" w:hAnsi="新宋体" w:eastAsia="新宋体" w:cs="新宋体"/>
                <w:color w:val="auto"/>
                <w:sz w:val="20"/>
                <w:szCs w:val="20"/>
                <w:highlight w:val="none"/>
                <w:lang w:val="en-US" w:eastAsia="zh-CN"/>
              </w:rPr>
              <w:t>件应提供全本（证书封面、封底、空白页除外），应包括投标人名称、投标人其他相关信息、颁发机构名称、投标人信息变更情况等关键页在内，并逐页加盖投标人单位章。</w:t>
            </w:r>
          </w:p>
        </w:tc>
      </w:tr>
      <w:tr w14:paraId="154E0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9" w:hRule="atLeast"/>
        </w:trPr>
        <w:tc>
          <w:tcPr>
            <w:tcW w:w="911" w:type="dxa"/>
            <w:shd w:val="clear" w:color="auto" w:fill="auto"/>
            <w:vAlign w:val="center"/>
          </w:tcPr>
          <w:p w14:paraId="2B910FB9">
            <w:pPr>
              <w:pStyle w:val="6"/>
              <w:keepNext w:val="0"/>
              <w:keepLines w:val="0"/>
              <w:suppressLineNumbers w:val="0"/>
              <w:spacing w:before="0" w:beforeAutospacing="0" w:after="0" w:afterAutospacing="0"/>
              <w:ind w:left="0" w:leftChars="0" w:right="0" w:rightChars="0"/>
              <w:jc w:val="center"/>
              <w:rPr>
                <w:rFonts w:hint="eastAsia" w:ascii="新宋体" w:hAnsi="新宋体" w:eastAsia="新宋体" w:cs="新宋体"/>
                <w:snapToGrid w:val="0"/>
                <w:color w:val="auto"/>
                <w:kern w:val="0"/>
                <w:sz w:val="21"/>
                <w:szCs w:val="21"/>
                <w:highlight w:val="none"/>
                <w:lang w:val="en-US" w:eastAsia="zh-CN" w:bidi="ar-SA"/>
              </w:rPr>
            </w:pPr>
            <w:r>
              <w:rPr>
                <w:rFonts w:ascii="新宋体" w:hAnsi="新宋体" w:eastAsia="新宋体" w:cs="新宋体"/>
                <w:color w:val="auto"/>
                <w:highlight w:val="none"/>
                <w:lang w:val="en-US" w:eastAsia="zh-CN"/>
              </w:rPr>
              <w:t>3.5.2</w:t>
            </w:r>
          </w:p>
        </w:tc>
        <w:tc>
          <w:tcPr>
            <w:tcW w:w="8491" w:type="dxa"/>
            <w:gridSpan w:val="2"/>
            <w:shd w:val="clear" w:color="auto" w:fill="auto"/>
            <w:vAlign w:val="center"/>
          </w:tcPr>
          <w:p w14:paraId="01202EA2">
            <w:pPr>
              <w:pStyle w:val="6"/>
              <w:keepNext w:val="0"/>
              <w:keepLines w:val="0"/>
              <w:suppressLineNumbers w:val="0"/>
              <w:spacing w:before="0" w:beforeAutospacing="0" w:after="0" w:afterAutospacing="0"/>
              <w:ind w:left="0" w:right="0"/>
              <w:jc w:val="both"/>
              <w:rPr>
                <w:rFonts w:ascii="新宋体" w:hAnsi="新宋体" w:eastAsia="新宋体" w:cs="新宋体"/>
                <w:color w:val="auto"/>
                <w:highlight w:val="none"/>
                <w:lang w:val="en-US" w:eastAsia="zh-CN"/>
              </w:rPr>
            </w:pPr>
            <w:r>
              <w:rPr>
                <w:rFonts w:ascii="新宋体" w:hAnsi="新宋体" w:eastAsia="新宋体" w:cs="新宋体"/>
                <w:color w:val="auto"/>
                <w:highlight w:val="none"/>
                <w:lang w:val="en-US" w:eastAsia="zh-CN"/>
              </w:rPr>
              <w:t>投标人须知正文第 3.5.2 项内容修改如下：</w:t>
            </w:r>
          </w:p>
          <w:p w14:paraId="6F49E9D3">
            <w:pPr>
              <w:pStyle w:val="6"/>
              <w:keepNext w:val="0"/>
              <w:keepLines w:val="0"/>
              <w:suppressLineNumbers w:val="0"/>
              <w:spacing w:before="0" w:beforeAutospacing="0" w:after="0" w:afterAutospacing="0"/>
              <w:ind w:left="0" w:leftChars="0" w:right="0" w:rightChars="0"/>
              <w:jc w:val="both"/>
              <w:rPr>
                <w:rFonts w:hint="eastAsia" w:ascii="新宋体" w:hAnsi="新宋体" w:eastAsia="新宋体" w:cs="新宋体"/>
                <w:snapToGrid w:val="0"/>
                <w:color w:val="auto"/>
                <w:kern w:val="0"/>
                <w:sz w:val="21"/>
                <w:szCs w:val="21"/>
                <w:highlight w:val="none"/>
                <w:lang w:val="en-US" w:eastAsia="zh-CN" w:bidi="ar-SA"/>
              </w:rPr>
            </w:pPr>
            <w:r>
              <w:rPr>
                <w:rFonts w:ascii="新宋体" w:hAnsi="新宋体" w:eastAsia="新宋体" w:cs="新宋体"/>
                <w:color w:val="auto"/>
                <w:highlight w:val="none"/>
                <w:lang w:val="en-US" w:eastAsia="zh-CN"/>
              </w:rPr>
              <w:t>“近年财务状况表” 应附经会计师事务所或审计机构审计的财务会计报表，包括资产负债表、现金流量表、利润表和财务情况说明书的</w:t>
            </w:r>
            <w:r>
              <w:rPr>
                <w:rFonts w:hint="eastAsia" w:ascii="新宋体" w:hAnsi="新宋体" w:eastAsia="新宋体" w:cs="新宋体"/>
                <w:color w:val="auto"/>
                <w:highlight w:val="none"/>
                <w:lang w:val="en-US" w:eastAsia="zh-CN"/>
              </w:rPr>
              <w:t>原件扫描件</w:t>
            </w:r>
            <w:r>
              <w:rPr>
                <w:rFonts w:ascii="新宋体" w:hAnsi="新宋体" w:eastAsia="新宋体" w:cs="新宋体"/>
                <w:color w:val="auto"/>
                <w:highlight w:val="none"/>
                <w:lang w:val="en-US" w:eastAsia="zh-CN"/>
              </w:rPr>
              <w:t>，具体年份要求见投标人须知前附表。投标人的成立时间少于投标人须知前附表规定年份的，应提供成立以来的财务状况表，且规定年份的财务指标要求按成立以来的财务数据结合招标文件规定的年份进行计算评审，盈利满足资格审查要求的年数。</w:t>
            </w:r>
          </w:p>
        </w:tc>
      </w:tr>
      <w:tr w14:paraId="7FD49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911" w:type="dxa"/>
            <w:shd w:val="clear" w:color="auto" w:fill="auto"/>
            <w:vAlign w:val="center"/>
          </w:tcPr>
          <w:p w14:paraId="0D73715E">
            <w:pPr>
              <w:pStyle w:val="6"/>
              <w:keepNext w:val="0"/>
              <w:keepLines w:val="0"/>
              <w:suppressLineNumbers w:val="0"/>
              <w:spacing w:before="0" w:beforeAutospacing="0" w:after="0" w:afterAutospacing="0"/>
              <w:ind w:left="0" w:leftChars="0" w:right="0" w:rightChars="0"/>
              <w:jc w:val="center"/>
              <w:rPr>
                <w:rFonts w:ascii="新宋体" w:hAnsi="新宋体" w:eastAsia="新宋体" w:cs="新宋体"/>
                <w:color w:val="auto"/>
                <w:highlight w:val="none"/>
                <w:lang w:val="en-US" w:eastAsia="zh-CN"/>
              </w:rPr>
            </w:pPr>
            <w:r>
              <w:rPr>
                <w:rFonts w:ascii="新宋体" w:hAnsi="新宋体" w:eastAsia="新宋体" w:cs="新宋体"/>
                <w:color w:val="auto"/>
                <w:highlight w:val="none"/>
                <w:lang w:val="en-US" w:eastAsia="zh-CN"/>
              </w:rPr>
              <w:t>3.5.</w:t>
            </w:r>
            <w:r>
              <w:rPr>
                <w:rFonts w:hint="eastAsia" w:ascii="新宋体" w:hAnsi="新宋体" w:eastAsia="新宋体" w:cs="新宋体"/>
                <w:color w:val="auto"/>
                <w:highlight w:val="none"/>
                <w:lang w:val="en-US" w:eastAsia="zh-CN"/>
              </w:rPr>
              <w:t>3</w:t>
            </w:r>
          </w:p>
        </w:tc>
        <w:tc>
          <w:tcPr>
            <w:tcW w:w="8491" w:type="dxa"/>
            <w:gridSpan w:val="2"/>
            <w:shd w:val="clear" w:color="auto" w:fill="auto"/>
            <w:vAlign w:val="center"/>
          </w:tcPr>
          <w:p w14:paraId="66BE74F0">
            <w:pPr>
              <w:pStyle w:val="6"/>
              <w:keepNext w:val="0"/>
              <w:keepLines w:val="0"/>
              <w:suppressLineNumbers w:val="0"/>
              <w:spacing w:before="0" w:beforeAutospacing="0" w:after="0" w:afterAutospacing="0"/>
              <w:ind w:left="0" w:leftChars="0" w:right="0" w:rightChars="0"/>
              <w:jc w:val="both"/>
              <w:rPr>
                <w:rFonts w:ascii="新宋体" w:hAnsi="新宋体" w:eastAsia="新宋体" w:cs="新宋体"/>
                <w:color w:val="auto"/>
                <w:highlight w:val="none"/>
                <w:lang w:val="en-US" w:eastAsia="zh-CN"/>
              </w:rPr>
            </w:pPr>
            <w:r>
              <w:rPr>
                <w:rFonts w:ascii="新宋体" w:hAnsi="新宋体" w:eastAsia="新宋体" w:cs="新宋体"/>
                <w:color w:val="auto"/>
                <w:highlight w:val="none"/>
                <w:lang w:val="en-US" w:eastAsia="zh-CN"/>
              </w:rPr>
              <w:t>删除原 3.5.</w:t>
            </w:r>
            <w:r>
              <w:rPr>
                <w:rFonts w:hint="eastAsia" w:ascii="新宋体" w:hAnsi="新宋体" w:eastAsia="新宋体" w:cs="新宋体"/>
                <w:color w:val="auto"/>
                <w:highlight w:val="none"/>
                <w:lang w:val="en-US" w:eastAsia="zh-CN"/>
              </w:rPr>
              <w:t>3</w:t>
            </w:r>
            <w:r>
              <w:rPr>
                <w:rFonts w:ascii="新宋体" w:hAnsi="新宋体" w:eastAsia="新宋体" w:cs="新宋体"/>
                <w:color w:val="auto"/>
                <w:highlight w:val="none"/>
                <w:lang w:val="en-US" w:eastAsia="zh-CN"/>
              </w:rPr>
              <w:t xml:space="preserve"> 项内容</w:t>
            </w:r>
            <w:r>
              <w:rPr>
                <w:rFonts w:hint="eastAsia" w:ascii="新宋体" w:hAnsi="新宋体" w:eastAsia="新宋体" w:cs="新宋体"/>
                <w:color w:val="auto"/>
                <w:highlight w:val="none"/>
                <w:lang w:val="en-US" w:eastAsia="zh-CN"/>
              </w:rPr>
              <w:t>。</w:t>
            </w:r>
          </w:p>
        </w:tc>
      </w:tr>
      <w:tr w14:paraId="04ADE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trPr>
        <w:tc>
          <w:tcPr>
            <w:tcW w:w="911" w:type="dxa"/>
            <w:shd w:val="clear" w:color="auto" w:fill="auto"/>
            <w:vAlign w:val="center"/>
          </w:tcPr>
          <w:p w14:paraId="513EA6D3">
            <w:pPr>
              <w:pStyle w:val="6"/>
              <w:keepNext w:val="0"/>
              <w:keepLines w:val="0"/>
              <w:suppressLineNumbers w:val="0"/>
              <w:spacing w:before="0" w:beforeAutospacing="0" w:after="0" w:afterAutospacing="0"/>
              <w:ind w:left="0" w:leftChars="0" w:right="0" w:rightChars="0"/>
              <w:jc w:val="center"/>
              <w:rPr>
                <w:rFonts w:ascii="新宋体" w:hAnsi="新宋体" w:eastAsia="新宋体" w:cs="新宋体"/>
                <w:color w:val="auto"/>
                <w:highlight w:val="none"/>
                <w:lang w:val="en-US" w:eastAsia="zh-CN"/>
              </w:rPr>
            </w:pPr>
            <w:r>
              <w:rPr>
                <w:rFonts w:ascii="新宋体" w:hAnsi="新宋体" w:eastAsia="新宋体" w:cs="新宋体"/>
                <w:color w:val="auto"/>
                <w:highlight w:val="none"/>
                <w:lang w:val="en-US" w:eastAsia="zh-CN"/>
              </w:rPr>
              <w:t>3.5.</w:t>
            </w:r>
            <w:r>
              <w:rPr>
                <w:rFonts w:hint="eastAsia" w:ascii="新宋体" w:hAnsi="新宋体" w:eastAsia="新宋体" w:cs="新宋体"/>
                <w:color w:val="auto"/>
                <w:highlight w:val="none"/>
                <w:lang w:val="en-US" w:eastAsia="zh-CN"/>
              </w:rPr>
              <w:t>4</w:t>
            </w:r>
          </w:p>
        </w:tc>
        <w:tc>
          <w:tcPr>
            <w:tcW w:w="8491" w:type="dxa"/>
            <w:gridSpan w:val="2"/>
            <w:shd w:val="clear" w:color="auto" w:fill="auto"/>
            <w:vAlign w:val="center"/>
          </w:tcPr>
          <w:p w14:paraId="478EE671">
            <w:pPr>
              <w:pStyle w:val="6"/>
              <w:keepNext w:val="0"/>
              <w:keepLines w:val="0"/>
              <w:suppressLineNumbers w:val="0"/>
              <w:spacing w:before="0" w:beforeAutospacing="0" w:after="0" w:afterAutospacing="0"/>
              <w:ind w:left="0" w:right="0"/>
              <w:jc w:val="both"/>
              <w:rPr>
                <w:rFonts w:ascii="新宋体" w:hAnsi="新宋体" w:eastAsia="新宋体" w:cs="新宋体"/>
                <w:color w:val="auto"/>
                <w:highlight w:val="none"/>
                <w:lang w:val="en-US" w:eastAsia="zh-CN"/>
              </w:rPr>
            </w:pPr>
            <w:r>
              <w:rPr>
                <w:rFonts w:ascii="新宋体" w:hAnsi="新宋体" w:eastAsia="新宋体" w:cs="新宋体"/>
                <w:color w:val="auto"/>
                <w:highlight w:val="none"/>
                <w:lang w:val="en-US" w:eastAsia="zh-CN"/>
              </w:rPr>
              <w:t xml:space="preserve">投标人须知正文第 </w:t>
            </w:r>
            <w:r>
              <w:rPr>
                <w:rFonts w:hint="eastAsia" w:ascii="新宋体" w:hAnsi="新宋体" w:eastAsia="新宋体" w:cs="新宋体"/>
                <w:color w:val="auto"/>
                <w:highlight w:val="none"/>
                <w:lang w:val="en-US" w:eastAsia="zh-CN"/>
              </w:rPr>
              <w:t>3.5.4</w:t>
            </w:r>
            <w:r>
              <w:rPr>
                <w:rFonts w:ascii="新宋体" w:hAnsi="新宋体" w:eastAsia="新宋体" w:cs="新宋体"/>
                <w:color w:val="auto"/>
                <w:highlight w:val="none"/>
                <w:lang w:val="en-US" w:eastAsia="zh-CN"/>
              </w:rPr>
              <w:t xml:space="preserve"> 项内容修改如下：</w:t>
            </w:r>
          </w:p>
          <w:p w14:paraId="1D99199B">
            <w:pPr>
              <w:pStyle w:val="6"/>
              <w:keepNext w:val="0"/>
              <w:keepLines w:val="0"/>
              <w:suppressLineNumbers w:val="0"/>
              <w:spacing w:before="0" w:beforeAutospacing="0" w:after="0" w:afterAutospacing="0"/>
              <w:ind w:left="0" w:leftChars="0" w:right="0" w:rightChars="0"/>
              <w:jc w:val="both"/>
              <w:rPr>
                <w:rFonts w:ascii="新宋体" w:hAnsi="新宋体" w:eastAsia="新宋体" w:cs="新宋体"/>
                <w:color w:val="auto"/>
                <w:highlight w:val="none"/>
                <w:lang w:val="en-US" w:eastAsia="zh-CN"/>
              </w:rPr>
            </w:pPr>
            <w:r>
              <w:rPr>
                <w:rFonts w:hint="eastAsia" w:ascii="新宋体" w:hAnsi="新宋体" w:eastAsia="新宋体" w:cs="新宋体"/>
                <w:color w:val="auto"/>
                <w:highlight w:val="none"/>
                <w:lang w:val="en-US" w:eastAsia="zh-CN"/>
              </w:rPr>
              <w:t>“投标人的信誉情况表”应附投标人在国家企业信用信息公示系统中未被列入严重违法失信企业名单、在“信用中国”网站中未被列入失信被执行人名单的网页截图</w:t>
            </w:r>
            <w:r>
              <w:rPr>
                <w:rFonts w:ascii="新宋体" w:hAnsi="新宋体" w:eastAsia="新宋体" w:cs="新宋体"/>
                <w:color w:val="auto"/>
                <w:highlight w:val="none"/>
                <w:lang w:val="en-US" w:eastAsia="zh-CN"/>
              </w:rPr>
              <w:t>。</w:t>
            </w:r>
          </w:p>
        </w:tc>
      </w:tr>
      <w:tr w14:paraId="54E68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911" w:type="dxa"/>
            <w:shd w:val="clear" w:color="auto" w:fill="auto"/>
            <w:vAlign w:val="center"/>
          </w:tcPr>
          <w:p w14:paraId="15B17BA7">
            <w:pPr>
              <w:pStyle w:val="6"/>
              <w:keepNext w:val="0"/>
              <w:keepLines w:val="0"/>
              <w:suppressLineNumbers w:val="0"/>
              <w:spacing w:before="0" w:beforeAutospacing="0" w:after="0" w:afterAutospacing="0"/>
              <w:ind w:left="0" w:leftChars="0" w:right="0" w:rightChars="0"/>
              <w:jc w:val="center"/>
              <w:rPr>
                <w:rFonts w:ascii="新宋体" w:hAnsi="新宋体" w:eastAsia="新宋体" w:cs="新宋体"/>
                <w:color w:val="auto"/>
                <w:highlight w:val="none"/>
                <w:lang w:val="en-US" w:eastAsia="zh-CN"/>
              </w:rPr>
            </w:pPr>
            <w:r>
              <w:rPr>
                <w:rFonts w:hint="eastAsia" w:ascii="新宋体" w:hAnsi="新宋体" w:eastAsia="新宋体" w:cs="新宋体"/>
                <w:color w:val="auto"/>
                <w:highlight w:val="none"/>
                <w:lang w:val="en-US" w:eastAsia="zh-CN"/>
              </w:rPr>
              <w:t>3.5.6</w:t>
            </w:r>
          </w:p>
        </w:tc>
        <w:tc>
          <w:tcPr>
            <w:tcW w:w="8491" w:type="dxa"/>
            <w:gridSpan w:val="2"/>
            <w:shd w:val="clear" w:color="auto" w:fill="auto"/>
            <w:vAlign w:val="center"/>
          </w:tcPr>
          <w:p w14:paraId="593E93B5">
            <w:pPr>
              <w:pStyle w:val="6"/>
              <w:keepNext w:val="0"/>
              <w:keepLines w:val="0"/>
              <w:suppressLineNumbers w:val="0"/>
              <w:spacing w:before="0" w:beforeAutospacing="0" w:after="0" w:afterAutospacing="0"/>
              <w:ind w:left="0" w:leftChars="0" w:right="0" w:rightChars="0"/>
              <w:jc w:val="both"/>
              <w:rPr>
                <w:rFonts w:ascii="新宋体" w:hAnsi="新宋体" w:eastAsia="新宋体" w:cs="新宋体"/>
                <w:color w:val="auto"/>
                <w:highlight w:val="none"/>
                <w:lang w:val="en-US" w:eastAsia="zh-CN"/>
              </w:rPr>
            </w:pPr>
            <w:r>
              <w:rPr>
                <w:rFonts w:hint="eastAsia" w:ascii="新宋体" w:hAnsi="新宋体" w:eastAsia="新宋体" w:cs="新宋体"/>
                <w:color w:val="auto"/>
                <w:highlight w:val="none"/>
                <w:lang w:val="en-US" w:eastAsia="zh-CN"/>
              </w:rPr>
              <w:t>删除原 3.5.6项内容。</w:t>
            </w:r>
          </w:p>
        </w:tc>
      </w:tr>
      <w:tr w14:paraId="61C28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911" w:type="dxa"/>
            <w:shd w:val="clear" w:color="auto" w:fill="auto"/>
            <w:vAlign w:val="center"/>
          </w:tcPr>
          <w:p w14:paraId="0644553B">
            <w:pPr>
              <w:pStyle w:val="6"/>
              <w:keepNext w:val="0"/>
              <w:keepLines w:val="0"/>
              <w:suppressLineNumbers w:val="0"/>
              <w:spacing w:before="0" w:beforeAutospacing="0" w:after="0" w:afterAutospacing="0"/>
              <w:ind w:left="0" w:leftChars="0" w:right="0" w:rightChars="0"/>
              <w:jc w:val="center"/>
              <w:rPr>
                <w:rFonts w:hint="eastAsia" w:ascii="新宋体" w:hAnsi="新宋体" w:eastAsia="新宋体" w:cs="新宋体"/>
                <w:snapToGrid w:val="0"/>
                <w:color w:val="auto"/>
                <w:kern w:val="0"/>
                <w:sz w:val="21"/>
                <w:szCs w:val="21"/>
                <w:highlight w:val="none"/>
                <w:lang w:val="en-US" w:eastAsia="zh-CN" w:bidi="ar-SA"/>
              </w:rPr>
            </w:pPr>
            <w:r>
              <w:rPr>
                <w:rFonts w:ascii="新宋体" w:hAnsi="新宋体" w:eastAsia="新宋体" w:cs="新宋体"/>
                <w:color w:val="auto"/>
                <w:highlight w:val="none"/>
                <w:lang w:val="en-US" w:eastAsia="zh-CN"/>
              </w:rPr>
              <w:t>3.5.7</w:t>
            </w:r>
          </w:p>
        </w:tc>
        <w:tc>
          <w:tcPr>
            <w:tcW w:w="8491" w:type="dxa"/>
            <w:gridSpan w:val="2"/>
            <w:shd w:val="clear" w:color="auto" w:fill="auto"/>
            <w:vAlign w:val="center"/>
          </w:tcPr>
          <w:p w14:paraId="410248D6">
            <w:pPr>
              <w:pStyle w:val="6"/>
              <w:keepNext w:val="0"/>
              <w:keepLines w:val="0"/>
              <w:suppressLineNumbers w:val="0"/>
              <w:spacing w:before="0" w:beforeAutospacing="0" w:after="0" w:afterAutospacing="0"/>
              <w:ind w:left="0" w:right="0"/>
              <w:jc w:val="both"/>
              <w:rPr>
                <w:rFonts w:ascii="新宋体" w:hAnsi="新宋体" w:eastAsia="新宋体" w:cs="新宋体"/>
                <w:color w:val="auto"/>
                <w:highlight w:val="none"/>
                <w:lang w:val="en-US" w:eastAsia="zh-CN"/>
              </w:rPr>
            </w:pPr>
            <w:r>
              <w:rPr>
                <w:rFonts w:ascii="新宋体" w:hAnsi="新宋体" w:eastAsia="新宋体" w:cs="新宋体"/>
                <w:color w:val="auto"/>
                <w:highlight w:val="none"/>
                <w:lang w:val="en-US" w:eastAsia="zh-CN"/>
              </w:rPr>
              <w:t>删除原 3.5.7 项内容，修改如下：</w:t>
            </w:r>
          </w:p>
          <w:p w14:paraId="5C315713">
            <w:pPr>
              <w:pStyle w:val="6"/>
              <w:keepNext w:val="0"/>
              <w:keepLines w:val="0"/>
              <w:suppressLineNumbers w:val="0"/>
              <w:spacing w:before="0" w:beforeAutospacing="0" w:after="0" w:afterAutospacing="0"/>
              <w:ind w:left="0" w:leftChars="0" w:right="0" w:rightChars="0" w:firstLine="420" w:firstLineChars="200"/>
              <w:jc w:val="both"/>
              <w:rPr>
                <w:rFonts w:hint="eastAsia" w:ascii="新宋体" w:hAnsi="新宋体" w:eastAsia="新宋体" w:cs="新宋体"/>
                <w:snapToGrid w:val="0"/>
                <w:color w:val="auto"/>
                <w:kern w:val="0"/>
                <w:sz w:val="21"/>
                <w:szCs w:val="21"/>
                <w:highlight w:val="none"/>
                <w:lang w:val="en-US" w:eastAsia="zh-CN" w:bidi="ar-SA"/>
              </w:rPr>
            </w:pPr>
            <w:r>
              <w:rPr>
                <w:rFonts w:ascii="新宋体" w:hAnsi="新宋体" w:eastAsia="新宋体" w:cs="新宋体"/>
                <w:color w:val="auto"/>
                <w:highlight w:val="none"/>
                <w:lang w:val="en-US" w:eastAsia="zh-CN"/>
              </w:rPr>
              <w:t>“拟投入本标段的主要设备表”（如有）应填报满足本章前附表附录</w:t>
            </w:r>
            <w:r>
              <w:rPr>
                <w:rFonts w:hint="eastAsia" w:ascii="新宋体" w:hAnsi="新宋体" w:eastAsia="新宋体" w:cs="新宋体"/>
                <w:color w:val="auto"/>
                <w:highlight w:val="none"/>
                <w:lang w:val="en-US" w:eastAsia="zh-CN"/>
              </w:rPr>
              <w:t>5</w:t>
            </w:r>
            <w:r>
              <w:rPr>
                <w:rFonts w:ascii="新宋体" w:hAnsi="新宋体" w:eastAsia="新宋体" w:cs="新宋体"/>
                <w:color w:val="auto"/>
                <w:highlight w:val="none"/>
                <w:lang w:val="en-US" w:eastAsia="zh-CN"/>
              </w:rPr>
              <w:t>规定的主要设备</w:t>
            </w:r>
          </w:p>
        </w:tc>
      </w:tr>
      <w:tr w14:paraId="333BB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0" w:type="auto"/>
            <w:shd w:val="clear" w:color="auto" w:fill="auto"/>
            <w:vAlign w:val="center"/>
          </w:tcPr>
          <w:p w14:paraId="0E9F0F58">
            <w:pPr>
              <w:pStyle w:val="6"/>
              <w:keepNext w:val="0"/>
              <w:keepLines w:val="0"/>
              <w:suppressLineNumbers w:val="0"/>
              <w:spacing w:before="0" w:beforeAutospacing="0" w:after="0" w:afterAutospacing="0"/>
              <w:ind w:left="0" w:leftChars="0" w:right="0" w:rightChars="0"/>
              <w:jc w:val="center"/>
              <w:rPr>
                <w:rFonts w:hint="eastAsia" w:ascii="新宋体" w:hAnsi="新宋体" w:eastAsia="新宋体" w:cs="新宋体"/>
                <w:snapToGrid w:val="0"/>
                <w:color w:val="auto"/>
                <w:kern w:val="0"/>
                <w:sz w:val="21"/>
                <w:szCs w:val="21"/>
                <w:highlight w:val="none"/>
                <w:lang w:val="en-US" w:eastAsia="zh-CN" w:bidi="ar-SA"/>
              </w:rPr>
            </w:pPr>
            <w:r>
              <w:rPr>
                <w:rFonts w:hint="eastAsia" w:ascii="新宋体" w:hAnsi="新宋体" w:eastAsia="新宋体" w:cs="新宋体"/>
                <w:color w:val="auto"/>
                <w:highlight w:val="none"/>
                <w:lang w:val="en-US" w:eastAsia="zh-CN"/>
              </w:rPr>
              <w:t>4.1.1</w:t>
            </w:r>
          </w:p>
        </w:tc>
        <w:tc>
          <w:tcPr>
            <w:tcW w:w="0" w:type="auto"/>
            <w:gridSpan w:val="2"/>
            <w:shd w:val="clear" w:color="auto" w:fill="auto"/>
            <w:vAlign w:val="center"/>
          </w:tcPr>
          <w:p w14:paraId="2837EA8E">
            <w:pPr>
              <w:pStyle w:val="6"/>
              <w:keepNext w:val="0"/>
              <w:keepLines w:val="0"/>
              <w:suppressLineNumbers w:val="0"/>
              <w:spacing w:before="0" w:beforeAutospacing="0" w:after="0" w:afterAutospacing="0"/>
              <w:ind w:left="0" w:right="0"/>
              <w:jc w:val="both"/>
              <w:rPr>
                <w:rFonts w:ascii="新宋体" w:hAnsi="新宋体" w:eastAsia="新宋体" w:cs="新宋体"/>
                <w:color w:val="auto"/>
                <w:highlight w:val="none"/>
                <w:lang w:val="en-US" w:eastAsia="zh-CN"/>
              </w:rPr>
            </w:pPr>
            <w:r>
              <w:rPr>
                <w:rFonts w:ascii="新宋体" w:hAnsi="新宋体" w:eastAsia="新宋体" w:cs="新宋体"/>
                <w:color w:val="auto"/>
                <w:highlight w:val="none"/>
                <w:lang w:val="en-US" w:eastAsia="zh-CN"/>
              </w:rPr>
              <w:t>投标人须知范本原文第 4.</w:t>
            </w:r>
            <w:r>
              <w:rPr>
                <w:rFonts w:hint="eastAsia" w:ascii="新宋体" w:hAnsi="新宋体" w:eastAsia="新宋体" w:cs="新宋体"/>
                <w:color w:val="auto"/>
                <w:highlight w:val="none"/>
                <w:lang w:val="en-US" w:eastAsia="zh-CN"/>
              </w:rPr>
              <w:t>1.1</w:t>
            </w:r>
            <w:r>
              <w:rPr>
                <w:rFonts w:ascii="新宋体" w:hAnsi="新宋体" w:eastAsia="新宋体" w:cs="新宋体"/>
                <w:color w:val="auto"/>
                <w:highlight w:val="none"/>
                <w:lang w:val="en-US" w:eastAsia="zh-CN"/>
              </w:rPr>
              <w:t>项修改如下：</w:t>
            </w:r>
          </w:p>
          <w:p w14:paraId="213A072E">
            <w:pPr>
              <w:pStyle w:val="6"/>
              <w:keepNext w:val="0"/>
              <w:keepLines w:val="0"/>
              <w:suppressLineNumbers w:val="0"/>
              <w:spacing w:before="0" w:beforeAutospacing="0" w:after="0" w:afterAutospacing="0"/>
              <w:ind w:left="0" w:leftChars="0" w:right="0" w:rightChars="0" w:firstLine="420" w:firstLineChars="200"/>
              <w:jc w:val="both"/>
              <w:rPr>
                <w:rFonts w:hint="eastAsia" w:ascii="新宋体" w:hAnsi="新宋体" w:eastAsia="新宋体" w:cs="新宋体"/>
                <w:snapToGrid w:val="0"/>
                <w:color w:val="auto"/>
                <w:kern w:val="0"/>
                <w:sz w:val="21"/>
                <w:szCs w:val="21"/>
                <w:highlight w:val="none"/>
                <w:lang w:val="en-US" w:eastAsia="zh-CN" w:bidi="ar-SA"/>
              </w:rPr>
            </w:pPr>
            <w:r>
              <w:rPr>
                <w:rFonts w:hint="eastAsia" w:ascii="新宋体" w:hAnsi="新宋体" w:eastAsia="新宋体" w:cs="新宋体"/>
                <w:color w:val="auto"/>
                <w:highlight w:val="none"/>
                <w:lang w:val="en-US" w:eastAsia="zh-CN"/>
              </w:rPr>
              <w:t>采用保函形式提交投标保证金的，保函原件应密封在单独的封套中。</w:t>
            </w:r>
          </w:p>
        </w:tc>
      </w:tr>
      <w:tr w14:paraId="01758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0" w:type="auto"/>
            <w:shd w:val="clear" w:color="auto" w:fill="auto"/>
            <w:vAlign w:val="center"/>
          </w:tcPr>
          <w:p w14:paraId="5431786E">
            <w:pPr>
              <w:pStyle w:val="6"/>
              <w:keepNext w:val="0"/>
              <w:keepLines w:val="0"/>
              <w:suppressLineNumbers w:val="0"/>
              <w:spacing w:before="0" w:beforeAutospacing="0" w:after="0" w:afterAutospacing="0"/>
              <w:ind w:left="0" w:leftChars="0" w:right="0" w:rightChars="0"/>
              <w:jc w:val="center"/>
              <w:rPr>
                <w:rFonts w:hint="eastAsia" w:ascii="新宋体" w:hAnsi="新宋体" w:eastAsia="新宋体" w:cs="新宋体"/>
                <w:strike/>
                <w:snapToGrid w:val="0"/>
                <w:color w:val="auto"/>
                <w:kern w:val="0"/>
                <w:sz w:val="21"/>
                <w:szCs w:val="21"/>
                <w:highlight w:val="none"/>
                <w:lang w:val="en-US" w:eastAsia="zh-CN" w:bidi="ar-SA"/>
              </w:rPr>
            </w:pPr>
            <w:r>
              <w:rPr>
                <w:rFonts w:hint="eastAsia" w:ascii="新宋体" w:hAnsi="新宋体" w:eastAsia="新宋体" w:cs="新宋体"/>
                <w:strike/>
                <w:color w:val="auto"/>
                <w:highlight w:val="none"/>
                <w:lang w:val="en-US" w:eastAsia="zh-CN"/>
              </w:rPr>
              <w:t>4.1.2</w:t>
            </w:r>
          </w:p>
        </w:tc>
        <w:tc>
          <w:tcPr>
            <w:tcW w:w="0" w:type="auto"/>
            <w:gridSpan w:val="2"/>
            <w:shd w:val="clear" w:color="auto" w:fill="auto"/>
            <w:vAlign w:val="center"/>
          </w:tcPr>
          <w:p w14:paraId="462069D2">
            <w:pPr>
              <w:pStyle w:val="6"/>
              <w:keepNext w:val="0"/>
              <w:keepLines w:val="0"/>
              <w:suppressLineNumbers w:val="0"/>
              <w:spacing w:before="0" w:beforeAutospacing="0" w:after="0" w:afterAutospacing="0"/>
              <w:ind w:left="0" w:right="0"/>
              <w:jc w:val="both"/>
              <w:rPr>
                <w:rFonts w:ascii="新宋体" w:hAnsi="新宋体" w:eastAsia="新宋体" w:cs="新宋体"/>
                <w:strike/>
                <w:color w:val="auto"/>
                <w:highlight w:val="none"/>
                <w:lang w:val="en-US" w:eastAsia="zh-CN"/>
              </w:rPr>
            </w:pPr>
            <w:r>
              <w:rPr>
                <w:rFonts w:ascii="新宋体" w:hAnsi="新宋体" w:eastAsia="新宋体" w:cs="新宋体"/>
                <w:strike/>
                <w:color w:val="auto"/>
                <w:highlight w:val="none"/>
                <w:lang w:val="en-US" w:eastAsia="zh-CN"/>
              </w:rPr>
              <w:t>投标人须知范本原文第 4.</w:t>
            </w:r>
            <w:r>
              <w:rPr>
                <w:rFonts w:hint="eastAsia" w:ascii="新宋体" w:hAnsi="新宋体" w:eastAsia="新宋体" w:cs="新宋体"/>
                <w:strike/>
                <w:color w:val="auto"/>
                <w:highlight w:val="none"/>
                <w:lang w:val="en-US" w:eastAsia="zh-CN"/>
              </w:rPr>
              <w:t>1.2</w:t>
            </w:r>
            <w:r>
              <w:rPr>
                <w:rFonts w:ascii="新宋体" w:hAnsi="新宋体" w:eastAsia="新宋体" w:cs="新宋体"/>
                <w:strike/>
                <w:color w:val="auto"/>
                <w:highlight w:val="none"/>
                <w:lang w:val="en-US" w:eastAsia="zh-CN"/>
              </w:rPr>
              <w:t>项修改如下：</w:t>
            </w:r>
          </w:p>
          <w:p w14:paraId="22DAD006">
            <w:pPr>
              <w:pStyle w:val="6"/>
              <w:keepNext w:val="0"/>
              <w:keepLines w:val="0"/>
              <w:suppressLineNumbers w:val="0"/>
              <w:spacing w:before="0" w:beforeAutospacing="0" w:after="0" w:afterAutospacing="0"/>
              <w:ind w:left="0" w:leftChars="0" w:right="0" w:rightChars="0" w:firstLine="420" w:firstLineChars="200"/>
              <w:jc w:val="both"/>
              <w:rPr>
                <w:rFonts w:hint="eastAsia" w:ascii="新宋体" w:hAnsi="新宋体" w:eastAsia="新宋体" w:cs="新宋体"/>
                <w:strike/>
                <w:snapToGrid w:val="0"/>
                <w:color w:val="auto"/>
                <w:kern w:val="0"/>
                <w:sz w:val="21"/>
                <w:szCs w:val="21"/>
                <w:highlight w:val="none"/>
                <w:lang w:val="en-US" w:eastAsia="zh-CN" w:bidi="ar-SA"/>
              </w:rPr>
            </w:pPr>
            <w:r>
              <w:rPr>
                <w:rFonts w:hint="eastAsia" w:ascii="新宋体" w:hAnsi="新宋体" w:eastAsia="新宋体" w:cs="新宋体"/>
                <w:strike/>
                <w:color w:val="auto"/>
                <w:highlight w:val="none"/>
                <w:lang w:val="en-US" w:eastAsia="zh-CN"/>
              </w:rPr>
              <w:t>投标文件第一个信封（商务及技术文件）、第二个信封（报价文件）以及保函封套上应写明的内容见投标人须知前附表。</w:t>
            </w:r>
          </w:p>
        </w:tc>
      </w:tr>
      <w:tr w14:paraId="54D3D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0" w:type="auto"/>
            <w:shd w:val="clear" w:color="auto" w:fill="auto"/>
            <w:vAlign w:val="center"/>
          </w:tcPr>
          <w:p w14:paraId="20B63D01">
            <w:pPr>
              <w:pStyle w:val="6"/>
              <w:keepNext w:val="0"/>
              <w:keepLines w:val="0"/>
              <w:suppressLineNumbers w:val="0"/>
              <w:spacing w:before="0" w:beforeAutospacing="0" w:after="0" w:afterAutospacing="0"/>
              <w:ind w:left="0" w:leftChars="0" w:right="0" w:rightChars="0"/>
              <w:jc w:val="center"/>
              <w:rPr>
                <w:rFonts w:hint="eastAsia" w:ascii="新宋体" w:hAnsi="新宋体" w:eastAsia="新宋体" w:cs="新宋体"/>
                <w:snapToGrid w:val="0"/>
                <w:color w:val="auto"/>
                <w:kern w:val="0"/>
                <w:sz w:val="21"/>
                <w:szCs w:val="21"/>
                <w:highlight w:val="none"/>
                <w:lang w:val="en-US" w:eastAsia="zh-CN" w:bidi="ar-SA"/>
              </w:rPr>
            </w:pPr>
            <w:r>
              <w:rPr>
                <w:rFonts w:ascii="新宋体" w:hAnsi="新宋体" w:eastAsia="新宋体" w:cs="新宋体"/>
                <w:color w:val="auto"/>
                <w:highlight w:val="none"/>
                <w:lang w:val="en-US" w:eastAsia="zh-CN"/>
              </w:rPr>
              <w:t>4.2.4</w:t>
            </w:r>
          </w:p>
        </w:tc>
        <w:tc>
          <w:tcPr>
            <w:tcW w:w="0" w:type="auto"/>
            <w:gridSpan w:val="2"/>
            <w:shd w:val="clear" w:color="auto" w:fill="auto"/>
            <w:vAlign w:val="center"/>
          </w:tcPr>
          <w:p w14:paraId="7FCF3649">
            <w:pPr>
              <w:keepNext w:val="0"/>
              <w:keepLines w:val="0"/>
              <w:suppressLineNumbers w:val="0"/>
              <w:shd w:val="clear" w:color="auto" w:fill="auto"/>
              <w:topLinePunct/>
              <w:spacing w:before="0" w:beforeAutospacing="0" w:after="0" w:afterAutospacing="0" w:line="240" w:lineRule="auto"/>
              <w:ind w:left="105" w:leftChars="50" w:right="105" w:rightChars="5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投标人须知范本原文第4.2.4项修改如下：</w:t>
            </w:r>
          </w:p>
          <w:p w14:paraId="2EB995B5">
            <w:pPr>
              <w:keepNext w:val="0"/>
              <w:keepLines w:val="0"/>
              <w:suppressLineNumbers w:val="0"/>
              <w:shd w:val="clear" w:color="auto" w:fill="auto"/>
              <w:topLinePunct/>
              <w:spacing w:before="0" w:beforeAutospacing="0" w:after="0" w:afterAutospacing="0" w:line="240" w:lineRule="auto"/>
              <w:ind w:left="105" w:leftChars="50" w:right="105" w:rightChars="5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4.2.4投标人可制作非加密的备用电子投标文件(U盘)1份，密封在密封袋中，并在封口处加盖投标人单位公章，密封袋上应写明项目名称和招标人名称。投标人在提交备用电子投标文件(U盘)，应在递交文件登记表上签字，同时招标人负责接收投标文件的工作人员也应在递交文件登记表上签字确认收到该投标人的投标文件。投标人也可不</w:t>
            </w:r>
          </w:p>
          <w:p w14:paraId="299BE7E1">
            <w:pPr>
              <w:pStyle w:val="6"/>
              <w:keepNext w:val="0"/>
              <w:keepLines w:val="0"/>
              <w:suppressLineNumbers w:val="0"/>
              <w:spacing w:before="0" w:beforeAutospacing="0" w:after="0" w:afterAutospacing="0"/>
              <w:ind w:left="0" w:leftChars="0" w:right="0" w:rightChars="0" w:firstLine="420" w:firstLineChars="200"/>
              <w:jc w:val="both"/>
              <w:rPr>
                <w:rFonts w:hint="eastAsia" w:ascii="新宋体" w:hAnsi="新宋体" w:eastAsia="新宋体" w:cs="新宋体"/>
                <w:snapToGrid w:val="0"/>
                <w:color w:val="auto"/>
                <w:kern w:val="0"/>
                <w:sz w:val="21"/>
                <w:szCs w:val="21"/>
                <w:highlight w:val="none"/>
                <w:lang w:val="en-US" w:eastAsia="zh-CN" w:bidi="ar-SA"/>
              </w:rPr>
            </w:pPr>
            <w:r>
              <w:rPr>
                <w:rFonts w:hint="eastAsia" w:ascii="宋体" w:hAnsi="宋体" w:eastAsia="宋体" w:cs="宋体"/>
                <w:color w:val="auto"/>
                <w:spacing w:val="0"/>
                <w:sz w:val="21"/>
                <w:szCs w:val="21"/>
                <w:highlight w:val="none"/>
              </w:rPr>
              <w:t>提交备用U盘。</w:t>
            </w:r>
          </w:p>
        </w:tc>
      </w:tr>
      <w:tr w14:paraId="34691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0" w:type="auto"/>
            <w:shd w:val="clear" w:color="auto" w:fill="auto"/>
            <w:vAlign w:val="center"/>
          </w:tcPr>
          <w:p w14:paraId="28B21A8E">
            <w:pPr>
              <w:pStyle w:val="6"/>
              <w:keepNext w:val="0"/>
              <w:keepLines w:val="0"/>
              <w:suppressLineNumbers w:val="0"/>
              <w:spacing w:before="0" w:beforeAutospacing="0" w:after="0" w:afterAutospacing="0"/>
              <w:ind w:left="0" w:leftChars="0" w:right="0" w:rightChars="0"/>
              <w:jc w:val="center"/>
              <w:rPr>
                <w:rFonts w:hint="eastAsia" w:ascii="新宋体" w:hAnsi="新宋体" w:eastAsia="新宋体" w:cs="新宋体"/>
                <w:snapToGrid w:val="0"/>
                <w:color w:val="auto"/>
                <w:kern w:val="0"/>
                <w:sz w:val="21"/>
                <w:szCs w:val="21"/>
                <w:highlight w:val="none"/>
                <w:lang w:val="en-US" w:eastAsia="zh-CN" w:bidi="ar-SA"/>
              </w:rPr>
            </w:pPr>
            <w:r>
              <w:rPr>
                <w:rFonts w:ascii="新宋体" w:hAnsi="新宋体" w:eastAsia="新宋体" w:cs="新宋体"/>
                <w:color w:val="auto"/>
                <w:highlight w:val="none"/>
                <w:lang w:val="en-US" w:eastAsia="zh-CN"/>
              </w:rPr>
              <w:t>5.2.3</w:t>
            </w:r>
          </w:p>
        </w:tc>
        <w:tc>
          <w:tcPr>
            <w:tcW w:w="0" w:type="auto"/>
            <w:gridSpan w:val="2"/>
            <w:shd w:val="clear" w:color="auto" w:fill="auto"/>
            <w:vAlign w:val="center"/>
          </w:tcPr>
          <w:p w14:paraId="1A08EE5B">
            <w:pPr>
              <w:pStyle w:val="6"/>
              <w:keepNext w:val="0"/>
              <w:keepLines w:val="0"/>
              <w:suppressLineNumbers w:val="0"/>
              <w:spacing w:before="0" w:beforeAutospacing="0" w:after="0" w:afterAutospacing="0"/>
              <w:ind w:left="0" w:right="0"/>
              <w:jc w:val="both"/>
              <w:rPr>
                <w:rFonts w:ascii="新宋体" w:hAnsi="新宋体" w:eastAsia="新宋体" w:cs="新宋体"/>
                <w:color w:val="auto"/>
                <w:highlight w:val="none"/>
                <w:lang w:val="en-US" w:eastAsia="zh-CN"/>
              </w:rPr>
            </w:pPr>
            <w:r>
              <w:rPr>
                <w:rFonts w:ascii="新宋体" w:hAnsi="新宋体" w:eastAsia="新宋体" w:cs="新宋体"/>
                <w:color w:val="auto"/>
                <w:highlight w:val="none"/>
                <w:lang w:val="en-US" w:eastAsia="zh-CN"/>
              </w:rPr>
              <w:t>原 5.2.3（7）目末增加如下内容：</w:t>
            </w:r>
          </w:p>
          <w:p w14:paraId="1125225E">
            <w:pPr>
              <w:pStyle w:val="6"/>
              <w:keepNext w:val="0"/>
              <w:keepLines w:val="0"/>
              <w:suppressLineNumbers w:val="0"/>
              <w:spacing w:before="0" w:beforeAutospacing="0" w:after="0" w:afterAutospacing="0"/>
              <w:ind w:left="0" w:leftChars="0" w:right="0" w:rightChars="0" w:firstLine="420" w:firstLineChars="200"/>
              <w:jc w:val="both"/>
              <w:rPr>
                <w:rFonts w:hint="eastAsia" w:ascii="新宋体" w:hAnsi="新宋体" w:eastAsia="新宋体" w:cs="新宋体"/>
                <w:snapToGrid w:val="0"/>
                <w:color w:val="auto"/>
                <w:kern w:val="0"/>
                <w:sz w:val="21"/>
                <w:szCs w:val="21"/>
                <w:highlight w:val="none"/>
                <w:lang w:val="en-US" w:eastAsia="zh-CN" w:bidi="ar-SA"/>
              </w:rPr>
            </w:pPr>
            <w:r>
              <w:rPr>
                <w:rFonts w:ascii="新宋体" w:hAnsi="新宋体" w:eastAsia="新宋体" w:cs="新宋体"/>
                <w:color w:val="auto"/>
                <w:highlight w:val="none"/>
                <w:lang w:val="en-US" w:eastAsia="zh-CN"/>
              </w:rPr>
              <w:t>投标人未参加第二个信封开标的，招标人应当在评标结束后及时将第二个信封原封退还投标人。</w:t>
            </w:r>
          </w:p>
        </w:tc>
      </w:tr>
      <w:tr w14:paraId="65EB13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0" w:type="auto"/>
            <w:shd w:val="clear" w:color="auto" w:fill="auto"/>
            <w:vAlign w:val="center"/>
          </w:tcPr>
          <w:p w14:paraId="45D204B5">
            <w:pPr>
              <w:pStyle w:val="6"/>
              <w:keepNext w:val="0"/>
              <w:keepLines w:val="0"/>
              <w:suppressLineNumbers w:val="0"/>
              <w:spacing w:before="0" w:beforeAutospacing="0" w:after="0" w:afterAutospacing="0"/>
              <w:ind w:left="0" w:leftChars="0" w:right="0" w:rightChars="0"/>
              <w:jc w:val="center"/>
              <w:rPr>
                <w:rFonts w:hint="eastAsia" w:ascii="新宋体" w:hAnsi="新宋体" w:eastAsia="新宋体" w:cs="新宋体"/>
                <w:snapToGrid w:val="0"/>
                <w:color w:val="auto"/>
                <w:kern w:val="0"/>
                <w:sz w:val="21"/>
                <w:szCs w:val="21"/>
                <w:highlight w:val="none"/>
                <w:lang w:val="en-US" w:eastAsia="zh-CN" w:bidi="ar-SA"/>
              </w:rPr>
            </w:pPr>
            <w:r>
              <w:rPr>
                <w:rFonts w:ascii="新宋体" w:hAnsi="新宋体" w:eastAsia="新宋体" w:cs="新宋体"/>
                <w:color w:val="auto"/>
                <w:highlight w:val="none"/>
                <w:lang w:val="en-US" w:eastAsia="zh-CN"/>
              </w:rPr>
              <w:t>6.1.2</w:t>
            </w:r>
          </w:p>
        </w:tc>
        <w:tc>
          <w:tcPr>
            <w:tcW w:w="0" w:type="auto"/>
            <w:gridSpan w:val="2"/>
            <w:shd w:val="clear" w:color="auto" w:fill="auto"/>
            <w:vAlign w:val="center"/>
          </w:tcPr>
          <w:p w14:paraId="1C035EEE">
            <w:pPr>
              <w:pStyle w:val="6"/>
              <w:keepNext w:val="0"/>
              <w:keepLines w:val="0"/>
              <w:suppressLineNumbers w:val="0"/>
              <w:spacing w:before="0" w:beforeAutospacing="0" w:after="0" w:afterAutospacing="0"/>
              <w:ind w:left="0" w:right="0"/>
              <w:jc w:val="both"/>
              <w:rPr>
                <w:rFonts w:ascii="新宋体" w:hAnsi="新宋体" w:eastAsia="新宋体" w:cs="新宋体"/>
                <w:color w:val="auto"/>
                <w:highlight w:val="none"/>
                <w:lang w:val="en-US" w:eastAsia="zh-CN"/>
              </w:rPr>
            </w:pPr>
            <w:r>
              <w:rPr>
                <w:rFonts w:ascii="新宋体" w:hAnsi="新宋体" w:eastAsia="新宋体" w:cs="新宋体"/>
                <w:color w:val="auto"/>
                <w:highlight w:val="none"/>
                <w:lang w:val="en-US" w:eastAsia="zh-CN"/>
              </w:rPr>
              <w:t>原 6.1.2 项末增加如下内容：</w:t>
            </w:r>
          </w:p>
          <w:p w14:paraId="403D630A">
            <w:pPr>
              <w:pStyle w:val="6"/>
              <w:keepNext w:val="0"/>
              <w:keepLines w:val="0"/>
              <w:suppressLineNumbers w:val="0"/>
              <w:spacing w:before="0" w:beforeAutospacing="0" w:after="0" w:afterAutospacing="0"/>
              <w:ind w:left="0" w:leftChars="0" w:right="0" w:rightChars="0" w:firstLine="420" w:firstLineChars="200"/>
              <w:jc w:val="both"/>
              <w:rPr>
                <w:rFonts w:hint="eastAsia" w:ascii="新宋体" w:hAnsi="新宋体" w:eastAsia="新宋体" w:cs="新宋体"/>
                <w:snapToGrid w:val="0"/>
                <w:color w:val="auto"/>
                <w:kern w:val="0"/>
                <w:sz w:val="21"/>
                <w:szCs w:val="21"/>
                <w:highlight w:val="none"/>
                <w:lang w:val="en-US" w:eastAsia="zh-CN" w:bidi="ar-SA"/>
              </w:rPr>
            </w:pPr>
            <w:r>
              <w:rPr>
                <w:rFonts w:ascii="新宋体" w:hAnsi="新宋体" w:eastAsia="新宋体" w:cs="新宋体"/>
                <w:color w:val="auto"/>
                <w:highlight w:val="none"/>
                <w:lang w:val="en-US" w:eastAsia="zh-CN"/>
              </w:rPr>
              <w:t>招标人及其子公司、招标人的上级主管部门或者控股公司、招标代理机构的工作人员或者退休人员不得以专家身份参与本单位招标或者招标代理项目的评标。</w:t>
            </w:r>
          </w:p>
        </w:tc>
      </w:tr>
      <w:tr w14:paraId="0FCB08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0" w:type="auto"/>
            <w:shd w:val="clear" w:color="auto" w:fill="auto"/>
            <w:vAlign w:val="center"/>
          </w:tcPr>
          <w:p w14:paraId="057C7146">
            <w:pPr>
              <w:pStyle w:val="6"/>
              <w:keepNext w:val="0"/>
              <w:keepLines w:val="0"/>
              <w:suppressLineNumbers w:val="0"/>
              <w:spacing w:before="0" w:beforeAutospacing="0" w:after="0" w:afterAutospacing="0"/>
              <w:ind w:left="0" w:leftChars="0" w:right="0" w:rightChars="0"/>
              <w:jc w:val="center"/>
              <w:rPr>
                <w:rFonts w:hint="eastAsia" w:ascii="新宋体" w:hAnsi="新宋体" w:eastAsia="新宋体" w:cs="新宋体"/>
                <w:snapToGrid w:val="0"/>
                <w:color w:val="auto"/>
                <w:kern w:val="0"/>
                <w:sz w:val="21"/>
                <w:szCs w:val="21"/>
                <w:highlight w:val="none"/>
                <w:lang w:val="en-US" w:eastAsia="zh-CN" w:bidi="ar-SA"/>
              </w:rPr>
            </w:pPr>
            <w:r>
              <w:rPr>
                <w:rFonts w:ascii="新宋体" w:hAnsi="新宋体" w:eastAsia="新宋体" w:cs="新宋体"/>
                <w:color w:val="auto"/>
                <w:highlight w:val="none"/>
                <w:lang w:val="en-US" w:eastAsia="zh-CN"/>
              </w:rPr>
              <w:t>7.1</w:t>
            </w:r>
          </w:p>
        </w:tc>
        <w:tc>
          <w:tcPr>
            <w:tcW w:w="0" w:type="auto"/>
            <w:gridSpan w:val="2"/>
            <w:shd w:val="clear" w:color="auto" w:fill="auto"/>
            <w:vAlign w:val="center"/>
          </w:tcPr>
          <w:p w14:paraId="03267FCB">
            <w:pPr>
              <w:keepNext w:val="0"/>
              <w:keepLines w:val="0"/>
              <w:suppressLineNumbers w:val="0"/>
              <w:shd w:val="clear" w:color="auto" w:fill="auto"/>
              <w:topLinePunct/>
              <w:spacing w:before="0" w:beforeAutospacing="0" w:after="0" w:afterAutospacing="0" w:line="240" w:lineRule="auto"/>
              <w:ind w:left="0" w:right="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标人须知正文第7.1款的内容增加项号7.1.1，另增加7.1.2项内容：</w:t>
            </w:r>
          </w:p>
          <w:p w14:paraId="5FC14CD8">
            <w:pPr>
              <w:pStyle w:val="6"/>
              <w:keepNext w:val="0"/>
              <w:keepLines w:val="0"/>
              <w:suppressLineNumbers w:val="0"/>
              <w:spacing w:before="0" w:beforeAutospacing="0" w:after="0" w:afterAutospacing="0"/>
              <w:ind w:left="0" w:leftChars="0" w:right="0" w:rightChars="0" w:firstLine="420" w:firstLineChars="200"/>
              <w:jc w:val="both"/>
              <w:rPr>
                <w:rFonts w:hint="eastAsia" w:ascii="新宋体" w:hAnsi="新宋体" w:eastAsia="新宋体" w:cs="新宋体"/>
                <w:snapToGrid w:val="0"/>
                <w:color w:val="auto"/>
                <w:kern w:val="0"/>
                <w:sz w:val="21"/>
                <w:szCs w:val="21"/>
                <w:highlight w:val="none"/>
                <w:lang w:val="en-US" w:eastAsia="zh-CN" w:bidi="ar-SA"/>
              </w:rPr>
            </w:pPr>
            <w:r>
              <w:rPr>
                <w:rFonts w:hint="eastAsia" w:ascii="宋体" w:hAnsi="宋体" w:eastAsia="宋体" w:cs="宋体"/>
                <w:color w:val="auto"/>
                <w:spacing w:val="0"/>
                <w:sz w:val="21"/>
                <w:szCs w:val="21"/>
                <w:highlight w:val="none"/>
              </w:rPr>
              <w:t>7.1.2投标人自行承担编制与递交投标文件的一切费用(含建设工程交易服务费及招标代理服务费)，建设工程交易服务费及本工程招标代理服务费均由中标人支付。</w:t>
            </w:r>
          </w:p>
        </w:tc>
      </w:tr>
      <w:tr w14:paraId="51EC86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0" w:type="auto"/>
            <w:shd w:val="clear" w:color="auto" w:fill="auto"/>
            <w:vAlign w:val="center"/>
          </w:tcPr>
          <w:p w14:paraId="3541C78E">
            <w:pPr>
              <w:pStyle w:val="6"/>
              <w:keepNext w:val="0"/>
              <w:keepLines w:val="0"/>
              <w:suppressLineNumbers w:val="0"/>
              <w:spacing w:before="0" w:beforeAutospacing="0" w:after="0" w:afterAutospacing="0"/>
              <w:ind w:left="0" w:leftChars="0" w:right="0" w:rightChars="0"/>
              <w:jc w:val="center"/>
              <w:rPr>
                <w:rFonts w:hint="eastAsia" w:ascii="新宋体" w:hAnsi="新宋体" w:eastAsia="新宋体" w:cs="新宋体"/>
                <w:snapToGrid w:val="0"/>
                <w:color w:val="auto"/>
                <w:kern w:val="0"/>
                <w:sz w:val="21"/>
                <w:szCs w:val="21"/>
                <w:highlight w:val="none"/>
                <w:lang w:val="en-US" w:eastAsia="zh-CN" w:bidi="ar-SA"/>
              </w:rPr>
            </w:pPr>
            <w:r>
              <w:rPr>
                <w:rFonts w:ascii="新宋体" w:hAnsi="新宋体" w:eastAsia="新宋体" w:cs="新宋体"/>
                <w:color w:val="auto"/>
                <w:highlight w:val="none"/>
                <w:lang w:val="en-US" w:eastAsia="zh-CN"/>
              </w:rPr>
              <w:t>8.5</w:t>
            </w:r>
          </w:p>
        </w:tc>
        <w:tc>
          <w:tcPr>
            <w:tcW w:w="0" w:type="auto"/>
            <w:gridSpan w:val="2"/>
            <w:shd w:val="clear" w:color="auto" w:fill="auto"/>
            <w:vAlign w:val="center"/>
          </w:tcPr>
          <w:p w14:paraId="23C8A4F8">
            <w:pPr>
              <w:pStyle w:val="6"/>
              <w:keepNext w:val="0"/>
              <w:keepLines w:val="0"/>
              <w:suppressLineNumbers w:val="0"/>
              <w:spacing w:before="0" w:beforeAutospacing="0" w:after="0" w:afterAutospacing="0"/>
              <w:ind w:left="0" w:right="0"/>
              <w:jc w:val="both"/>
              <w:rPr>
                <w:rFonts w:ascii="新宋体" w:hAnsi="新宋体" w:eastAsia="新宋体" w:cs="新宋体"/>
                <w:color w:val="auto"/>
                <w:highlight w:val="none"/>
                <w:lang w:val="en-US" w:eastAsia="zh-CN"/>
              </w:rPr>
            </w:pPr>
            <w:r>
              <w:rPr>
                <w:rFonts w:ascii="新宋体" w:hAnsi="新宋体" w:eastAsia="新宋体" w:cs="新宋体"/>
                <w:color w:val="auto"/>
                <w:highlight w:val="none"/>
                <w:lang w:val="en-US" w:eastAsia="zh-CN"/>
              </w:rPr>
              <w:t>投标人须知范本原文第 8.5.1 项细化如下：</w:t>
            </w:r>
          </w:p>
          <w:p w14:paraId="52030A73">
            <w:pPr>
              <w:pStyle w:val="6"/>
              <w:keepNext w:val="0"/>
              <w:keepLines w:val="0"/>
              <w:suppressLineNumbers w:val="0"/>
              <w:spacing w:before="0" w:beforeAutospacing="0" w:after="0" w:afterAutospacing="0"/>
              <w:ind w:left="0" w:leftChars="0" w:right="0" w:rightChars="0" w:firstLine="420" w:firstLineChars="200"/>
              <w:jc w:val="both"/>
              <w:rPr>
                <w:rFonts w:hint="eastAsia" w:ascii="新宋体" w:hAnsi="新宋体" w:eastAsia="新宋体" w:cs="新宋体"/>
                <w:snapToGrid w:val="0"/>
                <w:color w:val="auto"/>
                <w:kern w:val="0"/>
                <w:sz w:val="21"/>
                <w:szCs w:val="21"/>
                <w:highlight w:val="none"/>
                <w:lang w:val="en-US" w:eastAsia="zh-CN" w:bidi="ar-SA"/>
              </w:rPr>
            </w:pPr>
            <w:r>
              <w:rPr>
                <w:rFonts w:ascii="新宋体" w:hAnsi="新宋体" w:eastAsia="新宋体" w:cs="新宋体"/>
                <w:color w:val="auto"/>
                <w:highlight w:val="none"/>
                <w:lang w:val="en-US" w:eastAsia="zh-CN"/>
              </w:rPr>
              <w:t>8.5.1 投标人或其他利害关系人认为招标投标活动不符合法律、行政法规规定的，可以自知道或应当知道之日起 10 日内向有关行政监督部门投诉。对于按法规规定需要先提出异议的投诉，主管部门在受理投诉时要求投诉人递交提出异议的证明文件，已向有关行政监督部门投诉的，应当一并说明。未按规定提出异议或者未提交已提出异议的证明文件的投诉，主管部门不予受理。投诉人缺乏事实根据或者法律依据进行投诉的，或者有证据表明投诉人捏造事实、伪造材料的，或者投诉人以非法手段取得证明材料进行投诉的，主管部门应当予以驳回，并对恶意投诉按照有关规定追究投诉人责任。行政监督部门接到对招标投标活动有效投诉的，应当制止或者要求整改，整改期间可以暂停其招标投标活动。</w:t>
            </w:r>
          </w:p>
        </w:tc>
      </w:tr>
      <w:tr w14:paraId="671BB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0" w:type="auto"/>
            <w:shd w:val="clear" w:color="auto" w:fill="auto"/>
            <w:vAlign w:val="center"/>
          </w:tcPr>
          <w:p w14:paraId="46B5ADF6">
            <w:pPr>
              <w:keepNext w:val="0"/>
              <w:keepLines w:val="0"/>
              <w:widowControl w:val="0"/>
              <w:suppressLineNumbers w:val="0"/>
              <w:autoSpaceDE w:val="0"/>
              <w:autoSpaceDN w:val="0"/>
              <w:spacing w:before="0" w:beforeAutospacing="0" w:after="0" w:afterAutospacing="0" w:line="209" w:lineRule="exact"/>
              <w:ind w:left="0" w:leftChars="0" w:right="0" w:rightChars="0" w:firstLine="0" w:firstLineChars="0"/>
              <w:jc w:val="center"/>
              <w:rPr>
                <w:rFonts w:hint="eastAsia" w:ascii="新宋体" w:hAnsi="新宋体" w:eastAsia="新宋体" w:cs="新宋体"/>
                <w:snapToGrid w:val="0"/>
                <w:color w:val="auto"/>
                <w:kern w:val="0"/>
                <w:sz w:val="21"/>
                <w:szCs w:val="21"/>
                <w:highlight w:val="none"/>
                <w:lang w:val="en-US" w:eastAsia="zh-CN" w:bidi="ar-SA"/>
              </w:rPr>
            </w:pPr>
            <w:r>
              <w:rPr>
                <w:rFonts w:hint="default" w:ascii="宋体" w:hAnsi="Times New Roman" w:cs="Times New Roman"/>
                <w:color w:val="auto"/>
                <w:spacing w:val="1"/>
                <w:sz w:val="21"/>
                <w:highlight w:val="none"/>
              </w:rPr>
              <w:t>10.1</w:t>
            </w:r>
          </w:p>
        </w:tc>
        <w:tc>
          <w:tcPr>
            <w:tcW w:w="0" w:type="auto"/>
            <w:gridSpan w:val="2"/>
            <w:shd w:val="clear" w:color="auto" w:fill="auto"/>
            <w:vAlign w:val="center"/>
          </w:tcPr>
          <w:p w14:paraId="2D8B2AD0">
            <w:pPr>
              <w:pStyle w:val="6"/>
              <w:keepNext w:val="0"/>
              <w:keepLines w:val="0"/>
              <w:suppressLineNumbers w:val="0"/>
              <w:spacing w:before="0" w:beforeAutospacing="0" w:after="0" w:afterAutospacing="0"/>
              <w:ind w:left="0" w:right="0" w:firstLine="0" w:firstLineChars="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 xml:space="preserve">在 10.1 款后增加如下条款：10.2 款、10.3 款、10.4 款、10.5 款、10.6 款、10.7 </w:t>
            </w:r>
          </w:p>
          <w:p w14:paraId="0FB7DC43">
            <w:pPr>
              <w:pStyle w:val="6"/>
              <w:keepNext w:val="0"/>
              <w:keepLines w:val="0"/>
              <w:suppressLineNumbers w:val="0"/>
              <w:spacing w:before="0" w:beforeAutospacing="0" w:after="0" w:afterAutospacing="0"/>
              <w:ind w:left="0" w:right="0" w:firstLine="420" w:firstLineChars="20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 xml:space="preserve">款。 </w:t>
            </w:r>
          </w:p>
          <w:p w14:paraId="133D64D9">
            <w:pPr>
              <w:pStyle w:val="6"/>
              <w:keepNext w:val="0"/>
              <w:keepLines w:val="0"/>
              <w:suppressLineNumbers w:val="0"/>
              <w:spacing w:before="0" w:beforeAutospacing="0" w:after="0" w:afterAutospacing="0"/>
              <w:ind w:left="0" w:right="0" w:firstLine="420" w:firstLineChars="20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 xml:space="preserve">10.2 信用等级的确定原则： </w:t>
            </w:r>
          </w:p>
          <w:p w14:paraId="02F5081D">
            <w:pPr>
              <w:pStyle w:val="6"/>
              <w:keepNext w:val="0"/>
              <w:keepLines w:val="0"/>
              <w:suppressLineNumbers w:val="0"/>
              <w:spacing w:before="0" w:beforeAutospacing="0" w:after="0" w:afterAutospacing="0"/>
              <w:ind w:left="0" w:right="0" w:firstLine="420" w:firstLineChars="20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 xml:space="preserve">10.2.1 招标文件中的信用等级指的是广东省交通运输厅最新年度的信用评价结 果。如无广东省最新年度信用等级而有上一年度广东省信用等级的，则其原信用等级可延续一年，但在递交投标文件时信用等级的使用次数应按上一年度公布的信用评价结果顺延上一年度的使用次数。具体使用次数有关规定如下： </w:t>
            </w:r>
          </w:p>
          <w:p w14:paraId="0D455027">
            <w:pPr>
              <w:pStyle w:val="6"/>
              <w:keepNext w:val="0"/>
              <w:keepLines w:val="0"/>
              <w:suppressLineNumbers w:val="0"/>
              <w:spacing w:before="0" w:beforeAutospacing="0" w:after="0" w:afterAutospacing="0"/>
              <w:ind w:left="0" w:right="0" w:firstLine="420" w:firstLineChars="20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 xml:space="preserve">1.对于信用等级为 AA 级的从业单位: </w:t>
            </w:r>
          </w:p>
          <w:p w14:paraId="303C964A">
            <w:pPr>
              <w:pStyle w:val="6"/>
              <w:keepNext w:val="0"/>
              <w:keepLines w:val="0"/>
              <w:suppressLineNumbers w:val="0"/>
              <w:spacing w:before="0" w:beforeAutospacing="0" w:after="0" w:afterAutospacing="0"/>
              <w:ind w:left="0" w:right="0" w:firstLine="420" w:firstLineChars="20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 xml:space="preserve">(1)仅最新一年度信用等级为 AA 级的从业单位在参加广东省水运工程建设项目 投标活动（以递交资格预审申请文件或资格后审递交投标文件时间为准）时，可申请使用 AA 级分值 8 次，用完 8 次后信用等级分值将按 A 级分值取定； </w:t>
            </w:r>
          </w:p>
          <w:p w14:paraId="31040F67">
            <w:pPr>
              <w:pStyle w:val="6"/>
              <w:keepNext w:val="0"/>
              <w:keepLines w:val="0"/>
              <w:suppressLineNumbers w:val="0"/>
              <w:spacing w:before="0" w:beforeAutospacing="0" w:after="0" w:afterAutospacing="0"/>
              <w:ind w:left="0" w:right="0" w:firstLine="420" w:firstLineChars="20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 xml:space="preserve">(2)连续最近两个年度信用等级为 AA 级的单位在参加广东省水运工程投标活动 （以递交资格预审申请文件或资格后审递交投标文件时间为准）时，可申请使用 AA 级分值 12 次，用完 12 次后信用等级分值将按 A 级取定； </w:t>
            </w:r>
          </w:p>
          <w:p w14:paraId="7A07FF2F">
            <w:pPr>
              <w:pStyle w:val="6"/>
              <w:keepNext w:val="0"/>
              <w:keepLines w:val="0"/>
              <w:suppressLineNumbers w:val="0"/>
              <w:spacing w:before="0" w:beforeAutospacing="0" w:after="0" w:afterAutospacing="0"/>
              <w:ind w:left="0" w:right="0" w:firstLine="420" w:firstLineChars="20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 xml:space="preserve">2.对于信用等级为 A 级的从业单位:当年度信用等级 A 级单位在参加广东省水运工程建设项目招投标活动（以递交资格预审申请文件或资格后审递交投标文件时间 为准）时，可申请使用 A 级分值 12 次，用完 12 次后信用等级分值将按 B 级分值取定。 </w:t>
            </w:r>
          </w:p>
          <w:p w14:paraId="7380422E">
            <w:pPr>
              <w:pStyle w:val="6"/>
              <w:keepNext w:val="0"/>
              <w:keepLines w:val="0"/>
              <w:suppressLineNumbers w:val="0"/>
              <w:spacing w:before="0" w:beforeAutospacing="0" w:after="0" w:afterAutospacing="0"/>
              <w:ind w:left="0" w:right="0" w:firstLine="420" w:firstLineChars="20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 xml:space="preserve">3.当年度信用等级为 AA、A 级的从业单位未承诺使用的信用等级分值的，AA 级 信用等级企业按 A 级对待、A 级信用等级企业按 B 级对待。 </w:t>
            </w:r>
          </w:p>
          <w:p w14:paraId="1E418140">
            <w:pPr>
              <w:pStyle w:val="6"/>
              <w:keepNext w:val="0"/>
              <w:keepLines w:val="0"/>
              <w:suppressLineNumbers w:val="0"/>
              <w:spacing w:before="0" w:beforeAutospacing="0" w:after="0" w:afterAutospacing="0"/>
              <w:ind w:left="0" w:right="0" w:firstLine="420" w:firstLineChars="20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 xml:space="preserve">4.若从业企业在信用评价年度信用等级由 AA 降级为 A 级时，AA 级信用等级已使用次数纳入 A 级信用等级使用次数合并累计。 </w:t>
            </w:r>
          </w:p>
          <w:p w14:paraId="273CB5E2">
            <w:pPr>
              <w:pStyle w:val="6"/>
              <w:keepNext w:val="0"/>
              <w:keepLines w:val="0"/>
              <w:suppressLineNumbers w:val="0"/>
              <w:spacing w:before="0" w:beforeAutospacing="0" w:after="0" w:afterAutospacing="0"/>
              <w:ind w:left="0" w:right="0" w:firstLine="420" w:firstLineChars="20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 xml:space="preserve">10.2.2 信用等级延续 1 年后仍无信用评价等级的，按照初次进入广东省确定， 原则上按 B 级对待，但下列情况除外：最新年度的全国水运从业单位（施工单位）信用评价结果为 C 级或 D 级的，则按最新年度的全国水运从业单位（施工单位）信用评价结果对待；或最新年度的全国水运从业单位（施工单位）信用评价结果未被评为 C 级或 D 级的，但在广东省最近年度原评价等级为 D 级的，则按 C 级对待。 </w:t>
            </w:r>
          </w:p>
          <w:p w14:paraId="6F7EFF76">
            <w:pPr>
              <w:pStyle w:val="6"/>
              <w:keepNext w:val="0"/>
              <w:keepLines w:val="0"/>
              <w:suppressLineNumbers w:val="0"/>
              <w:spacing w:before="0" w:beforeAutospacing="0" w:after="0" w:afterAutospacing="0"/>
              <w:ind w:left="0" w:right="0" w:firstLine="420" w:firstLineChars="20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 xml:space="preserve">10.2.3 AA、A 级单位是指使用广东省信用评价等级申请承诺书的单位。提交申请承诺书未使用 AA、A 时，在评标过程中，AA 级信用等级企业按 A 级对待、A 级信用等级企业按 B 级对待。 </w:t>
            </w:r>
          </w:p>
          <w:p w14:paraId="6FB15324">
            <w:pPr>
              <w:pStyle w:val="6"/>
              <w:keepNext w:val="0"/>
              <w:keepLines w:val="0"/>
              <w:suppressLineNumbers w:val="0"/>
              <w:spacing w:before="0" w:beforeAutospacing="0" w:after="0" w:afterAutospacing="0"/>
              <w:ind w:left="0" w:right="0" w:firstLine="420" w:firstLineChars="20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 xml:space="preserve">10.2.4 在招标评标中，信用评价等级采用按次、按标段或标类申请使用的原则， </w:t>
            </w:r>
          </w:p>
          <w:p w14:paraId="2CF47DD5">
            <w:pPr>
              <w:pStyle w:val="6"/>
              <w:keepNext w:val="0"/>
              <w:keepLines w:val="0"/>
              <w:suppressLineNumbers w:val="0"/>
              <w:spacing w:before="0" w:beforeAutospacing="0" w:after="0" w:afterAutospacing="0"/>
              <w:ind w:left="0" w:right="0" w:firstLine="0" w:firstLineChars="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即在同一次招标中的多个标段的投标，可自愿对其中部分或全部标段申请使用 AA 或 A 信用等级，无论中标与否，均应根据申请递交投标（或申请）文件情况按标段计算使用次数（非投标人原因导致招标失败的情况除外）。</w:t>
            </w:r>
          </w:p>
          <w:p w14:paraId="0BE6EFD1">
            <w:pPr>
              <w:pStyle w:val="6"/>
              <w:keepNext w:val="0"/>
              <w:keepLines w:val="0"/>
              <w:suppressLineNumbers w:val="0"/>
              <w:spacing w:before="0" w:beforeAutospacing="0" w:after="0" w:afterAutospacing="0"/>
              <w:ind w:left="0" w:right="0" w:firstLine="420" w:firstLineChars="20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 xml:space="preserve">10.2.5 以联合体形式投标的，信用等级以联合体中信用等级较低的为准。如联合 体成员中存在不属于广东省公路水运工程从业企业信用评价体系的参评范围的单位，其信用评价等级视为 B 类。 </w:t>
            </w:r>
          </w:p>
          <w:p w14:paraId="1D1B7F41">
            <w:pPr>
              <w:pStyle w:val="6"/>
              <w:keepNext w:val="0"/>
              <w:keepLines w:val="0"/>
              <w:suppressLineNumbers w:val="0"/>
              <w:spacing w:before="0" w:beforeAutospacing="0" w:after="0" w:afterAutospacing="0"/>
              <w:ind w:left="0" w:right="0" w:firstLine="420" w:firstLineChars="20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 xml:space="preserve">10.3 如果推荐的第一中标候选人放弃中标、因不可抗力提出不能履行合同、或因被投诉经查证属实取消中标资格的，或者招标文件规定应当提交履约保证金而在规定的期限内未能提交的，招标人可以确定排名第二的中标候选人为中标人,或重新组织招标，以此类推。 </w:t>
            </w:r>
          </w:p>
          <w:p w14:paraId="7CB0FF63">
            <w:pPr>
              <w:pStyle w:val="6"/>
              <w:keepNext w:val="0"/>
              <w:keepLines w:val="0"/>
              <w:suppressLineNumbers w:val="0"/>
              <w:spacing w:before="0" w:beforeAutospacing="0" w:after="0" w:afterAutospacing="0"/>
              <w:ind w:left="0" w:right="0" w:firstLine="420" w:firstLineChars="20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 xml:space="preserve">10.4 如果开标后至中标通知书发出前，第一中标候选人发生投标人须知 1.4.4 （1）至（7）的情形及中标候选人信用等级被广东省交通运输厅直接降为 D 级的情形，则取消其中标资格，招标人按推荐中标候选人排名顺序依次确定中标人，或重新组织招标。 </w:t>
            </w:r>
          </w:p>
          <w:p w14:paraId="705E840C">
            <w:pPr>
              <w:pStyle w:val="6"/>
              <w:keepNext w:val="0"/>
              <w:keepLines w:val="0"/>
              <w:suppressLineNumbers w:val="0"/>
              <w:spacing w:before="0" w:beforeAutospacing="0" w:after="0" w:afterAutospacing="0"/>
              <w:ind w:left="0" w:right="0" w:firstLine="420" w:firstLineChars="20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 xml:space="preserve">10.5 本招标文件中所有 “类似工程”均指新建或改、扩建（技术规模）水运施 工项目。 </w:t>
            </w:r>
          </w:p>
          <w:p w14:paraId="4FCE77BB">
            <w:pPr>
              <w:pStyle w:val="6"/>
              <w:keepNext w:val="0"/>
              <w:keepLines w:val="0"/>
              <w:suppressLineNumbers w:val="0"/>
              <w:spacing w:before="0" w:beforeAutospacing="0" w:after="0" w:afterAutospacing="0"/>
              <w:ind w:left="0" w:right="0" w:firstLine="420" w:firstLineChars="200"/>
              <w:jc w:val="both"/>
              <w:rPr>
                <w:rFonts w:hint="eastAsia" w:ascii="新宋体" w:hAnsi="新宋体" w:eastAsia="新宋体" w:cs="新宋体"/>
                <w:color w:val="auto"/>
                <w:highlight w:val="none"/>
                <w:u w:val="none"/>
                <w:lang w:val="en-US" w:eastAsia="zh-CN"/>
              </w:rPr>
            </w:pPr>
            <w:r>
              <w:rPr>
                <w:rFonts w:hint="eastAsia" w:ascii="新宋体" w:hAnsi="新宋体" w:eastAsia="新宋体" w:cs="新宋体"/>
                <w:color w:val="auto"/>
                <w:highlight w:val="none"/>
                <w:u w:val="none"/>
                <w:lang w:val="en-US" w:eastAsia="zh-CN"/>
              </w:rPr>
              <w:t xml:space="preserve">10.6 若投标人在递交投标文件期间，出现采取不正当手段妨碍其他投标人投标 的过激行为，或出现在开标会现场扰乱招投标市场秩序的行为，招标人有权将投标人此行为上报省级交通主管部门，作为不良记录。 </w:t>
            </w:r>
          </w:p>
          <w:p w14:paraId="2E8DB068">
            <w:pPr>
              <w:pStyle w:val="6"/>
              <w:keepNext w:val="0"/>
              <w:keepLines w:val="0"/>
              <w:suppressLineNumbers w:val="0"/>
              <w:spacing w:before="0" w:beforeAutospacing="0" w:after="0" w:afterAutospacing="0"/>
              <w:ind w:left="0" w:leftChars="0" w:right="0" w:rightChars="0" w:firstLine="420" w:firstLineChars="200"/>
              <w:jc w:val="both"/>
              <w:rPr>
                <w:rFonts w:hint="eastAsia" w:ascii="新宋体" w:hAnsi="新宋体" w:eastAsia="新宋体" w:cs="新宋体"/>
                <w:snapToGrid w:val="0"/>
                <w:color w:val="auto"/>
                <w:kern w:val="0"/>
                <w:sz w:val="21"/>
                <w:szCs w:val="21"/>
                <w:highlight w:val="none"/>
                <w:u w:val="none"/>
                <w:lang w:val="en-US" w:eastAsia="zh-CN" w:bidi="ar-SA"/>
              </w:rPr>
            </w:pPr>
            <w:r>
              <w:rPr>
                <w:rFonts w:hint="eastAsia" w:ascii="新宋体" w:hAnsi="新宋体" w:eastAsia="新宋体" w:cs="新宋体"/>
                <w:color w:val="auto"/>
                <w:highlight w:val="none"/>
                <w:u w:val="none"/>
                <w:lang w:val="en-US" w:eastAsia="zh-CN"/>
              </w:rPr>
              <w:t>10.7 同时对两个及两个以上标段进行投标的投标人，不能使用同一套人员、设 备。（如果最终只允许中一个标段，则允许使用同一套人员、设备）。</w:t>
            </w:r>
          </w:p>
        </w:tc>
      </w:tr>
    </w:tbl>
    <w:p w14:paraId="7FDB0ADA">
      <w:pPr>
        <w:spacing w:before="91" w:line="544" w:lineRule="exact"/>
        <w:ind w:left="2183"/>
        <w:rPr>
          <w:rFonts w:ascii="宋体" w:hAnsi="宋体" w:eastAsia="宋体" w:cs="宋体"/>
          <w:sz w:val="13"/>
          <w:szCs w:val="13"/>
        </w:rPr>
      </w:pPr>
      <w:r>
        <w:rPr>
          <w:rFonts w:ascii="宋体" w:hAnsi="宋体" w:eastAsia="宋体" w:cs="宋体"/>
          <w:b/>
          <w:bCs/>
          <w:spacing w:val="-5"/>
          <w:position w:val="5"/>
          <w:sz w:val="28"/>
          <w:szCs w:val="28"/>
        </w:rPr>
        <w:br w:type="page"/>
      </w:r>
      <w:r>
        <w:rPr>
          <w:rFonts w:ascii="宋体" w:hAnsi="宋体" w:eastAsia="宋体" w:cs="宋体"/>
          <w:b/>
          <w:bCs/>
          <w:spacing w:val="-5"/>
          <w:position w:val="5"/>
          <w:sz w:val="28"/>
          <w:szCs w:val="28"/>
        </w:rPr>
        <w:t>附录</w:t>
      </w:r>
      <w:r>
        <w:rPr>
          <w:rFonts w:ascii="宋体" w:hAnsi="宋体" w:eastAsia="宋体" w:cs="宋体"/>
          <w:spacing w:val="-24"/>
          <w:position w:val="5"/>
          <w:sz w:val="28"/>
          <w:szCs w:val="28"/>
        </w:rPr>
        <w:t xml:space="preserve"> </w:t>
      </w:r>
      <w:r>
        <w:rPr>
          <w:rFonts w:ascii="宋体" w:hAnsi="宋体" w:eastAsia="宋体" w:cs="宋体"/>
          <w:b/>
          <w:bCs/>
          <w:spacing w:val="-5"/>
          <w:position w:val="5"/>
          <w:sz w:val="28"/>
          <w:szCs w:val="28"/>
        </w:rPr>
        <w:t>1</w:t>
      </w:r>
      <w:r>
        <w:rPr>
          <w:rFonts w:ascii="宋体" w:hAnsi="宋体" w:eastAsia="宋体" w:cs="宋体"/>
          <w:spacing w:val="-5"/>
          <w:position w:val="5"/>
          <w:sz w:val="28"/>
          <w:szCs w:val="28"/>
        </w:rPr>
        <w:t xml:space="preserve">  </w:t>
      </w:r>
      <w:r>
        <w:rPr>
          <w:rFonts w:ascii="宋体" w:hAnsi="宋体" w:eastAsia="宋体" w:cs="宋体"/>
          <w:b/>
          <w:bCs/>
          <w:spacing w:val="-5"/>
          <w:position w:val="5"/>
          <w:sz w:val="28"/>
          <w:szCs w:val="28"/>
        </w:rPr>
        <w:t>资格审查条件(资质最低条件)</w:t>
      </w:r>
      <w:r>
        <w:rPr>
          <w:rFonts w:ascii="宋体" w:hAnsi="宋体" w:eastAsia="宋体" w:cs="宋体"/>
          <w:spacing w:val="-5"/>
          <w:position w:val="5"/>
          <w:sz w:val="28"/>
          <w:szCs w:val="28"/>
        </w:rPr>
        <w:t xml:space="preserve"> </w:t>
      </w:r>
    </w:p>
    <w:tbl>
      <w:tblPr>
        <w:tblStyle w:val="13"/>
        <w:tblW w:w="92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84"/>
      </w:tblGrid>
      <w:tr w14:paraId="74D51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9284" w:type="dxa"/>
            <w:vAlign w:val="top"/>
          </w:tcPr>
          <w:p w14:paraId="44A3A4C9">
            <w:pPr>
              <w:pStyle w:val="14"/>
              <w:spacing w:before="168" w:line="219" w:lineRule="auto"/>
              <w:ind w:left="3442"/>
              <w:rPr>
                <w:sz w:val="24"/>
                <w:szCs w:val="24"/>
              </w:rPr>
            </w:pPr>
            <w:r>
              <w:rPr>
                <w:b/>
                <w:bCs/>
                <w:spacing w:val="-3"/>
                <w:sz w:val="24"/>
                <w:szCs w:val="24"/>
              </w:rPr>
              <w:t>施工企业资质等级要求</w:t>
            </w:r>
          </w:p>
        </w:tc>
      </w:tr>
      <w:tr w14:paraId="215856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3" w:hRule="atLeast"/>
        </w:trPr>
        <w:tc>
          <w:tcPr>
            <w:tcW w:w="9284" w:type="dxa"/>
            <w:vAlign w:val="top"/>
          </w:tcPr>
          <w:p w14:paraId="2999D321">
            <w:pPr>
              <w:spacing w:line="280" w:lineRule="auto"/>
              <w:rPr>
                <w:rFonts w:ascii="Arial"/>
                <w:sz w:val="21"/>
              </w:rPr>
            </w:pPr>
          </w:p>
          <w:p w14:paraId="3DF7270E">
            <w:pPr>
              <w:pStyle w:val="14"/>
              <w:spacing w:before="78" w:line="219" w:lineRule="auto"/>
              <w:ind w:left="118"/>
              <w:rPr>
                <w:sz w:val="24"/>
                <w:szCs w:val="24"/>
              </w:rPr>
            </w:pPr>
            <w:r>
              <w:rPr>
                <w:spacing w:val="-1"/>
                <w:sz w:val="24"/>
                <w:szCs w:val="24"/>
              </w:rPr>
              <w:t>招标人应根据招标项目具体特点和实际情况进行资质的选择设置</w:t>
            </w:r>
          </w:p>
          <w:p w14:paraId="69022865">
            <w:pPr>
              <w:pStyle w:val="14"/>
              <w:spacing w:before="214" w:line="219" w:lineRule="auto"/>
              <w:ind w:left="110"/>
              <w:rPr>
                <w:sz w:val="24"/>
                <w:szCs w:val="24"/>
              </w:rPr>
            </w:pPr>
            <w:r>
              <w:rPr>
                <w:b/>
                <w:bCs/>
                <w:spacing w:val="-4"/>
                <w:sz w:val="24"/>
                <w:szCs w:val="24"/>
              </w:rPr>
              <w:t>A</w:t>
            </w:r>
            <w:r>
              <w:rPr>
                <w:spacing w:val="-49"/>
                <w:sz w:val="24"/>
                <w:szCs w:val="24"/>
              </w:rPr>
              <w:t xml:space="preserve"> </w:t>
            </w:r>
            <w:r>
              <w:rPr>
                <w:b/>
                <w:bCs/>
                <w:spacing w:val="-4"/>
                <w:sz w:val="24"/>
                <w:szCs w:val="24"/>
              </w:rPr>
              <w:t>类（港口工程</w:t>
            </w:r>
            <w:r>
              <w:rPr>
                <w:b/>
                <w:bCs/>
                <w:spacing w:val="-2"/>
                <w:sz w:val="24"/>
                <w:szCs w:val="24"/>
              </w:rPr>
              <w:t>）：</w:t>
            </w:r>
          </w:p>
          <w:p w14:paraId="190615F6">
            <w:pPr>
              <w:pStyle w:val="14"/>
              <w:spacing w:before="216" w:line="219" w:lineRule="auto"/>
              <w:ind w:left="116"/>
              <w:rPr>
                <w:sz w:val="24"/>
                <w:szCs w:val="24"/>
              </w:rPr>
            </w:pPr>
            <w:r>
              <w:rPr>
                <w:spacing w:val="-2"/>
                <w:sz w:val="24"/>
                <w:szCs w:val="24"/>
              </w:rPr>
              <w:t>港口与航道工程施工总承包</w:t>
            </w:r>
            <w:r>
              <w:rPr>
                <w:spacing w:val="-2"/>
                <w:sz w:val="24"/>
                <w:szCs w:val="24"/>
                <w:u w:val="single" w:color="auto"/>
              </w:rPr>
              <w:t xml:space="preserve"> </w:t>
            </w:r>
            <w:r>
              <w:rPr>
                <w:rFonts w:hint="eastAsia"/>
                <w:spacing w:val="-2"/>
                <w:sz w:val="24"/>
                <w:szCs w:val="24"/>
                <w:u w:val="single" w:color="auto"/>
                <w:lang w:eastAsia="zh-CN"/>
              </w:rPr>
              <w:t>三</w:t>
            </w:r>
            <w:r>
              <w:rPr>
                <w:spacing w:val="-2"/>
                <w:sz w:val="24"/>
                <w:szCs w:val="24"/>
                <w:u w:val="single" w:color="auto"/>
              </w:rPr>
              <w:t>级</w:t>
            </w:r>
            <w:r>
              <w:rPr>
                <w:rFonts w:hint="eastAsia"/>
                <w:spacing w:val="-2"/>
                <w:sz w:val="24"/>
                <w:szCs w:val="24"/>
                <w:u w:val="single" w:color="auto"/>
                <w:lang w:eastAsia="zh-CN"/>
              </w:rPr>
              <w:t>（或以上）</w:t>
            </w:r>
            <w:r>
              <w:rPr>
                <w:spacing w:val="-2"/>
                <w:sz w:val="24"/>
                <w:szCs w:val="24"/>
                <w:u w:val="single" w:color="auto"/>
              </w:rPr>
              <w:t xml:space="preserve">  </w:t>
            </w:r>
            <w:r>
              <w:rPr>
                <w:spacing w:val="-2"/>
                <w:sz w:val="24"/>
                <w:szCs w:val="24"/>
              </w:rPr>
              <w:t>资质。</w:t>
            </w:r>
          </w:p>
          <w:p w14:paraId="5870B0AB">
            <w:pPr>
              <w:pStyle w:val="14"/>
              <w:spacing w:before="217" w:line="219" w:lineRule="auto"/>
              <w:ind w:left="120"/>
              <w:rPr>
                <w:sz w:val="24"/>
                <w:szCs w:val="24"/>
              </w:rPr>
            </w:pPr>
          </w:p>
        </w:tc>
      </w:tr>
    </w:tbl>
    <w:p w14:paraId="221C4D04">
      <w:pPr>
        <w:spacing w:before="31" w:line="227" w:lineRule="auto"/>
        <w:ind w:left="118"/>
        <w:rPr>
          <w:rFonts w:ascii="宋体" w:hAnsi="宋体" w:eastAsia="宋体" w:cs="宋体"/>
          <w:sz w:val="20"/>
          <w:szCs w:val="20"/>
        </w:rPr>
      </w:pPr>
      <w:r>
        <w:rPr>
          <w:rFonts w:ascii="宋体" w:hAnsi="宋体" w:eastAsia="宋体" w:cs="宋体"/>
          <w:spacing w:val="8"/>
          <w:sz w:val="20"/>
          <w:szCs w:val="20"/>
        </w:rPr>
        <w:t>注：投标人应根据投标文件第二章“投标人</w:t>
      </w:r>
      <w:r>
        <w:rPr>
          <w:rFonts w:ascii="宋体" w:hAnsi="宋体" w:eastAsia="宋体" w:cs="宋体"/>
          <w:spacing w:val="7"/>
          <w:sz w:val="20"/>
          <w:szCs w:val="20"/>
        </w:rPr>
        <w:t>须知</w:t>
      </w:r>
      <w:r>
        <w:rPr>
          <w:rFonts w:ascii="宋体" w:hAnsi="宋体" w:eastAsia="宋体" w:cs="宋体"/>
          <w:spacing w:val="-70"/>
          <w:sz w:val="20"/>
          <w:szCs w:val="20"/>
        </w:rPr>
        <w:t xml:space="preserve"> </w:t>
      </w:r>
      <w:r>
        <w:rPr>
          <w:rFonts w:ascii="宋体" w:hAnsi="宋体" w:eastAsia="宋体" w:cs="宋体"/>
          <w:spacing w:val="7"/>
          <w:sz w:val="20"/>
          <w:szCs w:val="20"/>
        </w:rPr>
        <w:t>”第</w:t>
      </w:r>
      <w:r>
        <w:rPr>
          <w:rFonts w:ascii="宋体" w:hAnsi="宋体" w:eastAsia="宋体" w:cs="宋体"/>
          <w:spacing w:val="-33"/>
          <w:sz w:val="20"/>
          <w:szCs w:val="20"/>
        </w:rPr>
        <w:t xml:space="preserve"> </w:t>
      </w:r>
      <w:r>
        <w:rPr>
          <w:rFonts w:ascii="宋体" w:hAnsi="宋体" w:eastAsia="宋体" w:cs="宋体"/>
          <w:spacing w:val="7"/>
          <w:sz w:val="20"/>
          <w:szCs w:val="20"/>
        </w:rPr>
        <w:t>3.5.1</w:t>
      </w:r>
      <w:r>
        <w:rPr>
          <w:rFonts w:ascii="宋体" w:hAnsi="宋体" w:eastAsia="宋体" w:cs="宋体"/>
          <w:spacing w:val="-37"/>
          <w:sz w:val="20"/>
          <w:szCs w:val="20"/>
        </w:rPr>
        <w:t xml:space="preserve"> </w:t>
      </w:r>
      <w:r>
        <w:rPr>
          <w:rFonts w:ascii="宋体" w:hAnsi="宋体" w:eastAsia="宋体" w:cs="宋体"/>
          <w:spacing w:val="7"/>
          <w:sz w:val="20"/>
          <w:szCs w:val="20"/>
        </w:rPr>
        <w:t>项的要求附相关证明材料。</w:t>
      </w:r>
    </w:p>
    <w:p w14:paraId="54377873">
      <w:pPr>
        <w:spacing w:line="255" w:lineRule="auto"/>
        <w:rPr>
          <w:rFonts w:ascii="Arial"/>
          <w:sz w:val="21"/>
        </w:rPr>
      </w:pPr>
    </w:p>
    <w:p w14:paraId="1791FB67">
      <w:pPr>
        <w:spacing w:line="255" w:lineRule="auto"/>
        <w:rPr>
          <w:rFonts w:ascii="Arial"/>
          <w:sz w:val="21"/>
        </w:rPr>
      </w:pPr>
    </w:p>
    <w:p w14:paraId="4522BC70">
      <w:pPr>
        <w:spacing w:line="255" w:lineRule="auto"/>
        <w:rPr>
          <w:rFonts w:ascii="Arial"/>
          <w:sz w:val="21"/>
        </w:rPr>
      </w:pPr>
    </w:p>
    <w:p w14:paraId="1B8EEA6D">
      <w:pPr>
        <w:spacing w:before="91" w:line="234" w:lineRule="auto"/>
        <w:jc w:val="center"/>
        <w:rPr>
          <w:rFonts w:ascii="宋体" w:hAnsi="宋体" w:eastAsia="宋体" w:cs="宋体"/>
          <w:sz w:val="13"/>
          <w:szCs w:val="13"/>
        </w:rPr>
      </w:pPr>
      <w:r>
        <w:rPr>
          <w:rFonts w:ascii="宋体" w:hAnsi="宋体" w:eastAsia="宋体" w:cs="宋体"/>
          <w:b/>
          <w:bCs/>
          <w:sz w:val="28"/>
          <w:szCs w:val="28"/>
        </w:rPr>
        <w:t>附录2</w:t>
      </w:r>
      <w:r>
        <w:rPr>
          <w:rFonts w:ascii="宋体" w:hAnsi="宋体" w:eastAsia="宋体" w:cs="宋体"/>
          <w:sz w:val="28"/>
          <w:szCs w:val="28"/>
        </w:rPr>
        <w:t xml:space="preserve">  </w:t>
      </w:r>
      <w:r>
        <w:rPr>
          <w:rFonts w:ascii="宋体" w:hAnsi="宋体" w:eastAsia="宋体" w:cs="宋体"/>
          <w:b/>
          <w:bCs/>
          <w:sz w:val="28"/>
          <w:szCs w:val="28"/>
        </w:rPr>
        <w:t>资格审查条件(财务最低要求)</w:t>
      </w:r>
    </w:p>
    <w:p w14:paraId="6C73B794">
      <w:pPr>
        <w:spacing w:line="170" w:lineRule="exact"/>
      </w:pPr>
    </w:p>
    <w:tbl>
      <w:tblPr>
        <w:tblStyle w:val="13"/>
        <w:tblW w:w="92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84"/>
      </w:tblGrid>
      <w:tr w14:paraId="204824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9284" w:type="dxa"/>
            <w:vAlign w:val="top"/>
          </w:tcPr>
          <w:p w14:paraId="7BE8BB26">
            <w:pPr>
              <w:pStyle w:val="14"/>
              <w:spacing w:before="168" w:line="219" w:lineRule="auto"/>
              <w:ind w:left="4167"/>
              <w:rPr>
                <w:sz w:val="24"/>
                <w:szCs w:val="24"/>
              </w:rPr>
            </w:pPr>
            <w:r>
              <w:rPr>
                <w:b/>
                <w:bCs/>
                <w:spacing w:val="-5"/>
                <w:sz w:val="24"/>
                <w:szCs w:val="24"/>
              </w:rPr>
              <w:t>财务要求</w:t>
            </w:r>
          </w:p>
        </w:tc>
      </w:tr>
      <w:tr w14:paraId="210B2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4" w:hRule="atLeast"/>
        </w:trPr>
        <w:tc>
          <w:tcPr>
            <w:tcW w:w="9284" w:type="dxa"/>
            <w:vAlign w:val="top"/>
          </w:tcPr>
          <w:p w14:paraId="2C4701C6">
            <w:pPr>
              <w:spacing w:line="353" w:lineRule="auto"/>
              <w:rPr>
                <w:rFonts w:ascii="Arial"/>
                <w:sz w:val="21"/>
              </w:rPr>
            </w:pPr>
          </w:p>
          <w:p w14:paraId="6C6CBB03">
            <w:pPr>
              <w:spacing w:line="353" w:lineRule="auto"/>
              <w:rPr>
                <w:rFonts w:ascii="Arial"/>
                <w:sz w:val="21"/>
              </w:rPr>
            </w:pPr>
          </w:p>
          <w:p w14:paraId="4D321DE0">
            <w:pPr>
              <w:pStyle w:val="14"/>
              <w:spacing w:before="1" w:line="418" w:lineRule="auto"/>
              <w:ind w:left="122"/>
              <w:rPr>
                <w:rFonts w:hint="default"/>
                <w:spacing w:val="-2"/>
                <w:sz w:val="24"/>
                <w:szCs w:val="24"/>
              </w:rPr>
            </w:pPr>
            <w:r>
              <w:rPr>
                <w:rFonts w:hint="eastAsia"/>
                <w:spacing w:val="-2"/>
                <w:sz w:val="24"/>
                <w:szCs w:val="24"/>
                <w:lang w:val="en-US" w:eastAsia="zh-CN"/>
              </w:rPr>
              <w:t>1</w:t>
            </w:r>
            <w:r>
              <w:rPr>
                <w:rFonts w:hint="eastAsia"/>
                <w:spacing w:val="-2"/>
                <w:sz w:val="24"/>
                <w:szCs w:val="24"/>
              </w:rPr>
              <w:t>、近三个年度的年平均营业总收入不少于</w:t>
            </w:r>
            <w:r>
              <w:rPr>
                <w:rFonts w:hint="eastAsia"/>
                <w:spacing w:val="-2"/>
                <w:sz w:val="24"/>
                <w:szCs w:val="24"/>
                <w:lang w:val="en-US" w:eastAsia="zh-CN"/>
              </w:rPr>
              <w:t>5</w:t>
            </w:r>
            <w:r>
              <w:rPr>
                <w:rFonts w:hint="eastAsia"/>
                <w:spacing w:val="-2"/>
                <w:sz w:val="24"/>
                <w:szCs w:val="24"/>
              </w:rPr>
              <w:t>00万元人民币。</w:t>
            </w:r>
          </w:p>
          <w:p w14:paraId="7AF7E252">
            <w:pPr>
              <w:pStyle w:val="14"/>
              <w:spacing w:before="1" w:line="418" w:lineRule="auto"/>
              <w:ind w:left="122"/>
              <w:rPr>
                <w:rFonts w:hint="default"/>
                <w:spacing w:val="-2"/>
                <w:sz w:val="24"/>
                <w:szCs w:val="24"/>
                <w:lang w:val="en-US" w:eastAsia="zh-CN"/>
              </w:rPr>
            </w:pPr>
            <w:r>
              <w:rPr>
                <w:rFonts w:hint="eastAsia"/>
                <w:spacing w:val="-2"/>
                <w:sz w:val="24"/>
                <w:szCs w:val="24"/>
                <w:lang w:val="en-US" w:eastAsia="zh-CN"/>
              </w:rPr>
              <w:t>2</w:t>
            </w:r>
            <w:r>
              <w:rPr>
                <w:rFonts w:hint="eastAsia"/>
                <w:spacing w:val="-2"/>
                <w:sz w:val="24"/>
                <w:szCs w:val="24"/>
              </w:rPr>
              <w:t>、近三个年度至少有2年盈利。</w:t>
            </w:r>
          </w:p>
          <w:p w14:paraId="4E17FC54">
            <w:pPr>
              <w:pStyle w:val="14"/>
              <w:spacing w:before="1" w:line="418" w:lineRule="auto"/>
              <w:ind w:left="122"/>
              <w:rPr>
                <w:sz w:val="12"/>
                <w:szCs w:val="12"/>
              </w:rPr>
            </w:pPr>
            <w:r>
              <w:rPr>
                <w:rFonts w:hint="eastAsia"/>
                <w:spacing w:val="-2"/>
                <w:sz w:val="24"/>
                <w:szCs w:val="24"/>
              </w:rPr>
              <w:t>近三个年度财务信息以投标人提供的最新三年度（20</w:t>
            </w:r>
            <w:r>
              <w:rPr>
                <w:rFonts w:hint="eastAsia"/>
                <w:spacing w:val="-2"/>
                <w:sz w:val="24"/>
                <w:szCs w:val="24"/>
                <w:lang w:val="en-US" w:eastAsia="zh-CN"/>
              </w:rPr>
              <w:t>23</w:t>
            </w:r>
            <w:r>
              <w:rPr>
                <w:rFonts w:hint="eastAsia"/>
                <w:spacing w:val="-2"/>
                <w:sz w:val="24"/>
                <w:szCs w:val="24"/>
              </w:rPr>
              <w:t>年、202</w:t>
            </w:r>
            <w:r>
              <w:rPr>
                <w:rFonts w:hint="eastAsia"/>
                <w:spacing w:val="-2"/>
                <w:sz w:val="24"/>
                <w:szCs w:val="24"/>
                <w:lang w:val="en-US" w:eastAsia="zh-CN"/>
              </w:rPr>
              <w:t>4</w:t>
            </w:r>
            <w:r>
              <w:rPr>
                <w:rFonts w:hint="eastAsia"/>
                <w:spacing w:val="-2"/>
                <w:sz w:val="24"/>
                <w:szCs w:val="24"/>
              </w:rPr>
              <w:t>年、</w:t>
            </w:r>
            <w:r>
              <w:rPr>
                <w:rFonts w:hint="eastAsia"/>
                <w:spacing w:val="-2"/>
                <w:sz w:val="24"/>
                <w:szCs w:val="24"/>
                <w:lang w:val="en-US" w:eastAsia="zh-CN"/>
              </w:rPr>
              <w:t>2025</w:t>
            </w:r>
            <w:r>
              <w:rPr>
                <w:rFonts w:hint="eastAsia"/>
                <w:spacing w:val="-2"/>
                <w:sz w:val="24"/>
                <w:szCs w:val="24"/>
              </w:rPr>
              <w:t>年）经会计师事务所或审计机构审计的财务审计意见（报告），主要提供（不限于）资产负债表、现金流量表、利润表的</w:t>
            </w:r>
            <w:r>
              <w:rPr>
                <w:rFonts w:hint="eastAsia"/>
                <w:spacing w:val="-2"/>
                <w:sz w:val="24"/>
                <w:szCs w:val="24"/>
                <w:lang w:eastAsia="zh-CN"/>
              </w:rPr>
              <w:t>原件扫描</w:t>
            </w:r>
            <w:r>
              <w:rPr>
                <w:rFonts w:hint="eastAsia"/>
                <w:spacing w:val="-2"/>
                <w:sz w:val="24"/>
                <w:szCs w:val="24"/>
              </w:rPr>
              <w:t>件</w:t>
            </w:r>
            <w:r>
              <w:rPr>
                <w:spacing w:val="-2"/>
                <w:sz w:val="24"/>
                <w:szCs w:val="24"/>
              </w:rPr>
              <w:t>。</w:t>
            </w:r>
            <w:r>
              <w:rPr>
                <w:rFonts w:hint="eastAsia"/>
                <w:spacing w:val="-2"/>
                <w:sz w:val="24"/>
                <w:szCs w:val="24"/>
                <w:lang w:eastAsia="zh-CN"/>
              </w:rPr>
              <w:t>（</w:t>
            </w:r>
            <w:r>
              <w:rPr>
                <w:rFonts w:hint="eastAsia"/>
                <w:spacing w:val="-2"/>
                <w:sz w:val="24"/>
                <w:szCs w:val="24"/>
              </w:rPr>
              <w:t>投标人的成立时间少于规定年份的，应提供成立以来的财务状况表。</w:t>
            </w:r>
            <w:r>
              <w:rPr>
                <w:rFonts w:hint="eastAsia"/>
                <w:spacing w:val="-2"/>
                <w:sz w:val="24"/>
                <w:szCs w:val="24"/>
                <w:lang w:eastAsia="zh-CN"/>
              </w:rPr>
              <w:t>）</w:t>
            </w:r>
          </w:p>
        </w:tc>
      </w:tr>
    </w:tbl>
    <w:p w14:paraId="027549F8">
      <w:pPr>
        <w:spacing w:before="30" w:line="232" w:lineRule="auto"/>
        <w:ind w:left="118"/>
        <w:rPr>
          <w:rFonts w:ascii="宋体" w:hAnsi="宋体" w:eastAsia="宋体" w:cs="宋体"/>
          <w:sz w:val="20"/>
          <w:szCs w:val="20"/>
        </w:rPr>
      </w:pPr>
      <w:r>
        <w:rPr>
          <w:rFonts w:ascii="宋体" w:hAnsi="宋体" w:eastAsia="宋体" w:cs="宋体"/>
          <w:sz w:val="20"/>
          <w:szCs w:val="20"/>
        </w:rPr>
        <w:t>注：</w:t>
      </w:r>
    </w:p>
    <w:p w14:paraId="709FBD36">
      <w:pPr>
        <w:spacing w:before="23" w:line="250" w:lineRule="auto"/>
        <w:ind w:left="119" w:right="113" w:firstLine="14"/>
        <w:rPr>
          <w:rFonts w:ascii="宋体" w:hAnsi="宋体" w:eastAsia="宋体" w:cs="宋体"/>
          <w:sz w:val="20"/>
          <w:szCs w:val="20"/>
        </w:rPr>
      </w:pPr>
      <w:r>
        <w:rPr>
          <w:rFonts w:ascii="宋体" w:hAnsi="宋体" w:eastAsia="宋体" w:cs="宋体"/>
          <w:spacing w:val="8"/>
          <w:sz w:val="20"/>
          <w:szCs w:val="20"/>
        </w:rPr>
        <w:t>1、企业净资产、营运资金是按最新年度（近三个年度的最后一年，下同</w:t>
      </w:r>
      <w:r>
        <w:rPr>
          <w:rFonts w:ascii="宋体" w:hAnsi="宋体" w:eastAsia="宋体" w:cs="宋体"/>
          <w:spacing w:val="7"/>
          <w:sz w:val="20"/>
          <w:szCs w:val="20"/>
        </w:rPr>
        <w:t>）的数据计算得出。近三个</w:t>
      </w:r>
      <w:r>
        <w:rPr>
          <w:rFonts w:ascii="宋体" w:hAnsi="宋体" w:eastAsia="宋体" w:cs="宋体"/>
          <w:spacing w:val="5"/>
          <w:sz w:val="20"/>
          <w:szCs w:val="20"/>
        </w:rPr>
        <w:t>年度是指</w:t>
      </w:r>
      <w:r>
        <w:rPr>
          <w:rFonts w:ascii="宋体" w:hAnsi="宋体" w:eastAsia="宋体" w:cs="宋体"/>
          <w:spacing w:val="-95"/>
          <w:sz w:val="20"/>
          <w:szCs w:val="20"/>
        </w:rPr>
        <w:t xml:space="preserve"> </w:t>
      </w:r>
      <w:r>
        <w:rPr>
          <w:rFonts w:ascii="宋体" w:hAnsi="宋体" w:eastAsia="宋体" w:cs="宋体"/>
          <w:spacing w:val="5"/>
          <w:sz w:val="20"/>
          <w:szCs w:val="20"/>
          <w:u w:val="single" w:color="auto"/>
        </w:rPr>
        <w:t xml:space="preserve"> </w:t>
      </w:r>
      <w:r>
        <w:rPr>
          <w:rFonts w:hint="eastAsia" w:ascii="宋体" w:hAnsi="宋体" w:eastAsia="宋体" w:cs="宋体"/>
          <w:spacing w:val="5"/>
          <w:sz w:val="20"/>
          <w:szCs w:val="20"/>
          <w:u w:val="single" w:color="auto"/>
          <w:lang w:val="en-US" w:eastAsia="zh-CN"/>
        </w:rPr>
        <w:t>2023年、2024年、2025年</w:t>
      </w:r>
      <w:r>
        <w:rPr>
          <w:rFonts w:ascii="宋体" w:hAnsi="宋体" w:eastAsia="宋体" w:cs="宋体"/>
          <w:spacing w:val="5"/>
          <w:sz w:val="20"/>
          <w:szCs w:val="20"/>
          <w:u w:val="single" w:color="auto"/>
        </w:rPr>
        <w:t xml:space="preserve">           </w:t>
      </w:r>
      <w:r>
        <w:rPr>
          <w:rFonts w:ascii="宋体" w:hAnsi="宋体" w:eastAsia="宋体" w:cs="宋体"/>
          <w:spacing w:val="5"/>
          <w:sz w:val="20"/>
          <w:szCs w:val="20"/>
        </w:rPr>
        <w:t>。</w:t>
      </w:r>
    </w:p>
    <w:p w14:paraId="40F2A680">
      <w:pPr>
        <w:spacing w:before="1" w:line="252" w:lineRule="auto"/>
        <w:ind w:left="118" w:right="113" w:firstLine="2"/>
        <w:rPr>
          <w:rFonts w:ascii="宋体" w:hAnsi="宋体" w:eastAsia="宋体" w:cs="宋体"/>
          <w:sz w:val="20"/>
          <w:szCs w:val="20"/>
        </w:rPr>
      </w:pPr>
      <w:r>
        <w:rPr>
          <w:rFonts w:ascii="宋体" w:hAnsi="宋体" w:eastAsia="宋体" w:cs="宋体"/>
          <w:spacing w:val="7"/>
          <w:sz w:val="20"/>
          <w:szCs w:val="20"/>
        </w:rPr>
        <w:t>2、以联合体形式投标的，财务最低要求中的第</w:t>
      </w:r>
      <w:r>
        <w:rPr>
          <w:rFonts w:ascii="宋体" w:hAnsi="宋体" w:eastAsia="宋体" w:cs="宋体"/>
          <w:spacing w:val="-24"/>
          <w:sz w:val="20"/>
          <w:szCs w:val="20"/>
        </w:rPr>
        <w:t xml:space="preserve"> </w:t>
      </w:r>
      <w:r>
        <w:rPr>
          <w:rFonts w:ascii="宋体" w:hAnsi="宋体" w:eastAsia="宋体" w:cs="宋体"/>
          <w:spacing w:val="7"/>
          <w:sz w:val="20"/>
          <w:szCs w:val="20"/>
        </w:rPr>
        <w:t>1、2、3</w:t>
      </w:r>
      <w:r>
        <w:rPr>
          <w:rFonts w:ascii="宋体" w:hAnsi="宋体" w:eastAsia="宋体" w:cs="宋体"/>
          <w:spacing w:val="-34"/>
          <w:sz w:val="20"/>
          <w:szCs w:val="20"/>
        </w:rPr>
        <w:t xml:space="preserve"> </w:t>
      </w:r>
      <w:r>
        <w:rPr>
          <w:rFonts w:ascii="宋体" w:hAnsi="宋体" w:eastAsia="宋体" w:cs="宋体"/>
          <w:spacing w:val="7"/>
          <w:sz w:val="20"/>
          <w:szCs w:val="20"/>
        </w:rPr>
        <w:t>项其财务能力以所有成员（含牵头</w:t>
      </w:r>
      <w:r>
        <w:rPr>
          <w:rFonts w:ascii="宋体" w:hAnsi="宋体" w:eastAsia="宋体" w:cs="宋体"/>
          <w:spacing w:val="6"/>
          <w:sz w:val="20"/>
          <w:szCs w:val="20"/>
        </w:rPr>
        <w:t>人）合并</w:t>
      </w:r>
      <w:r>
        <w:rPr>
          <w:rFonts w:ascii="宋体" w:hAnsi="宋体" w:eastAsia="宋体" w:cs="宋体"/>
          <w:spacing w:val="7"/>
          <w:sz w:val="20"/>
          <w:szCs w:val="20"/>
        </w:rPr>
        <w:t>加总计算为准。</w:t>
      </w:r>
    </w:p>
    <w:p w14:paraId="6619899C">
      <w:pPr>
        <w:spacing w:line="226" w:lineRule="auto"/>
        <w:ind w:left="123"/>
        <w:rPr>
          <w:rFonts w:ascii="宋体" w:hAnsi="宋体" w:eastAsia="宋体" w:cs="宋体"/>
          <w:sz w:val="20"/>
          <w:szCs w:val="20"/>
        </w:rPr>
      </w:pPr>
      <w:r>
        <w:rPr>
          <w:rFonts w:ascii="宋体" w:hAnsi="宋体" w:eastAsia="宋体" w:cs="宋体"/>
          <w:spacing w:val="7"/>
          <w:sz w:val="20"/>
          <w:szCs w:val="20"/>
        </w:rPr>
        <w:t>3、投标人应根据招标文件第二章“投标人须知</w:t>
      </w:r>
      <w:r>
        <w:rPr>
          <w:rFonts w:ascii="宋体" w:hAnsi="宋体" w:eastAsia="宋体" w:cs="宋体"/>
          <w:spacing w:val="-58"/>
          <w:sz w:val="20"/>
          <w:szCs w:val="20"/>
        </w:rPr>
        <w:t xml:space="preserve"> </w:t>
      </w:r>
      <w:r>
        <w:rPr>
          <w:rFonts w:ascii="宋体" w:hAnsi="宋体" w:eastAsia="宋体" w:cs="宋体"/>
          <w:spacing w:val="7"/>
          <w:sz w:val="20"/>
          <w:szCs w:val="20"/>
        </w:rPr>
        <w:t>”第</w:t>
      </w:r>
      <w:r>
        <w:rPr>
          <w:rFonts w:ascii="宋体" w:hAnsi="宋体" w:eastAsia="宋体" w:cs="宋体"/>
          <w:spacing w:val="-36"/>
          <w:sz w:val="20"/>
          <w:szCs w:val="20"/>
        </w:rPr>
        <w:t xml:space="preserve"> </w:t>
      </w:r>
      <w:r>
        <w:rPr>
          <w:rFonts w:ascii="宋体" w:hAnsi="宋体" w:eastAsia="宋体" w:cs="宋体"/>
          <w:spacing w:val="7"/>
          <w:sz w:val="20"/>
          <w:szCs w:val="20"/>
        </w:rPr>
        <w:t>3.5.2</w:t>
      </w:r>
      <w:r>
        <w:rPr>
          <w:rFonts w:ascii="宋体" w:hAnsi="宋体" w:eastAsia="宋体" w:cs="宋体"/>
          <w:spacing w:val="-34"/>
          <w:sz w:val="20"/>
          <w:szCs w:val="20"/>
        </w:rPr>
        <w:t xml:space="preserve"> </w:t>
      </w:r>
      <w:r>
        <w:rPr>
          <w:rFonts w:ascii="宋体" w:hAnsi="宋体" w:eastAsia="宋体" w:cs="宋体"/>
          <w:spacing w:val="7"/>
          <w:sz w:val="20"/>
          <w:szCs w:val="20"/>
        </w:rPr>
        <w:t>项的要求附相关证明材料。</w:t>
      </w:r>
    </w:p>
    <w:p w14:paraId="0FF72443">
      <w:pPr>
        <w:spacing w:line="243" w:lineRule="auto"/>
        <w:rPr>
          <w:rFonts w:ascii="Arial"/>
          <w:sz w:val="21"/>
        </w:rPr>
      </w:pPr>
    </w:p>
    <w:p w14:paraId="1E94607F">
      <w:pPr>
        <w:spacing w:line="243" w:lineRule="auto"/>
        <w:rPr>
          <w:rFonts w:ascii="Arial"/>
          <w:sz w:val="21"/>
        </w:rPr>
      </w:pPr>
    </w:p>
    <w:p w14:paraId="27FEDA07">
      <w:pPr>
        <w:spacing w:line="243" w:lineRule="auto"/>
        <w:rPr>
          <w:rFonts w:ascii="Arial"/>
          <w:sz w:val="21"/>
        </w:rPr>
      </w:pPr>
    </w:p>
    <w:p w14:paraId="5A35D0E4">
      <w:pPr>
        <w:spacing w:line="243" w:lineRule="auto"/>
        <w:rPr>
          <w:rFonts w:ascii="Arial"/>
          <w:sz w:val="21"/>
        </w:rPr>
      </w:pPr>
    </w:p>
    <w:p w14:paraId="04C96A6F">
      <w:pPr>
        <w:spacing w:line="243" w:lineRule="auto"/>
        <w:rPr>
          <w:rFonts w:ascii="Arial"/>
          <w:sz w:val="21"/>
        </w:rPr>
      </w:pPr>
    </w:p>
    <w:p w14:paraId="021CD5E8">
      <w:pPr>
        <w:spacing w:line="243" w:lineRule="auto"/>
        <w:rPr>
          <w:rFonts w:ascii="Arial"/>
          <w:sz w:val="21"/>
        </w:rPr>
      </w:pPr>
    </w:p>
    <w:p w14:paraId="7EF1A0A8">
      <w:pPr>
        <w:spacing w:line="243" w:lineRule="auto"/>
        <w:rPr>
          <w:rFonts w:ascii="Arial"/>
          <w:sz w:val="21"/>
        </w:rPr>
      </w:pPr>
    </w:p>
    <w:p w14:paraId="476874F6">
      <w:pPr>
        <w:spacing w:line="243" w:lineRule="auto"/>
        <w:rPr>
          <w:rFonts w:ascii="Arial"/>
          <w:sz w:val="21"/>
        </w:rPr>
      </w:pPr>
    </w:p>
    <w:p w14:paraId="3C5FB5B7">
      <w:pPr>
        <w:spacing w:line="243" w:lineRule="auto"/>
        <w:rPr>
          <w:rFonts w:ascii="Arial"/>
          <w:sz w:val="21"/>
        </w:rPr>
      </w:pPr>
    </w:p>
    <w:p w14:paraId="11C20BB6">
      <w:pPr>
        <w:spacing w:line="243" w:lineRule="auto"/>
        <w:rPr>
          <w:rFonts w:ascii="Arial"/>
          <w:sz w:val="21"/>
        </w:rPr>
      </w:pPr>
    </w:p>
    <w:p w14:paraId="0B342682">
      <w:pPr>
        <w:spacing w:line="243" w:lineRule="auto"/>
        <w:rPr>
          <w:rFonts w:ascii="Arial"/>
          <w:sz w:val="21"/>
        </w:rPr>
      </w:pPr>
    </w:p>
    <w:p w14:paraId="04886E7A">
      <w:pPr>
        <w:spacing w:line="243" w:lineRule="auto"/>
        <w:rPr>
          <w:rFonts w:ascii="Arial"/>
          <w:sz w:val="21"/>
        </w:rPr>
      </w:pPr>
    </w:p>
    <w:p w14:paraId="0EA333E9">
      <w:pPr>
        <w:spacing w:line="243" w:lineRule="auto"/>
        <w:rPr>
          <w:rFonts w:ascii="Arial"/>
          <w:sz w:val="21"/>
        </w:rPr>
      </w:pPr>
    </w:p>
    <w:p w14:paraId="2FFC01DF">
      <w:pPr>
        <w:spacing w:line="372" w:lineRule="auto"/>
        <w:rPr>
          <w:rFonts w:hint="eastAsia" w:ascii="Arial" w:eastAsia="宋体"/>
          <w:sz w:val="21"/>
          <w:lang w:eastAsia="zh-CN"/>
        </w:rPr>
      </w:pPr>
      <w:r>
        <w:rPr>
          <w:rFonts w:hint="eastAsia" w:ascii="Arial" w:eastAsia="宋体"/>
          <w:sz w:val="21"/>
          <w:lang w:eastAsia="zh-CN"/>
        </w:rPr>
        <w:br w:type="page"/>
      </w:r>
    </w:p>
    <w:p w14:paraId="16C6DE66">
      <w:pPr>
        <w:spacing w:before="91" w:line="544" w:lineRule="exact"/>
        <w:ind w:left="2183"/>
        <w:rPr>
          <w:rFonts w:ascii="宋体" w:hAnsi="宋体" w:eastAsia="宋体" w:cs="宋体"/>
          <w:sz w:val="13"/>
          <w:szCs w:val="13"/>
        </w:rPr>
      </w:pPr>
      <w:r>
        <w:rPr>
          <w:rFonts w:ascii="宋体" w:hAnsi="宋体" w:eastAsia="宋体" w:cs="宋体"/>
          <w:b/>
          <w:bCs/>
          <w:spacing w:val="-4"/>
          <w:sz w:val="28"/>
          <w:szCs w:val="28"/>
        </w:rPr>
        <w:t>附录</w:t>
      </w:r>
      <w:r>
        <w:rPr>
          <w:rFonts w:ascii="宋体" w:hAnsi="宋体" w:eastAsia="宋体" w:cs="宋体"/>
          <w:spacing w:val="-48"/>
          <w:sz w:val="28"/>
          <w:szCs w:val="28"/>
        </w:rPr>
        <w:t xml:space="preserve"> </w:t>
      </w:r>
      <w:r>
        <w:rPr>
          <w:rFonts w:ascii="宋体" w:hAnsi="宋体" w:eastAsia="宋体" w:cs="宋体"/>
          <w:b/>
          <w:bCs/>
          <w:spacing w:val="-4"/>
          <w:sz w:val="28"/>
          <w:szCs w:val="28"/>
        </w:rPr>
        <w:t>3</w:t>
      </w:r>
      <w:r>
        <w:rPr>
          <w:rFonts w:ascii="宋体" w:hAnsi="宋体" w:eastAsia="宋体" w:cs="宋体"/>
          <w:spacing w:val="-4"/>
          <w:sz w:val="28"/>
          <w:szCs w:val="28"/>
        </w:rPr>
        <w:t xml:space="preserve"> </w:t>
      </w:r>
      <w:r>
        <w:rPr>
          <w:rFonts w:ascii="宋体" w:hAnsi="宋体" w:eastAsia="宋体" w:cs="宋体"/>
          <w:b/>
          <w:bCs/>
          <w:position w:val="5"/>
          <w:sz w:val="28"/>
          <w:szCs w:val="28"/>
        </w:rPr>
        <w:t>资格审查条件(信誉最低要求)</w:t>
      </w:r>
      <w:r>
        <w:rPr>
          <w:rFonts w:ascii="宋体" w:hAnsi="宋体" w:eastAsia="宋体" w:cs="宋体"/>
          <w:position w:val="5"/>
          <w:sz w:val="28"/>
          <w:szCs w:val="28"/>
        </w:rPr>
        <w:t xml:space="preserve"> </w:t>
      </w:r>
    </w:p>
    <w:tbl>
      <w:tblPr>
        <w:tblStyle w:val="13"/>
        <w:tblW w:w="92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84"/>
      </w:tblGrid>
      <w:tr w14:paraId="2FB87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284" w:type="dxa"/>
            <w:vAlign w:val="top"/>
          </w:tcPr>
          <w:p w14:paraId="18B075CB">
            <w:pPr>
              <w:pStyle w:val="14"/>
              <w:spacing w:before="167" w:line="219" w:lineRule="auto"/>
              <w:ind w:left="4166"/>
              <w:rPr>
                <w:sz w:val="24"/>
                <w:szCs w:val="24"/>
              </w:rPr>
            </w:pPr>
            <w:r>
              <w:rPr>
                <w:b/>
                <w:bCs/>
                <w:spacing w:val="-5"/>
                <w:sz w:val="24"/>
                <w:szCs w:val="24"/>
              </w:rPr>
              <w:t>信誉要求</w:t>
            </w:r>
          </w:p>
        </w:tc>
      </w:tr>
      <w:tr w14:paraId="69B79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6" w:hRule="atLeast"/>
        </w:trPr>
        <w:tc>
          <w:tcPr>
            <w:tcW w:w="9284" w:type="dxa"/>
            <w:vAlign w:val="top"/>
          </w:tcPr>
          <w:p w14:paraId="73D44D38">
            <w:pPr>
              <w:pStyle w:val="14"/>
              <w:spacing w:line="360" w:lineRule="auto"/>
              <w:ind w:left="123" w:right="108" w:firstLine="473"/>
              <w:rPr>
                <w:rFonts w:hint="default"/>
                <w:spacing w:val="-2"/>
                <w:sz w:val="24"/>
                <w:szCs w:val="24"/>
                <w:lang w:val="en-US" w:eastAsia="zh-CN"/>
              </w:rPr>
            </w:pPr>
            <w:r>
              <w:rPr>
                <w:rFonts w:hint="eastAsia"/>
                <w:spacing w:val="-2"/>
                <w:sz w:val="24"/>
                <w:szCs w:val="24"/>
                <w:lang w:val="en-US" w:eastAsia="zh-CN"/>
              </w:rPr>
              <w:t>除了“投标人须知”第1.4.4项规定的内容外，投标人还需满足以下信誉要求：</w:t>
            </w:r>
          </w:p>
          <w:p w14:paraId="330A7FDD">
            <w:pPr>
              <w:pStyle w:val="14"/>
              <w:spacing w:line="360" w:lineRule="auto"/>
              <w:ind w:left="123" w:right="108" w:firstLine="473"/>
              <w:rPr>
                <w:sz w:val="24"/>
                <w:szCs w:val="24"/>
              </w:rPr>
            </w:pPr>
            <w:r>
              <w:rPr>
                <w:rFonts w:hint="default"/>
                <w:spacing w:val="-2"/>
                <w:sz w:val="24"/>
                <w:szCs w:val="24"/>
              </w:rPr>
              <w:t>在最新年度广东省水运工程从业单位（施工单位）信用评价（含无最新年度而上一年度有信用评价）中，信用等级未被评为 D 级；初次进入广东省的投标人，在最新年度的全国水运从业单位（施工单位）信用评价结果中未被评为 D 级。</w:t>
            </w:r>
          </w:p>
        </w:tc>
      </w:tr>
    </w:tbl>
    <w:p w14:paraId="6B48EAFE">
      <w:pPr>
        <w:spacing w:line="241" w:lineRule="auto"/>
        <w:rPr>
          <w:rFonts w:ascii="Arial"/>
          <w:sz w:val="21"/>
        </w:rPr>
      </w:pPr>
    </w:p>
    <w:p w14:paraId="77966D56">
      <w:pPr>
        <w:spacing w:before="65" w:line="227" w:lineRule="auto"/>
        <w:ind w:left="118"/>
        <w:rPr>
          <w:rFonts w:ascii="宋体" w:hAnsi="宋体" w:eastAsia="宋体" w:cs="宋体"/>
          <w:sz w:val="20"/>
          <w:szCs w:val="20"/>
        </w:rPr>
      </w:pPr>
      <w:r>
        <w:rPr>
          <w:rFonts w:ascii="宋体" w:hAnsi="宋体" w:eastAsia="宋体" w:cs="宋体"/>
          <w:spacing w:val="7"/>
          <w:sz w:val="20"/>
          <w:szCs w:val="20"/>
        </w:rPr>
        <w:t>注：信用等级的确定原则遵遁投标人须知前附表</w:t>
      </w:r>
      <w:r>
        <w:rPr>
          <w:rFonts w:ascii="宋体" w:hAnsi="宋体" w:eastAsia="宋体" w:cs="宋体"/>
          <w:spacing w:val="-8"/>
          <w:sz w:val="20"/>
          <w:szCs w:val="20"/>
        </w:rPr>
        <w:t xml:space="preserve"> </w:t>
      </w:r>
      <w:r>
        <w:rPr>
          <w:rFonts w:ascii="宋体" w:hAnsi="宋体" w:eastAsia="宋体" w:cs="宋体"/>
          <w:spacing w:val="7"/>
          <w:sz w:val="20"/>
          <w:szCs w:val="20"/>
        </w:rPr>
        <w:t>10.2</w:t>
      </w:r>
      <w:r>
        <w:rPr>
          <w:rFonts w:ascii="宋体" w:hAnsi="宋体" w:eastAsia="宋体" w:cs="宋体"/>
          <w:spacing w:val="-37"/>
          <w:sz w:val="20"/>
          <w:szCs w:val="20"/>
        </w:rPr>
        <w:t xml:space="preserve"> </w:t>
      </w:r>
      <w:r>
        <w:rPr>
          <w:rFonts w:ascii="宋体" w:hAnsi="宋体" w:eastAsia="宋体" w:cs="宋体"/>
          <w:spacing w:val="7"/>
          <w:sz w:val="20"/>
          <w:szCs w:val="20"/>
        </w:rPr>
        <w:t>款的规定。</w:t>
      </w:r>
    </w:p>
    <w:p w14:paraId="750C7CDD">
      <w:pPr>
        <w:spacing w:line="245" w:lineRule="auto"/>
        <w:rPr>
          <w:rFonts w:ascii="Arial"/>
          <w:sz w:val="21"/>
        </w:rPr>
      </w:pPr>
    </w:p>
    <w:p w14:paraId="0E32C399">
      <w:pPr>
        <w:spacing w:line="245" w:lineRule="auto"/>
        <w:rPr>
          <w:rFonts w:ascii="Arial"/>
          <w:sz w:val="21"/>
        </w:rPr>
      </w:pPr>
    </w:p>
    <w:p w14:paraId="53E1A56E">
      <w:pPr>
        <w:spacing w:line="245" w:lineRule="auto"/>
        <w:rPr>
          <w:rFonts w:ascii="Arial"/>
          <w:sz w:val="21"/>
        </w:rPr>
      </w:pPr>
    </w:p>
    <w:p w14:paraId="55F04978">
      <w:pPr>
        <w:spacing w:line="246" w:lineRule="auto"/>
        <w:rPr>
          <w:rFonts w:ascii="Arial"/>
          <w:sz w:val="21"/>
        </w:rPr>
      </w:pPr>
    </w:p>
    <w:p w14:paraId="734C8A90">
      <w:pPr>
        <w:spacing w:line="246" w:lineRule="auto"/>
        <w:rPr>
          <w:rFonts w:ascii="Arial"/>
          <w:sz w:val="21"/>
        </w:rPr>
      </w:pPr>
    </w:p>
    <w:p w14:paraId="63470DB5">
      <w:pPr>
        <w:spacing w:line="373" w:lineRule="auto"/>
        <w:jc w:val="center"/>
        <w:rPr>
          <w:rFonts w:ascii="宋体" w:hAnsi="宋体" w:eastAsia="宋体" w:cs="宋体"/>
          <w:sz w:val="13"/>
          <w:szCs w:val="13"/>
        </w:rPr>
      </w:pPr>
      <w:r>
        <w:rPr>
          <w:rFonts w:ascii="宋体" w:hAnsi="宋体" w:eastAsia="宋体" w:cs="宋体"/>
          <w:b/>
          <w:bCs/>
          <w:spacing w:val="-3"/>
          <w:sz w:val="28"/>
          <w:szCs w:val="28"/>
        </w:rPr>
        <w:t>附录</w:t>
      </w:r>
      <w:r>
        <w:rPr>
          <w:rFonts w:ascii="宋体" w:hAnsi="宋体" w:eastAsia="宋体" w:cs="宋体"/>
          <w:spacing w:val="-54"/>
          <w:sz w:val="28"/>
          <w:szCs w:val="28"/>
        </w:rPr>
        <w:t xml:space="preserve"> </w:t>
      </w:r>
      <w:r>
        <w:rPr>
          <w:rFonts w:hint="eastAsia" w:ascii="宋体" w:hAnsi="宋体" w:eastAsia="宋体" w:cs="宋体"/>
          <w:b/>
          <w:bCs/>
          <w:spacing w:val="-3"/>
          <w:sz w:val="28"/>
          <w:szCs w:val="28"/>
          <w:lang w:val="en-US" w:eastAsia="zh-CN"/>
        </w:rPr>
        <w:t>4</w:t>
      </w:r>
      <w:r>
        <w:rPr>
          <w:rFonts w:ascii="宋体" w:hAnsi="宋体" w:eastAsia="宋体" w:cs="宋体"/>
          <w:spacing w:val="-3"/>
          <w:sz w:val="28"/>
          <w:szCs w:val="28"/>
        </w:rPr>
        <w:t xml:space="preserve"> </w:t>
      </w:r>
      <w:r>
        <w:rPr>
          <w:rFonts w:ascii="宋体" w:hAnsi="宋体" w:eastAsia="宋体" w:cs="宋体"/>
          <w:b/>
          <w:bCs/>
          <w:spacing w:val="-3"/>
          <w:sz w:val="28"/>
          <w:szCs w:val="28"/>
        </w:rPr>
        <w:t>资格审查条件(项目负责人和项目技术负责人最低要求</w:t>
      </w:r>
      <w:r>
        <w:rPr>
          <w:rFonts w:ascii="宋体" w:hAnsi="宋体" w:eastAsia="宋体" w:cs="宋体"/>
          <w:b/>
          <w:bCs/>
          <w:spacing w:val="-4"/>
          <w:sz w:val="28"/>
          <w:szCs w:val="28"/>
        </w:rPr>
        <w:t>)</w:t>
      </w:r>
    </w:p>
    <w:p w14:paraId="052FCAB4">
      <w:pPr>
        <w:spacing w:before="221" w:line="219" w:lineRule="auto"/>
        <w:rPr>
          <w:rFonts w:ascii="宋体" w:hAnsi="宋体" w:eastAsia="宋体" w:cs="宋体"/>
          <w:sz w:val="24"/>
          <w:szCs w:val="24"/>
        </w:rPr>
      </w:pPr>
      <w:r>
        <w:rPr>
          <w:rFonts w:ascii="宋体" w:hAnsi="宋体" w:eastAsia="宋体" w:cs="宋体"/>
          <w:spacing w:val="-3"/>
          <w:sz w:val="24"/>
          <w:szCs w:val="24"/>
        </w:rPr>
        <w:t>适用于</w:t>
      </w:r>
      <w:r>
        <w:rPr>
          <w:rFonts w:ascii="宋体" w:hAnsi="宋体" w:eastAsia="宋体" w:cs="宋体"/>
          <w:spacing w:val="-57"/>
          <w:sz w:val="24"/>
          <w:szCs w:val="24"/>
        </w:rPr>
        <w:t xml:space="preserve"> </w:t>
      </w:r>
      <w:r>
        <w:rPr>
          <w:rFonts w:ascii="宋体" w:hAnsi="宋体" w:eastAsia="宋体" w:cs="宋体"/>
          <w:spacing w:val="-3"/>
          <w:sz w:val="24"/>
          <w:szCs w:val="24"/>
        </w:rPr>
        <w:t>A</w:t>
      </w:r>
      <w:r>
        <w:rPr>
          <w:rFonts w:ascii="宋体" w:hAnsi="宋体" w:eastAsia="宋体" w:cs="宋体"/>
          <w:spacing w:val="-50"/>
          <w:sz w:val="24"/>
          <w:szCs w:val="24"/>
        </w:rPr>
        <w:t xml:space="preserve"> </w:t>
      </w:r>
      <w:r>
        <w:rPr>
          <w:rFonts w:ascii="宋体" w:hAnsi="宋体" w:eastAsia="宋体" w:cs="宋体"/>
          <w:spacing w:val="-3"/>
          <w:sz w:val="24"/>
          <w:szCs w:val="24"/>
        </w:rPr>
        <w:t>类、B</w:t>
      </w:r>
      <w:r>
        <w:rPr>
          <w:rFonts w:ascii="宋体" w:hAnsi="宋体" w:eastAsia="宋体" w:cs="宋体"/>
          <w:spacing w:val="-51"/>
          <w:sz w:val="24"/>
          <w:szCs w:val="24"/>
        </w:rPr>
        <w:t xml:space="preserve"> </w:t>
      </w:r>
      <w:r>
        <w:rPr>
          <w:rFonts w:ascii="宋体" w:hAnsi="宋体" w:eastAsia="宋体" w:cs="宋体"/>
          <w:spacing w:val="-3"/>
          <w:sz w:val="24"/>
          <w:szCs w:val="24"/>
        </w:rPr>
        <w:t>类、C</w:t>
      </w:r>
      <w:r>
        <w:rPr>
          <w:rFonts w:ascii="宋体" w:hAnsi="宋体" w:eastAsia="宋体" w:cs="宋体"/>
          <w:spacing w:val="-51"/>
          <w:sz w:val="24"/>
          <w:szCs w:val="24"/>
        </w:rPr>
        <w:t xml:space="preserve"> </w:t>
      </w:r>
      <w:r>
        <w:rPr>
          <w:rFonts w:ascii="宋体" w:hAnsi="宋体" w:eastAsia="宋体" w:cs="宋体"/>
          <w:spacing w:val="-3"/>
          <w:sz w:val="24"/>
          <w:szCs w:val="24"/>
        </w:rPr>
        <w:t>类</w:t>
      </w:r>
    </w:p>
    <w:p w14:paraId="38BB521D">
      <w:pPr>
        <w:spacing w:line="148" w:lineRule="exact"/>
      </w:pPr>
    </w:p>
    <w:tbl>
      <w:tblPr>
        <w:tblStyle w:val="13"/>
        <w:tblW w:w="92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40"/>
        <w:gridCol w:w="890"/>
        <w:gridCol w:w="4968"/>
        <w:gridCol w:w="1786"/>
      </w:tblGrid>
      <w:tr w14:paraId="084220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640" w:type="dxa"/>
            <w:vAlign w:val="top"/>
          </w:tcPr>
          <w:p w14:paraId="6B4B2DC2">
            <w:pPr>
              <w:pStyle w:val="14"/>
              <w:spacing w:before="166" w:line="221" w:lineRule="auto"/>
              <w:ind w:left="587"/>
              <w:rPr>
                <w:sz w:val="24"/>
                <w:szCs w:val="24"/>
              </w:rPr>
            </w:pPr>
            <w:r>
              <w:rPr>
                <w:b/>
                <w:bCs/>
                <w:spacing w:val="-9"/>
                <w:sz w:val="24"/>
                <w:szCs w:val="24"/>
              </w:rPr>
              <w:t>人员</w:t>
            </w:r>
          </w:p>
        </w:tc>
        <w:tc>
          <w:tcPr>
            <w:tcW w:w="890" w:type="dxa"/>
            <w:vAlign w:val="top"/>
          </w:tcPr>
          <w:p w14:paraId="10E5FB29">
            <w:pPr>
              <w:pStyle w:val="14"/>
              <w:spacing w:before="166" w:line="219" w:lineRule="auto"/>
              <w:ind w:left="209"/>
              <w:rPr>
                <w:sz w:val="24"/>
                <w:szCs w:val="24"/>
              </w:rPr>
            </w:pPr>
            <w:r>
              <w:rPr>
                <w:b/>
                <w:bCs/>
                <w:spacing w:val="-9"/>
                <w:sz w:val="24"/>
                <w:szCs w:val="24"/>
              </w:rPr>
              <w:t>数量</w:t>
            </w:r>
          </w:p>
        </w:tc>
        <w:tc>
          <w:tcPr>
            <w:tcW w:w="4968" w:type="dxa"/>
            <w:vAlign w:val="top"/>
          </w:tcPr>
          <w:p w14:paraId="0F89FF12">
            <w:pPr>
              <w:pStyle w:val="14"/>
              <w:spacing w:before="166" w:line="219" w:lineRule="auto"/>
              <w:ind w:left="2018"/>
              <w:rPr>
                <w:sz w:val="24"/>
                <w:szCs w:val="24"/>
              </w:rPr>
            </w:pPr>
            <w:r>
              <w:rPr>
                <w:b/>
                <w:bCs/>
                <w:spacing w:val="-7"/>
                <w:sz w:val="24"/>
                <w:szCs w:val="24"/>
              </w:rPr>
              <w:t>资格要求</w:t>
            </w:r>
          </w:p>
        </w:tc>
        <w:tc>
          <w:tcPr>
            <w:tcW w:w="1786" w:type="dxa"/>
            <w:vAlign w:val="top"/>
          </w:tcPr>
          <w:p w14:paraId="41D34624">
            <w:pPr>
              <w:pStyle w:val="14"/>
              <w:spacing w:before="166" w:line="220" w:lineRule="auto"/>
              <w:ind w:left="416"/>
              <w:rPr>
                <w:sz w:val="24"/>
                <w:szCs w:val="24"/>
              </w:rPr>
            </w:pPr>
            <w:r>
              <w:rPr>
                <w:b/>
                <w:bCs/>
                <w:spacing w:val="-5"/>
                <w:sz w:val="24"/>
                <w:szCs w:val="24"/>
              </w:rPr>
              <w:t>在岗要求</w:t>
            </w:r>
          </w:p>
        </w:tc>
      </w:tr>
      <w:tr w14:paraId="0799C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2" w:hRule="atLeast"/>
        </w:trPr>
        <w:tc>
          <w:tcPr>
            <w:tcW w:w="1640" w:type="dxa"/>
            <w:vAlign w:val="top"/>
          </w:tcPr>
          <w:p w14:paraId="4BEAE076">
            <w:pPr>
              <w:spacing w:line="262" w:lineRule="auto"/>
              <w:jc w:val="center"/>
              <w:rPr>
                <w:rFonts w:ascii="Arial"/>
                <w:sz w:val="21"/>
              </w:rPr>
            </w:pPr>
          </w:p>
          <w:p w14:paraId="47525E7D">
            <w:pPr>
              <w:spacing w:line="262" w:lineRule="auto"/>
              <w:jc w:val="center"/>
              <w:rPr>
                <w:rFonts w:ascii="Arial"/>
                <w:sz w:val="21"/>
              </w:rPr>
            </w:pPr>
          </w:p>
          <w:p w14:paraId="312493F4">
            <w:pPr>
              <w:spacing w:line="263" w:lineRule="auto"/>
              <w:jc w:val="center"/>
              <w:rPr>
                <w:rFonts w:ascii="Arial"/>
                <w:sz w:val="21"/>
              </w:rPr>
            </w:pPr>
          </w:p>
          <w:p w14:paraId="0D18291D">
            <w:pPr>
              <w:pStyle w:val="14"/>
              <w:spacing w:before="78" w:line="219" w:lineRule="auto"/>
              <w:jc w:val="center"/>
              <w:rPr>
                <w:sz w:val="24"/>
                <w:szCs w:val="24"/>
              </w:rPr>
            </w:pPr>
            <w:r>
              <w:rPr>
                <w:spacing w:val="-3"/>
                <w:sz w:val="24"/>
                <w:szCs w:val="24"/>
              </w:rPr>
              <w:t>项目负责人</w:t>
            </w:r>
          </w:p>
        </w:tc>
        <w:tc>
          <w:tcPr>
            <w:tcW w:w="890" w:type="dxa"/>
            <w:vAlign w:val="top"/>
          </w:tcPr>
          <w:p w14:paraId="631B1327">
            <w:pPr>
              <w:spacing w:line="262" w:lineRule="auto"/>
              <w:jc w:val="center"/>
              <w:rPr>
                <w:rFonts w:ascii="Arial"/>
                <w:sz w:val="21"/>
              </w:rPr>
            </w:pPr>
          </w:p>
          <w:p w14:paraId="749DC6EA">
            <w:pPr>
              <w:spacing w:line="262" w:lineRule="auto"/>
              <w:jc w:val="center"/>
              <w:rPr>
                <w:rFonts w:ascii="Arial"/>
                <w:sz w:val="21"/>
              </w:rPr>
            </w:pPr>
          </w:p>
          <w:p w14:paraId="0B58E5D6">
            <w:pPr>
              <w:spacing w:line="263" w:lineRule="auto"/>
              <w:jc w:val="center"/>
              <w:rPr>
                <w:rFonts w:ascii="Arial"/>
                <w:sz w:val="21"/>
              </w:rPr>
            </w:pPr>
          </w:p>
          <w:p w14:paraId="14887923">
            <w:pPr>
              <w:pStyle w:val="14"/>
              <w:spacing w:before="78" w:line="241" w:lineRule="auto"/>
              <w:jc w:val="center"/>
              <w:rPr>
                <w:sz w:val="24"/>
                <w:szCs w:val="24"/>
              </w:rPr>
            </w:pPr>
            <w:r>
              <w:rPr>
                <w:sz w:val="24"/>
                <w:szCs w:val="24"/>
              </w:rPr>
              <w:t>1</w:t>
            </w:r>
          </w:p>
        </w:tc>
        <w:tc>
          <w:tcPr>
            <w:tcW w:w="4968" w:type="dxa"/>
            <w:vAlign w:val="top"/>
          </w:tcPr>
          <w:p w14:paraId="5701D733">
            <w:pPr>
              <w:spacing w:line="241" w:lineRule="auto"/>
              <w:rPr>
                <w:rFonts w:ascii="Arial"/>
                <w:sz w:val="21"/>
              </w:rPr>
            </w:pPr>
          </w:p>
          <w:p w14:paraId="491919D9">
            <w:pPr>
              <w:spacing w:line="242" w:lineRule="auto"/>
              <w:rPr>
                <w:rFonts w:ascii="Arial"/>
                <w:sz w:val="21"/>
              </w:rPr>
            </w:pPr>
          </w:p>
          <w:p w14:paraId="4F792F96">
            <w:pPr>
              <w:pStyle w:val="14"/>
              <w:spacing w:before="1" w:line="339" w:lineRule="auto"/>
              <w:ind w:left="116" w:right="41" w:firstLine="3"/>
              <w:rPr>
                <w:sz w:val="24"/>
                <w:szCs w:val="24"/>
              </w:rPr>
            </w:pPr>
            <w:r>
              <w:rPr>
                <w:rFonts w:hint="default"/>
                <w:spacing w:val="-3"/>
                <w:sz w:val="24"/>
                <w:szCs w:val="24"/>
                <w:lang w:val="en-US" w:eastAsia="zh-CN"/>
              </w:rPr>
              <w:t>具有港口与航道工程</w:t>
            </w:r>
            <w:r>
              <w:rPr>
                <w:rFonts w:hint="eastAsia"/>
                <w:spacing w:val="-3"/>
                <w:sz w:val="24"/>
                <w:szCs w:val="24"/>
                <w:lang w:val="en-US" w:eastAsia="zh-CN"/>
              </w:rPr>
              <w:t>类</w:t>
            </w:r>
            <w:r>
              <w:rPr>
                <w:rFonts w:hint="default"/>
                <w:spacing w:val="-3"/>
                <w:sz w:val="24"/>
                <w:szCs w:val="24"/>
                <w:lang w:val="en-US" w:eastAsia="zh-CN"/>
              </w:rPr>
              <w:t>专业</w:t>
            </w:r>
            <w:r>
              <w:rPr>
                <w:rFonts w:hint="eastAsia"/>
                <w:spacing w:val="-3"/>
                <w:sz w:val="24"/>
                <w:szCs w:val="24"/>
                <w:lang w:val="en-US" w:eastAsia="zh-CN"/>
              </w:rPr>
              <w:t>二</w:t>
            </w:r>
            <w:r>
              <w:rPr>
                <w:rFonts w:hint="default"/>
                <w:spacing w:val="-3"/>
                <w:sz w:val="24"/>
                <w:szCs w:val="24"/>
                <w:lang w:val="en-US" w:eastAsia="zh-CN"/>
              </w:rPr>
              <w:t>级</w:t>
            </w:r>
            <w:r>
              <w:rPr>
                <w:rFonts w:hint="eastAsia"/>
                <w:spacing w:val="-3"/>
                <w:sz w:val="24"/>
                <w:szCs w:val="24"/>
                <w:lang w:val="en-US" w:eastAsia="zh-CN"/>
              </w:rPr>
              <w:t>及以上</w:t>
            </w:r>
            <w:r>
              <w:rPr>
                <w:rFonts w:hint="default"/>
                <w:spacing w:val="-3"/>
                <w:sz w:val="24"/>
                <w:szCs w:val="24"/>
                <w:lang w:val="en-US" w:eastAsia="zh-CN"/>
              </w:rPr>
              <w:t>注册建造师注册证书，具有交通行政主管部门颁发的有效的安全生产考核合格证书（B证）。</w:t>
            </w:r>
          </w:p>
        </w:tc>
        <w:tc>
          <w:tcPr>
            <w:tcW w:w="1786" w:type="dxa"/>
            <w:vMerge w:val="restart"/>
            <w:tcBorders>
              <w:bottom w:val="nil"/>
            </w:tcBorders>
            <w:vAlign w:val="top"/>
          </w:tcPr>
          <w:p w14:paraId="29575CD7">
            <w:pPr>
              <w:spacing w:line="261" w:lineRule="auto"/>
              <w:rPr>
                <w:rFonts w:ascii="Arial"/>
                <w:sz w:val="21"/>
              </w:rPr>
            </w:pPr>
          </w:p>
          <w:p w14:paraId="4E85E851">
            <w:pPr>
              <w:spacing w:line="261" w:lineRule="auto"/>
              <w:rPr>
                <w:rFonts w:ascii="Arial"/>
                <w:sz w:val="21"/>
              </w:rPr>
            </w:pPr>
          </w:p>
          <w:p w14:paraId="06B3E2B6">
            <w:pPr>
              <w:pStyle w:val="14"/>
              <w:spacing w:before="78" w:line="220" w:lineRule="auto"/>
              <w:ind w:firstLine="202" w:firstLineChars="100"/>
              <w:rPr>
                <w:sz w:val="24"/>
                <w:szCs w:val="24"/>
              </w:rPr>
            </w:pPr>
            <w:r>
              <w:rPr>
                <w:spacing w:val="-19"/>
                <w:sz w:val="24"/>
                <w:szCs w:val="24"/>
              </w:rPr>
              <w:t>无在岗项目（指</w:t>
            </w:r>
          </w:p>
          <w:p w14:paraId="00EE8F8F">
            <w:pPr>
              <w:pStyle w:val="14"/>
              <w:spacing w:before="153" w:line="220" w:lineRule="auto"/>
              <w:ind w:left="225"/>
              <w:rPr>
                <w:sz w:val="24"/>
                <w:szCs w:val="24"/>
              </w:rPr>
            </w:pPr>
            <w:r>
              <w:rPr>
                <w:spacing w:val="-10"/>
                <w:sz w:val="24"/>
                <w:szCs w:val="24"/>
              </w:rPr>
              <w:t>目前未在其他</w:t>
            </w:r>
          </w:p>
          <w:p w14:paraId="60939F3E">
            <w:pPr>
              <w:pStyle w:val="14"/>
              <w:spacing w:before="153" w:line="219" w:lineRule="auto"/>
              <w:ind w:left="121"/>
              <w:rPr>
                <w:sz w:val="24"/>
                <w:szCs w:val="24"/>
              </w:rPr>
            </w:pPr>
            <w:r>
              <w:rPr>
                <w:spacing w:val="-17"/>
                <w:sz w:val="24"/>
                <w:szCs w:val="24"/>
              </w:rPr>
              <w:t>项目上任职，或</w:t>
            </w:r>
          </w:p>
          <w:p w14:paraId="6BF06875">
            <w:pPr>
              <w:pStyle w:val="14"/>
              <w:spacing w:before="156" w:line="220" w:lineRule="auto"/>
              <w:ind w:left="190"/>
              <w:rPr>
                <w:sz w:val="24"/>
                <w:szCs w:val="24"/>
              </w:rPr>
            </w:pPr>
            <w:r>
              <w:rPr>
                <w:spacing w:val="-4"/>
                <w:sz w:val="24"/>
                <w:szCs w:val="24"/>
              </w:rPr>
              <w:t>虽在其他项目</w:t>
            </w:r>
          </w:p>
          <w:p w14:paraId="211F7119">
            <w:pPr>
              <w:pStyle w:val="14"/>
              <w:spacing w:before="152" w:line="219" w:lineRule="auto"/>
              <w:ind w:left="181"/>
              <w:rPr>
                <w:sz w:val="24"/>
                <w:szCs w:val="24"/>
              </w:rPr>
            </w:pPr>
            <w:r>
              <w:rPr>
                <w:spacing w:val="-2"/>
                <w:sz w:val="24"/>
                <w:szCs w:val="24"/>
              </w:rPr>
              <w:t>上任职但本项</w:t>
            </w:r>
          </w:p>
          <w:p w14:paraId="4FAB2E65">
            <w:pPr>
              <w:pStyle w:val="14"/>
              <w:spacing w:before="155" w:line="220" w:lineRule="auto"/>
              <w:ind w:left="225"/>
              <w:rPr>
                <w:sz w:val="24"/>
                <w:szCs w:val="24"/>
              </w:rPr>
            </w:pPr>
            <w:r>
              <w:rPr>
                <w:spacing w:val="-10"/>
                <w:sz w:val="24"/>
                <w:szCs w:val="24"/>
              </w:rPr>
              <w:t>目中标后能够</w:t>
            </w:r>
          </w:p>
          <w:p w14:paraId="68615C9C">
            <w:pPr>
              <w:pStyle w:val="14"/>
              <w:spacing w:before="156" w:line="220" w:lineRule="auto"/>
              <w:jc w:val="right"/>
              <w:rPr>
                <w:sz w:val="24"/>
                <w:szCs w:val="24"/>
              </w:rPr>
            </w:pPr>
            <w:r>
              <w:rPr>
                <w:spacing w:val="-5"/>
                <w:sz w:val="24"/>
                <w:szCs w:val="24"/>
              </w:rPr>
              <w:t>从该项目撤离）</w:t>
            </w:r>
          </w:p>
        </w:tc>
      </w:tr>
      <w:tr w14:paraId="6368C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2" w:hRule="atLeast"/>
        </w:trPr>
        <w:tc>
          <w:tcPr>
            <w:tcW w:w="1640" w:type="dxa"/>
            <w:vAlign w:val="top"/>
          </w:tcPr>
          <w:p w14:paraId="58E3CBE9">
            <w:pPr>
              <w:spacing w:line="334" w:lineRule="auto"/>
              <w:rPr>
                <w:rFonts w:ascii="Arial"/>
                <w:sz w:val="21"/>
              </w:rPr>
            </w:pPr>
          </w:p>
          <w:p w14:paraId="6A918E05">
            <w:pPr>
              <w:pStyle w:val="14"/>
              <w:spacing w:before="78" w:line="341" w:lineRule="auto"/>
              <w:ind w:right="216"/>
              <w:jc w:val="center"/>
              <w:rPr>
                <w:sz w:val="24"/>
                <w:szCs w:val="24"/>
              </w:rPr>
            </w:pPr>
            <w:r>
              <w:rPr>
                <w:rFonts w:hint="eastAsia"/>
                <w:spacing w:val="-3"/>
                <w:sz w:val="24"/>
                <w:szCs w:val="24"/>
                <w:lang w:val="en-US" w:eastAsia="zh-CN"/>
              </w:rPr>
              <w:t xml:space="preserve"> </w:t>
            </w:r>
            <w:r>
              <w:rPr>
                <w:spacing w:val="-3"/>
                <w:sz w:val="24"/>
                <w:szCs w:val="24"/>
              </w:rPr>
              <w:t>项目技术负</w:t>
            </w:r>
            <w:r>
              <w:rPr>
                <w:spacing w:val="-9"/>
                <w:sz w:val="24"/>
                <w:szCs w:val="24"/>
              </w:rPr>
              <w:t>责人</w:t>
            </w:r>
          </w:p>
        </w:tc>
        <w:tc>
          <w:tcPr>
            <w:tcW w:w="890" w:type="dxa"/>
            <w:vAlign w:val="top"/>
          </w:tcPr>
          <w:p w14:paraId="0575FDEE">
            <w:pPr>
              <w:spacing w:line="295" w:lineRule="auto"/>
              <w:rPr>
                <w:rFonts w:ascii="Arial"/>
                <w:sz w:val="21"/>
              </w:rPr>
            </w:pPr>
          </w:p>
          <w:p w14:paraId="7F193480">
            <w:pPr>
              <w:spacing w:line="296" w:lineRule="auto"/>
              <w:rPr>
                <w:rFonts w:ascii="Arial"/>
                <w:sz w:val="21"/>
              </w:rPr>
            </w:pPr>
          </w:p>
          <w:p w14:paraId="094409D1">
            <w:pPr>
              <w:pStyle w:val="14"/>
              <w:spacing w:before="78" w:line="241" w:lineRule="auto"/>
              <w:ind w:left="408"/>
              <w:rPr>
                <w:sz w:val="24"/>
                <w:szCs w:val="24"/>
              </w:rPr>
            </w:pPr>
            <w:r>
              <w:rPr>
                <w:sz w:val="24"/>
                <w:szCs w:val="24"/>
              </w:rPr>
              <w:t>1</w:t>
            </w:r>
          </w:p>
        </w:tc>
        <w:tc>
          <w:tcPr>
            <w:tcW w:w="4968" w:type="dxa"/>
            <w:vAlign w:val="top"/>
          </w:tcPr>
          <w:p w14:paraId="08AE81D2">
            <w:pPr>
              <w:spacing w:line="334" w:lineRule="auto"/>
              <w:rPr>
                <w:rFonts w:ascii="Arial"/>
                <w:sz w:val="21"/>
              </w:rPr>
            </w:pPr>
          </w:p>
          <w:p w14:paraId="46860004">
            <w:pPr>
              <w:pStyle w:val="14"/>
              <w:spacing w:before="78" w:line="340" w:lineRule="auto"/>
              <w:ind w:right="103"/>
              <w:rPr>
                <w:sz w:val="24"/>
                <w:szCs w:val="24"/>
              </w:rPr>
            </w:pPr>
            <w:r>
              <w:rPr>
                <w:rFonts w:hint="default"/>
                <w:spacing w:val="-3"/>
                <w:sz w:val="24"/>
                <w:szCs w:val="24"/>
                <w:lang w:val="en-US" w:eastAsia="zh-CN"/>
              </w:rPr>
              <w:t>具有工程</w:t>
            </w:r>
            <w:r>
              <w:rPr>
                <w:rFonts w:hint="eastAsia"/>
                <w:spacing w:val="-3"/>
                <w:sz w:val="24"/>
                <w:szCs w:val="24"/>
                <w:lang w:val="en-US" w:eastAsia="zh-CN"/>
              </w:rPr>
              <w:t>类</w:t>
            </w:r>
            <w:r>
              <w:rPr>
                <w:rFonts w:hint="default"/>
                <w:spacing w:val="-3"/>
                <w:sz w:val="24"/>
                <w:szCs w:val="24"/>
                <w:lang w:val="en-US" w:eastAsia="zh-CN"/>
              </w:rPr>
              <w:t>中级职称，具有交通行政主管部门颁发的有效的安全生产考核合格证书（B证）。</w:t>
            </w:r>
          </w:p>
        </w:tc>
        <w:tc>
          <w:tcPr>
            <w:tcW w:w="1786" w:type="dxa"/>
            <w:vMerge w:val="continue"/>
            <w:tcBorders>
              <w:top w:val="nil"/>
            </w:tcBorders>
            <w:vAlign w:val="top"/>
          </w:tcPr>
          <w:p w14:paraId="3A015470">
            <w:pPr>
              <w:rPr>
                <w:rFonts w:ascii="Arial"/>
                <w:sz w:val="21"/>
              </w:rPr>
            </w:pPr>
          </w:p>
        </w:tc>
      </w:tr>
    </w:tbl>
    <w:p w14:paraId="6E8BD3F7">
      <w:pPr>
        <w:spacing w:before="302" w:line="232" w:lineRule="auto"/>
        <w:ind w:left="118"/>
        <w:rPr>
          <w:rFonts w:ascii="宋体" w:hAnsi="宋体" w:eastAsia="宋体" w:cs="宋体"/>
          <w:sz w:val="20"/>
          <w:szCs w:val="20"/>
        </w:rPr>
      </w:pPr>
      <w:r>
        <w:rPr>
          <w:rFonts w:ascii="宋体" w:hAnsi="宋体" w:eastAsia="宋体" w:cs="宋体"/>
          <w:sz w:val="20"/>
          <w:szCs w:val="20"/>
        </w:rPr>
        <w:t>注：</w:t>
      </w:r>
    </w:p>
    <w:p w14:paraId="1F1329DA">
      <w:pPr>
        <w:spacing w:before="23" w:line="250" w:lineRule="auto"/>
        <w:ind w:left="123" w:right="113" w:firstLine="11"/>
        <w:rPr>
          <w:rFonts w:ascii="宋体" w:hAnsi="宋体" w:eastAsia="宋体" w:cs="宋体"/>
          <w:sz w:val="20"/>
          <w:szCs w:val="20"/>
        </w:rPr>
      </w:pPr>
      <w:r>
        <w:rPr>
          <w:rFonts w:ascii="宋体" w:hAnsi="宋体" w:eastAsia="宋体" w:cs="宋体"/>
          <w:spacing w:val="8"/>
          <w:sz w:val="20"/>
          <w:szCs w:val="20"/>
        </w:rPr>
        <w:t>1、资格要求的人员建造师注册证书、安全生产“三类人员</w:t>
      </w:r>
      <w:r>
        <w:rPr>
          <w:rFonts w:ascii="宋体" w:hAnsi="宋体" w:eastAsia="宋体" w:cs="宋体"/>
          <w:spacing w:val="-70"/>
          <w:sz w:val="20"/>
          <w:szCs w:val="20"/>
        </w:rPr>
        <w:t xml:space="preserve"> </w:t>
      </w:r>
      <w:r>
        <w:rPr>
          <w:rFonts w:ascii="宋体" w:hAnsi="宋体" w:eastAsia="宋体" w:cs="宋体"/>
          <w:spacing w:val="8"/>
          <w:sz w:val="20"/>
          <w:szCs w:val="20"/>
        </w:rPr>
        <w:t>”B</w:t>
      </w:r>
      <w:r>
        <w:rPr>
          <w:rFonts w:ascii="宋体" w:hAnsi="宋体" w:eastAsia="宋体" w:cs="宋体"/>
          <w:spacing w:val="-38"/>
          <w:sz w:val="20"/>
          <w:szCs w:val="20"/>
        </w:rPr>
        <w:t xml:space="preserve"> </w:t>
      </w:r>
      <w:r>
        <w:rPr>
          <w:rFonts w:ascii="宋体" w:hAnsi="宋体" w:eastAsia="宋体" w:cs="宋体"/>
          <w:spacing w:val="8"/>
          <w:sz w:val="20"/>
          <w:szCs w:val="20"/>
        </w:rPr>
        <w:t>类证书均应在投标人所在单</w:t>
      </w:r>
      <w:r>
        <w:rPr>
          <w:rFonts w:ascii="宋体" w:hAnsi="宋体" w:eastAsia="宋体" w:cs="宋体"/>
          <w:spacing w:val="7"/>
          <w:sz w:val="20"/>
          <w:szCs w:val="20"/>
        </w:rPr>
        <w:t>位（即证</w:t>
      </w:r>
      <w:r>
        <w:rPr>
          <w:rFonts w:ascii="宋体" w:hAnsi="宋体" w:eastAsia="宋体" w:cs="宋体"/>
          <w:spacing w:val="8"/>
          <w:sz w:val="20"/>
          <w:szCs w:val="20"/>
        </w:rPr>
        <w:t>书上单位名称应与投标人单位名称一致</w:t>
      </w:r>
      <w:r>
        <w:rPr>
          <w:rFonts w:ascii="宋体" w:hAnsi="宋体" w:eastAsia="宋体" w:cs="宋体"/>
          <w:spacing w:val="21"/>
          <w:sz w:val="20"/>
          <w:szCs w:val="20"/>
        </w:rPr>
        <w:t>），</w:t>
      </w:r>
      <w:r>
        <w:rPr>
          <w:rFonts w:ascii="宋体" w:hAnsi="宋体" w:eastAsia="宋体" w:cs="宋体"/>
          <w:spacing w:val="8"/>
          <w:sz w:val="20"/>
          <w:szCs w:val="20"/>
        </w:rPr>
        <w:t>否则视为无效。</w:t>
      </w:r>
    </w:p>
    <w:p w14:paraId="6B3F5509">
      <w:pPr>
        <w:spacing w:before="1" w:line="252" w:lineRule="auto"/>
        <w:ind w:left="121" w:right="113"/>
        <w:rPr>
          <w:rFonts w:ascii="宋体" w:hAnsi="宋体" w:eastAsia="宋体" w:cs="宋体"/>
          <w:sz w:val="20"/>
          <w:szCs w:val="20"/>
        </w:rPr>
      </w:pPr>
      <w:r>
        <w:rPr>
          <w:rFonts w:ascii="宋体" w:hAnsi="宋体" w:eastAsia="宋体" w:cs="宋体"/>
          <w:spacing w:val="3"/>
          <w:sz w:val="20"/>
          <w:szCs w:val="20"/>
        </w:rPr>
        <w:t>2、主管技术工作指：担任过项目负责人（项目经理）、分管生产的项目副经理、项目技术负责人（总</w:t>
      </w:r>
      <w:r>
        <w:rPr>
          <w:rFonts w:ascii="宋体" w:hAnsi="宋体" w:eastAsia="宋体" w:cs="宋体"/>
          <w:spacing w:val="9"/>
          <w:sz w:val="20"/>
          <w:szCs w:val="20"/>
        </w:rPr>
        <w:t>工程师）、技术部门主要负责人、工程部门主要负责人。</w:t>
      </w:r>
    </w:p>
    <w:p w14:paraId="23035BA8">
      <w:pPr>
        <w:spacing w:before="1" w:line="226" w:lineRule="auto"/>
        <w:ind w:left="123"/>
        <w:rPr>
          <w:rFonts w:ascii="宋体" w:hAnsi="宋体" w:eastAsia="宋体" w:cs="宋体"/>
          <w:sz w:val="20"/>
          <w:szCs w:val="20"/>
        </w:rPr>
      </w:pPr>
      <w:r>
        <w:rPr>
          <w:rFonts w:ascii="宋体" w:hAnsi="宋体" w:eastAsia="宋体" w:cs="宋体"/>
          <w:spacing w:val="7"/>
          <w:sz w:val="20"/>
          <w:szCs w:val="20"/>
        </w:rPr>
        <w:t>3、投标人应根据招标文件第二章“投标人须知</w:t>
      </w:r>
      <w:r>
        <w:rPr>
          <w:rFonts w:ascii="宋体" w:hAnsi="宋体" w:eastAsia="宋体" w:cs="宋体"/>
          <w:spacing w:val="-58"/>
          <w:sz w:val="20"/>
          <w:szCs w:val="20"/>
        </w:rPr>
        <w:t xml:space="preserve"> </w:t>
      </w:r>
      <w:r>
        <w:rPr>
          <w:rFonts w:ascii="宋体" w:hAnsi="宋体" w:eastAsia="宋体" w:cs="宋体"/>
          <w:spacing w:val="7"/>
          <w:sz w:val="20"/>
          <w:szCs w:val="20"/>
        </w:rPr>
        <w:t>”第</w:t>
      </w:r>
      <w:r>
        <w:rPr>
          <w:rFonts w:ascii="宋体" w:hAnsi="宋体" w:eastAsia="宋体" w:cs="宋体"/>
          <w:spacing w:val="-36"/>
          <w:sz w:val="20"/>
          <w:szCs w:val="20"/>
        </w:rPr>
        <w:t xml:space="preserve"> </w:t>
      </w:r>
      <w:r>
        <w:rPr>
          <w:rFonts w:ascii="宋体" w:hAnsi="宋体" w:eastAsia="宋体" w:cs="宋体"/>
          <w:spacing w:val="7"/>
          <w:sz w:val="20"/>
          <w:szCs w:val="20"/>
        </w:rPr>
        <w:t>3.5.5</w:t>
      </w:r>
      <w:r>
        <w:rPr>
          <w:rFonts w:ascii="宋体" w:hAnsi="宋体" w:eastAsia="宋体" w:cs="宋体"/>
          <w:spacing w:val="-34"/>
          <w:sz w:val="20"/>
          <w:szCs w:val="20"/>
        </w:rPr>
        <w:t xml:space="preserve"> </w:t>
      </w:r>
      <w:r>
        <w:rPr>
          <w:rFonts w:ascii="宋体" w:hAnsi="宋体" w:eastAsia="宋体" w:cs="宋体"/>
          <w:spacing w:val="7"/>
          <w:sz w:val="20"/>
          <w:szCs w:val="20"/>
        </w:rPr>
        <w:t>项的要求附相关证明材料。</w:t>
      </w:r>
    </w:p>
    <w:p w14:paraId="4CDBBDCB">
      <w:pPr>
        <w:spacing w:line="248" w:lineRule="auto"/>
        <w:rPr>
          <w:rFonts w:ascii="Arial"/>
          <w:sz w:val="21"/>
        </w:rPr>
      </w:pPr>
    </w:p>
    <w:p w14:paraId="59DE66A1">
      <w:pPr>
        <w:spacing w:line="248" w:lineRule="auto"/>
        <w:rPr>
          <w:rFonts w:ascii="Arial"/>
          <w:sz w:val="21"/>
        </w:rPr>
      </w:pPr>
    </w:p>
    <w:p w14:paraId="036BD34B">
      <w:pPr>
        <w:spacing w:line="248" w:lineRule="auto"/>
        <w:rPr>
          <w:rFonts w:ascii="Arial"/>
          <w:sz w:val="21"/>
        </w:rPr>
      </w:pPr>
    </w:p>
    <w:p w14:paraId="7FB35B42">
      <w:pPr>
        <w:spacing w:line="248" w:lineRule="auto"/>
        <w:rPr>
          <w:rFonts w:ascii="Arial"/>
          <w:sz w:val="21"/>
        </w:rPr>
      </w:pPr>
    </w:p>
    <w:p w14:paraId="381195A4">
      <w:pPr>
        <w:spacing w:line="248" w:lineRule="auto"/>
        <w:rPr>
          <w:rFonts w:ascii="Arial"/>
          <w:sz w:val="21"/>
        </w:rPr>
      </w:pPr>
    </w:p>
    <w:p w14:paraId="0D1140A4">
      <w:pPr>
        <w:spacing w:line="248" w:lineRule="auto"/>
        <w:rPr>
          <w:rFonts w:ascii="Arial"/>
          <w:sz w:val="21"/>
        </w:rPr>
      </w:pPr>
    </w:p>
    <w:p w14:paraId="288059B9">
      <w:pPr>
        <w:spacing w:line="248" w:lineRule="auto"/>
        <w:rPr>
          <w:rFonts w:ascii="Arial"/>
          <w:sz w:val="21"/>
        </w:rPr>
      </w:pPr>
    </w:p>
    <w:p w14:paraId="12045213">
      <w:pPr>
        <w:spacing w:line="248" w:lineRule="auto"/>
        <w:rPr>
          <w:rFonts w:ascii="Arial"/>
          <w:sz w:val="21"/>
        </w:rPr>
      </w:pPr>
    </w:p>
    <w:p w14:paraId="24EB2337">
      <w:pPr>
        <w:spacing w:line="352" w:lineRule="auto"/>
        <w:rPr>
          <w:rFonts w:ascii="Arial"/>
          <w:sz w:val="21"/>
        </w:rPr>
      </w:pPr>
    </w:p>
    <w:p w14:paraId="2D646E0E">
      <w:pPr>
        <w:spacing w:before="91" w:line="544" w:lineRule="exact"/>
        <w:ind w:left="1976"/>
        <w:rPr>
          <w:rFonts w:ascii="宋体" w:hAnsi="宋体" w:eastAsia="宋体" w:cs="宋体"/>
          <w:sz w:val="12"/>
          <w:szCs w:val="12"/>
        </w:rPr>
      </w:pPr>
      <w:r>
        <w:rPr>
          <w:rFonts w:ascii="宋体" w:hAnsi="宋体" w:eastAsia="宋体" w:cs="宋体"/>
          <w:b/>
          <w:bCs/>
          <w:spacing w:val="-4"/>
          <w:position w:val="6"/>
          <w:sz w:val="28"/>
          <w:szCs w:val="28"/>
        </w:rPr>
        <w:t>附录</w:t>
      </w:r>
      <w:r>
        <w:rPr>
          <w:rFonts w:ascii="宋体" w:hAnsi="宋体" w:eastAsia="宋体" w:cs="宋体"/>
          <w:spacing w:val="-50"/>
          <w:position w:val="6"/>
          <w:sz w:val="28"/>
          <w:szCs w:val="28"/>
        </w:rPr>
        <w:t xml:space="preserve"> </w:t>
      </w:r>
      <w:r>
        <w:rPr>
          <w:rFonts w:hint="eastAsia" w:ascii="宋体" w:hAnsi="宋体" w:eastAsia="宋体" w:cs="宋体"/>
          <w:b/>
          <w:bCs/>
          <w:spacing w:val="-4"/>
          <w:position w:val="6"/>
          <w:sz w:val="28"/>
          <w:szCs w:val="28"/>
          <w:lang w:val="en-US" w:eastAsia="zh-CN"/>
        </w:rPr>
        <w:t>5</w:t>
      </w:r>
      <w:r>
        <w:rPr>
          <w:rFonts w:ascii="宋体" w:hAnsi="宋体" w:eastAsia="宋体" w:cs="宋体"/>
          <w:spacing w:val="-4"/>
          <w:position w:val="6"/>
          <w:sz w:val="28"/>
          <w:szCs w:val="28"/>
        </w:rPr>
        <w:t xml:space="preserve"> </w:t>
      </w:r>
      <w:r>
        <w:rPr>
          <w:rFonts w:ascii="宋体" w:hAnsi="宋体" w:eastAsia="宋体" w:cs="宋体"/>
          <w:b/>
          <w:bCs/>
          <w:spacing w:val="-4"/>
          <w:position w:val="6"/>
          <w:sz w:val="28"/>
          <w:szCs w:val="28"/>
        </w:rPr>
        <w:t>资格审查条件（主要设备最低要求）</w:t>
      </w:r>
    </w:p>
    <w:p w14:paraId="76E38A2C">
      <w:pPr>
        <w:spacing w:line="167" w:lineRule="exact"/>
      </w:pPr>
    </w:p>
    <w:tbl>
      <w:tblPr>
        <w:tblStyle w:val="13"/>
        <w:tblW w:w="95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2"/>
        <w:gridCol w:w="1840"/>
        <w:gridCol w:w="2549"/>
        <w:gridCol w:w="990"/>
        <w:gridCol w:w="994"/>
        <w:gridCol w:w="2230"/>
      </w:tblGrid>
      <w:tr w14:paraId="22687C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952" w:type="dxa"/>
            <w:vAlign w:val="top"/>
          </w:tcPr>
          <w:p w14:paraId="48E47EF6">
            <w:pPr>
              <w:rPr>
                <w:rFonts w:ascii="Arial"/>
                <w:sz w:val="21"/>
              </w:rPr>
            </w:pPr>
          </w:p>
          <w:p w14:paraId="2A96E477">
            <w:pPr>
              <w:pStyle w:val="14"/>
              <w:spacing w:before="78" w:line="221" w:lineRule="auto"/>
              <w:ind w:left="243"/>
              <w:rPr>
                <w:sz w:val="24"/>
                <w:szCs w:val="24"/>
              </w:rPr>
            </w:pPr>
            <w:r>
              <w:rPr>
                <w:spacing w:val="-5"/>
                <w:sz w:val="24"/>
                <w:szCs w:val="24"/>
              </w:rPr>
              <w:t>序号</w:t>
            </w:r>
          </w:p>
        </w:tc>
        <w:tc>
          <w:tcPr>
            <w:tcW w:w="1840" w:type="dxa"/>
            <w:vAlign w:val="top"/>
          </w:tcPr>
          <w:p w14:paraId="55B165EB">
            <w:pPr>
              <w:rPr>
                <w:rFonts w:ascii="Arial"/>
                <w:sz w:val="21"/>
              </w:rPr>
            </w:pPr>
          </w:p>
          <w:p w14:paraId="2027DAFF">
            <w:pPr>
              <w:pStyle w:val="14"/>
              <w:spacing w:before="78" w:line="221" w:lineRule="auto"/>
              <w:ind w:left="447"/>
              <w:rPr>
                <w:sz w:val="24"/>
                <w:szCs w:val="24"/>
              </w:rPr>
            </w:pPr>
            <w:r>
              <w:rPr>
                <w:spacing w:val="-4"/>
                <w:sz w:val="24"/>
                <w:szCs w:val="24"/>
              </w:rPr>
              <w:t>设备名称</w:t>
            </w:r>
          </w:p>
        </w:tc>
        <w:tc>
          <w:tcPr>
            <w:tcW w:w="2549" w:type="dxa"/>
            <w:vAlign w:val="top"/>
          </w:tcPr>
          <w:p w14:paraId="4417EE6A">
            <w:pPr>
              <w:pStyle w:val="14"/>
              <w:spacing w:before="300" w:line="235" w:lineRule="auto"/>
              <w:ind w:left="982"/>
              <w:rPr>
                <w:sz w:val="12"/>
                <w:szCs w:val="12"/>
              </w:rPr>
            </w:pPr>
            <w:r>
              <w:rPr>
                <w:spacing w:val="-5"/>
                <w:position w:val="-1"/>
                <w:sz w:val="24"/>
                <w:szCs w:val="24"/>
              </w:rPr>
              <w:t>指标</w:t>
            </w:r>
            <w:r>
              <w:fldChar w:fldCharType="begin"/>
            </w:r>
            <w:r>
              <w:instrText xml:space="preserve"> HYPERLINK \l "bookmark108" </w:instrText>
            </w:r>
            <w:r>
              <w:fldChar w:fldCharType="separate"/>
            </w:r>
            <w:r>
              <w:rPr>
                <w:spacing w:val="-5"/>
                <w:position w:val="10"/>
                <w:sz w:val="12"/>
                <w:szCs w:val="12"/>
              </w:rPr>
              <w:t>②</w:t>
            </w:r>
            <w:r>
              <w:rPr>
                <w:spacing w:val="-5"/>
                <w:position w:val="10"/>
                <w:sz w:val="12"/>
                <w:szCs w:val="12"/>
              </w:rPr>
              <w:fldChar w:fldCharType="end"/>
            </w:r>
          </w:p>
        </w:tc>
        <w:tc>
          <w:tcPr>
            <w:tcW w:w="990" w:type="dxa"/>
            <w:vAlign w:val="top"/>
          </w:tcPr>
          <w:p w14:paraId="034058BA">
            <w:pPr>
              <w:rPr>
                <w:rFonts w:ascii="Arial"/>
                <w:sz w:val="21"/>
              </w:rPr>
            </w:pPr>
          </w:p>
          <w:p w14:paraId="40E43EAA">
            <w:pPr>
              <w:pStyle w:val="14"/>
              <w:spacing w:before="78" w:line="220" w:lineRule="auto"/>
              <w:ind w:left="264"/>
              <w:rPr>
                <w:sz w:val="24"/>
                <w:szCs w:val="24"/>
              </w:rPr>
            </w:pPr>
            <w:r>
              <w:rPr>
                <w:spacing w:val="-6"/>
                <w:sz w:val="24"/>
                <w:szCs w:val="24"/>
              </w:rPr>
              <w:t>单位</w:t>
            </w:r>
          </w:p>
        </w:tc>
        <w:tc>
          <w:tcPr>
            <w:tcW w:w="994" w:type="dxa"/>
            <w:vAlign w:val="top"/>
          </w:tcPr>
          <w:p w14:paraId="03C406F1">
            <w:pPr>
              <w:pStyle w:val="14"/>
              <w:spacing w:before="121" w:line="219" w:lineRule="auto"/>
              <w:ind w:left="268"/>
              <w:rPr>
                <w:sz w:val="24"/>
                <w:szCs w:val="24"/>
              </w:rPr>
            </w:pPr>
            <w:r>
              <w:rPr>
                <w:spacing w:val="-7"/>
                <w:sz w:val="24"/>
                <w:szCs w:val="24"/>
              </w:rPr>
              <w:t>最低</w:t>
            </w:r>
          </w:p>
          <w:p w14:paraId="294BBFA0">
            <w:pPr>
              <w:pStyle w:val="14"/>
              <w:spacing w:before="113" w:line="215" w:lineRule="auto"/>
              <w:ind w:left="267"/>
              <w:rPr>
                <w:sz w:val="24"/>
                <w:szCs w:val="24"/>
              </w:rPr>
            </w:pPr>
            <w:r>
              <w:rPr>
                <w:spacing w:val="-6"/>
                <w:sz w:val="24"/>
                <w:szCs w:val="24"/>
              </w:rPr>
              <w:t>数量</w:t>
            </w:r>
          </w:p>
        </w:tc>
        <w:tc>
          <w:tcPr>
            <w:tcW w:w="2230" w:type="dxa"/>
            <w:vAlign w:val="top"/>
          </w:tcPr>
          <w:p w14:paraId="484FC387">
            <w:pPr>
              <w:rPr>
                <w:rFonts w:ascii="Arial"/>
                <w:sz w:val="21"/>
              </w:rPr>
            </w:pPr>
          </w:p>
          <w:p w14:paraId="19FAB2ED">
            <w:pPr>
              <w:pStyle w:val="14"/>
              <w:spacing w:before="78" w:line="221" w:lineRule="auto"/>
              <w:ind w:left="885"/>
              <w:rPr>
                <w:sz w:val="24"/>
                <w:szCs w:val="24"/>
              </w:rPr>
            </w:pPr>
            <w:r>
              <w:rPr>
                <w:spacing w:val="-7"/>
                <w:sz w:val="24"/>
                <w:szCs w:val="24"/>
              </w:rPr>
              <w:t>备注</w:t>
            </w:r>
          </w:p>
        </w:tc>
      </w:tr>
      <w:tr w14:paraId="60ED86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952" w:type="dxa"/>
            <w:vAlign w:val="top"/>
          </w:tcPr>
          <w:p w14:paraId="2F3C1A33">
            <w:pPr>
              <w:pStyle w:val="14"/>
              <w:spacing w:before="314" w:line="241" w:lineRule="auto"/>
              <w:ind w:left="441"/>
              <w:rPr>
                <w:sz w:val="24"/>
                <w:szCs w:val="24"/>
              </w:rPr>
            </w:pPr>
            <w:r>
              <w:rPr>
                <w:sz w:val="24"/>
                <w:szCs w:val="24"/>
              </w:rPr>
              <w:t>1</w:t>
            </w:r>
          </w:p>
        </w:tc>
        <w:tc>
          <w:tcPr>
            <w:tcW w:w="1840" w:type="dxa"/>
            <w:vAlign w:val="center"/>
          </w:tcPr>
          <w:p w14:paraId="4F034371">
            <w:pPr>
              <w:keepNext w:val="0"/>
              <w:keepLines w:val="0"/>
              <w:suppressLineNumbers w:val="0"/>
              <w:spacing w:before="0" w:beforeAutospacing="0" w:after="0" w:afterAutospacing="0" w:line="240" w:lineRule="auto"/>
              <w:ind w:left="0" w:leftChars="0" w:right="0" w:rightChars="0"/>
              <w:jc w:val="center"/>
              <w:rPr>
                <w:sz w:val="24"/>
                <w:szCs w:val="24"/>
              </w:rPr>
            </w:pPr>
            <w:r>
              <w:rPr>
                <w:rStyle w:val="15"/>
                <w:rFonts w:cs="Times New Roman"/>
                <w:color w:val="auto"/>
                <w:sz w:val="21"/>
                <w:szCs w:val="21"/>
                <w:highlight w:val="none"/>
              </w:rPr>
              <w:t>耙吸式挖泥船</w:t>
            </w:r>
          </w:p>
        </w:tc>
        <w:tc>
          <w:tcPr>
            <w:tcW w:w="2549" w:type="dxa"/>
            <w:vAlign w:val="center"/>
          </w:tcPr>
          <w:p w14:paraId="5AAFC2B3">
            <w:pPr>
              <w:keepNext w:val="0"/>
              <w:keepLines w:val="0"/>
              <w:suppressLineNumbers w:val="0"/>
              <w:spacing w:before="0" w:beforeAutospacing="0" w:after="0" w:afterAutospacing="0" w:line="240" w:lineRule="auto"/>
              <w:ind w:left="0" w:leftChars="0" w:right="0" w:rightChars="0"/>
              <w:jc w:val="center"/>
              <w:rPr>
                <w:sz w:val="24"/>
                <w:szCs w:val="24"/>
              </w:rPr>
            </w:pPr>
            <w:r>
              <w:rPr>
                <w:rStyle w:val="15"/>
                <w:rFonts w:cs="Times New Roman"/>
                <w:color w:val="auto"/>
                <w:sz w:val="21"/>
                <w:szCs w:val="21"/>
                <w:highlight w:val="none"/>
              </w:rPr>
              <w:t>舱容≥2000 立方米</w:t>
            </w:r>
          </w:p>
        </w:tc>
        <w:tc>
          <w:tcPr>
            <w:tcW w:w="990" w:type="dxa"/>
            <w:vAlign w:val="center"/>
          </w:tcPr>
          <w:p w14:paraId="5D6ED9AB">
            <w:pPr>
              <w:keepNext w:val="0"/>
              <w:keepLines w:val="0"/>
              <w:suppressLineNumbers w:val="0"/>
              <w:spacing w:before="0" w:beforeAutospacing="0" w:after="0" w:afterAutospacing="0" w:line="240" w:lineRule="auto"/>
              <w:ind w:left="0" w:leftChars="0" w:right="0" w:rightChars="0"/>
              <w:jc w:val="center"/>
              <w:rPr>
                <w:sz w:val="24"/>
                <w:szCs w:val="24"/>
              </w:rPr>
            </w:pPr>
            <w:r>
              <w:rPr>
                <w:rFonts w:hint="default" w:ascii="宋体" w:hAnsi="宋体" w:cs="Times New Roman"/>
                <w:color w:val="auto"/>
                <w:szCs w:val="21"/>
                <w:highlight w:val="none"/>
              </w:rPr>
              <w:t>艘</w:t>
            </w:r>
          </w:p>
        </w:tc>
        <w:tc>
          <w:tcPr>
            <w:tcW w:w="994" w:type="dxa"/>
            <w:vAlign w:val="center"/>
          </w:tcPr>
          <w:p w14:paraId="7B8EA09D">
            <w:pPr>
              <w:keepNext w:val="0"/>
              <w:keepLines w:val="0"/>
              <w:suppressLineNumbers w:val="0"/>
              <w:spacing w:before="0" w:beforeAutospacing="0" w:after="0" w:afterAutospacing="0" w:line="240" w:lineRule="auto"/>
              <w:ind w:left="0" w:leftChars="0" w:right="0" w:rightChars="0"/>
              <w:jc w:val="center"/>
              <w:rPr>
                <w:rFonts w:ascii="Arial"/>
                <w:sz w:val="21"/>
              </w:rPr>
            </w:pPr>
            <w:r>
              <w:rPr>
                <w:rFonts w:hint="eastAsia" w:ascii="宋体" w:hAnsi="宋体" w:cs="Times New Roman"/>
                <w:color w:val="auto"/>
                <w:szCs w:val="21"/>
                <w:highlight w:val="none"/>
                <w:lang w:val="en-US" w:eastAsia="zh-CN"/>
              </w:rPr>
              <w:t>1</w:t>
            </w:r>
          </w:p>
        </w:tc>
        <w:tc>
          <w:tcPr>
            <w:tcW w:w="2230" w:type="dxa"/>
            <w:vAlign w:val="top"/>
          </w:tcPr>
          <w:p w14:paraId="4215CE5A">
            <w:pPr>
              <w:pStyle w:val="14"/>
              <w:spacing w:before="115" w:line="261" w:lineRule="auto"/>
              <w:ind w:left="166" w:right="12" w:hanging="1"/>
              <w:rPr>
                <w:sz w:val="24"/>
                <w:szCs w:val="24"/>
              </w:rPr>
            </w:pPr>
          </w:p>
        </w:tc>
      </w:tr>
      <w:tr w14:paraId="276F0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52" w:type="dxa"/>
            <w:vAlign w:val="top"/>
          </w:tcPr>
          <w:p w14:paraId="31308440">
            <w:pPr>
              <w:pStyle w:val="14"/>
              <w:spacing w:before="199" w:line="241" w:lineRule="auto"/>
              <w:ind w:left="426"/>
              <w:rPr>
                <w:sz w:val="24"/>
                <w:szCs w:val="24"/>
              </w:rPr>
            </w:pPr>
            <w:r>
              <w:rPr>
                <w:sz w:val="24"/>
                <w:szCs w:val="24"/>
              </w:rPr>
              <w:t>2</w:t>
            </w:r>
          </w:p>
        </w:tc>
        <w:tc>
          <w:tcPr>
            <w:tcW w:w="1840" w:type="dxa"/>
            <w:vAlign w:val="center"/>
          </w:tcPr>
          <w:p w14:paraId="5264747C">
            <w:pPr>
              <w:keepNext w:val="0"/>
              <w:keepLines w:val="0"/>
              <w:suppressLineNumbers w:val="0"/>
              <w:spacing w:before="0" w:beforeAutospacing="0" w:after="0" w:afterAutospacing="0" w:line="240" w:lineRule="auto"/>
              <w:ind w:left="0" w:leftChars="0" w:right="0" w:rightChars="0"/>
              <w:jc w:val="center"/>
              <w:rPr>
                <w:sz w:val="24"/>
                <w:szCs w:val="24"/>
              </w:rPr>
            </w:pPr>
            <w:r>
              <w:rPr>
                <w:rStyle w:val="15"/>
                <w:rFonts w:cs="Times New Roman"/>
                <w:color w:val="auto"/>
                <w:sz w:val="21"/>
                <w:szCs w:val="21"/>
                <w:highlight w:val="none"/>
              </w:rPr>
              <w:t>挖泥船</w:t>
            </w:r>
          </w:p>
        </w:tc>
        <w:tc>
          <w:tcPr>
            <w:tcW w:w="2549" w:type="dxa"/>
            <w:vAlign w:val="center"/>
          </w:tcPr>
          <w:p w14:paraId="69ADE7A0">
            <w:pPr>
              <w:keepNext w:val="0"/>
              <w:keepLines w:val="0"/>
              <w:suppressLineNumbers w:val="0"/>
              <w:spacing w:before="0" w:beforeAutospacing="0" w:after="0" w:afterAutospacing="0" w:line="240" w:lineRule="auto"/>
              <w:ind w:left="0" w:leftChars="0" w:right="0" w:rightChars="0"/>
              <w:jc w:val="center"/>
              <w:rPr>
                <w:sz w:val="24"/>
                <w:szCs w:val="24"/>
              </w:rPr>
            </w:pPr>
            <w:r>
              <w:rPr>
                <w:rStyle w:val="15"/>
                <w:rFonts w:cs="Times New Roman"/>
                <w:color w:val="auto"/>
                <w:sz w:val="21"/>
                <w:szCs w:val="21"/>
                <w:highlight w:val="none"/>
              </w:rPr>
              <w:t>斗容≥8 立方米</w:t>
            </w:r>
          </w:p>
        </w:tc>
        <w:tc>
          <w:tcPr>
            <w:tcW w:w="990" w:type="dxa"/>
            <w:vAlign w:val="center"/>
          </w:tcPr>
          <w:p w14:paraId="71E04C73">
            <w:pPr>
              <w:keepNext w:val="0"/>
              <w:keepLines w:val="0"/>
              <w:suppressLineNumbers w:val="0"/>
              <w:spacing w:before="0" w:beforeAutospacing="0" w:after="0" w:afterAutospacing="0" w:line="240" w:lineRule="auto"/>
              <w:ind w:left="0" w:leftChars="0" w:right="0" w:rightChars="0"/>
              <w:jc w:val="center"/>
              <w:rPr>
                <w:sz w:val="24"/>
                <w:szCs w:val="24"/>
              </w:rPr>
            </w:pPr>
            <w:r>
              <w:rPr>
                <w:rFonts w:hint="default" w:ascii="宋体" w:hAnsi="宋体" w:cs="Times New Roman"/>
                <w:color w:val="auto"/>
                <w:szCs w:val="21"/>
                <w:highlight w:val="none"/>
              </w:rPr>
              <w:t>艘</w:t>
            </w:r>
          </w:p>
        </w:tc>
        <w:tc>
          <w:tcPr>
            <w:tcW w:w="994" w:type="dxa"/>
            <w:vAlign w:val="center"/>
          </w:tcPr>
          <w:p w14:paraId="56778D12">
            <w:pPr>
              <w:keepNext w:val="0"/>
              <w:keepLines w:val="0"/>
              <w:suppressLineNumbers w:val="0"/>
              <w:spacing w:before="0" w:beforeAutospacing="0" w:after="0" w:afterAutospacing="0" w:line="240" w:lineRule="auto"/>
              <w:ind w:left="0" w:leftChars="0" w:right="0" w:rightChars="0"/>
              <w:jc w:val="center"/>
              <w:rPr>
                <w:rFonts w:ascii="Arial"/>
                <w:sz w:val="21"/>
              </w:rPr>
            </w:pPr>
            <w:r>
              <w:rPr>
                <w:rFonts w:hint="eastAsia" w:ascii="宋体" w:hAnsi="宋体" w:cs="Times New Roman"/>
                <w:color w:val="auto"/>
                <w:szCs w:val="21"/>
                <w:highlight w:val="none"/>
                <w:lang w:val="en-US" w:eastAsia="zh-CN"/>
              </w:rPr>
              <w:t>1</w:t>
            </w:r>
          </w:p>
        </w:tc>
        <w:tc>
          <w:tcPr>
            <w:tcW w:w="2230" w:type="dxa"/>
            <w:vAlign w:val="top"/>
          </w:tcPr>
          <w:p w14:paraId="24D5FA38">
            <w:pPr>
              <w:rPr>
                <w:rFonts w:ascii="Arial"/>
                <w:sz w:val="21"/>
              </w:rPr>
            </w:pPr>
          </w:p>
        </w:tc>
      </w:tr>
      <w:tr w14:paraId="6FF1C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52" w:type="dxa"/>
            <w:vAlign w:val="top"/>
          </w:tcPr>
          <w:p w14:paraId="180FEF0B">
            <w:pPr>
              <w:pStyle w:val="14"/>
              <w:spacing w:before="201"/>
              <w:ind w:left="428"/>
              <w:rPr>
                <w:sz w:val="24"/>
                <w:szCs w:val="24"/>
              </w:rPr>
            </w:pPr>
          </w:p>
        </w:tc>
        <w:tc>
          <w:tcPr>
            <w:tcW w:w="1840" w:type="dxa"/>
            <w:vAlign w:val="top"/>
          </w:tcPr>
          <w:p w14:paraId="751E2614">
            <w:pPr>
              <w:pStyle w:val="14"/>
              <w:spacing w:before="201" w:line="220" w:lineRule="auto"/>
              <w:ind w:left="206"/>
              <w:rPr>
                <w:sz w:val="24"/>
                <w:szCs w:val="24"/>
              </w:rPr>
            </w:pPr>
          </w:p>
        </w:tc>
        <w:tc>
          <w:tcPr>
            <w:tcW w:w="2549" w:type="dxa"/>
            <w:vAlign w:val="top"/>
          </w:tcPr>
          <w:p w14:paraId="11262A55">
            <w:pPr>
              <w:pStyle w:val="14"/>
              <w:spacing w:before="201" w:line="219" w:lineRule="auto"/>
              <w:ind w:left="206"/>
              <w:rPr>
                <w:sz w:val="24"/>
                <w:szCs w:val="24"/>
              </w:rPr>
            </w:pPr>
          </w:p>
        </w:tc>
        <w:tc>
          <w:tcPr>
            <w:tcW w:w="990" w:type="dxa"/>
            <w:vAlign w:val="top"/>
          </w:tcPr>
          <w:p w14:paraId="130F7A57">
            <w:pPr>
              <w:pStyle w:val="14"/>
              <w:spacing w:before="201" w:line="220" w:lineRule="auto"/>
              <w:ind w:left="381"/>
              <w:rPr>
                <w:sz w:val="24"/>
                <w:szCs w:val="24"/>
              </w:rPr>
            </w:pPr>
          </w:p>
        </w:tc>
        <w:tc>
          <w:tcPr>
            <w:tcW w:w="994" w:type="dxa"/>
            <w:vAlign w:val="top"/>
          </w:tcPr>
          <w:p w14:paraId="1C15E08B">
            <w:pPr>
              <w:rPr>
                <w:rFonts w:ascii="Arial"/>
                <w:sz w:val="21"/>
              </w:rPr>
            </w:pPr>
          </w:p>
        </w:tc>
        <w:tc>
          <w:tcPr>
            <w:tcW w:w="2230" w:type="dxa"/>
            <w:vAlign w:val="top"/>
          </w:tcPr>
          <w:p w14:paraId="664E67C2">
            <w:pPr>
              <w:rPr>
                <w:rFonts w:ascii="Arial"/>
                <w:sz w:val="21"/>
              </w:rPr>
            </w:pPr>
          </w:p>
        </w:tc>
      </w:tr>
      <w:tr w14:paraId="09A70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52" w:type="dxa"/>
            <w:vAlign w:val="top"/>
          </w:tcPr>
          <w:p w14:paraId="7C71DECF">
            <w:pPr>
              <w:pStyle w:val="14"/>
              <w:spacing w:before="201" w:line="241" w:lineRule="auto"/>
              <w:ind w:left="423"/>
              <w:rPr>
                <w:sz w:val="24"/>
                <w:szCs w:val="24"/>
              </w:rPr>
            </w:pPr>
          </w:p>
        </w:tc>
        <w:tc>
          <w:tcPr>
            <w:tcW w:w="1840" w:type="dxa"/>
            <w:vAlign w:val="top"/>
          </w:tcPr>
          <w:p w14:paraId="0B6640E6">
            <w:pPr>
              <w:pStyle w:val="14"/>
              <w:spacing w:before="202" w:line="221" w:lineRule="auto"/>
              <w:ind w:left="562"/>
              <w:rPr>
                <w:sz w:val="24"/>
                <w:szCs w:val="24"/>
              </w:rPr>
            </w:pPr>
          </w:p>
        </w:tc>
        <w:tc>
          <w:tcPr>
            <w:tcW w:w="2549" w:type="dxa"/>
            <w:vAlign w:val="top"/>
          </w:tcPr>
          <w:p w14:paraId="1F941466">
            <w:pPr>
              <w:pStyle w:val="14"/>
              <w:spacing w:before="202" w:line="219" w:lineRule="auto"/>
              <w:ind w:left="476"/>
              <w:rPr>
                <w:sz w:val="24"/>
                <w:szCs w:val="24"/>
              </w:rPr>
            </w:pPr>
          </w:p>
        </w:tc>
        <w:tc>
          <w:tcPr>
            <w:tcW w:w="990" w:type="dxa"/>
            <w:vAlign w:val="top"/>
          </w:tcPr>
          <w:p w14:paraId="07126BA9">
            <w:pPr>
              <w:pStyle w:val="14"/>
              <w:spacing w:before="201" w:line="220" w:lineRule="auto"/>
              <w:ind w:left="381"/>
              <w:rPr>
                <w:sz w:val="24"/>
                <w:szCs w:val="24"/>
              </w:rPr>
            </w:pPr>
          </w:p>
        </w:tc>
        <w:tc>
          <w:tcPr>
            <w:tcW w:w="994" w:type="dxa"/>
            <w:vAlign w:val="top"/>
          </w:tcPr>
          <w:p w14:paraId="324072CB">
            <w:pPr>
              <w:rPr>
                <w:rFonts w:ascii="Arial"/>
                <w:sz w:val="21"/>
              </w:rPr>
            </w:pPr>
          </w:p>
        </w:tc>
        <w:tc>
          <w:tcPr>
            <w:tcW w:w="2230" w:type="dxa"/>
            <w:vAlign w:val="top"/>
          </w:tcPr>
          <w:p w14:paraId="2F21611F">
            <w:pPr>
              <w:rPr>
                <w:rFonts w:ascii="Arial"/>
                <w:sz w:val="21"/>
              </w:rPr>
            </w:pPr>
          </w:p>
        </w:tc>
      </w:tr>
      <w:tr w14:paraId="7E969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52" w:type="dxa"/>
            <w:vAlign w:val="top"/>
          </w:tcPr>
          <w:p w14:paraId="5B249A55">
            <w:pPr>
              <w:pStyle w:val="14"/>
              <w:spacing w:before="201" w:line="360" w:lineRule="exact"/>
              <w:ind w:left="379"/>
              <w:rPr>
                <w:sz w:val="24"/>
                <w:szCs w:val="24"/>
              </w:rPr>
            </w:pPr>
          </w:p>
        </w:tc>
        <w:tc>
          <w:tcPr>
            <w:tcW w:w="1840" w:type="dxa"/>
            <w:vAlign w:val="top"/>
          </w:tcPr>
          <w:p w14:paraId="00CC81AF">
            <w:pPr>
              <w:pStyle w:val="14"/>
              <w:spacing w:before="201" w:line="360" w:lineRule="exact"/>
              <w:ind w:left="819"/>
              <w:rPr>
                <w:sz w:val="24"/>
                <w:szCs w:val="24"/>
              </w:rPr>
            </w:pPr>
          </w:p>
        </w:tc>
        <w:tc>
          <w:tcPr>
            <w:tcW w:w="2549" w:type="dxa"/>
            <w:vAlign w:val="top"/>
          </w:tcPr>
          <w:p w14:paraId="11CB9AB3">
            <w:pPr>
              <w:pStyle w:val="14"/>
              <w:spacing w:before="201" w:line="360" w:lineRule="exact"/>
              <w:ind w:left="1175"/>
              <w:rPr>
                <w:sz w:val="24"/>
                <w:szCs w:val="24"/>
              </w:rPr>
            </w:pPr>
          </w:p>
        </w:tc>
        <w:tc>
          <w:tcPr>
            <w:tcW w:w="990" w:type="dxa"/>
            <w:vAlign w:val="top"/>
          </w:tcPr>
          <w:p w14:paraId="6201A20D">
            <w:pPr>
              <w:rPr>
                <w:rFonts w:ascii="Arial"/>
                <w:sz w:val="21"/>
              </w:rPr>
            </w:pPr>
          </w:p>
        </w:tc>
        <w:tc>
          <w:tcPr>
            <w:tcW w:w="994" w:type="dxa"/>
            <w:vAlign w:val="top"/>
          </w:tcPr>
          <w:p w14:paraId="51735361">
            <w:pPr>
              <w:rPr>
                <w:rFonts w:ascii="Arial"/>
                <w:sz w:val="21"/>
              </w:rPr>
            </w:pPr>
          </w:p>
        </w:tc>
        <w:tc>
          <w:tcPr>
            <w:tcW w:w="2230" w:type="dxa"/>
            <w:vAlign w:val="top"/>
          </w:tcPr>
          <w:p w14:paraId="4FD6EF33">
            <w:pPr>
              <w:rPr>
                <w:rFonts w:ascii="Arial"/>
                <w:sz w:val="21"/>
              </w:rPr>
            </w:pPr>
          </w:p>
        </w:tc>
      </w:tr>
      <w:tr w14:paraId="58285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52" w:type="dxa"/>
            <w:vAlign w:val="top"/>
          </w:tcPr>
          <w:p w14:paraId="7D8FAD9E">
            <w:pPr>
              <w:rPr>
                <w:rFonts w:ascii="Arial"/>
                <w:sz w:val="21"/>
              </w:rPr>
            </w:pPr>
          </w:p>
        </w:tc>
        <w:tc>
          <w:tcPr>
            <w:tcW w:w="1840" w:type="dxa"/>
            <w:vAlign w:val="top"/>
          </w:tcPr>
          <w:p w14:paraId="4CCFDB1C">
            <w:pPr>
              <w:rPr>
                <w:rFonts w:ascii="Arial"/>
                <w:sz w:val="21"/>
              </w:rPr>
            </w:pPr>
          </w:p>
        </w:tc>
        <w:tc>
          <w:tcPr>
            <w:tcW w:w="2549" w:type="dxa"/>
            <w:vAlign w:val="top"/>
          </w:tcPr>
          <w:p w14:paraId="1E7C3940">
            <w:pPr>
              <w:rPr>
                <w:rFonts w:ascii="Arial"/>
                <w:sz w:val="21"/>
              </w:rPr>
            </w:pPr>
          </w:p>
        </w:tc>
        <w:tc>
          <w:tcPr>
            <w:tcW w:w="990" w:type="dxa"/>
            <w:vAlign w:val="top"/>
          </w:tcPr>
          <w:p w14:paraId="6065B440">
            <w:pPr>
              <w:rPr>
                <w:rFonts w:ascii="Arial"/>
                <w:sz w:val="21"/>
              </w:rPr>
            </w:pPr>
          </w:p>
        </w:tc>
        <w:tc>
          <w:tcPr>
            <w:tcW w:w="994" w:type="dxa"/>
            <w:vAlign w:val="top"/>
          </w:tcPr>
          <w:p w14:paraId="5EB11FD9">
            <w:pPr>
              <w:rPr>
                <w:rFonts w:ascii="Arial"/>
                <w:sz w:val="21"/>
              </w:rPr>
            </w:pPr>
          </w:p>
        </w:tc>
        <w:tc>
          <w:tcPr>
            <w:tcW w:w="2230" w:type="dxa"/>
            <w:vAlign w:val="top"/>
          </w:tcPr>
          <w:p w14:paraId="7D2AEBF9">
            <w:pPr>
              <w:rPr>
                <w:rFonts w:ascii="Arial"/>
                <w:sz w:val="21"/>
              </w:rPr>
            </w:pPr>
          </w:p>
        </w:tc>
      </w:tr>
      <w:tr w14:paraId="7E6E0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52" w:type="dxa"/>
            <w:vAlign w:val="top"/>
          </w:tcPr>
          <w:p w14:paraId="37A2139E">
            <w:pPr>
              <w:rPr>
                <w:rFonts w:ascii="Arial"/>
                <w:sz w:val="21"/>
              </w:rPr>
            </w:pPr>
          </w:p>
        </w:tc>
        <w:tc>
          <w:tcPr>
            <w:tcW w:w="1840" w:type="dxa"/>
            <w:vAlign w:val="top"/>
          </w:tcPr>
          <w:p w14:paraId="0192A611">
            <w:pPr>
              <w:rPr>
                <w:rFonts w:ascii="Arial"/>
                <w:sz w:val="21"/>
              </w:rPr>
            </w:pPr>
          </w:p>
        </w:tc>
        <w:tc>
          <w:tcPr>
            <w:tcW w:w="2549" w:type="dxa"/>
            <w:vAlign w:val="top"/>
          </w:tcPr>
          <w:p w14:paraId="304CEDD9">
            <w:pPr>
              <w:rPr>
                <w:rFonts w:ascii="Arial"/>
                <w:sz w:val="21"/>
              </w:rPr>
            </w:pPr>
          </w:p>
        </w:tc>
        <w:tc>
          <w:tcPr>
            <w:tcW w:w="990" w:type="dxa"/>
            <w:vAlign w:val="top"/>
          </w:tcPr>
          <w:p w14:paraId="77CDDC78">
            <w:pPr>
              <w:rPr>
                <w:rFonts w:ascii="Arial"/>
                <w:sz w:val="21"/>
              </w:rPr>
            </w:pPr>
          </w:p>
        </w:tc>
        <w:tc>
          <w:tcPr>
            <w:tcW w:w="994" w:type="dxa"/>
            <w:vAlign w:val="top"/>
          </w:tcPr>
          <w:p w14:paraId="0FD6E8B7">
            <w:pPr>
              <w:rPr>
                <w:rFonts w:ascii="Arial"/>
                <w:sz w:val="21"/>
              </w:rPr>
            </w:pPr>
          </w:p>
        </w:tc>
        <w:tc>
          <w:tcPr>
            <w:tcW w:w="2230" w:type="dxa"/>
            <w:vAlign w:val="top"/>
          </w:tcPr>
          <w:p w14:paraId="61856A8D">
            <w:pPr>
              <w:rPr>
                <w:rFonts w:ascii="Arial"/>
                <w:sz w:val="21"/>
              </w:rPr>
            </w:pPr>
          </w:p>
        </w:tc>
      </w:tr>
      <w:tr w14:paraId="01834A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952" w:type="dxa"/>
            <w:vAlign w:val="top"/>
          </w:tcPr>
          <w:p w14:paraId="2661D53D">
            <w:pPr>
              <w:rPr>
                <w:rFonts w:ascii="Arial"/>
                <w:sz w:val="21"/>
              </w:rPr>
            </w:pPr>
          </w:p>
        </w:tc>
        <w:tc>
          <w:tcPr>
            <w:tcW w:w="1840" w:type="dxa"/>
            <w:vAlign w:val="top"/>
          </w:tcPr>
          <w:p w14:paraId="5269FB1D">
            <w:pPr>
              <w:rPr>
                <w:rFonts w:ascii="Arial"/>
                <w:sz w:val="21"/>
              </w:rPr>
            </w:pPr>
          </w:p>
        </w:tc>
        <w:tc>
          <w:tcPr>
            <w:tcW w:w="2549" w:type="dxa"/>
            <w:vAlign w:val="top"/>
          </w:tcPr>
          <w:p w14:paraId="68F1E4C2">
            <w:pPr>
              <w:rPr>
                <w:rFonts w:ascii="Arial"/>
                <w:sz w:val="21"/>
              </w:rPr>
            </w:pPr>
          </w:p>
        </w:tc>
        <w:tc>
          <w:tcPr>
            <w:tcW w:w="990" w:type="dxa"/>
            <w:vAlign w:val="top"/>
          </w:tcPr>
          <w:p w14:paraId="201AD75F">
            <w:pPr>
              <w:rPr>
                <w:rFonts w:ascii="Arial"/>
                <w:sz w:val="21"/>
              </w:rPr>
            </w:pPr>
          </w:p>
        </w:tc>
        <w:tc>
          <w:tcPr>
            <w:tcW w:w="994" w:type="dxa"/>
            <w:vAlign w:val="top"/>
          </w:tcPr>
          <w:p w14:paraId="7557AC3A">
            <w:pPr>
              <w:rPr>
                <w:rFonts w:ascii="Arial"/>
                <w:sz w:val="21"/>
              </w:rPr>
            </w:pPr>
          </w:p>
        </w:tc>
        <w:tc>
          <w:tcPr>
            <w:tcW w:w="2230" w:type="dxa"/>
            <w:vAlign w:val="top"/>
          </w:tcPr>
          <w:p w14:paraId="62089D58">
            <w:pPr>
              <w:rPr>
                <w:rFonts w:ascii="Arial"/>
                <w:sz w:val="21"/>
              </w:rPr>
            </w:pPr>
          </w:p>
        </w:tc>
      </w:tr>
    </w:tbl>
    <w:p w14:paraId="64773B62">
      <w:pPr>
        <w:spacing w:before="265" w:line="232" w:lineRule="auto"/>
        <w:ind w:left="254"/>
        <w:rPr>
          <w:rFonts w:ascii="宋体" w:hAnsi="宋体" w:eastAsia="宋体" w:cs="宋体"/>
          <w:sz w:val="20"/>
          <w:szCs w:val="20"/>
        </w:rPr>
      </w:pPr>
      <w:r>
        <w:rPr>
          <w:rFonts w:ascii="宋体" w:hAnsi="宋体" w:eastAsia="宋体" w:cs="宋体"/>
          <w:sz w:val="20"/>
          <w:szCs w:val="20"/>
        </w:rPr>
        <w:t>注：</w:t>
      </w:r>
    </w:p>
    <w:p w14:paraId="0EE5053B">
      <w:pPr>
        <w:spacing w:before="22" w:line="227" w:lineRule="auto"/>
        <w:ind w:left="267"/>
        <w:rPr>
          <w:rFonts w:ascii="宋体" w:hAnsi="宋体" w:eastAsia="宋体" w:cs="宋体"/>
          <w:sz w:val="20"/>
          <w:szCs w:val="20"/>
        </w:rPr>
      </w:pPr>
      <w:r>
        <w:rPr>
          <w:rFonts w:ascii="宋体" w:hAnsi="宋体" w:eastAsia="宋体" w:cs="宋体"/>
          <w:spacing w:val="9"/>
          <w:sz w:val="20"/>
          <w:szCs w:val="20"/>
        </w:rPr>
        <w:t>除关键必备设备，其他相关设备投标人须按第八章投标函的格式承诺在中标后投入到位。</w:t>
      </w:r>
    </w:p>
    <w:p w14:paraId="48C40D7B">
      <w:pPr>
        <w:spacing w:line="249" w:lineRule="auto"/>
        <w:rPr>
          <w:rFonts w:ascii="Arial"/>
          <w:sz w:val="21"/>
        </w:rPr>
      </w:pPr>
    </w:p>
    <w:p w14:paraId="432F0F02">
      <w:pPr>
        <w:spacing w:line="249" w:lineRule="auto"/>
        <w:rPr>
          <w:rFonts w:ascii="Arial"/>
          <w:sz w:val="21"/>
        </w:rPr>
      </w:pPr>
    </w:p>
    <w:p w14:paraId="10948737">
      <w:pPr>
        <w:spacing w:line="249" w:lineRule="auto"/>
        <w:rPr>
          <w:rFonts w:ascii="Arial"/>
          <w:sz w:val="21"/>
        </w:rPr>
      </w:pPr>
    </w:p>
    <w:p w14:paraId="46114BD5">
      <w:pPr>
        <w:spacing w:line="249" w:lineRule="auto"/>
        <w:rPr>
          <w:rFonts w:ascii="Arial"/>
          <w:sz w:val="21"/>
        </w:rPr>
      </w:pPr>
    </w:p>
    <w:p w14:paraId="63E5873D">
      <w:pPr>
        <w:spacing w:line="249" w:lineRule="auto"/>
        <w:rPr>
          <w:rFonts w:ascii="Arial"/>
          <w:sz w:val="21"/>
        </w:rPr>
      </w:pPr>
    </w:p>
    <w:p w14:paraId="2CA68A89">
      <w:pPr>
        <w:spacing w:line="249" w:lineRule="auto"/>
        <w:rPr>
          <w:rFonts w:ascii="Arial"/>
          <w:sz w:val="21"/>
        </w:rPr>
      </w:pPr>
    </w:p>
    <w:p w14:paraId="5448D3CC">
      <w:pPr>
        <w:spacing w:line="249" w:lineRule="auto"/>
        <w:rPr>
          <w:rFonts w:ascii="Arial"/>
          <w:sz w:val="21"/>
        </w:rPr>
      </w:pPr>
    </w:p>
    <w:p w14:paraId="16FFABDE">
      <w:pPr>
        <w:spacing w:line="249" w:lineRule="auto"/>
        <w:rPr>
          <w:rFonts w:ascii="Arial"/>
          <w:sz w:val="21"/>
        </w:rPr>
      </w:pPr>
    </w:p>
    <w:p w14:paraId="5A595B8A">
      <w:pPr>
        <w:spacing w:line="249" w:lineRule="auto"/>
        <w:rPr>
          <w:rFonts w:ascii="Arial"/>
          <w:sz w:val="21"/>
        </w:rPr>
      </w:pPr>
    </w:p>
    <w:p w14:paraId="17C846C2">
      <w:pPr>
        <w:spacing w:line="249" w:lineRule="auto"/>
        <w:rPr>
          <w:rFonts w:ascii="Arial"/>
          <w:sz w:val="21"/>
        </w:rPr>
      </w:pPr>
    </w:p>
    <w:p w14:paraId="46A512CF">
      <w:pPr>
        <w:spacing w:line="249" w:lineRule="auto"/>
        <w:rPr>
          <w:rFonts w:ascii="Arial"/>
          <w:sz w:val="21"/>
        </w:rPr>
      </w:pPr>
    </w:p>
    <w:p w14:paraId="3689A498">
      <w:pPr>
        <w:spacing w:line="249" w:lineRule="auto"/>
        <w:rPr>
          <w:rFonts w:ascii="Arial"/>
          <w:sz w:val="21"/>
        </w:rPr>
      </w:pPr>
    </w:p>
    <w:p w14:paraId="2FC98073">
      <w:pPr>
        <w:spacing w:line="249" w:lineRule="auto"/>
        <w:rPr>
          <w:rFonts w:ascii="Arial"/>
          <w:sz w:val="21"/>
        </w:rPr>
      </w:pPr>
    </w:p>
    <w:p w14:paraId="0603A25B">
      <w:pPr>
        <w:spacing w:line="249" w:lineRule="auto"/>
        <w:rPr>
          <w:rFonts w:ascii="Arial"/>
          <w:sz w:val="21"/>
        </w:rPr>
      </w:pPr>
    </w:p>
    <w:p w14:paraId="07FF19D7">
      <w:pPr>
        <w:spacing w:line="249" w:lineRule="auto"/>
        <w:rPr>
          <w:rFonts w:ascii="Arial"/>
          <w:sz w:val="21"/>
        </w:rPr>
      </w:pPr>
    </w:p>
    <w:p w14:paraId="118D5ED1">
      <w:pPr>
        <w:spacing w:line="249" w:lineRule="auto"/>
        <w:rPr>
          <w:rFonts w:ascii="Arial"/>
          <w:sz w:val="21"/>
        </w:rPr>
      </w:pPr>
    </w:p>
    <w:p w14:paraId="295E164C">
      <w:pPr>
        <w:spacing w:line="249" w:lineRule="auto"/>
        <w:rPr>
          <w:rFonts w:ascii="Arial"/>
          <w:sz w:val="21"/>
        </w:rPr>
      </w:pPr>
    </w:p>
    <w:p w14:paraId="7E612CD4">
      <w:pPr>
        <w:spacing w:line="249" w:lineRule="auto"/>
        <w:rPr>
          <w:rFonts w:ascii="Arial"/>
          <w:sz w:val="21"/>
        </w:rPr>
      </w:pPr>
    </w:p>
    <w:p w14:paraId="4C6E6447">
      <w:pPr>
        <w:spacing w:line="249" w:lineRule="auto"/>
        <w:rPr>
          <w:rFonts w:ascii="Arial"/>
          <w:sz w:val="21"/>
        </w:rPr>
      </w:pPr>
    </w:p>
    <w:p w14:paraId="57896DB4">
      <w:pPr>
        <w:spacing w:line="383" w:lineRule="auto"/>
        <w:rPr>
          <w:rFonts w:hint="eastAsia" w:ascii="Arial" w:eastAsia="宋体"/>
          <w:sz w:val="21"/>
          <w:lang w:eastAsia="zh-CN"/>
        </w:rPr>
      </w:pPr>
      <w:r>
        <w:rPr>
          <w:rFonts w:hint="eastAsia" w:ascii="Arial" w:eastAsia="宋体"/>
          <w:sz w:val="21"/>
          <w:lang w:eastAsia="zh-CN"/>
        </w:rPr>
        <w:br w:type="page"/>
      </w:r>
    </w:p>
    <w:p w14:paraId="485894BB">
      <w:pPr>
        <w:spacing w:before="114" w:line="225" w:lineRule="auto"/>
        <w:ind w:left="3706"/>
        <w:rPr>
          <w:rFonts w:ascii="宋体" w:hAnsi="宋体" w:eastAsia="宋体" w:cs="宋体"/>
          <w:sz w:val="35"/>
          <w:szCs w:val="35"/>
        </w:rPr>
      </w:pPr>
      <w:r>
        <w:rPr>
          <w:rFonts w:ascii="宋体" w:hAnsi="宋体" w:eastAsia="宋体" w:cs="宋体"/>
          <w:b/>
          <w:bCs/>
          <w:spacing w:val="3"/>
          <w:sz w:val="35"/>
          <w:szCs w:val="35"/>
        </w:rPr>
        <w:t>投标人须知</w:t>
      </w:r>
    </w:p>
    <w:p w14:paraId="1BEE50BA">
      <w:pPr>
        <w:spacing w:before="254" w:line="220" w:lineRule="auto"/>
        <w:ind w:left="26"/>
        <w:rPr>
          <w:rFonts w:ascii="宋体" w:hAnsi="宋体" w:eastAsia="宋体" w:cs="宋体"/>
          <w:sz w:val="24"/>
          <w:szCs w:val="24"/>
        </w:rPr>
      </w:pPr>
      <w:r>
        <w:rPr>
          <w:rFonts w:ascii="宋体" w:hAnsi="宋体" w:eastAsia="宋体" w:cs="宋体"/>
          <w:b/>
          <w:bCs/>
          <w:spacing w:val="-9"/>
          <w:sz w:val="24"/>
          <w:szCs w:val="24"/>
        </w:rPr>
        <w:t>1.总则</w:t>
      </w:r>
    </w:p>
    <w:p w14:paraId="4F74EC2D">
      <w:pPr>
        <w:spacing w:before="182" w:line="219" w:lineRule="auto"/>
        <w:ind w:left="26"/>
        <w:rPr>
          <w:rFonts w:ascii="宋体" w:hAnsi="宋体" w:eastAsia="宋体" w:cs="宋体"/>
          <w:sz w:val="24"/>
          <w:szCs w:val="24"/>
        </w:rPr>
      </w:pPr>
      <w:r>
        <w:rPr>
          <w:rFonts w:ascii="宋体" w:hAnsi="宋体" w:eastAsia="宋体" w:cs="宋体"/>
          <w:b/>
          <w:bCs/>
          <w:spacing w:val="-8"/>
          <w:sz w:val="24"/>
          <w:szCs w:val="24"/>
        </w:rPr>
        <w:t>1.1</w:t>
      </w:r>
      <w:r>
        <w:rPr>
          <w:rFonts w:ascii="宋体" w:hAnsi="宋体" w:eastAsia="宋体" w:cs="宋体"/>
          <w:spacing w:val="17"/>
          <w:sz w:val="24"/>
          <w:szCs w:val="24"/>
        </w:rPr>
        <w:t xml:space="preserve"> </w:t>
      </w:r>
      <w:r>
        <w:rPr>
          <w:rFonts w:ascii="宋体" w:hAnsi="宋体" w:eastAsia="宋体" w:cs="宋体"/>
          <w:b/>
          <w:bCs/>
          <w:spacing w:val="-8"/>
          <w:sz w:val="24"/>
          <w:szCs w:val="24"/>
        </w:rPr>
        <w:t>项目概况</w:t>
      </w:r>
    </w:p>
    <w:p w14:paraId="10B01225">
      <w:pPr>
        <w:spacing w:before="183" w:line="359" w:lineRule="auto"/>
        <w:ind w:left="9" w:firstLine="496"/>
        <w:jc w:val="both"/>
        <w:rPr>
          <w:rFonts w:ascii="宋体" w:hAnsi="宋体" w:eastAsia="宋体" w:cs="宋体"/>
          <w:sz w:val="24"/>
          <w:szCs w:val="24"/>
        </w:rPr>
      </w:pPr>
      <w:r>
        <w:rPr>
          <w:rFonts w:ascii="宋体" w:hAnsi="宋体" w:eastAsia="宋体" w:cs="宋体"/>
          <w:spacing w:val="-4"/>
          <w:sz w:val="24"/>
          <w:szCs w:val="24"/>
        </w:rPr>
        <w:t>1.1.1</w:t>
      </w:r>
      <w:r>
        <w:rPr>
          <w:rFonts w:ascii="宋体" w:hAnsi="宋体" w:eastAsia="宋体" w:cs="宋体"/>
          <w:spacing w:val="-51"/>
          <w:sz w:val="24"/>
          <w:szCs w:val="24"/>
        </w:rPr>
        <w:t xml:space="preserve"> </w:t>
      </w:r>
      <w:r>
        <w:rPr>
          <w:rFonts w:ascii="宋体" w:hAnsi="宋体" w:eastAsia="宋体" w:cs="宋体"/>
          <w:spacing w:val="-4"/>
          <w:sz w:val="24"/>
          <w:szCs w:val="24"/>
        </w:rPr>
        <w:t>根据《中华人民共和国招标投标法》《中华人民共和国招</w:t>
      </w:r>
      <w:r>
        <w:rPr>
          <w:rFonts w:ascii="宋体" w:hAnsi="宋体" w:eastAsia="宋体" w:cs="宋体"/>
          <w:spacing w:val="-5"/>
          <w:sz w:val="24"/>
          <w:szCs w:val="24"/>
        </w:rPr>
        <w:t>标投标法实施条例》</w:t>
      </w:r>
      <w:r>
        <w:rPr>
          <w:rFonts w:ascii="宋体" w:hAnsi="宋体" w:eastAsia="宋体" w:cs="宋体"/>
          <w:sz w:val="24"/>
          <w:szCs w:val="24"/>
        </w:rPr>
        <w:t xml:space="preserve"> </w:t>
      </w:r>
      <w:r>
        <w:rPr>
          <w:rFonts w:ascii="宋体" w:hAnsi="宋体" w:eastAsia="宋体" w:cs="宋体"/>
          <w:spacing w:val="-2"/>
          <w:sz w:val="24"/>
          <w:szCs w:val="24"/>
        </w:rPr>
        <w:t>《广东省实施</w:t>
      </w:r>
      <w:r>
        <w:rPr>
          <w:rFonts w:ascii="Times New Roman" w:hAnsi="Times New Roman" w:eastAsia="Times New Roman" w:cs="Times New Roman"/>
          <w:spacing w:val="-2"/>
          <w:sz w:val="24"/>
          <w:szCs w:val="24"/>
        </w:rPr>
        <w:t>&lt;</w:t>
      </w:r>
      <w:r>
        <w:rPr>
          <w:rFonts w:ascii="宋体" w:hAnsi="宋体" w:eastAsia="宋体" w:cs="宋体"/>
          <w:spacing w:val="-2"/>
          <w:sz w:val="24"/>
          <w:szCs w:val="24"/>
        </w:rPr>
        <w:t>中华人民共和国招标投标法</w:t>
      </w:r>
      <w:r>
        <w:rPr>
          <w:rFonts w:ascii="Times New Roman" w:hAnsi="Times New Roman" w:eastAsia="Times New Roman" w:cs="Times New Roman"/>
          <w:spacing w:val="-2"/>
          <w:sz w:val="24"/>
          <w:szCs w:val="24"/>
        </w:rPr>
        <w:t>&gt;</w:t>
      </w:r>
      <w:r>
        <w:rPr>
          <w:rFonts w:ascii="宋体" w:hAnsi="宋体" w:eastAsia="宋体" w:cs="宋体"/>
          <w:spacing w:val="-2"/>
          <w:sz w:val="24"/>
          <w:szCs w:val="24"/>
        </w:rPr>
        <w:t>办法</w:t>
      </w:r>
      <w:r>
        <w:rPr>
          <w:rFonts w:ascii="宋体" w:hAnsi="宋体" w:eastAsia="宋体" w:cs="宋体"/>
          <w:spacing w:val="-3"/>
          <w:sz w:val="24"/>
          <w:szCs w:val="24"/>
        </w:rPr>
        <w:t>》《水运工程建设项目招标投标管理办</w:t>
      </w:r>
      <w:r>
        <w:rPr>
          <w:rFonts w:ascii="宋体" w:hAnsi="宋体" w:eastAsia="宋体" w:cs="宋体"/>
          <w:spacing w:val="-2"/>
          <w:sz w:val="24"/>
          <w:szCs w:val="24"/>
        </w:rPr>
        <w:t>法》等有关法律、法规和规章的规定，本招标项目已具备招标条件，现对本标段施工进</w:t>
      </w:r>
      <w:r>
        <w:rPr>
          <w:rFonts w:ascii="宋体" w:hAnsi="宋体" w:eastAsia="宋体" w:cs="宋体"/>
          <w:spacing w:val="-3"/>
          <w:sz w:val="24"/>
          <w:szCs w:val="24"/>
        </w:rPr>
        <w:t>行招标。</w:t>
      </w:r>
    </w:p>
    <w:p w14:paraId="293797DF">
      <w:pPr>
        <w:spacing w:line="218" w:lineRule="auto"/>
        <w:ind w:left="506"/>
        <w:rPr>
          <w:rFonts w:ascii="宋体" w:hAnsi="宋体" w:eastAsia="宋体" w:cs="宋体"/>
          <w:sz w:val="24"/>
          <w:szCs w:val="24"/>
        </w:rPr>
      </w:pPr>
      <w:r>
        <w:rPr>
          <w:rFonts w:ascii="宋体" w:hAnsi="宋体" w:eastAsia="宋体" w:cs="宋体"/>
          <w:spacing w:val="-1"/>
          <w:sz w:val="24"/>
          <w:szCs w:val="24"/>
        </w:rPr>
        <w:t>1.1.2 本招标项目招标人：见投标人须知</w:t>
      </w:r>
      <w:r>
        <w:rPr>
          <w:rFonts w:ascii="宋体" w:hAnsi="宋体" w:eastAsia="宋体" w:cs="宋体"/>
          <w:spacing w:val="-2"/>
          <w:sz w:val="24"/>
          <w:szCs w:val="24"/>
        </w:rPr>
        <w:t>前附表。</w:t>
      </w:r>
    </w:p>
    <w:p w14:paraId="027BA8DC">
      <w:pPr>
        <w:spacing w:before="180" w:line="219" w:lineRule="auto"/>
        <w:ind w:left="506"/>
        <w:rPr>
          <w:rFonts w:ascii="宋体" w:hAnsi="宋体" w:eastAsia="宋体" w:cs="宋体"/>
          <w:sz w:val="24"/>
          <w:szCs w:val="24"/>
        </w:rPr>
      </w:pPr>
      <w:r>
        <w:rPr>
          <w:rFonts w:ascii="宋体" w:hAnsi="宋体" w:eastAsia="宋体" w:cs="宋体"/>
          <w:spacing w:val="-1"/>
          <w:sz w:val="24"/>
          <w:szCs w:val="24"/>
        </w:rPr>
        <w:t>1.1.3 本标段招标代理机构：见投标人须知前</w:t>
      </w:r>
      <w:r>
        <w:rPr>
          <w:rFonts w:ascii="宋体" w:hAnsi="宋体" w:eastAsia="宋体" w:cs="宋体"/>
          <w:spacing w:val="-2"/>
          <w:sz w:val="24"/>
          <w:szCs w:val="24"/>
        </w:rPr>
        <w:t>附表。</w:t>
      </w:r>
    </w:p>
    <w:p w14:paraId="6EE1353C">
      <w:pPr>
        <w:spacing w:before="184" w:line="219" w:lineRule="auto"/>
        <w:ind w:left="506"/>
        <w:rPr>
          <w:rFonts w:ascii="宋体" w:hAnsi="宋体" w:eastAsia="宋体" w:cs="宋体"/>
          <w:sz w:val="24"/>
          <w:szCs w:val="24"/>
        </w:rPr>
      </w:pPr>
      <w:r>
        <w:rPr>
          <w:rFonts w:ascii="宋体" w:hAnsi="宋体" w:eastAsia="宋体" w:cs="宋体"/>
          <w:spacing w:val="-1"/>
          <w:sz w:val="24"/>
          <w:szCs w:val="24"/>
        </w:rPr>
        <w:t>1.1.4 本招标项目名称：见投标人须</w:t>
      </w:r>
      <w:r>
        <w:rPr>
          <w:rFonts w:ascii="宋体" w:hAnsi="宋体" w:eastAsia="宋体" w:cs="宋体"/>
          <w:spacing w:val="-2"/>
          <w:sz w:val="24"/>
          <w:szCs w:val="24"/>
        </w:rPr>
        <w:t>知前附表。</w:t>
      </w:r>
    </w:p>
    <w:p w14:paraId="1B051DBF">
      <w:pPr>
        <w:spacing w:before="181" w:line="219" w:lineRule="auto"/>
        <w:ind w:left="506"/>
        <w:rPr>
          <w:rFonts w:ascii="宋体" w:hAnsi="宋体" w:eastAsia="宋体" w:cs="宋体"/>
          <w:sz w:val="24"/>
          <w:szCs w:val="24"/>
        </w:rPr>
      </w:pPr>
      <w:r>
        <w:rPr>
          <w:rFonts w:ascii="宋体" w:hAnsi="宋体" w:eastAsia="宋体" w:cs="宋体"/>
          <w:spacing w:val="-1"/>
          <w:sz w:val="24"/>
          <w:szCs w:val="24"/>
        </w:rPr>
        <w:t>1.1.5 本标段建设地点：见投标人须</w:t>
      </w:r>
      <w:r>
        <w:rPr>
          <w:rFonts w:ascii="宋体" w:hAnsi="宋体" w:eastAsia="宋体" w:cs="宋体"/>
          <w:spacing w:val="-2"/>
          <w:sz w:val="24"/>
          <w:szCs w:val="24"/>
        </w:rPr>
        <w:t>知前附表。</w:t>
      </w:r>
    </w:p>
    <w:p w14:paraId="0628652B">
      <w:pPr>
        <w:spacing w:before="184" w:line="219" w:lineRule="auto"/>
        <w:ind w:left="26"/>
        <w:rPr>
          <w:rFonts w:ascii="宋体" w:hAnsi="宋体" w:eastAsia="宋体" w:cs="宋体"/>
          <w:sz w:val="24"/>
          <w:szCs w:val="24"/>
        </w:rPr>
      </w:pPr>
      <w:r>
        <w:rPr>
          <w:rFonts w:ascii="宋体" w:hAnsi="宋体" w:eastAsia="宋体" w:cs="宋体"/>
          <w:b/>
          <w:bCs/>
          <w:spacing w:val="-6"/>
          <w:sz w:val="24"/>
          <w:szCs w:val="24"/>
        </w:rPr>
        <w:t>1.2</w:t>
      </w:r>
      <w:r>
        <w:rPr>
          <w:rFonts w:ascii="宋体" w:hAnsi="宋体" w:eastAsia="宋体" w:cs="宋体"/>
          <w:spacing w:val="25"/>
          <w:sz w:val="24"/>
          <w:szCs w:val="24"/>
        </w:rPr>
        <w:t xml:space="preserve"> </w:t>
      </w:r>
      <w:r>
        <w:rPr>
          <w:rFonts w:ascii="宋体" w:hAnsi="宋体" w:eastAsia="宋体" w:cs="宋体"/>
          <w:b/>
          <w:bCs/>
          <w:spacing w:val="-6"/>
          <w:sz w:val="24"/>
          <w:szCs w:val="24"/>
        </w:rPr>
        <w:t>资金来源和落实情况</w:t>
      </w:r>
    </w:p>
    <w:p w14:paraId="608FCE00">
      <w:pPr>
        <w:spacing w:before="180" w:line="219" w:lineRule="auto"/>
        <w:ind w:left="506"/>
        <w:rPr>
          <w:rFonts w:ascii="宋体" w:hAnsi="宋体" w:eastAsia="宋体" w:cs="宋体"/>
          <w:sz w:val="24"/>
          <w:szCs w:val="24"/>
        </w:rPr>
      </w:pPr>
      <w:r>
        <w:rPr>
          <w:rFonts w:ascii="宋体" w:hAnsi="宋体" w:eastAsia="宋体" w:cs="宋体"/>
          <w:spacing w:val="-1"/>
          <w:sz w:val="24"/>
          <w:szCs w:val="24"/>
        </w:rPr>
        <w:t>1.2.1 资金来源及比例：见投标人须</w:t>
      </w:r>
      <w:r>
        <w:rPr>
          <w:rFonts w:ascii="宋体" w:hAnsi="宋体" w:eastAsia="宋体" w:cs="宋体"/>
          <w:spacing w:val="-2"/>
          <w:sz w:val="24"/>
          <w:szCs w:val="24"/>
        </w:rPr>
        <w:t>知前附表。</w:t>
      </w:r>
    </w:p>
    <w:p w14:paraId="5A18C39E">
      <w:pPr>
        <w:spacing w:before="183" w:line="219" w:lineRule="auto"/>
        <w:ind w:left="506"/>
        <w:rPr>
          <w:rFonts w:ascii="宋体" w:hAnsi="宋体" w:eastAsia="宋体" w:cs="宋体"/>
          <w:sz w:val="24"/>
          <w:szCs w:val="24"/>
        </w:rPr>
      </w:pPr>
      <w:r>
        <w:rPr>
          <w:rFonts w:ascii="宋体" w:hAnsi="宋体" w:eastAsia="宋体" w:cs="宋体"/>
          <w:spacing w:val="-2"/>
          <w:sz w:val="24"/>
          <w:szCs w:val="24"/>
        </w:rPr>
        <w:t>1.2.2 资金落实情况：见投标人须知前附表。</w:t>
      </w:r>
    </w:p>
    <w:p w14:paraId="0180D0BE">
      <w:pPr>
        <w:spacing w:before="182" w:line="220" w:lineRule="auto"/>
        <w:ind w:left="26"/>
        <w:rPr>
          <w:rFonts w:ascii="宋体" w:hAnsi="宋体" w:eastAsia="宋体" w:cs="宋体"/>
          <w:sz w:val="24"/>
          <w:szCs w:val="24"/>
        </w:rPr>
      </w:pPr>
      <w:r>
        <w:rPr>
          <w:rFonts w:ascii="宋体" w:hAnsi="宋体" w:eastAsia="宋体" w:cs="宋体"/>
          <w:b/>
          <w:bCs/>
          <w:spacing w:val="-3"/>
          <w:sz w:val="24"/>
          <w:szCs w:val="24"/>
        </w:rPr>
        <w:t>1.3</w:t>
      </w:r>
      <w:r>
        <w:rPr>
          <w:rFonts w:ascii="宋体" w:hAnsi="宋体" w:eastAsia="宋体" w:cs="宋体"/>
          <w:spacing w:val="-3"/>
          <w:sz w:val="24"/>
          <w:szCs w:val="24"/>
        </w:rPr>
        <w:t xml:space="preserve"> </w:t>
      </w:r>
      <w:r>
        <w:rPr>
          <w:rFonts w:ascii="宋体" w:hAnsi="宋体" w:eastAsia="宋体" w:cs="宋体"/>
          <w:b/>
          <w:bCs/>
          <w:spacing w:val="-3"/>
          <w:sz w:val="24"/>
          <w:szCs w:val="24"/>
        </w:rPr>
        <w:t>招标范围、计划工期和质量要求</w:t>
      </w:r>
    </w:p>
    <w:p w14:paraId="5A3D7392">
      <w:pPr>
        <w:spacing w:before="181" w:line="219" w:lineRule="auto"/>
        <w:ind w:left="506"/>
        <w:rPr>
          <w:rFonts w:ascii="宋体" w:hAnsi="宋体" w:eastAsia="宋体" w:cs="宋体"/>
          <w:sz w:val="24"/>
          <w:szCs w:val="24"/>
        </w:rPr>
      </w:pPr>
      <w:r>
        <w:rPr>
          <w:rFonts w:ascii="宋体" w:hAnsi="宋体" w:eastAsia="宋体" w:cs="宋体"/>
          <w:spacing w:val="-2"/>
          <w:sz w:val="24"/>
          <w:szCs w:val="24"/>
        </w:rPr>
        <w:t>1.3.1 本次招标范围：见投标人须知前附表。</w:t>
      </w:r>
    </w:p>
    <w:p w14:paraId="615F4BAF">
      <w:pPr>
        <w:spacing w:before="181" w:line="219" w:lineRule="auto"/>
        <w:ind w:left="506"/>
        <w:rPr>
          <w:rFonts w:ascii="宋体" w:hAnsi="宋体" w:eastAsia="宋体" w:cs="宋体"/>
          <w:sz w:val="24"/>
          <w:szCs w:val="24"/>
        </w:rPr>
      </w:pPr>
      <w:r>
        <w:rPr>
          <w:rFonts w:ascii="宋体" w:hAnsi="宋体" w:eastAsia="宋体" w:cs="宋体"/>
          <w:spacing w:val="-1"/>
          <w:sz w:val="24"/>
          <w:szCs w:val="24"/>
        </w:rPr>
        <w:t>1.3.2 本标段的计划工期：见投标人须知</w:t>
      </w:r>
      <w:r>
        <w:rPr>
          <w:rFonts w:ascii="宋体" w:hAnsi="宋体" w:eastAsia="宋体" w:cs="宋体"/>
          <w:spacing w:val="-2"/>
          <w:sz w:val="24"/>
          <w:szCs w:val="24"/>
        </w:rPr>
        <w:t>前附表。</w:t>
      </w:r>
    </w:p>
    <w:p w14:paraId="28FA56ED">
      <w:pPr>
        <w:spacing w:before="183" w:line="219" w:lineRule="auto"/>
        <w:ind w:left="506"/>
        <w:rPr>
          <w:rFonts w:ascii="宋体" w:hAnsi="宋体" w:eastAsia="宋体" w:cs="宋体"/>
          <w:sz w:val="24"/>
          <w:szCs w:val="24"/>
        </w:rPr>
      </w:pPr>
      <w:r>
        <w:rPr>
          <w:rFonts w:ascii="宋体" w:hAnsi="宋体" w:eastAsia="宋体" w:cs="宋体"/>
          <w:spacing w:val="-1"/>
          <w:sz w:val="24"/>
          <w:szCs w:val="24"/>
        </w:rPr>
        <w:t>1.3.3 本标段的质量要求：见投标人须知</w:t>
      </w:r>
      <w:r>
        <w:rPr>
          <w:rFonts w:ascii="宋体" w:hAnsi="宋体" w:eastAsia="宋体" w:cs="宋体"/>
          <w:spacing w:val="-2"/>
          <w:sz w:val="24"/>
          <w:szCs w:val="24"/>
        </w:rPr>
        <w:t>前附表。</w:t>
      </w:r>
    </w:p>
    <w:p w14:paraId="58FBB742">
      <w:pPr>
        <w:spacing w:before="184" w:line="219" w:lineRule="auto"/>
        <w:ind w:left="506"/>
        <w:rPr>
          <w:rFonts w:ascii="宋体" w:hAnsi="宋体" w:eastAsia="宋体" w:cs="宋体"/>
          <w:sz w:val="24"/>
          <w:szCs w:val="24"/>
        </w:rPr>
      </w:pPr>
      <w:r>
        <w:rPr>
          <w:rFonts w:ascii="宋体" w:hAnsi="宋体" w:eastAsia="宋体" w:cs="宋体"/>
          <w:spacing w:val="-1"/>
          <w:sz w:val="24"/>
          <w:szCs w:val="24"/>
        </w:rPr>
        <w:t>1.3.4 本标段的安全目标：见投标人须知</w:t>
      </w:r>
      <w:r>
        <w:rPr>
          <w:rFonts w:ascii="宋体" w:hAnsi="宋体" w:eastAsia="宋体" w:cs="宋体"/>
          <w:spacing w:val="-2"/>
          <w:sz w:val="24"/>
          <w:szCs w:val="24"/>
        </w:rPr>
        <w:t>前附表。</w:t>
      </w:r>
    </w:p>
    <w:p w14:paraId="677516F3">
      <w:pPr>
        <w:spacing w:before="181" w:line="219" w:lineRule="auto"/>
        <w:ind w:left="26"/>
        <w:rPr>
          <w:rFonts w:ascii="宋体" w:hAnsi="宋体" w:eastAsia="宋体" w:cs="宋体"/>
          <w:sz w:val="24"/>
          <w:szCs w:val="24"/>
        </w:rPr>
      </w:pPr>
      <w:r>
        <w:rPr>
          <w:rFonts w:ascii="宋体" w:hAnsi="宋体" w:eastAsia="宋体" w:cs="宋体"/>
          <w:b/>
          <w:bCs/>
          <w:spacing w:val="-4"/>
          <w:sz w:val="24"/>
          <w:szCs w:val="24"/>
        </w:rPr>
        <w:t>1.4</w:t>
      </w:r>
      <w:r>
        <w:rPr>
          <w:rFonts w:ascii="宋体" w:hAnsi="宋体" w:eastAsia="宋体" w:cs="宋体"/>
          <w:spacing w:val="-4"/>
          <w:sz w:val="24"/>
          <w:szCs w:val="24"/>
        </w:rPr>
        <w:t xml:space="preserve"> </w:t>
      </w:r>
      <w:r>
        <w:rPr>
          <w:rFonts w:ascii="宋体" w:hAnsi="宋体" w:eastAsia="宋体" w:cs="宋体"/>
          <w:b/>
          <w:bCs/>
          <w:spacing w:val="-4"/>
          <w:sz w:val="24"/>
          <w:szCs w:val="24"/>
        </w:rPr>
        <w:t>投标人资格要求</w:t>
      </w:r>
    </w:p>
    <w:p w14:paraId="42066B0A">
      <w:pPr>
        <w:spacing w:before="180" w:line="219" w:lineRule="auto"/>
        <w:ind w:left="506"/>
        <w:rPr>
          <w:rFonts w:ascii="宋体" w:hAnsi="宋体" w:eastAsia="宋体" w:cs="宋体"/>
          <w:sz w:val="24"/>
          <w:szCs w:val="24"/>
        </w:rPr>
      </w:pPr>
      <w:r>
        <w:rPr>
          <w:rFonts w:ascii="宋体" w:hAnsi="宋体" w:eastAsia="宋体" w:cs="宋体"/>
          <w:spacing w:val="-1"/>
          <w:sz w:val="24"/>
          <w:szCs w:val="24"/>
        </w:rPr>
        <w:t>1.4.1 投标人应具备承担本标段施工的资质条件、能力和信誉。</w:t>
      </w:r>
    </w:p>
    <w:p w14:paraId="7EDAFBD3">
      <w:pPr>
        <w:spacing w:before="184" w:line="219" w:lineRule="auto"/>
        <w:ind w:left="499"/>
        <w:rPr>
          <w:rFonts w:ascii="宋体" w:hAnsi="宋体" w:eastAsia="宋体" w:cs="宋体"/>
          <w:sz w:val="24"/>
          <w:szCs w:val="24"/>
        </w:rPr>
      </w:pPr>
      <w:r>
        <w:rPr>
          <w:rFonts w:ascii="宋体" w:hAnsi="宋体" w:eastAsia="宋体" w:cs="宋体"/>
          <w:spacing w:val="-2"/>
          <w:sz w:val="24"/>
          <w:szCs w:val="24"/>
        </w:rPr>
        <w:t>（l）资质条件要求：见投标人须知前附表；</w:t>
      </w:r>
    </w:p>
    <w:p w14:paraId="63152470">
      <w:pPr>
        <w:spacing w:before="181" w:line="219" w:lineRule="auto"/>
        <w:ind w:left="499"/>
        <w:rPr>
          <w:rFonts w:ascii="宋体" w:hAnsi="宋体" w:eastAsia="宋体" w:cs="宋体"/>
          <w:sz w:val="24"/>
          <w:szCs w:val="24"/>
        </w:rPr>
      </w:pPr>
      <w:r>
        <w:rPr>
          <w:rFonts w:ascii="宋体" w:hAnsi="宋体" w:eastAsia="宋体" w:cs="宋体"/>
          <w:spacing w:val="-2"/>
          <w:sz w:val="24"/>
          <w:szCs w:val="24"/>
        </w:rPr>
        <w:t>（2）财务要求：见投标人须知前附表；</w:t>
      </w:r>
    </w:p>
    <w:p w14:paraId="7FE93CDA">
      <w:pPr>
        <w:spacing w:before="183" w:line="219" w:lineRule="auto"/>
        <w:ind w:left="499"/>
        <w:rPr>
          <w:rFonts w:ascii="宋体" w:hAnsi="宋体" w:eastAsia="宋体" w:cs="宋体"/>
          <w:strike/>
          <w:dstrike w:val="0"/>
          <w:sz w:val="24"/>
          <w:szCs w:val="24"/>
        </w:rPr>
      </w:pPr>
      <w:r>
        <w:rPr>
          <w:rFonts w:ascii="宋体" w:hAnsi="宋体" w:eastAsia="宋体" w:cs="宋体"/>
          <w:strike/>
          <w:dstrike w:val="0"/>
          <w:spacing w:val="-2"/>
          <w:sz w:val="24"/>
          <w:szCs w:val="24"/>
        </w:rPr>
        <w:t>（3）业绩要求：见投标人须知前附表；</w:t>
      </w:r>
    </w:p>
    <w:p w14:paraId="0D648CC5">
      <w:pPr>
        <w:spacing w:before="183" w:line="219" w:lineRule="auto"/>
        <w:ind w:left="499"/>
        <w:rPr>
          <w:rFonts w:ascii="宋体" w:hAnsi="宋体" w:eastAsia="宋体" w:cs="宋体"/>
          <w:sz w:val="24"/>
          <w:szCs w:val="24"/>
        </w:rPr>
      </w:pPr>
      <w:r>
        <w:rPr>
          <w:rFonts w:ascii="宋体" w:hAnsi="宋体" w:eastAsia="宋体" w:cs="宋体"/>
          <w:spacing w:val="-2"/>
          <w:sz w:val="24"/>
          <w:szCs w:val="24"/>
        </w:rPr>
        <w:t>（4）信誉要求：见投标人须知前附表；</w:t>
      </w:r>
    </w:p>
    <w:p w14:paraId="320C28A2">
      <w:pPr>
        <w:spacing w:before="181" w:line="219" w:lineRule="auto"/>
        <w:ind w:left="499"/>
        <w:rPr>
          <w:rFonts w:ascii="宋体" w:hAnsi="宋体" w:eastAsia="宋体" w:cs="宋体"/>
          <w:sz w:val="24"/>
          <w:szCs w:val="24"/>
        </w:rPr>
      </w:pPr>
      <w:r>
        <w:rPr>
          <w:rFonts w:ascii="宋体" w:hAnsi="宋体" w:eastAsia="宋体" w:cs="宋体"/>
          <w:spacing w:val="-1"/>
          <w:sz w:val="24"/>
          <w:szCs w:val="24"/>
        </w:rPr>
        <w:t>（5）项目负责人和项目技术负责人要求：见投标人须知前附表；</w:t>
      </w:r>
    </w:p>
    <w:p w14:paraId="541BD1C0">
      <w:pPr>
        <w:spacing w:before="183" w:line="219" w:lineRule="auto"/>
        <w:ind w:left="499"/>
        <w:rPr>
          <w:rFonts w:ascii="宋体" w:hAnsi="宋体" w:eastAsia="宋体" w:cs="宋体"/>
          <w:sz w:val="24"/>
          <w:szCs w:val="24"/>
        </w:rPr>
      </w:pPr>
      <w:r>
        <w:rPr>
          <w:rFonts w:ascii="宋体" w:hAnsi="宋体" w:eastAsia="宋体" w:cs="宋体"/>
          <w:spacing w:val="-2"/>
          <w:sz w:val="24"/>
          <w:szCs w:val="24"/>
        </w:rPr>
        <w:t>（6）其他要求：见投标人须知前附表。</w:t>
      </w:r>
    </w:p>
    <w:p w14:paraId="48DA0600">
      <w:pPr>
        <w:spacing w:before="181" w:line="362" w:lineRule="auto"/>
        <w:ind w:left="10" w:right="105" w:firstLine="495"/>
        <w:rPr>
          <w:rFonts w:ascii="宋体" w:hAnsi="宋体" w:eastAsia="宋体" w:cs="宋体"/>
          <w:sz w:val="24"/>
          <w:szCs w:val="24"/>
        </w:rPr>
      </w:pPr>
      <w:r>
        <w:rPr>
          <w:rFonts w:ascii="宋体" w:hAnsi="宋体" w:eastAsia="宋体" w:cs="宋体"/>
          <w:spacing w:val="-2"/>
          <w:sz w:val="24"/>
          <w:szCs w:val="24"/>
        </w:rPr>
        <w:t>1.4.2</w:t>
      </w:r>
      <w:r>
        <w:rPr>
          <w:rFonts w:ascii="宋体" w:hAnsi="宋体" w:eastAsia="宋体" w:cs="宋体"/>
          <w:spacing w:val="-39"/>
          <w:sz w:val="24"/>
          <w:szCs w:val="24"/>
        </w:rPr>
        <w:t xml:space="preserve"> </w:t>
      </w:r>
      <w:r>
        <w:rPr>
          <w:rFonts w:ascii="宋体" w:hAnsi="宋体" w:eastAsia="宋体" w:cs="宋体"/>
          <w:spacing w:val="-2"/>
          <w:sz w:val="24"/>
          <w:szCs w:val="24"/>
        </w:rPr>
        <w:t>投标人须知前附表规定接受联合体投标的，除应符合本章第</w:t>
      </w:r>
      <w:r>
        <w:rPr>
          <w:rFonts w:ascii="宋体" w:hAnsi="宋体" w:eastAsia="宋体" w:cs="宋体"/>
          <w:spacing w:val="-33"/>
          <w:sz w:val="24"/>
          <w:szCs w:val="24"/>
        </w:rPr>
        <w:t xml:space="preserve"> </w:t>
      </w:r>
      <w:r>
        <w:rPr>
          <w:rFonts w:ascii="宋体" w:hAnsi="宋体" w:eastAsia="宋体" w:cs="宋体"/>
          <w:spacing w:val="-2"/>
          <w:sz w:val="24"/>
          <w:szCs w:val="24"/>
        </w:rPr>
        <w:t>1.4.1</w:t>
      </w:r>
      <w:r>
        <w:rPr>
          <w:rFonts w:ascii="宋体" w:hAnsi="宋体" w:eastAsia="宋体" w:cs="宋体"/>
          <w:spacing w:val="-49"/>
          <w:sz w:val="24"/>
          <w:szCs w:val="24"/>
        </w:rPr>
        <w:t xml:space="preserve"> </w:t>
      </w:r>
      <w:r>
        <w:rPr>
          <w:rFonts w:ascii="宋体" w:hAnsi="宋体" w:eastAsia="宋体" w:cs="宋体"/>
          <w:spacing w:val="-2"/>
          <w:sz w:val="24"/>
          <w:szCs w:val="24"/>
        </w:rPr>
        <w:t>款和投标</w:t>
      </w:r>
      <w:r>
        <w:rPr>
          <w:rFonts w:ascii="宋体" w:hAnsi="宋体" w:eastAsia="宋体" w:cs="宋体"/>
          <w:spacing w:val="-1"/>
          <w:sz w:val="24"/>
          <w:szCs w:val="24"/>
        </w:rPr>
        <w:t>人须知前附表的要求外，还应符合下列规定：</w:t>
      </w:r>
    </w:p>
    <w:p w14:paraId="2A5B372F">
      <w:pPr>
        <w:spacing w:line="401" w:lineRule="auto"/>
        <w:rPr>
          <w:rFonts w:hint="eastAsia" w:ascii="Arial" w:eastAsia="宋体"/>
          <w:sz w:val="21"/>
          <w:lang w:eastAsia="zh-CN"/>
        </w:rPr>
      </w:pPr>
      <w:r>
        <w:rPr>
          <w:rFonts w:hint="eastAsia" w:ascii="Arial" w:eastAsia="宋体"/>
          <w:sz w:val="21"/>
          <w:lang w:eastAsia="zh-CN"/>
        </w:rPr>
        <w:br w:type="page"/>
      </w:r>
    </w:p>
    <w:p w14:paraId="1D7CE728">
      <w:pPr>
        <w:spacing w:before="78" w:line="359" w:lineRule="auto"/>
        <w:ind w:left="11" w:right="67" w:firstLine="488"/>
        <w:rPr>
          <w:rFonts w:ascii="宋体" w:hAnsi="宋体" w:eastAsia="宋体" w:cs="宋体"/>
          <w:sz w:val="24"/>
          <w:szCs w:val="24"/>
        </w:rPr>
      </w:pPr>
      <w:r>
        <w:rPr>
          <w:rFonts w:ascii="宋体" w:hAnsi="宋体" w:eastAsia="宋体" w:cs="宋体"/>
          <w:spacing w:val="-1"/>
          <w:sz w:val="24"/>
          <w:szCs w:val="24"/>
        </w:rPr>
        <w:t>（1) 联合体各方按招标文件提供的格式签订联合体协议书，明确联合体主办方和</w:t>
      </w:r>
      <w:r>
        <w:rPr>
          <w:rFonts w:ascii="宋体" w:hAnsi="宋体" w:eastAsia="宋体" w:cs="宋体"/>
          <w:spacing w:val="-2"/>
          <w:sz w:val="24"/>
          <w:szCs w:val="24"/>
        </w:rPr>
        <w:t>各方权利义务；</w:t>
      </w:r>
    </w:p>
    <w:p w14:paraId="1408B597">
      <w:pPr>
        <w:spacing w:line="219" w:lineRule="auto"/>
        <w:ind w:left="499"/>
        <w:rPr>
          <w:rFonts w:ascii="宋体" w:hAnsi="宋体" w:eastAsia="宋体" w:cs="宋体"/>
          <w:sz w:val="24"/>
          <w:szCs w:val="24"/>
        </w:rPr>
      </w:pPr>
      <w:r>
        <w:rPr>
          <w:rFonts w:ascii="宋体" w:hAnsi="宋体" w:eastAsia="宋体" w:cs="宋体"/>
          <w:spacing w:val="-2"/>
          <w:sz w:val="24"/>
          <w:szCs w:val="24"/>
        </w:rPr>
        <w:t>（2)</w:t>
      </w:r>
      <w:r>
        <w:rPr>
          <w:rFonts w:ascii="宋体" w:hAnsi="宋体" w:eastAsia="宋体" w:cs="宋体"/>
          <w:spacing w:val="48"/>
          <w:sz w:val="24"/>
          <w:szCs w:val="24"/>
        </w:rPr>
        <w:t xml:space="preserve"> </w:t>
      </w:r>
      <w:r>
        <w:rPr>
          <w:rFonts w:ascii="宋体" w:hAnsi="宋体" w:eastAsia="宋体" w:cs="宋体"/>
          <w:spacing w:val="-2"/>
          <w:sz w:val="24"/>
          <w:szCs w:val="24"/>
        </w:rPr>
        <w:t>同一专业的单位组成的联合体，按照资质等级较低的单位确定资质等级；</w:t>
      </w:r>
    </w:p>
    <w:p w14:paraId="7E7DC69D">
      <w:pPr>
        <w:spacing w:before="180" w:line="219" w:lineRule="auto"/>
        <w:ind w:left="499"/>
        <w:rPr>
          <w:rFonts w:ascii="宋体" w:hAnsi="宋体" w:eastAsia="宋体" w:cs="宋体"/>
          <w:sz w:val="24"/>
          <w:szCs w:val="24"/>
        </w:rPr>
      </w:pPr>
      <w:r>
        <w:rPr>
          <w:rFonts w:ascii="宋体" w:hAnsi="宋体" w:eastAsia="宋体" w:cs="宋体"/>
          <w:spacing w:val="-1"/>
          <w:sz w:val="24"/>
          <w:szCs w:val="24"/>
        </w:rPr>
        <w:t>（3) 联合体各方不得再以自己名义单独或参加其他联合体在同一标段中投标；</w:t>
      </w:r>
    </w:p>
    <w:p w14:paraId="6D087B8C">
      <w:pPr>
        <w:spacing w:before="182" w:line="359" w:lineRule="auto"/>
        <w:ind w:left="10" w:firstLine="489"/>
        <w:rPr>
          <w:rFonts w:ascii="宋体" w:hAnsi="宋体" w:eastAsia="宋体" w:cs="宋体"/>
          <w:sz w:val="24"/>
          <w:szCs w:val="24"/>
        </w:rPr>
      </w:pPr>
      <w:r>
        <w:rPr>
          <w:rFonts w:ascii="宋体" w:hAnsi="宋体" w:eastAsia="宋体" w:cs="宋体"/>
          <w:spacing w:val="-1"/>
          <w:sz w:val="24"/>
          <w:szCs w:val="24"/>
        </w:rPr>
        <w:t>（4) 联合体各方应分别按照本招标文件的要求，填写投标文件中的相应表格，并</w:t>
      </w:r>
      <w:r>
        <w:rPr>
          <w:rFonts w:ascii="宋体" w:hAnsi="宋体" w:eastAsia="宋体" w:cs="宋体"/>
          <w:spacing w:val="-2"/>
          <w:sz w:val="24"/>
          <w:szCs w:val="24"/>
        </w:rPr>
        <w:t>由联合体主办方负责对联合体各成员的资料进行统一汇总后一并提交给招标人，联合体</w:t>
      </w:r>
      <w:r>
        <w:rPr>
          <w:rFonts w:ascii="宋体" w:hAnsi="宋体" w:eastAsia="宋体" w:cs="宋体"/>
          <w:spacing w:val="-1"/>
          <w:sz w:val="24"/>
          <w:szCs w:val="24"/>
        </w:rPr>
        <w:t>主办方所提交的投标文件应认为已代表了联合体各成员的真实情况；</w:t>
      </w:r>
    </w:p>
    <w:p w14:paraId="107EFE48">
      <w:pPr>
        <w:spacing w:line="359" w:lineRule="auto"/>
        <w:ind w:left="16" w:right="67" w:firstLine="483"/>
        <w:rPr>
          <w:rFonts w:ascii="宋体" w:hAnsi="宋体" w:eastAsia="宋体" w:cs="宋体"/>
          <w:sz w:val="24"/>
          <w:szCs w:val="24"/>
        </w:rPr>
      </w:pPr>
      <w:r>
        <w:rPr>
          <w:rFonts w:ascii="宋体" w:hAnsi="宋体" w:eastAsia="宋体" w:cs="宋体"/>
          <w:spacing w:val="-1"/>
          <w:sz w:val="24"/>
          <w:szCs w:val="24"/>
        </w:rPr>
        <w:t>（5) 联合体各成员在投标、签约与履行合同过程中，仍负有连带的和各自的法律</w:t>
      </w:r>
      <w:r>
        <w:rPr>
          <w:rFonts w:ascii="宋体" w:hAnsi="宋体" w:eastAsia="宋体" w:cs="宋体"/>
          <w:spacing w:val="-6"/>
          <w:sz w:val="24"/>
          <w:szCs w:val="24"/>
        </w:rPr>
        <w:t>责任。</w:t>
      </w:r>
    </w:p>
    <w:p w14:paraId="0FF0C018">
      <w:pPr>
        <w:spacing w:before="1" w:line="218" w:lineRule="auto"/>
        <w:ind w:left="506"/>
        <w:rPr>
          <w:rFonts w:ascii="宋体" w:hAnsi="宋体" w:eastAsia="宋体" w:cs="宋体"/>
          <w:sz w:val="24"/>
          <w:szCs w:val="24"/>
        </w:rPr>
      </w:pPr>
      <w:r>
        <w:rPr>
          <w:rFonts w:ascii="宋体" w:hAnsi="宋体" w:eastAsia="宋体" w:cs="宋体"/>
          <w:spacing w:val="-1"/>
          <w:sz w:val="24"/>
          <w:szCs w:val="24"/>
        </w:rPr>
        <w:t>1.4.3 投标人（包括联合体各成员）不得与本标段相关单位存在下列关联关系：</w:t>
      </w:r>
    </w:p>
    <w:p w14:paraId="2022ADC1">
      <w:pPr>
        <w:spacing w:before="183" w:line="219" w:lineRule="auto"/>
        <w:ind w:left="499"/>
        <w:rPr>
          <w:rFonts w:ascii="宋体" w:hAnsi="宋体" w:eastAsia="宋体" w:cs="宋体"/>
          <w:sz w:val="24"/>
          <w:szCs w:val="24"/>
        </w:rPr>
      </w:pPr>
      <w:r>
        <w:rPr>
          <w:rFonts w:ascii="宋体" w:hAnsi="宋体" w:eastAsia="宋体" w:cs="宋体"/>
          <w:spacing w:val="-1"/>
          <w:sz w:val="24"/>
          <w:szCs w:val="24"/>
        </w:rPr>
        <w:t>（1）为招标人不具有独立法人资格的附属机构（单位</w:t>
      </w:r>
      <w:r>
        <w:rPr>
          <w:rFonts w:ascii="宋体" w:hAnsi="宋体" w:eastAsia="宋体" w:cs="宋体"/>
          <w:spacing w:val="1"/>
          <w:sz w:val="24"/>
          <w:szCs w:val="24"/>
        </w:rPr>
        <w:t>）；</w:t>
      </w:r>
    </w:p>
    <w:p w14:paraId="3375C018">
      <w:pPr>
        <w:spacing w:before="182" w:line="219" w:lineRule="auto"/>
        <w:ind w:left="499"/>
        <w:rPr>
          <w:rFonts w:ascii="宋体" w:hAnsi="宋体" w:eastAsia="宋体" w:cs="宋体"/>
          <w:sz w:val="24"/>
          <w:szCs w:val="24"/>
        </w:rPr>
      </w:pPr>
      <w:r>
        <w:rPr>
          <w:rFonts w:ascii="宋体" w:hAnsi="宋体" w:eastAsia="宋体" w:cs="宋体"/>
          <w:spacing w:val="-1"/>
          <w:sz w:val="24"/>
          <w:szCs w:val="24"/>
        </w:rPr>
        <w:t>（2）与招标人存在利害关系且可能影响招标公正性；</w:t>
      </w:r>
    </w:p>
    <w:p w14:paraId="70279B5D">
      <w:pPr>
        <w:spacing w:before="182" w:line="219" w:lineRule="auto"/>
        <w:ind w:left="499"/>
        <w:rPr>
          <w:rFonts w:ascii="宋体" w:hAnsi="宋体" w:eastAsia="宋体" w:cs="宋体"/>
          <w:sz w:val="24"/>
          <w:szCs w:val="24"/>
        </w:rPr>
      </w:pPr>
      <w:r>
        <w:rPr>
          <w:rFonts w:ascii="宋体" w:hAnsi="宋体" w:eastAsia="宋体" w:cs="宋体"/>
          <w:spacing w:val="-1"/>
          <w:sz w:val="24"/>
          <w:szCs w:val="24"/>
        </w:rPr>
        <w:t>（3）与本标段的其他投标人同为一个单位负责人；</w:t>
      </w:r>
    </w:p>
    <w:p w14:paraId="0FB2F56A">
      <w:pPr>
        <w:spacing w:before="183" w:line="219" w:lineRule="auto"/>
        <w:ind w:left="499"/>
        <w:rPr>
          <w:rFonts w:ascii="宋体" w:hAnsi="宋体" w:eastAsia="宋体" w:cs="宋体"/>
          <w:sz w:val="24"/>
          <w:szCs w:val="24"/>
        </w:rPr>
      </w:pPr>
      <w:r>
        <w:rPr>
          <w:rFonts w:ascii="宋体" w:hAnsi="宋体" w:eastAsia="宋体" w:cs="宋体"/>
          <w:spacing w:val="-1"/>
          <w:sz w:val="24"/>
          <w:szCs w:val="24"/>
        </w:rPr>
        <w:t>（4）与本标段的其他投标人存在控股、管理关系；</w:t>
      </w:r>
    </w:p>
    <w:p w14:paraId="6A3BE552">
      <w:pPr>
        <w:spacing w:before="181" w:line="219" w:lineRule="auto"/>
        <w:ind w:left="499"/>
        <w:rPr>
          <w:rFonts w:ascii="宋体" w:hAnsi="宋体" w:eastAsia="宋体" w:cs="宋体"/>
          <w:sz w:val="24"/>
          <w:szCs w:val="24"/>
        </w:rPr>
      </w:pPr>
      <w:r>
        <w:rPr>
          <w:rFonts w:ascii="宋体" w:hAnsi="宋体" w:eastAsia="宋体" w:cs="宋体"/>
          <w:spacing w:val="-1"/>
          <w:sz w:val="24"/>
          <w:szCs w:val="24"/>
        </w:rPr>
        <w:t>（5）为本标段前期准备提供设计或咨询服务的法人或其任何附属机构（单位</w:t>
      </w:r>
      <w:r>
        <w:rPr>
          <w:rFonts w:ascii="宋体" w:hAnsi="宋体" w:eastAsia="宋体" w:cs="宋体"/>
          <w:spacing w:val="6"/>
          <w:sz w:val="24"/>
          <w:szCs w:val="24"/>
        </w:rPr>
        <w:t>）；</w:t>
      </w:r>
    </w:p>
    <w:p w14:paraId="19DEE2D0">
      <w:pPr>
        <w:spacing w:before="184" w:line="219" w:lineRule="auto"/>
        <w:ind w:left="499"/>
        <w:rPr>
          <w:rFonts w:ascii="宋体" w:hAnsi="宋体" w:eastAsia="宋体" w:cs="宋体"/>
          <w:sz w:val="24"/>
          <w:szCs w:val="24"/>
        </w:rPr>
      </w:pPr>
      <w:r>
        <w:rPr>
          <w:rFonts w:ascii="宋体" w:hAnsi="宋体" w:eastAsia="宋体" w:cs="宋体"/>
          <w:spacing w:val="-2"/>
          <w:sz w:val="24"/>
          <w:szCs w:val="24"/>
        </w:rPr>
        <w:t>（6）为本标段的监理人；</w:t>
      </w:r>
    </w:p>
    <w:p w14:paraId="633BD124">
      <w:pPr>
        <w:spacing w:before="180" w:line="219" w:lineRule="auto"/>
        <w:ind w:left="499"/>
        <w:rPr>
          <w:rFonts w:ascii="宋体" w:hAnsi="宋体" w:eastAsia="宋体" w:cs="宋体"/>
          <w:sz w:val="24"/>
          <w:szCs w:val="24"/>
        </w:rPr>
      </w:pPr>
      <w:r>
        <w:rPr>
          <w:rFonts w:ascii="宋体" w:hAnsi="宋体" w:eastAsia="宋体" w:cs="宋体"/>
          <w:spacing w:val="-2"/>
          <w:sz w:val="24"/>
          <w:szCs w:val="24"/>
        </w:rPr>
        <w:t>（7）为本标段的代建人；</w:t>
      </w:r>
    </w:p>
    <w:p w14:paraId="29B0B072">
      <w:pPr>
        <w:spacing w:before="181" w:line="219" w:lineRule="auto"/>
        <w:ind w:left="499"/>
        <w:rPr>
          <w:rFonts w:ascii="宋体" w:hAnsi="宋体" w:eastAsia="宋体" w:cs="宋体"/>
          <w:sz w:val="24"/>
          <w:szCs w:val="24"/>
        </w:rPr>
      </w:pPr>
      <w:r>
        <w:rPr>
          <w:rFonts w:ascii="宋体" w:hAnsi="宋体" w:eastAsia="宋体" w:cs="宋体"/>
          <w:spacing w:val="-2"/>
          <w:sz w:val="24"/>
          <w:szCs w:val="24"/>
        </w:rPr>
        <w:t>（8）为本标段的招标代理机构；</w:t>
      </w:r>
    </w:p>
    <w:p w14:paraId="72B3431F">
      <w:pPr>
        <w:spacing w:before="184" w:line="219" w:lineRule="auto"/>
        <w:ind w:left="499"/>
        <w:rPr>
          <w:rFonts w:ascii="宋体" w:hAnsi="宋体" w:eastAsia="宋体" w:cs="宋体"/>
          <w:sz w:val="24"/>
          <w:szCs w:val="24"/>
        </w:rPr>
      </w:pPr>
      <w:r>
        <w:rPr>
          <w:rFonts w:ascii="宋体" w:hAnsi="宋体" w:eastAsia="宋体" w:cs="宋体"/>
          <w:spacing w:val="-1"/>
          <w:sz w:val="24"/>
          <w:szCs w:val="24"/>
        </w:rPr>
        <w:t>（9）与本标段的监理人或代建人或招标代理机构同为一个法定代表人；</w:t>
      </w:r>
    </w:p>
    <w:p w14:paraId="0427A3D6">
      <w:pPr>
        <w:spacing w:before="183" w:line="219" w:lineRule="auto"/>
        <w:ind w:left="499"/>
        <w:rPr>
          <w:rFonts w:ascii="宋体" w:hAnsi="宋体" w:eastAsia="宋体" w:cs="宋体"/>
          <w:sz w:val="24"/>
          <w:szCs w:val="24"/>
        </w:rPr>
      </w:pPr>
      <w:r>
        <w:rPr>
          <w:rFonts w:ascii="宋体" w:hAnsi="宋体" w:eastAsia="宋体" w:cs="宋体"/>
          <w:spacing w:val="-1"/>
          <w:sz w:val="24"/>
          <w:szCs w:val="24"/>
        </w:rPr>
        <w:t>（10）与本标段的监理人或代建人或招标代理机构存在控股或参股关系；</w:t>
      </w:r>
    </w:p>
    <w:p w14:paraId="0C5E4D0A">
      <w:pPr>
        <w:spacing w:before="181" w:line="219" w:lineRule="auto"/>
        <w:ind w:left="499"/>
        <w:rPr>
          <w:rFonts w:ascii="宋体" w:hAnsi="宋体" w:eastAsia="宋体" w:cs="宋体"/>
          <w:sz w:val="24"/>
          <w:szCs w:val="24"/>
        </w:rPr>
      </w:pPr>
      <w:r>
        <w:rPr>
          <w:rFonts w:ascii="宋体" w:hAnsi="宋体" w:eastAsia="宋体" w:cs="宋体"/>
          <w:spacing w:val="-1"/>
          <w:sz w:val="24"/>
          <w:szCs w:val="24"/>
        </w:rPr>
        <w:t>（11）法律法规或投标人须知前附表规定的其他情形。</w:t>
      </w:r>
    </w:p>
    <w:p w14:paraId="27677B5D">
      <w:pPr>
        <w:spacing w:before="184" w:line="219" w:lineRule="auto"/>
        <w:ind w:left="506"/>
        <w:rPr>
          <w:rFonts w:ascii="宋体" w:hAnsi="宋体" w:eastAsia="宋体" w:cs="宋体"/>
          <w:sz w:val="24"/>
          <w:szCs w:val="24"/>
        </w:rPr>
      </w:pPr>
      <w:r>
        <w:rPr>
          <w:rFonts w:ascii="宋体" w:hAnsi="宋体" w:eastAsia="宋体" w:cs="宋体"/>
          <w:spacing w:val="-1"/>
          <w:sz w:val="24"/>
          <w:szCs w:val="24"/>
        </w:rPr>
        <w:t>1.4.4 投标人（包括联合体各成员）不得存在下列不良状况或不良信用记录：</w:t>
      </w:r>
    </w:p>
    <w:p w14:paraId="5BAC699B">
      <w:pPr>
        <w:spacing w:before="181" w:line="360" w:lineRule="auto"/>
        <w:ind w:left="11" w:right="67" w:firstLine="488"/>
        <w:rPr>
          <w:rFonts w:ascii="宋体" w:hAnsi="宋体" w:eastAsia="宋体" w:cs="宋体"/>
          <w:sz w:val="24"/>
          <w:szCs w:val="24"/>
        </w:rPr>
      </w:pPr>
      <w:r>
        <w:rPr>
          <w:rFonts w:ascii="宋体" w:hAnsi="宋体" w:eastAsia="宋体" w:cs="宋体"/>
          <w:spacing w:val="-1"/>
          <w:sz w:val="24"/>
          <w:szCs w:val="24"/>
        </w:rPr>
        <w:t>（1）被省级及以上交通运输主管部门取消招标项目所在地的投标资格且处于有效</w:t>
      </w:r>
      <w:r>
        <w:rPr>
          <w:rFonts w:ascii="宋体" w:hAnsi="宋体" w:eastAsia="宋体" w:cs="宋体"/>
          <w:spacing w:val="-5"/>
          <w:sz w:val="24"/>
          <w:szCs w:val="24"/>
        </w:rPr>
        <w:t>期内；</w:t>
      </w:r>
    </w:p>
    <w:p w14:paraId="1B6D2262">
      <w:pPr>
        <w:spacing w:line="218" w:lineRule="auto"/>
        <w:ind w:left="499"/>
        <w:rPr>
          <w:rFonts w:ascii="宋体" w:hAnsi="宋体" w:eastAsia="宋体" w:cs="宋体"/>
          <w:sz w:val="24"/>
          <w:szCs w:val="24"/>
        </w:rPr>
      </w:pPr>
      <w:r>
        <w:rPr>
          <w:rFonts w:ascii="宋体" w:hAnsi="宋体" w:eastAsia="宋体" w:cs="宋体"/>
          <w:spacing w:val="-1"/>
          <w:sz w:val="24"/>
          <w:szCs w:val="24"/>
        </w:rPr>
        <w:t>（2）被责令停业，暂扣或吊销执照，或吊销资质证书；</w:t>
      </w:r>
    </w:p>
    <w:p w14:paraId="6A8E7271">
      <w:pPr>
        <w:spacing w:before="182" w:line="218" w:lineRule="auto"/>
        <w:ind w:left="499"/>
        <w:rPr>
          <w:rFonts w:ascii="宋体" w:hAnsi="宋体" w:eastAsia="宋体" w:cs="宋体"/>
          <w:sz w:val="24"/>
          <w:szCs w:val="24"/>
        </w:rPr>
      </w:pPr>
      <w:r>
        <w:rPr>
          <w:rFonts w:ascii="宋体" w:hAnsi="宋体" w:eastAsia="宋体" w:cs="宋体"/>
          <w:spacing w:val="-1"/>
          <w:sz w:val="24"/>
          <w:szCs w:val="24"/>
        </w:rPr>
        <w:t>（3）进入清算程序，或被宣告破产，或其他丧失履约能力的情形；</w:t>
      </w:r>
    </w:p>
    <w:p w14:paraId="432EDDC1">
      <w:pPr>
        <w:spacing w:before="182" w:line="219" w:lineRule="auto"/>
        <w:ind w:left="499"/>
        <w:rPr>
          <w:rFonts w:ascii="宋体" w:hAnsi="宋体" w:eastAsia="宋体" w:cs="宋体"/>
          <w:sz w:val="24"/>
          <w:szCs w:val="24"/>
        </w:rPr>
      </w:pPr>
      <w:r>
        <w:rPr>
          <w:rFonts w:ascii="宋体" w:hAnsi="宋体" w:eastAsia="宋体" w:cs="宋体"/>
          <w:spacing w:val="-1"/>
          <w:sz w:val="24"/>
          <w:szCs w:val="24"/>
        </w:rPr>
        <w:t>（4）在国家企业信用信息公示系统中被列入严重违法失信名单；</w:t>
      </w:r>
    </w:p>
    <w:p w14:paraId="5CE291FE">
      <w:pPr>
        <w:spacing w:before="164" w:line="227" w:lineRule="auto"/>
        <w:ind w:left="499"/>
        <w:rPr>
          <w:rFonts w:ascii="宋体" w:hAnsi="宋体" w:eastAsia="宋体" w:cs="宋体"/>
          <w:sz w:val="24"/>
          <w:szCs w:val="24"/>
        </w:rPr>
      </w:pPr>
      <w:r>
        <w:rPr>
          <w:rFonts w:ascii="宋体" w:hAnsi="宋体" w:eastAsia="宋体" w:cs="宋体"/>
          <w:spacing w:val="-2"/>
          <w:sz w:val="24"/>
          <w:szCs w:val="24"/>
        </w:rPr>
        <w:t>（5）在“信用中国</w:t>
      </w:r>
      <w:r>
        <w:rPr>
          <w:rFonts w:ascii="宋体" w:hAnsi="宋体" w:eastAsia="宋体" w:cs="宋体"/>
          <w:spacing w:val="-88"/>
          <w:sz w:val="24"/>
          <w:szCs w:val="24"/>
        </w:rPr>
        <w:t xml:space="preserve"> </w:t>
      </w:r>
      <w:r>
        <w:rPr>
          <w:rFonts w:ascii="宋体" w:hAnsi="宋体" w:eastAsia="宋体" w:cs="宋体"/>
          <w:spacing w:val="-2"/>
          <w:sz w:val="24"/>
          <w:szCs w:val="24"/>
        </w:rPr>
        <w:t>”网站中被列入失信被执行人名</w:t>
      </w:r>
      <w:r>
        <w:rPr>
          <w:rFonts w:ascii="宋体" w:hAnsi="宋体" w:eastAsia="宋体" w:cs="宋体"/>
          <w:spacing w:val="-3"/>
          <w:sz w:val="24"/>
          <w:szCs w:val="24"/>
        </w:rPr>
        <w:t>单；</w:t>
      </w:r>
    </w:p>
    <w:p w14:paraId="62D22302">
      <w:pPr>
        <w:spacing w:before="189" w:line="219" w:lineRule="auto"/>
        <w:ind w:left="499"/>
        <w:rPr>
          <w:rFonts w:ascii="宋体" w:hAnsi="宋体" w:eastAsia="宋体" w:cs="宋体"/>
          <w:sz w:val="24"/>
          <w:szCs w:val="24"/>
        </w:rPr>
      </w:pPr>
      <w:bookmarkStart w:id="6" w:name="bookmark110"/>
      <w:bookmarkEnd w:id="6"/>
      <w:r>
        <w:rPr>
          <w:rFonts w:ascii="宋体" w:hAnsi="宋体" w:eastAsia="宋体" w:cs="宋体"/>
          <w:spacing w:val="-1"/>
          <w:sz w:val="24"/>
          <w:szCs w:val="24"/>
        </w:rPr>
        <w:t>（6）投标人及其法定代表人、拟委任的项目负责人、项目技术负责人在近三年内</w:t>
      </w:r>
    </w:p>
    <w:p w14:paraId="412A95FA">
      <w:pPr>
        <w:spacing w:line="401" w:lineRule="auto"/>
        <w:rPr>
          <w:rFonts w:hint="eastAsia" w:ascii="Arial" w:eastAsia="宋体"/>
          <w:sz w:val="21"/>
          <w:lang w:eastAsia="zh-CN"/>
        </w:rPr>
      </w:pPr>
      <w:r>
        <w:rPr>
          <w:rFonts w:hint="eastAsia" w:ascii="Arial" w:eastAsia="宋体"/>
          <w:sz w:val="21"/>
          <w:lang w:eastAsia="zh-CN"/>
        </w:rPr>
        <w:br w:type="page"/>
      </w:r>
    </w:p>
    <w:p w14:paraId="622464EE">
      <w:pPr>
        <w:spacing w:before="78" w:line="220" w:lineRule="auto"/>
        <w:ind w:left="9"/>
        <w:rPr>
          <w:rFonts w:ascii="宋体" w:hAnsi="宋体" w:eastAsia="宋体" w:cs="宋体"/>
          <w:sz w:val="24"/>
          <w:szCs w:val="24"/>
        </w:rPr>
      </w:pPr>
      <w:r>
        <w:rPr>
          <w:rFonts w:ascii="宋体" w:hAnsi="宋体" w:eastAsia="宋体" w:cs="宋体"/>
          <w:spacing w:val="-2"/>
          <w:sz w:val="24"/>
          <w:szCs w:val="24"/>
        </w:rPr>
        <w:t>有行贿犯罪行为的；</w:t>
      </w:r>
    </w:p>
    <w:p w14:paraId="0209CB1D">
      <w:pPr>
        <w:spacing w:before="179" w:line="219" w:lineRule="auto"/>
        <w:ind w:left="499"/>
        <w:rPr>
          <w:rFonts w:ascii="宋体" w:hAnsi="宋体" w:eastAsia="宋体" w:cs="宋体"/>
          <w:sz w:val="24"/>
          <w:szCs w:val="24"/>
        </w:rPr>
      </w:pPr>
      <w:r>
        <w:rPr>
          <w:rFonts w:ascii="宋体" w:hAnsi="宋体" w:eastAsia="宋体" w:cs="宋体"/>
          <w:spacing w:val="-1"/>
          <w:sz w:val="24"/>
          <w:szCs w:val="24"/>
        </w:rPr>
        <w:t>（7）法律法规或投标人须知前附表规定的其他情形。</w:t>
      </w:r>
    </w:p>
    <w:p w14:paraId="57FB37AD">
      <w:pPr>
        <w:spacing w:before="184" w:line="219" w:lineRule="auto"/>
        <w:ind w:left="26"/>
        <w:rPr>
          <w:rFonts w:ascii="宋体" w:hAnsi="宋体" w:eastAsia="宋体" w:cs="宋体"/>
          <w:sz w:val="24"/>
          <w:szCs w:val="24"/>
        </w:rPr>
      </w:pPr>
      <w:r>
        <w:rPr>
          <w:rFonts w:ascii="宋体" w:hAnsi="宋体" w:eastAsia="宋体" w:cs="宋体"/>
          <w:b/>
          <w:bCs/>
          <w:spacing w:val="-9"/>
          <w:sz w:val="24"/>
          <w:szCs w:val="24"/>
        </w:rPr>
        <w:t>1.5</w:t>
      </w:r>
      <w:r>
        <w:rPr>
          <w:rFonts w:ascii="宋体" w:hAnsi="宋体" w:eastAsia="宋体" w:cs="宋体"/>
          <w:spacing w:val="24"/>
          <w:sz w:val="24"/>
          <w:szCs w:val="24"/>
        </w:rPr>
        <w:t xml:space="preserve"> </w:t>
      </w:r>
      <w:r>
        <w:rPr>
          <w:rFonts w:ascii="宋体" w:hAnsi="宋体" w:eastAsia="宋体" w:cs="宋体"/>
          <w:b/>
          <w:bCs/>
          <w:spacing w:val="-9"/>
          <w:sz w:val="24"/>
          <w:szCs w:val="24"/>
        </w:rPr>
        <w:t>费用承担</w:t>
      </w:r>
    </w:p>
    <w:p w14:paraId="7C0E5241">
      <w:pPr>
        <w:spacing w:before="180" w:line="220" w:lineRule="auto"/>
        <w:ind w:left="491"/>
        <w:rPr>
          <w:rFonts w:ascii="宋体" w:hAnsi="宋体" w:eastAsia="宋体" w:cs="宋体"/>
          <w:sz w:val="24"/>
          <w:szCs w:val="24"/>
        </w:rPr>
      </w:pPr>
      <w:r>
        <w:rPr>
          <w:rFonts w:ascii="宋体" w:hAnsi="宋体" w:eastAsia="宋体" w:cs="宋体"/>
          <w:spacing w:val="-1"/>
          <w:sz w:val="24"/>
          <w:szCs w:val="24"/>
        </w:rPr>
        <w:t>投标人准备和参加投标活动发生的费用自理。</w:t>
      </w:r>
    </w:p>
    <w:p w14:paraId="37A2A7EF">
      <w:pPr>
        <w:spacing w:before="182" w:line="220" w:lineRule="auto"/>
        <w:ind w:left="26"/>
        <w:rPr>
          <w:rFonts w:ascii="宋体" w:hAnsi="宋体" w:eastAsia="宋体" w:cs="宋体"/>
          <w:sz w:val="24"/>
          <w:szCs w:val="24"/>
        </w:rPr>
      </w:pPr>
      <w:r>
        <w:rPr>
          <w:rFonts w:ascii="宋体" w:hAnsi="宋体" w:eastAsia="宋体" w:cs="宋体"/>
          <w:b/>
          <w:bCs/>
          <w:spacing w:val="-10"/>
          <w:sz w:val="24"/>
          <w:szCs w:val="24"/>
        </w:rPr>
        <w:t>1.6</w:t>
      </w:r>
      <w:r>
        <w:rPr>
          <w:rFonts w:ascii="宋体" w:hAnsi="宋体" w:eastAsia="宋体" w:cs="宋体"/>
          <w:spacing w:val="14"/>
          <w:sz w:val="24"/>
          <w:szCs w:val="24"/>
        </w:rPr>
        <w:t xml:space="preserve"> </w:t>
      </w:r>
      <w:r>
        <w:rPr>
          <w:rFonts w:ascii="宋体" w:hAnsi="宋体" w:eastAsia="宋体" w:cs="宋体"/>
          <w:b/>
          <w:bCs/>
          <w:spacing w:val="-10"/>
          <w:sz w:val="24"/>
          <w:szCs w:val="24"/>
        </w:rPr>
        <w:t>保密</w:t>
      </w:r>
    </w:p>
    <w:p w14:paraId="3674E293">
      <w:pPr>
        <w:spacing w:before="179" w:line="359" w:lineRule="auto"/>
        <w:ind w:left="10" w:right="61" w:firstLine="480"/>
        <w:rPr>
          <w:rFonts w:ascii="宋体" w:hAnsi="宋体" w:eastAsia="宋体" w:cs="宋体"/>
          <w:sz w:val="24"/>
          <w:szCs w:val="24"/>
        </w:rPr>
      </w:pPr>
      <w:r>
        <w:rPr>
          <w:rFonts w:ascii="宋体" w:hAnsi="宋体" w:eastAsia="宋体" w:cs="宋体"/>
          <w:spacing w:val="-2"/>
          <w:sz w:val="24"/>
          <w:szCs w:val="24"/>
        </w:rPr>
        <w:t>参与招标投标活动的各方应对招标文件和投标文件中的商业和技术等秘密保密，违</w:t>
      </w:r>
      <w:r>
        <w:rPr>
          <w:rFonts w:ascii="宋体" w:hAnsi="宋体" w:eastAsia="宋体" w:cs="宋体"/>
          <w:spacing w:val="-1"/>
          <w:sz w:val="24"/>
          <w:szCs w:val="24"/>
        </w:rPr>
        <w:t>者应对由此造成的后果承担法律责任。</w:t>
      </w:r>
    </w:p>
    <w:p w14:paraId="42BCDD23">
      <w:pPr>
        <w:spacing w:line="219" w:lineRule="auto"/>
        <w:ind w:left="26"/>
        <w:rPr>
          <w:rFonts w:ascii="宋体" w:hAnsi="宋体" w:eastAsia="宋体" w:cs="宋体"/>
          <w:sz w:val="24"/>
          <w:szCs w:val="24"/>
        </w:rPr>
      </w:pPr>
      <w:r>
        <w:rPr>
          <w:rFonts w:ascii="宋体" w:hAnsi="宋体" w:eastAsia="宋体" w:cs="宋体"/>
          <w:b/>
          <w:bCs/>
          <w:spacing w:val="-8"/>
          <w:sz w:val="24"/>
          <w:szCs w:val="24"/>
        </w:rPr>
        <w:t>1.7</w:t>
      </w:r>
      <w:r>
        <w:rPr>
          <w:rFonts w:ascii="宋体" w:hAnsi="宋体" w:eastAsia="宋体" w:cs="宋体"/>
          <w:spacing w:val="17"/>
          <w:sz w:val="24"/>
          <w:szCs w:val="24"/>
        </w:rPr>
        <w:t xml:space="preserve"> </w:t>
      </w:r>
      <w:r>
        <w:rPr>
          <w:rFonts w:ascii="宋体" w:hAnsi="宋体" w:eastAsia="宋体" w:cs="宋体"/>
          <w:b/>
          <w:bCs/>
          <w:spacing w:val="-8"/>
          <w:sz w:val="24"/>
          <w:szCs w:val="24"/>
        </w:rPr>
        <w:t>语言文字</w:t>
      </w:r>
    </w:p>
    <w:p w14:paraId="6DFB7DAA">
      <w:pPr>
        <w:spacing w:before="183" w:line="359" w:lineRule="auto"/>
        <w:ind w:left="7" w:right="61" w:firstLine="495"/>
        <w:rPr>
          <w:rFonts w:ascii="宋体" w:hAnsi="宋体" w:eastAsia="宋体" w:cs="宋体"/>
          <w:sz w:val="24"/>
          <w:szCs w:val="24"/>
        </w:rPr>
      </w:pPr>
      <w:r>
        <w:rPr>
          <w:rFonts w:ascii="宋体" w:hAnsi="宋体" w:eastAsia="宋体" w:cs="宋体"/>
          <w:spacing w:val="-2"/>
          <w:sz w:val="24"/>
          <w:szCs w:val="24"/>
        </w:rPr>
        <w:t>除专用术语外，与招标投标有关的语言均使用中文。必要时专用术语</w:t>
      </w:r>
      <w:r>
        <w:rPr>
          <w:rFonts w:ascii="宋体" w:hAnsi="宋体" w:eastAsia="宋体" w:cs="宋体"/>
          <w:spacing w:val="-3"/>
          <w:sz w:val="24"/>
          <w:szCs w:val="24"/>
        </w:rPr>
        <w:t>应附有中文注</w:t>
      </w:r>
      <w:r>
        <w:rPr>
          <w:rFonts w:ascii="宋体" w:hAnsi="宋体" w:eastAsia="宋体" w:cs="宋体"/>
          <w:spacing w:val="-5"/>
          <w:sz w:val="24"/>
          <w:szCs w:val="24"/>
        </w:rPr>
        <w:t>释。</w:t>
      </w:r>
    </w:p>
    <w:p w14:paraId="332C4C36">
      <w:pPr>
        <w:spacing w:line="220" w:lineRule="auto"/>
        <w:ind w:left="26"/>
        <w:rPr>
          <w:rFonts w:ascii="宋体" w:hAnsi="宋体" w:eastAsia="宋体" w:cs="宋体"/>
          <w:sz w:val="24"/>
          <w:szCs w:val="24"/>
        </w:rPr>
      </w:pPr>
      <w:r>
        <w:rPr>
          <w:rFonts w:ascii="宋体" w:hAnsi="宋体" w:eastAsia="宋体" w:cs="宋体"/>
          <w:b/>
          <w:bCs/>
          <w:spacing w:val="-8"/>
          <w:sz w:val="24"/>
          <w:szCs w:val="24"/>
        </w:rPr>
        <w:t>1.8</w:t>
      </w:r>
      <w:r>
        <w:rPr>
          <w:rFonts w:ascii="宋体" w:hAnsi="宋体" w:eastAsia="宋体" w:cs="宋体"/>
          <w:spacing w:val="17"/>
          <w:sz w:val="24"/>
          <w:szCs w:val="24"/>
        </w:rPr>
        <w:t xml:space="preserve"> </w:t>
      </w:r>
      <w:r>
        <w:rPr>
          <w:rFonts w:ascii="宋体" w:hAnsi="宋体" w:eastAsia="宋体" w:cs="宋体"/>
          <w:b/>
          <w:bCs/>
          <w:spacing w:val="-8"/>
          <w:sz w:val="24"/>
          <w:szCs w:val="24"/>
        </w:rPr>
        <w:t>计量单位</w:t>
      </w:r>
    </w:p>
    <w:p w14:paraId="21321F75">
      <w:pPr>
        <w:spacing w:before="179" w:line="219" w:lineRule="auto"/>
        <w:ind w:left="488"/>
        <w:rPr>
          <w:rFonts w:ascii="宋体" w:hAnsi="宋体" w:eastAsia="宋体" w:cs="宋体"/>
          <w:sz w:val="24"/>
          <w:szCs w:val="24"/>
        </w:rPr>
      </w:pPr>
      <w:r>
        <w:rPr>
          <w:rFonts w:ascii="宋体" w:hAnsi="宋体" w:eastAsia="宋体" w:cs="宋体"/>
          <w:spacing w:val="-1"/>
          <w:sz w:val="24"/>
          <w:szCs w:val="24"/>
        </w:rPr>
        <w:t>所有计量均采用中华人民共和国法定计量单位。</w:t>
      </w:r>
    </w:p>
    <w:p w14:paraId="0B5083CA">
      <w:pPr>
        <w:spacing w:before="185" w:line="219" w:lineRule="auto"/>
        <w:ind w:left="26"/>
        <w:rPr>
          <w:rFonts w:ascii="宋体" w:hAnsi="宋体" w:eastAsia="宋体" w:cs="宋体"/>
          <w:sz w:val="24"/>
          <w:szCs w:val="24"/>
        </w:rPr>
      </w:pPr>
      <w:r>
        <w:rPr>
          <w:rFonts w:ascii="宋体" w:hAnsi="宋体" w:eastAsia="宋体" w:cs="宋体"/>
          <w:b/>
          <w:bCs/>
          <w:spacing w:val="-8"/>
          <w:sz w:val="24"/>
          <w:szCs w:val="24"/>
        </w:rPr>
        <w:t>1.9</w:t>
      </w:r>
      <w:r>
        <w:rPr>
          <w:rFonts w:ascii="宋体" w:hAnsi="宋体" w:eastAsia="宋体" w:cs="宋体"/>
          <w:spacing w:val="17"/>
          <w:sz w:val="24"/>
          <w:szCs w:val="24"/>
        </w:rPr>
        <w:t xml:space="preserve"> </w:t>
      </w:r>
      <w:r>
        <w:rPr>
          <w:rFonts w:ascii="宋体" w:hAnsi="宋体" w:eastAsia="宋体" w:cs="宋体"/>
          <w:b/>
          <w:bCs/>
          <w:spacing w:val="-8"/>
          <w:sz w:val="24"/>
          <w:szCs w:val="24"/>
        </w:rPr>
        <w:t>踏勘现场</w:t>
      </w:r>
    </w:p>
    <w:p w14:paraId="27377AE9">
      <w:pPr>
        <w:spacing w:before="181" w:line="359" w:lineRule="auto"/>
        <w:ind w:left="7" w:right="61" w:firstLine="498"/>
        <w:rPr>
          <w:rFonts w:ascii="宋体" w:hAnsi="宋体" w:eastAsia="宋体" w:cs="宋体"/>
          <w:sz w:val="24"/>
          <w:szCs w:val="24"/>
        </w:rPr>
      </w:pPr>
      <w:r>
        <w:rPr>
          <w:rFonts w:ascii="宋体" w:hAnsi="宋体" w:eastAsia="宋体" w:cs="宋体"/>
          <w:spacing w:val="-3"/>
          <w:sz w:val="24"/>
          <w:szCs w:val="24"/>
        </w:rPr>
        <w:t>1.9.1</w:t>
      </w:r>
      <w:r>
        <w:rPr>
          <w:rFonts w:ascii="宋体" w:hAnsi="宋体" w:eastAsia="宋体" w:cs="宋体"/>
          <w:spacing w:val="-38"/>
          <w:sz w:val="24"/>
          <w:szCs w:val="24"/>
        </w:rPr>
        <w:t xml:space="preserve"> </w:t>
      </w:r>
      <w:r>
        <w:rPr>
          <w:rFonts w:ascii="宋体" w:hAnsi="宋体" w:eastAsia="宋体" w:cs="宋体"/>
          <w:spacing w:val="-3"/>
          <w:sz w:val="24"/>
          <w:szCs w:val="24"/>
        </w:rPr>
        <w:t>第一章“招标公告</w:t>
      </w:r>
      <w:r>
        <w:rPr>
          <w:rFonts w:ascii="宋体" w:hAnsi="宋体" w:eastAsia="宋体" w:cs="宋体"/>
          <w:spacing w:val="-89"/>
          <w:sz w:val="24"/>
          <w:szCs w:val="24"/>
        </w:rPr>
        <w:t xml:space="preserve"> </w:t>
      </w:r>
      <w:r>
        <w:rPr>
          <w:rFonts w:ascii="宋体" w:hAnsi="宋体" w:eastAsia="宋体" w:cs="宋体"/>
          <w:spacing w:val="-3"/>
          <w:sz w:val="24"/>
          <w:szCs w:val="24"/>
        </w:rPr>
        <w:t>”或“投标邀请书</w:t>
      </w:r>
      <w:r>
        <w:rPr>
          <w:rFonts w:ascii="宋体" w:hAnsi="宋体" w:eastAsia="宋体" w:cs="宋体"/>
          <w:spacing w:val="-88"/>
          <w:sz w:val="24"/>
          <w:szCs w:val="24"/>
        </w:rPr>
        <w:t xml:space="preserve"> </w:t>
      </w:r>
      <w:r>
        <w:rPr>
          <w:rFonts w:ascii="宋体" w:hAnsi="宋体" w:eastAsia="宋体" w:cs="宋体"/>
          <w:spacing w:val="-3"/>
          <w:sz w:val="24"/>
          <w:szCs w:val="24"/>
        </w:rPr>
        <w:t>”规定组织踏勘现场的，招标人按规定</w:t>
      </w:r>
      <w:r>
        <w:rPr>
          <w:rFonts w:ascii="宋体" w:hAnsi="宋体" w:eastAsia="宋体" w:cs="宋体"/>
          <w:spacing w:val="-2"/>
          <w:sz w:val="24"/>
          <w:szCs w:val="24"/>
        </w:rPr>
        <w:t>的时间、地点组织投标人踏勘项目现场。部分投标人未按时参加踏勘现场的，不影响踏</w:t>
      </w:r>
      <w:r>
        <w:rPr>
          <w:rFonts w:ascii="宋体" w:hAnsi="宋体" w:eastAsia="宋体" w:cs="宋体"/>
          <w:sz w:val="24"/>
          <w:szCs w:val="24"/>
        </w:rPr>
        <w:t>勘现场的正常进行。招标人不得组织单个或部分</w:t>
      </w:r>
      <w:r>
        <w:rPr>
          <w:rFonts w:ascii="宋体" w:hAnsi="宋体" w:eastAsia="宋体" w:cs="宋体"/>
          <w:spacing w:val="-1"/>
          <w:sz w:val="24"/>
          <w:szCs w:val="24"/>
        </w:rPr>
        <w:t>投标人踏勘项目现场。</w:t>
      </w:r>
    </w:p>
    <w:p w14:paraId="664ED9DA">
      <w:pPr>
        <w:spacing w:before="1" w:line="219" w:lineRule="auto"/>
        <w:ind w:left="506"/>
        <w:rPr>
          <w:rFonts w:ascii="宋体" w:hAnsi="宋体" w:eastAsia="宋体" w:cs="宋体"/>
          <w:sz w:val="24"/>
          <w:szCs w:val="24"/>
        </w:rPr>
      </w:pPr>
      <w:r>
        <w:rPr>
          <w:rFonts w:ascii="宋体" w:hAnsi="宋体" w:eastAsia="宋体" w:cs="宋体"/>
          <w:spacing w:val="-2"/>
          <w:sz w:val="24"/>
          <w:szCs w:val="24"/>
        </w:rPr>
        <w:t>1.9.2</w:t>
      </w:r>
      <w:r>
        <w:rPr>
          <w:rFonts w:ascii="宋体" w:hAnsi="宋体" w:eastAsia="宋体" w:cs="宋体"/>
          <w:spacing w:val="-48"/>
          <w:sz w:val="24"/>
          <w:szCs w:val="24"/>
        </w:rPr>
        <w:t xml:space="preserve"> </w:t>
      </w:r>
      <w:r>
        <w:rPr>
          <w:rFonts w:ascii="宋体" w:hAnsi="宋体" w:eastAsia="宋体" w:cs="宋体"/>
          <w:spacing w:val="-2"/>
          <w:sz w:val="24"/>
          <w:szCs w:val="24"/>
        </w:rPr>
        <w:t>投标人踏勘现场发生的费用自理。</w:t>
      </w:r>
    </w:p>
    <w:p w14:paraId="74C23C2A">
      <w:pPr>
        <w:spacing w:before="180" w:line="360" w:lineRule="auto"/>
        <w:ind w:left="8" w:right="68" w:firstLine="497"/>
        <w:rPr>
          <w:rFonts w:ascii="宋体" w:hAnsi="宋体" w:eastAsia="宋体" w:cs="宋体"/>
          <w:sz w:val="24"/>
          <w:szCs w:val="24"/>
        </w:rPr>
      </w:pPr>
      <w:r>
        <w:rPr>
          <w:rFonts w:ascii="宋体" w:hAnsi="宋体" w:eastAsia="宋体" w:cs="宋体"/>
          <w:spacing w:val="-1"/>
          <w:sz w:val="24"/>
          <w:szCs w:val="24"/>
        </w:rPr>
        <w:t>1.9.3</w:t>
      </w:r>
      <w:r>
        <w:rPr>
          <w:rFonts w:ascii="宋体" w:hAnsi="宋体" w:eastAsia="宋体" w:cs="宋体"/>
          <w:spacing w:val="-37"/>
          <w:sz w:val="24"/>
          <w:szCs w:val="24"/>
        </w:rPr>
        <w:t xml:space="preserve"> </w:t>
      </w:r>
      <w:r>
        <w:rPr>
          <w:rFonts w:ascii="宋体" w:hAnsi="宋体" w:eastAsia="宋体" w:cs="宋体"/>
          <w:spacing w:val="-1"/>
          <w:sz w:val="24"/>
          <w:szCs w:val="24"/>
        </w:rPr>
        <w:t>除招标人的原因外，投标人自行负责在踏勘</w:t>
      </w:r>
      <w:r>
        <w:rPr>
          <w:rFonts w:ascii="宋体" w:hAnsi="宋体" w:eastAsia="宋体" w:cs="宋体"/>
          <w:spacing w:val="-2"/>
          <w:sz w:val="24"/>
          <w:szCs w:val="24"/>
        </w:rPr>
        <w:t>现场中所发生的人员伤亡和财产</w:t>
      </w:r>
      <w:r>
        <w:rPr>
          <w:rFonts w:ascii="宋体" w:hAnsi="宋体" w:eastAsia="宋体" w:cs="宋体"/>
          <w:spacing w:val="-4"/>
          <w:sz w:val="24"/>
          <w:szCs w:val="24"/>
        </w:rPr>
        <w:t>损失。</w:t>
      </w:r>
    </w:p>
    <w:p w14:paraId="07C6C376">
      <w:pPr>
        <w:spacing w:before="1" w:line="359" w:lineRule="auto"/>
        <w:ind w:left="9" w:right="68" w:firstLine="496"/>
        <w:rPr>
          <w:rFonts w:ascii="宋体" w:hAnsi="宋体" w:eastAsia="宋体" w:cs="宋体"/>
          <w:sz w:val="24"/>
          <w:szCs w:val="24"/>
        </w:rPr>
      </w:pPr>
      <w:r>
        <w:rPr>
          <w:rFonts w:ascii="宋体" w:hAnsi="宋体" w:eastAsia="宋体" w:cs="宋体"/>
          <w:spacing w:val="-1"/>
          <w:sz w:val="24"/>
          <w:szCs w:val="24"/>
        </w:rPr>
        <w:t>1.9.4</w:t>
      </w:r>
      <w:r>
        <w:rPr>
          <w:rFonts w:ascii="宋体" w:hAnsi="宋体" w:eastAsia="宋体" w:cs="宋体"/>
          <w:spacing w:val="-50"/>
          <w:sz w:val="24"/>
          <w:szCs w:val="24"/>
        </w:rPr>
        <w:t xml:space="preserve"> </w:t>
      </w:r>
      <w:r>
        <w:rPr>
          <w:rFonts w:ascii="宋体" w:hAnsi="宋体" w:eastAsia="宋体" w:cs="宋体"/>
          <w:spacing w:val="-1"/>
          <w:sz w:val="24"/>
          <w:szCs w:val="24"/>
        </w:rPr>
        <w:t>招标人在踏勘现场中介绍的工程场地和相关的周边环境情况，供投标人在编制投标文件时参考，招标人不对投标人据此作出的判断和决策负责。</w:t>
      </w:r>
    </w:p>
    <w:p w14:paraId="43C4C648">
      <w:pPr>
        <w:spacing w:before="1" w:line="359" w:lineRule="auto"/>
        <w:ind w:left="8" w:right="48" w:firstLine="497"/>
        <w:rPr>
          <w:rFonts w:ascii="宋体" w:hAnsi="宋体" w:eastAsia="宋体" w:cs="宋体"/>
          <w:sz w:val="24"/>
          <w:szCs w:val="24"/>
        </w:rPr>
      </w:pPr>
      <w:r>
        <w:rPr>
          <w:rFonts w:ascii="宋体" w:hAnsi="宋体" w:eastAsia="宋体" w:cs="宋体"/>
          <w:spacing w:val="-1"/>
          <w:sz w:val="24"/>
          <w:szCs w:val="24"/>
        </w:rPr>
        <w:t>1.9.5</w:t>
      </w:r>
      <w:r>
        <w:rPr>
          <w:rFonts w:ascii="宋体" w:hAnsi="宋体" w:eastAsia="宋体" w:cs="宋体"/>
          <w:spacing w:val="-50"/>
          <w:sz w:val="24"/>
          <w:szCs w:val="24"/>
        </w:rPr>
        <w:t xml:space="preserve"> </w:t>
      </w:r>
      <w:r>
        <w:rPr>
          <w:rFonts w:ascii="宋体" w:hAnsi="宋体" w:eastAsia="宋体" w:cs="宋体"/>
          <w:spacing w:val="-1"/>
          <w:sz w:val="24"/>
          <w:szCs w:val="24"/>
        </w:rPr>
        <w:t>招标人提供的本合同工程的水文、地质、气象和料场分布、取土场、弃土场位置等参考资料，并不构成合同文件的组成部分，投标人</w:t>
      </w:r>
      <w:r>
        <w:rPr>
          <w:rFonts w:ascii="宋体" w:hAnsi="宋体" w:eastAsia="宋体" w:cs="宋体"/>
          <w:spacing w:val="-2"/>
          <w:sz w:val="24"/>
          <w:szCs w:val="24"/>
        </w:rPr>
        <w:t>应对自己就上述资料的解释、</w:t>
      </w:r>
      <w:r>
        <w:rPr>
          <w:rFonts w:ascii="宋体" w:hAnsi="宋体" w:eastAsia="宋体" w:cs="宋体"/>
          <w:sz w:val="24"/>
          <w:szCs w:val="24"/>
        </w:rPr>
        <w:t>推论和应用负责，招标人不对投标人据此作出的判</w:t>
      </w:r>
      <w:r>
        <w:rPr>
          <w:rFonts w:ascii="宋体" w:hAnsi="宋体" w:eastAsia="宋体" w:cs="宋体"/>
          <w:spacing w:val="-1"/>
          <w:sz w:val="24"/>
          <w:szCs w:val="24"/>
        </w:rPr>
        <w:t>断和决策承担任何责任。</w:t>
      </w:r>
    </w:p>
    <w:p w14:paraId="6A7C4CBE">
      <w:pPr>
        <w:spacing w:before="1" w:line="218" w:lineRule="auto"/>
        <w:ind w:left="26"/>
        <w:rPr>
          <w:rFonts w:ascii="宋体" w:hAnsi="宋体" w:eastAsia="宋体" w:cs="宋体"/>
          <w:sz w:val="24"/>
          <w:szCs w:val="24"/>
        </w:rPr>
      </w:pPr>
      <w:r>
        <w:rPr>
          <w:rFonts w:ascii="宋体" w:hAnsi="宋体" w:eastAsia="宋体" w:cs="宋体"/>
          <w:b/>
          <w:bCs/>
          <w:spacing w:val="-5"/>
          <w:sz w:val="24"/>
          <w:szCs w:val="24"/>
        </w:rPr>
        <w:t>1.10</w:t>
      </w:r>
      <w:r>
        <w:rPr>
          <w:rFonts w:ascii="宋体" w:hAnsi="宋体" w:eastAsia="宋体" w:cs="宋体"/>
          <w:spacing w:val="-5"/>
          <w:sz w:val="24"/>
          <w:szCs w:val="24"/>
        </w:rPr>
        <w:t xml:space="preserve"> </w:t>
      </w:r>
      <w:r>
        <w:rPr>
          <w:rFonts w:ascii="宋体" w:hAnsi="宋体" w:eastAsia="宋体" w:cs="宋体"/>
          <w:b/>
          <w:bCs/>
          <w:spacing w:val="-5"/>
          <w:sz w:val="24"/>
          <w:szCs w:val="24"/>
        </w:rPr>
        <w:t>投标预备会</w:t>
      </w:r>
    </w:p>
    <w:p w14:paraId="3AA35C2B">
      <w:pPr>
        <w:spacing w:before="181" w:line="359" w:lineRule="auto"/>
        <w:ind w:left="9" w:right="128" w:firstLine="496"/>
        <w:rPr>
          <w:rFonts w:ascii="宋体" w:hAnsi="宋体" w:eastAsia="宋体" w:cs="宋体"/>
          <w:sz w:val="24"/>
          <w:szCs w:val="24"/>
        </w:rPr>
      </w:pPr>
      <w:r>
        <w:rPr>
          <w:rFonts w:ascii="宋体" w:hAnsi="宋体" w:eastAsia="宋体" w:cs="宋体"/>
          <w:spacing w:val="-2"/>
          <w:sz w:val="24"/>
          <w:szCs w:val="24"/>
        </w:rPr>
        <w:t>1.10.1 第一章“招标公告</w:t>
      </w:r>
      <w:r>
        <w:rPr>
          <w:rFonts w:ascii="宋体" w:hAnsi="宋体" w:eastAsia="宋体" w:cs="宋体"/>
          <w:spacing w:val="-89"/>
          <w:sz w:val="24"/>
          <w:szCs w:val="24"/>
        </w:rPr>
        <w:t xml:space="preserve"> </w:t>
      </w:r>
      <w:r>
        <w:rPr>
          <w:rFonts w:ascii="宋体" w:hAnsi="宋体" w:eastAsia="宋体" w:cs="宋体"/>
          <w:spacing w:val="-2"/>
          <w:sz w:val="24"/>
          <w:szCs w:val="24"/>
        </w:rPr>
        <w:t>”或“投标邀请书</w:t>
      </w:r>
      <w:r>
        <w:rPr>
          <w:rFonts w:ascii="宋体" w:hAnsi="宋体" w:eastAsia="宋体" w:cs="宋体"/>
          <w:spacing w:val="-88"/>
          <w:sz w:val="24"/>
          <w:szCs w:val="24"/>
        </w:rPr>
        <w:t xml:space="preserve"> </w:t>
      </w:r>
      <w:r>
        <w:rPr>
          <w:rFonts w:ascii="宋体" w:hAnsi="宋体" w:eastAsia="宋体" w:cs="宋体"/>
          <w:spacing w:val="-2"/>
          <w:sz w:val="24"/>
          <w:szCs w:val="24"/>
        </w:rPr>
        <w:t>”规</w:t>
      </w:r>
      <w:r>
        <w:rPr>
          <w:rFonts w:ascii="宋体" w:hAnsi="宋体" w:eastAsia="宋体" w:cs="宋体"/>
          <w:spacing w:val="-3"/>
          <w:sz w:val="24"/>
          <w:szCs w:val="24"/>
        </w:rPr>
        <w:t>定召开投标预备会的，招标人按</w:t>
      </w:r>
      <w:r>
        <w:rPr>
          <w:rFonts w:ascii="宋体" w:hAnsi="宋体" w:eastAsia="宋体" w:cs="宋体"/>
          <w:spacing w:val="-1"/>
          <w:sz w:val="24"/>
          <w:szCs w:val="24"/>
        </w:rPr>
        <w:t>规定的时间和地点召开投标预备会，澄清投标人提出的问题。</w:t>
      </w:r>
    </w:p>
    <w:p w14:paraId="3796C41E">
      <w:pPr>
        <w:spacing w:before="1" w:line="359" w:lineRule="auto"/>
        <w:ind w:left="35" w:firstLine="470"/>
        <w:rPr>
          <w:rFonts w:ascii="宋体" w:hAnsi="宋体" w:eastAsia="宋体" w:cs="宋体"/>
          <w:sz w:val="24"/>
          <w:szCs w:val="24"/>
        </w:rPr>
      </w:pPr>
      <w:r>
        <w:rPr>
          <w:rFonts w:ascii="宋体" w:hAnsi="宋体" w:eastAsia="宋体" w:cs="宋体"/>
          <w:spacing w:val="-3"/>
          <w:sz w:val="24"/>
          <w:szCs w:val="24"/>
        </w:rPr>
        <w:t>1.10.2</w:t>
      </w:r>
      <w:r>
        <w:rPr>
          <w:rFonts w:ascii="宋体" w:hAnsi="宋体" w:eastAsia="宋体" w:cs="宋体"/>
          <w:spacing w:val="-23"/>
          <w:sz w:val="24"/>
          <w:szCs w:val="24"/>
        </w:rPr>
        <w:t xml:space="preserve"> </w:t>
      </w:r>
      <w:r>
        <w:rPr>
          <w:rFonts w:ascii="宋体" w:hAnsi="宋体" w:eastAsia="宋体" w:cs="宋体"/>
          <w:spacing w:val="-3"/>
          <w:sz w:val="24"/>
          <w:szCs w:val="24"/>
        </w:rPr>
        <w:t>投标人应按投标人须知前附表规定的时间和形式将提出的问题送达招标人，以便招标人在会议期间澄清。</w:t>
      </w:r>
    </w:p>
    <w:p w14:paraId="7B5C9EBC">
      <w:pPr>
        <w:spacing w:before="1" w:line="218" w:lineRule="auto"/>
        <w:ind w:left="506"/>
        <w:rPr>
          <w:rFonts w:ascii="宋体" w:hAnsi="宋体" w:eastAsia="宋体" w:cs="宋体"/>
          <w:sz w:val="24"/>
          <w:szCs w:val="24"/>
        </w:rPr>
      </w:pPr>
      <w:r>
        <w:rPr>
          <w:rFonts w:ascii="宋体" w:hAnsi="宋体" w:eastAsia="宋体" w:cs="宋体"/>
          <w:spacing w:val="-2"/>
          <w:sz w:val="24"/>
          <w:szCs w:val="24"/>
        </w:rPr>
        <w:t>1.10.3 投标预备会后，招标人将对投标人所提问题的澄清，以本章第 2.2 款规定</w:t>
      </w:r>
    </w:p>
    <w:p w14:paraId="32D39323">
      <w:pPr>
        <w:spacing w:line="402" w:lineRule="auto"/>
        <w:rPr>
          <w:rFonts w:hint="eastAsia" w:ascii="Arial" w:eastAsia="宋体"/>
          <w:sz w:val="21"/>
          <w:lang w:eastAsia="zh-CN"/>
        </w:rPr>
      </w:pPr>
      <w:r>
        <w:rPr>
          <w:rFonts w:hint="eastAsia" w:ascii="Arial" w:eastAsia="宋体"/>
          <w:sz w:val="21"/>
          <w:lang w:eastAsia="zh-CN"/>
        </w:rPr>
        <w:br w:type="page"/>
      </w:r>
    </w:p>
    <w:p w14:paraId="20A3A91A">
      <w:pPr>
        <w:spacing w:before="78" w:line="219" w:lineRule="auto"/>
        <w:ind w:left="31"/>
        <w:rPr>
          <w:rFonts w:ascii="宋体" w:hAnsi="宋体" w:eastAsia="宋体" w:cs="宋体"/>
          <w:sz w:val="24"/>
          <w:szCs w:val="24"/>
        </w:rPr>
      </w:pPr>
      <w:r>
        <w:rPr>
          <w:rFonts w:ascii="宋体" w:hAnsi="宋体" w:eastAsia="宋体" w:cs="宋体"/>
          <w:spacing w:val="-1"/>
          <w:sz w:val="24"/>
          <w:szCs w:val="24"/>
        </w:rPr>
        <w:t>的形式通知所有投标登记成功的投标人。该澄清内容为招标文件的组成部分。</w:t>
      </w:r>
    </w:p>
    <w:p w14:paraId="2BD7514E">
      <w:pPr>
        <w:spacing w:before="180" w:line="220" w:lineRule="auto"/>
        <w:ind w:left="29"/>
        <w:rPr>
          <w:rFonts w:ascii="宋体" w:hAnsi="宋体" w:eastAsia="宋体" w:cs="宋体"/>
          <w:sz w:val="24"/>
          <w:szCs w:val="24"/>
        </w:rPr>
      </w:pPr>
      <w:r>
        <w:rPr>
          <w:rFonts w:ascii="宋体" w:hAnsi="宋体" w:eastAsia="宋体" w:cs="宋体"/>
          <w:b/>
          <w:bCs/>
          <w:spacing w:val="-9"/>
          <w:sz w:val="24"/>
          <w:szCs w:val="24"/>
        </w:rPr>
        <w:t>1.11</w:t>
      </w:r>
      <w:r>
        <w:rPr>
          <w:rFonts w:ascii="宋体" w:hAnsi="宋体" w:eastAsia="宋体" w:cs="宋体"/>
          <w:spacing w:val="15"/>
          <w:sz w:val="24"/>
          <w:szCs w:val="24"/>
        </w:rPr>
        <w:t xml:space="preserve"> </w:t>
      </w:r>
      <w:r>
        <w:rPr>
          <w:rFonts w:ascii="宋体" w:hAnsi="宋体" w:eastAsia="宋体" w:cs="宋体"/>
          <w:b/>
          <w:bCs/>
          <w:spacing w:val="-9"/>
          <w:sz w:val="24"/>
          <w:szCs w:val="24"/>
        </w:rPr>
        <w:t>分包</w:t>
      </w:r>
    </w:p>
    <w:p w14:paraId="3BACC70A">
      <w:pPr>
        <w:spacing w:before="182" w:line="359" w:lineRule="auto"/>
        <w:ind w:left="11" w:right="360" w:firstLine="497"/>
        <w:rPr>
          <w:rFonts w:ascii="宋体" w:hAnsi="宋体" w:eastAsia="宋体" w:cs="宋体"/>
          <w:sz w:val="24"/>
          <w:szCs w:val="24"/>
        </w:rPr>
      </w:pPr>
      <w:r>
        <w:rPr>
          <w:rFonts w:ascii="宋体" w:hAnsi="宋体" w:eastAsia="宋体" w:cs="宋体"/>
          <w:spacing w:val="-2"/>
          <w:sz w:val="24"/>
          <w:szCs w:val="24"/>
        </w:rPr>
        <w:t>1.11.1 投标人拟在中标后将中标项目的部分非主体、非关键</w:t>
      </w:r>
      <w:r>
        <w:rPr>
          <w:rFonts w:ascii="宋体" w:hAnsi="宋体" w:eastAsia="宋体" w:cs="宋体"/>
          <w:spacing w:val="-3"/>
          <w:sz w:val="24"/>
          <w:szCs w:val="24"/>
        </w:rPr>
        <w:t>性工作进行分包的，</w:t>
      </w:r>
      <w:r>
        <w:rPr>
          <w:rFonts w:ascii="宋体" w:hAnsi="宋体" w:eastAsia="宋体" w:cs="宋体"/>
          <w:spacing w:val="-2"/>
          <w:sz w:val="24"/>
          <w:szCs w:val="24"/>
        </w:rPr>
        <w:t>应符合以下规定：</w:t>
      </w:r>
    </w:p>
    <w:p w14:paraId="19C59991">
      <w:pPr>
        <w:spacing w:before="2" w:line="358" w:lineRule="auto"/>
        <w:ind w:left="10" w:right="234" w:firstLine="492"/>
        <w:rPr>
          <w:rFonts w:ascii="宋体" w:hAnsi="宋体" w:eastAsia="宋体" w:cs="宋体"/>
          <w:sz w:val="24"/>
          <w:szCs w:val="24"/>
        </w:rPr>
      </w:pPr>
      <w:r>
        <w:rPr>
          <w:rFonts w:ascii="宋体" w:hAnsi="宋体" w:eastAsia="宋体" w:cs="宋体"/>
          <w:spacing w:val="-1"/>
          <w:sz w:val="24"/>
          <w:szCs w:val="24"/>
        </w:rPr>
        <w:t>（1）分包内容要求：允许分包的工程范围仅限于非关键性工程或适合专业化队伍</w:t>
      </w:r>
      <w:r>
        <w:rPr>
          <w:rFonts w:ascii="宋体" w:hAnsi="宋体" w:eastAsia="宋体" w:cs="宋体"/>
          <w:spacing w:val="-2"/>
          <w:sz w:val="24"/>
          <w:szCs w:val="24"/>
        </w:rPr>
        <w:t>施工的专项工程。招标人允许分包或不允许分包的专项工程（如有）应在投标人须知前附表中载明。</w:t>
      </w:r>
    </w:p>
    <w:p w14:paraId="636D39D6">
      <w:pPr>
        <w:spacing w:line="359" w:lineRule="auto"/>
        <w:ind w:left="10" w:right="302" w:firstLine="492"/>
        <w:rPr>
          <w:rFonts w:ascii="宋体" w:hAnsi="宋体" w:eastAsia="宋体" w:cs="宋体"/>
          <w:sz w:val="24"/>
          <w:szCs w:val="24"/>
        </w:rPr>
      </w:pPr>
      <w:r>
        <w:rPr>
          <w:rFonts w:ascii="宋体" w:hAnsi="宋体" w:eastAsia="宋体" w:cs="宋体"/>
          <w:spacing w:val="-1"/>
          <w:sz w:val="24"/>
          <w:szCs w:val="24"/>
        </w:rPr>
        <w:t>（2）接受分包的第三人资格要求：分包人的资格能力应与其分包工程的标准和规模相适应，且具备投标人须知前附表中规定的资格条件。</w:t>
      </w:r>
    </w:p>
    <w:p w14:paraId="15847D02">
      <w:pPr>
        <w:spacing w:before="1" w:line="359" w:lineRule="auto"/>
        <w:ind w:right="234" w:firstLine="503"/>
        <w:rPr>
          <w:rFonts w:ascii="宋体" w:hAnsi="宋体" w:eastAsia="宋体" w:cs="宋体"/>
          <w:sz w:val="24"/>
          <w:szCs w:val="24"/>
        </w:rPr>
      </w:pPr>
      <w:r>
        <w:rPr>
          <w:rFonts w:ascii="宋体" w:hAnsi="宋体" w:eastAsia="宋体" w:cs="宋体"/>
          <w:spacing w:val="-2"/>
          <w:sz w:val="24"/>
          <w:szCs w:val="24"/>
        </w:rPr>
        <w:t>（3）其他要求：投标人如有分包计划，应按第八章“投标文件格式</w:t>
      </w:r>
      <w:r>
        <w:rPr>
          <w:rFonts w:ascii="宋体" w:hAnsi="宋体" w:eastAsia="宋体" w:cs="宋体"/>
          <w:spacing w:val="-70"/>
          <w:sz w:val="24"/>
          <w:szCs w:val="24"/>
        </w:rPr>
        <w:t xml:space="preserve"> </w:t>
      </w:r>
      <w:r>
        <w:rPr>
          <w:rFonts w:ascii="宋体" w:hAnsi="宋体" w:eastAsia="宋体" w:cs="宋体"/>
          <w:spacing w:val="-2"/>
          <w:sz w:val="24"/>
          <w:szCs w:val="24"/>
        </w:rPr>
        <w:t>”的要求填写“拟分包项目情况表</w:t>
      </w:r>
      <w:r>
        <w:rPr>
          <w:rFonts w:ascii="宋体" w:hAnsi="宋体" w:eastAsia="宋体" w:cs="宋体"/>
          <w:spacing w:val="-88"/>
          <w:sz w:val="24"/>
          <w:szCs w:val="24"/>
        </w:rPr>
        <w:t xml:space="preserve"> </w:t>
      </w:r>
      <w:r>
        <w:rPr>
          <w:rFonts w:ascii="宋体" w:hAnsi="宋体" w:eastAsia="宋体" w:cs="宋体"/>
          <w:spacing w:val="-2"/>
          <w:sz w:val="24"/>
          <w:szCs w:val="24"/>
        </w:rPr>
        <w:t>”，明确拟分包的工程及规模，且投标人中标后</w:t>
      </w:r>
      <w:r>
        <w:rPr>
          <w:rFonts w:ascii="宋体" w:hAnsi="宋体" w:eastAsia="宋体" w:cs="宋体"/>
          <w:spacing w:val="-3"/>
          <w:sz w:val="24"/>
          <w:szCs w:val="24"/>
        </w:rPr>
        <w:t>的分包应满足合同</w:t>
      </w:r>
      <w:r>
        <w:rPr>
          <w:rFonts w:ascii="宋体" w:hAnsi="宋体" w:eastAsia="宋体" w:cs="宋体"/>
          <w:sz w:val="24"/>
          <w:szCs w:val="24"/>
        </w:rPr>
        <w:t>条款第 4.3 款的相关要求。</w:t>
      </w:r>
    </w:p>
    <w:p w14:paraId="018FF720">
      <w:pPr>
        <w:spacing w:line="359" w:lineRule="auto"/>
        <w:ind w:left="13" w:right="302" w:firstLine="495"/>
        <w:rPr>
          <w:rFonts w:ascii="宋体" w:hAnsi="宋体" w:eastAsia="宋体" w:cs="宋体"/>
          <w:sz w:val="24"/>
          <w:szCs w:val="24"/>
        </w:rPr>
      </w:pPr>
      <w:r>
        <w:rPr>
          <w:rFonts w:ascii="宋体" w:hAnsi="宋体" w:eastAsia="宋体" w:cs="宋体"/>
          <w:spacing w:val="-2"/>
          <w:sz w:val="24"/>
          <w:szCs w:val="24"/>
        </w:rPr>
        <w:t>1.11.2</w:t>
      </w:r>
      <w:r>
        <w:rPr>
          <w:rFonts w:ascii="宋体" w:hAnsi="宋体" w:eastAsia="宋体" w:cs="宋体"/>
          <w:spacing w:val="47"/>
          <w:sz w:val="24"/>
          <w:szCs w:val="24"/>
        </w:rPr>
        <w:t xml:space="preserve"> </w:t>
      </w:r>
      <w:r>
        <w:rPr>
          <w:rFonts w:ascii="宋体" w:hAnsi="宋体" w:eastAsia="宋体" w:cs="宋体"/>
          <w:spacing w:val="-2"/>
          <w:sz w:val="24"/>
          <w:szCs w:val="24"/>
        </w:rPr>
        <w:t>中标人不得向他人转让中标项目，接受分包的人不得再次分包。中标人应</w:t>
      </w:r>
      <w:r>
        <w:rPr>
          <w:rFonts w:ascii="宋体" w:hAnsi="宋体" w:eastAsia="宋体" w:cs="宋体"/>
          <w:spacing w:val="-1"/>
          <w:sz w:val="24"/>
          <w:szCs w:val="24"/>
        </w:rPr>
        <w:t>就分包项目向招标人负责，接受分包的人就分包项目承担连带责任。</w:t>
      </w:r>
    </w:p>
    <w:p w14:paraId="31E206CA">
      <w:pPr>
        <w:spacing w:before="1" w:line="219" w:lineRule="auto"/>
        <w:rPr>
          <w:rFonts w:ascii="宋体" w:hAnsi="宋体" w:eastAsia="宋体" w:cs="宋体"/>
          <w:b/>
          <w:bCs/>
          <w:sz w:val="24"/>
          <w:szCs w:val="24"/>
        </w:rPr>
      </w:pPr>
      <w:r>
        <w:rPr>
          <w:rFonts w:ascii="宋体" w:hAnsi="宋体" w:eastAsia="宋体" w:cs="宋体"/>
          <w:b/>
          <w:bCs/>
          <w:spacing w:val="-6"/>
          <w:sz w:val="24"/>
          <w:szCs w:val="24"/>
        </w:rPr>
        <w:t>1.12</w:t>
      </w:r>
      <w:r>
        <w:rPr>
          <w:rFonts w:ascii="宋体" w:hAnsi="宋体" w:eastAsia="宋体" w:cs="宋体"/>
          <w:b/>
          <w:bCs/>
          <w:spacing w:val="25"/>
          <w:sz w:val="24"/>
          <w:szCs w:val="24"/>
        </w:rPr>
        <w:t xml:space="preserve"> </w:t>
      </w:r>
      <w:r>
        <w:rPr>
          <w:rFonts w:ascii="宋体" w:hAnsi="宋体" w:eastAsia="宋体" w:cs="宋体"/>
          <w:b/>
          <w:bCs/>
          <w:spacing w:val="-6"/>
          <w:sz w:val="24"/>
          <w:szCs w:val="24"/>
        </w:rPr>
        <w:t>响应和偏差</w:t>
      </w:r>
    </w:p>
    <w:p w14:paraId="160EE97F">
      <w:pPr>
        <w:spacing w:before="183" w:line="358" w:lineRule="auto"/>
        <w:ind w:left="11" w:right="302" w:firstLine="497"/>
        <w:rPr>
          <w:rFonts w:ascii="宋体" w:hAnsi="宋体" w:eastAsia="宋体" w:cs="宋体"/>
          <w:sz w:val="24"/>
          <w:szCs w:val="24"/>
        </w:rPr>
      </w:pPr>
      <w:r>
        <w:rPr>
          <w:rFonts w:ascii="宋体" w:hAnsi="宋体" w:eastAsia="宋体" w:cs="宋体"/>
          <w:spacing w:val="-1"/>
          <w:sz w:val="24"/>
          <w:szCs w:val="24"/>
        </w:rPr>
        <w:t>1.12.1 投标文件偏离招标文件某些要求，视为投标文件存在偏差。偏差包括重大</w:t>
      </w:r>
      <w:r>
        <w:rPr>
          <w:rFonts w:ascii="宋体" w:hAnsi="宋体" w:eastAsia="宋体" w:cs="宋体"/>
          <w:spacing w:val="-2"/>
          <w:sz w:val="24"/>
          <w:szCs w:val="24"/>
        </w:rPr>
        <w:t>偏差和细微偏差。</w:t>
      </w:r>
    </w:p>
    <w:p w14:paraId="68A48E2A">
      <w:pPr>
        <w:spacing w:line="360" w:lineRule="auto"/>
        <w:ind w:left="31" w:right="302" w:firstLine="478"/>
        <w:rPr>
          <w:rFonts w:ascii="宋体" w:hAnsi="宋体" w:eastAsia="宋体" w:cs="宋体"/>
          <w:sz w:val="24"/>
          <w:szCs w:val="24"/>
        </w:rPr>
      </w:pPr>
      <w:r>
        <w:rPr>
          <w:rFonts w:ascii="宋体" w:hAnsi="宋体" w:eastAsia="宋体" w:cs="宋体"/>
          <w:spacing w:val="-1"/>
          <w:sz w:val="24"/>
          <w:szCs w:val="24"/>
        </w:rPr>
        <w:t>1.12.2 投标文件应对招标文件的实质性要求和条件作出满足性或更有利于招标人的响应，否则，视为投标文件存在重大偏差，投标人的投标将被否决。</w:t>
      </w:r>
    </w:p>
    <w:p w14:paraId="4308BD01">
      <w:pPr>
        <w:spacing w:line="359" w:lineRule="auto"/>
        <w:ind w:left="14" w:right="234" w:firstLine="480"/>
        <w:rPr>
          <w:rFonts w:ascii="宋体" w:hAnsi="宋体" w:eastAsia="宋体" w:cs="宋体"/>
          <w:sz w:val="24"/>
          <w:szCs w:val="24"/>
        </w:rPr>
      </w:pPr>
      <w:r>
        <w:rPr>
          <w:rFonts w:ascii="宋体" w:hAnsi="宋体" w:eastAsia="宋体" w:cs="宋体"/>
          <w:spacing w:val="-3"/>
          <w:sz w:val="24"/>
          <w:szCs w:val="24"/>
        </w:rPr>
        <w:t>投标文件存在第三章“评标办法</w:t>
      </w:r>
      <w:r>
        <w:rPr>
          <w:rFonts w:ascii="宋体" w:hAnsi="宋体" w:eastAsia="宋体" w:cs="宋体"/>
          <w:spacing w:val="-79"/>
          <w:sz w:val="24"/>
          <w:szCs w:val="24"/>
        </w:rPr>
        <w:t xml:space="preserve"> </w:t>
      </w:r>
      <w:r>
        <w:rPr>
          <w:rFonts w:ascii="宋体" w:hAnsi="宋体" w:eastAsia="宋体" w:cs="宋体"/>
          <w:spacing w:val="-3"/>
          <w:sz w:val="24"/>
          <w:szCs w:val="24"/>
        </w:rPr>
        <w:t>”中所列任一否决投标情形的，均属于存在重大偏</w:t>
      </w:r>
      <w:r>
        <w:rPr>
          <w:rFonts w:ascii="宋体" w:hAnsi="宋体" w:eastAsia="宋体" w:cs="宋体"/>
          <w:spacing w:val="-7"/>
          <w:sz w:val="24"/>
          <w:szCs w:val="24"/>
        </w:rPr>
        <w:t>差。</w:t>
      </w:r>
    </w:p>
    <w:p w14:paraId="12A5CD5E">
      <w:pPr>
        <w:spacing w:line="219" w:lineRule="auto"/>
        <w:ind w:left="509"/>
        <w:rPr>
          <w:rFonts w:ascii="宋体" w:hAnsi="宋体" w:eastAsia="宋体" w:cs="宋体"/>
          <w:sz w:val="24"/>
          <w:szCs w:val="24"/>
        </w:rPr>
      </w:pPr>
      <w:r>
        <w:rPr>
          <w:rFonts w:ascii="宋体" w:hAnsi="宋体" w:eastAsia="宋体" w:cs="宋体"/>
          <w:spacing w:val="-2"/>
          <w:sz w:val="24"/>
          <w:szCs w:val="24"/>
        </w:rPr>
        <w:t>1.12.3 投标文件中的下列偏差为细微偏差：</w:t>
      </w:r>
    </w:p>
    <w:p w14:paraId="65168918">
      <w:pPr>
        <w:spacing w:before="182" w:line="359" w:lineRule="auto"/>
        <w:ind w:left="11" w:firstLine="491"/>
        <w:rPr>
          <w:rFonts w:ascii="宋体" w:hAnsi="宋体" w:eastAsia="宋体" w:cs="宋体"/>
          <w:sz w:val="24"/>
          <w:szCs w:val="24"/>
        </w:rPr>
      </w:pPr>
      <w:r>
        <w:rPr>
          <w:rFonts w:ascii="宋体" w:hAnsi="宋体" w:eastAsia="宋体" w:cs="宋体"/>
          <w:spacing w:val="-2"/>
          <w:sz w:val="24"/>
          <w:szCs w:val="24"/>
        </w:rPr>
        <w:t>（1）在按照第三章“评标办法</w:t>
      </w:r>
      <w:r>
        <w:rPr>
          <w:rFonts w:ascii="宋体" w:hAnsi="宋体" w:eastAsia="宋体" w:cs="宋体"/>
          <w:spacing w:val="-70"/>
          <w:sz w:val="24"/>
          <w:szCs w:val="24"/>
        </w:rPr>
        <w:t xml:space="preserve"> </w:t>
      </w:r>
      <w:r>
        <w:rPr>
          <w:rFonts w:ascii="宋体" w:hAnsi="宋体" w:eastAsia="宋体" w:cs="宋体"/>
          <w:spacing w:val="-2"/>
          <w:sz w:val="24"/>
          <w:szCs w:val="24"/>
        </w:rPr>
        <w:t>”的规定对投标价进行算术性错误修正及其他错误</w:t>
      </w:r>
      <w:r>
        <w:rPr>
          <w:rFonts w:ascii="宋体" w:hAnsi="宋体" w:eastAsia="宋体" w:cs="宋体"/>
          <w:sz w:val="24"/>
          <w:szCs w:val="24"/>
        </w:rPr>
        <w:t xml:space="preserve"> </w:t>
      </w:r>
      <w:r>
        <w:rPr>
          <w:rFonts w:ascii="宋体" w:hAnsi="宋体" w:eastAsia="宋体" w:cs="宋体"/>
          <w:spacing w:val="-3"/>
          <w:sz w:val="24"/>
          <w:szCs w:val="24"/>
        </w:rPr>
        <w:t>修正后，最终投标报价未超过最高投标限价（如有）的情况下，出现第三章“评标办法</w:t>
      </w:r>
      <w:r>
        <w:rPr>
          <w:rFonts w:ascii="宋体" w:hAnsi="宋体" w:eastAsia="宋体" w:cs="宋体"/>
          <w:spacing w:val="-72"/>
          <w:sz w:val="24"/>
          <w:szCs w:val="24"/>
        </w:rPr>
        <w:t xml:space="preserve"> </w:t>
      </w:r>
      <w:r>
        <w:rPr>
          <w:rFonts w:ascii="宋体" w:hAnsi="宋体" w:eastAsia="宋体" w:cs="宋体"/>
          <w:spacing w:val="-3"/>
          <w:sz w:val="24"/>
          <w:szCs w:val="24"/>
        </w:rPr>
        <w:t>”</w:t>
      </w:r>
      <w:r>
        <w:rPr>
          <w:rFonts w:ascii="宋体" w:hAnsi="宋体" w:eastAsia="宋体" w:cs="宋体"/>
          <w:spacing w:val="-1"/>
          <w:sz w:val="24"/>
          <w:szCs w:val="24"/>
        </w:rPr>
        <w:t>规定的算术性错误和投标报价的其他错误；</w:t>
      </w:r>
    </w:p>
    <w:p w14:paraId="60C5209E">
      <w:pPr>
        <w:spacing w:before="1" w:line="218" w:lineRule="auto"/>
        <w:ind w:left="503"/>
        <w:rPr>
          <w:rFonts w:ascii="宋体" w:hAnsi="宋体" w:eastAsia="宋体" w:cs="宋体"/>
          <w:sz w:val="24"/>
          <w:szCs w:val="24"/>
        </w:rPr>
      </w:pPr>
      <w:r>
        <w:rPr>
          <w:rFonts w:ascii="宋体" w:hAnsi="宋体" w:eastAsia="宋体" w:cs="宋体"/>
          <w:spacing w:val="-1"/>
          <w:sz w:val="24"/>
          <w:szCs w:val="24"/>
        </w:rPr>
        <w:t>（2）施工组织设计（含关键工程技术方案）和项目管理机构不够完善；</w:t>
      </w:r>
    </w:p>
    <w:p w14:paraId="575E50A1">
      <w:pPr>
        <w:spacing w:before="182" w:line="359" w:lineRule="auto"/>
        <w:ind w:left="11" w:right="302" w:firstLine="491"/>
        <w:rPr>
          <w:rFonts w:ascii="宋体" w:hAnsi="宋体" w:eastAsia="宋体" w:cs="宋体"/>
          <w:sz w:val="24"/>
          <w:szCs w:val="24"/>
        </w:rPr>
      </w:pPr>
      <w:r>
        <w:rPr>
          <w:rFonts w:ascii="宋体" w:hAnsi="宋体" w:eastAsia="宋体" w:cs="宋体"/>
          <w:spacing w:val="-1"/>
          <w:sz w:val="24"/>
          <w:szCs w:val="24"/>
        </w:rPr>
        <w:t>（3）投标文件页码不连续、个别文字有遗漏错误等不影响投标文件实质性内容的</w:t>
      </w:r>
      <w:r>
        <w:rPr>
          <w:rFonts w:ascii="宋体" w:hAnsi="宋体" w:eastAsia="宋体" w:cs="宋体"/>
          <w:spacing w:val="-4"/>
          <w:sz w:val="24"/>
          <w:szCs w:val="24"/>
        </w:rPr>
        <w:t>偏差。</w:t>
      </w:r>
    </w:p>
    <w:p w14:paraId="0B9F3C52">
      <w:pPr>
        <w:spacing w:before="1" w:line="218" w:lineRule="auto"/>
        <w:ind w:left="509"/>
        <w:rPr>
          <w:rFonts w:ascii="宋体" w:hAnsi="宋体" w:eastAsia="宋体" w:cs="宋体"/>
          <w:sz w:val="24"/>
          <w:szCs w:val="24"/>
        </w:rPr>
      </w:pPr>
      <w:r>
        <w:rPr>
          <w:rFonts w:ascii="宋体" w:hAnsi="宋体" w:eastAsia="宋体" w:cs="宋体"/>
          <w:spacing w:val="-1"/>
          <w:sz w:val="24"/>
          <w:szCs w:val="24"/>
        </w:rPr>
        <w:t>1.12.4 评标委员会对投标文件中的细微偏差按如下规定处理：</w:t>
      </w:r>
    </w:p>
    <w:p w14:paraId="10317062">
      <w:pPr>
        <w:spacing w:before="183" w:line="219" w:lineRule="auto"/>
        <w:ind w:left="503"/>
        <w:rPr>
          <w:rFonts w:ascii="宋体" w:hAnsi="宋体" w:eastAsia="宋体" w:cs="宋体"/>
          <w:sz w:val="24"/>
          <w:szCs w:val="24"/>
        </w:rPr>
      </w:pPr>
      <w:r>
        <w:rPr>
          <w:rFonts w:ascii="宋体" w:hAnsi="宋体" w:eastAsia="宋体" w:cs="宋体"/>
          <w:spacing w:val="-3"/>
          <w:sz w:val="24"/>
          <w:szCs w:val="24"/>
        </w:rPr>
        <w:t>（1）对于本章第 1.12.3 项（1）</w:t>
      </w:r>
      <w:r>
        <w:rPr>
          <w:rFonts w:ascii="宋体" w:hAnsi="宋体" w:eastAsia="宋体" w:cs="宋体"/>
          <w:spacing w:val="-65"/>
          <w:sz w:val="24"/>
          <w:szCs w:val="24"/>
        </w:rPr>
        <w:t xml:space="preserve"> </w:t>
      </w:r>
      <w:r>
        <w:rPr>
          <w:rFonts w:ascii="宋体" w:hAnsi="宋体" w:eastAsia="宋体" w:cs="宋体"/>
          <w:spacing w:val="-3"/>
          <w:sz w:val="24"/>
          <w:szCs w:val="24"/>
        </w:rPr>
        <w:t>目所述的细微偏差，按照</w:t>
      </w:r>
      <w:r>
        <w:rPr>
          <w:rFonts w:ascii="宋体" w:hAnsi="宋体" w:eastAsia="宋体" w:cs="宋体"/>
          <w:spacing w:val="-4"/>
          <w:sz w:val="24"/>
          <w:szCs w:val="24"/>
        </w:rPr>
        <w:t>第三章“评标办法</w:t>
      </w:r>
      <w:r>
        <w:rPr>
          <w:rFonts w:ascii="宋体" w:hAnsi="宋体" w:eastAsia="宋体" w:cs="宋体"/>
          <w:spacing w:val="-88"/>
          <w:sz w:val="24"/>
          <w:szCs w:val="24"/>
        </w:rPr>
        <w:t xml:space="preserve"> </w:t>
      </w:r>
      <w:r>
        <w:rPr>
          <w:rFonts w:ascii="宋体" w:hAnsi="宋体" w:eastAsia="宋体" w:cs="宋体"/>
          <w:spacing w:val="-4"/>
          <w:sz w:val="24"/>
          <w:szCs w:val="24"/>
        </w:rPr>
        <w:t>”的</w:t>
      </w:r>
    </w:p>
    <w:p w14:paraId="51757EB2">
      <w:pPr>
        <w:spacing w:line="402" w:lineRule="auto"/>
        <w:rPr>
          <w:rFonts w:hint="eastAsia" w:ascii="Arial" w:eastAsia="宋体"/>
          <w:sz w:val="21"/>
          <w:lang w:eastAsia="zh-CN"/>
        </w:rPr>
      </w:pPr>
      <w:r>
        <w:rPr>
          <w:rFonts w:hint="eastAsia" w:ascii="Arial" w:eastAsia="宋体"/>
          <w:sz w:val="21"/>
          <w:lang w:eastAsia="zh-CN"/>
        </w:rPr>
        <w:br w:type="page"/>
      </w:r>
    </w:p>
    <w:p w14:paraId="6E78FB7A">
      <w:pPr>
        <w:spacing w:before="78" w:line="219" w:lineRule="auto"/>
        <w:ind w:left="9"/>
        <w:rPr>
          <w:rFonts w:ascii="宋体" w:hAnsi="宋体" w:eastAsia="宋体" w:cs="宋体"/>
          <w:sz w:val="24"/>
          <w:szCs w:val="24"/>
        </w:rPr>
      </w:pPr>
      <w:r>
        <w:rPr>
          <w:rFonts w:ascii="宋体" w:hAnsi="宋体" w:eastAsia="宋体" w:cs="宋体"/>
          <w:spacing w:val="-1"/>
          <w:sz w:val="24"/>
          <w:szCs w:val="24"/>
        </w:rPr>
        <w:t>规定予以修正并要求投标人进行澄清；</w:t>
      </w:r>
    </w:p>
    <w:p w14:paraId="4977C13F">
      <w:pPr>
        <w:spacing w:before="180" w:line="359" w:lineRule="auto"/>
        <w:ind w:left="7" w:firstLine="492"/>
        <w:rPr>
          <w:rFonts w:ascii="宋体" w:hAnsi="宋体" w:eastAsia="宋体" w:cs="宋体"/>
          <w:sz w:val="24"/>
          <w:szCs w:val="24"/>
        </w:rPr>
      </w:pPr>
      <w:r>
        <w:rPr>
          <w:rFonts w:ascii="宋体" w:hAnsi="宋体" w:eastAsia="宋体" w:cs="宋体"/>
          <w:spacing w:val="-3"/>
          <w:sz w:val="24"/>
          <w:szCs w:val="24"/>
        </w:rPr>
        <w:t>（2）对于本章第 1.12.3 项（2）</w:t>
      </w:r>
      <w:r>
        <w:rPr>
          <w:rFonts w:ascii="宋体" w:hAnsi="宋体" w:eastAsia="宋体" w:cs="宋体"/>
          <w:spacing w:val="-65"/>
          <w:sz w:val="24"/>
          <w:szCs w:val="24"/>
        </w:rPr>
        <w:t xml:space="preserve"> </w:t>
      </w:r>
      <w:r>
        <w:rPr>
          <w:rFonts w:ascii="宋体" w:hAnsi="宋体" w:eastAsia="宋体" w:cs="宋体"/>
          <w:spacing w:val="-3"/>
          <w:sz w:val="24"/>
          <w:szCs w:val="24"/>
        </w:rPr>
        <w:t>目所述的细微偏差，如果采用合</w:t>
      </w:r>
      <w:r>
        <w:rPr>
          <w:rFonts w:ascii="宋体" w:hAnsi="宋体" w:eastAsia="宋体" w:cs="宋体"/>
          <w:spacing w:val="-4"/>
          <w:sz w:val="24"/>
          <w:szCs w:val="24"/>
        </w:rPr>
        <w:t>理低价法评标，</w:t>
      </w:r>
      <w:r>
        <w:rPr>
          <w:rFonts w:ascii="宋体" w:hAnsi="宋体" w:eastAsia="宋体" w:cs="宋体"/>
          <w:spacing w:val="-2"/>
          <w:sz w:val="24"/>
          <w:szCs w:val="24"/>
        </w:rPr>
        <w:t>应要求投标人对细微偏差进行澄清，只有投标人的澄清文件被评标委员会接受，投标人才能参加评标价的最终评比。如果采用技术评分最低标价法或综合评分法评标，可在相</w:t>
      </w:r>
      <w:r>
        <w:rPr>
          <w:rFonts w:ascii="宋体" w:hAnsi="宋体" w:eastAsia="宋体" w:cs="宋体"/>
          <w:spacing w:val="-1"/>
          <w:sz w:val="24"/>
          <w:szCs w:val="24"/>
        </w:rPr>
        <w:t>关评分因素的评分中酌情扣分；</w:t>
      </w:r>
    </w:p>
    <w:p w14:paraId="1654AD90">
      <w:pPr>
        <w:spacing w:line="359" w:lineRule="auto"/>
        <w:ind w:left="12" w:firstLine="487"/>
        <w:rPr>
          <w:rFonts w:ascii="宋体" w:hAnsi="宋体" w:eastAsia="宋体" w:cs="宋体"/>
          <w:sz w:val="24"/>
          <w:szCs w:val="24"/>
        </w:rPr>
      </w:pPr>
      <w:r>
        <w:rPr>
          <w:rFonts w:ascii="宋体" w:hAnsi="宋体" w:eastAsia="宋体" w:cs="宋体"/>
          <w:spacing w:val="-3"/>
          <w:sz w:val="24"/>
          <w:szCs w:val="24"/>
        </w:rPr>
        <w:t>（3）对于本章第 1.12.3 项（3）</w:t>
      </w:r>
      <w:r>
        <w:rPr>
          <w:rFonts w:ascii="宋体" w:hAnsi="宋体" w:eastAsia="宋体" w:cs="宋体"/>
          <w:spacing w:val="-65"/>
          <w:sz w:val="24"/>
          <w:szCs w:val="24"/>
        </w:rPr>
        <w:t xml:space="preserve"> </w:t>
      </w:r>
      <w:r>
        <w:rPr>
          <w:rFonts w:ascii="宋体" w:hAnsi="宋体" w:eastAsia="宋体" w:cs="宋体"/>
          <w:spacing w:val="-3"/>
          <w:sz w:val="24"/>
          <w:szCs w:val="24"/>
        </w:rPr>
        <w:t>目所述的细微偏差，可要求投标</w:t>
      </w:r>
      <w:r>
        <w:rPr>
          <w:rFonts w:ascii="宋体" w:hAnsi="宋体" w:eastAsia="宋体" w:cs="宋体"/>
          <w:spacing w:val="-4"/>
          <w:sz w:val="24"/>
          <w:szCs w:val="24"/>
        </w:rPr>
        <w:t>人对细微偏差进行澄清。</w:t>
      </w:r>
    </w:p>
    <w:p w14:paraId="19626953">
      <w:pPr>
        <w:spacing w:line="359" w:lineRule="auto"/>
        <w:ind w:left="20" w:right="67" w:firstLine="485"/>
        <w:rPr>
          <w:rFonts w:ascii="宋体" w:hAnsi="宋体" w:eastAsia="宋体" w:cs="宋体"/>
          <w:sz w:val="24"/>
          <w:szCs w:val="24"/>
        </w:rPr>
      </w:pPr>
      <w:r>
        <w:rPr>
          <w:rFonts w:ascii="宋体" w:hAnsi="宋体" w:eastAsia="宋体" w:cs="宋体"/>
          <w:spacing w:val="-1"/>
          <w:sz w:val="24"/>
          <w:szCs w:val="24"/>
        </w:rPr>
        <w:t>1.12.5 投标人应根据招标文件的要求提供施工组织设计等内容以对招标文件作出</w:t>
      </w:r>
      <w:r>
        <w:rPr>
          <w:rFonts w:ascii="宋体" w:hAnsi="宋体" w:eastAsia="宋体" w:cs="宋体"/>
          <w:spacing w:val="-8"/>
          <w:sz w:val="24"/>
          <w:szCs w:val="24"/>
        </w:rPr>
        <w:t>响应。</w:t>
      </w:r>
    </w:p>
    <w:p w14:paraId="6CB1A7FD">
      <w:pPr>
        <w:spacing w:line="219" w:lineRule="auto"/>
        <w:ind w:left="11"/>
        <w:rPr>
          <w:rFonts w:ascii="宋体" w:hAnsi="宋体" w:eastAsia="宋体" w:cs="宋体"/>
          <w:sz w:val="24"/>
          <w:szCs w:val="24"/>
        </w:rPr>
      </w:pPr>
      <w:r>
        <w:rPr>
          <w:rFonts w:ascii="宋体" w:hAnsi="宋体" w:eastAsia="宋体" w:cs="宋体"/>
          <w:b/>
          <w:bCs/>
          <w:spacing w:val="-4"/>
          <w:sz w:val="24"/>
          <w:szCs w:val="24"/>
        </w:rPr>
        <w:t>2.招标文件</w:t>
      </w:r>
    </w:p>
    <w:p w14:paraId="00B769EF">
      <w:pPr>
        <w:spacing w:before="183" w:line="219" w:lineRule="auto"/>
        <w:ind w:left="11"/>
        <w:rPr>
          <w:rFonts w:ascii="宋体" w:hAnsi="宋体" w:eastAsia="宋体" w:cs="宋体"/>
          <w:sz w:val="24"/>
          <w:szCs w:val="24"/>
        </w:rPr>
      </w:pPr>
      <w:r>
        <w:rPr>
          <w:rFonts w:ascii="宋体" w:hAnsi="宋体" w:eastAsia="宋体" w:cs="宋体"/>
          <w:b/>
          <w:bCs/>
          <w:spacing w:val="-3"/>
          <w:sz w:val="24"/>
          <w:szCs w:val="24"/>
        </w:rPr>
        <w:t>2.1</w:t>
      </w:r>
      <w:r>
        <w:rPr>
          <w:rFonts w:ascii="宋体" w:hAnsi="宋体" w:eastAsia="宋体" w:cs="宋体"/>
          <w:spacing w:val="-3"/>
          <w:sz w:val="24"/>
          <w:szCs w:val="24"/>
        </w:rPr>
        <w:t xml:space="preserve"> </w:t>
      </w:r>
      <w:r>
        <w:rPr>
          <w:rFonts w:ascii="宋体" w:hAnsi="宋体" w:eastAsia="宋体" w:cs="宋体"/>
          <w:b/>
          <w:bCs/>
          <w:spacing w:val="-3"/>
          <w:sz w:val="24"/>
          <w:szCs w:val="24"/>
        </w:rPr>
        <w:t>招标文件的组成</w:t>
      </w:r>
    </w:p>
    <w:p w14:paraId="00D49EC4">
      <w:pPr>
        <w:spacing w:before="180" w:line="218" w:lineRule="auto"/>
        <w:ind w:left="499"/>
        <w:rPr>
          <w:rFonts w:ascii="宋体" w:hAnsi="宋体" w:eastAsia="宋体" w:cs="宋体"/>
          <w:sz w:val="24"/>
          <w:szCs w:val="24"/>
        </w:rPr>
      </w:pPr>
      <w:r>
        <w:rPr>
          <w:rFonts w:ascii="宋体" w:hAnsi="宋体" w:eastAsia="宋体" w:cs="宋体"/>
          <w:spacing w:val="-2"/>
          <w:sz w:val="24"/>
          <w:szCs w:val="24"/>
        </w:rPr>
        <w:t>（1）招标公告（或投标邀请书</w:t>
      </w:r>
      <w:r>
        <w:rPr>
          <w:rFonts w:ascii="宋体" w:hAnsi="宋体" w:eastAsia="宋体" w:cs="宋体"/>
          <w:spacing w:val="3"/>
          <w:sz w:val="24"/>
          <w:szCs w:val="24"/>
        </w:rPr>
        <w:t>）；</w:t>
      </w:r>
    </w:p>
    <w:p w14:paraId="1FC765D0">
      <w:pPr>
        <w:spacing w:before="185" w:line="220" w:lineRule="auto"/>
        <w:ind w:left="499"/>
        <w:rPr>
          <w:rFonts w:ascii="宋体" w:hAnsi="宋体" w:eastAsia="宋体" w:cs="宋体"/>
          <w:sz w:val="24"/>
          <w:szCs w:val="24"/>
        </w:rPr>
      </w:pPr>
      <w:r>
        <w:rPr>
          <w:rFonts w:ascii="宋体" w:hAnsi="宋体" w:eastAsia="宋体" w:cs="宋体"/>
          <w:spacing w:val="-3"/>
          <w:sz w:val="24"/>
          <w:szCs w:val="24"/>
        </w:rPr>
        <w:t>（2）投标人须知；</w:t>
      </w:r>
    </w:p>
    <w:p w14:paraId="772B0D30">
      <w:pPr>
        <w:spacing w:before="182" w:line="219" w:lineRule="auto"/>
        <w:ind w:left="499"/>
        <w:rPr>
          <w:rFonts w:ascii="宋体" w:hAnsi="宋体" w:eastAsia="宋体" w:cs="宋体"/>
          <w:sz w:val="24"/>
          <w:szCs w:val="24"/>
        </w:rPr>
      </w:pPr>
      <w:r>
        <w:rPr>
          <w:rFonts w:ascii="宋体" w:hAnsi="宋体" w:eastAsia="宋体" w:cs="宋体"/>
          <w:spacing w:val="-3"/>
          <w:sz w:val="24"/>
          <w:szCs w:val="24"/>
        </w:rPr>
        <w:t>（3）评标办法；</w:t>
      </w:r>
    </w:p>
    <w:p w14:paraId="567D13E5">
      <w:pPr>
        <w:spacing w:before="181" w:line="219" w:lineRule="auto"/>
        <w:ind w:left="499"/>
        <w:rPr>
          <w:rFonts w:ascii="宋体" w:hAnsi="宋体" w:eastAsia="宋体" w:cs="宋体"/>
          <w:sz w:val="24"/>
          <w:szCs w:val="24"/>
        </w:rPr>
      </w:pPr>
      <w:r>
        <w:rPr>
          <w:rFonts w:ascii="宋体" w:hAnsi="宋体" w:eastAsia="宋体" w:cs="宋体"/>
          <w:spacing w:val="-2"/>
          <w:sz w:val="24"/>
          <w:szCs w:val="24"/>
        </w:rPr>
        <w:t>（4）合同条款及格式；</w:t>
      </w:r>
    </w:p>
    <w:p w14:paraId="3CEEE3B7">
      <w:pPr>
        <w:spacing w:before="183" w:line="220" w:lineRule="auto"/>
        <w:ind w:left="499"/>
        <w:rPr>
          <w:rFonts w:ascii="宋体" w:hAnsi="宋体" w:eastAsia="宋体" w:cs="宋体"/>
          <w:sz w:val="24"/>
          <w:szCs w:val="24"/>
        </w:rPr>
      </w:pPr>
      <w:r>
        <w:rPr>
          <w:rFonts w:ascii="宋体" w:hAnsi="宋体" w:eastAsia="宋体" w:cs="宋体"/>
          <w:spacing w:val="-3"/>
          <w:sz w:val="24"/>
          <w:szCs w:val="24"/>
        </w:rPr>
        <w:t>（5）工程量清单；</w:t>
      </w:r>
    </w:p>
    <w:p w14:paraId="642BAFFE">
      <w:pPr>
        <w:spacing w:before="179" w:line="221" w:lineRule="auto"/>
        <w:ind w:left="499"/>
        <w:rPr>
          <w:rFonts w:ascii="宋体" w:hAnsi="宋体" w:eastAsia="宋体" w:cs="宋体"/>
          <w:sz w:val="24"/>
          <w:szCs w:val="24"/>
        </w:rPr>
      </w:pPr>
      <w:r>
        <w:rPr>
          <w:rFonts w:ascii="宋体" w:hAnsi="宋体" w:eastAsia="宋体" w:cs="宋体"/>
          <w:spacing w:val="-4"/>
          <w:sz w:val="24"/>
          <w:szCs w:val="24"/>
        </w:rPr>
        <w:t>（6）图纸；</w:t>
      </w:r>
    </w:p>
    <w:p w14:paraId="1E7DBF41">
      <w:pPr>
        <w:spacing w:before="179" w:line="219" w:lineRule="auto"/>
        <w:ind w:left="499"/>
        <w:rPr>
          <w:rFonts w:ascii="宋体" w:hAnsi="宋体" w:eastAsia="宋体" w:cs="宋体"/>
          <w:sz w:val="24"/>
          <w:szCs w:val="24"/>
        </w:rPr>
      </w:pPr>
      <w:r>
        <w:rPr>
          <w:rFonts w:ascii="宋体" w:hAnsi="宋体" w:eastAsia="宋体" w:cs="宋体"/>
          <w:spacing w:val="-2"/>
          <w:sz w:val="24"/>
          <w:szCs w:val="24"/>
        </w:rPr>
        <w:t>（7）技术标准和要求；</w:t>
      </w:r>
    </w:p>
    <w:p w14:paraId="1C45C458">
      <w:pPr>
        <w:spacing w:before="183" w:line="219" w:lineRule="auto"/>
        <w:ind w:left="499"/>
        <w:rPr>
          <w:rFonts w:ascii="宋体" w:hAnsi="宋体" w:eastAsia="宋体" w:cs="宋体"/>
          <w:sz w:val="24"/>
          <w:szCs w:val="24"/>
        </w:rPr>
      </w:pPr>
      <w:r>
        <w:rPr>
          <w:rFonts w:ascii="宋体" w:hAnsi="宋体" w:eastAsia="宋体" w:cs="宋体"/>
          <w:spacing w:val="-3"/>
          <w:sz w:val="24"/>
          <w:szCs w:val="24"/>
        </w:rPr>
        <w:t>（8）投标文件格式；</w:t>
      </w:r>
    </w:p>
    <w:p w14:paraId="70551E34">
      <w:pPr>
        <w:spacing w:before="183" w:line="219" w:lineRule="auto"/>
        <w:ind w:left="499"/>
        <w:rPr>
          <w:rFonts w:ascii="宋体" w:hAnsi="宋体" w:eastAsia="宋体" w:cs="宋体"/>
          <w:sz w:val="24"/>
          <w:szCs w:val="24"/>
        </w:rPr>
      </w:pPr>
      <w:r>
        <w:rPr>
          <w:rFonts w:ascii="宋体" w:hAnsi="宋体" w:eastAsia="宋体" w:cs="宋体"/>
          <w:spacing w:val="-2"/>
          <w:sz w:val="24"/>
          <w:szCs w:val="24"/>
        </w:rPr>
        <w:t>（9）投标人须知前附表规定的其他资料。</w:t>
      </w:r>
    </w:p>
    <w:p w14:paraId="50FF62EA">
      <w:pPr>
        <w:spacing w:before="181" w:line="359" w:lineRule="auto"/>
        <w:ind w:left="9" w:firstLine="479"/>
        <w:rPr>
          <w:rFonts w:ascii="宋体" w:hAnsi="宋体" w:eastAsia="宋体" w:cs="宋体"/>
          <w:sz w:val="24"/>
          <w:szCs w:val="24"/>
        </w:rPr>
      </w:pPr>
      <w:r>
        <w:rPr>
          <w:rFonts w:ascii="宋体" w:hAnsi="宋体" w:eastAsia="宋体" w:cs="宋体"/>
          <w:spacing w:val="-1"/>
          <w:sz w:val="24"/>
          <w:szCs w:val="24"/>
        </w:rPr>
        <w:t>根据本章第 1.10 款、第 2.2 款和第 2</w:t>
      </w:r>
      <w:r>
        <w:rPr>
          <w:rFonts w:ascii="宋体" w:hAnsi="宋体" w:eastAsia="宋体" w:cs="宋体"/>
          <w:spacing w:val="-2"/>
          <w:sz w:val="24"/>
          <w:szCs w:val="24"/>
        </w:rPr>
        <w:t>.3 款对招标文件所作的澄清、修改，构成招标文件的组成部分。</w:t>
      </w:r>
    </w:p>
    <w:p w14:paraId="6E92A6C1">
      <w:pPr>
        <w:spacing w:before="3" w:line="359" w:lineRule="auto"/>
        <w:ind w:left="28" w:firstLine="475"/>
        <w:rPr>
          <w:rFonts w:ascii="宋体" w:hAnsi="宋体" w:eastAsia="宋体" w:cs="宋体"/>
          <w:sz w:val="24"/>
          <w:szCs w:val="24"/>
        </w:rPr>
      </w:pPr>
      <w:r>
        <w:rPr>
          <w:rFonts w:ascii="宋体" w:hAnsi="宋体" w:eastAsia="宋体" w:cs="宋体"/>
          <w:spacing w:val="-2"/>
          <w:sz w:val="24"/>
          <w:szCs w:val="24"/>
        </w:rPr>
        <w:t>当招标文件、招标文件的澄清或修改等在同一内容的表述上不一致</w:t>
      </w:r>
      <w:r>
        <w:rPr>
          <w:rFonts w:ascii="宋体" w:hAnsi="宋体" w:eastAsia="宋体" w:cs="宋体"/>
          <w:spacing w:val="-3"/>
          <w:sz w:val="24"/>
          <w:szCs w:val="24"/>
        </w:rPr>
        <w:t>时，以最后发出</w:t>
      </w:r>
      <w:r>
        <w:rPr>
          <w:rFonts w:ascii="宋体" w:hAnsi="宋体" w:eastAsia="宋体" w:cs="宋体"/>
          <w:spacing w:val="-4"/>
          <w:sz w:val="24"/>
          <w:szCs w:val="24"/>
        </w:rPr>
        <w:t>的书面文件为准。</w:t>
      </w:r>
    </w:p>
    <w:p w14:paraId="006D93F0">
      <w:pPr>
        <w:spacing w:line="219" w:lineRule="auto"/>
        <w:ind w:left="11"/>
        <w:rPr>
          <w:rFonts w:ascii="宋体" w:hAnsi="宋体" w:eastAsia="宋体" w:cs="宋体"/>
          <w:sz w:val="24"/>
          <w:szCs w:val="24"/>
        </w:rPr>
      </w:pPr>
      <w:r>
        <w:rPr>
          <w:rFonts w:ascii="宋体" w:hAnsi="宋体" w:eastAsia="宋体" w:cs="宋体"/>
          <w:b/>
          <w:bCs/>
          <w:spacing w:val="-3"/>
          <w:sz w:val="24"/>
          <w:szCs w:val="24"/>
        </w:rPr>
        <w:t>2.2</w:t>
      </w:r>
      <w:r>
        <w:rPr>
          <w:rFonts w:ascii="宋体" w:hAnsi="宋体" w:eastAsia="宋体" w:cs="宋体"/>
          <w:spacing w:val="-3"/>
          <w:sz w:val="24"/>
          <w:szCs w:val="24"/>
        </w:rPr>
        <w:t xml:space="preserve"> </w:t>
      </w:r>
      <w:r>
        <w:rPr>
          <w:rFonts w:ascii="宋体" w:hAnsi="宋体" w:eastAsia="宋体" w:cs="宋体"/>
          <w:b/>
          <w:bCs/>
          <w:spacing w:val="-3"/>
          <w:sz w:val="24"/>
          <w:szCs w:val="24"/>
        </w:rPr>
        <w:t>招标文件的澄清</w:t>
      </w:r>
    </w:p>
    <w:p w14:paraId="78ACDD07">
      <w:pPr>
        <w:spacing w:before="180" w:line="359" w:lineRule="auto"/>
        <w:ind w:left="7" w:firstLine="483"/>
        <w:rPr>
          <w:rFonts w:ascii="宋体" w:hAnsi="宋体" w:eastAsia="宋体" w:cs="宋体"/>
          <w:sz w:val="24"/>
          <w:szCs w:val="24"/>
        </w:rPr>
      </w:pPr>
      <w:r>
        <w:rPr>
          <w:rFonts w:ascii="宋体" w:hAnsi="宋体" w:eastAsia="宋体" w:cs="宋体"/>
          <w:spacing w:val="-1"/>
          <w:sz w:val="24"/>
          <w:szCs w:val="24"/>
        </w:rPr>
        <w:t>2.2.1</w:t>
      </w:r>
      <w:r>
        <w:rPr>
          <w:rFonts w:ascii="宋体" w:hAnsi="宋体" w:eastAsia="宋体" w:cs="宋体"/>
          <w:spacing w:val="-29"/>
          <w:sz w:val="24"/>
          <w:szCs w:val="24"/>
        </w:rPr>
        <w:t xml:space="preserve"> </w:t>
      </w:r>
      <w:r>
        <w:rPr>
          <w:rFonts w:ascii="宋体" w:hAnsi="宋体" w:eastAsia="宋体" w:cs="宋体"/>
          <w:spacing w:val="-1"/>
          <w:sz w:val="24"/>
          <w:szCs w:val="24"/>
        </w:rPr>
        <w:t>投标人应仔细阅读和检查招标文件的全部内容。如发现缺页或附件不全，应</w:t>
      </w:r>
      <w:r>
        <w:rPr>
          <w:rFonts w:ascii="宋体" w:hAnsi="宋体" w:eastAsia="宋体" w:cs="宋体"/>
          <w:spacing w:val="-2"/>
          <w:sz w:val="24"/>
          <w:szCs w:val="24"/>
        </w:rPr>
        <w:t>及时向招标人提出，以便补齐。如有疑问，应按投标人须知前附表规定的时间和形式将</w:t>
      </w:r>
      <w:r>
        <w:rPr>
          <w:rFonts w:ascii="宋体" w:hAnsi="宋体" w:eastAsia="宋体" w:cs="宋体"/>
          <w:spacing w:val="-1"/>
          <w:sz w:val="24"/>
          <w:szCs w:val="24"/>
        </w:rPr>
        <w:t>提出的问题送达招标人，要求招标人对招标文件予以澄清。</w:t>
      </w:r>
    </w:p>
    <w:p w14:paraId="31F401A7">
      <w:pPr>
        <w:spacing w:before="2" w:line="361" w:lineRule="auto"/>
        <w:ind w:left="9" w:firstLine="481"/>
        <w:rPr>
          <w:rFonts w:ascii="宋体" w:hAnsi="宋体" w:eastAsia="宋体" w:cs="宋体"/>
          <w:sz w:val="24"/>
          <w:szCs w:val="24"/>
        </w:rPr>
      </w:pPr>
      <w:r>
        <w:rPr>
          <w:rFonts w:ascii="宋体" w:hAnsi="宋体" w:eastAsia="宋体" w:cs="宋体"/>
          <w:spacing w:val="-1"/>
          <w:sz w:val="24"/>
          <w:szCs w:val="24"/>
        </w:rPr>
        <w:t>2.2.2</w:t>
      </w:r>
      <w:r>
        <w:rPr>
          <w:rFonts w:ascii="宋体" w:hAnsi="宋体" w:eastAsia="宋体" w:cs="宋体"/>
          <w:spacing w:val="-29"/>
          <w:sz w:val="24"/>
          <w:szCs w:val="24"/>
        </w:rPr>
        <w:t xml:space="preserve"> </w:t>
      </w:r>
      <w:r>
        <w:rPr>
          <w:rFonts w:ascii="宋体" w:hAnsi="宋体" w:eastAsia="宋体" w:cs="宋体"/>
          <w:spacing w:val="-1"/>
          <w:sz w:val="24"/>
          <w:szCs w:val="24"/>
        </w:rPr>
        <w:t>招标文件的澄清以投标人须知前附表规定的形式发给所有投标登记成功的投</w:t>
      </w:r>
      <w:r>
        <w:rPr>
          <w:rFonts w:ascii="宋体" w:hAnsi="宋体" w:eastAsia="宋体" w:cs="宋体"/>
          <w:sz w:val="24"/>
          <w:szCs w:val="24"/>
        </w:rPr>
        <w:t>标人，但不指明澄清问题的来源。澄清发出的时间距本章第 4.</w:t>
      </w:r>
      <w:r>
        <w:rPr>
          <w:rFonts w:ascii="宋体" w:hAnsi="宋体" w:eastAsia="宋体" w:cs="宋体"/>
          <w:spacing w:val="-1"/>
          <w:sz w:val="24"/>
          <w:szCs w:val="24"/>
        </w:rPr>
        <w:t>2.1 项规定的投标截止</w:t>
      </w:r>
    </w:p>
    <w:p w14:paraId="02773BCF">
      <w:pPr>
        <w:spacing w:line="402" w:lineRule="auto"/>
        <w:rPr>
          <w:rFonts w:hint="eastAsia" w:ascii="Arial" w:eastAsia="宋体"/>
          <w:sz w:val="21"/>
          <w:lang w:eastAsia="zh-CN"/>
        </w:rPr>
      </w:pPr>
      <w:r>
        <w:rPr>
          <w:rFonts w:hint="eastAsia" w:ascii="Arial" w:eastAsia="宋体"/>
          <w:sz w:val="21"/>
          <w:lang w:eastAsia="zh-CN"/>
        </w:rPr>
        <w:br w:type="page"/>
      </w:r>
    </w:p>
    <w:p w14:paraId="7944F960">
      <w:pPr>
        <w:spacing w:before="78" w:line="219" w:lineRule="auto"/>
        <w:ind w:left="19"/>
        <w:rPr>
          <w:rFonts w:ascii="宋体" w:hAnsi="宋体" w:eastAsia="宋体" w:cs="宋体"/>
          <w:sz w:val="24"/>
          <w:szCs w:val="24"/>
        </w:rPr>
      </w:pPr>
      <w:r>
        <w:rPr>
          <w:rFonts w:ascii="宋体" w:hAnsi="宋体" w:eastAsia="宋体" w:cs="宋体"/>
          <w:spacing w:val="-3"/>
          <w:sz w:val="24"/>
          <w:szCs w:val="24"/>
        </w:rPr>
        <w:t>时间不足</w:t>
      </w:r>
      <w:r>
        <w:rPr>
          <w:rFonts w:ascii="宋体" w:hAnsi="宋体" w:eastAsia="宋体" w:cs="宋体"/>
          <w:spacing w:val="-28"/>
          <w:sz w:val="24"/>
          <w:szCs w:val="24"/>
        </w:rPr>
        <w:t xml:space="preserve"> </w:t>
      </w:r>
      <w:r>
        <w:rPr>
          <w:rFonts w:ascii="宋体" w:hAnsi="宋体" w:eastAsia="宋体" w:cs="宋体"/>
          <w:spacing w:val="-3"/>
          <w:sz w:val="24"/>
          <w:szCs w:val="24"/>
        </w:rPr>
        <w:t>15 日，且澄清内容可能影响投标文件编制的，将相应延长投标截止时间。</w:t>
      </w:r>
    </w:p>
    <w:p w14:paraId="1F5A8685">
      <w:pPr>
        <w:spacing w:before="180" w:line="359" w:lineRule="auto"/>
        <w:ind w:left="37" w:right="68" w:firstLine="453"/>
        <w:rPr>
          <w:rFonts w:ascii="宋体" w:hAnsi="宋体" w:eastAsia="宋体" w:cs="宋体"/>
          <w:sz w:val="24"/>
          <w:szCs w:val="24"/>
        </w:rPr>
      </w:pPr>
      <w:r>
        <w:rPr>
          <w:rFonts w:ascii="宋体" w:hAnsi="宋体" w:eastAsia="宋体" w:cs="宋体"/>
          <w:spacing w:val="-1"/>
          <w:sz w:val="24"/>
          <w:szCs w:val="24"/>
        </w:rPr>
        <w:t>2.2.3</w:t>
      </w:r>
      <w:r>
        <w:rPr>
          <w:rFonts w:ascii="宋体" w:hAnsi="宋体" w:eastAsia="宋体" w:cs="宋体"/>
          <w:spacing w:val="-36"/>
          <w:sz w:val="24"/>
          <w:szCs w:val="24"/>
        </w:rPr>
        <w:t xml:space="preserve"> </w:t>
      </w:r>
      <w:r>
        <w:rPr>
          <w:rFonts w:ascii="宋体" w:hAnsi="宋体" w:eastAsia="宋体" w:cs="宋体"/>
          <w:spacing w:val="-1"/>
          <w:sz w:val="24"/>
          <w:szCs w:val="24"/>
        </w:rPr>
        <w:t>投标人应注意及时浏览网上发出的澄清，因投标人自身原因未及时获知澄清</w:t>
      </w:r>
      <w:r>
        <w:rPr>
          <w:rFonts w:ascii="宋体" w:hAnsi="宋体" w:eastAsia="宋体" w:cs="宋体"/>
          <w:spacing w:val="-2"/>
          <w:sz w:val="24"/>
          <w:szCs w:val="24"/>
        </w:rPr>
        <w:t>内容而导致的任何后果将由投标人自行承担。</w:t>
      </w:r>
    </w:p>
    <w:p w14:paraId="7D5874CA">
      <w:pPr>
        <w:spacing w:line="359" w:lineRule="auto"/>
        <w:ind w:left="11" w:right="68" w:firstLine="480"/>
        <w:rPr>
          <w:rFonts w:ascii="宋体" w:hAnsi="宋体" w:eastAsia="宋体" w:cs="宋体"/>
          <w:sz w:val="24"/>
          <w:szCs w:val="24"/>
        </w:rPr>
      </w:pPr>
      <w:r>
        <w:rPr>
          <w:rFonts w:ascii="宋体" w:hAnsi="宋体" w:eastAsia="宋体" w:cs="宋体"/>
          <w:spacing w:val="-1"/>
          <w:sz w:val="24"/>
          <w:szCs w:val="24"/>
        </w:rPr>
        <w:t>2.2.4</w:t>
      </w:r>
      <w:r>
        <w:rPr>
          <w:rFonts w:ascii="宋体" w:hAnsi="宋体" w:eastAsia="宋体" w:cs="宋体"/>
          <w:spacing w:val="-36"/>
          <w:sz w:val="24"/>
          <w:szCs w:val="24"/>
        </w:rPr>
        <w:t xml:space="preserve"> </w:t>
      </w:r>
      <w:r>
        <w:rPr>
          <w:rFonts w:ascii="宋体" w:hAnsi="宋体" w:eastAsia="宋体" w:cs="宋体"/>
          <w:spacing w:val="-1"/>
          <w:sz w:val="24"/>
          <w:szCs w:val="24"/>
        </w:rPr>
        <w:t>除非招标人认为确有必要答复，否则，招标人有权拒绝回复投标人在本章第</w:t>
      </w:r>
      <w:r>
        <w:rPr>
          <w:rFonts w:ascii="宋体" w:hAnsi="宋体" w:eastAsia="宋体" w:cs="宋体"/>
          <w:spacing w:val="-2"/>
          <w:sz w:val="24"/>
          <w:szCs w:val="24"/>
        </w:rPr>
        <w:t>2.2.1</w:t>
      </w:r>
      <w:r>
        <w:rPr>
          <w:rFonts w:ascii="宋体" w:hAnsi="宋体" w:eastAsia="宋体" w:cs="宋体"/>
          <w:spacing w:val="-30"/>
          <w:sz w:val="24"/>
          <w:szCs w:val="24"/>
        </w:rPr>
        <w:t xml:space="preserve"> </w:t>
      </w:r>
      <w:r>
        <w:rPr>
          <w:rFonts w:ascii="宋体" w:hAnsi="宋体" w:eastAsia="宋体" w:cs="宋体"/>
          <w:spacing w:val="-2"/>
          <w:sz w:val="24"/>
          <w:szCs w:val="24"/>
        </w:rPr>
        <w:t>项规定的时间后提出的任何澄清要求。</w:t>
      </w:r>
    </w:p>
    <w:p w14:paraId="751735D2">
      <w:pPr>
        <w:spacing w:line="219" w:lineRule="auto"/>
        <w:ind w:left="11"/>
        <w:rPr>
          <w:rFonts w:ascii="宋体" w:hAnsi="宋体" w:eastAsia="宋体" w:cs="宋体"/>
          <w:sz w:val="24"/>
          <w:szCs w:val="24"/>
        </w:rPr>
      </w:pPr>
      <w:r>
        <w:rPr>
          <w:rFonts w:ascii="宋体" w:hAnsi="宋体" w:eastAsia="宋体" w:cs="宋体"/>
          <w:b/>
          <w:bCs/>
          <w:spacing w:val="-3"/>
          <w:sz w:val="24"/>
          <w:szCs w:val="24"/>
        </w:rPr>
        <w:t>2.3</w:t>
      </w:r>
      <w:r>
        <w:rPr>
          <w:rFonts w:ascii="宋体" w:hAnsi="宋体" w:eastAsia="宋体" w:cs="宋体"/>
          <w:spacing w:val="-3"/>
          <w:sz w:val="24"/>
          <w:szCs w:val="24"/>
        </w:rPr>
        <w:t xml:space="preserve"> </w:t>
      </w:r>
      <w:r>
        <w:rPr>
          <w:rFonts w:ascii="宋体" w:hAnsi="宋体" w:eastAsia="宋体" w:cs="宋体"/>
          <w:b/>
          <w:bCs/>
          <w:spacing w:val="-3"/>
          <w:sz w:val="24"/>
          <w:szCs w:val="24"/>
        </w:rPr>
        <w:t>招标文件的修改</w:t>
      </w:r>
    </w:p>
    <w:p w14:paraId="06D3062C">
      <w:pPr>
        <w:spacing w:before="181" w:line="359" w:lineRule="auto"/>
        <w:ind w:left="8" w:firstLine="482"/>
        <w:rPr>
          <w:rFonts w:ascii="宋体" w:hAnsi="宋体" w:eastAsia="宋体" w:cs="宋体"/>
          <w:sz w:val="24"/>
          <w:szCs w:val="24"/>
        </w:rPr>
      </w:pPr>
      <w:r>
        <w:rPr>
          <w:rFonts w:ascii="宋体" w:hAnsi="宋体" w:eastAsia="宋体" w:cs="宋体"/>
          <w:spacing w:val="-1"/>
          <w:sz w:val="24"/>
          <w:szCs w:val="24"/>
        </w:rPr>
        <w:t>2.3.1</w:t>
      </w:r>
      <w:r>
        <w:rPr>
          <w:rFonts w:ascii="宋体" w:hAnsi="宋体" w:eastAsia="宋体" w:cs="宋体"/>
          <w:spacing w:val="-29"/>
          <w:sz w:val="24"/>
          <w:szCs w:val="24"/>
        </w:rPr>
        <w:t xml:space="preserve"> </w:t>
      </w:r>
      <w:r>
        <w:rPr>
          <w:rFonts w:ascii="宋体" w:hAnsi="宋体" w:eastAsia="宋体" w:cs="宋体"/>
          <w:spacing w:val="-1"/>
          <w:sz w:val="24"/>
          <w:szCs w:val="24"/>
        </w:rPr>
        <w:t>招标人以投标人须知前附表规定的形式修改招标文件，并通知所有投标登记</w:t>
      </w:r>
      <w:r>
        <w:rPr>
          <w:rFonts w:ascii="宋体" w:hAnsi="宋体" w:eastAsia="宋体" w:cs="宋体"/>
          <w:spacing w:val="-4"/>
          <w:sz w:val="24"/>
          <w:szCs w:val="24"/>
        </w:rPr>
        <w:t>成功的投标人。修改招标文件的时间距本章第4.2.1</w:t>
      </w:r>
      <w:r>
        <w:rPr>
          <w:rFonts w:ascii="宋体" w:hAnsi="宋体" w:eastAsia="宋体" w:cs="宋体"/>
          <w:spacing w:val="-41"/>
          <w:sz w:val="24"/>
          <w:szCs w:val="24"/>
        </w:rPr>
        <w:t xml:space="preserve"> </w:t>
      </w:r>
      <w:r>
        <w:rPr>
          <w:rFonts w:ascii="宋体" w:hAnsi="宋体" w:eastAsia="宋体" w:cs="宋体"/>
          <w:spacing w:val="-4"/>
          <w:sz w:val="24"/>
          <w:szCs w:val="24"/>
        </w:rPr>
        <w:t>项规定的投标截止时间不足</w:t>
      </w:r>
      <w:r>
        <w:rPr>
          <w:rFonts w:ascii="宋体" w:hAnsi="宋体" w:eastAsia="宋体" w:cs="宋体"/>
          <w:spacing w:val="-33"/>
          <w:sz w:val="24"/>
          <w:szCs w:val="24"/>
        </w:rPr>
        <w:t xml:space="preserve"> </w:t>
      </w:r>
      <w:r>
        <w:rPr>
          <w:rFonts w:ascii="宋体" w:hAnsi="宋体" w:eastAsia="宋体" w:cs="宋体"/>
          <w:spacing w:val="-4"/>
          <w:sz w:val="24"/>
          <w:szCs w:val="24"/>
        </w:rPr>
        <w:t>15 日，</w:t>
      </w:r>
      <w:r>
        <w:rPr>
          <w:rFonts w:ascii="宋体" w:hAnsi="宋体" w:eastAsia="宋体" w:cs="宋体"/>
          <w:spacing w:val="-1"/>
          <w:sz w:val="24"/>
          <w:szCs w:val="24"/>
        </w:rPr>
        <w:t>且修改内容可能影响投标文件编制的，将相应延长投标截止时间。</w:t>
      </w:r>
    </w:p>
    <w:p w14:paraId="0D11DE74">
      <w:pPr>
        <w:spacing w:line="359" w:lineRule="auto"/>
        <w:ind w:left="37" w:right="68" w:firstLine="453"/>
        <w:rPr>
          <w:rFonts w:ascii="宋体" w:hAnsi="宋体" w:eastAsia="宋体" w:cs="宋体"/>
          <w:sz w:val="24"/>
          <w:szCs w:val="24"/>
        </w:rPr>
      </w:pPr>
      <w:r>
        <w:rPr>
          <w:rFonts w:ascii="宋体" w:hAnsi="宋体" w:eastAsia="宋体" w:cs="宋体"/>
          <w:spacing w:val="-1"/>
          <w:sz w:val="24"/>
          <w:szCs w:val="24"/>
        </w:rPr>
        <w:t>2.3.2</w:t>
      </w:r>
      <w:r>
        <w:rPr>
          <w:rFonts w:ascii="宋体" w:hAnsi="宋体" w:eastAsia="宋体" w:cs="宋体"/>
          <w:spacing w:val="-36"/>
          <w:sz w:val="24"/>
          <w:szCs w:val="24"/>
        </w:rPr>
        <w:t xml:space="preserve"> </w:t>
      </w:r>
      <w:r>
        <w:rPr>
          <w:rFonts w:ascii="宋体" w:hAnsi="宋体" w:eastAsia="宋体" w:cs="宋体"/>
          <w:spacing w:val="-1"/>
          <w:sz w:val="24"/>
          <w:szCs w:val="24"/>
        </w:rPr>
        <w:t>投标人应注意及时浏览网上发出的修改，因投标人自身原因未及时获知修改</w:t>
      </w:r>
      <w:r>
        <w:rPr>
          <w:rFonts w:ascii="宋体" w:hAnsi="宋体" w:eastAsia="宋体" w:cs="宋体"/>
          <w:spacing w:val="-2"/>
          <w:sz w:val="24"/>
          <w:szCs w:val="24"/>
        </w:rPr>
        <w:t>内容而导致的任何后果将由投标人自行承担。</w:t>
      </w:r>
    </w:p>
    <w:p w14:paraId="7138D50F">
      <w:pPr>
        <w:spacing w:line="219" w:lineRule="auto"/>
        <w:ind w:left="11"/>
        <w:rPr>
          <w:rFonts w:ascii="宋体" w:hAnsi="宋体" w:eastAsia="宋体" w:cs="宋体"/>
          <w:sz w:val="24"/>
          <w:szCs w:val="24"/>
        </w:rPr>
      </w:pPr>
      <w:r>
        <w:rPr>
          <w:rFonts w:ascii="宋体" w:hAnsi="宋体" w:eastAsia="宋体" w:cs="宋体"/>
          <w:b/>
          <w:bCs/>
          <w:spacing w:val="-3"/>
          <w:sz w:val="24"/>
          <w:szCs w:val="24"/>
        </w:rPr>
        <w:t>2.4</w:t>
      </w:r>
      <w:r>
        <w:rPr>
          <w:rFonts w:ascii="宋体" w:hAnsi="宋体" w:eastAsia="宋体" w:cs="宋体"/>
          <w:spacing w:val="-3"/>
          <w:sz w:val="24"/>
          <w:szCs w:val="24"/>
        </w:rPr>
        <w:t xml:space="preserve"> </w:t>
      </w:r>
      <w:r>
        <w:rPr>
          <w:rFonts w:ascii="宋体" w:hAnsi="宋体" w:eastAsia="宋体" w:cs="宋体"/>
          <w:b/>
          <w:bCs/>
          <w:spacing w:val="-3"/>
          <w:sz w:val="24"/>
          <w:szCs w:val="24"/>
        </w:rPr>
        <w:t>招标文件的异议</w:t>
      </w:r>
    </w:p>
    <w:p w14:paraId="05D76F7D">
      <w:pPr>
        <w:spacing w:before="185" w:line="359" w:lineRule="auto"/>
        <w:ind w:left="11" w:right="61" w:firstLine="480"/>
        <w:jc w:val="both"/>
        <w:rPr>
          <w:rFonts w:ascii="宋体" w:hAnsi="宋体" w:eastAsia="宋体" w:cs="宋体"/>
          <w:sz w:val="24"/>
          <w:szCs w:val="24"/>
        </w:rPr>
      </w:pPr>
      <w:r>
        <w:rPr>
          <w:rFonts w:ascii="宋体" w:hAnsi="宋体" w:eastAsia="宋体" w:cs="宋体"/>
          <w:spacing w:val="-3"/>
          <w:sz w:val="24"/>
          <w:szCs w:val="24"/>
        </w:rPr>
        <w:t>投标人或其他利害关系人对招标文件有异议的，应在投标截止时间</w:t>
      </w:r>
      <w:r>
        <w:rPr>
          <w:rFonts w:ascii="宋体" w:hAnsi="宋体" w:eastAsia="宋体" w:cs="宋体"/>
          <w:spacing w:val="-23"/>
          <w:sz w:val="24"/>
          <w:szCs w:val="24"/>
        </w:rPr>
        <w:t xml:space="preserve"> </w:t>
      </w:r>
      <w:r>
        <w:rPr>
          <w:rFonts w:ascii="宋体" w:hAnsi="宋体" w:eastAsia="宋体" w:cs="宋体"/>
          <w:spacing w:val="-3"/>
          <w:sz w:val="24"/>
          <w:szCs w:val="24"/>
        </w:rPr>
        <w:t>10 日前以书面</w:t>
      </w:r>
      <w:r>
        <w:rPr>
          <w:rFonts w:ascii="宋体" w:hAnsi="宋体" w:eastAsia="宋体" w:cs="宋体"/>
          <w:spacing w:val="-4"/>
          <w:sz w:val="24"/>
          <w:szCs w:val="24"/>
        </w:rPr>
        <w:t>形式提出。招标人将在收到异议之日起</w:t>
      </w:r>
      <w:r>
        <w:rPr>
          <w:rFonts w:ascii="宋体" w:hAnsi="宋体" w:eastAsia="宋体" w:cs="宋体"/>
          <w:spacing w:val="-31"/>
          <w:sz w:val="24"/>
          <w:szCs w:val="24"/>
        </w:rPr>
        <w:t xml:space="preserve"> </w:t>
      </w:r>
      <w:r>
        <w:rPr>
          <w:rFonts w:ascii="宋体" w:hAnsi="宋体" w:eastAsia="宋体" w:cs="宋体"/>
          <w:spacing w:val="-4"/>
          <w:sz w:val="24"/>
          <w:szCs w:val="24"/>
        </w:rPr>
        <w:t>3 日内作出答复；作出答复前，将暂停招标投标</w:t>
      </w:r>
      <w:r>
        <w:rPr>
          <w:rFonts w:ascii="宋体" w:hAnsi="宋体" w:eastAsia="宋体" w:cs="宋体"/>
          <w:spacing w:val="-5"/>
          <w:sz w:val="24"/>
          <w:szCs w:val="24"/>
        </w:rPr>
        <w:t>活动。</w:t>
      </w:r>
    </w:p>
    <w:p w14:paraId="2E793441">
      <w:pPr>
        <w:spacing w:line="219" w:lineRule="auto"/>
        <w:ind w:left="13"/>
        <w:rPr>
          <w:rFonts w:ascii="宋体" w:hAnsi="宋体" w:eastAsia="宋体" w:cs="宋体"/>
          <w:sz w:val="24"/>
          <w:szCs w:val="24"/>
        </w:rPr>
      </w:pPr>
      <w:r>
        <w:rPr>
          <w:rFonts w:ascii="宋体" w:hAnsi="宋体" w:eastAsia="宋体" w:cs="宋体"/>
          <w:b/>
          <w:bCs/>
          <w:spacing w:val="-5"/>
          <w:sz w:val="24"/>
          <w:szCs w:val="24"/>
        </w:rPr>
        <w:t>3.投标文件</w:t>
      </w:r>
    </w:p>
    <w:p w14:paraId="26CB7A88">
      <w:pPr>
        <w:spacing w:before="181" w:line="219" w:lineRule="auto"/>
        <w:ind w:left="13"/>
        <w:rPr>
          <w:rFonts w:ascii="宋体" w:hAnsi="宋体" w:eastAsia="宋体" w:cs="宋体"/>
          <w:sz w:val="24"/>
          <w:szCs w:val="24"/>
        </w:rPr>
      </w:pPr>
      <w:r>
        <w:rPr>
          <w:rFonts w:ascii="宋体" w:hAnsi="宋体" w:eastAsia="宋体" w:cs="宋体"/>
          <w:b/>
          <w:bCs/>
          <w:spacing w:val="-3"/>
          <w:sz w:val="24"/>
          <w:szCs w:val="24"/>
        </w:rPr>
        <w:t>3.1</w:t>
      </w:r>
      <w:r>
        <w:rPr>
          <w:rFonts w:ascii="宋体" w:hAnsi="宋体" w:eastAsia="宋体" w:cs="宋体"/>
          <w:spacing w:val="-3"/>
          <w:sz w:val="24"/>
          <w:szCs w:val="24"/>
        </w:rPr>
        <w:t xml:space="preserve"> </w:t>
      </w:r>
      <w:r>
        <w:rPr>
          <w:rFonts w:ascii="宋体" w:hAnsi="宋体" w:eastAsia="宋体" w:cs="宋体"/>
          <w:b/>
          <w:bCs/>
          <w:spacing w:val="-3"/>
          <w:sz w:val="24"/>
          <w:szCs w:val="24"/>
        </w:rPr>
        <w:t>投标文件的组成</w:t>
      </w:r>
    </w:p>
    <w:p w14:paraId="0C25B33F">
      <w:pPr>
        <w:spacing w:before="181" w:line="219" w:lineRule="auto"/>
        <w:ind w:left="491"/>
        <w:rPr>
          <w:rFonts w:ascii="宋体" w:hAnsi="宋体" w:eastAsia="宋体" w:cs="宋体"/>
          <w:sz w:val="24"/>
          <w:szCs w:val="24"/>
        </w:rPr>
      </w:pPr>
      <w:r>
        <w:rPr>
          <w:rFonts w:ascii="宋体" w:hAnsi="宋体" w:eastAsia="宋体" w:cs="宋体"/>
          <w:spacing w:val="-1"/>
          <w:sz w:val="24"/>
          <w:szCs w:val="24"/>
        </w:rPr>
        <w:t>投标文件的组成应满足相应条款要求：</w:t>
      </w:r>
    </w:p>
    <w:p w14:paraId="5900E88F">
      <w:pPr>
        <w:spacing w:before="183" w:line="219" w:lineRule="auto"/>
        <w:ind w:left="493"/>
        <w:rPr>
          <w:rFonts w:ascii="宋体" w:hAnsi="宋体" w:eastAsia="宋体" w:cs="宋体"/>
          <w:sz w:val="24"/>
          <w:szCs w:val="24"/>
        </w:rPr>
      </w:pPr>
      <w:r>
        <w:rPr>
          <w:rFonts w:ascii="宋体" w:hAnsi="宋体" w:eastAsia="宋体" w:cs="宋体"/>
          <w:spacing w:val="-1"/>
          <w:sz w:val="24"/>
          <w:szCs w:val="24"/>
        </w:rPr>
        <w:t>3.1.1 投标文件应包括下列内容：</w:t>
      </w:r>
    </w:p>
    <w:p w14:paraId="00D7CB67">
      <w:pPr>
        <w:spacing w:before="184" w:line="219" w:lineRule="auto"/>
        <w:ind w:left="488"/>
        <w:rPr>
          <w:rFonts w:ascii="宋体" w:hAnsi="宋体" w:eastAsia="宋体" w:cs="宋体"/>
          <w:sz w:val="24"/>
          <w:szCs w:val="24"/>
        </w:rPr>
      </w:pPr>
      <w:r>
        <w:rPr>
          <w:rFonts w:ascii="宋体" w:hAnsi="宋体" w:eastAsia="宋体" w:cs="宋体"/>
          <w:spacing w:val="-1"/>
          <w:sz w:val="24"/>
          <w:szCs w:val="24"/>
        </w:rPr>
        <w:t>第一个信封（商务及技术文件</w:t>
      </w:r>
      <w:r>
        <w:rPr>
          <w:rFonts w:ascii="宋体" w:hAnsi="宋体" w:eastAsia="宋体" w:cs="宋体"/>
          <w:spacing w:val="1"/>
          <w:sz w:val="24"/>
          <w:szCs w:val="24"/>
        </w:rPr>
        <w:t>）：</w:t>
      </w:r>
    </w:p>
    <w:p w14:paraId="7F111A87">
      <w:pPr>
        <w:spacing w:before="180" w:line="219" w:lineRule="auto"/>
        <w:ind w:left="499"/>
        <w:rPr>
          <w:rFonts w:ascii="宋体" w:hAnsi="宋体" w:eastAsia="宋体" w:cs="宋体"/>
          <w:sz w:val="24"/>
          <w:szCs w:val="24"/>
        </w:rPr>
      </w:pPr>
      <w:r>
        <w:rPr>
          <w:rFonts w:ascii="宋体" w:hAnsi="宋体" w:eastAsia="宋体" w:cs="宋体"/>
          <w:spacing w:val="-2"/>
          <w:sz w:val="24"/>
          <w:szCs w:val="24"/>
        </w:rPr>
        <w:t>（1）投标函及投标函附录；</w:t>
      </w:r>
    </w:p>
    <w:p w14:paraId="538949C6">
      <w:pPr>
        <w:spacing w:before="183" w:line="219" w:lineRule="auto"/>
        <w:ind w:left="499"/>
        <w:rPr>
          <w:rFonts w:ascii="宋体" w:hAnsi="宋体" w:eastAsia="宋体" w:cs="宋体"/>
          <w:sz w:val="24"/>
          <w:szCs w:val="24"/>
        </w:rPr>
      </w:pPr>
      <w:r>
        <w:rPr>
          <w:rFonts w:ascii="宋体" w:hAnsi="宋体" w:eastAsia="宋体" w:cs="宋体"/>
          <w:spacing w:val="-2"/>
          <w:sz w:val="24"/>
          <w:szCs w:val="24"/>
        </w:rPr>
        <w:t>（2）授权委托书或法定代表人身份证明；</w:t>
      </w:r>
    </w:p>
    <w:p w14:paraId="36020D89">
      <w:pPr>
        <w:spacing w:before="181" w:line="219" w:lineRule="auto"/>
        <w:ind w:left="499"/>
        <w:rPr>
          <w:rFonts w:ascii="宋体" w:hAnsi="宋体" w:eastAsia="宋体" w:cs="宋体"/>
          <w:sz w:val="24"/>
          <w:szCs w:val="24"/>
        </w:rPr>
      </w:pPr>
      <w:r>
        <w:rPr>
          <w:rFonts w:ascii="宋体" w:hAnsi="宋体" w:eastAsia="宋体" w:cs="宋体"/>
          <w:spacing w:val="-3"/>
          <w:sz w:val="24"/>
          <w:szCs w:val="24"/>
        </w:rPr>
        <w:t>（3）联合体协议书；</w:t>
      </w:r>
    </w:p>
    <w:p w14:paraId="169B2D45">
      <w:pPr>
        <w:spacing w:before="184" w:line="220" w:lineRule="auto"/>
        <w:ind w:left="499"/>
        <w:rPr>
          <w:rFonts w:ascii="宋体" w:hAnsi="宋体" w:eastAsia="宋体" w:cs="宋体"/>
          <w:sz w:val="24"/>
          <w:szCs w:val="24"/>
        </w:rPr>
      </w:pPr>
      <w:r>
        <w:rPr>
          <w:rFonts w:ascii="宋体" w:hAnsi="宋体" w:eastAsia="宋体" w:cs="宋体"/>
          <w:spacing w:val="-3"/>
          <w:sz w:val="24"/>
          <w:szCs w:val="24"/>
        </w:rPr>
        <w:t>（4）投标保证金；</w:t>
      </w:r>
    </w:p>
    <w:p w14:paraId="5EC4FA1B">
      <w:pPr>
        <w:spacing w:before="181" w:line="221" w:lineRule="auto"/>
        <w:ind w:left="499"/>
        <w:rPr>
          <w:rFonts w:ascii="宋体" w:hAnsi="宋体" w:eastAsia="宋体" w:cs="宋体"/>
          <w:sz w:val="24"/>
          <w:szCs w:val="24"/>
        </w:rPr>
      </w:pPr>
      <w:r>
        <w:rPr>
          <w:rFonts w:ascii="宋体" w:hAnsi="宋体" w:eastAsia="宋体" w:cs="宋体"/>
          <w:spacing w:val="-3"/>
          <w:sz w:val="24"/>
          <w:szCs w:val="24"/>
        </w:rPr>
        <w:t>（5）施工组织设计；</w:t>
      </w:r>
    </w:p>
    <w:p w14:paraId="60CFBB47">
      <w:pPr>
        <w:spacing w:before="178" w:line="219" w:lineRule="auto"/>
        <w:ind w:left="499"/>
        <w:rPr>
          <w:rFonts w:ascii="宋体" w:hAnsi="宋体" w:eastAsia="宋体" w:cs="宋体"/>
          <w:sz w:val="24"/>
          <w:szCs w:val="24"/>
        </w:rPr>
      </w:pPr>
      <w:r>
        <w:rPr>
          <w:rFonts w:ascii="宋体" w:hAnsi="宋体" w:eastAsia="宋体" w:cs="宋体"/>
          <w:spacing w:val="-3"/>
          <w:sz w:val="24"/>
          <w:szCs w:val="24"/>
        </w:rPr>
        <w:t>（6）项目管理机构；</w:t>
      </w:r>
    </w:p>
    <w:p w14:paraId="2DBEE539">
      <w:pPr>
        <w:spacing w:before="181" w:line="219" w:lineRule="auto"/>
        <w:ind w:left="499"/>
        <w:rPr>
          <w:rFonts w:ascii="宋体" w:hAnsi="宋体" w:eastAsia="宋体" w:cs="宋体"/>
          <w:sz w:val="24"/>
          <w:szCs w:val="24"/>
        </w:rPr>
      </w:pPr>
      <w:r>
        <w:rPr>
          <w:rFonts w:ascii="宋体" w:hAnsi="宋体" w:eastAsia="宋体" w:cs="宋体"/>
          <w:spacing w:val="-2"/>
          <w:sz w:val="24"/>
          <w:szCs w:val="24"/>
        </w:rPr>
        <w:t>（7）拟分包项目情况表；</w:t>
      </w:r>
    </w:p>
    <w:p w14:paraId="40B00AB1">
      <w:pPr>
        <w:spacing w:before="185" w:line="219" w:lineRule="auto"/>
        <w:ind w:left="499"/>
        <w:rPr>
          <w:rFonts w:ascii="宋体" w:hAnsi="宋体" w:eastAsia="宋体" w:cs="宋体"/>
          <w:sz w:val="24"/>
          <w:szCs w:val="24"/>
        </w:rPr>
      </w:pPr>
      <w:r>
        <w:rPr>
          <w:rFonts w:ascii="宋体" w:hAnsi="宋体" w:eastAsia="宋体" w:cs="宋体"/>
          <w:spacing w:val="-3"/>
          <w:sz w:val="24"/>
          <w:szCs w:val="24"/>
        </w:rPr>
        <w:t>（8）资格审查资料；</w:t>
      </w:r>
    </w:p>
    <w:p w14:paraId="7FF3DDE8">
      <w:pPr>
        <w:spacing w:before="180" w:line="219" w:lineRule="auto"/>
        <w:ind w:left="499"/>
        <w:rPr>
          <w:rFonts w:ascii="宋体" w:hAnsi="宋体" w:eastAsia="宋体" w:cs="宋体"/>
          <w:sz w:val="24"/>
          <w:szCs w:val="24"/>
        </w:rPr>
      </w:pPr>
      <w:r>
        <w:rPr>
          <w:rFonts w:ascii="宋体" w:hAnsi="宋体" w:eastAsia="宋体" w:cs="宋体"/>
          <w:spacing w:val="-2"/>
          <w:sz w:val="24"/>
          <w:szCs w:val="24"/>
        </w:rPr>
        <w:t>（9）投标人须知前附表规定的其他资料。</w:t>
      </w:r>
    </w:p>
    <w:p w14:paraId="087829B0">
      <w:pPr>
        <w:spacing w:before="183" w:line="218" w:lineRule="auto"/>
        <w:ind w:left="488"/>
        <w:rPr>
          <w:rFonts w:ascii="宋体" w:hAnsi="宋体" w:eastAsia="宋体" w:cs="宋体"/>
          <w:sz w:val="24"/>
          <w:szCs w:val="24"/>
        </w:rPr>
      </w:pPr>
      <w:r>
        <w:rPr>
          <w:rFonts w:ascii="宋体" w:hAnsi="宋体" w:eastAsia="宋体" w:cs="宋体"/>
          <w:spacing w:val="-1"/>
          <w:sz w:val="24"/>
          <w:szCs w:val="24"/>
        </w:rPr>
        <w:t>第二个信封（报价文件</w:t>
      </w:r>
      <w:r>
        <w:rPr>
          <w:rFonts w:ascii="宋体" w:hAnsi="宋体" w:eastAsia="宋体" w:cs="宋体"/>
          <w:sz w:val="24"/>
          <w:szCs w:val="24"/>
        </w:rPr>
        <w:t>）：</w:t>
      </w:r>
    </w:p>
    <w:p w14:paraId="21643B35">
      <w:pPr>
        <w:spacing w:line="401" w:lineRule="auto"/>
        <w:rPr>
          <w:rFonts w:hint="eastAsia" w:ascii="Arial" w:eastAsia="宋体"/>
          <w:sz w:val="21"/>
          <w:lang w:eastAsia="zh-CN"/>
        </w:rPr>
      </w:pPr>
      <w:r>
        <w:rPr>
          <w:rFonts w:hint="eastAsia" w:ascii="Arial" w:eastAsia="宋体"/>
          <w:sz w:val="21"/>
          <w:lang w:eastAsia="zh-CN"/>
        </w:rPr>
        <w:br w:type="page"/>
      </w:r>
    </w:p>
    <w:p w14:paraId="43545AB8">
      <w:pPr>
        <w:spacing w:before="182" w:line="220" w:lineRule="auto"/>
        <w:ind w:left="499"/>
        <w:rPr>
          <w:rFonts w:ascii="宋体" w:hAnsi="宋体" w:eastAsia="宋体" w:cs="宋体"/>
          <w:sz w:val="24"/>
          <w:szCs w:val="24"/>
        </w:rPr>
      </w:pPr>
      <w:r>
        <w:rPr>
          <w:rFonts w:ascii="宋体" w:hAnsi="宋体" w:eastAsia="宋体" w:cs="宋体"/>
          <w:spacing w:val="-3"/>
          <w:sz w:val="24"/>
          <w:szCs w:val="24"/>
        </w:rPr>
        <w:t>（</w:t>
      </w:r>
      <w:r>
        <w:rPr>
          <w:rFonts w:hint="eastAsia" w:ascii="宋体" w:hAnsi="宋体" w:eastAsia="宋体" w:cs="宋体"/>
          <w:spacing w:val="-3"/>
          <w:sz w:val="24"/>
          <w:szCs w:val="24"/>
          <w:lang w:val="en-US" w:eastAsia="zh-CN"/>
        </w:rPr>
        <w:t>1</w:t>
      </w:r>
      <w:r>
        <w:rPr>
          <w:rFonts w:ascii="宋体" w:hAnsi="宋体" w:eastAsia="宋体" w:cs="宋体"/>
          <w:spacing w:val="-3"/>
          <w:sz w:val="24"/>
          <w:szCs w:val="24"/>
        </w:rPr>
        <w:t>）投标函；</w:t>
      </w:r>
    </w:p>
    <w:p w14:paraId="7C9F8338">
      <w:pPr>
        <w:spacing w:before="181" w:line="218" w:lineRule="auto"/>
        <w:ind w:left="499"/>
        <w:rPr>
          <w:rFonts w:ascii="宋体" w:hAnsi="宋体" w:eastAsia="宋体" w:cs="宋体"/>
          <w:sz w:val="24"/>
          <w:szCs w:val="24"/>
        </w:rPr>
      </w:pPr>
      <w:r>
        <w:rPr>
          <w:rFonts w:ascii="宋体" w:hAnsi="宋体" w:eastAsia="宋体" w:cs="宋体"/>
          <w:spacing w:val="-2"/>
          <w:sz w:val="24"/>
          <w:szCs w:val="24"/>
        </w:rPr>
        <w:t>（</w:t>
      </w:r>
      <w:r>
        <w:rPr>
          <w:rFonts w:hint="eastAsia" w:ascii="宋体" w:hAnsi="宋体" w:eastAsia="宋体" w:cs="宋体"/>
          <w:spacing w:val="-2"/>
          <w:sz w:val="24"/>
          <w:szCs w:val="24"/>
          <w:lang w:val="en-US" w:eastAsia="zh-CN"/>
        </w:rPr>
        <w:t>2</w:t>
      </w:r>
      <w:r>
        <w:rPr>
          <w:rFonts w:ascii="宋体" w:hAnsi="宋体" w:eastAsia="宋体" w:cs="宋体"/>
          <w:spacing w:val="-2"/>
          <w:sz w:val="24"/>
          <w:szCs w:val="24"/>
        </w:rPr>
        <w:t>）已标价工程量清单。</w:t>
      </w:r>
    </w:p>
    <w:p w14:paraId="7BC40D37">
      <w:pPr>
        <w:spacing w:before="182" w:line="359" w:lineRule="auto"/>
        <w:ind w:left="7" w:right="80" w:firstLine="483"/>
        <w:rPr>
          <w:rFonts w:ascii="宋体" w:hAnsi="宋体" w:eastAsia="宋体" w:cs="宋体"/>
          <w:sz w:val="24"/>
          <w:szCs w:val="24"/>
        </w:rPr>
      </w:pPr>
      <w:r>
        <w:rPr>
          <w:rFonts w:ascii="宋体" w:hAnsi="宋体" w:eastAsia="宋体" w:cs="宋体"/>
          <w:spacing w:val="-2"/>
          <w:sz w:val="24"/>
          <w:szCs w:val="24"/>
        </w:rPr>
        <w:t>投标人在评标过程中作出的符合法律法规和招标文件规定的澄清确认，构成投标文件的组成部分。</w:t>
      </w:r>
    </w:p>
    <w:p w14:paraId="6D848584">
      <w:pPr>
        <w:spacing w:line="359" w:lineRule="auto"/>
        <w:ind w:left="11" w:right="145" w:firstLine="481"/>
        <w:rPr>
          <w:rFonts w:ascii="宋体" w:hAnsi="宋体" w:eastAsia="宋体" w:cs="宋体"/>
          <w:sz w:val="24"/>
          <w:szCs w:val="24"/>
        </w:rPr>
      </w:pPr>
      <w:r>
        <w:rPr>
          <w:rFonts w:ascii="宋体" w:hAnsi="宋体" w:eastAsia="宋体" w:cs="宋体"/>
          <w:spacing w:val="-2"/>
          <w:sz w:val="24"/>
          <w:szCs w:val="24"/>
        </w:rPr>
        <w:t>3.1.2</w:t>
      </w:r>
      <w:r>
        <w:rPr>
          <w:rFonts w:ascii="宋体" w:hAnsi="宋体" w:eastAsia="宋体" w:cs="宋体"/>
          <w:spacing w:val="-48"/>
          <w:sz w:val="24"/>
          <w:szCs w:val="24"/>
        </w:rPr>
        <w:t xml:space="preserve"> </w:t>
      </w:r>
      <w:r>
        <w:rPr>
          <w:rFonts w:ascii="宋体" w:hAnsi="宋体" w:eastAsia="宋体" w:cs="宋体"/>
          <w:spacing w:val="-2"/>
          <w:sz w:val="24"/>
          <w:szCs w:val="24"/>
        </w:rPr>
        <w:t>投标人须知前附表规定不接受联合体投标的，或投标</w:t>
      </w:r>
      <w:r>
        <w:rPr>
          <w:rFonts w:ascii="宋体" w:hAnsi="宋体" w:eastAsia="宋体" w:cs="宋体"/>
          <w:spacing w:val="-3"/>
          <w:sz w:val="24"/>
          <w:szCs w:val="24"/>
        </w:rPr>
        <w:t>人没有组成联合体的，投标文件不包括本章第</w:t>
      </w:r>
      <w:r>
        <w:rPr>
          <w:rFonts w:ascii="宋体" w:hAnsi="宋体" w:eastAsia="宋体" w:cs="宋体"/>
          <w:spacing w:val="-42"/>
          <w:sz w:val="24"/>
          <w:szCs w:val="24"/>
        </w:rPr>
        <w:t xml:space="preserve"> </w:t>
      </w:r>
      <w:r>
        <w:rPr>
          <w:rFonts w:ascii="宋体" w:hAnsi="宋体" w:eastAsia="宋体" w:cs="宋体"/>
          <w:spacing w:val="-3"/>
          <w:sz w:val="24"/>
          <w:szCs w:val="24"/>
        </w:rPr>
        <w:t>3.1.1（3）</w:t>
      </w:r>
      <w:r>
        <w:rPr>
          <w:rFonts w:ascii="宋体" w:hAnsi="宋体" w:eastAsia="宋体" w:cs="宋体"/>
          <w:spacing w:val="-65"/>
          <w:sz w:val="24"/>
          <w:szCs w:val="24"/>
        </w:rPr>
        <w:t xml:space="preserve"> </w:t>
      </w:r>
      <w:r>
        <w:rPr>
          <w:rFonts w:ascii="宋体" w:hAnsi="宋体" w:eastAsia="宋体" w:cs="宋体"/>
          <w:spacing w:val="-3"/>
          <w:sz w:val="24"/>
          <w:szCs w:val="24"/>
        </w:rPr>
        <w:t>目所指的联合体协议书。</w:t>
      </w:r>
    </w:p>
    <w:p w14:paraId="1B9FF807">
      <w:pPr>
        <w:spacing w:line="359" w:lineRule="auto"/>
        <w:ind w:left="19" w:right="87" w:firstLine="473"/>
        <w:rPr>
          <w:rFonts w:ascii="宋体" w:hAnsi="宋体" w:eastAsia="宋体" w:cs="宋体"/>
          <w:sz w:val="24"/>
          <w:szCs w:val="24"/>
        </w:rPr>
      </w:pPr>
      <w:r>
        <w:rPr>
          <w:rFonts w:ascii="宋体" w:hAnsi="宋体" w:eastAsia="宋体" w:cs="宋体"/>
          <w:spacing w:val="-1"/>
          <w:sz w:val="24"/>
          <w:szCs w:val="24"/>
        </w:rPr>
        <w:t>3.1.3 投标人须知前附表未要求提交投标保证金的，投标文件不包括本章第</w:t>
      </w:r>
      <w:r>
        <w:rPr>
          <w:rFonts w:ascii="宋体" w:hAnsi="宋体" w:eastAsia="宋体" w:cs="宋体"/>
          <w:spacing w:val="-35"/>
          <w:sz w:val="24"/>
          <w:szCs w:val="24"/>
        </w:rPr>
        <w:t xml:space="preserve"> </w:t>
      </w:r>
      <w:r>
        <w:rPr>
          <w:rFonts w:ascii="宋体" w:hAnsi="宋体" w:eastAsia="宋体" w:cs="宋体"/>
          <w:spacing w:val="-1"/>
          <w:sz w:val="24"/>
          <w:szCs w:val="24"/>
        </w:rPr>
        <w:t>3.1.1</w:t>
      </w:r>
      <w:r>
        <w:rPr>
          <w:rFonts w:ascii="宋体" w:hAnsi="宋体" w:eastAsia="宋体" w:cs="宋体"/>
          <w:sz w:val="24"/>
          <w:szCs w:val="24"/>
        </w:rPr>
        <w:t xml:space="preserve"> </w:t>
      </w:r>
      <w:r>
        <w:rPr>
          <w:rFonts w:ascii="宋体" w:hAnsi="宋体" w:eastAsia="宋体" w:cs="宋体"/>
          <w:spacing w:val="-6"/>
          <w:sz w:val="24"/>
          <w:szCs w:val="24"/>
        </w:rPr>
        <w:t>（4）</w:t>
      </w:r>
      <w:r>
        <w:rPr>
          <w:rFonts w:ascii="宋体" w:hAnsi="宋体" w:eastAsia="宋体" w:cs="宋体"/>
          <w:spacing w:val="-64"/>
          <w:sz w:val="24"/>
          <w:szCs w:val="24"/>
        </w:rPr>
        <w:t xml:space="preserve"> </w:t>
      </w:r>
      <w:r>
        <w:rPr>
          <w:rFonts w:ascii="宋体" w:hAnsi="宋体" w:eastAsia="宋体" w:cs="宋体"/>
          <w:spacing w:val="-6"/>
          <w:sz w:val="24"/>
          <w:szCs w:val="24"/>
        </w:rPr>
        <w:t>目所指的投标保证金。</w:t>
      </w:r>
    </w:p>
    <w:p w14:paraId="2D214CC8">
      <w:pPr>
        <w:spacing w:before="1" w:line="217" w:lineRule="auto"/>
        <w:ind w:left="13"/>
        <w:rPr>
          <w:rFonts w:ascii="宋体" w:hAnsi="宋体" w:eastAsia="宋体" w:cs="宋体"/>
          <w:sz w:val="24"/>
          <w:szCs w:val="24"/>
        </w:rPr>
      </w:pPr>
      <w:r>
        <w:rPr>
          <w:rFonts w:ascii="宋体" w:hAnsi="宋体" w:eastAsia="宋体" w:cs="宋体"/>
          <w:b/>
          <w:bCs/>
          <w:spacing w:val="-6"/>
          <w:sz w:val="24"/>
          <w:szCs w:val="24"/>
        </w:rPr>
        <w:t>3.2</w:t>
      </w:r>
      <w:r>
        <w:rPr>
          <w:rFonts w:ascii="宋体" w:hAnsi="宋体" w:eastAsia="宋体" w:cs="宋体"/>
          <w:spacing w:val="16"/>
          <w:sz w:val="24"/>
          <w:szCs w:val="24"/>
        </w:rPr>
        <w:t xml:space="preserve"> </w:t>
      </w:r>
      <w:r>
        <w:rPr>
          <w:rFonts w:ascii="宋体" w:hAnsi="宋体" w:eastAsia="宋体" w:cs="宋体"/>
          <w:b/>
          <w:bCs/>
          <w:spacing w:val="-6"/>
          <w:sz w:val="24"/>
          <w:szCs w:val="24"/>
        </w:rPr>
        <w:t>投标报价</w:t>
      </w:r>
    </w:p>
    <w:p w14:paraId="076046D7">
      <w:pPr>
        <w:spacing w:before="187" w:line="359" w:lineRule="auto"/>
        <w:ind w:left="9" w:right="80" w:firstLine="483"/>
        <w:jc w:val="both"/>
        <w:rPr>
          <w:rFonts w:ascii="宋体" w:hAnsi="宋体" w:eastAsia="宋体" w:cs="宋体"/>
          <w:sz w:val="24"/>
          <w:szCs w:val="24"/>
        </w:rPr>
      </w:pPr>
      <w:r>
        <w:rPr>
          <w:rFonts w:ascii="宋体" w:hAnsi="宋体" w:eastAsia="宋体" w:cs="宋体"/>
          <w:spacing w:val="-2"/>
          <w:sz w:val="24"/>
          <w:szCs w:val="24"/>
        </w:rPr>
        <w:t>3.2.1 投标报价应包括国家规定的增值税税金，除投标人须知前附表另有规定外，</w:t>
      </w:r>
      <w:r>
        <w:rPr>
          <w:rFonts w:ascii="宋体" w:hAnsi="宋体" w:eastAsia="宋体" w:cs="宋体"/>
          <w:spacing w:val="-3"/>
          <w:sz w:val="24"/>
          <w:szCs w:val="24"/>
        </w:rPr>
        <w:t>增值税税金按一般计税方法计算。投标人应按第八章“投标文件格式</w:t>
      </w:r>
      <w:r>
        <w:rPr>
          <w:rFonts w:ascii="宋体" w:hAnsi="宋体" w:eastAsia="宋体" w:cs="宋体"/>
          <w:spacing w:val="-71"/>
          <w:sz w:val="24"/>
          <w:szCs w:val="24"/>
        </w:rPr>
        <w:t xml:space="preserve"> </w:t>
      </w:r>
      <w:r>
        <w:rPr>
          <w:rFonts w:ascii="宋体" w:hAnsi="宋体" w:eastAsia="宋体" w:cs="宋体"/>
          <w:spacing w:val="-3"/>
          <w:sz w:val="24"/>
          <w:szCs w:val="24"/>
        </w:rPr>
        <w:t>”的要求在投标函</w:t>
      </w:r>
      <w:r>
        <w:rPr>
          <w:rFonts w:ascii="宋体" w:hAnsi="宋体" w:eastAsia="宋体" w:cs="宋体"/>
          <w:spacing w:val="-1"/>
          <w:sz w:val="24"/>
          <w:szCs w:val="24"/>
        </w:rPr>
        <w:t>中进行报价并填写工程量清单相应表格。</w:t>
      </w:r>
    </w:p>
    <w:p w14:paraId="4438BD8A">
      <w:pPr>
        <w:spacing w:line="359" w:lineRule="auto"/>
        <w:ind w:left="11" w:right="80" w:firstLine="480"/>
        <w:rPr>
          <w:rFonts w:ascii="宋体" w:hAnsi="宋体" w:eastAsia="宋体" w:cs="宋体"/>
          <w:sz w:val="24"/>
          <w:szCs w:val="24"/>
        </w:rPr>
      </w:pPr>
      <w:r>
        <w:rPr>
          <w:rFonts w:ascii="宋体" w:hAnsi="宋体" w:eastAsia="宋体" w:cs="宋体"/>
          <w:spacing w:val="-2"/>
          <w:sz w:val="24"/>
          <w:szCs w:val="24"/>
        </w:rPr>
        <w:t>工程量清单的填写分下列两种方式。投标人应按投标人须知前附表规定的方式填写</w:t>
      </w:r>
      <w:r>
        <w:rPr>
          <w:rFonts w:ascii="宋体" w:hAnsi="宋体" w:eastAsia="宋体" w:cs="宋体"/>
          <w:spacing w:val="-3"/>
          <w:sz w:val="24"/>
          <w:szCs w:val="24"/>
        </w:rPr>
        <w:t>工程量清单。</w:t>
      </w:r>
    </w:p>
    <w:p w14:paraId="17C5D7B8">
      <w:pPr>
        <w:widowControl w:val="0"/>
        <w:spacing w:line="360" w:lineRule="auto"/>
        <w:ind w:firstLine="480" w:firstLineChars="200"/>
        <w:jc w:val="both"/>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（1）本项目招标采用工程量固化清单，招标人在出售招标文件的同时向投标人提供工程量固化清单电子文件</w:t>
      </w:r>
      <w:r>
        <w:rPr>
          <w:rFonts w:ascii="宋体" w:hAnsi="宋体" w:eastAsia="宋体" w:cs="宋体"/>
          <w:color w:val="auto"/>
          <w:spacing w:val="0"/>
          <w:kern w:val="2"/>
          <w:sz w:val="24"/>
          <w:szCs w:val="24"/>
          <w:highlight w:val="none"/>
          <w:lang w:val="en-US" w:eastAsia="zh-CN" w:bidi="ar-SA"/>
        </w:rPr>
        <w:t>（</w:t>
      </w:r>
      <w:r>
        <w:rPr>
          <w:rFonts w:ascii="Times New Roman" w:hAnsi="宋体" w:eastAsia="宋体" w:cs="Times New Roman"/>
          <w:color w:val="auto"/>
          <w:spacing w:val="0"/>
          <w:kern w:val="2"/>
          <w:sz w:val="24"/>
          <w:szCs w:val="24"/>
          <w:highlight w:val="none"/>
          <w:lang w:val="en-US" w:eastAsia="zh-CN" w:bidi="ar-SA"/>
        </w:rPr>
        <w:t xml:space="preserve"> </w:t>
      </w:r>
      <w:r>
        <w:rPr>
          <w:rFonts w:ascii="宋体" w:hAnsi="宋体" w:eastAsia="宋体" w:cs="Times New Roman"/>
          <w:color w:val="auto"/>
          <w:spacing w:val="0"/>
          <w:kern w:val="2"/>
          <w:sz w:val="24"/>
          <w:szCs w:val="24"/>
          <w:highlight w:val="none"/>
          <w:lang w:val="en-US" w:eastAsia="zh-CN" w:bidi="ar-SA"/>
        </w:rPr>
        <w:t>U</w:t>
      </w:r>
      <w:r>
        <w:rPr>
          <w:rFonts w:ascii="Times New Roman" w:hAnsi="宋体" w:eastAsia="宋体" w:cs="Times New Roman"/>
          <w:color w:val="auto"/>
          <w:spacing w:val="0"/>
          <w:kern w:val="2"/>
          <w:sz w:val="24"/>
          <w:szCs w:val="24"/>
          <w:highlight w:val="none"/>
          <w:lang w:val="en-US" w:eastAsia="zh-CN" w:bidi="ar-SA"/>
        </w:rPr>
        <w:t xml:space="preserve"> </w:t>
      </w:r>
      <w:r>
        <w:rPr>
          <w:rFonts w:ascii="宋体" w:hAnsi="宋体" w:eastAsia="宋体" w:cs="宋体"/>
          <w:color w:val="auto"/>
          <w:spacing w:val="0"/>
          <w:kern w:val="2"/>
          <w:sz w:val="24"/>
          <w:szCs w:val="24"/>
          <w:highlight w:val="none"/>
          <w:lang w:val="en-US" w:eastAsia="zh-CN" w:bidi="ar-SA"/>
        </w:rPr>
        <w:t>盘）</w:t>
      </w:r>
      <w:r>
        <w:rPr>
          <w:rFonts w:hint="eastAsia" w:ascii="宋体" w:hAnsi="宋体" w:eastAsia="宋体" w:cs="Times New Roman"/>
          <w:color w:val="auto"/>
          <w:kern w:val="2"/>
          <w:sz w:val="24"/>
          <w:szCs w:val="24"/>
          <w:highlight w:val="none"/>
          <w:lang w:val="en-US" w:eastAsia="zh-CN" w:bidi="ar-SA"/>
        </w:rPr>
        <w:t>，或将工程量固化清单电子文件上传至投标人须知前附表载明的网站供投标人自行下载。投标人填写工程量清单中各子目的单价及总额价，即可完成投标工程量清单的编制，确定投标报价，并打印出投标工程量清单，编入投标文件。投标人未在工程量清单中填入单价或总额价的工程子目，将被认为其已包含在工程量清单其他子目的单价和总额价中，招标人将不予支付。</w:t>
      </w:r>
    </w:p>
    <w:p w14:paraId="0038A238">
      <w:pPr>
        <w:widowControl w:val="0"/>
        <w:spacing w:line="360" w:lineRule="auto"/>
        <w:ind w:firstLine="480" w:firstLineChars="200"/>
        <w:jc w:val="both"/>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投标人必须严格遵循工程量固化清单电子文件中的数据、格式及运算定义，并将已填写完毕的投标工程量清单电子文件单独拷入招标人提供的（U 盘）中密封在投标文件内一并交回。严禁投标人修改工程量固化清单电子文件中的数据、格式及运算定义。</w:t>
      </w:r>
    </w:p>
    <w:p w14:paraId="32E7CACE">
      <w:pPr>
        <w:widowControl w:val="0"/>
        <w:spacing w:line="360" w:lineRule="auto"/>
        <w:ind w:firstLine="480" w:firstLineChars="200"/>
        <w:jc w:val="both"/>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投标人根据招标人提供的工程量固化清单电子文件填报完成并打印的投标工程量清单中的投标报价和投标函大写金额报价应一致，如果报价金额出现差异，其投标将被否决。</w:t>
      </w:r>
    </w:p>
    <w:p w14:paraId="14E419E7">
      <w:pPr>
        <w:widowControl w:val="0"/>
        <w:spacing w:line="360" w:lineRule="auto"/>
        <w:ind w:firstLine="452" w:firstLineChars="200"/>
        <w:jc w:val="both"/>
        <w:rPr>
          <w:rFonts w:ascii="宋体" w:hAnsi="宋体" w:eastAsia="宋体" w:cs="宋体"/>
          <w:sz w:val="24"/>
          <w:szCs w:val="24"/>
        </w:rPr>
      </w:pPr>
      <w:r>
        <w:rPr>
          <w:rFonts w:ascii="宋体" w:hAnsi="宋体" w:eastAsia="宋体" w:cs="宋体"/>
          <w:spacing w:val="-7"/>
          <w:sz w:val="24"/>
          <w:szCs w:val="24"/>
        </w:rPr>
        <w:t>（2）本项目招标由招标人提供书面工程量清单，由投标人按照招标人</w:t>
      </w:r>
      <w:r>
        <w:rPr>
          <w:rFonts w:ascii="宋体" w:hAnsi="宋体" w:eastAsia="宋体" w:cs="宋体"/>
          <w:spacing w:val="-8"/>
          <w:sz w:val="24"/>
          <w:szCs w:val="24"/>
        </w:rPr>
        <w:t>提供的工程</w:t>
      </w:r>
      <w:r>
        <w:rPr>
          <w:rFonts w:ascii="宋体" w:hAnsi="宋体" w:eastAsia="宋体" w:cs="宋体"/>
          <w:spacing w:val="-50"/>
          <w:sz w:val="24"/>
          <w:szCs w:val="24"/>
        </w:rPr>
        <w:t xml:space="preserve"> </w:t>
      </w:r>
      <w:r>
        <w:rPr>
          <w:rFonts w:ascii="宋体" w:hAnsi="宋体" w:eastAsia="宋体" w:cs="宋体"/>
          <w:spacing w:val="-8"/>
          <w:sz w:val="24"/>
          <w:szCs w:val="24"/>
        </w:rPr>
        <w:t>量</w:t>
      </w:r>
      <w:r>
        <w:rPr>
          <w:rFonts w:ascii="宋体" w:hAnsi="宋体" w:eastAsia="宋体" w:cs="宋体"/>
          <w:spacing w:val="-2"/>
          <w:sz w:val="24"/>
          <w:szCs w:val="24"/>
        </w:rPr>
        <w:t>清单填写本合同各工程子目的单价、合价和总额价。评标委员会将按照第三章“评标办法</w:t>
      </w:r>
      <w:r>
        <w:rPr>
          <w:rFonts w:ascii="宋体" w:hAnsi="宋体" w:eastAsia="宋体" w:cs="宋体"/>
          <w:spacing w:val="-79"/>
          <w:sz w:val="24"/>
          <w:szCs w:val="24"/>
        </w:rPr>
        <w:t xml:space="preserve"> </w:t>
      </w:r>
      <w:r>
        <w:rPr>
          <w:rFonts w:ascii="宋体" w:hAnsi="宋体" w:eastAsia="宋体" w:cs="宋体"/>
          <w:spacing w:val="-2"/>
          <w:sz w:val="24"/>
          <w:szCs w:val="24"/>
        </w:rPr>
        <w:t>”的规定对投标价进行算术性错误修正及其他错误修正。</w:t>
      </w:r>
    </w:p>
    <w:p w14:paraId="6DBE2C7D">
      <w:pPr>
        <w:spacing w:before="1" w:line="217" w:lineRule="auto"/>
        <w:ind w:left="493"/>
        <w:rPr>
          <w:rFonts w:ascii="宋体" w:hAnsi="宋体" w:eastAsia="宋体" w:cs="宋体"/>
          <w:sz w:val="24"/>
          <w:szCs w:val="24"/>
        </w:rPr>
      </w:pPr>
      <w:r>
        <w:rPr>
          <w:rFonts w:ascii="宋体" w:hAnsi="宋体" w:eastAsia="宋体" w:cs="宋体"/>
          <w:sz w:val="24"/>
          <w:szCs w:val="24"/>
        </w:rPr>
        <w:t>3.2.2 投标人应充分了解本项目的总体</w:t>
      </w:r>
      <w:r>
        <w:rPr>
          <w:rFonts w:ascii="宋体" w:hAnsi="宋体" w:eastAsia="宋体" w:cs="宋体"/>
          <w:spacing w:val="-1"/>
          <w:sz w:val="24"/>
          <w:szCs w:val="24"/>
        </w:rPr>
        <w:t>情况以及影响投标报价的其他要素。</w:t>
      </w:r>
    </w:p>
    <w:p w14:paraId="1F9ADDCD">
      <w:pPr>
        <w:spacing w:before="183" w:line="359" w:lineRule="auto"/>
        <w:ind w:left="12" w:right="80" w:firstLine="480"/>
        <w:rPr>
          <w:rFonts w:ascii="宋体" w:hAnsi="宋体" w:eastAsia="宋体" w:cs="宋体"/>
          <w:sz w:val="24"/>
          <w:szCs w:val="24"/>
        </w:rPr>
      </w:pPr>
      <w:r>
        <w:rPr>
          <w:rFonts w:ascii="宋体" w:hAnsi="宋体" w:eastAsia="宋体" w:cs="宋体"/>
          <w:spacing w:val="-1"/>
          <w:sz w:val="24"/>
          <w:szCs w:val="24"/>
        </w:rPr>
        <w:t>3.2.3</w:t>
      </w:r>
      <w:r>
        <w:rPr>
          <w:rFonts w:ascii="宋体" w:hAnsi="宋体" w:eastAsia="宋体" w:cs="宋体"/>
          <w:spacing w:val="-30"/>
          <w:sz w:val="24"/>
          <w:szCs w:val="24"/>
        </w:rPr>
        <w:t xml:space="preserve"> </w:t>
      </w:r>
      <w:r>
        <w:rPr>
          <w:rFonts w:ascii="宋体" w:hAnsi="宋体" w:eastAsia="宋体" w:cs="宋体"/>
          <w:spacing w:val="-1"/>
          <w:sz w:val="24"/>
          <w:szCs w:val="24"/>
        </w:rPr>
        <w:t>本项目的报价方式见投标人须知前附表。投标人在投标截止时间前修改投标</w:t>
      </w:r>
      <w:r>
        <w:rPr>
          <w:rFonts w:ascii="宋体" w:hAnsi="宋体" w:eastAsia="宋体" w:cs="宋体"/>
          <w:spacing w:val="-4"/>
          <w:sz w:val="24"/>
          <w:szCs w:val="24"/>
        </w:rPr>
        <w:t>函中的投标总报价，应同时修改投标文件“</w:t>
      </w:r>
      <w:r>
        <w:rPr>
          <w:rFonts w:ascii="宋体" w:hAnsi="宋体" w:eastAsia="宋体" w:cs="宋体"/>
          <w:spacing w:val="-67"/>
          <w:sz w:val="24"/>
          <w:szCs w:val="24"/>
        </w:rPr>
        <w:t xml:space="preserve"> </w:t>
      </w:r>
      <w:r>
        <w:rPr>
          <w:rFonts w:ascii="宋体" w:hAnsi="宋体" w:eastAsia="宋体" w:cs="宋体"/>
          <w:spacing w:val="-4"/>
          <w:sz w:val="24"/>
          <w:szCs w:val="24"/>
        </w:rPr>
        <w:t>已标价工程量清单</w:t>
      </w:r>
      <w:r>
        <w:rPr>
          <w:rFonts w:ascii="宋体" w:hAnsi="宋体" w:eastAsia="宋体" w:cs="宋体"/>
          <w:spacing w:val="-89"/>
          <w:sz w:val="24"/>
          <w:szCs w:val="24"/>
        </w:rPr>
        <w:t xml:space="preserve"> </w:t>
      </w:r>
      <w:r>
        <w:rPr>
          <w:rFonts w:ascii="宋体" w:hAnsi="宋体" w:eastAsia="宋体" w:cs="宋体"/>
          <w:spacing w:val="-4"/>
          <w:sz w:val="24"/>
          <w:szCs w:val="24"/>
        </w:rPr>
        <w:t>”中的相应报价。此修改</w:t>
      </w:r>
      <w:r>
        <w:rPr>
          <w:rFonts w:ascii="宋体" w:hAnsi="宋体" w:eastAsia="宋体" w:cs="宋体"/>
          <w:spacing w:val="-1"/>
          <w:sz w:val="24"/>
          <w:szCs w:val="24"/>
        </w:rPr>
        <w:t>须符合本章第 4.3 款的有关要求。</w:t>
      </w:r>
    </w:p>
    <w:p w14:paraId="3435DEA7">
      <w:pPr>
        <w:spacing w:line="359" w:lineRule="auto"/>
        <w:ind w:left="9" w:firstLine="483"/>
        <w:rPr>
          <w:rFonts w:ascii="宋体" w:hAnsi="宋体" w:eastAsia="宋体" w:cs="宋体"/>
          <w:sz w:val="24"/>
          <w:szCs w:val="24"/>
        </w:rPr>
      </w:pPr>
      <w:r>
        <w:rPr>
          <w:rFonts w:ascii="宋体" w:hAnsi="宋体" w:eastAsia="宋体" w:cs="宋体"/>
          <w:spacing w:val="-1"/>
          <w:sz w:val="24"/>
          <w:szCs w:val="24"/>
        </w:rPr>
        <w:t>3.2.4</w:t>
      </w:r>
      <w:r>
        <w:rPr>
          <w:rFonts w:ascii="宋体" w:hAnsi="宋体" w:eastAsia="宋体" w:cs="宋体"/>
          <w:spacing w:val="-30"/>
          <w:sz w:val="24"/>
          <w:szCs w:val="24"/>
        </w:rPr>
        <w:t xml:space="preserve"> </w:t>
      </w:r>
      <w:r>
        <w:rPr>
          <w:rFonts w:ascii="宋体" w:hAnsi="宋体" w:eastAsia="宋体" w:cs="宋体"/>
          <w:spacing w:val="-1"/>
          <w:sz w:val="24"/>
          <w:szCs w:val="24"/>
        </w:rPr>
        <w:t>投标人如果发现工程量清单中的数量与图纸中数量不一致时，应立即通知招</w:t>
      </w:r>
      <w:r>
        <w:rPr>
          <w:rFonts w:ascii="宋体" w:hAnsi="宋体" w:eastAsia="宋体" w:cs="宋体"/>
          <w:spacing w:val="-6"/>
          <w:sz w:val="24"/>
          <w:szCs w:val="24"/>
        </w:rPr>
        <w:t>标人核查，除非招标人以书面方式予以更正，否则，应以工程量清单中列出的数量为准。</w:t>
      </w:r>
    </w:p>
    <w:p w14:paraId="64B1A544">
      <w:pPr>
        <w:spacing w:line="359" w:lineRule="auto"/>
        <w:ind w:left="13" w:right="80" w:firstLine="480"/>
        <w:rPr>
          <w:rFonts w:ascii="宋体" w:hAnsi="宋体" w:eastAsia="宋体" w:cs="宋体"/>
          <w:sz w:val="24"/>
          <w:szCs w:val="24"/>
        </w:rPr>
      </w:pPr>
      <w:r>
        <w:rPr>
          <w:rFonts w:ascii="宋体" w:hAnsi="宋体" w:eastAsia="宋体" w:cs="宋体"/>
          <w:spacing w:val="-1"/>
          <w:sz w:val="24"/>
          <w:szCs w:val="24"/>
        </w:rPr>
        <w:t>3.2.5</w:t>
      </w:r>
      <w:r>
        <w:rPr>
          <w:rFonts w:ascii="宋体" w:hAnsi="宋体" w:eastAsia="宋体" w:cs="宋体"/>
          <w:spacing w:val="-30"/>
          <w:sz w:val="24"/>
          <w:szCs w:val="24"/>
        </w:rPr>
        <w:t xml:space="preserve"> </w:t>
      </w:r>
      <w:r>
        <w:rPr>
          <w:rFonts w:ascii="宋体" w:hAnsi="宋体" w:eastAsia="宋体" w:cs="宋体"/>
          <w:spacing w:val="-1"/>
          <w:sz w:val="24"/>
          <w:szCs w:val="24"/>
        </w:rPr>
        <w:t>投标人应根据《公路水运工程安全生产监督管理办法》，在投标总价中计入安全生产费用，安全生产费用应符合合同条款第 9.2.5 项的规定。</w:t>
      </w:r>
    </w:p>
    <w:p w14:paraId="0429ED3E">
      <w:pPr>
        <w:spacing w:line="359" w:lineRule="auto"/>
        <w:ind w:left="24" w:right="80" w:firstLine="468"/>
        <w:rPr>
          <w:rFonts w:ascii="宋体" w:hAnsi="宋体" w:eastAsia="宋体" w:cs="宋体"/>
          <w:sz w:val="24"/>
          <w:szCs w:val="24"/>
        </w:rPr>
      </w:pPr>
      <w:r>
        <w:rPr>
          <w:rFonts w:ascii="宋体" w:hAnsi="宋体" w:eastAsia="宋体" w:cs="宋体"/>
          <w:spacing w:val="-1"/>
          <w:sz w:val="24"/>
          <w:szCs w:val="24"/>
        </w:rPr>
        <w:t>3.2.6</w:t>
      </w:r>
      <w:r>
        <w:rPr>
          <w:rFonts w:ascii="宋体" w:hAnsi="宋体" w:eastAsia="宋体" w:cs="宋体"/>
          <w:spacing w:val="-30"/>
          <w:sz w:val="24"/>
          <w:szCs w:val="24"/>
        </w:rPr>
        <w:t xml:space="preserve"> </w:t>
      </w:r>
      <w:r>
        <w:rPr>
          <w:rFonts w:ascii="宋体" w:hAnsi="宋体" w:eastAsia="宋体" w:cs="宋体"/>
          <w:spacing w:val="-1"/>
          <w:sz w:val="24"/>
          <w:szCs w:val="24"/>
        </w:rPr>
        <w:t>除投标人须知前附表另有规定外，招标人不接受调价函。若招标人接受调价函，则应在招标文件中给出调价函的格式。投标人若有调价函则应遵循如下规定：</w:t>
      </w:r>
    </w:p>
    <w:p w14:paraId="3603D9FD">
      <w:pPr>
        <w:spacing w:line="359" w:lineRule="auto"/>
        <w:ind w:left="35" w:right="147" w:firstLine="464"/>
        <w:rPr>
          <w:rFonts w:ascii="宋体" w:hAnsi="宋体" w:eastAsia="宋体" w:cs="宋体"/>
          <w:sz w:val="24"/>
          <w:szCs w:val="24"/>
        </w:rPr>
      </w:pPr>
      <w:r>
        <w:rPr>
          <w:rFonts w:ascii="宋体" w:hAnsi="宋体" w:eastAsia="宋体" w:cs="宋体"/>
          <w:spacing w:val="-1"/>
          <w:sz w:val="24"/>
          <w:szCs w:val="24"/>
        </w:rPr>
        <w:t>（1）调价函必须采用招标文件规定的格式；调价函应说明调价后的最终报价，并</w:t>
      </w:r>
      <w:r>
        <w:rPr>
          <w:rFonts w:ascii="宋体" w:hAnsi="宋体" w:eastAsia="宋体" w:cs="宋体"/>
          <w:spacing w:val="-2"/>
          <w:sz w:val="24"/>
          <w:szCs w:val="24"/>
        </w:rPr>
        <w:t>以最终报价为准，而且投标人只能有一次调价的机会；</w:t>
      </w:r>
    </w:p>
    <w:p w14:paraId="7BC21318">
      <w:pPr>
        <w:spacing w:before="1" w:line="217" w:lineRule="auto"/>
        <w:ind w:left="499"/>
        <w:rPr>
          <w:rFonts w:ascii="宋体" w:hAnsi="宋体" w:eastAsia="宋体" w:cs="宋体"/>
          <w:sz w:val="24"/>
          <w:szCs w:val="24"/>
        </w:rPr>
      </w:pPr>
      <w:r>
        <w:rPr>
          <w:rFonts w:ascii="宋体" w:hAnsi="宋体" w:eastAsia="宋体" w:cs="宋体"/>
          <w:spacing w:val="-1"/>
          <w:sz w:val="24"/>
          <w:szCs w:val="24"/>
        </w:rPr>
        <w:t>（2）工程量清单中招标人指定的报价不允许调价；</w:t>
      </w:r>
    </w:p>
    <w:p w14:paraId="52EB97AF">
      <w:pPr>
        <w:spacing w:before="182" w:line="360" w:lineRule="auto"/>
        <w:ind w:left="9" w:right="147" w:firstLine="490"/>
        <w:rPr>
          <w:rFonts w:ascii="宋体" w:hAnsi="宋体" w:eastAsia="宋体" w:cs="宋体"/>
          <w:sz w:val="24"/>
          <w:szCs w:val="24"/>
        </w:rPr>
      </w:pPr>
      <w:r>
        <w:rPr>
          <w:rFonts w:ascii="宋体" w:hAnsi="宋体" w:eastAsia="宋体" w:cs="宋体"/>
          <w:spacing w:val="-1"/>
          <w:sz w:val="24"/>
          <w:szCs w:val="24"/>
        </w:rPr>
        <w:t>（3）调价函必须附有调价后的工程量清单；调价函必须附在投标文件首页，与投</w:t>
      </w:r>
      <w:r>
        <w:rPr>
          <w:rFonts w:ascii="宋体" w:hAnsi="宋体" w:eastAsia="宋体" w:cs="宋体"/>
          <w:spacing w:val="-2"/>
          <w:sz w:val="24"/>
          <w:szCs w:val="24"/>
        </w:rPr>
        <w:t>标文件一起提交。</w:t>
      </w:r>
    </w:p>
    <w:p w14:paraId="78B7A296">
      <w:pPr>
        <w:spacing w:before="3" w:line="358" w:lineRule="auto"/>
        <w:ind w:left="11" w:right="80" w:firstLine="478"/>
        <w:jc w:val="both"/>
        <w:rPr>
          <w:rFonts w:ascii="宋体" w:hAnsi="宋体" w:eastAsia="宋体" w:cs="宋体"/>
          <w:sz w:val="24"/>
          <w:szCs w:val="24"/>
        </w:rPr>
      </w:pPr>
      <w:r>
        <w:rPr>
          <w:rFonts w:ascii="宋体" w:hAnsi="宋体" w:eastAsia="宋体" w:cs="宋体"/>
          <w:spacing w:val="-2"/>
          <w:sz w:val="24"/>
          <w:szCs w:val="24"/>
        </w:rPr>
        <w:t>若投标人未提交调价后的工程量清单，或调价函未附在投标文件首页，调价函均视为无效，仍以原报价作为最终报价。若投标人提交的调价函多于一个，或对不允许调价</w:t>
      </w:r>
      <w:r>
        <w:rPr>
          <w:rFonts w:ascii="宋体" w:hAnsi="宋体" w:eastAsia="宋体" w:cs="宋体"/>
          <w:spacing w:val="-1"/>
          <w:sz w:val="24"/>
          <w:szCs w:val="24"/>
        </w:rPr>
        <w:t>的内容进行了调价，或调价函有附加条件，其投标将被否决。</w:t>
      </w:r>
    </w:p>
    <w:p w14:paraId="478FC358">
      <w:pPr>
        <w:spacing w:before="3" w:line="359" w:lineRule="auto"/>
        <w:ind w:left="6" w:right="147" w:firstLine="493"/>
        <w:rPr>
          <w:rFonts w:ascii="宋体" w:hAnsi="宋体" w:eastAsia="宋体" w:cs="宋体"/>
          <w:sz w:val="24"/>
          <w:szCs w:val="24"/>
        </w:rPr>
      </w:pPr>
      <w:r>
        <w:rPr>
          <w:rFonts w:ascii="宋体" w:hAnsi="宋体" w:eastAsia="宋体" w:cs="宋体"/>
          <w:spacing w:val="-1"/>
          <w:sz w:val="24"/>
          <w:szCs w:val="24"/>
        </w:rPr>
        <w:t>（4）若招标人接受调价函，投标人调价后的工程量清单和有效调价函的大写金额</w:t>
      </w:r>
      <w:r>
        <w:rPr>
          <w:rFonts w:ascii="宋体" w:hAnsi="宋体" w:eastAsia="宋体" w:cs="宋体"/>
          <w:sz w:val="24"/>
          <w:szCs w:val="24"/>
        </w:rPr>
        <w:t>报价应保持一致，如果报价金额出现差异，则以有效调价函的</w:t>
      </w:r>
      <w:r>
        <w:rPr>
          <w:rFonts w:ascii="宋体" w:hAnsi="宋体" w:eastAsia="宋体" w:cs="宋体"/>
          <w:spacing w:val="-1"/>
          <w:sz w:val="24"/>
          <w:szCs w:val="24"/>
        </w:rPr>
        <w:t>大写金额报价为准。</w:t>
      </w:r>
    </w:p>
    <w:p w14:paraId="59A684E8">
      <w:pPr>
        <w:spacing w:line="358" w:lineRule="auto"/>
        <w:ind w:left="9" w:right="80" w:firstLine="483"/>
        <w:rPr>
          <w:rFonts w:ascii="宋体" w:hAnsi="宋体" w:eastAsia="宋体" w:cs="宋体"/>
          <w:sz w:val="24"/>
          <w:szCs w:val="24"/>
        </w:rPr>
      </w:pPr>
      <w:r>
        <w:rPr>
          <w:rFonts w:ascii="宋体" w:hAnsi="宋体" w:eastAsia="宋体" w:cs="宋体"/>
          <w:spacing w:val="-1"/>
          <w:sz w:val="24"/>
          <w:szCs w:val="24"/>
        </w:rPr>
        <w:t>3.2.7</w:t>
      </w:r>
      <w:r>
        <w:rPr>
          <w:rFonts w:ascii="宋体" w:hAnsi="宋体" w:eastAsia="宋体" w:cs="宋体"/>
          <w:spacing w:val="-30"/>
          <w:sz w:val="24"/>
          <w:szCs w:val="24"/>
        </w:rPr>
        <w:t xml:space="preserve"> </w:t>
      </w:r>
      <w:r>
        <w:rPr>
          <w:rFonts w:ascii="宋体" w:hAnsi="宋体" w:eastAsia="宋体" w:cs="宋体"/>
          <w:spacing w:val="-1"/>
          <w:sz w:val="24"/>
          <w:szCs w:val="24"/>
        </w:rPr>
        <w:t>在合同实施期间，投标人填写的单价、合价和总额价是否由于物价波动进行</w:t>
      </w:r>
      <w:r>
        <w:rPr>
          <w:rFonts w:ascii="宋体" w:hAnsi="宋体" w:eastAsia="宋体" w:cs="宋体"/>
          <w:spacing w:val="-3"/>
          <w:sz w:val="24"/>
          <w:szCs w:val="24"/>
        </w:rPr>
        <w:t>价格调整按照合同条款第</w:t>
      </w:r>
      <w:r>
        <w:rPr>
          <w:rFonts w:ascii="宋体" w:hAnsi="宋体" w:eastAsia="宋体" w:cs="宋体"/>
          <w:spacing w:val="-16"/>
          <w:sz w:val="24"/>
          <w:szCs w:val="24"/>
        </w:rPr>
        <w:t xml:space="preserve"> </w:t>
      </w:r>
      <w:r>
        <w:rPr>
          <w:rFonts w:ascii="宋体" w:hAnsi="宋体" w:eastAsia="宋体" w:cs="宋体"/>
          <w:spacing w:val="-3"/>
          <w:sz w:val="24"/>
          <w:szCs w:val="24"/>
        </w:rPr>
        <w:t>16.1</w:t>
      </w:r>
      <w:r>
        <w:rPr>
          <w:rFonts w:ascii="宋体" w:hAnsi="宋体" w:eastAsia="宋体" w:cs="宋体"/>
          <w:spacing w:val="-50"/>
          <w:sz w:val="24"/>
          <w:szCs w:val="24"/>
        </w:rPr>
        <w:t xml:space="preserve"> </w:t>
      </w:r>
      <w:r>
        <w:rPr>
          <w:rFonts w:ascii="宋体" w:hAnsi="宋体" w:eastAsia="宋体" w:cs="宋体"/>
          <w:spacing w:val="-3"/>
          <w:sz w:val="24"/>
          <w:szCs w:val="24"/>
        </w:rPr>
        <w:t>款的规定处理。</w:t>
      </w:r>
    </w:p>
    <w:p w14:paraId="6D2CADB6">
      <w:pPr>
        <w:spacing w:line="359" w:lineRule="auto"/>
        <w:ind w:left="14" w:right="80" w:firstLine="478"/>
        <w:rPr>
          <w:rFonts w:ascii="宋体" w:hAnsi="宋体" w:eastAsia="宋体" w:cs="宋体"/>
          <w:sz w:val="24"/>
          <w:szCs w:val="24"/>
        </w:rPr>
      </w:pPr>
      <w:r>
        <w:rPr>
          <w:rFonts w:ascii="宋体" w:hAnsi="宋体" w:eastAsia="宋体" w:cs="宋体"/>
          <w:spacing w:val="-1"/>
          <w:sz w:val="24"/>
          <w:szCs w:val="24"/>
        </w:rPr>
        <w:t>3.2.8</w:t>
      </w:r>
      <w:r>
        <w:rPr>
          <w:rFonts w:ascii="宋体" w:hAnsi="宋体" w:eastAsia="宋体" w:cs="宋体"/>
          <w:spacing w:val="-30"/>
          <w:sz w:val="24"/>
          <w:szCs w:val="24"/>
        </w:rPr>
        <w:t xml:space="preserve"> </w:t>
      </w:r>
      <w:r>
        <w:rPr>
          <w:rFonts w:ascii="宋体" w:hAnsi="宋体" w:eastAsia="宋体" w:cs="宋体"/>
          <w:spacing w:val="-1"/>
          <w:sz w:val="24"/>
          <w:szCs w:val="24"/>
        </w:rPr>
        <w:t>招标人设有最高投标限价的，投标人的投标报价不得超过最高投标限价，最高投标限价在投标人须知前附表中载明。</w:t>
      </w:r>
    </w:p>
    <w:p w14:paraId="2AAE4904">
      <w:pPr>
        <w:spacing w:before="2" w:line="217" w:lineRule="auto"/>
        <w:ind w:left="493"/>
        <w:rPr>
          <w:rFonts w:ascii="宋体" w:hAnsi="宋体" w:eastAsia="宋体" w:cs="宋体"/>
          <w:sz w:val="24"/>
          <w:szCs w:val="24"/>
        </w:rPr>
      </w:pPr>
      <w:r>
        <w:rPr>
          <w:rFonts w:ascii="宋体" w:hAnsi="宋体" w:eastAsia="宋体" w:cs="宋体"/>
          <w:spacing w:val="-1"/>
          <w:sz w:val="24"/>
          <w:szCs w:val="24"/>
        </w:rPr>
        <w:t>3.2.9 投标报价的其他要求见投标人须知前附表。</w:t>
      </w:r>
    </w:p>
    <w:p w14:paraId="7619B53C">
      <w:pPr>
        <w:spacing w:before="184" w:line="220" w:lineRule="auto"/>
        <w:ind w:left="13"/>
        <w:rPr>
          <w:rFonts w:ascii="宋体" w:hAnsi="宋体" w:eastAsia="宋体" w:cs="宋体"/>
          <w:sz w:val="24"/>
          <w:szCs w:val="24"/>
        </w:rPr>
      </w:pPr>
      <w:r>
        <w:rPr>
          <w:rFonts w:ascii="宋体" w:hAnsi="宋体" w:eastAsia="宋体" w:cs="宋体"/>
          <w:b/>
          <w:bCs/>
          <w:spacing w:val="-5"/>
          <w:sz w:val="24"/>
          <w:szCs w:val="24"/>
        </w:rPr>
        <w:t>3.3</w:t>
      </w:r>
      <w:r>
        <w:rPr>
          <w:rFonts w:ascii="宋体" w:hAnsi="宋体" w:eastAsia="宋体" w:cs="宋体"/>
          <w:spacing w:val="14"/>
          <w:sz w:val="24"/>
          <w:szCs w:val="24"/>
        </w:rPr>
        <w:t xml:space="preserve"> </w:t>
      </w:r>
      <w:r>
        <w:rPr>
          <w:rFonts w:ascii="宋体" w:hAnsi="宋体" w:eastAsia="宋体" w:cs="宋体"/>
          <w:b/>
          <w:bCs/>
          <w:spacing w:val="-5"/>
          <w:sz w:val="24"/>
          <w:szCs w:val="24"/>
        </w:rPr>
        <w:t>投标有效期</w:t>
      </w:r>
    </w:p>
    <w:p w14:paraId="5D2FDDA7">
      <w:pPr>
        <w:spacing w:before="78" w:line="219" w:lineRule="auto"/>
        <w:ind w:left="496"/>
        <w:rPr>
          <w:rFonts w:ascii="宋体" w:hAnsi="宋体" w:eastAsia="宋体" w:cs="宋体"/>
          <w:sz w:val="24"/>
          <w:szCs w:val="24"/>
        </w:rPr>
      </w:pPr>
      <w:r>
        <w:rPr>
          <w:rFonts w:ascii="宋体" w:hAnsi="宋体" w:eastAsia="宋体" w:cs="宋体"/>
          <w:spacing w:val="-1"/>
          <w:sz w:val="24"/>
          <w:szCs w:val="24"/>
        </w:rPr>
        <w:t>3.3.1 除投标人须知前附表另有规定外，投标有效期为90 日。</w:t>
      </w:r>
    </w:p>
    <w:p w14:paraId="7A808AFC">
      <w:pPr>
        <w:spacing w:before="181" w:line="359" w:lineRule="auto"/>
        <w:ind w:left="10" w:right="13" w:firstLine="485"/>
        <w:rPr>
          <w:rFonts w:ascii="宋体" w:hAnsi="宋体" w:eastAsia="宋体" w:cs="宋体"/>
          <w:sz w:val="24"/>
          <w:szCs w:val="24"/>
        </w:rPr>
      </w:pPr>
      <w:r>
        <w:rPr>
          <w:rFonts w:ascii="宋体" w:hAnsi="宋体" w:eastAsia="宋体" w:cs="宋体"/>
          <w:spacing w:val="-1"/>
          <w:sz w:val="24"/>
          <w:szCs w:val="24"/>
        </w:rPr>
        <w:t>3.3.2</w:t>
      </w:r>
      <w:r>
        <w:rPr>
          <w:rFonts w:ascii="宋体" w:hAnsi="宋体" w:eastAsia="宋体" w:cs="宋体"/>
          <w:spacing w:val="-30"/>
          <w:sz w:val="24"/>
          <w:szCs w:val="24"/>
        </w:rPr>
        <w:t xml:space="preserve"> </w:t>
      </w:r>
      <w:r>
        <w:rPr>
          <w:rFonts w:ascii="宋体" w:hAnsi="宋体" w:eastAsia="宋体" w:cs="宋体"/>
          <w:spacing w:val="-1"/>
          <w:sz w:val="24"/>
          <w:szCs w:val="24"/>
        </w:rPr>
        <w:t>在投标有效期内，投标人撤销投标文件的，应承担招标文件和法律规定的责</w:t>
      </w:r>
      <w:r>
        <w:rPr>
          <w:rFonts w:ascii="宋体" w:hAnsi="宋体" w:eastAsia="宋体" w:cs="宋体"/>
          <w:spacing w:val="-5"/>
          <w:sz w:val="24"/>
          <w:szCs w:val="24"/>
        </w:rPr>
        <w:t>任。</w:t>
      </w:r>
    </w:p>
    <w:p w14:paraId="471020F4">
      <w:pPr>
        <w:spacing w:before="1" w:line="359" w:lineRule="auto"/>
        <w:ind w:left="12" w:right="13" w:firstLine="483"/>
        <w:rPr>
          <w:rFonts w:ascii="宋体" w:hAnsi="宋体" w:eastAsia="宋体" w:cs="宋体"/>
          <w:sz w:val="24"/>
          <w:szCs w:val="24"/>
        </w:rPr>
      </w:pPr>
      <w:r>
        <w:rPr>
          <w:rFonts w:ascii="宋体" w:hAnsi="宋体" w:eastAsia="宋体" w:cs="宋体"/>
          <w:spacing w:val="-1"/>
          <w:sz w:val="24"/>
          <w:szCs w:val="24"/>
        </w:rPr>
        <w:t>3.3.3</w:t>
      </w:r>
      <w:r>
        <w:rPr>
          <w:rFonts w:ascii="宋体" w:hAnsi="宋体" w:eastAsia="宋体" w:cs="宋体"/>
          <w:spacing w:val="-22"/>
          <w:sz w:val="24"/>
          <w:szCs w:val="24"/>
        </w:rPr>
        <w:t xml:space="preserve"> </w:t>
      </w:r>
      <w:r>
        <w:rPr>
          <w:rFonts w:ascii="宋体" w:hAnsi="宋体" w:eastAsia="宋体" w:cs="宋体"/>
          <w:spacing w:val="-1"/>
          <w:sz w:val="24"/>
          <w:szCs w:val="24"/>
        </w:rPr>
        <w:t>出现特殊情况需要延长投标有效期的，招标人以书面形式</w:t>
      </w:r>
      <w:r>
        <w:rPr>
          <w:rFonts w:ascii="宋体" w:hAnsi="宋体" w:eastAsia="宋体" w:cs="宋体"/>
          <w:spacing w:val="-2"/>
          <w:sz w:val="24"/>
          <w:szCs w:val="24"/>
        </w:rPr>
        <w:t>通知所有投标人延长投标有效期。投标人应予以书面答复，同意延长的，应相应延长其投标保证金的有效期，但不得要求或被允许修改其投标文件；投标人拒绝延长的，其投标失效，但投标人</w:t>
      </w:r>
      <w:r>
        <w:rPr>
          <w:rFonts w:ascii="宋体" w:hAnsi="宋体" w:eastAsia="宋体" w:cs="宋体"/>
          <w:sz w:val="24"/>
          <w:szCs w:val="24"/>
        </w:rPr>
        <w:t>有权收回其投标保证金及以现金或支票形式递交的投标保</w:t>
      </w:r>
      <w:r>
        <w:rPr>
          <w:rFonts w:ascii="宋体" w:hAnsi="宋体" w:eastAsia="宋体" w:cs="宋体"/>
          <w:spacing w:val="-1"/>
          <w:sz w:val="24"/>
          <w:szCs w:val="24"/>
        </w:rPr>
        <w:t>证金的银行同期活期存款利</w:t>
      </w:r>
      <w:r>
        <w:rPr>
          <w:rFonts w:ascii="宋体" w:hAnsi="宋体" w:eastAsia="宋体" w:cs="宋体"/>
          <w:spacing w:val="-6"/>
          <w:sz w:val="24"/>
          <w:szCs w:val="24"/>
        </w:rPr>
        <w:t>息。</w:t>
      </w:r>
    </w:p>
    <w:p w14:paraId="1111EAFB">
      <w:pPr>
        <w:spacing w:line="220" w:lineRule="auto"/>
        <w:ind w:left="16"/>
        <w:rPr>
          <w:rFonts w:ascii="宋体" w:hAnsi="宋体" w:eastAsia="宋体" w:cs="宋体"/>
          <w:sz w:val="24"/>
          <w:szCs w:val="24"/>
        </w:rPr>
      </w:pPr>
      <w:r>
        <w:rPr>
          <w:rFonts w:ascii="宋体" w:hAnsi="宋体" w:eastAsia="宋体" w:cs="宋体"/>
          <w:b/>
          <w:bCs/>
          <w:spacing w:val="-5"/>
          <w:sz w:val="24"/>
          <w:szCs w:val="24"/>
        </w:rPr>
        <w:t>3.4</w:t>
      </w:r>
      <w:r>
        <w:rPr>
          <w:rFonts w:ascii="宋体" w:hAnsi="宋体" w:eastAsia="宋体" w:cs="宋体"/>
          <w:spacing w:val="14"/>
          <w:sz w:val="24"/>
          <w:szCs w:val="24"/>
        </w:rPr>
        <w:t xml:space="preserve"> </w:t>
      </w:r>
      <w:r>
        <w:rPr>
          <w:rFonts w:ascii="宋体" w:hAnsi="宋体" w:eastAsia="宋体" w:cs="宋体"/>
          <w:b/>
          <w:bCs/>
          <w:spacing w:val="-5"/>
          <w:sz w:val="24"/>
          <w:szCs w:val="24"/>
        </w:rPr>
        <w:t>投标保证金</w:t>
      </w:r>
    </w:p>
    <w:p w14:paraId="4D099724">
      <w:pPr>
        <w:spacing w:before="181" w:line="359" w:lineRule="auto"/>
        <w:ind w:firstLine="496"/>
        <w:jc w:val="both"/>
        <w:rPr>
          <w:rFonts w:ascii="宋体" w:hAnsi="宋体" w:eastAsia="宋体" w:cs="宋体"/>
          <w:sz w:val="24"/>
          <w:szCs w:val="24"/>
        </w:rPr>
      </w:pPr>
      <w:r>
        <w:rPr>
          <w:rFonts w:ascii="宋体" w:hAnsi="宋体" w:eastAsia="宋体" w:cs="宋体"/>
          <w:spacing w:val="-1"/>
          <w:sz w:val="24"/>
          <w:szCs w:val="24"/>
        </w:rPr>
        <w:t>3.4.1</w:t>
      </w:r>
      <w:r>
        <w:rPr>
          <w:rFonts w:ascii="宋体" w:hAnsi="宋体" w:eastAsia="宋体" w:cs="宋体"/>
          <w:spacing w:val="-30"/>
          <w:sz w:val="24"/>
          <w:szCs w:val="24"/>
        </w:rPr>
        <w:t xml:space="preserve"> </w:t>
      </w:r>
      <w:r>
        <w:rPr>
          <w:rFonts w:ascii="宋体" w:hAnsi="宋体" w:eastAsia="宋体" w:cs="宋体"/>
          <w:spacing w:val="-1"/>
          <w:sz w:val="24"/>
          <w:szCs w:val="24"/>
        </w:rPr>
        <w:t>投标人在递交投标文件的同时，应按投标人须知前附表规定的金额和第八章</w:t>
      </w:r>
      <w:r>
        <w:rPr>
          <w:rFonts w:ascii="宋体" w:hAnsi="宋体" w:eastAsia="宋体" w:cs="宋体"/>
          <w:spacing w:val="-2"/>
          <w:sz w:val="24"/>
          <w:szCs w:val="24"/>
        </w:rPr>
        <w:t>“投标文件格式</w:t>
      </w:r>
      <w:r>
        <w:rPr>
          <w:rFonts w:ascii="宋体" w:hAnsi="宋体" w:eastAsia="宋体" w:cs="宋体"/>
          <w:spacing w:val="-88"/>
          <w:sz w:val="24"/>
          <w:szCs w:val="24"/>
        </w:rPr>
        <w:t xml:space="preserve"> </w:t>
      </w:r>
      <w:r>
        <w:rPr>
          <w:rFonts w:ascii="宋体" w:hAnsi="宋体" w:eastAsia="宋体" w:cs="宋体"/>
          <w:spacing w:val="-2"/>
          <w:sz w:val="24"/>
          <w:szCs w:val="24"/>
        </w:rPr>
        <w:t>”规定的投标保证金格式递交投标保证金，并作为其</w:t>
      </w:r>
      <w:r>
        <w:rPr>
          <w:rFonts w:ascii="宋体" w:hAnsi="宋体" w:eastAsia="宋体" w:cs="宋体"/>
          <w:spacing w:val="-3"/>
          <w:sz w:val="24"/>
          <w:szCs w:val="24"/>
        </w:rPr>
        <w:t>投标文件的组成部</w:t>
      </w:r>
      <w:r>
        <w:rPr>
          <w:rFonts w:ascii="宋体" w:hAnsi="宋体" w:eastAsia="宋体" w:cs="宋体"/>
          <w:spacing w:val="-1"/>
          <w:sz w:val="24"/>
          <w:szCs w:val="24"/>
        </w:rPr>
        <w:t>分。联合体投标的，其投标保证金由牵头人递交，并应符合投标人须知前附表的规定。</w:t>
      </w:r>
    </w:p>
    <w:p w14:paraId="6EEAAEBB">
      <w:pPr>
        <w:spacing w:line="359" w:lineRule="auto"/>
        <w:ind w:left="14" w:right="13" w:firstLine="480"/>
        <w:rPr>
          <w:rFonts w:ascii="宋体" w:hAnsi="宋体" w:eastAsia="宋体" w:cs="宋体"/>
          <w:sz w:val="24"/>
          <w:szCs w:val="24"/>
        </w:rPr>
      </w:pPr>
      <w:r>
        <w:rPr>
          <w:rFonts w:ascii="宋体" w:hAnsi="宋体" w:eastAsia="宋体" w:cs="宋体"/>
          <w:spacing w:val="-2"/>
          <w:sz w:val="24"/>
          <w:szCs w:val="24"/>
        </w:rPr>
        <w:t>投标保证金应采用现金、支票、银行保函或招标人在投标人须知前附表规定的其他</w:t>
      </w:r>
      <w:r>
        <w:rPr>
          <w:rFonts w:ascii="宋体" w:hAnsi="宋体" w:eastAsia="宋体" w:cs="宋体"/>
          <w:spacing w:val="-5"/>
          <w:sz w:val="24"/>
          <w:szCs w:val="24"/>
        </w:rPr>
        <w:t>形式。</w:t>
      </w:r>
    </w:p>
    <w:p w14:paraId="5809AA35">
      <w:pPr>
        <w:spacing w:before="2" w:line="358" w:lineRule="auto"/>
        <w:ind w:left="12" w:right="13" w:firstLine="490"/>
        <w:rPr>
          <w:rFonts w:ascii="宋体" w:hAnsi="宋体" w:eastAsia="宋体" w:cs="宋体"/>
          <w:sz w:val="24"/>
          <w:szCs w:val="24"/>
        </w:rPr>
      </w:pPr>
      <w:r>
        <w:rPr>
          <w:rFonts w:ascii="宋体" w:hAnsi="宋体" w:eastAsia="宋体" w:cs="宋体"/>
          <w:spacing w:val="-1"/>
          <w:sz w:val="24"/>
          <w:szCs w:val="24"/>
        </w:rPr>
        <w:t>（1）若采用现金或支票，投标人应在递交投标文件截止时间之前，将投标保证金</w:t>
      </w:r>
      <w:r>
        <w:rPr>
          <w:rFonts w:ascii="宋体" w:hAnsi="宋体" w:eastAsia="宋体" w:cs="宋体"/>
          <w:spacing w:val="-2"/>
          <w:sz w:val="24"/>
          <w:szCs w:val="24"/>
        </w:rPr>
        <w:t>由投标人的基本账户转入招标人指定账户，否则视为投标保证金无效。招标人指定的开</w:t>
      </w:r>
      <w:r>
        <w:rPr>
          <w:rFonts w:ascii="宋体" w:hAnsi="宋体" w:eastAsia="宋体" w:cs="宋体"/>
          <w:spacing w:val="-1"/>
          <w:sz w:val="24"/>
          <w:szCs w:val="24"/>
        </w:rPr>
        <w:t>户银行及账号见投标人须知前附表。</w:t>
      </w:r>
    </w:p>
    <w:p w14:paraId="50C5896B">
      <w:pPr>
        <w:spacing w:before="2" w:line="359" w:lineRule="auto"/>
        <w:ind w:left="12" w:right="13" w:firstLine="490"/>
        <w:rPr>
          <w:rFonts w:ascii="宋体" w:hAnsi="宋体" w:eastAsia="宋体" w:cs="宋体"/>
          <w:sz w:val="24"/>
          <w:szCs w:val="24"/>
        </w:rPr>
      </w:pPr>
      <w:r>
        <w:rPr>
          <w:rFonts w:ascii="宋体" w:hAnsi="宋体" w:eastAsia="宋体" w:cs="宋体"/>
          <w:spacing w:val="-1"/>
          <w:sz w:val="24"/>
          <w:szCs w:val="24"/>
        </w:rPr>
        <w:t>（2）若采用银行保函，则应由符合投标人须知前附表规定级别的银行开具，并采</w:t>
      </w:r>
      <w:r>
        <w:rPr>
          <w:rFonts w:ascii="宋体" w:hAnsi="宋体" w:eastAsia="宋体" w:cs="宋体"/>
          <w:spacing w:val="-2"/>
          <w:sz w:val="24"/>
          <w:szCs w:val="24"/>
        </w:rPr>
        <w:t>用招标文件提供的格式。银行保函扫描件附订在投标文件内，原件应在递交投标文件截</w:t>
      </w:r>
      <w:r>
        <w:rPr>
          <w:rFonts w:ascii="宋体" w:hAnsi="宋体" w:eastAsia="宋体" w:cs="宋体"/>
          <w:spacing w:val="-1"/>
          <w:sz w:val="24"/>
          <w:szCs w:val="24"/>
        </w:rPr>
        <w:t>止时间之前单独密封递交给招标人。</w:t>
      </w:r>
    </w:p>
    <w:p w14:paraId="5CF702F3">
      <w:pPr>
        <w:spacing w:before="1" w:line="359" w:lineRule="auto"/>
        <w:ind w:left="12" w:right="13" w:firstLine="480"/>
        <w:jc w:val="both"/>
        <w:rPr>
          <w:rFonts w:ascii="宋体" w:hAnsi="宋体" w:eastAsia="宋体" w:cs="宋体"/>
          <w:sz w:val="24"/>
          <w:szCs w:val="24"/>
        </w:rPr>
      </w:pPr>
      <w:r>
        <w:rPr>
          <w:rFonts w:ascii="宋体" w:hAnsi="宋体" w:eastAsia="宋体" w:cs="宋体"/>
          <w:spacing w:val="-2"/>
          <w:sz w:val="24"/>
          <w:szCs w:val="24"/>
        </w:rPr>
        <w:t>无论采取何种形式的投标保证金，投标保证金有效期均应与投标有效期一致。招标</w:t>
      </w:r>
      <w:r>
        <w:rPr>
          <w:rFonts w:ascii="宋体" w:hAnsi="宋体" w:eastAsia="宋体" w:cs="宋体"/>
          <w:sz w:val="24"/>
          <w:szCs w:val="24"/>
        </w:rPr>
        <w:t>人如果按本章第 3.3.3 项的规定延长了投标有效期，则投</w:t>
      </w:r>
      <w:r>
        <w:rPr>
          <w:rFonts w:ascii="宋体" w:hAnsi="宋体" w:eastAsia="宋体" w:cs="宋体"/>
          <w:spacing w:val="-1"/>
          <w:sz w:val="24"/>
          <w:szCs w:val="24"/>
        </w:rPr>
        <w:t>标保证金的有效期也相应延</w:t>
      </w:r>
      <w:r>
        <w:rPr>
          <w:rFonts w:ascii="宋体" w:hAnsi="宋体" w:eastAsia="宋体" w:cs="宋体"/>
          <w:spacing w:val="-6"/>
          <w:sz w:val="24"/>
          <w:szCs w:val="24"/>
        </w:rPr>
        <w:t>长。</w:t>
      </w:r>
    </w:p>
    <w:p w14:paraId="089E50FC">
      <w:pPr>
        <w:spacing w:line="359" w:lineRule="auto"/>
        <w:ind w:left="14" w:right="80" w:firstLine="481"/>
        <w:rPr>
          <w:rFonts w:ascii="宋体" w:hAnsi="宋体" w:eastAsia="宋体" w:cs="宋体"/>
          <w:sz w:val="24"/>
          <w:szCs w:val="24"/>
        </w:rPr>
      </w:pPr>
      <w:r>
        <w:rPr>
          <w:rFonts w:ascii="宋体" w:hAnsi="宋体" w:eastAsia="宋体" w:cs="宋体"/>
          <w:sz w:val="24"/>
          <w:szCs w:val="24"/>
        </w:rPr>
        <w:t>3.4.2 投标人不按本章第 3.4.1 项要求提交</w:t>
      </w:r>
      <w:r>
        <w:rPr>
          <w:rFonts w:ascii="宋体" w:hAnsi="宋体" w:eastAsia="宋体" w:cs="宋体"/>
          <w:spacing w:val="-1"/>
          <w:sz w:val="24"/>
          <w:szCs w:val="24"/>
        </w:rPr>
        <w:t>投标保证金的，评标委员会将否决其</w:t>
      </w:r>
      <w:r>
        <w:rPr>
          <w:rFonts w:ascii="宋体" w:hAnsi="宋体" w:eastAsia="宋体" w:cs="宋体"/>
          <w:spacing w:val="-5"/>
          <w:sz w:val="24"/>
          <w:szCs w:val="24"/>
        </w:rPr>
        <w:t>投标。</w:t>
      </w:r>
    </w:p>
    <w:p w14:paraId="08943DCC">
      <w:pPr>
        <w:keepNext w:val="0"/>
        <w:keepLines w:val="0"/>
        <w:pageBreakBefore w:val="0"/>
        <w:widowControl/>
        <w:kinsoku w:val="0"/>
        <w:wordWrap/>
        <w:overflowPunct/>
        <w:topLinePunct w:val="0"/>
        <w:autoSpaceDE w:val="0"/>
        <w:autoSpaceDN w:val="0"/>
        <w:bidi w:val="0"/>
        <w:adjustRightInd w:val="0"/>
        <w:snapToGrid w:val="0"/>
        <w:spacing w:before="78" w:line="360" w:lineRule="auto"/>
        <w:ind w:left="31" w:firstLine="476" w:firstLineChars="200"/>
        <w:textAlignment w:val="baseline"/>
        <w:rPr>
          <w:rFonts w:ascii="宋体" w:hAnsi="宋体" w:eastAsia="宋体" w:cs="宋体"/>
          <w:spacing w:val="-1"/>
          <w:sz w:val="24"/>
          <w:szCs w:val="24"/>
        </w:rPr>
      </w:pPr>
      <w:r>
        <w:rPr>
          <w:rFonts w:ascii="宋体" w:hAnsi="宋体" w:eastAsia="宋体" w:cs="宋体"/>
          <w:spacing w:val="-1"/>
          <w:sz w:val="24"/>
          <w:szCs w:val="24"/>
        </w:rPr>
        <w:t>3.4.3</w:t>
      </w:r>
      <w:r>
        <w:rPr>
          <w:rFonts w:ascii="宋体" w:hAnsi="宋体" w:eastAsia="宋体" w:cs="宋体"/>
          <w:spacing w:val="-29"/>
          <w:sz w:val="24"/>
          <w:szCs w:val="24"/>
        </w:rPr>
        <w:t xml:space="preserve"> </w:t>
      </w:r>
      <w:r>
        <w:rPr>
          <w:rFonts w:ascii="宋体" w:hAnsi="宋体" w:eastAsia="宋体" w:cs="宋体"/>
          <w:spacing w:val="-1"/>
          <w:sz w:val="24"/>
          <w:szCs w:val="24"/>
        </w:rPr>
        <w:t>根据《广东省实施&lt;中华人民共和国招标投标法&gt;办法》第二十五条规定，招标人应当在中标通知书发出之日起五日内将投标保证金退回中标候选人以外的投标人，在书面合同订立之日起五日内将投标保证金退回中标人和其他中标候选人。法律、行政法规规定不予退还或者可以不退还投标保证金的，从其规定。投标保证金以现金或支票形式递交的，招标人应同时退还投标保证金的银行同期活期存款利息，且退还至投标人的基本账户。</w:t>
      </w:r>
    </w:p>
    <w:p w14:paraId="074FB162">
      <w:pPr>
        <w:keepNext w:val="0"/>
        <w:keepLines w:val="0"/>
        <w:pageBreakBefore w:val="0"/>
        <w:widowControl/>
        <w:kinsoku w:val="0"/>
        <w:wordWrap/>
        <w:overflowPunct/>
        <w:topLinePunct w:val="0"/>
        <w:autoSpaceDE w:val="0"/>
        <w:autoSpaceDN w:val="0"/>
        <w:bidi w:val="0"/>
        <w:adjustRightInd w:val="0"/>
        <w:snapToGrid w:val="0"/>
        <w:spacing w:before="180" w:line="360" w:lineRule="auto"/>
        <w:ind w:left="492"/>
        <w:textAlignment w:val="baseline"/>
        <w:rPr>
          <w:rFonts w:ascii="宋体" w:hAnsi="宋体" w:eastAsia="宋体" w:cs="宋体"/>
          <w:sz w:val="24"/>
          <w:szCs w:val="24"/>
        </w:rPr>
      </w:pPr>
      <w:r>
        <w:rPr>
          <w:rFonts w:ascii="宋体" w:hAnsi="宋体" w:eastAsia="宋体" w:cs="宋体"/>
          <w:spacing w:val="-1"/>
          <w:sz w:val="24"/>
          <w:szCs w:val="24"/>
        </w:rPr>
        <w:t>利息计算原则见投标人须知前附表。</w:t>
      </w:r>
    </w:p>
    <w:p w14:paraId="0C9DB68D">
      <w:pPr>
        <w:spacing w:before="184" w:line="219" w:lineRule="auto"/>
        <w:ind w:left="496"/>
        <w:rPr>
          <w:rFonts w:ascii="宋体" w:hAnsi="宋体" w:eastAsia="宋体" w:cs="宋体"/>
          <w:sz w:val="24"/>
          <w:szCs w:val="24"/>
        </w:rPr>
      </w:pPr>
      <w:r>
        <w:rPr>
          <w:rFonts w:ascii="宋体" w:hAnsi="宋体" w:eastAsia="宋体" w:cs="宋体"/>
          <w:spacing w:val="-1"/>
          <w:sz w:val="24"/>
          <w:szCs w:val="24"/>
        </w:rPr>
        <w:t>3.4.4 有下列情形之一的，投标保证金将不予退还：</w:t>
      </w:r>
    </w:p>
    <w:p w14:paraId="15E446EA">
      <w:pPr>
        <w:spacing w:before="180" w:line="219" w:lineRule="auto"/>
        <w:ind w:left="503"/>
        <w:rPr>
          <w:rFonts w:ascii="宋体" w:hAnsi="宋体" w:eastAsia="宋体" w:cs="宋体"/>
          <w:sz w:val="24"/>
          <w:szCs w:val="24"/>
        </w:rPr>
      </w:pPr>
      <w:r>
        <w:rPr>
          <w:rFonts w:ascii="宋体" w:hAnsi="宋体" w:eastAsia="宋体" w:cs="宋体"/>
          <w:spacing w:val="-2"/>
          <w:sz w:val="24"/>
          <w:szCs w:val="24"/>
        </w:rPr>
        <w:t>（1）投标人在投标有效期内撤销投标文件；</w:t>
      </w:r>
    </w:p>
    <w:p w14:paraId="731C236A">
      <w:pPr>
        <w:spacing w:before="183" w:line="359" w:lineRule="auto"/>
        <w:ind w:left="36" w:right="13" w:firstLine="466"/>
        <w:rPr>
          <w:rFonts w:ascii="宋体" w:hAnsi="宋体" w:eastAsia="宋体" w:cs="宋体"/>
          <w:sz w:val="24"/>
          <w:szCs w:val="24"/>
        </w:rPr>
      </w:pPr>
      <w:r>
        <w:rPr>
          <w:rFonts w:ascii="宋体" w:hAnsi="宋体" w:eastAsia="宋体" w:cs="宋体"/>
          <w:spacing w:val="-7"/>
          <w:sz w:val="24"/>
          <w:szCs w:val="24"/>
        </w:rPr>
        <w:t>（2）中标人在收到中标通知书后，无正当理</w:t>
      </w:r>
      <w:r>
        <w:rPr>
          <w:rFonts w:ascii="宋体" w:hAnsi="宋体" w:eastAsia="宋体" w:cs="宋体"/>
          <w:spacing w:val="-8"/>
          <w:sz w:val="24"/>
          <w:szCs w:val="24"/>
        </w:rPr>
        <w:t>由不与招标人订立合同，在签订合同</w:t>
      </w:r>
      <w:r>
        <w:rPr>
          <w:rFonts w:ascii="宋体" w:hAnsi="宋体" w:eastAsia="宋体" w:cs="宋体"/>
          <w:spacing w:val="-39"/>
          <w:sz w:val="24"/>
          <w:szCs w:val="24"/>
        </w:rPr>
        <w:t xml:space="preserve"> </w:t>
      </w:r>
      <w:r>
        <w:rPr>
          <w:rFonts w:ascii="宋体" w:hAnsi="宋体" w:eastAsia="宋体" w:cs="宋体"/>
          <w:spacing w:val="-8"/>
          <w:sz w:val="24"/>
          <w:szCs w:val="24"/>
        </w:rPr>
        <w:t>时</w:t>
      </w:r>
      <w:r>
        <w:rPr>
          <w:rFonts w:ascii="宋体" w:hAnsi="宋体" w:eastAsia="宋体" w:cs="宋体"/>
          <w:spacing w:val="-1"/>
          <w:sz w:val="24"/>
          <w:szCs w:val="24"/>
        </w:rPr>
        <w:t>向招标人提出附加条件，或不按照招标文件要求提交</w:t>
      </w:r>
      <w:r>
        <w:rPr>
          <w:rFonts w:ascii="宋体" w:hAnsi="宋体" w:eastAsia="宋体" w:cs="宋体"/>
          <w:spacing w:val="-2"/>
          <w:sz w:val="24"/>
          <w:szCs w:val="24"/>
        </w:rPr>
        <w:t>履约保证金；</w:t>
      </w:r>
    </w:p>
    <w:p w14:paraId="78A37A61">
      <w:pPr>
        <w:spacing w:line="218" w:lineRule="auto"/>
        <w:ind w:left="503"/>
        <w:rPr>
          <w:rFonts w:ascii="宋体" w:hAnsi="宋体" w:eastAsia="宋体" w:cs="宋体"/>
          <w:sz w:val="24"/>
          <w:szCs w:val="24"/>
        </w:rPr>
      </w:pPr>
      <w:r>
        <w:rPr>
          <w:rFonts w:ascii="宋体" w:hAnsi="宋体" w:eastAsia="宋体" w:cs="宋体"/>
          <w:spacing w:val="-1"/>
          <w:sz w:val="24"/>
          <w:szCs w:val="24"/>
        </w:rPr>
        <w:t>（3）发生投标人须知前附表规定的其他可以不予退还投标保证金的情形。</w:t>
      </w:r>
    </w:p>
    <w:p w14:paraId="11424359">
      <w:pPr>
        <w:spacing w:before="182" w:line="219" w:lineRule="auto"/>
        <w:ind w:left="16"/>
        <w:rPr>
          <w:rFonts w:ascii="宋体" w:hAnsi="宋体" w:eastAsia="宋体" w:cs="宋体"/>
          <w:sz w:val="24"/>
          <w:szCs w:val="24"/>
        </w:rPr>
      </w:pPr>
      <w:r>
        <w:rPr>
          <w:rFonts w:ascii="宋体" w:hAnsi="宋体" w:eastAsia="宋体" w:cs="宋体"/>
          <w:b/>
          <w:bCs/>
          <w:spacing w:val="-6"/>
          <w:sz w:val="24"/>
          <w:szCs w:val="24"/>
        </w:rPr>
        <w:t>3.5</w:t>
      </w:r>
      <w:r>
        <w:rPr>
          <w:rFonts w:ascii="宋体" w:hAnsi="宋体" w:eastAsia="宋体" w:cs="宋体"/>
          <w:spacing w:val="25"/>
          <w:sz w:val="24"/>
          <w:szCs w:val="24"/>
        </w:rPr>
        <w:t xml:space="preserve"> </w:t>
      </w:r>
      <w:r>
        <w:rPr>
          <w:rFonts w:ascii="宋体" w:hAnsi="宋体" w:eastAsia="宋体" w:cs="宋体"/>
          <w:b/>
          <w:bCs/>
          <w:spacing w:val="-6"/>
          <w:sz w:val="24"/>
          <w:szCs w:val="24"/>
        </w:rPr>
        <w:t>资格审查资料</w:t>
      </w:r>
    </w:p>
    <w:p w14:paraId="42F14D9E">
      <w:pPr>
        <w:spacing w:before="183" w:line="359" w:lineRule="auto"/>
        <w:ind w:left="12" w:right="13" w:firstLine="493"/>
        <w:rPr>
          <w:rFonts w:ascii="宋体" w:hAnsi="宋体" w:eastAsia="宋体" w:cs="宋体"/>
          <w:sz w:val="24"/>
          <w:szCs w:val="24"/>
        </w:rPr>
      </w:pPr>
      <w:r>
        <w:rPr>
          <w:rFonts w:ascii="宋体" w:hAnsi="宋体" w:eastAsia="宋体" w:cs="宋体"/>
          <w:spacing w:val="-2"/>
          <w:sz w:val="24"/>
          <w:szCs w:val="24"/>
        </w:rPr>
        <w:t>除投标人须知前附表另有规定外，投标人应按下列规定提供资格审查</w:t>
      </w:r>
      <w:r>
        <w:rPr>
          <w:rFonts w:ascii="宋体" w:hAnsi="宋体" w:eastAsia="宋体" w:cs="宋体"/>
          <w:spacing w:val="-3"/>
          <w:sz w:val="24"/>
          <w:szCs w:val="24"/>
        </w:rPr>
        <w:t>资料，以证明</w:t>
      </w:r>
      <w:r>
        <w:rPr>
          <w:rFonts w:ascii="宋体" w:hAnsi="宋体" w:eastAsia="宋体" w:cs="宋体"/>
          <w:spacing w:val="-1"/>
          <w:sz w:val="24"/>
          <w:szCs w:val="24"/>
        </w:rPr>
        <w:t>其满足本章第 1.4 款规定的资质、财务、业绩、信誉等要求。</w:t>
      </w:r>
    </w:p>
    <w:p w14:paraId="50CBB615">
      <w:pPr>
        <w:spacing w:before="6" w:line="358" w:lineRule="auto"/>
        <w:ind w:right="13" w:firstLine="495"/>
        <w:jc w:val="both"/>
        <w:rPr>
          <w:rFonts w:hint="eastAsia" w:ascii="宋体" w:hAnsi="宋体" w:eastAsia="宋体" w:cs="宋体"/>
          <w:spacing w:val="-1"/>
          <w:sz w:val="24"/>
          <w:szCs w:val="24"/>
          <w:lang w:val="en-US" w:eastAsia="zh-CN"/>
        </w:rPr>
      </w:pPr>
      <w:r>
        <w:rPr>
          <w:rFonts w:ascii="宋体" w:hAnsi="宋体" w:eastAsia="宋体" w:cs="宋体"/>
          <w:spacing w:val="-1"/>
          <w:sz w:val="24"/>
          <w:szCs w:val="24"/>
        </w:rPr>
        <w:t>3.5.1</w:t>
      </w:r>
      <w:r>
        <w:rPr>
          <w:rFonts w:ascii="宋体" w:hAnsi="宋体" w:eastAsia="宋体" w:cs="宋体"/>
          <w:spacing w:val="-52"/>
          <w:sz w:val="24"/>
          <w:szCs w:val="24"/>
        </w:rPr>
        <w:t xml:space="preserve"> </w:t>
      </w:r>
      <w:r>
        <w:rPr>
          <w:rFonts w:hint="eastAsia" w:ascii="宋体" w:hAnsi="宋体" w:eastAsia="宋体" w:cs="宋体"/>
          <w:spacing w:val="-1"/>
          <w:sz w:val="24"/>
          <w:szCs w:val="24"/>
          <w:lang w:val="en-US" w:eastAsia="zh-CN"/>
        </w:rPr>
        <w:t xml:space="preserve"> “投标人基本情况表”应附投标人营业执照副本及其年检合格的证明材料、 </w:t>
      </w:r>
    </w:p>
    <w:p w14:paraId="1F981DF8">
      <w:pPr>
        <w:spacing w:before="6" w:line="358" w:lineRule="auto"/>
        <w:ind w:right="13"/>
        <w:jc w:val="both"/>
        <w:rPr>
          <w:rFonts w:hint="eastAsia" w:ascii="宋体" w:hAnsi="宋体" w:eastAsia="宋体" w:cs="宋体"/>
          <w:spacing w:val="-1"/>
          <w:sz w:val="24"/>
          <w:szCs w:val="24"/>
        </w:rPr>
      </w:pPr>
      <w:r>
        <w:rPr>
          <w:rFonts w:hint="default" w:ascii="宋体" w:hAnsi="宋体" w:eastAsia="宋体" w:cs="宋体"/>
          <w:spacing w:val="-1"/>
          <w:sz w:val="24"/>
          <w:szCs w:val="24"/>
          <w:lang w:val="en-US" w:eastAsia="zh-CN"/>
        </w:rPr>
        <w:t xml:space="preserve">资质证书副本和安全生产许可证等材料的复印件。 </w:t>
      </w:r>
    </w:p>
    <w:p w14:paraId="3279718F">
      <w:pPr>
        <w:spacing w:line="316" w:lineRule="auto"/>
        <w:ind w:left="11" w:right="80" w:firstLine="484"/>
        <w:rPr>
          <w:rFonts w:ascii="宋体" w:hAnsi="宋体" w:eastAsia="宋体" w:cs="宋体"/>
          <w:spacing w:val="-2"/>
          <w:sz w:val="24"/>
          <w:szCs w:val="24"/>
        </w:rPr>
      </w:pPr>
      <w:r>
        <w:rPr>
          <w:rFonts w:ascii="宋体" w:hAnsi="宋体" w:eastAsia="宋体" w:cs="宋体"/>
          <w:spacing w:val="-2"/>
          <w:sz w:val="24"/>
          <w:szCs w:val="24"/>
        </w:rPr>
        <w:t xml:space="preserve">3.5.2 </w:t>
      </w:r>
      <w:r>
        <w:rPr>
          <w:rFonts w:hint="default" w:ascii="宋体" w:hAnsi="宋体" w:eastAsia="宋体" w:cs="宋体"/>
          <w:spacing w:val="-2"/>
          <w:sz w:val="24"/>
          <w:szCs w:val="24"/>
          <w:lang w:val="en-US" w:eastAsia="zh-CN"/>
        </w:rPr>
        <w:t>“近年财务状况表”应附经会计师事务所或审计机构审计的财务会计报表， 包括资产负债表、现金流量表、利润表和财务情况说明书的复印件，具体年份要求见投标人须知前附表。</w:t>
      </w:r>
    </w:p>
    <w:p w14:paraId="16C2EAF7">
      <w:pPr>
        <w:spacing w:before="22" w:line="339" w:lineRule="auto"/>
        <w:ind w:left="9" w:right="52" w:firstLine="483"/>
        <w:rPr>
          <w:rFonts w:ascii="宋体" w:hAnsi="宋体" w:eastAsia="宋体" w:cs="宋体"/>
          <w:sz w:val="24"/>
          <w:szCs w:val="24"/>
        </w:rPr>
      </w:pPr>
      <w:r>
        <w:rPr>
          <w:rFonts w:ascii="宋体" w:hAnsi="宋体" w:eastAsia="宋体" w:cs="宋体"/>
          <w:spacing w:val="-1"/>
          <w:sz w:val="24"/>
          <w:szCs w:val="24"/>
        </w:rPr>
        <w:t>3.5.</w:t>
      </w:r>
      <w:r>
        <w:rPr>
          <w:rFonts w:hint="eastAsia" w:ascii="宋体" w:hAnsi="宋体" w:eastAsia="宋体" w:cs="宋体"/>
          <w:spacing w:val="-1"/>
          <w:sz w:val="24"/>
          <w:szCs w:val="24"/>
          <w:lang w:val="en-US" w:eastAsia="zh-CN"/>
        </w:rPr>
        <w:t>3</w:t>
      </w:r>
      <w:r>
        <w:rPr>
          <w:rFonts w:ascii="宋体" w:hAnsi="宋体" w:eastAsia="宋体" w:cs="宋体"/>
          <w:spacing w:val="-1"/>
          <w:sz w:val="24"/>
          <w:szCs w:val="24"/>
        </w:rPr>
        <w:t>“投标人的信誉情况</w:t>
      </w:r>
      <w:r>
        <w:rPr>
          <w:rFonts w:ascii="宋体" w:hAnsi="宋体" w:eastAsia="宋体" w:cs="宋体"/>
          <w:spacing w:val="-88"/>
          <w:sz w:val="24"/>
          <w:szCs w:val="24"/>
        </w:rPr>
        <w:t xml:space="preserve"> </w:t>
      </w:r>
      <w:r>
        <w:rPr>
          <w:rFonts w:ascii="宋体" w:hAnsi="宋体" w:eastAsia="宋体" w:cs="宋体"/>
          <w:spacing w:val="-1"/>
          <w:sz w:val="24"/>
          <w:szCs w:val="24"/>
        </w:rPr>
        <w:t>”应附投标人在国家企业信用信</w:t>
      </w:r>
      <w:r>
        <w:rPr>
          <w:rFonts w:ascii="宋体" w:hAnsi="宋体" w:eastAsia="宋体" w:cs="宋体"/>
          <w:spacing w:val="-2"/>
          <w:sz w:val="24"/>
          <w:szCs w:val="24"/>
        </w:rPr>
        <w:t>息公示系统中未被列入</w:t>
      </w:r>
      <w:r>
        <w:rPr>
          <w:rFonts w:ascii="宋体" w:hAnsi="宋体" w:eastAsia="宋体" w:cs="宋体"/>
          <w:spacing w:val="-1"/>
          <w:sz w:val="24"/>
          <w:szCs w:val="24"/>
        </w:rPr>
        <w:t>严重违法失信名单、“信用中国</w:t>
      </w:r>
      <w:r>
        <w:rPr>
          <w:rFonts w:ascii="宋体" w:hAnsi="宋体" w:eastAsia="宋体" w:cs="宋体"/>
          <w:spacing w:val="-88"/>
          <w:sz w:val="24"/>
          <w:szCs w:val="24"/>
        </w:rPr>
        <w:t xml:space="preserve"> </w:t>
      </w:r>
      <w:r>
        <w:rPr>
          <w:rFonts w:ascii="宋体" w:hAnsi="宋体" w:eastAsia="宋体" w:cs="宋体"/>
          <w:spacing w:val="-1"/>
          <w:sz w:val="24"/>
          <w:szCs w:val="24"/>
        </w:rPr>
        <w:t>”网站</w:t>
      </w:r>
      <w:r>
        <w:fldChar w:fldCharType="begin"/>
      </w:r>
      <w:r>
        <w:instrText xml:space="preserve"> HYPERLINK \l "bookmark117" </w:instrText>
      </w:r>
      <w:r>
        <w:fldChar w:fldCharType="separate"/>
      </w:r>
      <w:r>
        <w:rPr>
          <w:rFonts w:ascii="宋体" w:hAnsi="宋体" w:eastAsia="宋体" w:cs="宋体"/>
          <w:spacing w:val="-1"/>
          <w:position w:val="11"/>
          <w:sz w:val="12"/>
          <w:szCs w:val="12"/>
        </w:rPr>
        <w:t>②</w:t>
      </w:r>
      <w:r>
        <w:rPr>
          <w:rFonts w:ascii="宋体" w:hAnsi="宋体" w:eastAsia="宋体" w:cs="宋体"/>
          <w:spacing w:val="-1"/>
          <w:position w:val="11"/>
          <w:sz w:val="12"/>
          <w:szCs w:val="12"/>
        </w:rPr>
        <w:fldChar w:fldCharType="end"/>
      </w:r>
      <w:r>
        <w:rPr>
          <w:rFonts w:ascii="宋体" w:hAnsi="宋体" w:eastAsia="宋体" w:cs="宋体"/>
          <w:spacing w:val="-1"/>
          <w:sz w:val="24"/>
          <w:szCs w:val="24"/>
        </w:rPr>
        <w:t>中未被列入失信被执行人名</w:t>
      </w:r>
      <w:r>
        <w:rPr>
          <w:rFonts w:ascii="宋体" w:hAnsi="宋体" w:eastAsia="宋体" w:cs="宋体"/>
          <w:spacing w:val="-2"/>
          <w:sz w:val="24"/>
          <w:szCs w:val="24"/>
        </w:rPr>
        <w:t>单的网页截图。</w:t>
      </w:r>
    </w:p>
    <w:p w14:paraId="628B0894">
      <w:pPr>
        <w:spacing w:line="359" w:lineRule="auto"/>
        <w:ind w:left="9" w:right="200" w:firstLine="483"/>
        <w:rPr>
          <w:rFonts w:hint="eastAsia" w:ascii="宋体" w:hAnsi="宋体" w:eastAsia="宋体" w:cs="宋体"/>
          <w:spacing w:val="-1"/>
          <w:sz w:val="24"/>
          <w:szCs w:val="24"/>
        </w:rPr>
      </w:pPr>
      <w:r>
        <w:rPr>
          <w:rFonts w:ascii="宋体" w:hAnsi="宋体" w:eastAsia="宋体" w:cs="宋体"/>
          <w:spacing w:val="-1"/>
          <w:sz w:val="24"/>
          <w:szCs w:val="24"/>
        </w:rPr>
        <w:t>3.5.</w:t>
      </w:r>
      <w:r>
        <w:rPr>
          <w:rFonts w:hint="eastAsia" w:ascii="宋体" w:hAnsi="宋体" w:eastAsia="宋体" w:cs="宋体"/>
          <w:spacing w:val="-1"/>
          <w:sz w:val="24"/>
          <w:szCs w:val="24"/>
          <w:lang w:val="en-US" w:eastAsia="zh-CN"/>
        </w:rPr>
        <w:t>4</w:t>
      </w:r>
      <w:r>
        <w:rPr>
          <w:rFonts w:hint="eastAsia" w:ascii="宋体" w:hAnsi="宋体" w:eastAsia="宋体" w:cs="宋体"/>
          <w:spacing w:val="-1"/>
          <w:sz w:val="24"/>
          <w:szCs w:val="24"/>
        </w:rPr>
        <w:t>“拟委任的</w:t>
      </w:r>
      <w:r>
        <w:rPr>
          <w:rFonts w:hint="eastAsia" w:ascii="宋体" w:hAnsi="宋体" w:eastAsia="宋体" w:cs="宋体"/>
          <w:spacing w:val="-1"/>
          <w:sz w:val="24"/>
          <w:szCs w:val="24"/>
          <w:lang w:eastAsia="zh-CN"/>
        </w:rPr>
        <w:t>项目负责人</w:t>
      </w:r>
      <w:r>
        <w:rPr>
          <w:rFonts w:hint="eastAsia" w:ascii="宋体" w:hAnsi="宋体" w:eastAsia="宋体" w:cs="宋体"/>
          <w:spacing w:val="-1"/>
          <w:sz w:val="24"/>
          <w:szCs w:val="24"/>
        </w:rPr>
        <w:t>和</w:t>
      </w:r>
      <w:r>
        <w:rPr>
          <w:rFonts w:hint="eastAsia" w:ascii="宋体" w:hAnsi="宋体" w:eastAsia="宋体" w:cs="宋体"/>
          <w:spacing w:val="-1"/>
          <w:sz w:val="24"/>
          <w:szCs w:val="24"/>
          <w:lang w:eastAsia="zh-CN"/>
        </w:rPr>
        <w:t>项目技术负责人</w:t>
      </w:r>
      <w:r>
        <w:rPr>
          <w:rFonts w:hint="eastAsia" w:ascii="宋体" w:hAnsi="宋体" w:eastAsia="宋体" w:cs="宋体"/>
          <w:spacing w:val="-1"/>
          <w:sz w:val="24"/>
          <w:szCs w:val="24"/>
        </w:rPr>
        <w:t>资历表”应附</w:t>
      </w:r>
      <w:r>
        <w:rPr>
          <w:rFonts w:hint="eastAsia" w:ascii="宋体" w:hAnsi="宋体" w:eastAsia="宋体" w:cs="宋体"/>
          <w:spacing w:val="-1"/>
          <w:sz w:val="24"/>
          <w:szCs w:val="24"/>
          <w:lang w:eastAsia="zh-CN"/>
        </w:rPr>
        <w:t>项目负责人</w:t>
      </w:r>
      <w:r>
        <w:rPr>
          <w:rFonts w:hint="eastAsia" w:ascii="宋体" w:hAnsi="宋体" w:eastAsia="宋体" w:cs="宋体"/>
          <w:spacing w:val="-1"/>
          <w:sz w:val="24"/>
          <w:szCs w:val="24"/>
        </w:rPr>
        <w:t>和</w:t>
      </w:r>
      <w:r>
        <w:rPr>
          <w:rFonts w:hint="eastAsia" w:ascii="宋体" w:hAnsi="宋体" w:eastAsia="宋体" w:cs="宋体"/>
          <w:spacing w:val="-1"/>
          <w:sz w:val="24"/>
          <w:szCs w:val="24"/>
          <w:lang w:eastAsia="zh-CN"/>
        </w:rPr>
        <w:t>项目技术负责人</w:t>
      </w:r>
      <w:r>
        <w:rPr>
          <w:rFonts w:hint="eastAsia" w:ascii="宋体" w:hAnsi="宋体" w:eastAsia="宋体" w:cs="宋体"/>
          <w:spacing w:val="-1"/>
          <w:sz w:val="24"/>
          <w:szCs w:val="24"/>
        </w:rPr>
        <w:t>的身份证、职称资格证书以及资格审查条件所要求的其他相关证书（如建造师注册证书、安全生产考核合格证书等）的复印件，建造师注册证书、安全生产考核合格证书在政府相关部门网站上公开信息的网页截图复印件，以及投标人所属社保机构出具的拟委任的</w:t>
      </w:r>
      <w:r>
        <w:rPr>
          <w:rFonts w:hint="eastAsia" w:ascii="宋体" w:hAnsi="宋体" w:eastAsia="宋体" w:cs="宋体"/>
          <w:spacing w:val="-1"/>
          <w:sz w:val="24"/>
          <w:szCs w:val="24"/>
          <w:lang w:eastAsia="zh-CN"/>
        </w:rPr>
        <w:t>项目负责人</w:t>
      </w:r>
      <w:r>
        <w:rPr>
          <w:rFonts w:hint="eastAsia" w:ascii="宋体" w:hAnsi="宋体" w:eastAsia="宋体" w:cs="宋体"/>
          <w:spacing w:val="-1"/>
          <w:sz w:val="24"/>
          <w:szCs w:val="24"/>
        </w:rPr>
        <w:t>和</w:t>
      </w:r>
      <w:r>
        <w:rPr>
          <w:rFonts w:hint="eastAsia" w:ascii="宋体" w:hAnsi="宋体" w:eastAsia="宋体" w:cs="宋体"/>
          <w:spacing w:val="-1"/>
          <w:sz w:val="24"/>
          <w:szCs w:val="24"/>
          <w:lang w:eastAsia="zh-CN"/>
        </w:rPr>
        <w:t>项目技术负责人</w:t>
      </w:r>
      <w:r>
        <w:rPr>
          <w:rFonts w:hint="eastAsia" w:ascii="宋体" w:hAnsi="宋体" w:eastAsia="宋体" w:cs="宋体"/>
          <w:spacing w:val="-1"/>
          <w:sz w:val="24"/>
          <w:szCs w:val="24"/>
        </w:rPr>
        <w:t>的社保缴费证明或其他能够证明拟委任的</w:t>
      </w:r>
      <w:r>
        <w:rPr>
          <w:rFonts w:hint="eastAsia" w:ascii="宋体" w:hAnsi="宋体" w:eastAsia="宋体" w:cs="宋体"/>
          <w:spacing w:val="-1"/>
          <w:sz w:val="24"/>
          <w:szCs w:val="24"/>
          <w:lang w:eastAsia="zh-CN"/>
        </w:rPr>
        <w:t>项目负责人</w:t>
      </w:r>
      <w:r>
        <w:rPr>
          <w:rFonts w:hint="eastAsia" w:ascii="宋体" w:hAnsi="宋体" w:eastAsia="宋体" w:cs="宋体"/>
          <w:spacing w:val="-1"/>
          <w:sz w:val="24"/>
          <w:szCs w:val="24"/>
        </w:rPr>
        <w:t>和</w:t>
      </w:r>
      <w:r>
        <w:rPr>
          <w:rFonts w:hint="eastAsia" w:ascii="宋体" w:hAnsi="宋体" w:eastAsia="宋体" w:cs="宋体"/>
          <w:spacing w:val="-1"/>
          <w:sz w:val="24"/>
          <w:szCs w:val="24"/>
          <w:lang w:eastAsia="zh-CN"/>
        </w:rPr>
        <w:t>项目技术负责人</w:t>
      </w:r>
      <w:r>
        <w:rPr>
          <w:rFonts w:hint="eastAsia" w:ascii="宋体" w:hAnsi="宋体" w:eastAsia="宋体" w:cs="宋体"/>
          <w:spacing w:val="-1"/>
          <w:sz w:val="24"/>
          <w:szCs w:val="24"/>
        </w:rPr>
        <w:t>参加社保的有效证明材料复印件。</w:t>
      </w:r>
    </w:p>
    <w:p w14:paraId="6B11713C">
      <w:pPr>
        <w:spacing w:line="359" w:lineRule="auto"/>
        <w:ind w:left="9" w:right="200" w:firstLine="483"/>
        <w:rPr>
          <w:rFonts w:hint="eastAsia" w:ascii="宋体" w:hAnsi="宋体" w:eastAsia="宋体" w:cs="宋体"/>
          <w:spacing w:val="-1"/>
          <w:sz w:val="24"/>
          <w:szCs w:val="24"/>
        </w:rPr>
      </w:pPr>
      <w:r>
        <w:rPr>
          <w:rFonts w:hint="eastAsia" w:ascii="宋体" w:hAnsi="宋体" w:eastAsia="宋体" w:cs="宋体"/>
          <w:spacing w:val="-1"/>
          <w:sz w:val="24"/>
          <w:szCs w:val="24"/>
        </w:rPr>
        <w:t>如</w:t>
      </w:r>
      <w:r>
        <w:rPr>
          <w:rFonts w:hint="eastAsia" w:ascii="宋体" w:hAnsi="宋体" w:eastAsia="宋体" w:cs="宋体"/>
          <w:spacing w:val="-1"/>
          <w:sz w:val="24"/>
          <w:szCs w:val="24"/>
          <w:lang w:eastAsia="zh-CN"/>
        </w:rPr>
        <w:t>项目负责人</w:t>
      </w:r>
      <w:r>
        <w:rPr>
          <w:rFonts w:hint="eastAsia" w:ascii="宋体" w:hAnsi="宋体" w:eastAsia="宋体" w:cs="宋体"/>
          <w:spacing w:val="-1"/>
          <w:sz w:val="24"/>
          <w:szCs w:val="24"/>
        </w:rPr>
        <w:t>或</w:t>
      </w:r>
      <w:r>
        <w:rPr>
          <w:rFonts w:hint="eastAsia" w:ascii="宋体" w:hAnsi="宋体" w:eastAsia="宋体" w:cs="宋体"/>
          <w:spacing w:val="-1"/>
          <w:sz w:val="24"/>
          <w:szCs w:val="24"/>
          <w:lang w:eastAsia="zh-CN"/>
        </w:rPr>
        <w:t>项目技术负责人</w:t>
      </w:r>
      <w:r>
        <w:rPr>
          <w:rFonts w:hint="eastAsia" w:ascii="宋体" w:hAnsi="宋体" w:eastAsia="宋体" w:cs="宋体"/>
          <w:spacing w:val="-1"/>
          <w:sz w:val="24"/>
          <w:szCs w:val="24"/>
        </w:rPr>
        <w:t>目前仍在其他项目上任职，则投标人应提供由该项目发包人出具的、承诺上述人员能够从该项目撤离的书面证明材料原件。</w:t>
      </w:r>
    </w:p>
    <w:p w14:paraId="0EA5E63A">
      <w:pPr>
        <w:spacing w:line="359" w:lineRule="auto"/>
        <w:ind w:right="200" w:firstLine="472" w:firstLineChars="200"/>
        <w:rPr>
          <w:rFonts w:ascii="宋体" w:hAnsi="宋体" w:eastAsia="宋体" w:cs="宋体"/>
          <w:sz w:val="24"/>
          <w:szCs w:val="24"/>
        </w:rPr>
      </w:pPr>
      <w:r>
        <w:rPr>
          <w:rFonts w:ascii="宋体" w:hAnsi="宋体" w:eastAsia="宋体" w:cs="宋体"/>
          <w:spacing w:val="-2"/>
          <w:sz w:val="24"/>
          <w:szCs w:val="24"/>
        </w:rPr>
        <w:t>3.5.</w:t>
      </w:r>
      <w:r>
        <w:rPr>
          <w:rFonts w:hint="eastAsia" w:ascii="宋体" w:hAnsi="宋体" w:eastAsia="宋体" w:cs="宋体"/>
          <w:spacing w:val="-2"/>
          <w:sz w:val="24"/>
          <w:szCs w:val="24"/>
          <w:lang w:val="en-US" w:eastAsia="zh-CN"/>
        </w:rPr>
        <w:t>5</w:t>
      </w:r>
      <w:r>
        <w:rPr>
          <w:rFonts w:ascii="宋体" w:hAnsi="宋体" w:eastAsia="宋体" w:cs="宋体"/>
          <w:spacing w:val="-50"/>
          <w:sz w:val="24"/>
          <w:szCs w:val="24"/>
        </w:rPr>
        <w:t xml:space="preserve"> </w:t>
      </w:r>
      <w:r>
        <w:rPr>
          <w:rFonts w:ascii="宋体" w:hAnsi="宋体" w:eastAsia="宋体" w:cs="宋体"/>
          <w:spacing w:val="-2"/>
          <w:sz w:val="24"/>
          <w:szCs w:val="24"/>
        </w:rPr>
        <w:t>“拟投入本标段的主要设备表</w:t>
      </w:r>
      <w:r>
        <w:rPr>
          <w:rFonts w:ascii="宋体" w:hAnsi="宋体" w:eastAsia="宋体" w:cs="宋体"/>
          <w:spacing w:val="-88"/>
          <w:sz w:val="24"/>
          <w:szCs w:val="24"/>
        </w:rPr>
        <w:t xml:space="preserve"> </w:t>
      </w:r>
      <w:r>
        <w:rPr>
          <w:rFonts w:ascii="宋体" w:hAnsi="宋体" w:eastAsia="宋体" w:cs="宋体"/>
          <w:spacing w:val="-2"/>
          <w:sz w:val="24"/>
          <w:szCs w:val="24"/>
        </w:rPr>
        <w:t>”（如有）应填报满足本章前附表附录</w:t>
      </w:r>
      <w:r>
        <w:rPr>
          <w:rFonts w:ascii="宋体" w:hAnsi="宋体" w:eastAsia="宋体" w:cs="宋体"/>
          <w:spacing w:val="-45"/>
          <w:sz w:val="24"/>
          <w:szCs w:val="24"/>
        </w:rPr>
        <w:t xml:space="preserve"> </w:t>
      </w:r>
      <w:r>
        <w:rPr>
          <w:rFonts w:ascii="宋体" w:hAnsi="宋体" w:eastAsia="宋体" w:cs="宋体"/>
          <w:spacing w:val="-2"/>
          <w:sz w:val="24"/>
          <w:szCs w:val="24"/>
        </w:rPr>
        <w:t>7</w:t>
      </w:r>
      <w:r>
        <w:rPr>
          <w:rFonts w:ascii="宋体" w:hAnsi="宋体" w:eastAsia="宋体" w:cs="宋体"/>
          <w:spacing w:val="-49"/>
          <w:sz w:val="24"/>
          <w:szCs w:val="24"/>
        </w:rPr>
        <w:t xml:space="preserve"> </w:t>
      </w:r>
      <w:r>
        <w:rPr>
          <w:rFonts w:ascii="宋体" w:hAnsi="宋体" w:eastAsia="宋体" w:cs="宋体"/>
          <w:spacing w:val="-2"/>
          <w:sz w:val="24"/>
          <w:szCs w:val="24"/>
        </w:rPr>
        <w:t>规定</w:t>
      </w:r>
      <w:r>
        <w:rPr>
          <w:rFonts w:ascii="宋体" w:hAnsi="宋体" w:eastAsia="宋体" w:cs="宋体"/>
          <w:spacing w:val="-5"/>
          <w:sz w:val="24"/>
          <w:szCs w:val="24"/>
        </w:rPr>
        <w:t>的主要设备。</w:t>
      </w:r>
    </w:p>
    <w:p w14:paraId="44F9B77C">
      <w:pPr>
        <w:spacing w:line="359" w:lineRule="auto"/>
        <w:ind w:left="14" w:right="200" w:firstLine="479"/>
        <w:rPr>
          <w:rFonts w:ascii="宋体" w:hAnsi="宋体" w:eastAsia="宋体" w:cs="宋体"/>
          <w:sz w:val="24"/>
          <w:szCs w:val="24"/>
        </w:rPr>
      </w:pPr>
      <w:r>
        <w:rPr>
          <w:rFonts w:ascii="宋体" w:hAnsi="宋体" w:eastAsia="宋体" w:cs="宋体"/>
          <w:spacing w:val="-2"/>
          <w:sz w:val="24"/>
          <w:szCs w:val="24"/>
        </w:rPr>
        <w:t>3.5.</w:t>
      </w:r>
      <w:r>
        <w:rPr>
          <w:rFonts w:hint="eastAsia" w:ascii="宋体" w:hAnsi="宋体" w:eastAsia="宋体" w:cs="宋体"/>
          <w:spacing w:val="-2"/>
          <w:sz w:val="24"/>
          <w:szCs w:val="24"/>
          <w:lang w:val="en-US" w:eastAsia="zh-CN"/>
        </w:rPr>
        <w:t>6</w:t>
      </w:r>
      <w:r>
        <w:rPr>
          <w:rFonts w:ascii="宋体" w:hAnsi="宋体" w:eastAsia="宋体" w:cs="宋体"/>
          <w:spacing w:val="-39"/>
          <w:sz w:val="24"/>
          <w:szCs w:val="24"/>
        </w:rPr>
        <w:t xml:space="preserve"> </w:t>
      </w:r>
      <w:r>
        <w:rPr>
          <w:rFonts w:ascii="宋体" w:hAnsi="宋体" w:eastAsia="宋体" w:cs="宋体"/>
          <w:spacing w:val="-2"/>
          <w:sz w:val="24"/>
          <w:szCs w:val="24"/>
        </w:rPr>
        <w:t>投标人须知前附表规定接受联合体投标的，本章第</w:t>
      </w:r>
      <w:r>
        <w:rPr>
          <w:rFonts w:ascii="宋体" w:hAnsi="宋体" w:eastAsia="宋体" w:cs="宋体"/>
          <w:spacing w:val="-46"/>
          <w:sz w:val="24"/>
          <w:szCs w:val="24"/>
        </w:rPr>
        <w:t xml:space="preserve"> </w:t>
      </w:r>
      <w:r>
        <w:rPr>
          <w:rFonts w:ascii="宋体" w:hAnsi="宋体" w:eastAsia="宋体" w:cs="宋体"/>
          <w:spacing w:val="-2"/>
          <w:sz w:val="24"/>
          <w:szCs w:val="24"/>
        </w:rPr>
        <w:t>3.5.1</w:t>
      </w:r>
      <w:r>
        <w:rPr>
          <w:rFonts w:ascii="宋体" w:hAnsi="宋体" w:eastAsia="宋体" w:cs="宋体"/>
          <w:spacing w:val="-47"/>
          <w:sz w:val="24"/>
          <w:szCs w:val="24"/>
        </w:rPr>
        <w:t xml:space="preserve"> </w:t>
      </w:r>
      <w:r>
        <w:rPr>
          <w:rFonts w:ascii="宋体" w:hAnsi="宋体" w:eastAsia="宋体" w:cs="宋体"/>
          <w:spacing w:val="-2"/>
          <w:sz w:val="24"/>
          <w:szCs w:val="24"/>
        </w:rPr>
        <w:t>项至第</w:t>
      </w:r>
      <w:r>
        <w:rPr>
          <w:rFonts w:ascii="宋体" w:hAnsi="宋体" w:eastAsia="宋体" w:cs="宋体"/>
          <w:spacing w:val="-46"/>
          <w:sz w:val="24"/>
          <w:szCs w:val="24"/>
        </w:rPr>
        <w:t xml:space="preserve"> </w:t>
      </w:r>
      <w:r>
        <w:rPr>
          <w:rFonts w:ascii="宋体" w:hAnsi="宋体" w:eastAsia="宋体" w:cs="宋体"/>
          <w:spacing w:val="-2"/>
          <w:sz w:val="24"/>
          <w:szCs w:val="24"/>
        </w:rPr>
        <w:t>3.5.7</w:t>
      </w:r>
      <w:r>
        <w:rPr>
          <w:rFonts w:ascii="宋体" w:hAnsi="宋体" w:eastAsia="宋体" w:cs="宋体"/>
          <w:spacing w:val="-46"/>
          <w:sz w:val="24"/>
          <w:szCs w:val="24"/>
        </w:rPr>
        <w:t xml:space="preserve"> </w:t>
      </w:r>
      <w:r>
        <w:rPr>
          <w:rFonts w:ascii="宋体" w:hAnsi="宋体" w:eastAsia="宋体" w:cs="宋体"/>
          <w:spacing w:val="-2"/>
          <w:sz w:val="24"/>
          <w:szCs w:val="24"/>
        </w:rPr>
        <w:t>项规</w:t>
      </w:r>
      <w:r>
        <w:rPr>
          <w:rFonts w:ascii="宋体" w:hAnsi="宋体" w:eastAsia="宋体" w:cs="宋体"/>
          <w:spacing w:val="-1"/>
          <w:sz w:val="24"/>
          <w:szCs w:val="24"/>
        </w:rPr>
        <w:t>定的表格和资料应包括联合体各方相关情况。</w:t>
      </w:r>
    </w:p>
    <w:p w14:paraId="2ACC2B11">
      <w:pPr>
        <w:spacing w:line="359" w:lineRule="auto"/>
        <w:ind w:left="54" w:right="200" w:firstLine="438"/>
        <w:rPr>
          <w:rFonts w:ascii="宋体" w:hAnsi="宋体" w:eastAsia="宋体" w:cs="宋体"/>
          <w:sz w:val="24"/>
          <w:szCs w:val="24"/>
        </w:rPr>
      </w:pPr>
      <w:r>
        <w:rPr>
          <w:rFonts w:ascii="宋体" w:hAnsi="宋体" w:eastAsia="宋体" w:cs="宋体"/>
          <w:spacing w:val="-1"/>
          <w:sz w:val="24"/>
          <w:szCs w:val="24"/>
        </w:rPr>
        <w:t>3.5.</w:t>
      </w:r>
      <w:r>
        <w:rPr>
          <w:rFonts w:hint="eastAsia" w:ascii="宋体" w:hAnsi="宋体" w:eastAsia="宋体" w:cs="宋体"/>
          <w:spacing w:val="-1"/>
          <w:sz w:val="24"/>
          <w:szCs w:val="24"/>
          <w:lang w:val="en-US" w:eastAsia="zh-CN"/>
        </w:rPr>
        <w:t>7</w:t>
      </w:r>
      <w:r>
        <w:rPr>
          <w:rFonts w:ascii="宋体" w:hAnsi="宋体" w:eastAsia="宋体" w:cs="宋体"/>
          <w:spacing w:val="-30"/>
          <w:sz w:val="24"/>
          <w:szCs w:val="24"/>
        </w:rPr>
        <w:t xml:space="preserve"> </w:t>
      </w:r>
      <w:r>
        <w:rPr>
          <w:rFonts w:ascii="宋体" w:hAnsi="宋体" w:eastAsia="宋体" w:cs="宋体"/>
          <w:spacing w:val="-1"/>
          <w:sz w:val="24"/>
          <w:szCs w:val="24"/>
        </w:rPr>
        <w:t>除合同条款约定的特殊情形外，投标人在投标文件中填报的项目负责人和项</w:t>
      </w:r>
      <w:r>
        <w:rPr>
          <w:rFonts w:ascii="宋体" w:hAnsi="宋体" w:eastAsia="宋体" w:cs="宋体"/>
          <w:spacing w:val="-5"/>
          <w:sz w:val="24"/>
          <w:szCs w:val="24"/>
        </w:rPr>
        <w:t>目技术负责人不允许更换。</w:t>
      </w:r>
    </w:p>
    <w:p w14:paraId="11081EF7">
      <w:pPr>
        <w:spacing w:line="359" w:lineRule="auto"/>
        <w:ind w:left="8" w:firstLine="484"/>
        <w:rPr>
          <w:rFonts w:ascii="宋体" w:hAnsi="宋体" w:eastAsia="宋体" w:cs="宋体"/>
          <w:sz w:val="24"/>
          <w:szCs w:val="24"/>
        </w:rPr>
      </w:pPr>
      <w:r>
        <w:rPr>
          <w:rFonts w:ascii="宋体" w:hAnsi="宋体" w:eastAsia="宋体" w:cs="宋体"/>
          <w:sz w:val="24"/>
          <w:szCs w:val="24"/>
        </w:rPr>
        <w:t>3.5.</w:t>
      </w:r>
      <w:r>
        <w:rPr>
          <w:rFonts w:hint="eastAsia" w:ascii="宋体" w:hAnsi="宋体" w:eastAsia="宋体" w:cs="宋体"/>
          <w:sz w:val="24"/>
          <w:szCs w:val="24"/>
          <w:lang w:val="en-US" w:eastAsia="zh-CN"/>
        </w:rPr>
        <w:t xml:space="preserve">8 </w:t>
      </w:r>
      <w:r>
        <w:rPr>
          <w:rFonts w:ascii="宋体" w:hAnsi="宋体" w:eastAsia="宋体" w:cs="宋体"/>
          <w:sz w:val="24"/>
          <w:szCs w:val="24"/>
        </w:rPr>
        <w:t>招标人有权核查投标人在投标文件中</w:t>
      </w:r>
      <w:r>
        <w:rPr>
          <w:rFonts w:ascii="宋体" w:hAnsi="宋体" w:eastAsia="宋体" w:cs="宋体"/>
          <w:spacing w:val="-1"/>
          <w:sz w:val="24"/>
          <w:szCs w:val="24"/>
        </w:rPr>
        <w:t>提供的资料，若在评标期间发现投标</w:t>
      </w:r>
      <w:r>
        <w:rPr>
          <w:rFonts w:ascii="宋体" w:hAnsi="宋体" w:eastAsia="宋体" w:cs="宋体"/>
          <w:sz w:val="24"/>
          <w:szCs w:val="24"/>
        </w:rPr>
        <w:t xml:space="preserve"> </w:t>
      </w:r>
      <w:r>
        <w:rPr>
          <w:rFonts w:ascii="宋体" w:hAnsi="宋体" w:eastAsia="宋体" w:cs="宋体"/>
          <w:spacing w:val="-2"/>
          <w:sz w:val="24"/>
          <w:szCs w:val="24"/>
        </w:rPr>
        <w:t>人提供了虚假资料，其投标将被否决；若在签订合同前发现作为中标候选人的投标人提供了虚假资料，招标人有权取消其中标资格；若在合同实施期间发现投标人提供了虚假</w:t>
      </w:r>
      <w:r>
        <w:rPr>
          <w:rFonts w:ascii="宋体" w:hAnsi="宋体" w:eastAsia="宋体" w:cs="宋体"/>
          <w:spacing w:val="-5"/>
          <w:sz w:val="24"/>
          <w:szCs w:val="24"/>
        </w:rPr>
        <w:t>资料，招标人有权从工程支付款或履约保证金中扣除</w:t>
      </w:r>
      <w:r>
        <w:rPr>
          <w:rFonts w:ascii="宋体" w:hAnsi="宋体" w:eastAsia="宋体" w:cs="宋体"/>
          <w:spacing w:val="-23"/>
          <w:sz w:val="24"/>
          <w:szCs w:val="24"/>
        </w:rPr>
        <w:t xml:space="preserve"> </w:t>
      </w:r>
      <w:r>
        <w:rPr>
          <w:rFonts w:ascii="宋体" w:hAnsi="宋体" w:eastAsia="宋体" w:cs="宋体"/>
          <w:spacing w:val="-5"/>
          <w:sz w:val="24"/>
          <w:szCs w:val="24"/>
        </w:rPr>
        <w:t>10％签约合同价的金额作为违约金。</w:t>
      </w:r>
      <w:r>
        <w:rPr>
          <w:rFonts w:ascii="宋体" w:hAnsi="宋体" w:eastAsia="宋体" w:cs="宋体"/>
          <w:spacing w:val="-2"/>
          <w:sz w:val="24"/>
          <w:szCs w:val="24"/>
        </w:rPr>
        <w:t>同时招标人将投标人上述弄虚作假行为上报省级交通运输主管部门，作为不良记录纳入</w:t>
      </w:r>
      <w:r>
        <w:rPr>
          <w:rFonts w:ascii="宋体" w:hAnsi="宋体" w:eastAsia="宋体" w:cs="宋体"/>
          <w:spacing w:val="-1"/>
          <w:sz w:val="24"/>
          <w:szCs w:val="24"/>
        </w:rPr>
        <w:t>水运建设市场信用信息管理系统。</w:t>
      </w:r>
    </w:p>
    <w:p w14:paraId="69CCF72E">
      <w:pPr>
        <w:spacing w:line="220" w:lineRule="auto"/>
        <w:ind w:left="13"/>
        <w:rPr>
          <w:rFonts w:ascii="宋体" w:hAnsi="宋体" w:eastAsia="宋体" w:cs="宋体"/>
          <w:sz w:val="24"/>
          <w:szCs w:val="24"/>
        </w:rPr>
      </w:pPr>
      <w:bookmarkStart w:id="7" w:name="bookmark123"/>
      <w:bookmarkEnd w:id="7"/>
      <w:r>
        <w:rPr>
          <w:rFonts w:ascii="宋体" w:hAnsi="宋体" w:eastAsia="宋体" w:cs="宋体"/>
          <w:b/>
          <w:bCs/>
          <w:spacing w:val="-3"/>
          <w:sz w:val="24"/>
          <w:szCs w:val="24"/>
        </w:rPr>
        <w:t>3.6</w:t>
      </w:r>
      <w:r>
        <w:rPr>
          <w:rFonts w:ascii="宋体" w:hAnsi="宋体" w:eastAsia="宋体" w:cs="宋体"/>
          <w:spacing w:val="-3"/>
          <w:sz w:val="24"/>
          <w:szCs w:val="24"/>
        </w:rPr>
        <w:t xml:space="preserve"> </w:t>
      </w:r>
      <w:r>
        <w:rPr>
          <w:rFonts w:ascii="宋体" w:hAnsi="宋体" w:eastAsia="宋体" w:cs="宋体"/>
          <w:b/>
          <w:bCs/>
          <w:spacing w:val="-3"/>
          <w:sz w:val="24"/>
          <w:szCs w:val="24"/>
        </w:rPr>
        <w:t>备选投标方案</w:t>
      </w:r>
    </w:p>
    <w:p w14:paraId="6486AA14">
      <w:pPr>
        <w:spacing w:before="181" w:line="219" w:lineRule="auto"/>
        <w:ind w:left="493"/>
        <w:rPr>
          <w:rFonts w:ascii="Arial"/>
          <w:sz w:val="21"/>
        </w:rPr>
      </w:pPr>
      <w:r>
        <w:rPr>
          <w:rFonts w:ascii="宋体" w:hAnsi="宋体" w:eastAsia="宋体" w:cs="宋体"/>
          <w:spacing w:val="-1"/>
          <w:sz w:val="24"/>
          <w:szCs w:val="24"/>
        </w:rPr>
        <w:t>3.6.1</w:t>
      </w:r>
      <w:r>
        <w:rPr>
          <w:rFonts w:ascii="宋体" w:hAnsi="宋体" w:eastAsia="宋体" w:cs="宋体"/>
          <w:spacing w:val="-30"/>
          <w:sz w:val="24"/>
          <w:szCs w:val="24"/>
        </w:rPr>
        <w:t xml:space="preserve"> </w:t>
      </w:r>
      <w:r>
        <w:rPr>
          <w:rFonts w:ascii="宋体" w:hAnsi="宋体" w:eastAsia="宋体" w:cs="宋体"/>
          <w:spacing w:val="-1"/>
          <w:sz w:val="24"/>
          <w:szCs w:val="24"/>
        </w:rPr>
        <w:t>除投标人须知前附表规定允许外，投标人不得递交备选投标方案，否则其投</w:t>
      </w:r>
    </w:p>
    <w:p w14:paraId="171C0E6F">
      <w:pPr>
        <w:spacing w:before="78" w:line="219" w:lineRule="auto"/>
        <w:ind w:left="9"/>
        <w:rPr>
          <w:rFonts w:ascii="宋体" w:hAnsi="宋体" w:eastAsia="宋体" w:cs="宋体"/>
          <w:sz w:val="24"/>
          <w:szCs w:val="24"/>
        </w:rPr>
      </w:pPr>
      <w:r>
        <w:rPr>
          <w:rFonts w:ascii="宋体" w:hAnsi="宋体" w:eastAsia="宋体" w:cs="宋体"/>
          <w:spacing w:val="-2"/>
          <w:sz w:val="24"/>
          <w:szCs w:val="24"/>
        </w:rPr>
        <w:t>标将被否决。</w:t>
      </w:r>
    </w:p>
    <w:p w14:paraId="5EB9D762">
      <w:pPr>
        <w:spacing w:before="181" w:line="359" w:lineRule="auto"/>
        <w:ind w:left="10" w:right="80" w:firstLine="482"/>
        <w:rPr>
          <w:rFonts w:ascii="宋体" w:hAnsi="宋体" w:eastAsia="宋体" w:cs="宋体"/>
          <w:sz w:val="24"/>
          <w:szCs w:val="24"/>
        </w:rPr>
      </w:pPr>
      <w:r>
        <w:rPr>
          <w:rFonts w:ascii="宋体" w:hAnsi="宋体" w:eastAsia="宋体" w:cs="宋体"/>
          <w:spacing w:val="-1"/>
          <w:sz w:val="24"/>
          <w:szCs w:val="24"/>
        </w:rPr>
        <w:t>3.6.2</w:t>
      </w:r>
      <w:r>
        <w:rPr>
          <w:rFonts w:ascii="宋体" w:hAnsi="宋体" w:eastAsia="宋体" w:cs="宋体"/>
          <w:spacing w:val="-30"/>
          <w:sz w:val="24"/>
          <w:szCs w:val="24"/>
        </w:rPr>
        <w:t xml:space="preserve"> </w:t>
      </w:r>
      <w:r>
        <w:rPr>
          <w:rFonts w:ascii="宋体" w:hAnsi="宋体" w:eastAsia="宋体" w:cs="宋体"/>
          <w:spacing w:val="-1"/>
          <w:sz w:val="24"/>
          <w:szCs w:val="24"/>
        </w:rPr>
        <w:t>允许投标人递交备选投标方案的，只有中标人所递交的备选投标方案方可予</w:t>
      </w:r>
      <w:r>
        <w:rPr>
          <w:rFonts w:ascii="宋体" w:hAnsi="宋体" w:eastAsia="宋体" w:cs="宋体"/>
          <w:spacing w:val="-2"/>
          <w:sz w:val="24"/>
          <w:szCs w:val="24"/>
        </w:rPr>
        <w:t>以考虑。评标委员会认为中标人的备选投标方案优于其按照招标文件要求编制的投标方</w:t>
      </w:r>
      <w:r>
        <w:rPr>
          <w:rFonts w:ascii="宋体" w:hAnsi="宋体" w:eastAsia="宋体" w:cs="宋体"/>
          <w:spacing w:val="-1"/>
          <w:sz w:val="24"/>
          <w:szCs w:val="24"/>
        </w:rPr>
        <w:t>案的，招标人可以接受该备选投标方案。</w:t>
      </w:r>
    </w:p>
    <w:p w14:paraId="2883A517">
      <w:pPr>
        <w:spacing w:line="359" w:lineRule="auto"/>
        <w:ind w:left="19" w:right="80" w:firstLine="473"/>
        <w:rPr>
          <w:rFonts w:ascii="宋体" w:hAnsi="宋体" w:eastAsia="宋体" w:cs="宋体"/>
          <w:sz w:val="24"/>
          <w:szCs w:val="24"/>
        </w:rPr>
      </w:pPr>
      <w:r>
        <w:rPr>
          <w:rFonts w:ascii="宋体" w:hAnsi="宋体" w:eastAsia="宋体" w:cs="宋体"/>
          <w:spacing w:val="-1"/>
          <w:sz w:val="24"/>
          <w:szCs w:val="24"/>
        </w:rPr>
        <w:t>3.6.3</w:t>
      </w:r>
      <w:r>
        <w:rPr>
          <w:rFonts w:ascii="宋体" w:hAnsi="宋体" w:eastAsia="宋体" w:cs="宋体"/>
          <w:spacing w:val="-30"/>
          <w:sz w:val="24"/>
          <w:szCs w:val="24"/>
        </w:rPr>
        <w:t xml:space="preserve"> </w:t>
      </w:r>
      <w:r>
        <w:rPr>
          <w:rFonts w:ascii="宋体" w:hAnsi="宋体" w:eastAsia="宋体" w:cs="宋体"/>
          <w:spacing w:val="-1"/>
          <w:sz w:val="24"/>
          <w:szCs w:val="24"/>
        </w:rPr>
        <w:t>投标人提供两个或两个以上投标报价，或在投标文件中提供一个报价，但同时提供两个或两个以上施工组织设计的，视为提供备选方案。</w:t>
      </w:r>
    </w:p>
    <w:p w14:paraId="78745D7C">
      <w:pPr>
        <w:spacing w:line="219" w:lineRule="auto"/>
        <w:ind w:left="13"/>
        <w:rPr>
          <w:rFonts w:ascii="宋体" w:hAnsi="宋体" w:eastAsia="宋体" w:cs="宋体"/>
          <w:sz w:val="24"/>
          <w:szCs w:val="24"/>
        </w:rPr>
      </w:pPr>
      <w:r>
        <w:rPr>
          <w:rFonts w:ascii="宋体" w:hAnsi="宋体" w:eastAsia="宋体" w:cs="宋体"/>
          <w:b/>
          <w:bCs/>
          <w:spacing w:val="-3"/>
          <w:sz w:val="24"/>
          <w:szCs w:val="24"/>
        </w:rPr>
        <w:t>3.7</w:t>
      </w:r>
      <w:r>
        <w:rPr>
          <w:rFonts w:ascii="宋体" w:hAnsi="宋体" w:eastAsia="宋体" w:cs="宋体"/>
          <w:spacing w:val="-3"/>
          <w:sz w:val="24"/>
          <w:szCs w:val="24"/>
        </w:rPr>
        <w:t xml:space="preserve"> </w:t>
      </w:r>
      <w:r>
        <w:rPr>
          <w:rFonts w:ascii="宋体" w:hAnsi="宋体" w:eastAsia="宋体" w:cs="宋体"/>
          <w:b/>
          <w:bCs/>
          <w:spacing w:val="-3"/>
          <w:sz w:val="24"/>
          <w:szCs w:val="24"/>
        </w:rPr>
        <w:t>投标文件的编制</w:t>
      </w:r>
    </w:p>
    <w:p w14:paraId="333D904B">
      <w:pPr>
        <w:spacing w:before="181" w:line="359" w:lineRule="auto"/>
        <w:ind w:left="9" w:right="18" w:firstLine="483"/>
        <w:rPr>
          <w:rFonts w:ascii="宋体" w:hAnsi="宋体" w:eastAsia="宋体" w:cs="宋体"/>
          <w:sz w:val="24"/>
          <w:szCs w:val="24"/>
        </w:rPr>
      </w:pPr>
      <w:r>
        <w:rPr>
          <w:rFonts w:ascii="宋体" w:hAnsi="宋体" w:eastAsia="宋体" w:cs="宋体"/>
          <w:spacing w:val="-6"/>
          <w:sz w:val="24"/>
          <w:szCs w:val="24"/>
        </w:rPr>
        <w:t>3.7.1</w:t>
      </w:r>
      <w:r>
        <w:rPr>
          <w:rFonts w:ascii="宋体" w:hAnsi="宋体" w:eastAsia="宋体" w:cs="宋体"/>
          <w:spacing w:val="-45"/>
          <w:sz w:val="24"/>
          <w:szCs w:val="24"/>
        </w:rPr>
        <w:t xml:space="preserve"> </w:t>
      </w:r>
      <w:r>
        <w:rPr>
          <w:rFonts w:ascii="宋体" w:hAnsi="宋体" w:eastAsia="宋体" w:cs="宋体"/>
          <w:spacing w:val="-6"/>
          <w:sz w:val="24"/>
          <w:szCs w:val="24"/>
        </w:rPr>
        <w:t>投标文件应按第八章“投标文件格式</w:t>
      </w:r>
      <w:r>
        <w:rPr>
          <w:rFonts w:ascii="宋体" w:hAnsi="宋体" w:eastAsia="宋体" w:cs="宋体"/>
          <w:spacing w:val="-88"/>
          <w:sz w:val="24"/>
          <w:szCs w:val="24"/>
        </w:rPr>
        <w:t xml:space="preserve"> </w:t>
      </w:r>
      <w:r>
        <w:rPr>
          <w:rFonts w:ascii="宋体" w:hAnsi="宋体" w:eastAsia="宋体" w:cs="宋体"/>
          <w:spacing w:val="-6"/>
          <w:sz w:val="24"/>
          <w:szCs w:val="24"/>
        </w:rPr>
        <w:t>”进行编写，如有必要，可以增加附页，</w:t>
      </w:r>
      <w:r>
        <w:rPr>
          <w:rFonts w:ascii="宋体" w:hAnsi="宋体" w:eastAsia="宋体" w:cs="宋体"/>
          <w:spacing w:val="-2"/>
          <w:sz w:val="24"/>
          <w:szCs w:val="24"/>
        </w:rPr>
        <w:t>作为投标文件的组成部分。其中，投标函附录在满足招标文件实质性要求的基础上，可</w:t>
      </w:r>
      <w:r>
        <w:rPr>
          <w:rFonts w:ascii="宋体" w:hAnsi="宋体" w:eastAsia="宋体" w:cs="宋体"/>
          <w:spacing w:val="-1"/>
          <w:sz w:val="24"/>
          <w:szCs w:val="24"/>
        </w:rPr>
        <w:t>以提出比招标文件要求更有利于招标人的承诺。</w:t>
      </w:r>
    </w:p>
    <w:p w14:paraId="01B889C7">
      <w:pPr>
        <w:spacing w:line="359" w:lineRule="auto"/>
        <w:ind w:left="9" w:right="80" w:firstLine="483"/>
        <w:rPr>
          <w:rFonts w:ascii="宋体" w:hAnsi="宋体" w:eastAsia="宋体" w:cs="宋体"/>
          <w:sz w:val="24"/>
          <w:szCs w:val="24"/>
        </w:rPr>
      </w:pPr>
      <w:r>
        <w:rPr>
          <w:rFonts w:ascii="宋体" w:hAnsi="宋体" w:eastAsia="宋体" w:cs="宋体"/>
          <w:spacing w:val="-1"/>
          <w:sz w:val="24"/>
          <w:szCs w:val="24"/>
        </w:rPr>
        <w:t>3.7.2</w:t>
      </w:r>
      <w:r>
        <w:rPr>
          <w:rFonts w:ascii="宋体" w:hAnsi="宋体" w:eastAsia="宋体" w:cs="宋体"/>
          <w:spacing w:val="-30"/>
          <w:sz w:val="24"/>
          <w:szCs w:val="24"/>
        </w:rPr>
        <w:t xml:space="preserve"> </w:t>
      </w:r>
      <w:r>
        <w:rPr>
          <w:rFonts w:ascii="宋体" w:hAnsi="宋体" w:eastAsia="宋体" w:cs="宋体"/>
          <w:spacing w:val="-1"/>
          <w:sz w:val="24"/>
          <w:szCs w:val="24"/>
        </w:rPr>
        <w:t>投标文件应当对招标文件有关工期、投标有效期、质量要求、安全目标等实</w:t>
      </w:r>
      <w:r>
        <w:rPr>
          <w:rFonts w:ascii="宋体" w:hAnsi="宋体" w:eastAsia="宋体" w:cs="宋体"/>
          <w:spacing w:val="-2"/>
          <w:sz w:val="24"/>
          <w:szCs w:val="24"/>
        </w:rPr>
        <w:t>质性内容作出响应。</w:t>
      </w:r>
    </w:p>
    <w:p w14:paraId="2256ACDC">
      <w:pPr>
        <w:spacing w:before="1" w:line="219" w:lineRule="auto"/>
        <w:ind w:left="493"/>
        <w:rPr>
          <w:rFonts w:ascii="宋体" w:hAnsi="宋体" w:eastAsia="宋体" w:cs="宋体"/>
          <w:sz w:val="24"/>
          <w:szCs w:val="24"/>
        </w:rPr>
      </w:pPr>
      <w:r>
        <w:rPr>
          <w:rFonts w:ascii="宋体" w:hAnsi="宋体" w:eastAsia="宋体" w:cs="宋体"/>
          <w:spacing w:val="-1"/>
          <w:sz w:val="24"/>
          <w:szCs w:val="24"/>
        </w:rPr>
        <w:t>3.7.3 投标文件的制作应满足以下规定：</w:t>
      </w:r>
    </w:p>
    <w:p w14:paraId="388B5C18">
      <w:pPr>
        <w:spacing w:before="183" w:line="359" w:lineRule="auto"/>
        <w:ind w:left="10" w:right="147" w:firstLine="520"/>
        <w:rPr>
          <w:rFonts w:ascii="宋体" w:hAnsi="宋体" w:eastAsia="宋体" w:cs="宋体"/>
          <w:sz w:val="24"/>
          <w:szCs w:val="24"/>
        </w:rPr>
      </w:pPr>
      <w:r>
        <w:rPr>
          <w:rFonts w:ascii="宋体" w:hAnsi="宋体" w:eastAsia="宋体" w:cs="宋体"/>
          <w:spacing w:val="-4"/>
          <w:sz w:val="24"/>
          <w:szCs w:val="24"/>
        </w:rPr>
        <w:t>(1)投标文件由投标人使用“</w:t>
      </w:r>
      <w:r>
        <w:rPr>
          <w:rFonts w:ascii="宋体" w:hAnsi="宋体" w:eastAsia="宋体" w:cs="宋体"/>
          <w:spacing w:val="-83"/>
          <w:sz w:val="24"/>
          <w:szCs w:val="24"/>
        </w:rPr>
        <w:t xml:space="preserve"> </w:t>
      </w:r>
      <w:r>
        <w:rPr>
          <w:rFonts w:ascii="宋体" w:hAnsi="宋体" w:eastAsia="宋体" w:cs="宋体"/>
          <w:spacing w:val="-4"/>
          <w:sz w:val="24"/>
          <w:szCs w:val="24"/>
        </w:rPr>
        <w:t>电子交易平台</w:t>
      </w:r>
      <w:r>
        <w:rPr>
          <w:rFonts w:ascii="宋体" w:hAnsi="宋体" w:eastAsia="宋体" w:cs="宋体"/>
          <w:spacing w:val="-88"/>
          <w:sz w:val="24"/>
          <w:szCs w:val="24"/>
        </w:rPr>
        <w:t xml:space="preserve"> </w:t>
      </w:r>
      <w:r>
        <w:rPr>
          <w:rFonts w:ascii="宋体" w:hAnsi="宋体" w:eastAsia="宋体" w:cs="宋体"/>
          <w:spacing w:val="-4"/>
          <w:sz w:val="24"/>
          <w:szCs w:val="24"/>
        </w:rPr>
        <w:t>”自带的“投标文件制作</w:t>
      </w:r>
      <w:r>
        <w:rPr>
          <w:rFonts w:ascii="宋体" w:hAnsi="宋体" w:eastAsia="宋体" w:cs="宋体"/>
          <w:spacing w:val="-5"/>
          <w:sz w:val="24"/>
          <w:szCs w:val="24"/>
        </w:rPr>
        <w:t>工具</w:t>
      </w:r>
      <w:r>
        <w:rPr>
          <w:rFonts w:ascii="宋体" w:hAnsi="宋体" w:eastAsia="宋体" w:cs="宋体"/>
          <w:spacing w:val="-88"/>
          <w:sz w:val="24"/>
          <w:szCs w:val="24"/>
        </w:rPr>
        <w:t xml:space="preserve"> </w:t>
      </w:r>
      <w:r>
        <w:rPr>
          <w:rFonts w:ascii="宋体" w:hAnsi="宋体" w:eastAsia="宋体" w:cs="宋体"/>
          <w:spacing w:val="-5"/>
          <w:sz w:val="24"/>
          <w:szCs w:val="24"/>
        </w:rPr>
        <w:t>”制作生</w:t>
      </w:r>
      <w:r>
        <w:rPr>
          <w:rFonts w:ascii="宋体" w:hAnsi="宋体" w:eastAsia="宋体" w:cs="宋体"/>
          <w:spacing w:val="-6"/>
          <w:sz w:val="24"/>
          <w:szCs w:val="24"/>
        </w:rPr>
        <w:t>成。</w:t>
      </w:r>
    </w:p>
    <w:p w14:paraId="5A63A6D2">
      <w:pPr>
        <w:spacing w:line="219" w:lineRule="auto"/>
        <w:ind w:left="530"/>
        <w:rPr>
          <w:rFonts w:ascii="宋体" w:hAnsi="宋体" w:eastAsia="宋体" w:cs="宋体"/>
          <w:sz w:val="24"/>
          <w:szCs w:val="24"/>
        </w:rPr>
      </w:pPr>
      <w:r>
        <w:rPr>
          <w:rFonts w:ascii="宋体" w:hAnsi="宋体" w:eastAsia="宋体" w:cs="宋体"/>
          <w:spacing w:val="-1"/>
          <w:sz w:val="24"/>
          <w:szCs w:val="24"/>
        </w:rPr>
        <w:t>(2)投标人在编制投标文件时应建立分级</w:t>
      </w:r>
      <w:r>
        <w:rPr>
          <w:rFonts w:ascii="宋体" w:hAnsi="宋体" w:eastAsia="宋体" w:cs="宋体"/>
          <w:spacing w:val="-2"/>
          <w:sz w:val="24"/>
          <w:szCs w:val="24"/>
        </w:rPr>
        <w:t>目录，并按照标签提示导入相关内容。</w:t>
      </w:r>
    </w:p>
    <w:p w14:paraId="1D5BD9F2">
      <w:pPr>
        <w:spacing w:before="181" w:line="359" w:lineRule="auto"/>
        <w:ind w:left="7" w:right="147" w:firstLine="523"/>
        <w:rPr>
          <w:rFonts w:ascii="宋体" w:hAnsi="宋体" w:eastAsia="宋体" w:cs="宋体"/>
          <w:sz w:val="24"/>
          <w:szCs w:val="24"/>
        </w:rPr>
      </w:pPr>
      <w:r>
        <w:rPr>
          <w:rFonts w:ascii="宋体" w:hAnsi="宋体" w:eastAsia="宋体" w:cs="宋体"/>
          <w:spacing w:val="-1"/>
          <w:sz w:val="24"/>
          <w:szCs w:val="24"/>
        </w:rPr>
        <w:t>(3)投标文件中的已标价工程量清单数据文件</w:t>
      </w:r>
      <w:r>
        <w:rPr>
          <w:rFonts w:ascii="宋体" w:hAnsi="宋体" w:eastAsia="宋体" w:cs="宋体"/>
          <w:spacing w:val="-2"/>
          <w:sz w:val="24"/>
          <w:szCs w:val="24"/>
        </w:rPr>
        <w:t>应与招标人提供的工程量清单数据文件格式一致。</w:t>
      </w:r>
    </w:p>
    <w:p w14:paraId="3EBC44E5">
      <w:pPr>
        <w:spacing w:line="359" w:lineRule="auto"/>
        <w:ind w:left="9" w:firstLine="521"/>
        <w:rPr>
          <w:rFonts w:ascii="宋体" w:hAnsi="宋体" w:eastAsia="宋体" w:cs="宋体"/>
          <w:sz w:val="24"/>
          <w:szCs w:val="24"/>
        </w:rPr>
      </w:pPr>
      <w:r>
        <w:rPr>
          <w:rFonts w:ascii="宋体" w:hAnsi="宋体" w:eastAsia="宋体" w:cs="宋体"/>
          <w:spacing w:val="-4"/>
          <w:sz w:val="24"/>
          <w:szCs w:val="24"/>
        </w:rPr>
        <w:t>(4)投标文件中需签名（签字）的，投标人应按要求使用个人电子签名章进行签名。</w:t>
      </w:r>
      <w:r>
        <w:rPr>
          <w:rFonts w:ascii="宋体" w:hAnsi="宋体" w:eastAsia="宋体" w:cs="宋体"/>
          <w:spacing w:val="-2"/>
          <w:sz w:val="24"/>
          <w:szCs w:val="24"/>
        </w:rPr>
        <w:t>如投标人法定代表人或其委托代理人或项目负责人（以及备选人，如有）、项目技术负责人（以及备选人，如有）未办理个人电子签名章的，投标人应打印需要签名的相关页</w:t>
      </w:r>
      <w:r>
        <w:rPr>
          <w:rFonts w:ascii="宋体" w:hAnsi="宋体" w:eastAsia="宋体" w:cs="宋体"/>
          <w:spacing w:val="-1"/>
          <w:sz w:val="24"/>
          <w:szCs w:val="24"/>
        </w:rPr>
        <w:t>面，本人亲笔签名后扫描上传至投标文件相应位置中。</w:t>
      </w:r>
    </w:p>
    <w:p w14:paraId="23178852">
      <w:pPr>
        <w:spacing w:before="3" w:line="359" w:lineRule="auto"/>
        <w:ind w:left="10" w:right="80" w:firstLine="520"/>
        <w:rPr>
          <w:rFonts w:ascii="宋体" w:hAnsi="宋体" w:eastAsia="宋体" w:cs="宋体"/>
          <w:sz w:val="24"/>
          <w:szCs w:val="24"/>
        </w:rPr>
      </w:pPr>
      <w:r>
        <w:rPr>
          <w:rFonts w:ascii="宋体" w:hAnsi="宋体" w:eastAsia="宋体" w:cs="宋体"/>
          <w:spacing w:val="-1"/>
          <w:sz w:val="24"/>
          <w:szCs w:val="24"/>
        </w:rPr>
        <w:t>(5)投标文件制作完成后，投标人应使用</w:t>
      </w:r>
      <w:r>
        <w:rPr>
          <w:rFonts w:ascii="宋体" w:hAnsi="宋体" w:eastAsia="宋体" w:cs="宋体"/>
          <w:spacing w:val="-2"/>
          <w:sz w:val="24"/>
          <w:szCs w:val="24"/>
        </w:rPr>
        <w:t>CA</w:t>
      </w:r>
      <w:r>
        <w:rPr>
          <w:rFonts w:ascii="宋体" w:hAnsi="宋体" w:eastAsia="宋体" w:cs="宋体"/>
          <w:spacing w:val="-49"/>
          <w:sz w:val="24"/>
          <w:szCs w:val="24"/>
        </w:rPr>
        <w:t xml:space="preserve"> </w:t>
      </w:r>
      <w:r>
        <w:rPr>
          <w:rFonts w:ascii="宋体" w:hAnsi="宋体" w:eastAsia="宋体" w:cs="宋体"/>
          <w:spacing w:val="-2"/>
          <w:sz w:val="24"/>
          <w:szCs w:val="24"/>
        </w:rPr>
        <w:t>数字证书对投标文件进行文件加密，形成加密的投标文件。</w:t>
      </w:r>
    </w:p>
    <w:p w14:paraId="0DB508D3">
      <w:pPr>
        <w:spacing w:before="3" w:line="358" w:lineRule="auto"/>
        <w:ind w:left="9" w:right="80" w:firstLine="483"/>
        <w:jc w:val="both"/>
        <w:rPr>
          <w:rFonts w:ascii="宋体" w:hAnsi="宋体" w:eastAsia="宋体" w:cs="宋体"/>
          <w:sz w:val="24"/>
          <w:szCs w:val="24"/>
        </w:rPr>
      </w:pPr>
      <w:r>
        <w:rPr>
          <w:rFonts w:ascii="宋体" w:hAnsi="宋体" w:eastAsia="宋体" w:cs="宋体"/>
          <w:spacing w:val="-3"/>
          <w:sz w:val="24"/>
          <w:szCs w:val="24"/>
        </w:rPr>
        <w:t>3.7.4</w:t>
      </w:r>
      <w:r>
        <w:rPr>
          <w:rFonts w:ascii="宋体" w:hAnsi="宋体" w:eastAsia="宋体" w:cs="宋体"/>
          <w:spacing w:val="-24"/>
          <w:sz w:val="24"/>
          <w:szCs w:val="24"/>
        </w:rPr>
        <w:t xml:space="preserve"> </w:t>
      </w:r>
      <w:r>
        <w:rPr>
          <w:rFonts w:ascii="宋体" w:hAnsi="宋体" w:eastAsia="宋体" w:cs="宋体"/>
          <w:spacing w:val="-3"/>
          <w:sz w:val="24"/>
          <w:szCs w:val="24"/>
        </w:rPr>
        <w:t>因投标人自身原因而导致投标文件无法导入“</w:t>
      </w:r>
      <w:r>
        <w:rPr>
          <w:rFonts w:ascii="宋体" w:hAnsi="宋体" w:eastAsia="宋体" w:cs="宋体"/>
          <w:spacing w:val="-82"/>
          <w:sz w:val="24"/>
          <w:szCs w:val="24"/>
        </w:rPr>
        <w:t xml:space="preserve"> </w:t>
      </w:r>
      <w:r>
        <w:rPr>
          <w:rFonts w:ascii="宋体" w:hAnsi="宋体" w:eastAsia="宋体" w:cs="宋体"/>
          <w:spacing w:val="-3"/>
          <w:sz w:val="24"/>
          <w:szCs w:val="24"/>
        </w:rPr>
        <w:t>电子交易平台</w:t>
      </w:r>
      <w:r>
        <w:rPr>
          <w:rFonts w:ascii="宋体" w:hAnsi="宋体" w:eastAsia="宋体" w:cs="宋体"/>
          <w:spacing w:val="-88"/>
          <w:sz w:val="24"/>
          <w:szCs w:val="24"/>
        </w:rPr>
        <w:t xml:space="preserve"> </w:t>
      </w:r>
      <w:r>
        <w:rPr>
          <w:rFonts w:ascii="宋体" w:hAnsi="宋体" w:eastAsia="宋体" w:cs="宋体"/>
          <w:spacing w:val="-3"/>
          <w:sz w:val="24"/>
          <w:szCs w:val="24"/>
        </w:rPr>
        <w:t>”电子开标、评</w:t>
      </w:r>
      <w:r>
        <w:rPr>
          <w:rFonts w:ascii="宋体" w:hAnsi="宋体" w:eastAsia="宋体" w:cs="宋体"/>
          <w:spacing w:val="-2"/>
          <w:sz w:val="24"/>
          <w:szCs w:val="24"/>
        </w:rPr>
        <w:t>标系统，该投标视为无效投标，投标人自行承担由此导致的全部责任。投标文件其他要</w:t>
      </w:r>
      <w:r>
        <w:rPr>
          <w:rFonts w:ascii="宋体" w:hAnsi="宋体" w:eastAsia="宋体" w:cs="宋体"/>
          <w:spacing w:val="-1"/>
          <w:sz w:val="24"/>
          <w:szCs w:val="24"/>
        </w:rPr>
        <w:t>求见投标人须知前附表。</w:t>
      </w:r>
    </w:p>
    <w:p w14:paraId="26DAC46F">
      <w:pPr>
        <w:spacing w:line="220" w:lineRule="auto"/>
        <w:ind w:left="7"/>
        <w:rPr>
          <w:rFonts w:ascii="宋体" w:hAnsi="宋体" w:eastAsia="宋体" w:cs="宋体"/>
          <w:b/>
          <w:bCs/>
          <w:spacing w:val="-5"/>
          <w:sz w:val="24"/>
          <w:szCs w:val="24"/>
        </w:rPr>
      </w:pPr>
    </w:p>
    <w:p w14:paraId="1AFD4DA9">
      <w:pPr>
        <w:spacing w:line="220" w:lineRule="auto"/>
        <w:ind w:left="7"/>
        <w:rPr>
          <w:rFonts w:ascii="宋体" w:hAnsi="宋体" w:eastAsia="宋体" w:cs="宋体"/>
          <w:sz w:val="24"/>
          <w:szCs w:val="24"/>
        </w:rPr>
      </w:pPr>
      <w:r>
        <w:rPr>
          <w:rFonts w:ascii="宋体" w:hAnsi="宋体" w:eastAsia="宋体" w:cs="宋体"/>
          <w:b/>
          <w:bCs/>
          <w:spacing w:val="-5"/>
          <w:sz w:val="24"/>
          <w:szCs w:val="24"/>
        </w:rPr>
        <w:t>4.投标</w:t>
      </w:r>
    </w:p>
    <w:p w14:paraId="1518C172">
      <w:pPr>
        <w:spacing w:before="180" w:line="219" w:lineRule="auto"/>
        <w:ind w:left="7"/>
        <w:rPr>
          <w:rFonts w:ascii="宋体" w:hAnsi="宋体" w:eastAsia="宋体" w:cs="宋体"/>
          <w:sz w:val="24"/>
          <w:szCs w:val="24"/>
        </w:rPr>
      </w:pPr>
      <w:r>
        <w:rPr>
          <w:rFonts w:ascii="宋体" w:hAnsi="宋体" w:eastAsia="宋体" w:cs="宋体"/>
          <w:b/>
          <w:bCs/>
          <w:spacing w:val="-3"/>
          <w:sz w:val="24"/>
          <w:szCs w:val="24"/>
        </w:rPr>
        <w:t>4.1</w:t>
      </w:r>
      <w:r>
        <w:rPr>
          <w:rFonts w:ascii="宋体" w:hAnsi="宋体" w:eastAsia="宋体" w:cs="宋体"/>
          <w:spacing w:val="-3"/>
          <w:sz w:val="24"/>
          <w:szCs w:val="24"/>
        </w:rPr>
        <w:t xml:space="preserve"> </w:t>
      </w:r>
      <w:r>
        <w:rPr>
          <w:rFonts w:ascii="宋体" w:hAnsi="宋体" w:eastAsia="宋体" w:cs="宋体"/>
          <w:b/>
          <w:bCs/>
          <w:spacing w:val="-3"/>
          <w:sz w:val="24"/>
          <w:szCs w:val="24"/>
        </w:rPr>
        <w:t>投标文件的加密</w:t>
      </w:r>
    </w:p>
    <w:p w14:paraId="78F1FAD1">
      <w:pPr>
        <w:spacing w:before="3" w:line="358" w:lineRule="auto"/>
        <w:ind w:left="9" w:right="80" w:firstLine="483"/>
        <w:jc w:val="both"/>
        <w:rPr>
          <w:rFonts w:ascii="宋体" w:hAnsi="宋体" w:eastAsia="宋体" w:cs="宋体"/>
          <w:b/>
          <w:bCs/>
          <w:spacing w:val="-3"/>
          <w:sz w:val="24"/>
          <w:szCs w:val="24"/>
        </w:rPr>
      </w:pPr>
      <w:r>
        <w:rPr>
          <w:rFonts w:ascii="宋体" w:hAnsi="宋体" w:eastAsia="宋体" w:cs="宋体"/>
          <w:spacing w:val="-3"/>
          <w:sz w:val="24"/>
          <w:szCs w:val="24"/>
        </w:rPr>
        <w:t>投标文件应按照本章第 3.7.3 项要求制作并加密，未按要求加密的投标文件，招标人（ “ 电子交易平台 ”）将拒绝接收并提示。</w:t>
      </w:r>
    </w:p>
    <w:p w14:paraId="24DA74CD">
      <w:pPr>
        <w:spacing w:before="180" w:line="219" w:lineRule="auto"/>
        <w:ind w:left="7"/>
        <w:rPr>
          <w:rFonts w:ascii="宋体" w:hAnsi="宋体" w:eastAsia="宋体" w:cs="宋体"/>
          <w:sz w:val="24"/>
          <w:szCs w:val="24"/>
        </w:rPr>
      </w:pPr>
      <w:r>
        <w:rPr>
          <w:rFonts w:ascii="宋体" w:hAnsi="宋体" w:eastAsia="宋体" w:cs="宋体"/>
          <w:b/>
          <w:bCs/>
          <w:spacing w:val="-3"/>
          <w:sz w:val="24"/>
          <w:szCs w:val="24"/>
        </w:rPr>
        <w:t>4.2</w:t>
      </w:r>
      <w:r>
        <w:rPr>
          <w:rFonts w:ascii="宋体" w:hAnsi="宋体" w:eastAsia="宋体" w:cs="宋体"/>
          <w:spacing w:val="-3"/>
          <w:sz w:val="24"/>
          <w:szCs w:val="24"/>
        </w:rPr>
        <w:t xml:space="preserve"> </w:t>
      </w:r>
      <w:r>
        <w:rPr>
          <w:rFonts w:ascii="宋体" w:hAnsi="宋体" w:eastAsia="宋体" w:cs="宋体"/>
          <w:b/>
          <w:bCs/>
          <w:spacing w:val="-3"/>
          <w:sz w:val="24"/>
          <w:szCs w:val="24"/>
        </w:rPr>
        <w:t>投标文件的递交</w:t>
      </w:r>
    </w:p>
    <w:p w14:paraId="5E3837D4">
      <w:pPr>
        <w:spacing w:before="181" w:line="359" w:lineRule="auto"/>
        <w:ind w:left="10" w:right="167" w:firstLine="477"/>
        <w:rPr>
          <w:rFonts w:ascii="宋体" w:hAnsi="宋体" w:eastAsia="宋体" w:cs="宋体"/>
          <w:sz w:val="24"/>
          <w:szCs w:val="24"/>
        </w:rPr>
      </w:pPr>
      <w:r>
        <w:rPr>
          <w:rFonts w:ascii="宋体" w:hAnsi="宋体" w:eastAsia="宋体" w:cs="宋体"/>
          <w:spacing w:val="-3"/>
          <w:sz w:val="24"/>
          <w:szCs w:val="24"/>
        </w:rPr>
        <w:t>4.2.1</w:t>
      </w:r>
      <w:r>
        <w:rPr>
          <w:rFonts w:ascii="宋体" w:hAnsi="宋体" w:eastAsia="宋体" w:cs="宋体"/>
          <w:spacing w:val="-45"/>
          <w:sz w:val="24"/>
          <w:szCs w:val="24"/>
        </w:rPr>
        <w:t xml:space="preserve"> </w:t>
      </w:r>
      <w:r>
        <w:rPr>
          <w:rFonts w:ascii="宋体" w:hAnsi="宋体" w:eastAsia="宋体" w:cs="宋体"/>
          <w:spacing w:val="-3"/>
          <w:sz w:val="24"/>
          <w:szCs w:val="24"/>
        </w:rPr>
        <w:t>投标人应在第一章“招标公告</w:t>
      </w:r>
      <w:r>
        <w:rPr>
          <w:rFonts w:ascii="宋体" w:hAnsi="宋体" w:eastAsia="宋体" w:cs="宋体"/>
          <w:spacing w:val="-88"/>
          <w:sz w:val="24"/>
          <w:szCs w:val="24"/>
        </w:rPr>
        <w:t xml:space="preserve"> </w:t>
      </w:r>
      <w:r>
        <w:rPr>
          <w:rFonts w:ascii="宋体" w:hAnsi="宋体" w:eastAsia="宋体" w:cs="宋体"/>
          <w:spacing w:val="-3"/>
          <w:sz w:val="24"/>
          <w:szCs w:val="24"/>
        </w:rPr>
        <w:t>”规定的投标截止时间前，通过互联网使用</w:t>
      </w:r>
      <w:r>
        <w:rPr>
          <w:rFonts w:ascii="宋体" w:hAnsi="宋体" w:eastAsia="宋体" w:cs="宋体"/>
          <w:spacing w:val="-53"/>
          <w:sz w:val="24"/>
          <w:szCs w:val="24"/>
        </w:rPr>
        <w:t xml:space="preserve"> </w:t>
      </w:r>
      <w:r>
        <w:rPr>
          <w:rFonts w:ascii="宋体" w:hAnsi="宋体" w:eastAsia="宋体" w:cs="宋体"/>
          <w:spacing w:val="-3"/>
          <w:sz w:val="24"/>
          <w:szCs w:val="24"/>
        </w:rPr>
        <w:t>CA</w:t>
      </w:r>
      <w:r>
        <w:rPr>
          <w:rFonts w:ascii="宋体" w:hAnsi="宋体" w:eastAsia="宋体" w:cs="宋体"/>
          <w:spacing w:val="-4"/>
          <w:sz w:val="24"/>
          <w:szCs w:val="24"/>
        </w:rPr>
        <w:t>数字证书登录“</w:t>
      </w:r>
      <w:r>
        <w:rPr>
          <w:rFonts w:ascii="宋体" w:hAnsi="宋体" w:eastAsia="宋体" w:cs="宋体"/>
          <w:spacing w:val="-66"/>
          <w:sz w:val="24"/>
          <w:szCs w:val="24"/>
        </w:rPr>
        <w:t xml:space="preserve"> </w:t>
      </w:r>
      <w:r>
        <w:rPr>
          <w:rFonts w:ascii="宋体" w:hAnsi="宋体" w:eastAsia="宋体" w:cs="宋体"/>
          <w:spacing w:val="-4"/>
          <w:sz w:val="24"/>
          <w:szCs w:val="24"/>
        </w:rPr>
        <w:t>电子交易平台</w:t>
      </w:r>
      <w:r>
        <w:rPr>
          <w:rFonts w:ascii="宋体" w:hAnsi="宋体" w:eastAsia="宋体" w:cs="宋体"/>
          <w:spacing w:val="-88"/>
          <w:sz w:val="24"/>
          <w:szCs w:val="24"/>
        </w:rPr>
        <w:t xml:space="preserve"> </w:t>
      </w:r>
      <w:r>
        <w:rPr>
          <w:rFonts w:ascii="宋体" w:hAnsi="宋体" w:eastAsia="宋体" w:cs="宋体"/>
          <w:spacing w:val="-4"/>
          <w:sz w:val="24"/>
          <w:szCs w:val="24"/>
        </w:rPr>
        <w:t>”，将加密的投标文件上传，并保存上传成功后系统自动</w:t>
      </w:r>
      <w:r>
        <w:rPr>
          <w:rFonts w:ascii="宋体" w:hAnsi="宋体" w:eastAsia="宋体" w:cs="宋体"/>
          <w:spacing w:val="-1"/>
          <w:sz w:val="24"/>
          <w:szCs w:val="24"/>
        </w:rPr>
        <w:t>生成的电子签收凭证，递交时间即为电子签收凭证时间。</w:t>
      </w:r>
    </w:p>
    <w:p w14:paraId="46D48CBD">
      <w:pPr>
        <w:spacing w:line="359" w:lineRule="auto"/>
        <w:ind w:left="9" w:right="167" w:firstLine="478"/>
        <w:rPr>
          <w:rFonts w:ascii="宋体" w:hAnsi="宋体" w:eastAsia="宋体" w:cs="宋体"/>
          <w:sz w:val="24"/>
          <w:szCs w:val="24"/>
        </w:rPr>
      </w:pPr>
      <w:r>
        <w:rPr>
          <w:rFonts w:ascii="宋体" w:hAnsi="宋体" w:eastAsia="宋体" w:cs="宋体"/>
          <w:spacing w:val="-1"/>
          <w:sz w:val="24"/>
          <w:szCs w:val="24"/>
        </w:rPr>
        <w:t>4.2.2</w:t>
      </w:r>
      <w:r>
        <w:rPr>
          <w:rFonts w:ascii="宋体" w:hAnsi="宋体" w:eastAsia="宋体" w:cs="宋体"/>
          <w:spacing w:val="-25"/>
          <w:sz w:val="24"/>
          <w:szCs w:val="24"/>
        </w:rPr>
        <w:t xml:space="preserve"> </w:t>
      </w:r>
      <w:r>
        <w:rPr>
          <w:rFonts w:ascii="宋体" w:hAnsi="宋体" w:eastAsia="宋体" w:cs="宋体"/>
          <w:spacing w:val="-1"/>
          <w:sz w:val="24"/>
          <w:szCs w:val="24"/>
        </w:rPr>
        <w:t>投标人应充分考虑上传文件时的不可预见因素，未在投标截止时间前完成电</w:t>
      </w:r>
      <w:r>
        <w:rPr>
          <w:rFonts w:ascii="宋体" w:hAnsi="宋体" w:eastAsia="宋体" w:cs="宋体"/>
          <w:spacing w:val="-3"/>
          <w:sz w:val="24"/>
          <w:szCs w:val="24"/>
        </w:rPr>
        <w:t>子投标文件上传的，视为逾期送达，招标人（</w:t>
      </w:r>
      <w:r>
        <w:rPr>
          <w:rFonts w:ascii="宋体" w:hAnsi="宋体" w:eastAsia="宋体" w:cs="宋体"/>
          <w:spacing w:val="-85"/>
          <w:sz w:val="24"/>
          <w:szCs w:val="24"/>
        </w:rPr>
        <w:t xml:space="preserve"> </w:t>
      </w:r>
      <w:r>
        <w:rPr>
          <w:rFonts w:ascii="宋体" w:hAnsi="宋体" w:eastAsia="宋体" w:cs="宋体"/>
          <w:spacing w:val="-3"/>
          <w:sz w:val="24"/>
          <w:szCs w:val="24"/>
        </w:rPr>
        <w:t>“</w:t>
      </w:r>
      <w:r>
        <w:rPr>
          <w:rFonts w:ascii="宋体" w:hAnsi="宋体" w:eastAsia="宋体" w:cs="宋体"/>
          <w:spacing w:val="-83"/>
          <w:sz w:val="24"/>
          <w:szCs w:val="24"/>
        </w:rPr>
        <w:t xml:space="preserve"> </w:t>
      </w:r>
      <w:r>
        <w:rPr>
          <w:rFonts w:ascii="宋体" w:hAnsi="宋体" w:eastAsia="宋体" w:cs="宋体"/>
          <w:spacing w:val="-3"/>
          <w:sz w:val="24"/>
          <w:szCs w:val="24"/>
        </w:rPr>
        <w:t>电子交</w:t>
      </w:r>
      <w:r>
        <w:rPr>
          <w:rFonts w:ascii="宋体" w:hAnsi="宋体" w:eastAsia="宋体" w:cs="宋体"/>
          <w:spacing w:val="-4"/>
          <w:sz w:val="24"/>
          <w:szCs w:val="24"/>
        </w:rPr>
        <w:t>易平台</w:t>
      </w:r>
      <w:r>
        <w:rPr>
          <w:rFonts w:ascii="宋体" w:hAnsi="宋体" w:eastAsia="宋体" w:cs="宋体"/>
          <w:spacing w:val="-88"/>
          <w:sz w:val="24"/>
          <w:szCs w:val="24"/>
        </w:rPr>
        <w:t xml:space="preserve"> </w:t>
      </w:r>
      <w:r>
        <w:rPr>
          <w:rFonts w:ascii="宋体" w:hAnsi="宋体" w:eastAsia="宋体" w:cs="宋体"/>
          <w:spacing w:val="-4"/>
          <w:sz w:val="24"/>
          <w:szCs w:val="24"/>
        </w:rPr>
        <w:t>”）将拒绝接收。</w:t>
      </w:r>
    </w:p>
    <w:p w14:paraId="0E7B0DB4">
      <w:pPr>
        <w:spacing w:line="219" w:lineRule="auto"/>
        <w:ind w:left="487"/>
        <w:rPr>
          <w:rFonts w:ascii="宋体" w:hAnsi="宋体" w:eastAsia="宋体" w:cs="宋体"/>
          <w:sz w:val="24"/>
          <w:szCs w:val="24"/>
        </w:rPr>
      </w:pPr>
      <w:r>
        <w:rPr>
          <w:rFonts w:ascii="宋体" w:hAnsi="宋体" w:eastAsia="宋体" w:cs="宋体"/>
          <w:spacing w:val="-1"/>
          <w:sz w:val="24"/>
          <w:szCs w:val="24"/>
        </w:rPr>
        <w:t>4.2.3 投标人所递交的电子投标文件不予退还。</w:t>
      </w:r>
    </w:p>
    <w:p w14:paraId="40BFABD2">
      <w:pPr>
        <w:spacing w:before="182" w:line="219" w:lineRule="auto"/>
        <w:ind w:left="487"/>
        <w:rPr>
          <w:rFonts w:ascii="宋体" w:hAnsi="宋体" w:eastAsia="宋体" w:cs="宋体"/>
          <w:sz w:val="24"/>
          <w:szCs w:val="24"/>
        </w:rPr>
      </w:pPr>
      <w:r>
        <w:rPr>
          <w:rFonts w:ascii="宋体" w:hAnsi="宋体" w:eastAsia="宋体" w:cs="宋体"/>
          <w:spacing w:val="-1"/>
          <w:sz w:val="24"/>
          <w:szCs w:val="24"/>
        </w:rPr>
        <w:t>4.2.4</w:t>
      </w:r>
      <w:r>
        <w:rPr>
          <w:rFonts w:ascii="宋体" w:hAnsi="宋体" w:eastAsia="宋体" w:cs="宋体"/>
          <w:spacing w:val="-42"/>
          <w:sz w:val="24"/>
          <w:szCs w:val="24"/>
        </w:rPr>
        <w:t xml:space="preserve"> </w:t>
      </w:r>
      <w:r>
        <w:rPr>
          <w:rFonts w:ascii="宋体" w:hAnsi="宋体" w:eastAsia="宋体" w:cs="宋体"/>
          <w:spacing w:val="-1"/>
          <w:sz w:val="24"/>
          <w:szCs w:val="24"/>
        </w:rPr>
        <w:t>逾期到达或者未到达的投标文件视为放弃本次投标。</w:t>
      </w:r>
    </w:p>
    <w:p w14:paraId="0FBEEB78">
      <w:pPr>
        <w:spacing w:before="183" w:line="359" w:lineRule="auto"/>
        <w:ind w:left="9" w:firstLine="478"/>
        <w:rPr>
          <w:rFonts w:ascii="宋体" w:hAnsi="宋体" w:eastAsia="宋体" w:cs="宋体"/>
          <w:sz w:val="24"/>
          <w:szCs w:val="24"/>
        </w:rPr>
      </w:pPr>
      <w:r>
        <w:rPr>
          <w:rFonts w:ascii="宋体" w:hAnsi="宋体" w:eastAsia="宋体" w:cs="宋体"/>
          <w:spacing w:val="1"/>
          <w:sz w:val="24"/>
          <w:szCs w:val="24"/>
        </w:rPr>
        <w:t>4.2.5 在特殊情况下，招标人如果决定延后投标截止时间，应在“</w:t>
      </w:r>
      <w:r>
        <w:rPr>
          <w:rFonts w:ascii="宋体" w:hAnsi="宋体" w:eastAsia="宋体" w:cs="宋体"/>
          <w:spacing w:val="-83"/>
          <w:sz w:val="24"/>
          <w:szCs w:val="24"/>
        </w:rPr>
        <w:t xml:space="preserve"> </w:t>
      </w:r>
      <w:r>
        <w:rPr>
          <w:rFonts w:ascii="宋体" w:hAnsi="宋体" w:eastAsia="宋体" w:cs="宋体"/>
          <w:spacing w:val="1"/>
          <w:sz w:val="24"/>
          <w:szCs w:val="24"/>
        </w:rPr>
        <w:t>电子交易</w:t>
      </w:r>
      <w:r>
        <w:rPr>
          <w:rFonts w:ascii="宋体" w:hAnsi="宋体" w:eastAsia="宋体" w:cs="宋体"/>
          <w:sz w:val="24"/>
          <w:szCs w:val="24"/>
        </w:rPr>
        <w:t>平台</w:t>
      </w:r>
      <w:r>
        <w:rPr>
          <w:rFonts w:ascii="宋体" w:hAnsi="宋体" w:eastAsia="宋体" w:cs="宋体"/>
          <w:spacing w:val="-88"/>
          <w:sz w:val="24"/>
          <w:szCs w:val="24"/>
        </w:rPr>
        <w:t xml:space="preserve"> </w:t>
      </w:r>
      <w:r>
        <w:rPr>
          <w:rFonts w:ascii="宋体" w:hAnsi="宋体" w:eastAsia="宋体" w:cs="宋体"/>
          <w:sz w:val="24"/>
          <w:szCs w:val="24"/>
        </w:rPr>
        <w:t>”</w:t>
      </w:r>
      <w:r>
        <w:rPr>
          <w:rFonts w:ascii="宋体" w:hAnsi="宋体" w:eastAsia="宋体" w:cs="宋体"/>
          <w:spacing w:val="-2"/>
          <w:sz w:val="24"/>
          <w:szCs w:val="24"/>
        </w:rPr>
        <w:t>以补遗书的形式通知所有投标人延后投标截止时间。在此情况下，招标人和投标人的权</w:t>
      </w:r>
      <w:r>
        <w:rPr>
          <w:rFonts w:ascii="宋体" w:hAnsi="宋体" w:eastAsia="宋体" w:cs="宋体"/>
          <w:spacing w:val="-1"/>
          <w:sz w:val="24"/>
          <w:szCs w:val="24"/>
        </w:rPr>
        <w:t>利和义务相应延后至新的投标截止时间。</w:t>
      </w:r>
    </w:p>
    <w:p w14:paraId="606DAC6F">
      <w:pPr>
        <w:spacing w:before="1" w:line="219" w:lineRule="auto"/>
        <w:ind w:left="7"/>
        <w:rPr>
          <w:rFonts w:ascii="宋体" w:hAnsi="宋体" w:eastAsia="宋体" w:cs="宋体"/>
          <w:sz w:val="24"/>
          <w:szCs w:val="24"/>
        </w:rPr>
      </w:pPr>
      <w:r>
        <w:rPr>
          <w:rFonts w:ascii="宋体" w:hAnsi="宋体" w:eastAsia="宋体" w:cs="宋体"/>
          <w:b/>
          <w:bCs/>
          <w:spacing w:val="-2"/>
          <w:sz w:val="24"/>
          <w:szCs w:val="24"/>
        </w:rPr>
        <w:t>4.3</w:t>
      </w:r>
      <w:r>
        <w:rPr>
          <w:rFonts w:ascii="宋体" w:hAnsi="宋体" w:eastAsia="宋体" w:cs="宋体"/>
          <w:spacing w:val="-2"/>
          <w:sz w:val="24"/>
          <w:szCs w:val="24"/>
        </w:rPr>
        <w:t xml:space="preserve"> </w:t>
      </w:r>
      <w:r>
        <w:rPr>
          <w:rFonts w:ascii="宋体" w:hAnsi="宋体" w:eastAsia="宋体" w:cs="宋体"/>
          <w:b/>
          <w:bCs/>
          <w:spacing w:val="-2"/>
          <w:sz w:val="24"/>
          <w:szCs w:val="24"/>
        </w:rPr>
        <w:t>投标文件的修改与撤回</w:t>
      </w:r>
    </w:p>
    <w:p w14:paraId="4D3AA412">
      <w:pPr>
        <w:spacing w:before="182" w:line="359" w:lineRule="auto"/>
        <w:ind w:left="7" w:right="167" w:firstLine="480"/>
        <w:rPr>
          <w:rFonts w:ascii="宋体" w:hAnsi="宋体" w:eastAsia="宋体" w:cs="宋体"/>
          <w:sz w:val="24"/>
          <w:szCs w:val="24"/>
        </w:rPr>
      </w:pPr>
      <w:r>
        <w:rPr>
          <w:rFonts w:ascii="宋体" w:hAnsi="宋体" w:eastAsia="宋体" w:cs="宋体"/>
          <w:spacing w:val="1"/>
          <w:sz w:val="24"/>
          <w:szCs w:val="24"/>
        </w:rPr>
        <w:t>4.3.1</w:t>
      </w:r>
      <w:r>
        <w:rPr>
          <w:rFonts w:ascii="宋体" w:hAnsi="宋体" w:eastAsia="宋体" w:cs="宋体"/>
          <w:spacing w:val="-44"/>
          <w:sz w:val="24"/>
          <w:szCs w:val="24"/>
        </w:rPr>
        <w:t xml:space="preserve"> </w:t>
      </w:r>
      <w:r>
        <w:rPr>
          <w:rFonts w:ascii="宋体" w:hAnsi="宋体" w:eastAsia="宋体" w:cs="宋体"/>
          <w:spacing w:val="1"/>
          <w:sz w:val="24"/>
          <w:szCs w:val="24"/>
        </w:rPr>
        <w:t>在本章第4.2.1</w:t>
      </w:r>
      <w:r>
        <w:rPr>
          <w:rFonts w:ascii="宋体" w:hAnsi="宋体" w:eastAsia="宋体" w:cs="宋体"/>
          <w:spacing w:val="-47"/>
          <w:sz w:val="24"/>
          <w:szCs w:val="24"/>
        </w:rPr>
        <w:t xml:space="preserve"> </w:t>
      </w:r>
      <w:r>
        <w:rPr>
          <w:rFonts w:ascii="宋体" w:hAnsi="宋体" w:eastAsia="宋体" w:cs="宋体"/>
          <w:spacing w:val="1"/>
          <w:sz w:val="24"/>
          <w:szCs w:val="24"/>
        </w:rPr>
        <w:t>项规定的投标截止时间前，投标</w:t>
      </w:r>
      <w:r>
        <w:rPr>
          <w:rFonts w:ascii="宋体" w:hAnsi="宋体" w:eastAsia="宋体" w:cs="宋体"/>
          <w:sz w:val="24"/>
          <w:szCs w:val="24"/>
        </w:rPr>
        <w:t>人可以修改或撤回已递交的</w:t>
      </w:r>
      <w:r>
        <w:rPr>
          <w:rFonts w:ascii="宋体" w:hAnsi="宋体" w:eastAsia="宋体" w:cs="宋体"/>
          <w:spacing w:val="-3"/>
          <w:sz w:val="24"/>
          <w:szCs w:val="24"/>
        </w:rPr>
        <w:t>投标文件。投标人对加密的投标文件进行撤回的，</w:t>
      </w:r>
      <w:r>
        <w:rPr>
          <w:rFonts w:ascii="宋体" w:hAnsi="宋体" w:eastAsia="宋体" w:cs="宋体"/>
          <w:spacing w:val="-4"/>
          <w:sz w:val="24"/>
          <w:szCs w:val="24"/>
        </w:rPr>
        <w:t>应在“</w:t>
      </w:r>
      <w:r>
        <w:rPr>
          <w:rFonts w:ascii="宋体" w:hAnsi="宋体" w:eastAsia="宋体" w:cs="宋体"/>
          <w:spacing w:val="-85"/>
          <w:sz w:val="24"/>
          <w:szCs w:val="24"/>
        </w:rPr>
        <w:t xml:space="preserve"> </w:t>
      </w:r>
      <w:r>
        <w:rPr>
          <w:rFonts w:ascii="宋体" w:hAnsi="宋体" w:eastAsia="宋体" w:cs="宋体"/>
          <w:spacing w:val="-4"/>
          <w:sz w:val="24"/>
          <w:szCs w:val="24"/>
        </w:rPr>
        <w:t>电子交易平台</w:t>
      </w:r>
      <w:r>
        <w:rPr>
          <w:rFonts w:ascii="宋体" w:hAnsi="宋体" w:eastAsia="宋体" w:cs="宋体"/>
          <w:spacing w:val="-88"/>
          <w:sz w:val="24"/>
          <w:szCs w:val="24"/>
        </w:rPr>
        <w:t xml:space="preserve"> </w:t>
      </w:r>
      <w:r>
        <w:rPr>
          <w:rFonts w:ascii="宋体" w:hAnsi="宋体" w:eastAsia="宋体" w:cs="宋体"/>
          <w:spacing w:val="-4"/>
          <w:sz w:val="24"/>
          <w:szCs w:val="24"/>
        </w:rPr>
        <w:t>”直接进行撤回</w:t>
      </w:r>
      <w:r>
        <w:rPr>
          <w:rFonts w:ascii="宋体" w:hAnsi="宋体" w:eastAsia="宋体" w:cs="宋体"/>
          <w:sz w:val="24"/>
          <w:szCs w:val="24"/>
        </w:rPr>
        <w:t>操作；投标人对加密的投标文件进行修改的，应在投标</w:t>
      </w:r>
      <w:r>
        <w:rPr>
          <w:rFonts w:ascii="宋体" w:hAnsi="宋体" w:eastAsia="宋体" w:cs="宋体"/>
          <w:spacing w:val="-1"/>
          <w:sz w:val="24"/>
          <w:szCs w:val="24"/>
        </w:rPr>
        <w:t>截止时间前完成上传。</w:t>
      </w:r>
    </w:p>
    <w:p w14:paraId="1FEEA893">
      <w:pPr>
        <w:spacing w:before="1" w:line="359" w:lineRule="auto"/>
        <w:ind w:left="7" w:right="167" w:firstLine="480"/>
        <w:rPr>
          <w:rFonts w:ascii="宋体" w:hAnsi="宋体" w:eastAsia="宋体" w:cs="宋体"/>
          <w:sz w:val="24"/>
          <w:szCs w:val="24"/>
        </w:rPr>
      </w:pPr>
      <w:r>
        <w:rPr>
          <w:rFonts w:ascii="宋体" w:hAnsi="宋体" w:eastAsia="宋体" w:cs="宋体"/>
          <w:spacing w:val="-1"/>
          <w:sz w:val="24"/>
          <w:szCs w:val="24"/>
        </w:rPr>
        <w:t>4.3.2</w:t>
      </w:r>
      <w:r>
        <w:rPr>
          <w:rFonts w:ascii="宋体" w:hAnsi="宋体" w:eastAsia="宋体" w:cs="宋体"/>
          <w:spacing w:val="-48"/>
          <w:sz w:val="24"/>
          <w:szCs w:val="24"/>
        </w:rPr>
        <w:t xml:space="preserve"> </w:t>
      </w:r>
      <w:r>
        <w:rPr>
          <w:rFonts w:ascii="宋体" w:hAnsi="宋体" w:eastAsia="宋体" w:cs="宋体"/>
          <w:spacing w:val="-1"/>
          <w:sz w:val="24"/>
          <w:szCs w:val="24"/>
        </w:rPr>
        <w:t>投标人修改投标文件的，应使用“投标</w:t>
      </w:r>
      <w:r>
        <w:rPr>
          <w:rFonts w:ascii="宋体" w:hAnsi="宋体" w:eastAsia="宋体" w:cs="宋体"/>
          <w:spacing w:val="-2"/>
          <w:sz w:val="24"/>
          <w:szCs w:val="24"/>
        </w:rPr>
        <w:t>文件制作工具</w:t>
      </w:r>
      <w:r>
        <w:rPr>
          <w:rFonts w:ascii="宋体" w:hAnsi="宋体" w:eastAsia="宋体" w:cs="宋体"/>
          <w:spacing w:val="-88"/>
          <w:sz w:val="24"/>
          <w:szCs w:val="24"/>
        </w:rPr>
        <w:t xml:space="preserve"> </w:t>
      </w:r>
      <w:r>
        <w:rPr>
          <w:rFonts w:ascii="宋体" w:hAnsi="宋体" w:eastAsia="宋体" w:cs="宋体"/>
          <w:spacing w:val="-2"/>
          <w:sz w:val="24"/>
          <w:szCs w:val="24"/>
        </w:rPr>
        <w:t>”制作成完整的投标文</w:t>
      </w:r>
      <w:r>
        <w:rPr>
          <w:rFonts w:ascii="宋体" w:hAnsi="宋体" w:eastAsia="宋体" w:cs="宋体"/>
          <w:spacing w:val="-3"/>
          <w:sz w:val="24"/>
          <w:szCs w:val="24"/>
        </w:rPr>
        <w:t>件，并按照本章第</w:t>
      </w:r>
      <w:r>
        <w:rPr>
          <w:rFonts w:ascii="宋体" w:hAnsi="宋体" w:eastAsia="宋体" w:cs="宋体"/>
          <w:spacing w:val="-40"/>
          <w:sz w:val="24"/>
          <w:szCs w:val="24"/>
        </w:rPr>
        <w:t xml:space="preserve"> </w:t>
      </w:r>
      <w:r>
        <w:rPr>
          <w:rFonts w:ascii="宋体" w:hAnsi="宋体" w:eastAsia="宋体" w:cs="宋体"/>
          <w:spacing w:val="-3"/>
          <w:sz w:val="24"/>
          <w:szCs w:val="24"/>
        </w:rPr>
        <w:t>3</w:t>
      </w:r>
      <w:r>
        <w:rPr>
          <w:rFonts w:ascii="宋体" w:hAnsi="宋体" w:eastAsia="宋体" w:cs="宋体"/>
          <w:spacing w:val="-48"/>
          <w:sz w:val="24"/>
          <w:szCs w:val="24"/>
        </w:rPr>
        <w:t xml:space="preserve"> </w:t>
      </w:r>
      <w:r>
        <w:rPr>
          <w:rFonts w:ascii="宋体" w:hAnsi="宋体" w:eastAsia="宋体" w:cs="宋体"/>
          <w:spacing w:val="-3"/>
          <w:sz w:val="24"/>
          <w:szCs w:val="24"/>
        </w:rPr>
        <w:t>条、第</w:t>
      </w:r>
      <w:r>
        <w:rPr>
          <w:rFonts w:ascii="宋体" w:hAnsi="宋体" w:eastAsia="宋体" w:cs="宋体"/>
          <w:spacing w:val="-52"/>
          <w:sz w:val="24"/>
          <w:szCs w:val="24"/>
        </w:rPr>
        <w:t xml:space="preserve"> </w:t>
      </w:r>
      <w:r>
        <w:rPr>
          <w:rFonts w:ascii="宋体" w:hAnsi="宋体" w:eastAsia="宋体" w:cs="宋体"/>
          <w:spacing w:val="-3"/>
          <w:sz w:val="24"/>
          <w:szCs w:val="24"/>
        </w:rPr>
        <w:t>4</w:t>
      </w:r>
      <w:r>
        <w:rPr>
          <w:rFonts w:ascii="宋体" w:hAnsi="宋体" w:eastAsia="宋体" w:cs="宋体"/>
          <w:spacing w:val="-49"/>
          <w:sz w:val="24"/>
          <w:szCs w:val="24"/>
        </w:rPr>
        <w:t xml:space="preserve"> </w:t>
      </w:r>
      <w:r>
        <w:rPr>
          <w:rFonts w:ascii="宋体" w:hAnsi="宋体" w:eastAsia="宋体" w:cs="宋体"/>
          <w:spacing w:val="-3"/>
          <w:sz w:val="24"/>
          <w:szCs w:val="24"/>
        </w:rPr>
        <w:t>条规定进行编制、加密和递交。对采用网上递交的加密的</w:t>
      </w:r>
      <w:r>
        <w:rPr>
          <w:rFonts w:ascii="宋体" w:hAnsi="宋体" w:eastAsia="宋体" w:cs="宋体"/>
          <w:spacing w:val="-1"/>
          <w:sz w:val="24"/>
          <w:szCs w:val="24"/>
        </w:rPr>
        <w:t>投标文件，以投标截止时间前最后完成上传的文件为准。</w:t>
      </w:r>
    </w:p>
    <w:p w14:paraId="6DF348D8">
      <w:pPr>
        <w:spacing w:line="359" w:lineRule="auto"/>
        <w:ind w:left="34" w:right="235" w:firstLine="452"/>
        <w:rPr>
          <w:rFonts w:ascii="宋体" w:hAnsi="宋体" w:eastAsia="宋体" w:cs="宋体"/>
          <w:sz w:val="24"/>
          <w:szCs w:val="24"/>
        </w:rPr>
      </w:pPr>
      <w:r>
        <w:rPr>
          <w:rFonts w:ascii="宋体" w:hAnsi="宋体" w:eastAsia="宋体" w:cs="宋体"/>
          <w:spacing w:val="-2"/>
          <w:sz w:val="24"/>
          <w:szCs w:val="24"/>
        </w:rPr>
        <w:t>4.3.3 投标人撤回投标文件的，招标人自收到投标人撤回通知之日起 5</w:t>
      </w:r>
      <w:r>
        <w:rPr>
          <w:rFonts w:ascii="宋体" w:hAnsi="宋体" w:eastAsia="宋体" w:cs="宋体"/>
          <w:spacing w:val="68"/>
          <w:sz w:val="24"/>
          <w:szCs w:val="24"/>
        </w:rPr>
        <w:t xml:space="preserve"> </w:t>
      </w:r>
      <w:r>
        <w:rPr>
          <w:rFonts w:ascii="宋体" w:hAnsi="宋体" w:eastAsia="宋体" w:cs="宋体"/>
          <w:spacing w:val="-2"/>
          <w:sz w:val="24"/>
          <w:szCs w:val="24"/>
        </w:rPr>
        <w:t>日内退还</w:t>
      </w:r>
      <w:r>
        <w:rPr>
          <w:rFonts w:ascii="宋体" w:hAnsi="宋体" w:eastAsia="宋体" w:cs="宋体"/>
          <w:spacing w:val="-4"/>
          <w:sz w:val="24"/>
          <w:szCs w:val="24"/>
        </w:rPr>
        <w:t>已收取的投标保证金。</w:t>
      </w:r>
    </w:p>
    <w:p w14:paraId="708EC58B">
      <w:pPr>
        <w:spacing w:line="220" w:lineRule="auto"/>
        <w:ind w:left="13"/>
        <w:rPr>
          <w:rFonts w:ascii="宋体" w:hAnsi="宋体" w:eastAsia="宋体" w:cs="宋体"/>
          <w:sz w:val="24"/>
          <w:szCs w:val="24"/>
        </w:rPr>
      </w:pPr>
      <w:r>
        <w:rPr>
          <w:rFonts w:ascii="宋体" w:hAnsi="宋体" w:eastAsia="宋体" w:cs="宋体"/>
          <w:b/>
          <w:bCs/>
          <w:spacing w:val="-6"/>
          <w:sz w:val="24"/>
          <w:szCs w:val="24"/>
        </w:rPr>
        <w:t>5.开标</w:t>
      </w:r>
    </w:p>
    <w:p w14:paraId="48EE095E">
      <w:pPr>
        <w:spacing w:before="180" w:line="220" w:lineRule="auto"/>
        <w:ind w:left="13"/>
        <w:rPr>
          <w:rFonts w:ascii="宋体" w:hAnsi="宋体" w:eastAsia="宋体" w:cs="宋体"/>
          <w:sz w:val="24"/>
          <w:szCs w:val="24"/>
        </w:rPr>
      </w:pPr>
      <w:r>
        <w:rPr>
          <w:rFonts w:ascii="宋体" w:hAnsi="宋体" w:eastAsia="宋体" w:cs="宋体"/>
          <w:b/>
          <w:bCs/>
          <w:spacing w:val="-3"/>
          <w:sz w:val="24"/>
          <w:szCs w:val="24"/>
        </w:rPr>
        <w:t>5.1</w:t>
      </w:r>
      <w:r>
        <w:rPr>
          <w:rFonts w:ascii="宋体" w:hAnsi="宋体" w:eastAsia="宋体" w:cs="宋体"/>
          <w:spacing w:val="-3"/>
          <w:sz w:val="24"/>
          <w:szCs w:val="24"/>
        </w:rPr>
        <w:t xml:space="preserve"> </w:t>
      </w:r>
      <w:r>
        <w:rPr>
          <w:rFonts w:ascii="宋体" w:hAnsi="宋体" w:eastAsia="宋体" w:cs="宋体"/>
          <w:b/>
          <w:bCs/>
          <w:spacing w:val="-3"/>
          <w:sz w:val="24"/>
          <w:szCs w:val="24"/>
        </w:rPr>
        <w:t>开标时间和地点</w:t>
      </w:r>
    </w:p>
    <w:p w14:paraId="185EC91E">
      <w:pPr>
        <w:spacing w:before="181" w:line="359" w:lineRule="auto"/>
        <w:ind w:left="9" w:right="167" w:firstLine="483"/>
        <w:jc w:val="both"/>
        <w:rPr>
          <w:rFonts w:ascii="宋体" w:hAnsi="宋体" w:eastAsia="宋体" w:cs="宋体"/>
          <w:sz w:val="24"/>
          <w:szCs w:val="24"/>
        </w:rPr>
      </w:pPr>
      <w:r>
        <w:rPr>
          <w:rFonts w:ascii="宋体" w:hAnsi="宋体" w:eastAsia="宋体" w:cs="宋体"/>
          <w:spacing w:val="-1"/>
          <w:sz w:val="24"/>
          <w:szCs w:val="24"/>
        </w:rPr>
        <w:t>5.1.1</w:t>
      </w:r>
      <w:r>
        <w:rPr>
          <w:rFonts w:ascii="宋体" w:hAnsi="宋体" w:eastAsia="宋体" w:cs="宋体"/>
          <w:spacing w:val="-49"/>
          <w:sz w:val="24"/>
          <w:szCs w:val="24"/>
        </w:rPr>
        <w:t xml:space="preserve"> </w:t>
      </w:r>
      <w:r>
        <w:rPr>
          <w:rFonts w:ascii="宋体" w:hAnsi="宋体" w:eastAsia="宋体" w:cs="宋体"/>
          <w:spacing w:val="-1"/>
          <w:sz w:val="24"/>
          <w:szCs w:val="24"/>
        </w:rPr>
        <w:t>招标人在本章第</w:t>
      </w:r>
      <w:r>
        <w:rPr>
          <w:rFonts w:ascii="宋体" w:hAnsi="宋体" w:eastAsia="宋体" w:cs="宋体"/>
          <w:spacing w:val="-47"/>
          <w:sz w:val="24"/>
          <w:szCs w:val="24"/>
        </w:rPr>
        <w:t xml:space="preserve"> </w:t>
      </w:r>
      <w:r>
        <w:rPr>
          <w:rFonts w:ascii="宋体" w:hAnsi="宋体" w:eastAsia="宋体" w:cs="宋体"/>
          <w:spacing w:val="-1"/>
          <w:sz w:val="24"/>
          <w:szCs w:val="24"/>
        </w:rPr>
        <w:t>4.2.1</w:t>
      </w:r>
      <w:r>
        <w:rPr>
          <w:rFonts w:ascii="宋体" w:hAnsi="宋体" w:eastAsia="宋体" w:cs="宋体"/>
          <w:spacing w:val="-44"/>
          <w:sz w:val="24"/>
          <w:szCs w:val="24"/>
        </w:rPr>
        <w:t xml:space="preserve"> </w:t>
      </w:r>
      <w:r>
        <w:rPr>
          <w:rFonts w:ascii="宋体" w:hAnsi="宋体" w:eastAsia="宋体" w:cs="宋体"/>
          <w:spacing w:val="-1"/>
          <w:sz w:val="24"/>
          <w:szCs w:val="24"/>
        </w:rPr>
        <w:t>项规定的投标截止时间（开标时间</w:t>
      </w:r>
      <w:r>
        <w:rPr>
          <w:rFonts w:ascii="宋体" w:hAnsi="宋体" w:eastAsia="宋体" w:cs="宋体"/>
          <w:spacing w:val="-2"/>
          <w:sz w:val="24"/>
          <w:szCs w:val="24"/>
        </w:rPr>
        <w:t>）和投标人须知前附表规定的地点对收到的投标文件第一个信封（商务及技术文件）公开开标，并邀请所</w:t>
      </w:r>
      <w:r>
        <w:rPr>
          <w:rFonts w:ascii="宋体" w:hAnsi="宋体" w:eastAsia="宋体" w:cs="宋体"/>
          <w:spacing w:val="-1"/>
          <w:sz w:val="24"/>
          <w:szCs w:val="24"/>
        </w:rPr>
        <w:t>有投标人的法定代表人或其委托代理人准时参加。</w:t>
      </w:r>
    </w:p>
    <w:p w14:paraId="54164160">
      <w:pPr>
        <w:spacing w:line="359" w:lineRule="auto"/>
        <w:ind w:left="15" w:right="135" w:firstLine="473"/>
        <w:rPr>
          <w:rFonts w:ascii="宋体" w:hAnsi="宋体" w:eastAsia="宋体" w:cs="宋体"/>
          <w:sz w:val="24"/>
          <w:szCs w:val="24"/>
        </w:rPr>
      </w:pPr>
      <w:r>
        <w:rPr>
          <w:rFonts w:ascii="宋体" w:hAnsi="宋体" w:eastAsia="宋体" w:cs="宋体"/>
          <w:spacing w:val="-1"/>
          <w:sz w:val="24"/>
          <w:szCs w:val="24"/>
        </w:rPr>
        <w:t>招标人在投标人须知前附表规定的时间和地点对投标文件第二个信封（报价文件）公开开标，并邀请所有投标人的法定代表人或其委托代理人准时参加。</w:t>
      </w:r>
    </w:p>
    <w:p w14:paraId="32A2927F">
      <w:pPr>
        <w:spacing w:before="1" w:line="361" w:lineRule="auto"/>
        <w:ind w:left="8" w:right="167" w:firstLine="482"/>
        <w:rPr>
          <w:rFonts w:ascii="宋体" w:hAnsi="宋体" w:eastAsia="宋体" w:cs="宋体"/>
          <w:sz w:val="24"/>
          <w:szCs w:val="24"/>
        </w:rPr>
      </w:pPr>
      <w:r>
        <w:rPr>
          <w:rFonts w:ascii="宋体" w:hAnsi="宋体" w:eastAsia="宋体" w:cs="宋体"/>
          <w:spacing w:val="-2"/>
          <w:sz w:val="24"/>
          <w:szCs w:val="24"/>
        </w:rPr>
        <w:t>投标人若未派法定代表人或委托代理人参加第一个信封（商务及技术文件）开标或</w:t>
      </w:r>
      <w:r>
        <w:rPr>
          <w:rFonts w:ascii="宋体" w:hAnsi="宋体" w:eastAsia="宋体" w:cs="宋体"/>
          <w:spacing w:val="-1"/>
          <w:sz w:val="24"/>
          <w:szCs w:val="24"/>
        </w:rPr>
        <w:t>第二个信封（报价文件）开标的，视为该投标人默认开标结果。</w:t>
      </w:r>
    </w:p>
    <w:p w14:paraId="3600B623">
      <w:pPr>
        <w:spacing w:before="78" w:line="220" w:lineRule="auto"/>
        <w:ind w:left="13"/>
        <w:rPr>
          <w:rFonts w:ascii="宋体" w:hAnsi="宋体" w:eastAsia="宋体" w:cs="宋体"/>
          <w:sz w:val="24"/>
          <w:szCs w:val="24"/>
        </w:rPr>
      </w:pPr>
      <w:r>
        <w:rPr>
          <w:rFonts w:ascii="宋体" w:hAnsi="宋体" w:eastAsia="宋体" w:cs="宋体"/>
          <w:b/>
          <w:bCs/>
          <w:spacing w:val="-6"/>
          <w:sz w:val="24"/>
          <w:szCs w:val="24"/>
        </w:rPr>
        <w:t>5.2</w:t>
      </w:r>
      <w:r>
        <w:rPr>
          <w:rFonts w:ascii="宋体" w:hAnsi="宋体" w:eastAsia="宋体" w:cs="宋体"/>
          <w:spacing w:val="16"/>
          <w:sz w:val="24"/>
          <w:szCs w:val="24"/>
        </w:rPr>
        <w:t xml:space="preserve"> </w:t>
      </w:r>
      <w:r>
        <w:rPr>
          <w:rFonts w:ascii="宋体" w:hAnsi="宋体" w:eastAsia="宋体" w:cs="宋体"/>
          <w:b/>
          <w:bCs/>
          <w:spacing w:val="-6"/>
          <w:sz w:val="24"/>
          <w:szCs w:val="24"/>
        </w:rPr>
        <w:t>开标程序</w:t>
      </w:r>
    </w:p>
    <w:p w14:paraId="228046DE">
      <w:pPr>
        <w:spacing w:before="181" w:line="359" w:lineRule="auto"/>
        <w:ind w:left="9" w:right="99" w:firstLine="481"/>
        <w:jc w:val="both"/>
        <w:rPr>
          <w:rFonts w:ascii="宋体" w:hAnsi="宋体" w:eastAsia="宋体" w:cs="宋体"/>
          <w:sz w:val="24"/>
          <w:szCs w:val="24"/>
        </w:rPr>
      </w:pPr>
      <w:r>
        <w:rPr>
          <w:rFonts w:ascii="宋体" w:hAnsi="宋体" w:eastAsia="宋体" w:cs="宋体"/>
          <w:spacing w:val="-2"/>
          <w:sz w:val="24"/>
          <w:szCs w:val="24"/>
        </w:rPr>
        <w:t>投标截止时间前未完成投标文件传输的，或因投标人之外的原因造成投标文件未解密的，均视为投标人撤回其电子投标文件。因投标人原因造成投标文件未解密的或未在</w:t>
      </w:r>
      <w:r>
        <w:rPr>
          <w:rFonts w:ascii="宋体" w:hAnsi="宋体" w:eastAsia="宋体" w:cs="宋体"/>
          <w:sz w:val="24"/>
          <w:szCs w:val="24"/>
        </w:rPr>
        <w:t>投标截止时间后投标人须知前附表规定的解密时间内解密</w:t>
      </w:r>
      <w:r>
        <w:rPr>
          <w:rFonts w:ascii="宋体" w:hAnsi="宋体" w:eastAsia="宋体" w:cs="宋体"/>
          <w:spacing w:val="-1"/>
          <w:sz w:val="24"/>
          <w:szCs w:val="24"/>
        </w:rPr>
        <w:t>的，视为撤销其投标文件。</w:t>
      </w:r>
    </w:p>
    <w:p w14:paraId="014E51B5">
      <w:pPr>
        <w:spacing w:line="219" w:lineRule="auto"/>
        <w:ind w:left="493"/>
        <w:rPr>
          <w:rFonts w:ascii="宋体" w:hAnsi="宋体" w:eastAsia="宋体" w:cs="宋体"/>
          <w:sz w:val="24"/>
          <w:szCs w:val="24"/>
        </w:rPr>
      </w:pPr>
      <w:r>
        <w:rPr>
          <w:rFonts w:ascii="宋体" w:hAnsi="宋体" w:eastAsia="宋体" w:cs="宋体"/>
          <w:spacing w:val="-1"/>
          <w:sz w:val="24"/>
          <w:szCs w:val="24"/>
        </w:rPr>
        <w:t>5.2.1 投标文件第一个信封（商务及技术文件）开标</w:t>
      </w:r>
    </w:p>
    <w:p w14:paraId="290EDE92">
      <w:pPr>
        <w:spacing w:before="180" w:line="359" w:lineRule="auto"/>
        <w:ind w:left="6" w:firstLine="482"/>
        <w:rPr>
          <w:rFonts w:ascii="宋体" w:hAnsi="宋体" w:eastAsia="宋体" w:cs="宋体"/>
          <w:sz w:val="24"/>
          <w:szCs w:val="24"/>
        </w:rPr>
      </w:pPr>
      <w:r>
        <w:rPr>
          <w:rFonts w:ascii="宋体" w:hAnsi="宋体" w:eastAsia="宋体" w:cs="宋体"/>
          <w:spacing w:val="-2"/>
          <w:sz w:val="24"/>
          <w:szCs w:val="24"/>
        </w:rPr>
        <w:t>招标人将按照第5.1款规定的时间和地点对投标文件第一个信封</w:t>
      </w:r>
      <w:r>
        <w:rPr>
          <w:rFonts w:ascii="宋体" w:hAnsi="宋体" w:eastAsia="宋体" w:cs="宋体"/>
          <w:spacing w:val="-3"/>
          <w:sz w:val="24"/>
          <w:szCs w:val="24"/>
        </w:rPr>
        <w:t>（商务及技术文件）</w:t>
      </w:r>
      <w:r>
        <w:rPr>
          <w:rFonts w:ascii="宋体" w:hAnsi="宋体" w:eastAsia="宋体" w:cs="宋体"/>
          <w:spacing w:val="-1"/>
          <w:sz w:val="24"/>
          <w:szCs w:val="24"/>
        </w:rPr>
        <w:t>进行开标。开标程序：</w:t>
      </w:r>
    </w:p>
    <w:p w14:paraId="1FABBA71">
      <w:pPr>
        <w:spacing w:line="218" w:lineRule="auto"/>
        <w:ind w:left="499"/>
        <w:rPr>
          <w:rFonts w:ascii="宋体" w:hAnsi="宋体" w:eastAsia="宋体" w:cs="宋体"/>
          <w:sz w:val="24"/>
          <w:szCs w:val="24"/>
        </w:rPr>
      </w:pPr>
      <w:r>
        <w:rPr>
          <w:rFonts w:ascii="宋体" w:hAnsi="宋体" w:eastAsia="宋体" w:cs="宋体"/>
          <w:spacing w:val="-1"/>
          <w:sz w:val="24"/>
          <w:szCs w:val="24"/>
        </w:rPr>
        <w:t>（1）投标人代表持</w:t>
      </w:r>
      <w:r>
        <w:rPr>
          <w:rFonts w:ascii="宋体" w:hAnsi="宋体" w:eastAsia="宋体" w:cs="宋体"/>
          <w:spacing w:val="-53"/>
          <w:sz w:val="24"/>
          <w:szCs w:val="24"/>
        </w:rPr>
        <w:t xml:space="preserve"> </w:t>
      </w:r>
      <w:r>
        <w:rPr>
          <w:rFonts w:ascii="宋体" w:hAnsi="宋体" w:eastAsia="宋体" w:cs="宋体"/>
          <w:spacing w:val="-1"/>
          <w:sz w:val="24"/>
          <w:szCs w:val="24"/>
        </w:rPr>
        <w:t>CA</w:t>
      </w:r>
      <w:r>
        <w:rPr>
          <w:rFonts w:ascii="宋体" w:hAnsi="宋体" w:eastAsia="宋体" w:cs="宋体"/>
          <w:spacing w:val="-48"/>
          <w:sz w:val="24"/>
          <w:szCs w:val="24"/>
        </w:rPr>
        <w:t xml:space="preserve"> </w:t>
      </w:r>
      <w:r>
        <w:rPr>
          <w:rFonts w:ascii="宋体" w:hAnsi="宋体" w:eastAsia="宋体" w:cs="宋体"/>
          <w:spacing w:val="-1"/>
          <w:sz w:val="24"/>
          <w:szCs w:val="24"/>
        </w:rPr>
        <w:t>数字证书进入开标现场（投标人也可选择</w:t>
      </w:r>
      <w:r>
        <w:rPr>
          <w:rFonts w:ascii="宋体" w:hAnsi="宋体" w:eastAsia="宋体" w:cs="宋体"/>
          <w:spacing w:val="-2"/>
          <w:sz w:val="24"/>
          <w:szCs w:val="24"/>
        </w:rPr>
        <w:t>远程解密）。</w:t>
      </w:r>
    </w:p>
    <w:p w14:paraId="7F5EFE71">
      <w:pPr>
        <w:spacing w:before="183" w:line="219" w:lineRule="auto"/>
        <w:ind w:left="499"/>
        <w:rPr>
          <w:rFonts w:ascii="宋体" w:hAnsi="宋体" w:eastAsia="宋体" w:cs="宋体"/>
          <w:sz w:val="24"/>
          <w:szCs w:val="24"/>
        </w:rPr>
      </w:pPr>
      <w:r>
        <w:rPr>
          <w:rFonts w:ascii="宋体" w:hAnsi="宋体" w:eastAsia="宋体" w:cs="宋体"/>
          <w:spacing w:val="-1"/>
          <w:sz w:val="24"/>
          <w:szCs w:val="24"/>
        </w:rPr>
        <w:t>（2）开标由招标人或其委托的招标代理机构主持，宣布开标纪律。</w:t>
      </w:r>
    </w:p>
    <w:p w14:paraId="567831CF">
      <w:pPr>
        <w:spacing w:before="181" w:line="219" w:lineRule="auto"/>
        <w:ind w:left="499"/>
        <w:rPr>
          <w:rFonts w:ascii="宋体" w:hAnsi="宋体" w:eastAsia="宋体" w:cs="宋体"/>
          <w:sz w:val="24"/>
          <w:szCs w:val="24"/>
        </w:rPr>
      </w:pPr>
      <w:r>
        <w:rPr>
          <w:rFonts w:ascii="宋体" w:hAnsi="宋体" w:eastAsia="宋体" w:cs="宋体"/>
          <w:spacing w:val="-1"/>
          <w:sz w:val="24"/>
          <w:szCs w:val="24"/>
        </w:rPr>
        <w:t>（3）宣布开标人、唱标人、记录人等有关人员姓名。</w:t>
      </w:r>
    </w:p>
    <w:p w14:paraId="5200663B">
      <w:pPr>
        <w:spacing w:before="184" w:line="219" w:lineRule="auto"/>
        <w:ind w:left="499"/>
        <w:rPr>
          <w:rFonts w:ascii="宋体" w:hAnsi="宋体" w:eastAsia="宋体" w:cs="宋体"/>
          <w:sz w:val="24"/>
          <w:szCs w:val="24"/>
        </w:rPr>
      </w:pPr>
      <w:r>
        <w:rPr>
          <w:rFonts w:ascii="宋体" w:hAnsi="宋体" w:eastAsia="宋体" w:cs="宋体"/>
          <w:spacing w:val="-1"/>
          <w:sz w:val="24"/>
          <w:szCs w:val="24"/>
        </w:rPr>
        <w:t>（4）宣布开标顺序：按各标段投标文件到达系统的先后顺序。</w:t>
      </w:r>
    </w:p>
    <w:p w14:paraId="36B7268F">
      <w:pPr>
        <w:spacing w:before="181" w:line="360" w:lineRule="auto"/>
        <w:ind w:left="12" w:right="166" w:firstLine="487"/>
        <w:rPr>
          <w:rFonts w:ascii="宋体" w:hAnsi="宋体" w:eastAsia="宋体" w:cs="宋体"/>
          <w:sz w:val="24"/>
          <w:szCs w:val="24"/>
        </w:rPr>
      </w:pPr>
      <w:r>
        <w:rPr>
          <w:rFonts w:ascii="宋体" w:hAnsi="宋体" w:eastAsia="宋体" w:cs="宋体"/>
          <w:spacing w:val="-1"/>
          <w:sz w:val="24"/>
          <w:szCs w:val="24"/>
        </w:rPr>
        <w:t>（5）检查各标段投标文件递交到达的情况。若某标段递交到达投标文件的投标人</w:t>
      </w:r>
      <w:r>
        <w:rPr>
          <w:rFonts w:ascii="宋体" w:hAnsi="宋体" w:eastAsia="宋体" w:cs="宋体"/>
          <w:spacing w:val="-3"/>
          <w:sz w:val="24"/>
          <w:szCs w:val="24"/>
        </w:rPr>
        <w:t>不足</w:t>
      </w:r>
      <w:r>
        <w:rPr>
          <w:rFonts w:ascii="宋体" w:hAnsi="宋体" w:eastAsia="宋体" w:cs="宋体"/>
          <w:spacing w:val="-42"/>
          <w:sz w:val="24"/>
          <w:szCs w:val="24"/>
        </w:rPr>
        <w:t xml:space="preserve"> </w:t>
      </w:r>
      <w:r>
        <w:rPr>
          <w:rFonts w:ascii="宋体" w:hAnsi="宋体" w:eastAsia="宋体" w:cs="宋体"/>
          <w:spacing w:val="-3"/>
          <w:sz w:val="24"/>
          <w:szCs w:val="24"/>
        </w:rPr>
        <w:t>3</w:t>
      </w:r>
      <w:r>
        <w:rPr>
          <w:rFonts w:ascii="宋体" w:hAnsi="宋体" w:eastAsia="宋体" w:cs="宋体"/>
          <w:spacing w:val="-51"/>
          <w:sz w:val="24"/>
          <w:szCs w:val="24"/>
        </w:rPr>
        <w:t xml:space="preserve"> </w:t>
      </w:r>
      <w:r>
        <w:rPr>
          <w:rFonts w:ascii="宋体" w:hAnsi="宋体" w:eastAsia="宋体" w:cs="宋体"/>
          <w:spacing w:val="-3"/>
          <w:sz w:val="24"/>
          <w:szCs w:val="24"/>
        </w:rPr>
        <w:t>个，则该标段不予开标。</w:t>
      </w:r>
    </w:p>
    <w:p w14:paraId="732617EE">
      <w:pPr>
        <w:spacing w:before="3" w:line="358" w:lineRule="auto"/>
        <w:ind w:left="9" w:right="86" w:firstLine="490"/>
        <w:rPr>
          <w:rFonts w:ascii="宋体" w:hAnsi="宋体" w:eastAsia="宋体" w:cs="宋体"/>
          <w:sz w:val="24"/>
          <w:szCs w:val="24"/>
        </w:rPr>
      </w:pPr>
      <w:r>
        <w:rPr>
          <w:rFonts w:ascii="宋体" w:hAnsi="宋体" w:eastAsia="宋体" w:cs="宋体"/>
          <w:spacing w:val="-1"/>
          <w:sz w:val="24"/>
          <w:szCs w:val="24"/>
        </w:rPr>
        <w:t>（6）投标人解密。招标人应在第一个信封（商务及技术文件）开标现场宣布解密</w:t>
      </w:r>
      <w:r>
        <w:rPr>
          <w:rFonts w:ascii="宋体" w:hAnsi="宋体" w:eastAsia="宋体" w:cs="宋体"/>
          <w:spacing w:val="-2"/>
          <w:sz w:val="24"/>
          <w:szCs w:val="24"/>
        </w:rPr>
        <w:t>的开始时间，投标人应在系统通知解密开始后投标人须知前附表规定的解密时间内（解</w:t>
      </w:r>
      <w:r>
        <w:rPr>
          <w:rFonts w:ascii="宋体" w:hAnsi="宋体" w:eastAsia="宋体" w:cs="宋体"/>
          <w:spacing w:val="-1"/>
          <w:sz w:val="24"/>
          <w:szCs w:val="24"/>
        </w:rPr>
        <w:t>密时长详见投标人须知前附表）对所递交的第一个信封</w:t>
      </w:r>
      <w:r>
        <w:rPr>
          <w:rFonts w:ascii="宋体" w:hAnsi="宋体" w:eastAsia="宋体" w:cs="宋体"/>
          <w:spacing w:val="-2"/>
          <w:sz w:val="24"/>
          <w:szCs w:val="24"/>
        </w:rPr>
        <w:t>（商务及技术文件）进行解密。</w:t>
      </w:r>
    </w:p>
    <w:p w14:paraId="2E86D49D">
      <w:pPr>
        <w:spacing w:line="219" w:lineRule="auto"/>
        <w:jc w:val="right"/>
        <w:rPr>
          <w:rFonts w:ascii="宋体" w:hAnsi="宋体" w:eastAsia="宋体" w:cs="宋体"/>
          <w:sz w:val="24"/>
          <w:szCs w:val="24"/>
        </w:rPr>
      </w:pPr>
      <w:r>
        <w:rPr>
          <w:rFonts w:ascii="宋体" w:hAnsi="宋体" w:eastAsia="宋体" w:cs="宋体"/>
          <w:spacing w:val="-3"/>
          <w:sz w:val="24"/>
          <w:szCs w:val="24"/>
        </w:rPr>
        <w:t>（7）招标人解密。对投标人解密成功的第一个信封（商务及技术文件）进</w:t>
      </w:r>
      <w:r>
        <w:rPr>
          <w:rFonts w:ascii="宋体" w:hAnsi="宋体" w:eastAsia="宋体" w:cs="宋体"/>
          <w:spacing w:val="-4"/>
          <w:sz w:val="24"/>
          <w:szCs w:val="24"/>
        </w:rPr>
        <w:t>行解密。</w:t>
      </w:r>
    </w:p>
    <w:p w14:paraId="3B7A6EE0">
      <w:pPr>
        <w:spacing w:before="180" w:line="219" w:lineRule="auto"/>
        <w:jc w:val="right"/>
        <w:rPr>
          <w:rFonts w:ascii="宋体" w:hAnsi="宋体" w:eastAsia="宋体" w:cs="宋体"/>
          <w:sz w:val="24"/>
          <w:szCs w:val="24"/>
        </w:rPr>
      </w:pPr>
      <w:r>
        <w:rPr>
          <w:rFonts w:ascii="宋体" w:hAnsi="宋体" w:eastAsia="宋体" w:cs="宋体"/>
          <w:spacing w:val="-3"/>
          <w:sz w:val="24"/>
          <w:szCs w:val="24"/>
        </w:rPr>
        <w:t>（8）公布投标人名称、投标保证金递交情况、解密情况及其他内容，并记</w:t>
      </w:r>
      <w:r>
        <w:rPr>
          <w:rFonts w:ascii="宋体" w:hAnsi="宋体" w:eastAsia="宋体" w:cs="宋体"/>
          <w:spacing w:val="-4"/>
          <w:sz w:val="24"/>
          <w:szCs w:val="24"/>
        </w:rPr>
        <w:t>录在案。</w:t>
      </w:r>
    </w:p>
    <w:p w14:paraId="25B7EB32">
      <w:pPr>
        <w:spacing w:before="184" w:line="359" w:lineRule="auto"/>
        <w:ind w:left="7" w:right="166" w:firstLine="492"/>
        <w:rPr>
          <w:rFonts w:ascii="宋体" w:hAnsi="宋体" w:eastAsia="宋体" w:cs="宋体"/>
          <w:sz w:val="24"/>
          <w:szCs w:val="24"/>
        </w:rPr>
      </w:pPr>
      <w:r>
        <w:rPr>
          <w:rFonts w:ascii="宋体" w:hAnsi="宋体" w:eastAsia="宋体" w:cs="宋体"/>
          <w:spacing w:val="-1"/>
          <w:sz w:val="24"/>
          <w:szCs w:val="24"/>
        </w:rPr>
        <w:t>（9）投标人代表、招标人、监标人（如有）、见证人（如有）等有关人员在开标记录上签字确认，投标人代表未签字确认的视为默认开标结果。</w:t>
      </w:r>
    </w:p>
    <w:p w14:paraId="1392D704">
      <w:pPr>
        <w:spacing w:before="1" w:line="218" w:lineRule="auto"/>
        <w:ind w:left="499"/>
        <w:rPr>
          <w:rFonts w:ascii="宋体" w:hAnsi="宋体" w:eastAsia="宋体" w:cs="宋体"/>
          <w:sz w:val="24"/>
          <w:szCs w:val="24"/>
        </w:rPr>
      </w:pPr>
      <w:r>
        <w:rPr>
          <w:rFonts w:ascii="宋体" w:hAnsi="宋体" w:eastAsia="宋体" w:cs="宋体"/>
          <w:spacing w:val="-2"/>
          <w:sz w:val="24"/>
          <w:szCs w:val="24"/>
        </w:rPr>
        <w:t>（10）开标会议结束。</w:t>
      </w:r>
    </w:p>
    <w:p w14:paraId="030E9029">
      <w:pPr>
        <w:spacing w:before="184" w:line="359" w:lineRule="auto"/>
        <w:ind w:left="10" w:firstLine="482"/>
        <w:rPr>
          <w:rFonts w:ascii="宋体" w:hAnsi="宋体" w:eastAsia="宋体" w:cs="宋体"/>
          <w:sz w:val="24"/>
          <w:szCs w:val="24"/>
        </w:rPr>
      </w:pPr>
      <w:r>
        <w:rPr>
          <w:rFonts w:ascii="宋体" w:hAnsi="宋体" w:eastAsia="宋体" w:cs="宋体"/>
          <w:spacing w:val="-4"/>
          <w:sz w:val="24"/>
          <w:szCs w:val="24"/>
        </w:rPr>
        <w:t>5.2.2</w:t>
      </w:r>
      <w:r>
        <w:rPr>
          <w:rFonts w:ascii="宋体" w:hAnsi="宋体" w:eastAsia="宋体" w:cs="宋体"/>
          <w:spacing w:val="-47"/>
          <w:sz w:val="24"/>
          <w:szCs w:val="24"/>
        </w:rPr>
        <w:t xml:space="preserve"> </w:t>
      </w:r>
      <w:r>
        <w:rPr>
          <w:rFonts w:ascii="宋体" w:hAnsi="宋体" w:eastAsia="宋体" w:cs="宋体"/>
          <w:spacing w:val="-4"/>
          <w:sz w:val="24"/>
          <w:szCs w:val="24"/>
        </w:rPr>
        <w:t>投标文件第二个信封（报价文件）在投标文件第一个信封（商务</w:t>
      </w:r>
      <w:r>
        <w:rPr>
          <w:rFonts w:ascii="宋体" w:hAnsi="宋体" w:eastAsia="宋体" w:cs="宋体"/>
          <w:spacing w:val="-5"/>
          <w:sz w:val="24"/>
          <w:szCs w:val="24"/>
        </w:rPr>
        <w:t>及技术文件）</w:t>
      </w:r>
      <w:r>
        <w:rPr>
          <w:rFonts w:ascii="宋体" w:hAnsi="宋体" w:eastAsia="宋体" w:cs="宋体"/>
          <w:spacing w:val="-3"/>
          <w:sz w:val="24"/>
          <w:szCs w:val="24"/>
        </w:rPr>
        <w:t>完成评审前，“</w:t>
      </w:r>
      <w:r>
        <w:rPr>
          <w:rFonts w:ascii="宋体" w:hAnsi="宋体" w:eastAsia="宋体" w:cs="宋体"/>
          <w:spacing w:val="-81"/>
          <w:sz w:val="24"/>
          <w:szCs w:val="24"/>
        </w:rPr>
        <w:t xml:space="preserve"> </w:t>
      </w:r>
      <w:r>
        <w:rPr>
          <w:rFonts w:ascii="宋体" w:hAnsi="宋体" w:eastAsia="宋体" w:cs="宋体"/>
          <w:spacing w:val="-3"/>
          <w:sz w:val="24"/>
          <w:szCs w:val="24"/>
        </w:rPr>
        <w:t>电子交易平台</w:t>
      </w:r>
      <w:r>
        <w:rPr>
          <w:rFonts w:ascii="宋体" w:hAnsi="宋体" w:eastAsia="宋体" w:cs="宋体"/>
          <w:spacing w:val="-88"/>
          <w:sz w:val="24"/>
          <w:szCs w:val="24"/>
        </w:rPr>
        <w:t xml:space="preserve"> </w:t>
      </w:r>
      <w:r>
        <w:rPr>
          <w:rFonts w:ascii="宋体" w:hAnsi="宋体" w:eastAsia="宋体" w:cs="宋体"/>
          <w:spacing w:val="-3"/>
          <w:sz w:val="24"/>
          <w:szCs w:val="24"/>
        </w:rPr>
        <w:t>”的开标评标系统将不进行读取。</w:t>
      </w:r>
    </w:p>
    <w:p w14:paraId="7E151561">
      <w:pPr>
        <w:spacing w:before="1" w:line="217" w:lineRule="auto"/>
        <w:ind w:left="493"/>
        <w:rPr>
          <w:rFonts w:ascii="宋体" w:hAnsi="宋体" w:eastAsia="宋体" w:cs="宋体"/>
          <w:sz w:val="24"/>
          <w:szCs w:val="24"/>
        </w:rPr>
      </w:pPr>
      <w:r>
        <w:rPr>
          <w:rFonts w:ascii="宋体" w:hAnsi="宋体" w:eastAsia="宋体" w:cs="宋体"/>
          <w:spacing w:val="-1"/>
          <w:sz w:val="24"/>
          <w:szCs w:val="24"/>
        </w:rPr>
        <w:t>5.2.3 投标文件第二个信封（报价文件）开标</w:t>
      </w:r>
    </w:p>
    <w:p w14:paraId="3200ABDF">
      <w:pPr>
        <w:spacing w:before="185" w:line="358" w:lineRule="auto"/>
        <w:ind w:left="6" w:right="67" w:firstLine="482"/>
        <w:rPr>
          <w:rFonts w:ascii="宋体" w:hAnsi="宋体" w:eastAsia="宋体" w:cs="宋体"/>
          <w:sz w:val="24"/>
          <w:szCs w:val="24"/>
        </w:rPr>
      </w:pPr>
      <w:r>
        <w:rPr>
          <w:rFonts w:ascii="宋体" w:hAnsi="宋体" w:eastAsia="宋体" w:cs="宋体"/>
          <w:spacing w:val="-2"/>
          <w:sz w:val="24"/>
          <w:szCs w:val="24"/>
        </w:rPr>
        <w:t>招标人将按照本章第</w:t>
      </w:r>
      <w:r>
        <w:rPr>
          <w:rFonts w:ascii="宋体" w:hAnsi="宋体" w:eastAsia="宋体" w:cs="宋体"/>
          <w:spacing w:val="-29"/>
          <w:sz w:val="24"/>
          <w:szCs w:val="24"/>
        </w:rPr>
        <w:t xml:space="preserve"> </w:t>
      </w:r>
      <w:r>
        <w:rPr>
          <w:rFonts w:ascii="宋体" w:hAnsi="宋体" w:eastAsia="宋体" w:cs="宋体"/>
          <w:spacing w:val="-2"/>
          <w:sz w:val="24"/>
          <w:szCs w:val="24"/>
        </w:rPr>
        <w:t>5.1</w:t>
      </w:r>
      <w:r>
        <w:rPr>
          <w:rFonts w:ascii="宋体" w:hAnsi="宋体" w:eastAsia="宋体" w:cs="宋体"/>
          <w:spacing w:val="-50"/>
          <w:sz w:val="24"/>
          <w:szCs w:val="24"/>
        </w:rPr>
        <w:t xml:space="preserve"> </w:t>
      </w:r>
      <w:r>
        <w:rPr>
          <w:rFonts w:ascii="宋体" w:hAnsi="宋体" w:eastAsia="宋体" w:cs="宋体"/>
          <w:spacing w:val="-2"/>
          <w:sz w:val="24"/>
          <w:szCs w:val="24"/>
        </w:rPr>
        <w:t>款规定的时间和地点对投标文件第二个信封（报价文件）</w:t>
      </w:r>
      <w:r>
        <w:rPr>
          <w:rFonts w:ascii="宋体" w:hAnsi="宋体" w:eastAsia="宋体" w:cs="宋体"/>
          <w:spacing w:val="-1"/>
          <w:sz w:val="24"/>
          <w:szCs w:val="24"/>
        </w:rPr>
        <w:t>进行开标。开标程序：</w:t>
      </w:r>
    </w:p>
    <w:p w14:paraId="165DA8B9">
      <w:pPr>
        <w:spacing w:before="1" w:line="218" w:lineRule="auto"/>
        <w:ind w:left="499"/>
        <w:rPr>
          <w:rFonts w:ascii="宋体" w:hAnsi="宋体" w:eastAsia="宋体" w:cs="宋体"/>
          <w:sz w:val="24"/>
          <w:szCs w:val="24"/>
        </w:rPr>
      </w:pPr>
      <w:r>
        <w:rPr>
          <w:rFonts w:ascii="宋体" w:hAnsi="宋体" w:eastAsia="宋体" w:cs="宋体"/>
          <w:spacing w:val="-1"/>
          <w:sz w:val="24"/>
          <w:szCs w:val="24"/>
        </w:rPr>
        <w:t>（1）投标人代表持</w:t>
      </w:r>
      <w:r>
        <w:rPr>
          <w:rFonts w:ascii="宋体" w:hAnsi="宋体" w:eastAsia="宋体" w:cs="宋体"/>
          <w:spacing w:val="-53"/>
          <w:sz w:val="24"/>
          <w:szCs w:val="24"/>
        </w:rPr>
        <w:t xml:space="preserve"> </w:t>
      </w:r>
      <w:r>
        <w:rPr>
          <w:rFonts w:ascii="宋体" w:hAnsi="宋体" w:eastAsia="宋体" w:cs="宋体"/>
          <w:spacing w:val="-1"/>
          <w:sz w:val="24"/>
          <w:szCs w:val="24"/>
        </w:rPr>
        <w:t>CA</w:t>
      </w:r>
      <w:r>
        <w:rPr>
          <w:rFonts w:ascii="宋体" w:hAnsi="宋体" w:eastAsia="宋体" w:cs="宋体"/>
          <w:spacing w:val="-48"/>
          <w:sz w:val="24"/>
          <w:szCs w:val="24"/>
        </w:rPr>
        <w:t xml:space="preserve"> </w:t>
      </w:r>
      <w:r>
        <w:rPr>
          <w:rFonts w:ascii="宋体" w:hAnsi="宋体" w:eastAsia="宋体" w:cs="宋体"/>
          <w:spacing w:val="-1"/>
          <w:sz w:val="24"/>
          <w:szCs w:val="24"/>
        </w:rPr>
        <w:t>数字证书进入开标现场（投标人也可选择</w:t>
      </w:r>
      <w:r>
        <w:rPr>
          <w:rFonts w:ascii="宋体" w:hAnsi="宋体" w:eastAsia="宋体" w:cs="宋体"/>
          <w:spacing w:val="-2"/>
          <w:sz w:val="24"/>
          <w:szCs w:val="24"/>
        </w:rPr>
        <w:t>远程解密）。</w:t>
      </w:r>
    </w:p>
    <w:p w14:paraId="55CCF490">
      <w:pPr>
        <w:spacing w:before="184" w:line="219" w:lineRule="auto"/>
        <w:ind w:left="499"/>
        <w:rPr>
          <w:rFonts w:ascii="宋体" w:hAnsi="宋体" w:eastAsia="宋体" w:cs="宋体"/>
          <w:sz w:val="24"/>
          <w:szCs w:val="24"/>
        </w:rPr>
      </w:pPr>
      <w:r>
        <w:rPr>
          <w:rFonts w:ascii="宋体" w:hAnsi="宋体" w:eastAsia="宋体" w:cs="宋体"/>
          <w:spacing w:val="-3"/>
          <w:sz w:val="24"/>
          <w:szCs w:val="24"/>
        </w:rPr>
        <w:t>（2）宣布开标纪律。</w:t>
      </w:r>
    </w:p>
    <w:p w14:paraId="08783715">
      <w:pPr>
        <w:spacing w:line="400" w:lineRule="auto"/>
        <w:ind w:firstLine="464" w:firstLineChars="200"/>
        <w:rPr>
          <w:rFonts w:ascii="Arial"/>
          <w:sz w:val="21"/>
        </w:rPr>
      </w:pPr>
      <w:r>
        <w:rPr>
          <w:rFonts w:ascii="宋体" w:hAnsi="宋体" w:eastAsia="宋体" w:cs="宋体"/>
          <w:spacing w:val="-4"/>
          <w:sz w:val="24"/>
          <w:szCs w:val="24"/>
        </w:rPr>
        <w:t>（3）摇取下浮率（如需）、评标价</w:t>
      </w:r>
      <w:r>
        <w:rPr>
          <w:rFonts w:ascii="宋体" w:hAnsi="宋体" w:eastAsia="宋体" w:cs="宋体"/>
          <w:spacing w:val="-52"/>
          <w:sz w:val="24"/>
          <w:szCs w:val="24"/>
        </w:rPr>
        <w:t xml:space="preserve"> </w:t>
      </w:r>
      <w:r>
        <w:rPr>
          <w:rFonts w:ascii="宋体" w:hAnsi="宋体" w:eastAsia="宋体" w:cs="宋体"/>
          <w:spacing w:val="-4"/>
          <w:sz w:val="24"/>
          <w:szCs w:val="24"/>
        </w:rPr>
        <w:t>E</w:t>
      </w:r>
      <w:r>
        <w:rPr>
          <w:rFonts w:ascii="宋体" w:hAnsi="宋体" w:eastAsia="宋体" w:cs="宋体"/>
          <w:spacing w:val="-51"/>
          <w:sz w:val="24"/>
          <w:szCs w:val="24"/>
        </w:rPr>
        <w:t xml:space="preserve"> </w:t>
      </w:r>
      <w:r>
        <w:rPr>
          <w:rFonts w:ascii="宋体" w:hAnsi="宋体" w:eastAsia="宋体" w:cs="宋体"/>
          <w:spacing w:val="-4"/>
          <w:sz w:val="24"/>
          <w:szCs w:val="24"/>
        </w:rPr>
        <w:t>值（如需</w:t>
      </w:r>
      <w:r>
        <w:rPr>
          <w:rFonts w:ascii="宋体" w:hAnsi="宋体" w:eastAsia="宋体" w:cs="宋体"/>
          <w:spacing w:val="4"/>
          <w:sz w:val="24"/>
          <w:szCs w:val="24"/>
        </w:rPr>
        <w:t>），</w:t>
      </w:r>
      <w:r>
        <w:rPr>
          <w:rFonts w:ascii="宋体" w:hAnsi="宋体" w:eastAsia="宋体" w:cs="宋体"/>
          <w:spacing w:val="-4"/>
          <w:sz w:val="24"/>
          <w:szCs w:val="24"/>
        </w:rPr>
        <w:t>在开标现场采取摇珠方式确定。</w:t>
      </w:r>
      <w:r>
        <w:rPr>
          <w:rFonts w:ascii="宋体" w:hAnsi="宋体" w:eastAsia="宋体" w:cs="宋体"/>
          <w:spacing w:val="-1"/>
          <w:sz w:val="24"/>
          <w:szCs w:val="24"/>
        </w:rPr>
        <w:t>摇珠操作办法详见评标办法。</w:t>
      </w:r>
    </w:p>
    <w:p w14:paraId="389D43B6">
      <w:pPr>
        <w:spacing w:before="78" w:line="359" w:lineRule="auto"/>
        <w:ind w:left="10" w:right="67" w:firstLine="489"/>
        <w:rPr>
          <w:rFonts w:ascii="宋体" w:hAnsi="宋体" w:eastAsia="宋体" w:cs="宋体"/>
          <w:sz w:val="24"/>
          <w:szCs w:val="24"/>
        </w:rPr>
      </w:pPr>
      <w:r>
        <w:rPr>
          <w:rFonts w:ascii="宋体" w:hAnsi="宋体" w:eastAsia="宋体" w:cs="宋体"/>
          <w:spacing w:val="-1"/>
          <w:sz w:val="24"/>
          <w:szCs w:val="24"/>
        </w:rPr>
        <w:t>（4）招标人或招标代理机构宣布第一个信封（商务及技术文件）评审结果。投标人未通过第一个信封（商务及技术文件）评审的，对应标段的第二个信封（报价文件）</w:t>
      </w:r>
      <w:r>
        <w:rPr>
          <w:rFonts w:ascii="宋体" w:hAnsi="宋体" w:eastAsia="宋体" w:cs="宋体"/>
          <w:spacing w:val="-3"/>
          <w:sz w:val="24"/>
          <w:szCs w:val="24"/>
        </w:rPr>
        <w:t>不予开标。</w:t>
      </w:r>
    </w:p>
    <w:p w14:paraId="6FC3B13D">
      <w:pPr>
        <w:spacing w:line="218" w:lineRule="auto"/>
        <w:ind w:left="499"/>
        <w:rPr>
          <w:rFonts w:ascii="宋体" w:hAnsi="宋体" w:eastAsia="宋体" w:cs="宋体"/>
          <w:sz w:val="24"/>
          <w:szCs w:val="24"/>
        </w:rPr>
      </w:pPr>
      <w:r>
        <w:rPr>
          <w:rFonts w:ascii="宋体" w:hAnsi="宋体" w:eastAsia="宋体" w:cs="宋体"/>
          <w:spacing w:val="-1"/>
          <w:sz w:val="24"/>
          <w:szCs w:val="24"/>
        </w:rPr>
        <w:t>（5）宣布开标人、唱标人、记录人等有关人员姓名。</w:t>
      </w:r>
    </w:p>
    <w:p w14:paraId="35AF973C">
      <w:pPr>
        <w:spacing w:before="183" w:line="219" w:lineRule="auto"/>
        <w:ind w:left="499"/>
        <w:rPr>
          <w:rFonts w:ascii="宋体" w:hAnsi="宋体" w:eastAsia="宋体" w:cs="宋体"/>
          <w:sz w:val="24"/>
          <w:szCs w:val="24"/>
        </w:rPr>
      </w:pPr>
      <w:r>
        <w:rPr>
          <w:rFonts w:ascii="宋体" w:hAnsi="宋体" w:eastAsia="宋体" w:cs="宋体"/>
          <w:spacing w:val="-1"/>
          <w:sz w:val="24"/>
          <w:szCs w:val="24"/>
        </w:rPr>
        <w:t>（6）宣布开标顺序：方法同第一个信封的开标顺序。</w:t>
      </w:r>
    </w:p>
    <w:p w14:paraId="3F2CF047">
      <w:pPr>
        <w:spacing w:before="182" w:line="359" w:lineRule="auto"/>
        <w:ind w:left="7" w:firstLine="492"/>
        <w:rPr>
          <w:rFonts w:ascii="宋体" w:hAnsi="宋体" w:eastAsia="宋体" w:cs="宋体"/>
          <w:sz w:val="24"/>
          <w:szCs w:val="24"/>
        </w:rPr>
      </w:pPr>
      <w:r>
        <w:rPr>
          <w:rFonts w:ascii="宋体" w:hAnsi="宋体" w:eastAsia="宋体" w:cs="宋体"/>
          <w:spacing w:val="-1"/>
          <w:sz w:val="24"/>
          <w:szCs w:val="24"/>
        </w:rPr>
        <w:t>（7）投标人解密。招标人宣布第二个信封（报价文件）解密开始时间，投标人应</w:t>
      </w:r>
      <w:r>
        <w:rPr>
          <w:rFonts w:ascii="宋体" w:hAnsi="宋体" w:eastAsia="宋体" w:cs="宋体"/>
          <w:spacing w:val="-5"/>
          <w:sz w:val="24"/>
          <w:szCs w:val="24"/>
        </w:rPr>
        <w:t>在解密时长投标人须知前附表规定的解密时间内，对通过第一个信封</w:t>
      </w:r>
      <w:r>
        <w:rPr>
          <w:rFonts w:ascii="宋体" w:hAnsi="宋体" w:eastAsia="宋体" w:cs="宋体"/>
          <w:spacing w:val="-6"/>
          <w:sz w:val="24"/>
          <w:szCs w:val="24"/>
        </w:rPr>
        <w:t>（商务及技术文件）</w:t>
      </w:r>
      <w:r>
        <w:rPr>
          <w:rFonts w:ascii="宋体" w:hAnsi="宋体" w:eastAsia="宋体" w:cs="宋体"/>
          <w:spacing w:val="-1"/>
          <w:sz w:val="24"/>
          <w:szCs w:val="24"/>
        </w:rPr>
        <w:t>评审的对应标段的第二个信封（报价文件）进行解密。</w:t>
      </w:r>
    </w:p>
    <w:p w14:paraId="1850DD6C">
      <w:pPr>
        <w:spacing w:line="359" w:lineRule="auto"/>
        <w:ind w:left="8" w:right="166" w:firstLine="491"/>
        <w:rPr>
          <w:rFonts w:ascii="宋体" w:hAnsi="宋体" w:eastAsia="宋体" w:cs="宋体"/>
          <w:sz w:val="24"/>
          <w:szCs w:val="24"/>
        </w:rPr>
      </w:pPr>
      <w:r>
        <w:rPr>
          <w:rFonts w:ascii="宋体" w:hAnsi="宋体" w:eastAsia="宋体" w:cs="宋体"/>
          <w:spacing w:val="-1"/>
          <w:sz w:val="24"/>
          <w:szCs w:val="24"/>
        </w:rPr>
        <w:t>（8）招标人解密。招标人在投标人解密截止时间后，对投标人解密成功的第二个</w:t>
      </w:r>
      <w:r>
        <w:rPr>
          <w:rFonts w:ascii="宋体" w:hAnsi="宋体" w:eastAsia="宋体" w:cs="宋体"/>
          <w:spacing w:val="-2"/>
          <w:sz w:val="24"/>
          <w:szCs w:val="24"/>
        </w:rPr>
        <w:t>信封进行解密。</w:t>
      </w:r>
    </w:p>
    <w:p w14:paraId="0A69FFB3">
      <w:pPr>
        <w:spacing w:before="1" w:line="359" w:lineRule="auto"/>
        <w:ind w:left="2" w:right="18" w:firstLine="496"/>
        <w:rPr>
          <w:rFonts w:ascii="宋体" w:hAnsi="宋体" w:eastAsia="宋体" w:cs="宋体"/>
          <w:sz w:val="24"/>
          <w:szCs w:val="24"/>
        </w:rPr>
      </w:pPr>
      <w:r>
        <w:rPr>
          <w:rFonts w:ascii="宋体" w:hAnsi="宋体" w:eastAsia="宋体" w:cs="宋体"/>
          <w:spacing w:val="-3"/>
          <w:sz w:val="24"/>
          <w:szCs w:val="24"/>
        </w:rPr>
        <w:t>（9）根据解密后的投标文件中的投标函公布投标人名称、投标报价（开标</w:t>
      </w:r>
      <w:r>
        <w:rPr>
          <w:rFonts w:ascii="宋体" w:hAnsi="宋体" w:eastAsia="宋体" w:cs="宋体"/>
          <w:spacing w:val="-4"/>
          <w:sz w:val="24"/>
          <w:szCs w:val="24"/>
        </w:rPr>
        <w:t>过程中，</w:t>
      </w:r>
      <w:r>
        <w:rPr>
          <w:rFonts w:ascii="宋体" w:hAnsi="宋体" w:eastAsia="宋体" w:cs="宋体"/>
          <w:spacing w:val="-2"/>
          <w:sz w:val="24"/>
          <w:szCs w:val="24"/>
        </w:rPr>
        <w:t>若开标记录表与投标文件投标函大写文字报价不一致时，以投标文件投标函大写文字报价为准）、解密情况及其他内容，并记录在案。将未通过投标文件第一个信封（商务及</w:t>
      </w:r>
      <w:r>
        <w:rPr>
          <w:rFonts w:ascii="宋体" w:hAnsi="宋体" w:eastAsia="宋体" w:cs="宋体"/>
          <w:spacing w:val="-6"/>
          <w:sz w:val="24"/>
          <w:szCs w:val="24"/>
        </w:rPr>
        <w:t>技术文件）评审的投标文件第二个信封（报价文件）光盘或</w:t>
      </w:r>
      <w:r>
        <w:rPr>
          <w:rFonts w:ascii="宋体" w:hAnsi="宋体" w:eastAsia="宋体" w:cs="宋体"/>
          <w:spacing w:val="-53"/>
          <w:sz w:val="24"/>
          <w:szCs w:val="24"/>
        </w:rPr>
        <w:t xml:space="preserve"> </w:t>
      </w:r>
      <w:r>
        <w:rPr>
          <w:rFonts w:ascii="宋体" w:hAnsi="宋体" w:eastAsia="宋体" w:cs="宋体"/>
          <w:spacing w:val="-6"/>
          <w:sz w:val="24"/>
          <w:szCs w:val="24"/>
        </w:rPr>
        <w:t>U</w:t>
      </w:r>
      <w:r>
        <w:rPr>
          <w:rFonts w:ascii="宋体" w:hAnsi="宋体" w:eastAsia="宋体" w:cs="宋体"/>
          <w:spacing w:val="-51"/>
          <w:sz w:val="24"/>
          <w:szCs w:val="24"/>
        </w:rPr>
        <w:t xml:space="preserve"> </w:t>
      </w:r>
      <w:r>
        <w:rPr>
          <w:rFonts w:ascii="宋体" w:hAnsi="宋体" w:eastAsia="宋体" w:cs="宋体"/>
          <w:spacing w:val="-6"/>
          <w:sz w:val="24"/>
          <w:szCs w:val="24"/>
        </w:rPr>
        <w:t>盘（如有）退还给投标人。</w:t>
      </w:r>
      <w:r>
        <w:rPr>
          <w:rFonts w:ascii="宋体" w:hAnsi="宋体" w:eastAsia="宋体" w:cs="宋体"/>
          <w:spacing w:val="-2"/>
          <w:sz w:val="24"/>
          <w:szCs w:val="24"/>
        </w:rPr>
        <w:t>如投标人未参加第二个信封开标的，招标人应当在评标结束后及时将第二个信封光盘或U</w:t>
      </w:r>
      <w:r>
        <w:rPr>
          <w:rFonts w:ascii="宋体" w:hAnsi="宋体" w:eastAsia="宋体" w:cs="宋体"/>
          <w:spacing w:val="-41"/>
          <w:sz w:val="24"/>
          <w:szCs w:val="24"/>
        </w:rPr>
        <w:t xml:space="preserve"> </w:t>
      </w:r>
      <w:r>
        <w:rPr>
          <w:rFonts w:ascii="宋体" w:hAnsi="宋体" w:eastAsia="宋体" w:cs="宋体"/>
          <w:spacing w:val="-2"/>
          <w:sz w:val="24"/>
          <w:szCs w:val="24"/>
        </w:rPr>
        <w:t>盘（如有）退还投标人。</w:t>
      </w:r>
    </w:p>
    <w:p w14:paraId="67A210B3">
      <w:pPr>
        <w:spacing w:before="2" w:line="359" w:lineRule="auto"/>
        <w:ind w:left="7" w:right="86" w:firstLine="492"/>
        <w:rPr>
          <w:rFonts w:ascii="宋体" w:hAnsi="宋体" w:eastAsia="宋体" w:cs="宋体"/>
          <w:sz w:val="24"/>
          <w:szCs w:val="24"/>
        </w:rPr>
      </w:pPr>
      <w:r>
        <w:rPr>
          <w:rFonts w:ascii="宋体" w:hAnsi="宋体" w:eastAsia="宋体" w:cs="宋体"/>
          <w:spacing w:val="-2"/>
          <w:sz w:val="24"/>
          <w:szCs w:val="24"/>
        </w:rPr>
        <w:t>（10）投标人代表、招标人、监标人（如有）、见证人（如有）等有关人员在开标记录上进行签字确认，投标人代表未签字确认的视为默认开标结果。如开标过程中出现</w:t>
      </w:r>
      <w:r>
        <w:rPr>
          <w:rFonts w:ascii="宋体" w:hAnsi="宋体" w:eastAsia="宋体" w:cs="宋体"/>
          <w:spacing w:val="-1"/>
          <w:sz w:val="24"/>
          <w:szCs w:val="24"/>
        </w:rPr>
        <w:t>需更正开标记录表的情况，招标人应通知所有投标人代表知</w:t>
      </w:r>
      <w:r>
        <w:rPr>
          <w:rFonts w:ascii="宋体" w:hAnsi="宋体" w:eastAsia="宋体" w:cs="宋体"/>
          <w:spacing w:val="-2"/>
          <w:sz w:val="24"/>
          <w:szCs w:val="24"/>
        </w:rPr>
        <w:t>晓，投标人代表、招标人、</w:t>
      </w:r>
      <w:r>
        <w:rPr>
          <w:rFonts w:ascii="宋体" w:hAnsi="宋体" w:eastAsia="宋体" w:cs="宋体"/>
          <w:spacing w:val="-1"/>
          <w:sz w:val="24"/>
          <w:szCs w:val="24"/>
        </w:rPr>
        <w:t>监标人（如有）、见证人（如有）等有关人员均应在更正后</w:t>
      </w:r>
      <w:r>
        <w:rPr>
          <w:rFonts w:ascii="宋体" w:hAnsi="宋体" w:eastAsia="宋体" w:cs="宋体"/>
          <w:spacing w:val="-2"/>
          <w:sz w:val="24"/>
          <w:szCs w:val="24"/>
        </w:rPr>
        <w:t>开标记录上进行签字确认，</w:t>
      </w:r>
      <w:r>
        <w:rPr>
          <w:rFonts w:ascii="宋体" w:hAnsi="宋体" w:eastAsia="宋体" w:cs="宋体"/>
          <w:spacing w:val="-1"/>
          <w:sz w:val="24"/>
          <w:szCs w:val="24"/>
        </w:rPr>
        <w:t>投标人代表未签字确认的视为默认更正结果。</w:t>
      </w:r>
    </w:p>
    <w:p w14:paraId="15705115">
      <w:pPr>
        <w:spacing w:line="359" w:lineRule="auto"/>
        <w:ind w:left="14" w:right="104" w:firstLine="485"/>
        <w:rPr>
          <w:rFonts w:ascii="宋体" w:hAnsi="宋体" w:eastAsia="宋体" w:cs="宋体"/>
          <w:sz w:val="24"/>
          <w:szCs w:val="24"/>
        </w:rPr>
      </w:pPr>
      <w:r>
        <w:rPr>
          <w:rFonts w:ascii="宋体" w:hAnsi="宋体" w:eastAsia="宋体" w:cs="宋体"/>
          <w:spacing w:val="-2"/>
          <w:sz w:val="24"/>
          <w:szCs w:val="24"/>
        </w:rPr>
        <w:t>（11）投标人对开标有异议的，应当在开标现场提出，招标人应当</w:t>
      </w:r>
      <w:r>
        <w:rPr>
          <w:rFonts w:ascii="宋体" w:hAnsi="宋体" w:eastAsia="宋体" w:cs="宋体"/>
          <w:spacing w:val="-3"/>
          <w:sz w:val="24"/>
          <w:szCs w:val="24"/>
        </w:rPr>
        <w:t>当场作出答复，</w:t>
      </w:r>
      <w:r>
        <w:rPr>
          <w:rFonts w:ascii="宋体" w:hAnsi="宋体" w:eastAsia="宋体" w:cs="宋体"/>
          <w:spacing w:val="-1"/>
          <w:sz w:val="24"/>
          <w:szCs w:val="24"/>
        </w:rPr>
        <w:t>并制作记录。未参加开标的投标人，视为对开标过程无异议。</w:t>
      </w:r>
    </w:p>
    <w:p w14:paraId="70D21F52">
      <w:pPr>
        <w:spacing w:before="1" w:line="218" w:lineRule="auto"/>
        <w:ind w:left="499"/>
        <w:rPr>
          <w:rFonts w:ascii="宋体" w:hAnsi="宋体" w:eastAsia="宋体" w:cs="宋体"/>
          <w:sz w:val="24"/>
          <w:szCs w:val="24"/>
        </w:rPr>
      </w:pPr>
      <w:r>
        <w:rPr>
          <w:rFonts w:ascii="宋体" w:hAnsi="宋体" w:eastAsia="宋体" w:cs="宋体"/>
          <w:spacing w:val="-2"/>
          <w:sz w:val="24"/>
          <w:szCs w:val="24"/>
        </w:rPr>
        <w:t>（12）开标会议结束。</w:t>
      </w:r>
    </w:p>
    <w:p w14:paraId="6955B80B">
      <w:pPr>
        <w:spacing w:before="183" w:line="359" w:lineRule="auto"/>
        <w:ind w:left="10" w:right="99" w:firstLine="482"/>
        <w:jc w:val="both"/>
        <w:rPr>
          <w:rFonts w:ascii="宋体" w:hAnsi="宋体" w:eastAsia="宋体" w:cs="宋体"/>
          <w:sz w:val="24"/>
          <w:szCs w:val="24"/>
        </w:rPr>
      </w:pPr>
      <w:r>
        <w:rPr>
          <w:rFonts w:ascii="宋体" w:hAnsi="宋体" w:eastAsia="宋体" w:cs="宋体"/>
          <w:spacing w:val="-1"/>
          <w:sz w:val="24"/>
          <w:szCs w:val="24"/>
        </w:rPr>
        <w:t>5.2.4</w:t>
      </w:r>
      <w:r>
        <w:rPr>
          <w:rFonts w:ascii="宋体" w:hAnsi="宋体" w:eastAsia="宋体" w:cs="宋体"/>
          <w:spacing w:val="-38"/>
          <w:sz w:val="24"/>
          <w:szCs w:val="24"/>
        </w:rPr>
        <w:t xml:space="preserve"> </w:t>
      </w:r>
      <w:r>
        <w:rPr>
          <w:rFonts w:ascii="宋体" w:hAnsi="宋体" w:eastAsia="宋体" w:cs="宋体"/>
          <w:spacing w:val="-1"/>
          <w:sz w:val="24"/>
          <w:szCs w:val="24"/>
        </w:rPr>
        <w:t>若采用合理低价法或综合评分法，在投标文件第二个信封（报价文件）开标</w:t>
      </w:r>
      <w:r>
        <w:rPr>
          <w:rFonts w:ascii="宋体" w:hAnsi="宋体" w:eastAsia="宋体" w:cs="宋体"/>
          <w:spacing w:val="-3"/>
          <w:sz w:val="24"/>
          <w:szCs w:val="24"/>
        </w:rPr>
        <w:t>现场，招标人将按第三章“评标办法</w:t>
      </w:r>
      <w:r>
        <w:rPr>
          <w:rFonts w:ascii="宋体" w:hAnsi="宋体" w:eastAsia="宋体" w:cs="宋体"/>
          <w:spacing w:val="-72"/>
          <w:sz w:val="24"/>
          <w:szCs w:val="24"/>
        </w:rPr>
        <w:t xml:space="preserve"> </w:t>
      </w:r>
      <w:r>
        <w:rPr>
          <w:rFonts w:ascii="宋体" w:hAnsi="宋体" w:eastAsia="宋体" w:cs="宋体"/>
          <w:spacing w:val="-3"/>
          <w:sz w:val="24"/>
          <w:szCs w:val="24"/>
        </w:rPr>
        <w:t>”规定的原则计算并宣布评标基准价。若招标人发</w:t>
      </w:r>
      <w:r>
        <w:rPr>
          <w:rFonts w:ascii="宋体" w:hAnsi="宋体" w:eastAsia="宋体" w:cs="宋体"/>
          <w:sz w:val="24"/>
          <w:szCs w:val="24"/>
        </w:rPr>
        <w:t>现投标文件出现以下任一情况，其投标报价将</w:t>
      </w:r>
      <w:r>
        <w:rPr>
          <w:rFonts w:ascii="宋体" w:hAnsi="宋体" w:eastAsia="宋体" w:cs="宋体"/>
          <w:spacing w:val="-1"/>
          <w:sz w:val="24"/>
          <w:szCs w:val="24"/>
        </w:rPr>
        <w:t>不再参加评标基准价的计算：</w:t>
      </w:r>
    </w:p>
    <w:p w14:paraId="46D68CF5">
      <w:pPr>
        <w:spacing w:before="1" w:line="217" w:lineRule="auto"/>
        <w:ind w:left="530"/>
        <w:rPr>
          <w:rFonts w:ascii="宋体" w:hAnsi="宋体" w:eastAsia="宋体" w:cs="宋体"/>
          <w:sz w:val="24"/>
          <w:szCs w:val="24"/>
        </w:rPr>
      </w:pPr>
      <w:r>
        <w:rPr>
          <w:rFonts w:ascii="宋体" w:hAnsi="宋体" w:eastAsia="宋体" w:cs="宋体"/>
          <w:spacing w:val="-4"/>
          <w:sz w:val="24"/>
          <w:szCs w:val="24"/>
        </w:rPr>
        <w:t>(1)未在报价函上填写投标总报价；</w:t>
      </w:r>
    </w:p>
    <w:p w14:paraId="141A6D0A">
      <w:pPr>
        <w:spacing w:before="182" w:line="218" w:lineRule="auto"/>
        <w:ind w:left="530"/>
        <w:rPr>
          <w:rFonts w:ascii="宋体" w:hAnsi="宋体" w:eastAsia="宋体" w:cs="宋体"/>
          <w:sz w:val="24"/>
          <w:szCs w:val="24"/>
        </w:rPr>
      </w:pPr>
      <w:r>
        <w:rPr>
          <w:rFonts w:ascii="宋体" w:hAnsi="宋体" w:eastAsia="宋体" w:cs="宋体"/>
          <w:spacing w:val="-1"/>
          <w:sz w:val="24"/>
          <w:szCs w:val="24"/>
        </w:rPr>
        <w:t>(2)投标总报价或调价函（如有）中投标总报</w:t>
      </w:r>
      <w:r>
        <w:rPr>
          <w:rFonts w:ascii="宋体" w:hAnsi="宋体" w:eastAsia="宋体" w:cs="宋体"/>
          <w:spacing w:val="-2"/>
          <w:sz w:val="24"/>
          <w:szCs w:val="24"/>
        </w:rPr>
        <w:t>价超出招标人公布的最高投标限价；</w:t>
      </w:r>
    </w:p>
    <w:p w14:paraId="25103CCB">
      <w:pPr>
        <w:spacing w:before="185" w:line="218" w:lineRule="auto"/>
        <w:ind w:left="530"/>
        <w:rPr>
          <w:rFonts w:ascii="宋体" w:hAnsi="宋体" w:eastAsia="宋体" w:cs="宋体"/>
          <w:sz w:val="24"/>
          <w:szCs w:val="24"/>
        </w:rPr>
      </w:pPr>
      <w:r>
        <w:rPr>
          <w:rFonts w:ascii="宋体" w:hAnsi="宋体" w:eastAsia="宋体" w:cs="宋体"/>
          <w:spacing w:val="-1"/>
          <w:sz w:val="24"/>
          <w:szCs w:val="24"/>
        </w:rPr>
        <w:t>(3)投标总报价或调价函（如有）中投标</w:t>
      </w:r>
      <w:r>
        <w:rPr>
          <w:rFonts w:ascii="宋体" w:hAnsi="宋体" w:eastAsia="宋体" w:cs="宋体"/>
          <w:spacing w:val="-2"/>
          <w:sz w:val="24"/>
          <w:szCs w:val="24"/>
        </w:rPr>
        <w:t>总报价的大写金额无法确定具体数值。</w:t>
      </w:r>
    </w:p>
    <w:p w14:paraId="226F0BDC">
      <w:pPr>
        <w:spacing w:before="78" w:line="220" w:lineRule="auto"/>
        <w:ind w:left="530"/>
        <w:rPr>
          <w:rFonts w:ascii="宋体" w:hAnsi="宋体" w:eastAsia="宋体" w:cs="宋体"/>
          <w:sz w:val="24"/>
          <w:szCs w:val="24"/>
        </w:rPr>
      </w:pPr>
      <w:r>
        <w:rPr>
          <w:rFonts w:ascii="宋体" w:hAnsi="宋体" w:eastAsia="宋体" w:cs="宋体"/>
          <w:spacing w:val="-3"/>
          <w:sz w:val="24"/>
          <w:szCs w:val="24"/>
        </w:rPr>
        <w:t>(4)投标函上填写的标段号标记错误。</w:t>
      </w:r>
    </w:p>
    <w:p w14:paraId="626F355E">
      <w:pPr>
        <w:spacing w:before="181" w:line="359" w:lineRule="auto"/>
        <w:ind w:left="7" w:right="181" w:firstLine="484"/>
        <w:rPr>
          <w:rFonts w:ascii="宋体" w:hAnsi="宋体" w:eastAsia="宋体" w:cs="宋体"/>
          <w:sz w:val="24"/>
          <w:szCs w:val="24"/>
        </w:rPr>
      </w:pPr>
      <w:r>
        <w:rPr>
          <w:rFonts w:ascii="宋体" w:hAnsi="宋体" w:eastAsia="宋体" w:cs="宋体"/>
          <w:spacing w:val="-2"/>
          <w:sz w:val="24"/>
          <w:szCs w:val="24"/>
        </w:rPr>
        <w:t>如果投标人认为某一标段的评标基准价计算有误，有权在开标现场提出，经招标人当场核实确认之后，可重新宣布评标基准价。开标现场宣布的评标基准价除计算有误经</w:t>
      </w:r>
      <w:r>
        <w:rPr>
          <w:rFonts w:ascii="宋体" w:hAnsi="宋体" w:eastAsia="宋体" w:cs="宋体"/>
          <w:sz w:val="24"/>
          <w:szCs w:val="24"/>
        </w:rPr>
        <w:t>评标委员会修正外，在整个评标期间保持不变，不</w:t>
      </w:r>
      <w:r>
        <w:rPr>
          <w:rFonts w:ascii="宋体" w:hAnsi="宋体" w:eastAsia="宋体" w:cs="宋体"/>
          <w:spacing w:val="-1"/>
          <w:sz w:val="24"/>
          <w:szCs w:val="24"/>
        </w:rPr>
        <w:t>随任何因素发生变化。</w:t>
      </w:r>
    </w:p>
    <w:p w14:paraId="27B312F3">
      <w:pPr>
        <w:spacing w:line="359" w:lineRule="auto"/>
        <w:ind w:left="9" w:right="181" w:firstLine="483"/>
        <w:jc w:val="both"/>
        <w:rPr>
          <w:rFonts w:ascii="宋体" w:hAnsi="宋体" w:eastAsia="宋体" w:cs="宋体"/>
          <w:sz w:val="24"/>
          <w:szCs w:val="24"/>
        </w:rPr>
      </w:pPr>
      <w:r>
        <w:rPr>
          <w:rFonts w:ascii="宋体" w:hAnsi="宋体" w:eastAsia="宋体" w:cs="宋体"/>
          <w:spacing w:val="-1"/>
          <w:sz w:val="24"/>
          <w:szCs w:val="24"/>
        </w:rPr>
        <w:t>5.2.5</w:t>
      </w:r>
      <w:r>
        <w:rPr>
          <w:rFonts w:ascii="宋体" w:hAnsi="宋体" w:eastAsia="宋体" w:cs="宋体"/>
          <w:spacing w:val="-30"/>
          <w:sz w:val="24"/>
          <w:szCs w:val="24"/>
        </w:rPr>
        <w:t xml:space="preserve"> </w:t>
      </w:r>
      <w:r>
        <w:rPr>
          <w:rFonts w:ascii="宋体" w:hAnsi="宋体" w:eastAsia="宋体" w:cs="宋体"/>
          <w:spacing w:val="-1"/>
          <w:sz w:val="24"/>
          <w:szCs w:val="24"/>
        </w:rPr>
        <w:t>在投标文件第一个信封（商务及技术文件）或第二个信封（报价文件）开标</w:t>
      </w:r>
      <w:r>
        <w:rPr>
          <w:rFonts w:ascii="宋体" w:hAnsi="宋体" w:eastAsia="宋体" w:cs="宋体"/>
          <w:spacing w:val="-2"/>
          <w:sz w:val="24"/>
          <w:szCs w:val="24"/>
        </w:rPr>
        <w:t>过程中，若招标人宣读的内容与投标文件不符时，投标人有权在开标现场提出异议，经招标人当场核查确认之后，可重新宣读其投标文件。若投标人现场未提出异议，则认为</w:t>
      </w:r>
      <w:r>
        <w:rPr>
          <w:rFonts w:ascii="宋体" w:hAnsi="宋体" w:eastAsia="宋体" w:cs="宋体"/>
          <w:spacing w:val="-1"/>
          <w:sz w:val="24"/>
          <w:szCs w:val="24"/>
        </w:rPr>
        <w:t>投标人已确认招标人宣读的内容。</w:t>
      </w:r>
    </w:p>
    <w:p w14:paraId="74BCA68F">
      <w:pPr>
        <w:spacing w:line="219" w:lineRule="auto"/>
        <w:ind w:left="13"/>
        <w:rPr>
          <w:rFonts w:ascii="宋体" w:hAnsi="宋体" w:eastAsia="宋体" w:cs="宋体"/>
          <w:sz w:val="24"/>
          <w:szCs w:val="24"/>
        </w:rPr>
      </w:pPr>
      <w:r>
        <w:rPr>
          <w:rFonts w:ascii="宋体" w:hAnsi="宋体" w:eastAsia="宋体" w:cs="宋体"/>
          <w:b/>
          <w:bCs/>
          <w:spacing w:val="-6"/>
          <w:sz w:val="24"/>
          <w:szCs w:val="24"/>
        </w:rPr>
        <w:t>5.3</w:t>
      </w:r>
      <w:r>
        <w:rPr>
          <w:rFonts w:ascii="宋体" w:hAnsi="宋体" w:eastAsia="宋体" w:cs="宋体"/>
          <w:spacing w:val="16"/>
          <w:sz w:val="24"/>
          <w:szCs w:val="24"/>
        </w:rPr>
        <w:t xml:space="preserve"> </w:t>
      </w:r>
      <w:r>
        <w:rPr>
          <w:rFonts w:ascii="宋体" w:hAnsi="宋体" w:eastAsia="宋体" w:cs="宋体"/>
          <w:b/>
          <w:bCs/>
          <w:spacing w:val="-6"/>
          <w:sz w:val="24"/>
          <w:szCs w:val="24"/>
        </w:rPr>
        <w:t>开标异议</w:t>
      </w:r>
    </w:p>
    <w:p w14:paraId="599D5350">
      <w:pPr>
        <w:spacing w:before="178" w:line="360" w:lineRule="auto"/>
        <w:ind w:left="9" w:firstLine="481"/>
        <w:jc w:val="both"/>
        <w:rPr>
          <w:rFonts w:ascii="宋体" w:hAnsi="宋体" w:eastAsia="宋体" w:cs="宋体"/>
          <w:sz w:val="24"/>
          <w:szCs w:val="24"/>
        </w:rPr>
      </w:pPr>
      <w:r>
        <w:rPr>
          <w:rFonts w:ascii="宋体" w:hAnsi="宋体" w:eastAsia="宋体" w:cs="宋体"/>
          <w:spacing w:val="-5"/>
          <w:sz w:val="24"/>
          <w:szCs w:val="24"/>
        </w:rPr>
        <w:t>投标人对开标有异议的，应在开标现场提出（采用电子化开标的可</w:t>
      </w:r>
      <w:r>
        <w:rPr>
          <w:rFonts w:ascii="宋体" w:hAnsi="宋体" w:eastAsia="宋体" w:cs="宋体"/>
          <w:spacing w:val="-6"/>
          <w:sz w:val="24"/>
          <w:szCs w:val="24"/>
        </w:rPr>
        <w:t>在系统平台提出</w:t>
      </w:r>
      <w:r>
        <w:rPr>
          <w:rFonts w:ascii="宋体" w:hAnsi="宋体" w:eastAsia="宋体" w:cs="宋体"/>
          <w:spacing w:val="-53"/>
          <w:w w:val="85"/>
          <w:sz w:val="24"/>
          <w:szCs w:val="24"/>
        </w:rPr>
        <w:t>），</w:t>
      </w:r>
      <w:r>
        <w:rPr>
          <w:rFonts w:ascii="宋体" w:hAnsi="宋体" w:eastAsia="宋体" w:cs="宋体"/>
          <w:spacing w:val="-1"/>
          <w:sz w:val="24"/>
          <w:szCs w:val="24"/>
        </w:rPr>
        <w:t>招标人当场作出答复（采用电子化开标的可在系</w:t>
      </w:r>
      <w:r>
        <w:rPr>
          <w:rFonts w:ascii="宋体" w:hAnsi="宋体" w:eastAsia="宋体" w:cs="宋体"/>
          <w:spacing w:val="-2"/>
          <w:sz w:val="24"/>
          <w:szCs w:val="24"/>
        </w:rPr>
        <w:t>统平台答复</w:t>
      </w:r>
      <w:r>
        <w:rPr>
          <w:rFonts w:ascii="宋体" w:hAnsi="宋体" w:eastAsia="宋体" w:cs="宋体"/>
          <w:spacing w:val="-7"/>
          <w:sz w:val="24"/>
          <w:szCs w:val="24"/>
        </w:rPr>
        <w:t>），</w:t>
      </w:r>
      <w:r>
        <w:rPr>
          <w:rFonts w:ascii="宋体" w:hAnsi="宋体" w:eastAsia="宋体" w:cs="宋体"/>
          <w:spacing w:val="-2"/>
          <w:sz w:val="24"/>
          <w:szCs w:val="24"/>
        </w:rPr>
        <w:t>并制作记录，有异议的投标人（现场如有）、招标人代表、记录人等有关人员在记录上签字确认。未参加开标</w:t>
      </w:r>
      <w:r>
        <w:rPr>
          <w:rFonts w:ascii="宋体" w:hAnsi="宋体" w:eastAsia="宋体" w:cs="宋体"/>
          <w:spacing w:val="-1"/>
          <w:sz w:val="24"/>
          <w:szCs w:val="24"/>
        </w:rPr>
        <w:t>的投标人，视为对开标过程无异议。</w:t>
      </w:r>
    </w:p>
    <w:p w14:paraId="2BBCA592">
      <w:pPr>
        <w:spacing w:line="219" w:lineRule="auto"/>
        <w:ind w:left="13"/>
        <w:rPr>
          <w:rFonts w:ascii="宋体" w:hAnsi="宋体" w:eastAsia="宋体" w:cs="宋体"/>
          <w:sz w:val="24"/>
          <w:szCs w:val="24"/>
        </w:rPr>
      </w:pPr>
      <w:r>
        <w:rPr>
          <w:rFonts w:ascii="宋体" w:hAnsi="宋体" w:eastAsia="宋体" w:cs="宋体"/>
          <w:b/>
          <w:bCs/>
          <w:spacing w:val="-3"/>
          <w:sz w:val="24"/>
          <w:szCs w:val="24"/>
        </w:rPr>
        <w:t>5.4</w:t>
      </w:r>
      <w:r>
        <w:rPr>
          <w:rFonts w:ascii="宋体" w:hAnsi="宋体" w:eastAsia="宋体" w:cs="宋体"/>
          <w:spacing w:val="-3"/>
          <w:sz w:val="24"/>
          <w:szCs w:val="24"/>
        </w:rPr>
        <w:t xml:space="preserve"> </w:t>
      </w:r>
      <w:r>
        <w:rPr>
          <w:rFonts w:ascii="宋体" w:hAnsi="宋体" w:eastAsia="宋体" w:cs="宋体"/>
          <w:b/>
          <w:bCs/>
          <w:spacing w:val="-3"/>
          <w:sz w:val="24"/>
          <w:szCs w:val="24"/>
        </w:rPr>
        <w:t>开标补救措施</w:t>
      </w:r>
    </w:p>
    <w:p w14:paraId="0E040594">
      <w:pPr>
        <w:spacing w:before="180" w:line="359" w:lineRule="auto"/>
        <w:ind w:left="7" w:right="181" w:firstLine="485"/>
        <w:rPr>
          <w:rFonts w:ascii="宋体" w:hAnsi="宋体" w:eastAsia="宋体" w:cs="宋体"/>
          <w:sz w:val="24"/>
          <w:szCs w:val="24"/>
        </w:rPr>
      </w:pPr>
      <w:r>
        <w:rPr>
          <w:rFonts w:ascii="宋体" w:hAnsi="宋体" w:eastAsia="宋体" w:cs="宋体"/>
          <w:spacing w:val="-1"/>
          <w:sz w:val="24"/>
          <w:szCs w:val="24"/>
        </w:rPr>
        <w:t>5.4.1</w:t>
      </w:r>
      <w:r>
        <w:rPr>
          <w:rFonts w:ascii="宋体" w:hAnsi="宋体" w:eastAsia="宋体" w:cs="宋体"/>
          <w:spacing w:val="-30"/>
          <w:sz w:val="24"/>
          <w:szCs w:val="24"/>
        </w:rPr>
        <w:t xml:space="preserve"> </w:t>
      </w:r>
      <w:r>
        <w:rPr>
          <w:rFonts w:ascii="宋体" w:hAnsi="宋体" w:eastAsia="宋体" w:cs="宋体"/>
          <w:spacing w:val="-1"/>
          <w:sz w:val="24"/>
          <w:szCs w:val="24"/>
        </w:rPr>
        <w:t>开标过程中因出现以下情况，导致系统无法正常运行，应中止电子开标，并</w:t>
      </w:r>
      <w:r>
        <w:rPr>
          <w:rFonts w:ascii="宋体" w:hAnsi="宋体" w:eastAsia="宋体" w:cs="宋体"/>
          <w:sz w:val="24"/>
          <w:szCs w:val="24"/>
        </w:rPr>
        <w:t>在恢复正常后及时安排时间开标。同时，做好</w:t>
      </w:r>
      <w:r>
        <w:rPr>
          <w:rFonts w:ascii="宋体" w:hAnsi="宋体" w:eastAsia="宋体" w:cs="宋体"/>
          <w:spacing w:val="-1"/>
          <w:sz w:val="24"/>
          <w:szCs w:val="24"/>
        </w:rPr>
        <w:t>后续开标的前期工作。</w:t>
      </w:r>
    </w:p>
    <w:p w14:paraId="47C5AFE0">
      <w:pPr>
        <w:spacing w:before="1" w:line="219" w:lineRule="auto"/>
        <w:ind w:left="530"/>
        <w:rPr>
          <w:rFonts w:ascii="宋体" w:hAnsi="宋体" w:eastAsia="宋体" w:cs="宋体"/>
          <w:sz w:val="24"/>
          <w:szCs w:val="24"/>
        </w:rPr>
      </w:pPr>
      <w:r>
        <w:rPr>
          <w:rFonts w:ascii="宋体" w:hAnsi="宋体" w:eastAsia="宋体" w:cs="宋体"/>
          <w:spacing w:val="-2"/>
          <w:sz w:val="24"/>
          <w:szCs w:val="24"/>
        </w:rPr>
        <w:t>(1)系统服务器发生故障，无法访问或无法使用</w:t>
      </w:r>
      <w:r>
        <w:rPr>
          <w:rFonts w:ascii="宋体" w:hAnsi="宋体" w:eastAsia="宋体" w:cs="宋体"/>
          <w:spacing w:val="-3"/>
          <w:sz w:val="24"/>
          <w:szCs w:val="24"/>
        </w:rPr>
        <w:t>系统；</w:t>
      </w:r>
    </w:p>
    <w:p w14:paraId="1B1AC763">
      <w:pPr>
        <w:spacing w:before="181" w:line="219" w:lineRule="auto"/>
        <w:ind w:left="530"/>
        <w:rPr>
          <w:rFonts w:ascii="宋体" w:hAnsi="宋体" w:eastAsia="宋体" w:cs="宋体"/>
          <w:sz w:val="24"/>
          <w:szCs w:val="24"/>
        </w:rPr>
      </w:pPr>
      <w:r>
        <w:rPr>
          <w:rFonts w:ascii="宋体" w:hAnsi="宋体" w:eastAsia="宋体" w:cs="宋体"/>
          <w:spacing w:val="-2"/>
          <w:sz w:val="24"/>
          <w:szCs w:val="24"/>
        </w:rPr>
        <w:t>(2)系统的软件或数据库出现错误，不能进行正常操作；</w:t>
      </w:r>
    </w:p>
    <w:p w14:paraId="7FA82502">
      <w:pPr>
        <w:spacing w:before="182" w:line="220" w:lineRule="auto"/>
        <w:ind w:left="530"/>
        <w:rPr>
          <w:rFonts w:ascii="宋体" w:hAnsi="宋体" w:eastAsia="宋体" w:cs="宋体"/>
          <w:sz w:val="24"/>
          <w:szCs w:val="24"/>
        </w:rPr>
      </w:pPr>
      <w:r>
        <w:rPr>
          <w:rFonts w:ascii="宋体" w:hAnsi="宋体" w:eastAsia="宋体" w:cs="宋体"/>
          <w:spacing w:val="-3"/>
          <w:sz w:val="24"/>
          <w:szCs w:val="24"/>
        </w:rPr>
        <w:t>(3)系统发现有安全漏洞，有潜在的泄密危险；</w:t>
      </w:r>
    </w:p>
    <w:p w14:paraId="05D18781">
      <w:pPr>
        <w:spacing w:before="182" w:line="219" w:lineRule="auto"/>
        <w:ind w:left="530"/>
        <w:rPr>
          <w:rFonts w:ascii="宋体" w:hAnsi="宋体" w:eastAsia="宋体" w:cs="宋体"/>
          <w:sz w:val="24"/>
          <w:szCs w:val="24"/>
        </w:rPr>
      </w:pPr>
      <w:r>
        <w:rPr>
          <w:rFonts w:ascii="宋体" w:hAnsi="宋体" w:eastAsia="宋体" w:cs="宋体"/>
          <w:spacing w:val="-3"/>
          <w:sz w:val="24"/>
          <w:szCs w:val="24"/>
        </w:rPr>
        <w:t>(4)出现断电事故且短时间内无法恢复供电的；</w:t>
      </w:r>
    </w:p>
    <w:p w14:paraId="46B0F3DC">
      <w:pPr>
        <w:spacing w:before="181" w:line="220" w:lineRule="auto"/>
        <w:ind w:left="530"/>
        <w:rPr>
          <w:rFonts w:ascii="宋体" w:hAnsi="宋体" w:eastAsia="宋体" w:cs="宋体"/>
          <w:sz w:val="24"/>
          <w:szCs w:val="24"/>
        </w:rPr>
      </w:pPr>
      <w:r>
        <w:rPr>
          <w:rFonts w:ascii="宋体" w:hAnsi="宋体" w:eastAsia="宋体" w:cs="宋体"/>
          <w:spacing w:val="-3"/>
          <w:sz w:val="24"/>
          <w:szCs w:val="24"/>
        </w:rPr>
        <w:t>(5)其他无法保证招投标过程正常进行的情形。</w:t>
      </w:r>
    </w:p>
    <w:p w14:paraId="1553210D">
      <w:pPr>
        <w:spacing w:before="182" w:line="219" w:lineRule="auto"/>
        <w:ind w:left="493"/>
        <w:rPr>
          <w:rFonts w:ascii="宋体" w:hAnsi="宋体" w:eastAsia="宋体" w:cs="宋体"/>
          <w:sz w:val="24"/>
          <w:szCs w:val="24"/>
        </w:rPr>
      </w:pPr>
      <w:r>
        <w:rPr>
          <w:rFonts w:ascii="宋体" w:hAnsi="宋体" w:eastAsia="宋体" w:cs="宋体"/>
          <w:spacing w:val="-1"/>
          <w:sz w:val="24"/>
          <w:szCs w:val="24"/>
        </w:rPr>
        <w:t>5.4.2 采取补救措施时，必须对原有资料及信息作出妥善保密处理。</w:t>
      </w:r>
    </w:p>
    <w:p w14:paraId="354F3202">
      <w:pPr>
        <w:spacing w:before="181" w:line="220" w:lineRule="auto"/>
        <w:ind w:left="10"/>
        <w:rPr>
          <w:rFonts w:ascii="宋体" w:hAnsi="宋体" w:eastAsia="宋体" w:cs="宋体"/>
          <w:sz w:val="24"/>
          <w:szCs w:val="24"/>
        </w:rPr>
      </w:pPr>
      <w:r>
        <w:rPr>
          <w:rFonts w:ascii="宋体" w:hAnsi="宋体" w:eastAsia="宋体" w:cs="宋体"/>
          <w:b/>
          <w:bCs/>
          <w:spacing w:val="-5"/>
          <w:sz w:val="24"/>
          <w:szCs w:val="24"/>
        </w:rPr>
        <w:t>6.评标</w:t>
      </w:r>
    </w:p>
    <w:p w14:paraId="7BAC4068">
      <w:pPr>
        <w:spacing w:before="182" w:line="219" w:lineRule="auto"/>
        <w:ind w:left="10"/>
        <w:rPr>
          <w:rFonts w:ascii="宋体" w:hAnsi="宋体" w:eastAsia="宋体" w:cs="宋体"/>
          <w:sz w:val="24"/>
          <w:szCs w:val="24"/>
        </w:rPr>
      </w:pPr>
      <w:r>
        <w:rPr>
          <w:rFonts w:ascii="宋体" w:hAnsi="宋体" w:eastAsia="宋体" w:cs="宋体"/>
          <w:b/>
          <w:bCs/>
          <w:spacing w:val="-3"/>
          <w:sz w:val="24"/>
          <w:szCs w:val="24"/>
        </w:rPr>
        <w:t>6.1</w:t>
      </w:r>
      <w:r>
        <w:rPr>
          <w:rFonts w:ascii="宋体" w:hAnsi="宋体" w:eastAsia="宋体" w:cs="宋体"/>
          <w:spacing w:val="-3"/>
          <w:sz w:val="24"/>
          <w:szCs w:val="24"/>
        </w:rPr>
        <w:t xml:space="preserve"> </w:t>
      </w:r>
      <w:r>
        <w:rPr>
          <w:rFonts w:ascii="宋体" w:hAnsi="宋体" w:eastAsia="宋体" w:cs="宋体"/>
          <w:b/>
          <w:bCs/>
          <w:spacing w:val="-3"/>
          <w:sz w:val="24"/>
          <w:szCs w:val="24"/>
        </w:rPr>
        <w:t>评标委员会</w:t>
      </w:r>
    </w:p>
    <w:p w14:paraId="6C2C1D0D">
      <w:pPr>
        <w:spacing w:before="183" w:line="359" w:lineRule="auto"/>
        <w:ind w:left="7" w:right="82" w:firstLine="482"/>
        <w:rPr>
          <w:rFonts w:ascii="宋体" w:hAnsi="宋体" w:eastAsia="宋体" w:cs="宋体"/>
          <w:sz w:val="24"/>
          <w:szCs w:val="24"/>
        </w:rPr>
      </w:pPr>
      <w:r>
        <w:rPr>
          <w:rFonts w:ascii="宋体" w:hAnsi="宋体" w:eastAsia="宋体" w:cs="宋体"/>
          <w:spacing w:val="-4"/>
          <w:sz w:val="24"/>
          <w:szCs w:val="24"/>
        </w:rPr>
        <w:t>6.1.1</w:t>
      </w:r>
      <w:r>
        <w:rPr>
          <w:rFonts w:ascii="宋体" w:hAnsi="宋体" w:eastAsia="宋体" w:cs="宋体"/>
          <w:spacing w:val="-50"/>
          <w:sz w:val="24"/>
          <w:szCs w:val="24"/>
        </w:rPr>
        <w:t xml:space="preserve"> </w:t>
      </w:r>
      <w:r>
        <w:rPr>
          <w:rFonts w:ascii="宋体" w:hAnsi="宋体" w:eastAsia="宋体" w:cs="宋体"/>
          <w:spacing w:val="-4"/>
          <w:sz w:val="24"/>
          <w:szCs w:val="24"/>
        </w:rPr>
        <w:t>评标由招标人依法组建的评标委员会负责。评标委员会由招标人（或其委派）</w:t>
      </w:r>
      <w:r>
        <w:rPr>
          <w:rFonts w:ascii="宋体" w:hAnsi="宋体" w:eastAsia="宋体" w:cs="宋体"/>
          <w:spacing w:val="-2"/>
          <w:sz w:val="24"/>
          <w:szCs w:val="24"/>
        </w:rPr>
        <w:t>代表（简称“招标人代表</w:t>
      </w:r>
      <w:r>
        <w:rPr>
          <w:rFonts w:ascii="宋体" w:hAnsi="宋体" w:eastAsia="宋体" w:cs="宋体"/>
          <w:spacing w:val="-87"/>
          <w:sz w:val="24"/>
          <w:szCs w:val="24"/>
        </w:rPr>
        <w:t xml:space="preserve"> </w:t>
      </w:r>
      <w:r>
        <w:rPr>
          <w:rFonts w:ascii="宋体" w:hAnsi="宋体" w:eastAsia="宋体" w:cs="宋体"/>
          <w:spacing w:val="-2"/>
          <w:sz w:val="24"/>
          <w:szCs w:val="24"/>
        </w:rPr>
        <w:t>”</w:t>
      </w:r>
      <w:r>
        <w:rPr>
          <w:rFonts w:ascii="宋体" w:hAnsi="宋体" w:eastAsia="宋体" w:cs="宋体"/>
          <w:spacing w:val="-7"/>
          <w:sz w:val="24"/>
          <w:szCs w:val="24"/>
        </w:rPr>
        <w:t>），</w:t>
      </w:r>
      <w:r>
        <w:rPr>
          <w:rFonts w:ascii="宋体" w:hAnsi="宋体" w:eastAsia="宋体" w:cs="宋体"/>
          <w:spacing w:val="-2"/>
          <w:sz w:val="24"/>
          <w:szCs w:val="24"/>
        </w:rPr>
        <w:t>以及有关技术、经济等方面的专</w:t>
      </w:r>
      <w:r>
        <w:rPr>
          <w:rFonts w:ascii="宋体" w:hAnsi="宋体" w:eastAsia="宋体" w:cs="宋体"/>
          <w:spacing w:val="-3"/>
          <w:sz w:val="24"/>
          <w:szCs w:val="24"/>
        </w:rPr>
        <w:t>家组成。评标委员会成</w:t>
      </w:r>
      <w:r>
        <w:rPr>
          <w:rFonts w:ascii="宋体" w:hAnsi="宋体" w:eastAsia="宋体" w:cs="宋体"/>
          <w:sz w:val="24"/>
          <w:szCs w:val="24"/>
        </w:rPr>
        <w:t>员人数以及技术、经济等方面专家的确定方式</w:t>
      </w:r>
      <w:r>
        <w:rPr>
          <w:rFonts w:ascii="宋体" w:hAnsi="宋体" w:eastAsia="宋体" w:cs="宋体"/>
          <w:spacing w:val="-1"/>
          <w:sz w:val="24"/>
          <w:szCs w:val="24"/>
        </w:rPr>
        <w:t>见投标人须知前附表。</w:t>
      </w:r>
    </w:p>
    <w:p w14:paraId="19BDBD5F">
      <w:pPr>
        <w:spacing w:line="218" w:lineRule="auto"/>
        <w:ind w:left="490"/>
        <w:rPr>
          <w:rFonts w:ascii="宋体" w:hAnsi="宋体" w:eastAsia="宋体" w:cs="宋体"/>
          <w:sz w:val="24"/>
          <w:szCs w:val="24"/>
        </w:rPr>
      </w:pPr>
      <w:r>
        <w:rPr>
          <w:rFonts w:ascii="宋体" w:hAnsi="宋体" w:eastAsia="宋体" w:cs="宋体"/>
          <w:spacing w:val="-1"/>
          <w:sz w:val="24"/>
          <w:szCs w:val="24"/>
        </w:rPr>
        <w:t>6.1.2 评标委员会成员有下列情形之一的，应主动提出回避：</w:t>
      </w:r>
    </w:p>
    <w:p w14:paraId="6EF8E1ED">
      <w:pPr>
        <w:spacing w:before="182" w:line="219" w:lineRule="auto"/>
        <w:ind w:left="499"/>
        <w:rPr>
          <w:rFonts w:ascii="宋体" w:hAnsi="宋体" w:eastAsia="宋体" w:cs="宋体"/>
          <w:sz w:val="24"/>
          <w:szCs w:val="24"/>
        </w:rPr>
      </w:pPr>
      <w:r>
        <w:rPr>
          <w:rFonts w:ascii="宋体" w:hAnsi="宋体" w:eastAsia="宋体" w:cs="宋体"/>
          <w:spacing w:val="-1"/>
          <w:sz w:val="24"/>
          <w:szCs w:val="24"/>
        </w:rPr>
        <w:t>（1）为负责招标项目监督管理的交通运输主管部门的工作人员；</w:t>
      </w:r>
    </w:p>
    <w:p w14:paraId="7523BC73">
      <w:pPr>
        <w:spacing w:before="184" w:line="219" w:lineRule="auto"/>
        <w:ind w:left="499"/>
        <w:rPr>
          <w:rFonts w:ascii="宋体" w:hAnsi="宋体" w:eastAsia="宋体" w:cs="宋体"/>
          <w:sz w:val="24"/>
          <w:szCs w:val="24"/>
        </w:rPr>
      </w:pPr>
      <w:r>
        <w:rPr>
          <w:rFonts w:ascii="宋体" w:hAnsi="宋体" w:eastAsia="宋体" w:cs="宋体"/>
          <w:spacing w:val="-1"/>
          <w:sz w:val="24"/>
          <w:szCs w:val="24"/>
        </w:rPr>
        <w:t>（2）与投标人法定代表人或者授权参与投标的代理人有近亲属关系的人员；</w:t>
      </w:r>
    </w:p>
    <w:p w14:paraId="7BBD5997">
      <w:pPr>
        <w:spacing w:before="78" w:line="219" w:lineRule="auto"/>
        <w:ind w:left="499"/>
        <w:rPr>
          <w:rFonts w:ascii="宋体" w:hAnsi="宋体" w:eastAsia="宋体" w:cs="宋体"/>
          <w:sz w:val="24"/>
          <w:szCs w:val="24"/>
        </w:rPr>
      </w:pPr>
      <w:r>
        <w:rPr>
          <w:rFonts w:ascii="宋体" w:hAnsi="宋体" w:eastAsia="宋体" w:cs="宋体"/>
          <w:spacing w:val="-2"/>
          <w:sz w:val="24"/>
          <w:szCs w:val="24"/>
        </w:rPr>
        <w:t>（3）为投标人的工作人员或退休或离职未满</w:t>
      </w:r>
      <w:r>
        <w:rPr>
          <w:rFonts w:ascii="宋体" w:hAnsi="宋体" w:eastAsia="宋体" w:cs="宋体"/>
          <w:spacing w:val="-41"/>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年的人员；</w:t>
      </w:r>
    </w:p>
    <w:p w14:paraId="51E00911">
      <w:pPr>
        <w:spacing w:before="180" w:line="220" w:lineRule="auto"/>
        <w:ind w:left="499"/>
        <w:rPr>
          <w:rFonts w:ascii="宋体" w:hAnsi="宋体" w:eastAsia="宋体" w:cs="宋体"/>
          <w:sz w:val="24"/>
          <w:szCs w:val="24"/>
        </w:rPr>
      </w:pPr>
      <w:r>
        <w:rPr>
          <w:rFonts w:ascii="宋体" w:hAnsi="宋体" w:eastAsia="宋体" w:cs="宋体"/>
          <w:spacing w:val="-1"/>
          <w:sz w:val="24"/>
          <w:szCs w:val="24"/>
        </w:rPr>
        <w:t>（4）与投标人有其他利害关系，可能影响评标活动公正性；</w:t>
      </w:r>
    </w:p>
    <w:p w14:paraId="1237C492">
      <w:pPr>
        <w:spacing w:before="182" w:line="359" w:lineRule="auto"/>
        <w:ind w:left="489" w:firstLine="10"/>
        <w:rPr>
          <w:rFonts w:ascii="宋体" w:hAnsi="宋体" w:eastAsia="宋体" w:cs="宋体"/>
          <w:sz w:val="24"/>
          <w:szCs w:val="24"/>
        </w:rPr>
      </w:pPr>
      <w:r>
        <w:rPr>
          <w:rFonts w:ascii="宋体" w:hAnsi="宋体" w:eastAsia="宋体" w:cs="宋体"/>
          <w:spacing w:val="-3"/>
          <w:sz w:val="24"/>
          <w:szCs w:val="24"/>
        </w:rPr>
        <w:t>（5）在与招标投标有关的活动中有过违法违规行为、曾受过行政处罚或刑</w:t>
      </w:r>
      <w:r>
        <w:rPr>
          <w:rFonts w:ascii="宋体" w:hAnsi="宋体" w:eastAsia="宋体" w:cs="宋体"/>
          <w:spacing w:val="-4"/>
          <w:sz w:val="24"/>
          <w:szCs w:val="24"/>
        </w:rPr>
        <w:t>事处罚。</w:t>
      </w:r>
      <w:r>
        <w:rPr>
          <w:rFonts w:ascii="宋体" w:hAnsi="宋体" w:eastAsia="宋体" w:cs="宋体"/>
          <w:spacing w:val="-2"/>
          <w:sz w:val="24"/>
          <w:szCs w:val="24"/>
        </w:rPr>
        <w:t>招标人及其子公司、招标人下属单位、招标人的上级主管部门或者控股公司、招标</w:t>
      </w:r>
    </w:p>
    <w:p w14:paraId="7ECB2069">
      <w:pPr>
        <w:spacing w:line="359" w:lineRule="auto"/>
        <w:ind w:left="11" w:right="267" w:hanging="4"/>
        <w:rPr>
          <w:rFonts w:ascii="宋体" w:hAnsi="宋体" w:eastAsia="宋体" w:cs="宋体"/>
          <w:sz w:val="24"/>
          <w:szCs w:val="24"/>
        </w:rPr>
      </w:pPr>
      <w:r>
        <w:rPr>
          <w:rFonts w:ascii="宋体" w:hAnsi="宋体" w:eastAsia="宋体" w:cs="宋体"/>
          <w:sz w:val="24"/>
          <w:szCs w:val="24"/>
        </w:rPr>
        <w:t>代理机构的工作人员或者退休人员不得以评标专家身份参与本</w:t>
      </w:r>
      <w:r>
        <w:rPr>
          <w:rFonts w:ascii="宋体" w:hAnsi="宋体" w:eastAsia="宋体" w:cs="宋体"/>
          <w:spacing w:val="-1"/>
          <w:sz w:val="24"/>
          <w:szCs w:val="24"/>
        </w:rPr>
        <w:t>单位招标或者招标代理</w:t>
      </w:r>
      <w:r>
        <w:rPr>
          <w:rFonts w:ascii="宋体" w:hAnsi="宋体" w:eastAsia="宋体" w:cs="宋体"/>
          <w:spacing w:val="-3"/>
          <w:sz w:val="24"/>
          <w:szCs w:val="24"/>
        </w:rPr>
        <w:t>项目的评标。</w:t>
      </w:r>
    </w:p>
    <w:p w14:paraId="166E4495">
      <w:pPr>
        <w:spacing w:before="3" w:line="358" w:lineRule="auto"/>
        <w:ind w:left="11" w:right="80" w:firstLine="479"/>
        <w:jc w:val="both"/>
        <w:rPr>
          <w:rFonts w:ascii="宋体" w:hAnsi="宋体" w:eastAsia="宋体" w:cs="宋体"/>
          <w:sz w:val="24"/>
          <w:szCs w:val="24"/>
        </w:rPr>
      </w:pPr>
      <w:r>
        <w:rPr>
          <w:rFonts w:ascii="宋体" w:hAnsi="宋体" w:eastAsia="宋体" w:cs="宋体"/>
          <w:spacing w:val="-1"/>
          <w:sz w:val="24"/>
          <w:szCs w:val="24"/>
        </w:rPr>
        <w:t>6.1.3</w:t>
      </w:r>
      <w:r>
        <w:rPr>
          <w:rFonts w:ascii="宋体" w:hAnsi="宋体" w:eastAsia="宋体" w:cs="宋体"/>
          <w:spacing w:val="-28"/>
          <w:sz w:val="24"/>
          <w:szCs w:val="24"/>
        </w:rPr>
        <w:t xml:space="preserve"> </w:t>
      </w:r>
      <w:r>
        <w:rPr>
          <w:rFonts w:ascii="宋体" w:hAnsi="宋体" w:eastAsia="宋体" w:cs="宋体"/>
          <w:spacing w:val="-1"/>
          <w:sz w:val="24"/>
          <w:szCs w:val="24"/>
        </w:rPr>
        <w:t>评标过程中，评标委员会成员有回避事由、擅离职守或因健康等原因不能继</w:t>
      </w:r>
      <w:r>
        <w:rPr>
          <w:rFonts w:ascii="宋体" w:hAnsi="宋体" w:eastAsia="宋体" w:cs="宋体"/>
          <w:spacing w:val="-2"/>
          <w:sz w:val="24"/>
          <w:szCs w:val="24"/>
        </w:rPr>
        <w:t>续评标的，招标人有权更换。被更换的评标委员会成员作出的评审结论无效，由更换后</w:t>
      </w:r>
      <w:r>
        <w:rPr>
          <w:rFonts w:ascii="宋体" w:hAnsi="宋体" w:eastAsia="宋体" w:cs="宋体"/>
          <w:spacing w:val="-1"/>
          <w:sz w:val="24"/>
          <w:szCs w:val="24"/>
        </w:rPr>
        <w:t>的评标委员会成员重新进行评审。</w:t>
      </w:r>
    </w:p>
    <w:p w14:paraId="5C14341B">
      <w:pPr>
        <w:spacing w:line="220" w:lineRule="auto"/>
        <w:ind w:left="10"/>
        <w:rPr>
          <w:rFonts w:ascii="宋体" w:hAnsi="宋体" w:eastAsia="宋体" w:cs="宋体"/>
          <w:sz w:val="24"/>
          <w:szCs w:val="24"/>
        </w:rPr>
      </w:pPr>
      <w:r>
        <w:rPr>
          <w:rFonts w:ascii="宋体" w:hAnsi="宋体" w:eastAsia="宋体" w:cs="宋体"/>
          <w:b/>
          <w:bCs/>
          <w:spacing w:val="-3"/>
          <w:sz w:val="24"/>
          <w:szCs w:val="24"/>
        </w:rPr>
        <w:t>6.2</w:t>
      </w:r>
      <w:r>
        <w:rPr>
          <w:rFonts w:ascii="宋体" w:hAnsi="宋体" w:eastAsia="宋体" w:cs="宋体"/>
          <w:spacing w:val="-3"/>
          <w:sz w:val="24"/>
          <w:szCs w:val="24"/>
        </w:rPr>
        <w:t xml:space="preserve"> </w:t>
      </w:r>
      <w:r>
        <w:rPr>
          <w:rFonts w:ascii="宋体" w:hAnsi="宋体" w:eastAsia="宋体" w:cs="宋体"/>
          <w:b/>
          <w:bCs/>
          <w:spacing w:val="-3"/>
          <w:sz w:val="24"/>
          <w:szCs w:val="24"/>
        </w:rPr>
        <w:t>评标原则</w:t>
      </w:r>
    </w:p>
    <w:p w14:paraId="35EE194C">
      <w:pPr>
        <w:spacing w:before="181" w:line="219" w:lineRule="auto"/>
        <w:ind w:left="487"/>
        <w:rPr>
          <w:rFonts w:ascii="宋体" w:hAnsi="宋体" w:eastAsia="宋体" w:cs="宋体"/>
          <w:sz w:val="24"/>
          <w:szCs w:val="24"/>
        </w:rPr>
      </w:pPr>
      <w:r>
        <w:rPr>
          <w:rFonts w:ascii="宋体" w:hAnsi="宋体" w:eastAsia="宋体" w:cs="宋体"/>
          <w:spacing w:val="-1"/>
          <w:sz w:val="24"/>
          <w:szCs w:val="24"/>
        </w:rPr>
        <w:t>评标活动遵循公平、公正、科学和择优的原则。</w:t>
      </w:r>
    </w:p>
    <w:p w14:paraId="1CBFDA44">
      <w:pPr>
        <w:spacing w:before="181" w:line="220" w:lineRule="auto"/>
        <w:ind w:left="10"/>
        <w:rPr>
          <w:rFonts w:ascii="宋体" w:hAnsi="宋体" w:eastAsia="宋体" w:cs="宋体"/>
          <w:sz w:val="24"/>
          <w:szCs w:val="24"/>
        </w:rPr>
      </w:pPr>
      <w:r>
        <w:rPr>
          <w:rFonts w:ascii="宋体" w:hAnsi="宋体" w:eastAsia="宋体" w:cs="宋体"/>
          <w:b/>
          <w:bCs/>
          <w:spacing w:val="-6"/>
          <w:sz w:val="24"/>
          <w:szCs w:val="24"/>
        </w:rPr>
        <w:t>6.3</w:t>
      </w:r>
      <w:r>
        <w:rPr>
          <w:rFonts w:ascii="宋体" w:hAnsi="宋体" w:eastAsia="宋体" w:cs="宋体"/>
          <w:spacing w:val="10"/>
          <w:sz w:val="24"/>
          <w:szCs w:val="24"/>
        </w:rPr>
        <w:t xml:space="preserve"> </w:t>
      </w:r>
      <w:r>
        <w:rPr>
          <w:rFonts w:ascii="宋体" w:hAnsi="宋体" w:eastAsia="宋体" w:cs="宋体"/>
          <w:b/>
          <w:bCs/>
          <w:spacing w:val="-6"/>
          <w:sz w:val="24"/>
          <w:szCs w:val="24"/>
        </w:rPr>
        <w:t>评标</w:t>
      </w:r>
    </w:p>
    <w:p w14:paraId="1797D529">
      <w:pPr>
        <w:keepNext w:val="0"/>
        <w:keepLines w:val="0"/>
        <w:pageBreakBefore w:val="0"/>
        <w:widowControl/>
        <w:kinsoku w:val="0"/>
        <w:wordWrap/>
        <w:overflowPunct/>
        <w:topLinePunct w:val="0"/>
        <w:autoSpaceDE w:val="0"/>
        <w:autoSpaceDN w:val="0"/>
        <w:bidi w:val="0"/>
        <w:adjustRightInd w:val="0"/>
        <w:snapToGrid w:val="0"/>
        <w:spacing w:before="183" w:line="360" w:lineRule="auto"/>
        <w:ind w:left="11" w:right="79" w:firstLine="476" w:firstLineChars="200"/>
        <w:textAlignment w:val="baseline"/>
        <w:rPr>
          <w:rFonts w:ascii="宋体" w:hAnsi="宋体" w:eastAsia="宋体" w:cs="宋体"/>
          <w:sz w:val="24"/>
          <w:szCs w:val="24"/>
        </w:rPr>
      </w:pPr>
      <w:r>
        <w:rPr>
          <w:rFonts w:ascii="宋体" w:hAnsi="宋体" w:eastAsia="宋体" w:cs="宋体"/>
          <w:spacing w:val="-1"/>
          <w:sz w:val="24"/>
          <w:szCs w:val="24"/>
        </w:rPr>
        <w:t>6.3.1</w:t>
      </w:r>
      <w:r>
        <w:rPr>
          <w:rFonts w:ascii="宋体" w:hAnsi="宋体" w:eastAsia="宋体" w:cs="宋体"/>
          <w:spacing w:val="-45"/>
          <w:sz w:val="24"/>
          <w:szCs w:val="24"/>
        </w:rPr>
        <w:t xml:space="preserve"> </w:t>
      </w:r>
      <w:r>
        <w:rPr>
          <w:rFonts w:ascii="宋体" w:hAnsi="宋体" w:eastAsia="宋体" w:cs="宋体"/>
          <w:spacing w:val="-1"/>
          <w:sz w:val="24"/>
          <w:szCs w:val="24"/>
        </w:rPr>
        <w:t xml:space="preserve">评标委员会按照第三章评标办法 </w:t>
      </w:r>
      <w:r>
        <w:rPr>
          <w:rFonts w:hint="eastAsia" w:ascii="宋体" w:hAnsi="宋体" w:eastAsia="宋体" w:cs="宋体"/>
          <w:spacing w:val="-1"/>
          <w:sz w:val="24"/>
          <w:szCs w:val="24"/>
          <w:lang w:eastAsia="zh-CN"/>
        </w:rPr>
        <w:t>（评定分离办法）“二、评标办法”</w:t>
      </w:r>
      <w:r>
        <w:rPr>
          <w:rFonts w:ascii="宋体" w:hAnsi="宋体" w:eastAsia="宋体" w:cs="宋体"/>
          <w:spacing w:val="-1"/>
          <w:sz w:val="24"/>
          <w:szCs w:val="24"/>
        </w:rPr>
        <w:t>规定</w:t>
      </w:r>
      <w:r>
        <w:rPr>
          <w:rFonts w:ascii="宋体" w:hAnsi="宋体" w:eastAsia="宋体" w:cs="宋体"/>
          <w:spacing w:val="-2"/>
          <w:sz w:val="24"/>
          <w:szCs w:val="24"/>
        </w:rPr>
        <w:t>的方法、评审因素、标准和程序对</w:t>
      </w:r>
      <w:r>
        <w:rPr>
          <w:rFonts w:ascii="宋体" w:hAnsi="宋体" w:eastAsia="宋体" w:cs="宋体"/>
          <w:spacing w:val="-3"/>
          <w:sz w:val="24"/>
          <w:szCs w:val="24"/>
        </w:rPr>
        <w:t>投标文件进行评审。第三章</w:t>
      </w:r>
      <w:r>
        <w:rPr>
          <w:rFonts w:hint="eastAsia" w:ascii="宋体" w:hAnsi="宋体" w:eastAsia="宋体" w:cs="宋体"/>
          <w:spacing w:val="-3"/>
          <w:sz w:val="24"/>
          <w:szCs w:val="24"/>
          <w:lang w:eastAsia="zh-CN"/>
        </w:rPr>
        <w:t>评定分离</w:t>
      </w:r>
      <w:r>
        <w:rPr>
          <w:rFonts w:ascii="宋体" w:hAnsi="宋体" w:eastAsia="宋体" w:cs="宋体"/>
          <w:spacing w:val="-3"/>
          <w:sz w:val="24"/>
          <w:szCs w:val="24"/>
        </w:rPr>
        <w:t>办法</w:t>
      </w:r>
      <w:r>
        <w:rPr>
          <w:rFonts w:ascii="宋体" w:hAnsi="宋体" w:eastAsia="宋体" w:cs="宋体"/>
          <w:spacing w:val="-71"/>
          <w:sz w:val="24"/>
          <w:szCs w:val="24"/>
        </w:rPr>
        <w:t xml:space="preserve"> </w:t>
      </w:r>
      <w:r>
        <w:rPr>
          <w:rFonts w:hint="eastAsia" w:ascii="宋体" w:hAnsi="宋体" w:eastAsia="宋体" w:cs="宋体"/>
          <w:spacing w:val="-3"/>
          <w:sz w:val="24"/>
          <w:szCs w:val="24"/>
          <w:lang w:eastAsia="zh-CN"/>
        </w:rPr>
        <w:t>“二、评标办法”</w:t>
      </w:r>
      <w:r>
        <w:rPr>
          <w:rFonts w:ascii="宋体" w:hAnsi="宋体" w:eastAsia="宋体" w:cs="宋体"/>
          <w:spacing w:val="-3"/>
          <w:sz w:val="24"/>
          <w:szCs w:val="24"/>
        </w:rPr>
        <w:t>没有规定的方法、评审因素和标准，不作为评标依据。</w:t>
      </w:r>
    </w:p>
    <w:p w14:paraId="599DEB5B">
      <w:pPr>
        <w:spacing w:line="358" w:lineRule="auto"/>
        <w:ind w:left="7" w:right="67" w:firstLine="482"/>
        <w:rPr>
          <w:rFonts w:ascii="宋体" w:hAnsi="宋体" w:eastAsia="宋体" w:cs="宋体"/>
          <w:sz w:val="24"/>
          <w:szCs w:val="24"/>
        </w:rPr>
      </w:pPr>
      <w:r>
        <w:rPr>
          <w:rFonts w:ascii="宋体" w:hAnsi="宋体" w:eastAsia="宋体" w:cs="宋体"/>
          <w:spacing w:val="-1"/>
          <w:sz w:val="24"/>
          <w:szCs w:val="24"/>
        </w:rPr>
        <w:t>6.3.2 评标完成后，评标委员会应向招标人提交书</w:t>
      </w:r>
      <w:r>
        <w:rPr>
          <w:rFonts w:ascii="宋体" w:hAnsi="宋体" w:eastAsia="宋体" w:cs="宋体"/>
          <w:spacing w:val="-2"/>
          <w:sz w:val="24"/>
          <w:szCs w:val="24"/>
        </w:rPr>
        <w:t>面评标报告和</w:t>
      </w:r>
      <w:r>
        <w:rPr>
          <w:rFonts w:hint="eastAsia" w:ascii="宋体" w:hAnsi="宋体" w:eastAsia="宋体" w:cs="宋体"/>
          <w:spacing w:val="-2"/>
          <w:sz w:val="24"/>
          <w:szCs w:val="24"/>
          <w:lang w:eastAsia="zh-CN"/>
        </w:rPr>
        <w:t>定标</w:t>
      </w:r>
      <w:r>
        <w:rPr>
          <w:rFonts w:ascii="宋体" w:hAnsi="宋体" w:eastAsia="宋体" w:cs="宋体"/>
          <w:spacing w:val="-2"/>
          <w:sz w:val="24"/>
          <w:szCs w:val="24"/>
        </w:rPr>
        <w:t>候选人名单。</w:t>
      </w:r>
    </w:p>
    <w:p w14:paraId="59F4EAB1">
      <w:pPr>
        <w:spacing w:before="1" w:line="219" w:lineRule="auto"/>
        <w:ind w:left="490"/>
        <w:rPr>
          <w:rFonts w:ascii="宋体" w:hAnsi="宋体" w:eastAsia="宋体" w:cs="宋体"/>
          <w:sz w:val="24"/>
          <w:szCs w:val="24"/>
        </w:rPr>
      </w:pPr>
      <w:r>
        <w:rPr>
          <w:rFonts w:ascii="宋体" w:hAnsi="宋体" w:eastAsia="宋体" w:cs="宋体"/>
          <w:spacing w:val="-1"/>
          <w:sz w:val="24"/>
          <w:szCs w:val="24"/>
        </w:rPr>
        <w:t>6.3.3 评标及补救措施</w:t>
      </w:r>
    </w:p>
    <w:p w14:paraId="686210E2">
      <w:pPr>
        <w:spacing w:before="184" w:line="359" w:lineRule="auto"/>
        <w:ind w:left="8" w:right="80" w:firstLine="479"/>
        <w:jc w:val="both"/>
        <w:rPr>
          <w:rFonts w:ascii="宋体" w:hAnsi="宋体" w:eastAsia="宋体" w:cs="宋体"/>
          <w:spacing w:val="-1"/>
          <w:sz w:val="24"/>
          <w:szCs w:val="24"/>
        </w:rPr>
      </w:pPr>
      <w:r>
        <w:rPr>
          <w:rFonts w:ascii="宋体" w:hAnsi="宋体" w:eastAsia="宋体" w:cs="宋体"/>
          <w:sz w:val="24"/>
          <w:szCs w:val="24"/>
        </w:rPr>
        <w:t>评标委员会按照本章第6.3.1</w:t>
      </w:r>
      <w:r>
        <w:rPr>
          <w:rFonts w:ascii="宋体" w:hAnsi="宋体" w:eastAsia="宋体" w:cs="宋体"/>
          <w:spacing w:val="-47"/>
          <w:sz w:val="24"/>
          <w:szCs w:val="24"/>
        </w:rPr>
        <w:t xml:space="preserve"> </w:t>
      </w:r>
      <w:r>
        <w:rPr>
          <w:rFonts w:ascii="宋体" w:hAnsi="宋体" w:eastAsia="宋体" w:cs="宋体"/>
          <w:sz w:val="24"/>
          <w:szCs w:val="24"/>
        </w:rPr>
        <w:t>项的规定在电子</w:t>
      </w:r>
      <w:r>
        <w:rPr>
          <w:rFonts w:ascii="宋体" w:hAnsi="宋体" w:eastAsia="宋体" w:cs="宋体"/>
          <w:spacing w:val="-1"/>
          <w:sz w:val="24"/>
          <w:szCs w:val="24"/>
        </w:rPr>
        <w:t>评标系统上开展评审工作。若遇不可</w:t>
      </w:r>
      <w:r>
        <w:rPr>
          <w:rFonts w:ascii="宋体" w:hAnsi="宋体" w:eastAsia="宋体" w:cs="宋体"/>
          <w:spacing w:val="-2"/>
          <w:sz w:val="24"/>
          <w:szCs w:val="24"/>
        </w:rPr>
        <w:t>抗力发生（包括网络瘫痪、服务器损坏、交易系统故障短期无法恢复等因素</w:t>
      </w:r>
      <w:r>
        <w:rPr>
          <w:rFonts w:ascii="宋体" w:hAnsi="宋体" w:eastAsia="宋体" w:cs="宋体"/>
          <w:spacing w:val="4"/>
          <w:sz w:val="24"/>
          <w:szCs w:val="24"/>
        </w:rPr>
        <w:t>），</w:t>
      </w:r>
      <w:r>
        <w:rPr>
          <w:rFonts w:ascii="宋体" w:hAnsi="宋体" w:eastAsia="宋体" w:cs="宋体"/>
          <w:spacing w:val="-2"/>
          <w:sz w:val="24"/>
          <w:szCs w:val="24"/>
        </w:rPr>
        <w:t>导致系</w:t>
      </w:r>
      <w:r>
        <w:rPr>
          <w:rFonts w:ascii="宋体" w:hAnsi="宋体" w:eastAsia="宋体" w:cs="宋体"/>
          <w:sz w:val="24"/>
          <w:szCs w:val="24"/>
        </w:rPr>
        <w:t>统无法正常运行，应中止评标，并在恢复正</w:t>
      </w:r>
      <w:r>
        <w:rPr>
          <w:rFonts w:ascii="宋体" w:hAnsi="宋体" w:eastAsia="宋体" w:cs="宋体"/>
          <w:spacing w:val="-1"/>
          <w:sz w:val="24"/>
          <w:szCs w:val="24"/>
        </w:rPr>
        <w:t>常后及时安排时间评标。</w:t>
      </w:r>
    </w:p>
    <w:p w14:paraId="1253B591">
      <w:pPr>
        <w:keepNext w:val="0"/>
        <w:keepLines w:val="0"/>
        <w:pageBreakBefore w:val="0"/>
        <w:widowControl/>
        <w:kinsoku w:val="0"/>
        <w:wordWrap/>
        <w:overflowPunct/>
        <w:topLinePunct w:val="0"/>
        <w:autoSpaceDE w:val="0"/>
        <w:autoSpaceDN w:val="0"/>
        <w:bidi w:val="0"/>
        <w:adjustRightInd w:val="0"/>
        <w:snapToGrid w:val="0"/>
        <w:spacing w:line="360" w:lineRule="auto"/>
        <w:ind w:right="79"/>
        <w:jc w:val="both"/>
        <w:textAlignment w:val="baseline"/>
        <w:rPr>
          <w:rFonts w:hint="eastAsia" w:ascii="宋体" w:hAnsi="宋体" w:eastAsia="宋体" w:cs="宋体"/>
          <w:b/>
          <w:bCs/>
          <w:spacing w:val="-1"/>
          <w:sz w:val="24"/>
          <w:szCs w:val="24"/>
          <w:lang w:val="en-US" w:eastAsia="zh-CN"/>
        </w:rPr>
      </w:pPr>
      <w:r>
        <w:rPr>
          <w:rFonts w:hint="eastAsia" w:ascii="宋体" w:hAnsi="宋体" w:eastAsia="宋体" w:cs="宋体"/>
          <w:b/>
          <w:bCs/>
          <w:spacing w:val="-1"/>
          <w:sz w:val="24"/>
          <w:szCs w:val="24"/>
          <w:lang w:val="en-US" w:eastAsia="zh-CN"/>
        </w:rPr>
        <w:t>6.4 推荐定标候选人</w:t>
      </w:r>
    </w:p>
    <w:p w14:paraId="043ECA71">
      <w:pPr>
        <w:keepNext w:val="0"/>
        <w:keepLines w:val="0"/>
        <w:pageBreakBefore w:val="0"/>
        <w:widowControl/>
        <w:kinsoku w:val="0"/>
        <w:wordWrap/>
        <w:overflowPunct/>
        <w:topLinePunct w:val="0"/>
        <w:autoSpaceDE w:val="0"/>
        <w:autoSpaceDN w:val="0"/>
        <w:bidi w:val="0"/>
        <w:adjustRightInd w:val="0"/>
        <w:snapToGrid w:val="0"/>
        <w:spacing w:line="360" w:lineRule="auto"/>
        <w:ind w:left="6" w:right="79" w:firstLine="476"/>
        <w:jc w:val="both"/>
        <w:textAlignment w:val="baseline"/>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评标委员会按照招标文件要求推荐定标候选人，定标候选人的人数见投标人须知前附表。</w:t>
      </w:r>
    </w:p>
    <w:p w14:paraId="237B499D">
      <w:pPr>
        <w:spacing w:before="1" w:line="220" w:lineRule="auto"/>
        <w:ind w:left="14"/>
        <w:rPr>
          <w:rFonts w:ascii="宋体" w:hAnsi="宋体" w:eastAsia="宋体" w:cs="宋体"/>
          <w:sz w:val="24"/>
          <w:szCs w:val="24"/>
        </w:rPr>
      </w:pPr>
      <w:r>
        <w:rPr>
          <w:rFonts w:ascii="宋体" w:hAnsi="宋体" w:eastAsia="宋体" w:cs="宋体"/>
          <w:b/>
          <w:bCs/>
          <w:spacing w:val="-5"/>
          <w:sz w:val="24"/>
          <w:szCs w:val="24"/>
        </w:rPr>
        <w:t>7.</w:t>
      </w:r>
      <w:r>
        <w:rPr>
          <w:rFonts w:hint="eastAsia" w:ascii="宋体" w:hAnsi="宋体" w:eastAsia="宋体" w:cs="宋体"/>
          <w:b/>
          <w:bCs/>
          <w:spacing w:val="-5"/>
          <w:sz w:val="24"/>
          <w:szCs w:val="24"/>
          <w:lang w:eastAsia="zh-CN"/>
        </w:rPr>
        <w:t>定标、公示及</w:t>
      </w:r>
      <w:r>
        <w:rPr>
          <w:rFonts w:ascii="宋体" w:hAnsi="宋体" w:eastAsia="宋体" w:cs="宋体"/>
          <w:b/>
          <w:bCs/>
          <w:spacing w:val="-5"/>
          <w:sz w:val="24"/>
          <w:szCs w:val="24"/>
        </w:rPr>
        <w:t>合同授予</w:t>
      </w:r>
    </w:p>
    <w:p w14:paraId="4804A810">
      <w:pPr>
        <w:spacing w:before="179" w:line="219" w:lineRule="auto"/>
        <w:ind w:left="14"/>
        <w:rPr>
          <w:rFonts w:hint="eastAsia" w:ascii="宋体" w:hAnsi="宋体" w:eastAsia="宋体" w:cs="宋体"/>
          <w:sz w:val="24"/>
          <w:szCs w:val="24"/>
          <w:lang w:eastAsia="zh-CN"/>
        </w:rPr>
      </w:pPr>
      <w:r>
        <w:rPr>
          <w:rFonts w:ascii="宋体" w:hAnsi="宋体" w:eastAsia="宋体" w:cs="宋体"/>
          <w:b/>
          <w:bCs/>
          <w:spacing w:val="-7"/>
          <w:sz w:val="24"/>
          <w:szCs w:val="24"/>
        </w:rPr>
        <w:t>7.1</w:t>
      </w:r>
      <w:r>
        <w:rPr>
          <w:rFonts w:ascii="宋体" w:hAnsi="宋体" w:eastAsia="宋体" w:cs="宋体"/>
          <w:spacing w:val="38"/>
          <w:sz w:val="24"/>
          <w:szCs w:val="24"/>
        </w:rPr>
        <w:t xml:space="preserve"> </w:t>
      </w:r>
      <w:r>
        <w:rPr>
          <w:rFonts w:hint="eastAsia" w:ascii="宋体" w:hAnsi="宋体" w:eastAsia="宋体" w:cs="宋体"/>
          <w:b/>
          <w:bCs/>
          <w:spacing w:val="-7"/>
          <w:sz w:val="24"/>
          <w:szCs w:val="24"/>
          <w:lang w:eastAsia="zh-CN"/>
        </w:rPr>
        <w:t>定标</w:t>
      </w:r>
      <w:r>
        <w:rPr>
          <w:rFonts w:ascii="宋体" w:hAnsi="宋体" w:eastAsia="宋体" w:cs="宋体"/>
          <w:b/>
          <w:bCs/>
          <w:spacing w:val="-7"/>
          <w:sz w:val="24"/>
          <w:szCs w:val="24"/>
        </w:rPr>
        <w:t>候选人</w:t>
      </w:r>
      <w:r>
        <w:rPr>
          <w:rFonts w:hint="eastAsia" w:ascii="宋体" w:hAnsi="宋体" w:eastAsia="宋体" w:cs="宋体"/>
          <w:b/>
          <w:bCs/>
          <w:spacing w:val="-7"/>
          <w:sz w:val="24"/>
          <w:szCs w:val="24"/>
          <w:lang w:eastAsia="zh-CN"/>
        </w:rPr>
        <w:t>及评标结果公示</w:t>
      </w:r>
    </w:p>
    <w:p w14:paraId="15ECDF91">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468" w:firstLineChars="200"/>
        <w:textAlignment w:val="baseline"/>
        <w:rPr>
          <w:rFonts w:ascii="宋体" w:hAnsi="宋体" w:eastAsia="宋体" w:cs="宋体"/>
          <w:spacing w:val="-3"/>
          <w:sz w:val="24"/>
          <w:szCs w:val="24"/>
        </w:rPr>
      </w:pPr>
      <w:r>
        <w:rPr>
          <w:rFonts w:hint="eastAsia" w:ascii="宋体" w:hAnsi="宋体" w:eastAsia="宋体" w:cs="宋体"/>
          <w:spacing w:val="-3"/>
          <w:sz w:val="24"/>
          <w:szCs w:val="24"/>
          <w:lang w:val="en-US" w:eastAsia="zh-CN"/>
        </w:rPr>
        <w:t xml:space="preserve">7.1.1 招标人应当自收到评标报告之日起 2 日内，将评标报告抄送有关行政监督部门，并向同级政府报告，同时在广东省招标投标监管网、韶关市公共资源交易平台公示评标结果，公示期不得少于 3 日。 </w:t>
      </w:r>
    </w:p>
    <w:p w14:paraId="314E9638">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468" w:firstLineChars="200"/>
        <w:textAlignment w:val="baseline"/>
        <w:rPr>
          <w:rFonts w:ascii="宋体" w:hAnsi="宋体" w:eastAsia="宋体" w:cs="宋体"/>
          <w:spacing w:val="-3"/>
          <w:sz w:val="24"/>
          <w:szCs w:val="24"/>
        </w:rPr>
      </w:pPr>
      <w:r>
        <w:rPr>
          <w:rFonts w:hint="eastAsia" w:ascii="宋体" w:hAnsi="宋体" w:eastAsia="宋体" w:cs="宋体"/>
          <w:spacing w:val="-3"/>
          <w:sz w:val="24"/>
          <w:szCs w:val="24"/>
          <w:lang w:val="en-US" w:eastAsia="zh-CN"/>
        </w:rPr>
        <w:t xml:space="preserve">7.1.2 投标人或者其他利害关系人对评标结果有异议的，应当在定标候选人公示期间提出异议，且异议应当针对评标结果的全部问题一次性完整提出。 </w:t>
      </w:r>
    </w:p>
    <w:p w14:paraId="4CD35C27">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0"/>
        <w:textAlignment w:val="baseline"/>
        <w:rPr>
          <w:rFonts w:ascii="宋体" w:hAnsi="宋体" w:eastAsia="宋体" w:cs="宋体"/>
          <w:b/>
          <w:bCs/>
          <w:spacing w:val="-3"/>
          <w:sz w:val="24"/>
          <w:szCs w:val="24"/>
        </w:rPr>
      </w:pPr>
      <w:r>
        <w:rPr>
          <w:rFonts w:hint="eastAsia" w:ascii="宋体" w:hAnsi="宋体" w:eastAsia="宋体" w:cs="宋体"/>
          <w:b/>
          <w:bCs/>
          <w:spacing w:val="-3"/>
          <w:sz w:val="24"/>
          <w:szCs w:val="24"/>
          <w:lang w:val="en-US" w:eastAsia="zh-CN"/>
        </w:rPr>
        <w:t xml:space="preserve">7.2 定标 </w:t>
      </w:r>
    </w:p>
    <w:p w14:paraId="51ABD11F">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468" w:firstLineChars="200"/>
        <w:textAlignment w:val="baseline"/>
        <w:rPr>
          <w:rFonts w:ascii="宋体" w:hAnsi="宋体" w:eastAsia="宋体" w:cs="宋体"/>
          <w:spacing w:val="-3"/>
          <w:sz w:val="24"/>
          <w:szCs w:val="24"/>
        </w:rPr>
      </w:pPr>
      <w:r>
        <w:rPr>
          <w:rFonts w:hint="eastAsia" w:ascii="宋体" w:hAnsi="宋体" w:eastAsia="宋体" w:cs="宋体"/>
          <w:spacing w:val="-3"/>
          <w:sz w:val="24"/>
          <w:szCs w:val="24"/>
          <w:lang w:val="en-US" w:eastAsia="zh-CN"/>
        </w:rPr>
        <w:t xml:space="preserve">7.2.1 组建定标委员会 </w:t>
      </w:r>
    </w:p>
    <w:p w14:paraId="4DFC8AE8">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468" w:firstLineChars="200"/>
        <w:textAlignment w:val="baseline"/>
        <w:rPr>
          <w:rFonts w:ascii="宋体" w:hAnsi="宋体" w:eastAsia="宋体" w:cs="宋体"/>
          <w:spacing w:val="-3"/>
          <w:sz w:val="24"/>
          <w:szCs w:val="24"/>
        </w:rPr>
      </w:pPr>
      <w:r>
        <w:rPr>
          <w:rFonts w:hint="eastAsia" w:ascii="宋体" w:hAnsi="宋体" w:eastAsia="宋体" w:cs="宋体"/>
          <w:spacing w:val="-3"/>
          <w:sz w:val="24"/>
          <w:szCs w:val="24"/>
          <w:lang w:val="en-US" w:eastAsia="zh-CN"/>
        </w:rPr>
        <w:t xml:space="preserve">7.2.1.1 定标委员会由招标人组建，定标委员会组长由招标人的法定代表人或者主要负责人担任，招标人可以指定定标委员会成员，指定成员不得超过定标委员会成员总数的三分之一，其他成员从定标人员库中按不少于 2：1 的比例随机产生。招标人应针对项目自行组建定标成员库。定标委员会组建成员数量见投标人须知前附表。 </w:t>
      </w:r>
    </w:p>
    <w:p w14:paraId="2E9E225E">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468" w:firstLineChars="200"/>
        <w:textAlignment w:val="baseline"/>
        <w:rPr>
          <w:rFonts w:ascii="宋体" w:hAnsi="宋体" w:eastAsia="宋体" w:cs="宋体"/>
          <w:spacing w:val="-3"/>
          <w:sz w:val="24"/>
          <w:szCs w:val="24"/>
        </w:rPr>
      </w:pPr>
      <w:r>
        <w:rPr>
          <w:rFonts w:hint="eastAsia" w:ascii="宋体" w:hAnsi="宋体" w:eastAsia="宋体" w:cs="宋体"/>
          <w:spacing w:val="-3"/>
          <w:sz w:val="24"/>
          <w:szCs w:val="24"/>
          <w:lang w:val="en-US" w:eastAsia="zh-CN"/>
        </w:rPr>
        <w:t xml:space="preserve">7.2.1.2 定标委员会成员与定标候选人有利害关系的，应当回避。定标委员会成员不得与任何 定标候选人或者与招标结果有利害关系的人进行私下接触，不得收受定标候选人、中介人、其他利害关系人的财物或者其他好处，不得向招标人征询其确定中标候选人的意向。 </w:t>
      </w:r>
    </w:p>
    <w:p w14:paraId="6D792826">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468" w:firstLineChars="200"/>
        <w:textAlignment w:val="baseline"/>
        <w:rPr>
          <w:rFonts w:ascii="宋体" w:hAnsi="宋体" w:eastAsia="宋体" w:cs="宋体"/>
          <w:spacing w:val="-3"/>
          <w:sz w:val="24"/>
          <w:szCs w:val="24"/>
        </w:rPr>
      </w:pPr>
      <w:r>
        <w:rPr>
          <w:rFonts w:hint="eastAsia" w:ascii="宋体" w:hAnsi="宋体" w:eastAsia="宋体" w:cs="宋体"/>
          <w:spacing w:val="-3"/>
          <w:sz w:val="24"/>
          <w:szCs w:val="24"/>
          <w:lang w:val="en-US" w:eastAsia="zh-CN"/>
        </w:rPr>
        <w:t xml:space="preserve">7.2.1.3 定标委员会成员应当客观、公正地履行职责，遵守职业道德，保守秘密，对所提出的定标意见承担个人责任。 </w:t>
      </w:r>
    </w:p>
    <w:p w14:paraId="2EA1DC65">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468" w:firstLineChars="200"/>
        <w:textAlignment w:val="baseline"/>
        <w:rPr>
          <w:rFonts w:ascii="宋体" w:hAnsi="宋体" w:eastAsia="宋体" w:cs="宋体"/>
          <w:spacing w:val="-3"/>
          <w:sz w:val="24"/>
          <w:szCs w:val="24"/>
        </w:rPr>
      </w:pPr>
      <w:r>
        <w:rPr>
          <w:rFonts w:hint="eastAsia" w:ascii="宋体" w:hAnsi="宋体" w:eastAsia="宋体" w:cs="宋体"/>
          <w:spacing w:val="-3"/>
          <w:sz w:val="24"/>
          <w:szCs w:val="24"/>
          <w:lang w:val="en-US" w:eastAsia="zh-CN"/>
        </w:rPr>
        <w:t xml:space="preserve">7.2.2 定标方式见投标人须知前附表，其它规定详见招标文件第三章评标办法（评定分离办法）“三、定标办法”规定的方法、规则和程序。 </w:t>
      </w:r>
    </w:p>
    <w:p w14:paraId="2BF880C3">
      <w:pPr>
        <w:keepNext w:val="0"/>
        <w:keepLines w:val="0"/>
        <w:pageBreakBefore w:val="0"/>
        <w:widowControl/>
        <w:kinsoku w:val="0"/>
        <w:wordWrap/>
        <w:overflowPunct/>
        <w:topLinePunct w:val="0"/>
        <w:autoSpaceDE w:val="0"/>
        <w:autoSpaceDN w:val="0"/>
        <w:bidi w:val="0"/>
        <w:adjustRightInd w:val="0"/>
        <w:snapToGrid w:val="0"/>
        <w:spacing w:line="360" w:lineRule="auto"/>
        <w:ind w:right="85"/>
        <w:textAlignment w:val="baseline"/>
        <w:rPr>
          <w:rFonts w:ascii="宋体" w:hAnsi="宋体" w:eastAsia="宋体" w:cs="宋体"/>
          <w:b/>
          <w:bCs/>
          <w:spacing w:val="-3"/>
          <w:sz w:val="24"/>
          <w:szCs w:val="24"/>
        </w:rPr>
      </w:pPr>
      <w:r>
        <w:rPr>
          <w:rFonts w:hint="eastAsia" w:ascii="宋体" w:hAnsi="宋体" w:eastAsia="宋体" w:cs="宋体"/>
          <w:b/>
          <w:bCs/>
          <w:spacing w:val="-3"/>
          <w:sz w:val="24"/>
          <w:szCs w:val="24"/>
          <w:lang w:val="en-US" w:eastAsia="zh-CN"/>
        </w:rPr>
        <w:t xml:space="preserve">7.3 中标候选人及定标结果公示 </w:t>
      </w:r>
    </w:p>
    <w:p w14:paraId="01268512">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468" w:firstLineChars="200"/>
        <w:textAlignment w:val="baseline"/>
        <w:rPr>
          <w:rFonts w:ascii="宋体" w:hAnsi="宋体" w:eastAsia="宋体" w:cs="宋体"/>
          <w:spacing w:val="-3"/>
          <w:sz w:val="24"/>
          <w:szCs w:val="24"/>
        </w:rPr>
      </w:pPr>
      <w:r>
        <w:rPr>
          <w:rFonts w:hint="eastAsia" w:ascii="宋体" w:hAnsi="宋体" w:eastAsia="宋体" w:cs="宋体"/>
          <w:spacing w:val="-3"/>
          <w:sz w:val="24"/>
          <w:szCs w:val="24"/>
          <w:lang w:val="en-US" w:eastAsia="zh-CN"/>
        </w:rPr>
        <w:t xml:space="preserve">7.3.1 招标人应当自收到定标报告之日起 3 日内，按照投标人须知前附表规定的公示媒介和期限公示中标候选人，在广东省招标投标监管网、韶关市公共资源交易平台公示定标结果，公示期不得少于 3 日。 </w:t>
      </w:r>
    </w:p>
    <w:p w14:paraId="44A841FF">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468" w:firstLineChars="200"/>
        <w:textAlignment w:val="baseline"/>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7.3.2 对定标结果有异议的，应当在定标结果公示期间提出，且异议应当针对定标结果的全部问题一次性完整提出。招标人应当自收到异议之日起 3 日内作出答复；作出答复前，应当暂停招标投标活动。招标人不再受理投标人或者其他利害关系人针对评标结果公示环节已公示内容提出的异议。</w:t>
      </w:r>
    </w:p>
    <w:p w14:paraId="5C1260F8">
      <w:pPr>
        <w:keepNext w:val="0"/>
        <w:keepLines w:val="0"/>
        <w:pageBreakBefore w:val="0"/>
        <w:widowControl/>
        <w:kinsoku w:val="0"/>
        <w:wordWrap/>
        <w:overflowPunct/>
        <w:topLinePunct w:val="0"/>
        <w:autoSpaceDE w:val="0"/>
        <w:autoSpaceDN w:val="0"/>
        <w:bidi w:val="0"/>
        <w:adjustRightInd w:val="0"/>
        <w:snapToGrid w:val="0"/>
        <w:spacing w:line="360" w:lineRule="auto"/>
        <w:ind w:right="85"/>
        <w:textAlignment w:val="baseline"/>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 xml:space="preserve">7.4 中标 </w:t>
      </w:r>
    </w:p>
    <w:p w14:paraId="1BE4F8BA">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468" w:firstLineChars="200"/>
        <w:textAlignment w:val="baseline"/>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 xml:space="preserve">7.4.1 经公示无异议后，招标人确定第一中标候选人为中标人。 </w:t>
      </w:r>
    </w:p>
    <w:p w14:paraId="68646481">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468" w:firstLineChars="200"/>
        <w:textAlignment w:val="baseline"/>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 xml:space="preserve">7.4.2 第一中标候选人放弃中标、因不可抗力提出不能履行合同、不按照招标文件的要求提交履约保证金，或者被查实存在影响中标结果的违法行为等情形，不符合中标条件的，招标人可以按照中标候选人名单排序依次确定其他中标候选人为中标人，也可以重新招标。 </w:t>
      </w:r>
    </w:p>
    <w:p w14:paraId="22F58050">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468" w:firstLineChars="200"/>
        <w:textAlignment w:val="baseline"/>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 xml:space="preserve">7.4.3 中标人的投标报价为中标价。 </w:t>
      </w:r>
    </w:p>
    <w:p w14:paraId="74257C37">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0"/>
        <w:textAlignment w:val="baseline"/>
        <w:rPr>
          <w:rFonts w:hint="eastAsia" w:ascii="宋体" w:hAnsi="宋体" w:eastAsia="宋体" w:cs="宋体"/>
          <w:b/>
          <w:bCs/>
          <w:spacing w:val="-3"/>
          <w:sz w:val="24"/>
          <w:szCs w:val="24"/>
          <w:lang w:val="en-US" w:eastAsia="zh-CN"/>
        </w:rPr>
      </w:pPr>
    </w:p>
    <w:p w14:paraId="0E69255E">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0"/>
        <w:textAlignment w:val="baseline"/>
        <w:rPr>
          <w:rFonts w:hint="eastAsia" w:ascii="宋体" w:hAnsi="宋体" w:eastAsia="宋体" w:cs="宋体"/>
          <w:b/>
          <w:bCs/>
          <w:spacing w:val="-3"/>
          <w:sz w:val="24"/>
          <w:szCs w:val="24"/>
          <w:lang w:val="en-US" w:eastAsia="zh-CN"/>
        </w:rPr>
      </w:pPr>
    </w:p>
    <w:p w14:paraId="08A470F9">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0"/>
        <w:textAlignment w:val="baseline"/>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 xml:space="preserve">7.5 中标通知 </w:t>
      </w:r>
    </w:p>
    <w:p w14:paraId="14B3D366">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468" w:firstLineChars="200"/>
        <w:textAlignment w:val="baseline"/>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 xml:space="preserve">中标人确定后，招标人应向中标人发出经公共资源交易机构确认的中标通知书，并 15 日内通过广东省招标投标监管网、韶关市公共资源交易平台公开中标结果即通知所有未中标的投标人。招标人应当自中标通知书发出之日起 15 日内，向有关行政监督部门提交招标投标情况的书面报告。 </w:t>
      </w:r>
    </w:p>
    <w:p w14:paraId="0166F248">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0"/>
        <w:textAlignment w:val="baseline"/>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 xml:space="preserve">7.6 履约保证金 </w:t>
      </w:r>
    </w:p>
    <w:p w14:paraId="7D86E349">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468" w:firstLineChars="200"/>
        <w:textAlignment w:val="baseline"/>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 xml:space="preserve">7.6.1 中标人应按投标人须知前附表规定的金额、形式向招标人提交履约保证金。联合体中标的，其履约保证金由牵头方递交，并应符合投标人须知前附表规定的金额、形式要求。 </w:t>
      </w:r>
    </w:p>
    <w:p w14:paraId="1670A336">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468" w:firstLineChars="200"/>
        <w:textAlignment w:val="baseline"/>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 xml:space="preserve">7.6.2 中标人不能按本章第 7.6.1 项要求提交履约保证金的，视为放弃中标，其投标保证金不予退还，给招标人造成的损失超过履约保证金数额的，还应当对超过部分予以赔偿；没有提交履约保证金的，应当对招标人的损失承担赔偿责任。 </w:t>
      </w:r>
    </w:p>
    <w:p w14:paraId="1F65C32C">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0"/>
        <w:textAlignment w:val="baseline"/>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 xml:space="preserve">7.7 签订合同 </w:t>
      </w:r>
    </w:p>
    <w:p w14:paraId="262426DA">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468" w:firstLineChars="200"/>
        <w:textAlignment w:val="baseline"/>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 xml:space="preserve">7.7.1 招标人和中标人应当自中标通知书发出之日起 30 天内，根据招标文件和中标人的投标文件订立书面合同。中标人无正当理由拒签合同的，招标人取消其中标资格，其投标保证金不予退还；给招标人造成的损失超过投标保证金数额的，中标人还应当对超过部分予以赔偿。 </w:t>
      </w:r>
    </w:p>
    <w:p w14:paraId="55B30E7A">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468" w:firstLineChars="200"/>
        <w:textAlignment w:val="baseline"/>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7.7.2 发出中标通知书后，招标人无正当理由拒签合同的，招标人向中标人退还投标保证金；给中标人造成损失的，还应当赔偿损失。</w:t>
      </w:r>
    </w:p>
    <w:p w14:paraId="047B4D8D">
      <w:pPr>
        <w:keepNext w:val="0"/>
        <w:keepLines w:val="0"/>
        <w:pageBreakBefore w:val="0"/>
        <w:widowControl/>
        <w:kinsoku w:val="0"/>
        <w:wordWrap/>
        <w:overflowPunct/>
        <w:topLinePunct w:val="0"/>
        <w:autoSpaceDE w:val="0"/>
        <w:autoSpaceDN w:val="0"/>
        <w:bidi w:val="0"/>
        <w:adjustRightInd w:val="0"/>
        <w:snapToGrid w:val="0"/>
        <w:spacing w:line="360" w:lineRule="auto"/>
        <w:ind w:left="6" w:right="85" w:firstLine="0"/>
        <w:textAlignment w:val="baseline"/>
        <w:rPr>
          <w:rFonts w:ascii="宋体" w:hAnsi="宋体" w:eastAsia="宋体" w:cs="宋体"/>
          <w:b/>
          <w:bCs/>
          <w:spacing w:val="-3"/>
          <w:sz w:val="24"/>
          <w:szCs w:val="24"/>
        </w:rPr>
      </w:pPr>
      <w:r>
        <w:rPr>
          <w:rFonts w:hint="eastAsia" w:ascii="宋体" w:hAnsi="宋体" w:eastAsia="宋体" w:cs="宋体"/>
          <w:b/>
          <w:bCs/>
          <w:spacing w:val="-3"/>
          <w:sz w:val="24"/>
          <w:szCs w:val="24"/>
          <w:lang w:val="en-US" w:eastAsia="zh-CN"/>
        </w:rPr>
        <w:t xml:space="preserve">8. 重新招标 </w:t>
      </w:r>
    </w:p>
    <w:p w14:paraId="335D6D98">
      <w:pPr>
        <w:keepNext w:val="0"/>
        <w:keepLines w:val="0"/>
        <w:pageBreakBefore w:val="0"/>
        <w:widowControl/>
        <w:kinsoku w:val="0"/>
        <w:wordWrap/>
        <w:overflowPunct/>
        <w:topLinePunct w:val="0"/>
        <w:autoSpaceDE w:val="0"/>
        <w:autoSpaceDN w:val="0"/>
        <w:bidi w:val="0"/>
        <w:adjustRightInd w:val="0"/>
        <w:snapToGrid w:val="0"/>
        <w:spacing w:line="360" w:lineRule="auto"/>
        <w:ind w:left="283" w:right="85" w:firstLine="0"/>
        <w:textAlignment w:val="baseline"/>
        <w:rPr>
          <w:rFonts w:ascii="宋体" w:hAnsi="宋体" w:eastAsia="宋体" w:cs="宋体"/>
          <w:spacing w:val="-3"/>
          <w:sz w:val="24"/>
          <w:szCs w:val="24"/>
        </w:rPr>
      </w:pPr>
      <w:r>
        <w:rPr>
          <w:rFonts w:hint="eastAsia" w:ascii="宋体" w:hAnsi="宋体" w:eastAsia="宋体" w:cs="宋体"/>
          <w:spacing w:val="-3"/>
          <w:sz w:val="24"/>
          <w:szCs w:val="24"/>
          <w:lang w:val="en-US" w:eastAsia="zh-CN"/>
        </w:rPr>
        <w:t xml:space="preserve">有下列情形之一的，招标人将重新招标： </w:t>
      </w:r>
    </w:p>
    <w:p w14:paraId="7517C8E2">
      <w:pPr>
        <w:keepNext w:val="0"/>
        <w:keepLines w:val="0"/>
        <w:pageBreakBefore w:val="0"/>
        <w:widowControl/>
        <w:kinsoku w:val="0"/>
        <w:wordWrap/>
        <w:overflowPunct/>
        <w:topLinePunct w:val="0"/>
        <w:autoSpaceDE w:val="0"/>
        <w:autoSpaceDN w:val="0"/>
        <w:bidi w:val="0"/>
        <w:adjustRightInd w:val="0"/>
        <w:snapToGrid w:val="0"/>
        <w:spacing w:line="360" w:lineRule="auto"/>
        <w:ind w:left="283" w:right="85" w:firstLine="0"/>
        <w:textAlignment w:val="baseline"/>
        <w:rPr>
          <w:rFonts w:ascii="宋体" w:hAnsi="宋体" w:eastAsia="宋体" w:cs="宋体"/>
          <w:spacing w:val="-3"/>
          <w:sz w:val="24"/>
          <w:szCs w:val="24"/>
        </w:rPr>
      </w:pPr>
      <w:r>
        <w:rPr>
          <w:rFonts w:hint="eastAsia" w:ascii="宋体" w:hAnsi="宋体" w:eastAsia="宋体" w:cs="宋体"/>
          <w:spacing w:val="-3"/>
          <w:sz w:val="24"/>
          <w:szCs w:val="24"/>
          <w:lang w:val="en-US" w:eastAsia="zh-CN"/>
        </w:rPr>
        <w:t xml:space="preserve">（1）到投标截止时间止，投标人少于 3 个的； </w:t>
      </w:r>
    </w:p>
    <w:p w14:paraId="644BE3A9">
      <w:pPr>
        <w:keepNext w:val="0"/>
        <w:keepLines w:val="0"/>
        <w:pageBreakBefore w:val="0"/>
        <w:widowControl/>
        <w:kinsoku w:val="0"/>
        <w:wordWrap/>
        <w:overflowPunct/>
        <w:topLinePunct w:val="0"/>
        <w:autoSpaceDE w:val="0"/>
        <w:autoSpaceDN w:val="0"/>
        <w:bidi w:val="0"/>
        <w:adjustRightInd w:val="0"/>
        <w:snapToGrid w:val="0"/>
        <w:spacing w:line="360" w:lineRule="auto"/>
        <w:ind w:left="283" w:right="85" w:firstLine="0"/>
        <w:textAlignment w:val="baseline"/>
        <w:rPr>
          <w:rFonts w:ascii="宋体" w:hAnsi="宋体" w:eastAsia="宋体" w:cs="宋体"/>
          <w:spacing w:val="-3"/>
          <w:sz w:val="24"/>
          <w:szCs w:val="24"/>
        </w:rPr>
      </w:pPr>
      <w:r>
        <w:rPr>
          <w:rFonts w:hint="eastAsia" w:ascii="宋体" w:hAnsi="宋体" w:eastAsia="宋体" w:cs="宋体"/>
          <w:spacing w:val="-3"/>
          <w:sz w:val="24"/>
          <w:szCs w:val="24"/>
          <w:lang w:val="en-US" w:eastAsia="zh-CN"/>
        </w:rPr>
        <w:t xml:space="preserve">（2）通过资格审查的投标人少于 3 个的； </w:t>
      </w:r>
    </w:p>
    <w:p w14:paraId="418D4B9C">
      <w:pPr>
        <w:keepNext w:val="0"/>
        <w:keepLines w:val="0"/>
        <w:pageBreakBefore w:val="0"/>
        <w:widowControl/>
        <w:kinsoku w:val="0"/>
        <w:wordWrap/>
        <w:overflowPunct/>
        <w:topLinePunct w:val="0"/>
        <w:autoSpaceDE w:val="0"/>
        <w:autoSpaceDN w:val="0"/>
        <w:bidi w:val="0"/>
        <w:adjustRightInd w:val="0"/>
        <w:snapToGrid w:val="0"/>
        <w:spacing w:line="360" w:lineRule="auto"/>
        <w:ind w:left="283" w:right="85" w:firstLine="0"/>
        <w:textAlignment w:val="baseline"/>
        <w:rPr>
          <w:rFonts w:ascii="宋体" w:hAnsi="宋体" w:eastAsia="宋体" w:cs="宋体"/>
          <w:spacing w:val="-3"/>
          <w:sz w:val="24"/>
          <w:szCs w:val="24"/>
        </w:rPr>
      </w:pPr>
      <w:r>
        <w:rPr>
          <w:rFonts w:hint="eastAsia" w:ascii="宋体" w:hAnsi="宋体" w:eastAsia="宋体" w:cs="宋体"/>
          <w:spacing w:val="-3"/>
          <w:sz w:val="24"/>
          <w:szCs w:val="24"/>
          <w:lang w:val="en-US" w:eastAsia="zh-CN"/>
        </w:rPr>
        <w:t xml:space="preserve">（3）通过初步评审的投标人少于 3 个的； </w:t>
      </w:r>
    </w:p>
    <w:p w14:paraId="7C998E16">
      <w:pPr>
        <w:keepNext w:val="0"/>
        <w:keepLines w:val="0"/>
        <w:pageBreakBefore w:val="0"/>
        <w:widowControl/>
        <w:kinsoku w:val="0"/>
        <w:wordWrap/>
        <w:overflowPunct/>
        <w:topLinePunct w:val="0"/>
        <w:autoSpaceDE w:val="0"/>
        <w:autoSpaceDN w:val="0"/>
        <w:bidi w:val="0"/>
        <w:adjustRightInd w:val="0"/>
        <w:snapToGrid w:val="0"/>
        <w:spacing w:line="360" w:lineRule="auto"/>
        <w:ind w:left="283" w:right="85" w:firstLine="0"/>
        <w:textAlignment w:val="baseline"/>
        <w:rPr>
          <w:rFonts w:ascii="宋体" w:hAnsi="宋体" w:eastAsia="宋体" w:cs="宋体"/>
          <w:spacing w:val="-3"/>
          <w:sz w:val="24"/>
          <w:szCs w:val="24"/>
        </w:rPr>
      </w:pPr>
      <w:r>
        <w:rPr>
          <w:rFonts w:hint="eastAsia" w:ascii="宋体" w:hAnsi="宋体" w:eastAsia="宋体" w:cs="宋体"/>
          <w:spacing w:val="-3"/>
          <w:sz w:val="24"/>
          <w:szCs w:val="24"/>
          <w:lang w:val="en-US" w:eastAsia="zh-CN"/>
        </w:rPr>
        <w:t xml:space="preserve">（4）评标委员会按照招标文件规定推荐的定标候选人为 3 个及以上的，进入定标环节但因定标候选人放弃中标或因其他情形导致有效定标候选人少于 3 个的。 </w:t>
      </w:r>
    </w:p>
    <w:p w14:paraId="627F4763">
      <w:pPr>
        <w:keepNext w:val="0"/>
        <w:keepLines w:val="0"/>
        <w:pageBreakBefore w:val="0"/>
        <w:widowControl/>
        <w:kinsoku w:val="0"/>
        <w:wordWrap/>
        <w:overflowPunct/>
        <w:topLinePunct w:val="0"/>
        <w:autoSpaceDE w:val="0"/>
        <w:autoSpaceDN w:val="0"/>
        <w:bidi w:val="0"/>
        <w:adjustRightInd w:val="0"/>
        <w:snapToGrid w:val="0"/>
        <w:spacing w:line="360" w:lineRule="auto"/>
        <w:ind w:left="283" w:right="85" w:firstLine="0"/>
        <w:textAlignment w:val="baseline"/>
        <w:rPr>
          <w:rFonts w:ascii="宋体" w:hAnsi="宋体" w:eastAsia="宋体" w:cs="宋体"/>
          <w:spacing w:val="-3"/>
          <w:sz w:val="24"/>
          <w:szCs w:val="24"/>
        </w:rPr>
      </w:pPr>
      <w:r>
        <w:rPr>
          <w:rFonts w:hint="eastAsia" w:ascii="宋体" w:hAnsi="宋体" w:eastAsia="宋体" w:cs="宋体"/>
          <w:spacing w:val="-3"/>
          <w:sz w:val="24"/>
          <w:szCs w:val="24"/>
          <w:lang w:val="en-US" w:eastAsia="zh-CN"/>
        </w:rPr>
        <w:t>（5）经评标委员会评审后否决所有投标的。</w:t>
      </w:r>
    </w:p>
    <w:p w14:paraId="35D9C591">
      <w:pPr>
        <w:spacing w:line="219" w:lineRule="auto"/>
        <w:ind w:left="9"/>
        <w:rPr>
          <w:rFonts w:ascii="宋体" w:hAnsi="宋体" w:eastAsia="宋体" w:cs="宋体"/>
          <w:sz w:val="24"/>
          <w:szCs w:val="24"/>
        </w:rPr>
      </w:pPr>
      <w:r>
        <w:rPr>
          <w:rFonts w:hint="eastAsia" w:ascii="宋体" w:hAnsi="宋体" w:eastAsia="宋体" w:cs="宋体"/>
          <w:b/>
          <w:bCs/>
          <w:spacing w:val="-3"/>
          <w:sz w:val="24"/>
          <w:szCs w:val="24"/>
          <w:lang w:val="en-US" w:eastAsia="zh-CN"/>
        </w:rPr>
        <w:t>9</w:t>
      </w:r>
      <w:r>
        <w:rPr>
          <w:rFonts w:ascii="宋体" w:hAnsi="宋体" w:eastAsia="宋体" w:cs="宋体"/>
          <w:b/>
          <w:bCs/>
          <w:spacing w:val="-3"/>
          <w:sz w:val="24"/>
          <w:szCs w:val="24"/>
        </w:rPr>
        <w:t>.纪律和监督</w:t>
      </w:r>
    </w:p>
    <w:p w14:paraId="7B1B42BC">
      <w:pPr>
        <w:spacing w:before="183" w:line="219" w:lineRule="auto"/>
        <w:ind w:left="9"/>
        <w:rPr>
          <w:rFonts w:ascii="宋体" w:hAnsi="宋体" w:eastAsia="宋体" w:cs="宋体"/>
          <w:sz w:val="24"/>
          <w:szCs w:val="24"/>
        </w:rPr>
      </w:pPr>
      <w:r>
        <w:rPr>
          <w:rFonts w:hint="eastAsia" w:ascii="宋体" w:hAnsi="宋体" w:eastAsia="宋体" w:cs="宋体"/>
          <w:b/>
          <w:bCs/>
          <w:spacing w:val="-3"/>
          <w:sz w:val="24"/>
          <w:szCs w:val="24"/>
          <w:lang w:val="en-US" w:eastAsia="zh-CN"/>
        </w:rPr>
        <w:t>9</w:t>
      </w:r>
      <w:r>
        <w:rPr>
          <w:rFonts w:ascii="宋体" w:hAnsi="宋体" w:eastAsia="宋体" w:cs="宋体"/>
          <w:b/>
          <w:bCs/>
          <w:spacing w:val="-3"/>
          <w:sz w:val="24"/>
          <w:szCs w:val="24"/>
        </w:rPr>
        <w:t>.1</w:t>
      </w:r>
      <w:r>
        <w:rPr>
          <w:rFonts w:ascii="宋体" w:hAnsi="宋体" w:eastAsia="宋体" w:cs="宋体"/>
          <w:spacing w:val="-3"/>
          <w:sz w:val="24"/>
          <w:szCs w:val="24"/>
        </w:rPr>
        <w:t xml:space="preserve"> </w:t>
      </w:r>
      <w:r>
        <w:rPr>
          <w:rFonts w:ascii="宋体" w:hAnsi="宋体" w:eastAsia="宋体" w:cs="宋体"/>
          <w:b/>
          <w:bCs/>
          <w:spacing w:val="-3"/>
          <w:sz w:val="24"/>
          <w:szCs w:val="24"/>
        </w:rPr>
        <w:t>对招标人的纪律要求</w:t>
      </w:r>
    </w:p>
    <w:p w14:paraId="771C5962">
      <w:pPr>
        <w:spacing w:before="181" w:line="360" w:lineRule="auto"/>
        <w:ind w:left="9" w:firstLine="480"/>
        <w:rPr>
          <w:rFonts w:ascii="宋体" w:hAnsi="宋体" w:eastAsia="宋体" w:cs="宋体"/>
          <w:sz w:val="24"/>
          <w:szCs w:val="24"/>
        </w:rPr>
      </w:pPr>
      <w:r>
        <w:rPr>
          <w:rFonts w:ascii="宋体" w:hAnsi="宋体" w:eastAsia="宋体" w:cs="宋体"/>
          <w:spacing w:val="-2"/>
          <w:sz w:val="24"/>
          <w:szCs w:val="24"/>
        </w:rPr>
        <w:t>招标人不得泄露招标投标活动中应保密的情况和资料，不得与投标人串通损害国家</w:t>
      </w:r>
      <w:r>
        <w:rPr>
          <w:rFonts w:ascii="宋体" w:hAnsi="宋体" w:eastAsia="宋体" w:cs="宋体"/>
          <w:spacing w:val="-1"/>
          <w:sz w:val="24"/>
          <w:szCs w:val="24"/>
        </w:rPr>
        <w:t>利益、社会公共利益或他人合法权益。</w:t>
      </w:r>
    </w:p>
    <w:p w14:paraId="1849570E">
      <w:pPr>
        <w:spacing w:line="219" w:lineRule="auto"/>
        <w:ind w:left="9"/>
        <w:rPr>
          <w:rFonts w:ascii="宋体" w:hAnsi="宋体" w:eastAsia="宋体" w:cs="宋体"/>
          <w:sz w:val="24"/>
          <w:szCs w:val="24"/>
        </w:rPr>
      </w:pPr>
      <w:r>
        <w:rPr>
          <w:rFonts w:hint="eastAsia" w:ascii="宋体" w:hAnsi="宋体" w:eastAsia="宋体" w:cs="宋体"/>
          <w:b/>
          <w:bCs/>
          <w:spacing w:val="-3"/>
          <w:sz w:val="24"/>
          <w:szCs w:val="24"/>
          <w:lang w:val="en-US" w:eastAsia="zh-CN"/>
        </w:rPr>
        <w:t>9</w:t>
      </w:r>
      <w:r>
        <w:rPr>
          <w:rFonts w:ascii="宋体" w:hAnsi="宋体" w:eastAsia="宋体" w:cs="宋体"/>
          <w:b/>
          <w:bCs/>
          <w:spacing w:val="-3"/>
          <w:sz w:val="24"/>
          <w:szCs w:val="24"/>
        </w:rPr>
        <w:t>.2</w:t>
      </w:r>
      <w:r>
        <w:rPr>
          <w:rFonts w:ascii="宋体" w:hAnsi="宋体" w:eastAsia="宋体" w:cs="宋体"/>
          <w:spacing w:val="-3"/>
          <w:sz w:val="24"/>
          <w:szCs w:val="24"/>
        </w:rPr>
        <w:t xml:space="preserve"> </w:t>
      </w:r>
      <w:r>
        <w:rPr>
          <w:rFonts w:ascii="宋体" w:hAnsi="宋体" w:eastAsia="宋体" w:cs="宋体"/>
          <w:b/>
          <w:bCs/>
          <w:spacing w:val="-3"/>
          <w:sz w:val="24"/>
          <w:szCs w:val="24"/>
        </w:rPr>
        <w:t>对投标人的纪律要求</w:t>
      </w:r>
    </w:p>
    <w:p w14:paraId="3A030136">
      <w:pPr>
        <w:spacing w:before="180" w:line="359" w:lineRule="auto"/>
        <w:ind w:left="7" w:firstLine="483"/>
        <w:jc w:val="both"/>
        <w:rPr>
          <w:rFonts w:ascii="宋体" w:hAnsi="宋体" w:eastAsia="宋体" w:cs="宋体"/>
          <w:sz w:val="24"/>
          <w:szCs w:val="24"/>
        </w:rPr>
      </w:pPr>
      <w:r>
        <w:rPr>
          <w:rFonts w:ascii="宋体" w:hAnsi="宋体" w:eastAsia="宋体" w:cs="宋体"/>
          <w:spacing w:val="-2"/>
          <w:sz w:val="24"/>
          <w:szCs w:val="24"/>
        </w:rPr>
        <w:t>投标人不得相互串通投标或与招标人串通投标，不得向招标人或评标委员会成员行贿谋取中标，不得以他人名义投标或以其他方式弄虚作假骗取中标；投标人不得以任何</w:t>
      </w:r>
      <w:r>
        <w:rPr>
          <w:rFonts w:ascii="宋体" w:hAnsi="宋体" w:eastAsia="宋体" w:cs="宋体"/>
          <w:spacing w:val="-1"/>
          <w:sz w:val="24"/>
          <w:szCs w:val="24"/>
        </w:rPr>
        <w:t>方式干扰、影响评标工作。</w:t>
      </w:r>
    </w:p>
    <w:p w14:paraId="234DF5CF">
      <w:pPr>
        <w:spacing w:before="1" w:line="218" w:lineRule="auto"/>
        <w:ind w:left="9"/>
        <w:rPr>
          <w:rFonts w:ascii="宋体" w:hAnsi="宋体" w:eastAsia="宋体" w:cs="宋体"/>
          <w:sz w:val="24"/>
          <w:szCs w:val="24"/>
        </w:rPr>
      </w:pPr>
      <w:r>
        <w:rPr>
          <w:rFonts w:hint="eastAsia" w:ascii="宋体" w:hAnsi="宋体" w:eastAsia="宋体" w:cs="宋体"/>
          <w:b/>
          <w:bCs/>
          <w:spacing w:val="-2"/>
          <w:sz w:val="24"/>
          <w:szCs w:val="24"/>
          <w:lang w:val="en-US" w:eastAsia="zh-CN"/>
        </w:rPr>
        <w:t>9</w:t>
      </w:r>
      <w:r>
        <w:rPr>
          <w:rFonts w:ascii="宋体" w:hAnsi="宋体" w:eastAsia="宋体" w:cs="宋体"/>
          <w:b/>
          <w:bCs/>
          <w:spacing w:val="-2"/>
          <w:sz w:val="24"/>
          <w:szCs w:val="24"/>
        </w:rPr>
        <w:t>.3</w:t>
      </w:r>
      <w:r>
        <w:rPr>
          <w:rFonts w:ascii="宋体" w:hAnsi="宋体" w:eastAsia="宋体" w:cs="宋体"/>
          <w:spacing w:val="-2"/>
          <w:sz w:val="24"/>
          <w:szCs w:val="24"/>
        </w:rPr>
        <w:t xml:space="preserve"> </w:t>
      </w:r>
      <w:r>
        <w:rPr>
          <w:rFonts w:ascii="宋体" w:hAnsi="宋体" w:eastAsia="宋体" w:cs="宋体"/>
          <w:b/>
          <w:bCs/>
          <w:spacing w:val="-2"/>
          <w:sz w:val="24"/>
          <w:szCs w:val="24"/>
        </w:rPr>
        <w:t>对评标委员会成员的纪律要求</w:t>
      </w:r>
    </w:p>
    <w:p w14:paraId="52A9EF08">
      <w:pPr>
        <w:spacing w:line="400" w:lineRule="auto"/>
        <w:ind w:firstLine="472" w:firstLineChars="200"/>
        <w:rPr>
          <w:rFonts w:ascii="宋体" w:hAnsi="宋体" w:eastAsia="宋体" w:cs="宋体"/>
          <w:spacing w:val="-2"/>
          <w:sz w:val="24"/>
          <w:szCs w:val="24"/>
        </w:rPr>
      </w:pPr>
      <w:r>
        <w:rPr>
          <w:rFonts w:ascii="宋体" w:hAnsi="宋体" w:eastAsia="宋体" w:cs="宋体"/>
          <w:spacing w:val="-2"/>
          <w:sz w:val="24"/>
          <w:szCs w:val="24"/>
        </w:rPr>
        <w:t>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正常进</w:t>
      </w:r>
      <w:r>
        <w:rPr>
          <w:rFonts w:ascii="宋体" w:hAnsi="宋体" w:eastAsia="宋体" w:cs="宋体"/>
          <w:spacing w:val="-1"/>
          <w:sz w:val="24"/>
          <w:szCs w:val="24"/>
        </w:rPr>
        <w:t>行，不得使用第三章“评标办法</w:t>
      </w:r>
      <w:r>
        <w:rPr>
          <w:rFonts w:ascii="宋体" w:hAnsi="宋体" w:eastAsia="宋体" w:cs="宋体"/>
          <w:spacing w:val="-88"/>
          <w:sz w:val="24"/>
          <w:szCs w:val="24"/>
        </w:rPr>
        <w:t xml:space="preserve"> </w:t>
      </w:r>
      <w:r>
        <w:rPr>
          <w:rFonts w:ascii="宋体" w:hAnsi="宋体" w:eastAsia="宋体" w:cs="宋体"/>
          <w:spacing w:val="-1"/>
          <w:sz w:val="24"/>
          <w:szCs w:val="24"/>
        </w:rPr>
        <w:t>”没有规定的评审</w:t>
      </w:r>
      <w:r>
        <w:rPr>
          <w:rFonts w:ascii="宋体" w:hAnsi="宋体" w:eastAsia="宋体" w:cs="宋体"/>
          <w:spacing w:val="-2"/>
          <w:sz w:val="24"/>
          <w:szCs w:val="24"/>
        </w:rPr>
        <w:t>因素和标准进行评标。</w:t>
      </w:r>
    </w:p>
    <w:p w14:paraId="2CDDCEEA">
      <w:pPr>
        <w:spacing w:line="400" w:lineRule="auto"/>
        <w:rPr>
          <w:rFonts w:ascii="宋体" w:hAnsi="宋体" w:eastAsia="宋体" w:cs="宋体"/>
          <w:b/>
          <w:bCs/>
          <w:spacing w:val="-2"/>
          <w:sz w:val="24"/>
          <w:szCs w:val="24"/>
        </w:rPr>
      </w:pPr>
      <w:r>
        <w:rPr>
          <w:rFonts w:hint="eastAsia" w:ascii="宋体" w:hAnsi="宋体" w:eastAsia="宋体" w:cs="宋体"/>
          <w:b/>
          <w:bCs/>
          <w:spacing w:val="-2"/>
          <w:sz w:val="24"/>
          <w:szCs w:val="24"/>
          <w:lang w:val="en-US" w:eastAsia="zh-CN"/>
        </w:rPr>
        <w:t xml:space="preserve">9.4 对定标委员会成员的纪律要求 </w:t>
      </w:r>
    </w:p>
    <w:p w14:paraId="655FC42A">
      <w:pPr>
        <w:spacing w:line="400" w:lineRule="auto"/>
        <w:ind w:firstLine="472" w:firstLineChars="200"/>
        <w:rPr>
          <w:rFonts w:ascii="宋体" w:hAnsi="宋体" w:eastAsia="宋体" w:cs="宋体"/>
          <w:sz w:val="24"/>
          <w:szCs w:val="24"/>
        </w:rPr>
      </w:pPr>
      <w:r>
        <w:rPr>
          <w:rFonts w:hint="eastAsia" w:ascii="宋体" w:hAnsi="宋体" w:eastAsia="宋体" w:cs="宋体"/>
          <w:spacing w:val="-2"/>
          <w:sz w:val="24"/>
          <w:szCs w:val="24"/>
          <w:lang w:val="en-US" w:eastAsia="zh-CN"/>
        </w:rPr>
        <w:t>定标委员会成员不得与任何投标人或者与招标结果有利害关系的人进行私下接触，不得收受投标人、中介人、其他利害关系人的财物或者其他好处，不得向他人透露定标有关的其他情况。定标委员会成员不得接受任何单位或者个人明示或者暗示提出的倾向或者排斥特定投标人的要求，不得有其他不客观、不公正履行职务的行为。在定标活动中，定标委员会成员不得擅离职守，影响定标程序正常进行，不得使用第三章评标办法（评定分离办法）“三、定标办法”没有规定的定标因素和标准进行定标。</w:t>
      </w:r>
    </w:p>
    <w:p w14:paraId="1F5183CC">
      <w:pPr>
        <w:spacing w:before="181" w:line="359" w:lineRule="auto"/>
        <w:ind w:right="18"/>
        <w:jc w:val="both"/>
        <w:rPr>
          <w:rFonts w:ascii="宋体" w:hAnsi="宋体" w:eastAsia="宋体" w:cs="宋体"/>
          <w:b/>
          <w:bCs/>
          <w:sz w:val="24"/>
          <w:szCs w:val="24"/>
        </w:rPr>
      </w:pPr>
      <w:r>
        <w:rPr>
          <w:rFonts w:hint="eastAsia" w:ascii="宋体" w:hAnsi="宋体" w:eastAsia="宋体" w:cs="宋体"/>
          <w:b/>
          <w:bCs/>
          <w:sz w:val="24"/>
          <w:szCs w:val="24"/>
          <w:lang w:val="en-US" w:eastAsia="zh-CN"/>
        </w:rPr>
        <w:t xml:space="preserve">9.5 异议和投诉 </w:t>
      </w:r>
    </w:p>
    <w:p w14:paraId="6994F663">
      <w:pPr>
        <w:spacing w:line="400" w:lineRule="auto"/>
        <w:ind w:firstLine="472" w:firstLineChars="200"/>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 xml:space="preserve">9.5.1 根据《中华人民共和国招标投标法实施条例》第二十二条规定，潜在投标人或者其他利害关系人对招标文件有异议的，应当在投标截止时间 10 日前提出。招标人应当自收到异议之日起 3 日内作出答复；作出答复前，应当暂停招标投标活动。 </w:t>
      </w:r>
    </w:p>
    <w:p w14:paraId="13BAB556">
      <w:pPr>
        <w:spacing w:line="400" w:lineRule="auto"/>
        <w:ind w:firstLine="472" w:firstLineChars="200"/>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 xml:space="preserve">9.5.2 根据《中华人民共和国招标投标法实施条例》第四十四条规定，投标人对开标有异议的，应当在开标现场提出，招标人应当当场作出答复，并制作记录。 </w:t>
      </w:r>
    </w:p>
    <w:p w14:paraId="2479F05B">
      <w:pPr>
        <w:spacing w:line="400" w:lineRule="auto"/>
        <w:ind w:firstLine="472" w:firstLineChars="200"/>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 xml:space="preserve">9.5.3 根据《中华人民共和国招标投标法实施条例》第五十四条规定，投标人或者其他利害关系人对依法必须进行招标的项目的评标结果有异议的，应当在定标候选人公示期间提出。招标人应当自收到异议之日起 3 日内作出答复；作出答复前，应当暂停招标投标活动。 </w:t>
      </w:r>
    </w:p>
    <w:p w14:paraId="7E60941E">
      <w:pPr>
        <w:spacing w:line="400" w:lineRule="auto"/>
        <w:ind w:firstLine="472" w:firstLineChars="200"/>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 xml:space="preserve">9.5.4 采用评定分离方法的项目，投标人或者其他利害关系人对定标结果有异议的，应当在定标结果公示期间提出。异议应当针对定标结果的全部问题一次性完整提出。招标人应当自收到异议之日起 3 日内作出答复；作出答复前，应当暂停招标投标活动。招标人不再受理投标人或者其他利害关系人针对评标结果公示环节已公示内容提出的异议。就定标结果提出投诉的，应当先向招标人提出异议。 </w:t>
      </w:r>
    </w:p>
    <w:p w14:paraId="03A63FB8">
      <w:pPr>
        <w:spacing w:line="400" w:lineRule="auto"/>
        <w:ind w:firstLine="472" w:firstLineChars="200"/>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 xml:space="preserve">9.5.5 投标人、潜在投标人或其他利害关系人应当充分重视异议、投诉提出的时限，避免异议权、投诉权因时效原因而灭失。 </w:t>
      </w:r>
    </w:p>
    <w:p w14:paraId="235393F6">
      <w:pPr>
        <w:spacing w:line="400" w:lineRule="auto"/>
        <w:ind w:firstLine="472" w:firstLineChars="200"/>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9.5.6 对招标人答复不满意或招标人未在规定时间内做出答复的，投标人或者其他利害关系人可以自知道或者应当知道之日起 10 日内向有关行政监督部门投诉。投诉应当有明确的请求和合法、必要的证明材料。监督部门的联系方式见投标人须知前附表。</w:t>
      </w:r>
    </w:p>
    <w:p w14:paraId="0C7EF000">
      <w:pPr>
        <w:spacing w:before="184" w:line="219" w:lineRule="auto"/>
        <w:ind w:left="26"/>
        <w:rPr>
          <w:rFonts w:ascii="宋体" w:hAnsi="宋体" w:eastAsia="宋体" w:cs="宋体"/>
          <w:sz w:val="24"/>
          <w:szCs w:val="24"/>
        </w:rPr>
      </w:pPr>
      <w:r>
        <w:rPr>
          <w:rFonts w:ascii="宋体" w:hAnsi="宋体" w:eastAsia="宋体" w:cs="宋体"/>
          <w:b/>
          <w:bCs/>
          <w:spacing w:val="-4"/>
          <w:sz w:val="24"/>
          <w:szCs w:val="24"/>
        </w:rPr>
        <w:t>10.需要补充的其他内容</w:t>
      </w:r>
    </w:p>
    <w:p w14:paraId="0FD2EC75">
      <w:pPr>
        <w:spacing w:before="183" w:line="219" w:lineRule="auto"/>
        <w:jc w:val="right"/>
        <w:rPr>
          <w:rFonts w:ascii="宋体" w:hAnsi="宋体" w:eastAsia="宋体" w:cs="宋体"/>
          <w:sz w:val="24"/>
          <w:szCs w:val="24"/>
        </w:rPr>
      </w:pPr>
      <w:r>
        <w:rPr>
          <w:rFonts w:ascii="宋体" w:hAnsi="宋体" w:eastAsia="宋体" w:cs="宋体"/>
          <w:spacing w:val="-3"/>
          <w:sz w:val="24"/>
          <w:szCs w:val="24"/>
        </w:rPr>
        <w:t>10.1 自投标登记并获取招标文件之日起，投标人应保证其提供的联系方式</w:t>
      </w:r>
      <w:r>
        <w:rPr>
          <w:rFonts w:ascii="宋体" w:hAnsi="宋体" w:eastAsia="宋体" w:cs="宋体"/>
          <w:spacing w:val="-4"/>
          <w:sz w:val="24"/>
          <w:szCs w:val="24"/>
        </w:rPr>
        <w:t>（电话、</w:t>
      </w:r>
    </w:p>
    <w:p w14:paraId="059C0F80">
      <w:pPr>
        <w:spacing w:before="181" w:line="219" w:lineRule="auto"/>
        <w:ind w:left="6"/>
        <w:rPr>
          <w:rFonts w:ascii="宋体" w:hAnsi="宋体" w:eastAsia="宋体" w:cs="宋体"/>
          <w:sz w:val="24"/>
          <w:szCs w:val="24"/>
        </w:rPr>
      </w:pPr>
      <w:r>
        <w:rPr>
          <w:rFonts w:ascii="宋体" w:hAnsi="宋体" w:eastAsia="宋体" w:cs="宋体"/>
          <w:sz w:val="24"/>
          <w:szCs w:val="24"/>
        </w:rPr>
        <w:t>传真、电子邮件）一直有效，以便及时收到招标人发出的函件(招</w:t>
      </w:r>
      <w:r>
        <w:rPr>
          <w:rFonts w:ascii="宋体" w:hAnsi="宋体" w:eastAsia="宋体" w:cs="宋体"/>
          <w:spacing w:val="-1"/>
          <w:sz w:val="24"/>
          <w:szCs w:val="24"/>
        </w:rPr>
        <w:t>标文件的澄清、修改</w:t>
      </w:r>
    </w:p>
    <w:p w14:paraId="60FB2866">
      <w:pPr>
        <w:spacing w:before="181" w:line="219" w:lineRule="auto"/>
        <w:ind w:left="10"/>
        <w:rPr>
          <w:rFonts w:ascii="宋体" w:hAnsi="宋体" w:eastAsia="宋体" w:cs="宋体"/>
          <w:sz w:val="24"/>
          <w:szCs w:val="24"/>
        </w:rPr>
      </w:pPr>
      <w:r>
        <w:rPr>
          <w:rFonts w:ascii="宋体" w:hAnsi="宋体" w:eastAsia="宋体" w:cs="宋体"/>
          <w:sz w:val="24"/>
          <w:szCs w:val="24"/>
        </w:rPr>
        <w:t>等)，并应及时向招标人反馈信息，否则招标人</w:t>
      </w:r>
      <w:r>
        <w:rPr>
          <w:rFonts w:ascii="宋体" w:hAnsi="宋体" w:eastAsia="宋体" w:cs="宋体"/>
          <w:spacing w:val="-1"/>
          <w:sz w:val="24"/>
          <w:szCs w:val="24"/>
        </w:rPr>
        <w:t>不承担由此引起的一切后果。</w:t>
      </w:r>
    </w:p>
    <w:p w14:paraId="60BE7253">
      <w:pPr>
        <w:spacing w:before="183" w:line="219" w:lineRule="auto"/>
        <w:ind w:left="501"/>
        <w:rPr>
          <w:rFonts w:ascii="宋体" w:hAnsi="宋体" w:eastAsia="宋体" w:cs="宋体"/>
          <w:sz w:val="24"/>
          <w:szCs w:val="24"/>
        </w:rPr>
      </w:pPr>
      <w:r>
        <w:rPr>
          <w:rFonts w:ascii="宋体" w:hAnsi="宋体" w:eastAsia="宋体" w:cs="宋体"/>
          <w:spacing w:val="-2"/>
          <w:sz w:val="24"/>
          <w:szCs w:val="24"/>
        </w:rPr>
        <w:t>需要补充的其他内容：见投标人须知前附表。</w:t>
      </w:r>
    </w:p>
    <w:p w14:paraId="3B8ABC70">
      <w:pPr>
        <w:spacing w:line="245" w:lineRule="auto"/>
        <w:rPr>
          <w:rFonts w:hint="eastAsia" w:ascii="Arial" w:eastAsia="宋体"/>
          <w:sz w:val="21"/>
          <w:lang w:eastAsia="zh-CN"/>
        </w:rPr>
      </w:pPr>
      <w:r>
        <w:rPr>
          <w:rFonts w:hint="eastAsia" w:ascii="Arial" w:eastAsia="宋体"/>
          <w:sz w:val="21"/>
          <w:lang w:eastAsia="zh-CN"/>
        </w:rPr>
        <w:br w:type="page"/>
      </w:r>
    </w:p>
    <w:p w14:paraId="6EEDE91C">
      <w:pPr>
        <w:spacing w:line="246" w:lineRule="auto"/>
        <w:rPr>
          <w:rFonts w:ascii="Arial"/>
          <w:sz w:val="21"/>
        </w:rPr>
      </w:pPr>
    </w:p>
    <w:p w14:paraId="6657FD82">
      <w:pPr>
        <w:spacing w:line="246" w:lineRule="auto"/>
        <w:rPr>
          <w:rFonts w:ascii="Arial"/>
          <w:sz w:val="21"/>
        </w:rPr>
      </w:pPr>
    </w:p>
    <w:p w14:paraId="7AED100A">
      <w:pPr>
        <w:spacing w:line="246" w:lineRule="auto"/>
        <w:rPr>
          <w:rFonts w:ascii="Arial"/>
          <w:sz w:val="21"/>
        </w:rPr>
      </w:pPr>
    </w:p>
    <w:p w14:paraId="44CB7C9B">
      <w:pPr>
        <w:spacing w:line="246" w:lineRule="auto"/>
        <w:rPr>
          <w:rFonts w:ascii="Arial"/>
          <w:sz w:val="21"/>
        </w:rPr>
      </w:pPr>
    </w:p>
    <w:p w14:paraId="68A8BBAA">
      <w:pPr>
        <w:spacing w:line="246" w:lineRule="auto"/>
        <w:rPr>
          <w:rFonts w:ascii="Arial"/>
          <w:sz w:val="21"/>
        </w:rPr>
      </w:pPr>
    </w:p>
    <w:p w14:paraId="30217F3C">
      <w:pPr>
        <w:spacing w:line="246" w:lineRule="auto"/>
        <w:rPr>
          <w:rFonts w:ascii="Arial"/>
          <w:sz w:val="21"/>
        </w:rPr>
      </w:pPr>
    </w:p>
    <w:p w14:paraId="75918B02">
      <w:pPr>
        <w:spacing w:line="246" w:lineRule="auto"/>
        <w:rPr>
          <w:rFonts w:ascii="Arial"/>
          <w:sz w:val="21"/>
        </w:rPr>
      </w:pPr>
    </w:p>
    <w:p w14:paraId="5D8BD9F3">
      <w:pPr>
        <w:spacing w:line="246" w:lineRule="auto"/>
        <w:rPr>
          <w:rFonts w:ascii="Arial"/>
          <w:sz w:val="21"/>
        </w:rPr>
      </w:pPr>
    </w:p>
    <w:p w14:paraId="7BF7528A">
      <w:pPr>
        <w:spacing w:line="246" w:lineRule="auto"/>
        <w:rPr>
          <w:rFonts w:ascii="Arial"/>
          <w:sz w:val="21"/>
        </w:rPr>
      </w:pPr>
    </w:p>
    <w:p w14:paraId="045436AF">
      <w:pPr>
        <w:spacing w:line="246" w:lineRule="auto"/>
        <w:rPr>
          <w:rFonts w:ascii="Arial"/>
          <w:sz w:val="21"/>
        </w:rPr>
      </w:pPr>
    </w:p>
    <w:p w14:paraId="6BFCB660">
      <w:pPr>
        <w:spacing w:line="246" w:lineRule="auto"/>
        <w:rPr>
          <w:rFonts w:ascii="Arial"/>
          <w:sz w:val="21"/>
        </w:rPr>
      </w:pPr>
    </w:p>
    <w:p w14:paraId="68088F4C">
      <w:pPr>
        <w:spacing w:line="246" w:lineRule="auto"/>
        <w:rPr>
          <w:rFonts w:ascii="Arial"/>
          <w:sz w:val="21"/>
        </w:rPr>
      </w:pPr>
    </w:p>
    <w:p w14:paraId="34966DDE">
      <w:pPr>
        <w:spacing w:line="246" w:lineRule="auto"/>
        <w:rPr>
          <w:rFonts w:ascii="Arial"/>
          <w:sz w:val="21"/>
        </w:rPr>
      </w:pPr>
    </w:p>
    <w:p w14:paraId="62A65329">
      <w:pPr>
        <w:spacing w:line="246" w:lineRule="auto"/>
        <w:rPr>
          <w:rFonts w:ascii="Arial"/>
          <w:sz w:val="21"/>
        </w:rPr>
      </w:pPr>
    </w:p>
    <w:p w14:paraId="2E49B3F7">
      <w:pPr>
        <w:spacing w:line="246" w:lineRule="auto"/>
        <w:rPr>
          <w:rFonts w:ascii="Arial"/>
          <w:sz w:val="21"/>
        </w:rPr>
      </w:pPr>
    </w:p>
    <w:p w14:paraId="00EA6089">
      <w:pPr>
        <w:spacing w:before="140" w:line="222" w:lineRule="auto"/>
        <w:ind w:left="2783"/>
        <w:outlineLvl w:val="0"/>
        <w:rPr>
          <w:rFonts w:ascii="宋体" w:hAnsi="宋体" w:eastAsia="宋体" w:cs="宋体"/>
          <w:sz w:val="43"/>
          <w:szCs w:val="43"/>
        </w:rPr>
      </w:pPr>
      <w:bookmarkStart w:id="8" w:name="_Toc26394"/>
      <w:r>
        <w:rPr>
          <w:rFonts w:ascii="宋体" w:hAnsi="宋体" w:eastAsia="宋体" w:cs="宋体"/>
          <w:b/>
          <w:bCs/>
          <w:spacing w:val="4"/>
          <w:sz w:val="43"/>
          <w:szCs w:val="43"/>
        </w:rPr>
        <w:t>第三章</w:t>
      </w:r>
      <w:r>
        <w:rPr>
          <w:rFonts w:ascii="宋体" w:hAnsi="宋体" w:eastAsia="宋体" w:cs="宋体"/>
          <w:spacing w:val="4"/>
          <w:sz w:val="43"/>
          <w:szCs w:val="43"/>
        </w:rPr>
        <w:t xml:space="preserve">  </w:t>
      </w:r>
      <w:r>
        <w:rPr>
          <w:rFonts w:ascii="宋体" w:hAnsi="宋体" w:eastAsia="宋体" w:cs="宋体"/>
          <w:b/>
          <w:bCs/>
          <w:spacing w:val="4"/>
          <w:sz w:val="43"/>
          <w:szCs w:val="43"/>
        </w:rPr>
        <w:t>评标办法</w:t>
      </w:r>
      <w:bookmarkEnd w:id="8"/>
    </w:p>
    <w:p w14:paraId="094714C8">
      <w:pPr>
        <w:spacing w:line="390" w:lineRule="auto"/>
        <w:rPr>
          <w:rFonts w:hint="eastAsia" w:ascii="Arial" w:eastAsia="宋体"/>
          <w:sz w:val="21"/>
          <w:lang w:eastAsia="zh-CN"/>
        </w:rPr>
      </w:pPr>
      <w:r>
        <w:rPr>
          <w:rFonts w:hint="eastAsia" w:ascii="Arial" w:eastAsia="宋体"/>
          <w:sz w:val="21"/>
          <w:lang w:eastAsia="zh-CN"/>
        </w:rPr>
        <w:br w:type="page"/>
      </w:r>
    </w:p>
    <w:p w14:paraId="7296704B">
      <w:pPr>
        <w:keepNext/>
        <w:keepLines/>
        <w:ind w:firstLine="643" w:firstLineChars="200"/>
        <w:jc w:val="center"/>
        <w:outlineLvl w:val="0"/>
        <w:rPr>
          <w:rFonts w:eastAsia="黑体"/>
          <w:b/>
          <w:color w:val="auto"/>
          <w:kern w:val="44"/>
          <w:sz w:val="32"/>
          <w:szCs w:val="32"/>
          <w:highlight w:val="none"/>
        </w:rPr>
      </w:pPr>
      <w:bookmarkStart w:id="9" w:name="bookmark7"/>
      <w:bookmarkEnd w:id="9"/>
      <w:bookmarkStart w:id="10" w:name="_Toc1139"/>
      <w:r>
        <w:rPr>
          <w:rFonts w:eastAsia="黑体"/>
          <w:b/>
          <w:color w:val="auto"/>
          <w:kern w:val="44"/>
          <w:sz w:val="32"/>
          <w:szCs w:val="32"/>
          <w:highlight w:val="none"/>
        </w:rPr>
        <w:t>第三章　评标办法(</w:t>
      </w:r>
      <w:r>
        <w:rPr>
          <w:rFonts w:hint="eastAsia" w:eastAsia="黑体"/>
          <w:b/>
          <w:color w:val="auto"/>
          <w:kern w:val="44"/>
          <w:sz w:val="32"/>
          <w:szCs w:val="32"/>
          <w:highlight w:val="none"/>
        </w:rPr>
        <w:t>双信封综合评分</w:t>
      </w:r>
      <w:r>
        <w:rPr>
          <w:rFonts w:eastAsia="黑体"/>
          <w:b/>
          <w:color w:val="auto"/>
          <w:kern w:val="44"/>
          <w:sz w:val="32"/>
          <w:szCs w:val="32"/>
          <w:highlight w:val="none"/>
        </w:rPr>
        <w:t>法)</w:t>
      </w:r>
      <w:bookmarkEnd w:id="10"/>
    </w:p>
    <w:p w14:paraId="0B9F7617">
      <w:pPr>
        <w:ind w:firstLine="420"/>
        <w:rPr>
          <w:color w:val="auto"/>
          <w:szCs w:val="21"/>
          <w:highlight w:val="none"/>
        </w:rPr>
      </w:pPr>
    </w:p>
    <w:p w14:paraId="2A719813">
      <w:pPr>
        <w:pStyle w:val="6"/>
        <w:ind w:firstLine="420"/>
        <w:rPr>
          <w:color w:val="auto"/>
          <w:highlight w:val="none"/>
          <w:lang w:eastAsia="zh-CN"/>
        </w:rPr>
      </w:pPr>
      <w:bookmarkStart w:id="11" w:name="_Hlt299194858"/>
      <w:bookmarkStart w:id="12" w:name="_Toc79652986"/>
      <w:r>
        <w:rPr>
          <w:color w:val="auto"/>
          <w:highlight w:val="none"/>
        </w:rPr>
        <w:t>评标办法前附表</w:t>
      </w:r>
      <w:bookmarkEnd w:id="11"/>
      <w:bookmarkEnd w:id="12"/>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1563"/>
        <w:gridCol w:w="2409"/>
        <w:gridCol w:w="3999"/>
      </w:tblGrid>
      <w:tr w14:paraId="6A182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694" w:type="dxa"/>
            <w:gridSpan w:val="2"/>
            <w:noWrap w:val="0"/>
            <w:vAlign w:val="top"/>
          </w:tcPr>
          <w:p w14:paraId="70D74795">
            <w:pPr>
              <w:keepNext w:val="0"/>
              <w:keepLines w:val="0"/>
              <w:widowControl/>
              <w:suppressLineNumbers w:val="0"/>
              <w:spacing w:before="0" w:beforeAutospacing="0" w:after="0" w:afterAutospacing="0"/>
              <w:ind w:left="0" w:right="0" w:firstLine="422"/>
              <w:jc w:val="center"/>
              <w:rPr>
                <w:rFonts w:hint="default" w:ascii="新宋体" w:hAnsi="新宋体" w:eastAsia="新宋体" w:cs="新宋体"/>
                <w:b/>
                <w:color w:val="auto"/>
                <w:szCs w:val="21"/>
                <w:highlight w:val="none"/>
              </w:rPr>
            </w:pPr>
            <w:r>
              <w:rPr>
                <w:rFonts w:hint="default" w:ascii="新宋体" w:hAnsi="新宋体" w:eastAsia="新宋体" w:cs="新宋体"/>
                <w:b/>
                <w:color w:val="auto"/>
                <w:szCs w:val="21"/>
                <w:highlight w:val="none"/>
              </w:rPr>
              <w:t>条款号</w:t>
            </w:r>
          </w:p>
        </w:tc>
        <w:tc>
          <w:tcPr>
            <w:tcW w:w="6408" w:type="dxa"/>
            <w:gridSpan w:val="2"/>
            <w:noWrap w:val="0"/>
            <w:vAlign w:val="top"/>
          </w:tcPr>
          <w:p w14:paraId="4BBA955B">
            <w:pPr>
              <w:keepNext w:val="0"/>
              <w:keepLines w:val="0"/>
              <w:widowControl/>
              <w:suppressLineNumbers w:val="0"/>
              <w:spacing w:before="0" w:beforeAutospacing="0" w:after="0" w:afterAutospacing="0"/>
              <w:ind w:left="0" w:right="0" w:firstLine="422"/>
              <w:jc w:val="center"/>
              <w:rPr>
                <w:rFonts w:hint="default" w:ascii="新宋体" w:hAnsi="新宋体" w:eastAsia="新宋体" w:cs="新宋体"/>
                <w:b/>
                <w:color w:val="auto"/>
                <w:szCs w:val="21"/>
                <w:highlight w:val="none"/>
              </w:rPr>
            </w:pPr>
            <w:r>
              <w:rPr>
                <w:rFonts w:hint="default" w:ascii="新宋体" w:hAnsi="新宋体" w:eastAsia="新宋体" w:cs="新宋体"/>
                <w:b/>
                <w:color w:val="auto"/>
                <w:szCs w:val="21"/>
                <w:highlight w:val="none"/>
              </w:rPr>
              <w:t>评审因素</w:t>
            </w:r>
            <w:r>
              <w:rPr>
                <w:rFonts w:hint="eastAsia" w:ascii="新宋体" w:hAnsi="新宋体" w:eastAsia="新宋体" w:cs="新宋体"/>
                <w:b/>
                <w:color w:val="auto"/>
                <w:szCs w:val="21"/>
                <w:highlight w:val="none"/>
              </w:rPr>
              <w:t>与评审标准</w:t>
            </w:r>
          </w:p>
        </w:tc>
      </w:tr>
      <w:tr w14:paraId="5649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noWrap w:val="0"/>
            <w:vAlign w:val="center"/>
          </w:tcPr>
          <w:p w14:paraId="4B59B9BC">
            <w:pPr>
              <w:keepNext w:val="0"/>
              <w:keepLines w:val="0"/>
              <w:widowControl/>
              <w:suppressLineNumbers w:val="0"/>
              <w:spacing w:before="0" w:beforeAutospacing="0" w:after="0" w:afterAutospacing="0"/>
              <w:ind w:left="0" w:right="0" w:firstLine="420"/>
              <w:jc w:val="center"/>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1</w:t>
            </w:r>
          </w:p>
        </w:tc>
        <w:tc>
          <w:tcPr>
            <w:tcW w:w="1563" w:type="dxa"/>
            <w:noWrap w:val="0"/>
            <w:vAlign w:val="center"/>
          </w:tcPr>
          <w:p w14:paraId="7F4E8F49">
            <w:pPr>
              <w:keepNext w:val="0"/>
              <w:keepLines w:val="0"/>
              <w:widowControl/>
              <w:suppressLineNumbers w:val="0"/>
              <w:spacing w:before="0" w:beforeAutospacing="0" w:after="0" w:afterAutospacing="0"/>
              <w:ind w:left="0" w:right="0"/>
              <w:jc w:val="both"/>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评标办法</w:t>
            </w:r>
          </w:p>
        </w:tc>
        <w:tc>
          <w:tcPr>
            <w:tcW w:w="6408" w:type="dxa"/>
            <w:gridSpan w:val="2"/>
            <w:noWrap w:val="0"/>
            <w:vAlign w:val="center"/>
          </w:tcPr>
          <w:p w14:paraId="0304D7F2">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综合评分相等时，评标委员会依次按照以下优先顺序推荐中标候选人或确定中标人：</w:t>
            </w:r>
          </w:p>
          <w:p w14:paraId="56B5F377">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（1）评标价低的优先，当一家以上投标人综合得分相等且评标价也相等时，若各投标人工程量清单细目单价也相同，视为串标（一个合同段仅一工作细目报价的除外），应否决其投标；</w:t>
            </w:r>
          </w:p>
          <w:p w14:paraId="39F2CCC0">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w:t>
            </w:r>
            <w:r>
              <w:rPr>
                <w:rFonts w:hint="default" w:ascii="新宋体" w:hAnsi="新宋体" w:eastAsia="新宋体" w:cs="新宋体"/>
                <w:color w:val="auto"/>
                <w:szCs w:val="21"/>
                <w:highlight w:val="none"/>
                <w:lang w:val="en-US" w:eastAsia="zh-CN"/>
              </w:rPr>
              <w:t>按招标文件规定被认定为最新年度广东省水运工程从业单位信用评价等级较高的投标人优先；【采用如下的优先顺序：承诺使用的 AA 级投标人、不承诺使用的 AA 级投标人、承诺使用的 A 级投标人、不承诺使用的 A 级投标人、B 级投标人、未参评且被确定为 B 级投标人】</w:t>
            </w:r>
            <w:r>
              <w:rPr>
                <w:rFonts w:hint="eastAsia" w:ascii="新宋体" w:hAnsi="新宋体" w:eastAsia="新宋体" w:cs="新宋体"/>
                <w:color w:val="auto"/>
                <w:szCs w:val="21"/>
                <w:highlight w:val="none"/>
                <w:lang w:val="en-US" w:eastAsia="zh-CN"/>
              </w:rPr>
              <w:t>；</w:t>
            </w:r>
          </w:p>
          <w:p w14:paraId="5790EEFF">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（3）以投标人企业最新年度净资产较高的优先；</w:t>
            </w:r>
          </w:p>
          <w:p w14:paraId="33F05ECB">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（4）评标委员会视投标人情况综合比较，投票确定其名次。</w:t>
            </w:r>
          </w:p>
        </w:tc>
      </w:tr>
      <w:tr w14:paraId="1407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1131" w:type="dxa"/>
            <w:noWrap w:val="0"/>
            <w:vAlign w:val="center"/>
          </w:tcPr>
          <w:p w14:paraId="4227A90D">
            <w:pPr>
              <w:keepNext w:val="0"/>
              <w:keepLines w:val="0"/>
              <w:widowControl/>
              <w:suppressLineNumbers w:val="0"/>
              <w:spacing w:before="0" w:beforeAutospacing="0" w:after="0" w:afterAutospacing="0"/>
              <w:ind w:left="0" w:right="0"/>
              <w:jc w:val="both"/>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2.1.1</w:t>
            </w:r>
          </w:p>
          <w:p w14:paraId="51734C48">
            <w:pPr>
              <w:keepNext w:val="0"/>
              <w:keepLines w:val="0"/>
              <w:widowControl/>
              <w:suppressLineNumbers w:val="0"/>
              <w:spacing w:before="0" w:beforeAutospacing="0" w:after="0" w:afterAutospacing="0"/>
              <w:ind w:left="0" w:right="0"/>
              <w:jc w:val="both"/>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2.1.3</w:t>
            </w:r>
          </w:p>
        </w:tc>
        <w:tc>
          <w:tcPr>
            <w:tcW w:w="1563" w:type="dxa"/>
            <w:noWrap w:val="0"/>
            <w:vAlign w:val="center"/>
          </w:tcPr>
          <w:p w14:paraId="7A8D1C6F">
            <w:pPr>
              <w:keepNext w:val="0"/>
              <w:keepLines w:val="0"/>
              <w:widowControl/>
              <w:suppressLineNumbers w:val="0"/>
              <w:spacing w:before="0" w:beforeAutospacing="0" w:after="0" w:afterAutospacing="0"/>
              <w:ind w:left="0" w:right="0"/>
              <w:jc w:val="both"/>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形式评审与响应性评审标准</w:t>
            </w:r>
          </w:p>
        </w:tc>
        <w:tc>
          <w:tcPr>
            <w:tcW w:w="6408" w:type="dxa"/>
            <w:gridSpan w:val="2"/>
            <w:noWrap w:val="0"/>
            <w:vAlign w:val="center"/>
          </w:tcPr>
          <w:p w14:paraId="1600F270">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第一个信封（商务及技术文件）评审标准：</w:t>
            </w:r>
          </w:p>
          <w:p w14:paraId="2DCF3EBE">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（1）投标文件按照招标文件规定的格式、内容填写，字迹清晰可辨：</w:t>
            </w:r>
          </w:p>
          <w:p w14:paraId="676C92E4">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a.投标函按招标文件规定填报了项目名称、标段号、补遗书编号（如有)、工期、工程质量要求及安全目标；</w:t>
            </w:r>
          </w:p>
          <w:p w14:paraId="1B07EA0B">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b.投标函附录的所有数据均符合招标文件规定；</w:t>
            </w:r>
          </w:p>
          <w:p w14:paraId="076D2C6E">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C.投标文件组成齐全完整，内容均按规定填写。</w:t>
            </w:r>
          </w:p>
          <w:p w14:paraId="23B2E848">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（2）投标文件上法定代表人或其委托代理人的签字、投标人的单位章盖章齐全，符合招标文件规定。</w:t>
            </w:r>
          </w:p>
          <w:p w14:paraId="7A01AD4C">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（3）投标人按照招标文件的规定提供了投标保证金：</w:t>
            </w:r>
          </w:p>
          <w:p w14:paraId="33B3C3F5">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a.投标保证金金额符合招标文件规定的金额，且投标保证金有效期不少于投标有效期；</w:t>
            </w:r>
          </w:p>
          <w:p w14:paraId="238FBEC9">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b.若投标保证金采用现金或支票形式提交，投标人应在投标人须知 3.4.1款规定的时间，将投标保证金由投标人的基本账户转入招标人指定账户；</w:t>
            </w:r>
          </w:p>
          <w:p w14:paraId="246875AF">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C.若投标保证金采用银行保函形式提交，银行保函的格式、开具保函的银行均满足招标文件要求，银行保函原件在递交投标文件时单独密封递交，其</w:t>
            </w:r>
            <w:r>
              <w:rPr>
                <w:rFonts w:hint="eastAsia" w:ascii="新宋体" w:hAnsi="新宋体" w:eastAsia="新宋体" w:cs="新宋体"/>
                <w:color w:val="auto"/>
                <w:szCs w:val="21"/>
                <w:highlight w:val="none"/>
                <w:lang w:eastAsia="zh-CN"/>
              </w:rPr>
              <w:t>原件扫描</w:t>
            </w:r>
            <w:r>
              <w:rPr>
                <w:rFonts w:hint="default" w:ascii="新宋体" w:hAnsi="新宋体" w:eastAsia="新宋体" w:cs="新宋体"/>
                <w:color w:val="auto"/>
                <w:szCs w:val="21"/>
                <w:highlight w:val="none"/>
              </w:rPr>
              <w:t>件</w:t>
            </w:r>
            <w:r>
              <w:rPr>
                <w:rFonts w:hint="eastAsia" w:ascii="新宋体" w:hAnsi="新宋体" w:eastAsia="新宋体" w:cs="新宋体"/>
                <w:color w:val="auto"/>
                <w:szCs w:val="21"/>
                <w:highlight w:val="none"/>
                <w:lang w:eastAsia="zh-CN"/>
              </w:rPr>
              <w:t>应附</w:t>
            </w:r>
            <w:r>
              <w:rPr>
                <w:rFonts w:hint="default" w:ascii="新宋体" w:hAnsi="新宋体" w:eastAsia="新宋体" w:cs="新宋体"/>
                <w:color w:val="auto"/>
                <w:szCs w:val="21"/>
                <w:highlight w:val="none"/>
              </w:rPr>
              <w:t>在投标文件中。</w:t>
            </w:r>
          </w:p>
          <w:p w14:paraId="5CE198DA">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d.若投标保证金采用其他形式提交，应满足须知前附表 3.4.1 项的规定。</w:t>
            </w:r>
          </w:p>
          <w:p w14:paraId="4E733A7C">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（4）投标人法定代表人授权委托代理人签署投标文件的，需提交授权委托书，且授权人和被授权人均在授权委托书上签名，未使用印章、签名章或其他电子制版签名代替。</w:t>
            </w:r>
          </w:p>
          <w:p w14:paraId="6E0ADF31">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（5）投标人法定代表人亲自签署投标文件的，提供了法定代表人身份证明，且法定代表人在法定代表人身份证明上签名，未使用印章、签名章或其他电子制版签名代替。</w:t>
            </w:r>
          </w:p>
          <w:p w14:paraId="595A642D">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（6）投标人以联合体形式投标时，联合体满足招标文件的要求：投标人按照招标文件提供的格式签订了联合体协议书，明确各方承担连带责任，并明确了联合体牵头人；</w:t>
            </w:r>
          </w:p>
          <w:p w14:paraId="622BC854">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（7）投标人如有分包计划，符合招标文件第二章“投标人须知” 第 1.11 款规定，且按招标文件第八章“投标文件格式”的要求填写了“拟分包项目情况表”。</w:t>
            </w:r>
          </w:p>
          <w:p w14:paraId="1ABB0423">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（8）同一投标人未提交两个以上不同的投标文件，但招标文件要求提交备选投标的除外。</w:t>
            </w:r>
          </w:p>
          <w:p w14:paraId="7189E3BE">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（9）投标文件中未出现有关投标报价的内容。</w:t>
            </w:r>
          </w:p>
        </w:tc>
      </w:tr>
      <w:tr w14:paraId="3315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trPr>
        <w:tc>
          <w:tcPr>
            <w:tcW w:w="1131" w:type="dxa"/>
            <w:noWrap w:val="0"/>
            <w:vAlign w:val="center"/>
          </w:tcPr>
          <w:p w14:paraId="759D4546">
            <w:pPr>
              <w:keepNext w:val="0"/>
              <w:keepLines w:val="0"/>
              <w:widowControl/>
              <w:suppressLineNumbers w:val="0"/>
              <w:spacing w:before="0" w:beforeAutospacing="0" w:after="0" w:afterAutospacing="0"/>
              <w:ind w:left="0" w:right="0"/>
              <w:jc w:val="both"/>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2.1.1</w:t>
            </w:r>
          </w:p>
          <w:p w14:paraId="65C78229">
            <w:pPr>
              <w:keepNext w:val="0"/>
              <w:keepLines w:val="0"/>
              <w:widowControl/>
              <w:suppressLineNumbers w:val="0"/>
              <w:spacing w:before="0" w:beforeAutospacing="0" w:after="0" w:afterAutospacing="0"/>
              <w:ind w:left="0" w:right="0"/>
              <w:jc w:val="both"/>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2.1.3</w:t>
            </w:r>
          </w:p>
        </w:tc>
        <w:tc>
          <w:tcPr>
            <w:tcW w:w="1563" w:type="dxa"/>
            <w:noWrap w:val="0"/>
            <w:vAlign w:val="center"/>
          </w:tcPr>
          <w:p w14:paraId="1D27D816">
            <w:pPr>
              <w:keepNext w:val="0"/>
              <w:keepLines w:val="0"/>
              <w:widowControl/>
              <w:suppressLineNumbers w:val="0"/>
              <w:spacing w:before="0" w:beforeAutospacing="0" w:after="0" w:afterAutospacing="0"/>
              <w:ind w:left="0" w:right="0"/>
              <w:jc w:val="both"/>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形式评审与响应性评审标准</w:t>
            </w:r>
          </w:p>
        </w:tc>
        <w:tc>
          <w:tcPr>
            <w:tcW w:w="6408" w:type="dxa"/>
            <w:gridSpan w:val="2"/>
            <w:noWrap w:val="0"/>
            <w:vAlign w:val="center"/>
          </w:tcPr>
          <w:p w14:paraId="0ECD7B7A">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（10）投标文件载明的招标项目完成期限未超过招标文件规定的时限。</w:t>
            </w:r>
          </w:p>
          <w:p w14:paraId="639F81F9">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（11）投标文件对招标文件的实质性要求和条件作出响应。</w:t>
            </w:r>
          </w:p>
          <w:p w14:paraId="6BC4FC67">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（12）权利义务符合招标文件规定：</w:t>
            </w:r>
          </w:p>
          <w:p w14:paraId="307EFD7B">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a.投标人应接受招标文件规定的风险划分原则，未提出新的风险划分办法；</w:t>
            </w:r>
          </w:p>
          <w:p w14:paraId="782DF8F0">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b.投标人未增加发包人的责任范围，或减少投标人义务；</w:t>
            </w:r>
          </w:p>
          <w:p w14:paraId="15D11871">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C.投标人未提出不同的工程验收、计量、支付办法；</w:t>
            </w:r>
          </w:p>
          <w:p w14:paraId="39AB597D">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d.投标人对合同纠纷、事故处理办法未提出异议；</w:t>
            </w:r>
          </w:p>
          <w:p w14:paraId="20BDA270">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e.投标人在投标活动中无欺诈行为；</w:t>
            </w:r>
          </w:p>
          <w:p w14:paraId="44A98E5D">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f.投标人未对合同条款有重要保留。</w:t>
            </w:r>
          </w:p>
          <w:p w14:paraId="347DCF11">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w:t>
            </w:r>
            <w:r>
              <w:rPr>
                <w:rFonts w:hint="eastAsia" w:ascii="新宋体" w:hAnsi="新宋体" w:eastAsia="新宋体" w:cs="新宋体"/>
                <w:color w:val="auto"/>
                <w:szCs w:val="21"/>
                <w:highlight w:val="none"/>
                <w:lang w:val="en-US" w:eastAsia="zh-CN"/>
              </w:rPr>
              <w:t>3</w:t>
            </w:r>
            <w:r>
              <w:rPr>
                <w:rFonts w:hint="default" w:ascii="新宋体" w:hAnsi="新宋体" w:eastAsia="新宋体" w:cs="新宋体"/>
                <w:color w:val="auto"/>
                <w:szCs w:val="21"/>
                <w:highlight w:val="none"/>
              </w:rPr>
              <w:t>）投标文件未附有招标人不能接受的条件。</w:t>
            </w:r>
          </w:p>
          <w:p w14:paraId="52DFC998">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第二个信封（报价文件）评审标准：</w:t>
            </w:r>
          </w:p>
          <w:p w14:paraId="434F03F3">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(1)投标文件按照招标文件规定的格式、内容填写，字迹清晰可辨：</w:t>
            </w:r>
          </w:p>
          <w:p w14:paraId="364E5DA9">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a.投标函按招标文件规定填报了项目名称、标段号、补遗书编号（如有)、投标总报价（包括大写金额和小写金额)；</w:t>
            </w:r>
          </w:p>
          <w:p w14:paraId="2ABAEDFE">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b.已标价工程量清单说明文字</w:t>
            </w:r>
            <w:r>
              <w:rPr>
                <w:rFonts w:hint="eastAsia" w:ascii="新宋体" w:hAnsi="新宋体" w:eastAsia="新宋体" w:cs="新宋体"/>
                <w:color w:val="auto"/>
                <w:szCs w:val="21"/>
                <w:highlight w:val="none"/>
                <w:lang w:eastAsia="zh-CN"/>
              </w:rPr>
              <w:t>（如有）</w:t>
            </w:r>
            <w:r>
              <w:rPr>
                <w:rFonts w:hint="default" w:ascii="新宋体" w:hAnsi="新宋体" w:eastAsia="新宋体" w:cs="新宋体"/>
                <w:color w:val="auto"/>
                <w:szCs w:val="21"/>
                <w:highlight w:val="none"/>
              </w:rPr>
              <w:t>与招标文件规定一致，未进行实质性修改和删减</w:t>
            </w:r>
          </w:p>
          <w:p w14:paraId="100161F7">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c.投标文件组成齐全完整，内容均按规定填写。</w:t>
            </w:r>
          </w:p>
          <w:p w14:paraId="67467973">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（2）投标文件上法定代表人或其委托代理人的签字、投标人的单位章盖章齐全，符合招标文件规定。</w:t>
            </w:r>
          </w:p>
          <w:p w14:paraId="1556229F">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（3）投标报价或调价函中的报价未超过招标文件设定的最高投标限价（如有)。</w:t>
            </w:r>
          </w:p>
          <w:p w14:paraId="260B95C8">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（4）投标报价或调价函中报价的大写金额能够确定具体数值。</w:t>
            </w:r>
          </w:p>
          <w:p w14:paraId="76DF024A">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（5）同一投标人未提交两个以上不同的投标报价，但招标文件要求提交备选投标的除外。</w:t>
            </w:r>
          </w:p>
          <w:p w14:paraId="50CEE6FB">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（6）投标人若提交调价函，调价函符合招标文件第二章“投标人 须知”第 3.2.6项要求。</w:t>
            </w:r>
          </w:p>
          <w:p w14:paraId="090A376C">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（7）投标人若填写工程量固化清单，填写完毕的工程量固化清单未对工程量固化清单电子文件中的数据、格式和运算定义进行修改；工程量固化清单中的投标</w:t>
            </w:r>
            <w:r>
              <w:rPr>
                <w:rFonts w:hint="eastAsia" w:ascii="新宋体" w:hAnsi="新宋体" w:eastAsia="新宋体" w:cs="新宋体"/>
                <w:color w:val="auto"/>
                <w:szCs w:val="21"/>
                <w:highlight w:val="none"/>
                <w:lang w:eastAsia="zh-CN"/>
              </w:rPr>
              <w:t>总</w:t>
            </w:r>
            <w:r>
              <w:rPr>
                <w:rFonts w:hint="default" w:ascii="新宋体" w:hAnsi="新宋体" w:eastAsia="新宋体" w:cs="新宋体"/>
                <w:color w:val="auto"/>
                <w:szCs w:val="21"/>
                <w:highlight w:val="none"/>
              </w:rPr>
              <w:t>报价和投标函大写金额报价一致。</w:t>
            </w:r>
          </w:p>
        </w:tc>
      </w:tr>
      <w:tr w14:paraId="36C97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131" w:type="dxa"/>
            <w:noWrap w:val="0"/>
            <w:vAlign w:val="center"/>
          </w:tcPr>
          <w:p w14:paraId="5A2E1AAF">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2.1.2</w:t>
            </w:r>
          </w:p>
        </w:tc>
        <w:tc>
          <w:tcPr>
            <w:tcW w:w="1563" w:type="dxa"/>
            <w:noWrap w:val="0"/>
            <w:vAlign w:val="center"/>
          </w:tcPr>
          <w:p w14:paraId="69EBE702">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资格评审标准</w:t>
            </w:r>
          </w:p>
        </w:tc>
        <w:tc>
          <w:tcPr>
            <w:tcW w:w="6408" w:type="dxa"/>
            <w:gridSpan w:val="2"/>
            <w:noWrap w:val="0"/>
            <w:vAlign w:val="center"/>
          </w:tcPr>
          <w:p w14:paraId="53C7CBE5">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投标人具备有效的营业执照、组织机构代码证（如有）、资质证书、安全生产许可证和基本账户开户许可证（如企业所在地已取消企业银行账户许可而无法提供开户许可证的，则需附上开户银行出具的“基本存款账户信息”或“人民银行账户管理系统查询的基本账户信息截图”）；</w:t>
            </w:r>
          </w:p>
          <w:p w14:paraId="311F113B">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（2）投标人的资质等级符合招标文件规定；</w:t>
            </w:r>
          </w:p>
          <w:p w14:paraId="0E062BCA">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（3）投标人的财务状况符合招标文件规定；</w:t>
            </w:r>
          </w:p>
          <w:p w14:paraId="390E4BA9">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（4）投标人的类似项目业绩符合招标文件规定；</w:t>
            </w:r>
          </w:p>
          <w:p w14:paraId="5F5A9E15">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（5）投标人的信誉符合招标文件规定；</w:t>
            </w:r>
          </w:p>
          <w:p w14:paraId="641497C6">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（6）投标人的</w:t>
            </w:r>
            <w:r>
              <w:rPr>
                <w:rFonts w:hint="eastAsia" w:ascii="新宋体" w:hAnsi="新宋体" w:eastAsia="新宋体" w:cs="新宋体"/>
                <w:color w:val="auto"/>
                <w:szCs w:val="21"/>
                <w:highlight w:val="none"/>
                <w:lang w:eastAsia="zh-CN"/>
              </w:rPr>
              <w:t>项目负责人</w:t>
            </w:r>
            <w:r>
              <w:rPr>
                <w:rFonts w:hint="default" w:ascii="新宋体" w:hAnsi="新宋体" w:eastAsia="新宋体" w:cs="新宋体"/>
                <w:color w:val="auto"/>
                <w:szCs w:val="21"/>
                <w:highlight w:val="none"/>
              </w:rPr>
              <w:t>和</w:t>
            </w:r>
            <w:r>
              <w:rPr>
                <w:rFonts w:hint="eastAsia" w:ascii="新宋体" w:hAnsi="新宋体" w:eastAsia="新宋体" w:cs="新宋体"/>
                <w:color w:val="auto"/>
                <w:szCs w:val="21"/>
                <w:highlight w:val="none"/>
                <w:lang w:eastAsia="zh-CN"/>
              </w:rPr>
              <w:t>项目技术负责人</w:t>
            </w:r>
            <w:r>
              <w:rPr>
                <w:rFonts w:hint="default" w:ascii="新宋体" w:hAnsi="新宋体" w:eastAsia="新宋体" w:cs="新宋体"/>
                <w:color w:val="auto"/>
                <w:szCs w:val="21"/>
                <w:highlight w:val="none"/>
              </w:rPr>
              <w:t>资格、在岗情况符合招标文件规定，并按规定在投标文件中签字确认；</w:t>
            </w:r>
          </w:p>
          <w:p w14:paraId="4024CCD0">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（7）投标人的其他要求符合招标文件规定；</w:t>
            </w:r>
          </w:p>
          <w:p w14:paraId="4CBC26FD">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（8）投标人不存在第二章“投标人须知”第 1.4.3 项或第 1.4.4 项规定的任何一种情形；</w:t>
            </w:r>
          </w:p>
          <w:p w14:paraId="79297021">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（9）以联合体形式参与投标的，联合体各方均未再以自己名义 单独或参加其他联合体在同一标段中投标；独立参与投标的，投标人 未同时参加联合体在同一标段中投标。</w:t>
            </w:r>
          </w:p>
        </w:tc>
      </w:tr>
      <w:tr w14:paraId="6E9A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1131" w:type="dxa"/>
            <w:noWrap w:val="0"/>
            <w:vAlign w:val="center"/>
          </w:tcPr>
          <w:p w14:paraId="687F2CA5">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2.2.1</w:t>
            </w:r>
          </w:p>
        </w:tc>
        <w:tc>
          <w:tcPr>
            <w:tcW w:w="1563" w:type="dxa"/>
            <w:noWrap w:val="0"/>
            <w:vAlign w:val="center"/>
          </w:tcPr>
          <w:p w14:paraId="5F846E4B">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分值构成</w:t>
            </w:r>
            <w:r>
              <w:rPr>
                <w:rFonts w:hint="eastAsia" w:ascii="新宋体" w:hAnsi="新宋体" w:eastAsia="新宋体" w:cs="新宋体"/>
                <w:color w:val="auto"/>
                <w:szCs w:val="21"/>
                <w:highlight w:val="none"/>
              </w:rPr>
              <w:t>（总分100分）</w:t>
            </w:r>
          </w:p>
        </w:tc>
        <w:tc>
          <w:tcPr>
            <w:tcW w:w="6408" w:type="dxa"/>
            <w:gridSpan w:val="2"/>
            <w:noWrap w:val="0"/>
            <w:vAlign w:val="center"/>
          </w:tcPr>
          <w:p w14:paraId="1C184FDD">
            <w:pPr>
              <w:keepNext w:val="0"/>
              <w:keepLines w:val="0"/>
              <w:widowControl/>
              <w:suppressLineNumbers w:val="0"/>
              <w:spacing w:before="0" w:beforeAutospacing="0" w:after="0" w:afterAutospacing="0"/>
              <w:ind w:left="0" w:right="0"/>
              <w:rPr>
                <w:rFonts w:hint="eastAsia" w:ascii="新宋体" w:hAnsi="新宋体" w:eastAsia="新宋体" w:cs="新宋体"/>
                <w:color w:val="auto"/>
                <w:szCs w:val="21"/>
                <w:highlight w:val="none"/>
              </w:rPr>
            </w:pPr>
            <w:r>
              <w:rPr>
                <w:rFonts w:hint="default" w:ascii="新宋体" w:hAnsi="新宋体" w:eastAsia="新宋体" w:cs="新宋体"/>
                <w:color w:val="auto"/>
                <w:szCs w:val="21"/>
                <w:highlight w:val="none"/>
              </w:rPr>
              <w:t>其他评分因素：</w:t>
            </w:r>
            <w:r>
              <w:rPr>
                <w:rFonts w:hint="eastAsia" w:ascii="新宋体" w:hAnsi="新宋体" w:eastAsia="新宋体" w:cs="新宋体"/>
                <w:color w:val="auto"/>
                <w:szCs w:val="21"/>
                <w:highlight w:val="none"/>
              </w:rPr>
              <w:t>工程业绩、企业信誉、企业荣誉、管理体系</w:t>
            </w:r>
            <w:r>
              <w:rPr>
                <w:rFonts w:hint="default" w:ascii="新宋体" w:hAnsi="新宋体" w:eastAsia="新宋体" w:cs="新宋体"/>
                <w:color w:val="auto"/>
                <w:szCs w:val="21"/>
                <w:highlight w:val="none"/>
              </w:rPr>
              <w:t>等。</w:t>
            </w:r>
          </w:p>
          <w:p w14:paraId="3F3E24FD">
            <w:pPr>
              <w:keepNext w:val="0"/>
              <w:keepLines w:val="0"/>
              <w:widowControl/>
              <w:suppressLineNumbers w:val="0"/>
              <w:spacing w:before="0" w:beforeAutospacing="0" w:after="0" w:afterAutospacing="0"/>
              <w:ind w:left="0" w:right="0"/>
              <w:rPr>
                <w:rFonts w:hint="eastAsia" w:ascii="新宋体" w:hAnsi="新宋体" w:eastAsia="新宋体" w:cs="新宋体"/>
                <w:color w:val="auto"/>
                <w:szCs w:val="21"/>
                <w:highlight w:val="none"/>
              </w:rPr>
            </w:pPr>
            <w:r>
              <w:rPr>
                <w:rFonts w:hint="default" w:ascii="新宋体" w:hAnsi="新宋体" w:eastAsia="新宋体" w:cs="新宋体"/>
                <w:color w:val="auto"/>
                <w:szCs w:val="21"/>
                <w:highlight w:val="none"/>
              </w:rPr>
              <w:t>第一个信封（商务及技术文件）评分分值构成：</w:t>
            </w:r>
          </w:p>
          <w:p w14:paraId="45E30916">
            <w:pPr>
              <w:keepNext w:val="0"/>
              <w:keepLines w:val="0"/>
              <w:widowControl/>
              <w:suppressLineNumbers w:val="0"/>
              <w:spacing w:before="0" w:beforeAutospacing="0" w:after="0" w:afterAutospacing="0"/>
              <w:ind w:left="0" w:right="0"/>
              <w:rPr>
                <w:rFonts w:hint="eastAsia" w:ascii="新宋体" w:hAnsi="新宋体" w:eastAsia="新宋体" w:cs="新宋体"/>
                <w:color w:val="auto"/>
                <w:szCs w:val="21"/>
                <w:highlight w:val="none"/>
              </w:rPr>
            </w:pPr>
            <w:r>
              <w:rPr>
                <w:rFonts w:hint="default" w:ascii="新宋体" w:hAnsi="新宋体" w:eastAsia="新宋体" w:cs="新宋体"/>
                <w:color w:val="auto"/>
                <w:szCs w:val="21"/>
                <w:highlight w:val="none"/>
              </w:rPr>
              <w:t>施工组织设计：</w:t>
            </w:r>
            <w:r>
              <w:rPr>
                <w:rFonts w:hint="eastAsia" w:ascii="新宋体" w:hAnsi="新宋体" w:eastAsia="新宋体" w:cs="新宋体"/>
                <w:color w:val="auto"/>
                <w:szCs w:val="21"/>
                <w:highlight w:val="none"/>
                <w:lang w:val="en-US" w:eastAsia="zh-CN"/>
              </w:rPr>
              <w:t>6</w:t>
            </w:r>
            <w:r>
              <w:rPr>
                <w:rFonts w:hint="default" w:ascii="新宋体" w:hAnsi="新宋体" w:eastAsia="新宋体" w:cs="新宋体"/>
                <w:color w:val="auto"/>
                <w:szCs w:val="21"/>
                <w:highlight w:val="none"/>
              </w:rPr>
              <w:t>分</w:t>
            </w:r>
          </w:p>
          <w:p w14:paraId="33E99C13">
            <w:pPr>
              <w:keepNext w:val="0"/>
              <w:keepLines w:val="0"/>
              <w:widowControl/>
              <w:suppressLineNumbers w:val="0"/>
              <w:spacing w:before="0" w:beforeAutospacing="0" w:after="0" w:afterAutospacing="0"/>
              <w:ind w:left="0" w:right="0"/>
              <w:rPr>
                <w:rFonts w:hint="eastAsia" w:ascii="新宋体" w:hAnsi="新宋体" w:eastAsia="新宋体" w:cs="新宋体"/>
                <w:color w:val="auto"/>
                <w:szCs w:val="21"/>
                <w:highlight w:val="none"/>
              </w:rPr>
            </w:pPr>
            <w:r>
              <w:rPr>
                <w:rFonts w:hint="default" w:ascii="新宋体" w:hAnsi="新宋体" w:eastAsia="新宋体" w:cs="新宋体"/>
                <w:color w:val="auto"/>
                <w:szCs w:val="21"/>
                <w:highlight w:val="none"/>
              </w:rPr>
              <w:t>项目管理机构：</w:t>
            </w:r>
            <w:r>
              <w:rPr>
                <w:rFonts w:hint="eastAsia" w:ascii="新宋体" w:hAnsi="新宋体" w:eastAsia="新宋体" w:cs="新宋体"/>
                <w:color w:val="auto"/>
                <w:szCs w:val="21"/>
                <w:highlight w:val="none"/>
                <w:lang w:val="en-US" w:eastAsia="zh-CN"/>
              </w:rPr>
              <w:t>4</w:t>
            </w:r>
            <w:r>
              <w:rPr>
                <w:rFonts w:hint="default" w:ascii="新宋体" w:hAnsi="新宋体" w:eastAsia="新宋体" w:cs="新宋体"/>
                <w:color w:val="auto"/>
                <w:szCs w:val="21"/>
                <w:highlight w:val="none"/>
              </w:rPr>
              <w:t>分</w:t>
            </w:r>
          </w:p>
          <w:p w14:paraId="3A70CFA3">
            <w:pPr>
              <w:keepNext w:val="0"/>
              <w:keepLines w:val="0"/>
              <w:widowControl/>
              <w:suppressLineNumbers w:val="0"/>
              <w:spacing w:before="0" w:beforeAutospacing="0" w:after="0" w:afterAutospacing="0"/>
              <w:ind w:left="0" w:right="0"/>
              <w:rPr>
                <w:rFonts w:hint="eastAsia" w:ascii="新宋体" w:hAnsi="新宋体" w:eastAsia="新宋体" w:cs="新宋体"/>
                <w:color w:val="auto"/>
                <w:szCs w:val="21"/>
                <w:highlight w:val="none"/>
              </w:rPr>
            </w:pPr>
            <w:r>
              <w:rPr>
                <w:rFonts w:hint="default" w:ascii="新宋体" w:hAnsi="新宋体" w:eastAsia="新宋体" w:cs="新宋体"/>
                <w:color w:val="auto"/>
                <w:szCs w:val="21"/>
                <w:highlight w:val="none"/>
              </w:rPr>
              <w:t>其他评分因素：</w:t>
            </w:r>
            <w:r>
              <w:rPr>
                <w:rFonts w:hint="eastAsia" w:ascii="新宋体" w:hAnsi="新宋体" w:eastAsia="新宋体" w:cs="新宋体"/>
                <w:color w:val="auto"/>
                <w:szCs w:val="21"/>
                <w:highlight w:val="none"/>
                <w:lang w:val="en-US" w:eastAsia="zh-CN"/>
              </w:rPr>
              <w:t>15</w:t>
            </w:r>
            <w:r>
              <w:rPr>
                <w:rFonts w:hint="default" w:ascii="新宋体" w:hAnsi="新宋体" w:eastAsia="新宋体" w:cs="新宋体"/>
                <w:color w:val="auto"/>
                <w:szCs w:val="21"/>
                <w:highlight w:val="none"/>
              </w:rPr>
              <w:t>分</w:t>
            </w:r>
          </w:p>
          <w:p w14:paraId="5BC7D236">
            <w:pPr>
              <w:keepNext w:val="0"/>
              <w:keepLines w:val="0"/>
              <w:widowControl/>
              <w:suppressLineNumbers w:val="0"/>
              <w:spacing w:before="0" w:beforeAutospacing="0" w:after="0" w:afterAutospacing="0"/>
              <w:ind w:left="0" w:right="0"/>
              <w:rPr>
                <w:rFonts w:hint="eastAsia" w:ascii="新宋体" w:hAnsi="新宋体" w:eastAsia="新宋体" w:cs="新宋体"/>
                <w:color w:val="auto"/>
                <w:szCs w:val="21"/>
                <w:highlight w:val="none"/>
              </w:rPr>
            </w:pPr>
            <w:r>
              <w:rPr>
                <w:rFonts w:hint="default" w:ascii="新宋体" w:hAnsi="新宋体" w:eastAsia="新宋体" w:cs="新宋体"/>
                <w:color w:val="auto"/>
                <w:szCs w:val="21"/>
                <w:highlight w:val="none"/>
              </w:rPr>
              <w:t>第二个信封（报价文件）评分分值构成：</w:t>
            </w:r>
          </w:p>
          <w:p w14:paraId="60B46F40">
            <w:pPr>
              <w:keepNext w:val="0"/>
              <w:keepLines w:val="0"/>
              <w:widowControl/>
              <w:suppressLineNumbers w:val="0"/>
              <w:spacing w:before="0" w:beforeAutospacing="0" w:after="0" w:afterAutospacing="0"/>
              <w:ind w:left="0" w:right="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投标报价：</w:t>
            </w:r>
            <w:r>
              <w:rPr>
                <w:rFonts w:hint="eastAsia" w:ascii="新宋体" w:hAnsi="新宋体" w:eastAsia="新宋体" w:cs="新宋体"/>
                <w:color w:val="auto"/>
                <w:szCs w:val="21"/>
                <w:highlight w:val="none"/>
                <w:lang w:val="en-US" w:eastAsia="zh-CN"/>
              </w:rPr>
              <w:t>75</w:t>
            </w:r>
            <w:r>
              <w:rPr>
                <w:rFonts w:hint="default" w:ascii="新宋体" w:hAnsi="新宋体" w:eastAsia="新宋体" w:cs="新宋体"/>
                <w:color w:val="auto"/>
                <w:szCs w:val="21"/>
                <w:highlight w:val="none"/>
              </w:rPr>
              <w:t>分</w:t>
            </w:r>
          </w:p>
        </w:tc>
      </w:tr>
      <w:tr w14:paraId="4776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noWrap w:val="0"/>
            <w:vAlign w:val="center"/>
          </w:tcPr>
          <w:p w14:paraId="6CDD7C6B">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2.2.2</w:t>
            </w:r>
          </w:p>
        </w:tc>
        <w:tc>
          <w:tcPr>
            <w:tcW w:w="1563" w:type="dxa"/>
            <w:noWrap w:val="0"/>
            <w:vAlign w:val="center"/>
          </w:tcPr>
          <w:p w14:paraId="56FC9A5F">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评标基准价计算方法</w:t>
            </w:r>
          </w:p>
        </w:tc>
        <w:tc>
          <w:tcPr>
            <w:tcW w:w="6408" w:type="dxa"/>
            <w:gridSpan w:val="2"/>
            <w:noWrap w:val="0"/>
            <w:vAlign w:val="center"/>
          </w:tcPr>
          <w:p w14:paraId="391FDA19">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评标基准价的计算：</w:t>
            </w:r>
          </w:p>
          <w:p w14:paraId="3B9C2600">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在开标现场，招标人将当场计算并宣布评标基准价。</w:t>
            </w:r>
          </w:p>
          <w:p w14:paraId="271DB524">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w:t>
            </w:r>
            <w:r>
              <w:rPr>
                <w:rFonts w:hint="eastAsia" w:ascii="新宋体" w:hAnsi="新宋体" w:eastAsia="新宋体" w:cs="新宋体"/>
                <w:color w:val="auto"/>
                <w:szCs w:val="21"/>
                <w:highlight w:val="none"/>
              </w:rPr>
              <w:t>1</w:t>
            </w:r>
            <w:r>
              <w:rPr>
                <w:rFonts w:hint="default" w:ascii="新宋体" w:hAnsi="新宋体" w:eastAsia="新宋体" w:cs="新宋体"/>
                <w:color w:val="auto"/>
                <w:szCs w:val="21"/>
                <w:highlight w:val="none"/>
              </w:rPr>
              <w:t>)评标价的确定：</w:t>
            </w:r>
          </w:p>
          <w:p w14:paraId="7BB3AB54">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方法一：评标价=投标函文字报价</w:t>
            </w:r>
          </w:p>
          <w:p w14:paraId="79F03B9F">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(2)最高评标限价的确定</w:t>
            </w:r>
          </w:p>
          <w:p w14:paraId="622824AD">
            <w:pPr>
              <w:keepNext w:val="0"/>
              <w:keepLines w:val="0"/>
              <w:widowControl/>
              <w:suppressLineNumbers w:val="0"/>
              <w:spacing w:before="0" w:beforeAutospacing="0" w:after="0" w:afterAutospacing="0" w:line="400" w:lineRule="exact"/>
              <w:ind w:left="0" w:right="0" w:firstLine="420" w:firstLineChars="200"/>
              <w:jc w:val="left"/>
              <w:rPr>
                <w:rFonts w:hint="default" w:ascii="Times New Roman" w:hAnsi="Times New Roman"/>
                <w:color w:val="auto"/>
                <w:highlight w:val="none"/>
              </w:rPr>
            </w:pPr>
            <w:r>
              <w:rPr>
                <w:rFonts w:hint="eastAsia" w:ascii="Times New Roman" w:hAnsi="Times New Roman"/>
                <w:color w:val="auto"/>
                <w:highlight w:val="none"/>
              </w:rPr>
              <w:t>最高投标限价下浮率在开标前在开标现场采取逐标段摇珠方式确定。摇珠操作办法如下：在下浮率摇珠范围内，以 0.1%为一档次增序确定摇珠号码，不少于31个球，每个标段各一次性摇出 3 个球（摇出的珠不放回），摇出 3个球对应的下浮率的平均值即为本标段招标的下浮率。（注：下浮率摇珠区间差值以 0 至 3 个百分点，三个下浮率的平均值四舍五入取整到 0.001％）</w:t>
            </w:r>
          </w:p>
          <w:tbl>
            <w:tblPr>
              <w:tblStyle w:val="10"/>
              <w:tblW w:w="5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832"/>
              <w:gridCol w:w="820"/>
              <w:gridCol w:w="817"/>
              <w:gridCol w:w="820"/>
              <w:gridCol w:w="817"/>
              <w:gridCol w:w="820"/>
              <w:gridCol w:w="8"/>
            </w:tblGrid>
            <w:tr w14:paraId="6827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02" w:type="dxa"/>
                  <w:noWrap w:val="0"/>
                  <w:vAlign w:val="center"/>
                </w:tcPr>
                <w:p w14:paraId="1E3D1769">
                  <w:pPr>
                    <w:keepNext w:val="0"/>
                    <w:keepLines w:val="0"/>
                    <w:widowControl/>
                    <w:suppressLineNumbers w:val="0"/>
                    <w:spacing w:before="0" w:beforeAutospacing="0" w:after="0" w:afterAutospacing="0"/>
                    <w:ind w:left="0" w:right="0"/>
                    <w:jc w:val="center"/>
                    <w:rPr>
                      <w:rFonts w:hint="default" w:ascii="宋体" w:hAnsi="宋体"/>
                      <w:b/>
                      <w:bCs/>
                      <w:color w:val="auto"/>
                      <w:szCs w:val="21"/>
                      <w:highlight w:val="none"/>
                    </w:rPr>
                  </w:pPr>
                  <w:r>
                    <w:rPr>
                      <w:rFonts w:hint="eastAsia" w:ascii="宋体" w:hAnsi="宋体"/>
                      <w:b/>
                      <w:bCs/>
                      <w:color w:val="auto"/>
                      <w:szCs w:val="21"/>
                      <w:highlight w:val="none"/>
                    </w:rPr>
                    <w:t>①</w:t>
                  </w:r>
                </w:p>
              </w:tc>
              <w:tc>
                <w:tcPr>
                  <w:tcW w:w="832" w:type="dxa"/>
                  <w:noWrap w:val="0"/>
                  <w:vAlign w:val="center"/>
                </w:tcPr>
                <w:p w14:paraId="0CDBC443">
                  <w:pPr>
                    <w:keepNext w:val="0"/>
                    <w:keepLines w:val="0"/>
                    <w:widowControl/>
                    <w:suppressLineNumbers w:val="0"/>
                    <w:spacing w:before="0" w:beforeAutospacing="0" w:after="0" w:afterAutospacing="0"/>
                    <w:ind w:left="0" w:right="0"/>
                    <w:jc w:val="center"/>
                    <w:rPr>
                      <w:rFonts w:hint="default" w:ascii="宋体" w:hAnsi="宋体"/>
                      <w:b/>
                      <w:bCs/>
                      <w:color w:val="auto"/>
                      <w:szCs w:val="21"/>
                      <w:highlight w:val="none"/>
                    </w:rPr>
                  </w:pPr>
                  <w:r>
                    <w:rPr>
                      <w:rFonts w:hint="eastAsia" w:ascii="宋体" w:hAnsi="宋体"/>
                      <w:b/>
                      <w:bCs/>
                      <w:color w:val="auto"/>
                      <w:szCs w:val="21"/>
                      <w:highlight w:val="none"/>
                    </w:rPr>
                    <w:t>②</w:t>
                  </w:r>
                </w:p>
              </w:tc>
              <w:tc>
                <w:tcPr>
                  <w:tcW w:w="820" w:type="dxa"/>
                  <w:noWrap w:val="0"/>
                  <w:vAlign w:val="center"/>
                </w:tcPr>
                <w:p w14:paraId="6BA54189">
                  <w:pPr>
                    <w:keepNext w:val="0"/>
                    <w:keepLines w:val="0"/>
                    <w:widowControl/>
                    <w:suppressLineNumbers w:val="0"/>
                    <w:spacing w:before="0" w:beforeAutospacing="0" w:after="0" w:afterAutospacing="0"/>
                    <w:ind w:left="0" w:right="0"/>
                    <w:jc w:val="center"/>
                    <w:rPr>
                      <w:rFonts w:hint="default" w:ascii="宋体" w:hAnsi="宋体"/>
                      <w:b/>
                      <w:bCs/>
                      <w:color w:val="auto"/>
                      <w:szCs w:val="21"/>
                      <w:highlight w:val="none"/>
                    </w:rPr>
                  </w:pPr>
                  <w:r>
                    <w:rPr>
                      <w:rFonts w:hint="eastAsia" w:ascii="宋体" w:hAnsi="宋体"/>
                      <w:b/>
                      <w:bCs/>
                      <w:color w:val="auto"/>
                      <w:szCs w:val="21"/>
                      <w:highlight w:val="none"/>
                    </w:rPr>
                    <w:t>③</w:t>
                  </w:r>
                </w:p>
              </w:tc>
              <w:tc>
                <w:tcPr>
                  <w:tcW w:w="817" w:type="dxa"/>
                  <w:noWrap w:val="0"/>
                  <w:vAlign w:val="center"/>
                </w:tcPr>
                <w:p w14:paraId="02FEF168">
                  <w:pPr>
                    <w:keepNext w:val="0"/>
                    <w:keepLines w:val="0"/>
                    <w:widowControl/>
                    <w:suppressLineNumbers w:val="0"/>
                    <w:spacing w:before="0" w:beforeAutospacing="0" w:after="0" w:afterAutospacing="0"/>
                    <w:ind w:left="0" w:right="0"/>
                    <w:jc w:val="center"/>
                    <w:rPr>
                      <w:rFonts w:hint="default" w:ascii="宋体" w:hAnsi="宋体"/>
                      <w:b/>
                      <w:bCs/>
                      <w:color w:val="auto"/>
                      <w:szCs w:val="21"/>
                      <w:highlight w:val="none"/>
                    </w:rPr>
                  </w:pPr>
                  <w:r>
                    <w:rPr>
                      <w:rFonts w:hint="eastAsia" w:ascii="宋体" w:hAnsi="宋体"/>
                      <w:b/>
                      <w:bCs/>
                      <w:color w:val="auto"/>
                      <w:szCs w:val="21"/>
                      <w:highlight w:val="none"/>
                    </w:rPr>
                    <w:t>④</w:t>
                  </w:r>
                </w:p>
              </w:tc>
              <w:tc>
                <w:tcPr>
                  <w:tcW w:w="820" w:type="dxa"/>
                  <w:noWrap w:val="0"/>
                  <w:vAlign w:val="center"/>
                </w:tcPr>
                <w:p w14:paraId="38FC2348">
                  <w:pPr>
                    <w:keepNext w:val="0"/>
                    <w:keepLines w:val="0"/>
                    <w:widowControl/>
                    <w:suppressLineNumbers w:val="0"/>
                    <w:spacing w:before="0" w:beforeAutospacing="0" w:after="0" w:afterAutospacing="0"/>
                    <w:ind w:left="0" w:right="0"/>
                    <w:jc w:val="center"/>
                    <w:rPr>
                      <w:rFonts w:hint="default" w:ascii="宋体" w:hAnsi="宋体"/>
                      <w:b/>
                      <w:bCs/>
                      <w:color w:val="auto"/>
                      <w:szCs w:val="21"/>
                      <w:highlight w:val="none"/>
                    </w:rPr>
                  </w:pPr>
                  <w:r>
                    <w:rPr>
                      <w:rFonts w:hint="eastAsia" w:ascii="宋体" w:hAnsi="宋体"/>
                      <w:b/>
                      <w:bCs/>
                      <w:color w:val="auto"/>
                      <w:szCs w:val="21"/>
                      <w:highlight w:val="none"/>
                    </w:rPr>
                    <w:t>⑤</w:t>
                  </w:r>
                </w:p>
              </w:tc>
              <w:tc>
                <w:tcPr>
                  <w:tcW w:w="817" w:type="dxa"/>
                  <w:noWrap w:val="0"/>
                  <w:vAlign w:val="center"/>
                </w:tcPr>
                <w:p w14:paraId="1743BA08">
                  <w:pPr>
                    <w:keepNext w:val="0"/>
                    <w:keepLines w:val="0"/>
                    <w:widowControl/>
                    <w:suppressLineNumbers w:val="0"/>
                    <w:spacing w:before="0" w:beforeAutospacing="0" w:after="0" w:afterAutospacing="0"/>
                    <w:ind w:left="7" w:leftChars="-15" w:right="0" w:hanging="38" w:hangingChars="18"/>
                    <w:jc w:val="center"/>
                    <w:rPr>
                      <w:rFonts w:hint="default" w:ascii="宋体" w:hAnsi="宋体"/>
                      <w:b/>
                      <w:bCs/>
                      <w:color w:val="auto"/>
                      <w:szCs w:val="21"/>
                      <w:highlight w:val="none"/>
                    </w:rPr>
                  </w:pPr>
                  <w:r>
                    <w:rPr>
                      <w:rFonts w:hint="eastAsia" w:ascii="宋体" w:hAnsi="宋体"/>
                      <w:b/>
                      <w:bCs/>
                      <w:color w:val="auto"/>
                      <w:szCs w:val="21"/>
                      <w:highlight w:val="none"/>
                    </w:rPr>
                    <w:t>⑥</w:t>
                  </w:r>
                </w:p>
              </w:tc>
              <w:tc>
                <w:tcPr>
                  <w:tcW w:w="828" w:type="dxa"/>
                  <w:gridSpan w:val="2"/>
                  <w:noWrap w:val="0"/>
                  <w:vAlign w:val="center"/>
                </w:tcPr>
                <w:p w14:paraId="1A2434A5">
                  <w:pPr>
                    <w:keepNext w:val="0"/>
                    <w:keepLines w:val="0"/>
                    <w:widowControl/>
                    <w:suppressLineNumbers w:val="0"/>
                    <w:spacing w:before="0" w:beforeAutospacing="0" w:after="0" w:afterAutospacing="0"/>
                    <w:ind w:left="0" w:right="0"/>
                    <w:jc w:val="center"/>
                    <w:rPr>
                      <w:rFonts w:hint="default" w:ascii="宋体" w:hAnsi="宋体"/>
                      <w:b/>
                      <w:bCs/>
                      <w:color w:val="auto"/>
                      <w:szCs w:val="21"/>
                      <w:highlight w:val="none"/>
                    </w:rPr>
                  </w:pPr>
                  <w:r>
                    <w:rPr>
                      <w:rFonts w:hint="eastAsia" w:ascii="宋体" w:hAnsi="宋体"/>
                      <w:b/>
                      <w:bCs/>
                      <w:color w:val="auto"/>
                      <w:szCs w:val="21"/>
                      <w:highlight w:val="none"/>
                    </w:rPr>
                    <w:t>⑦</w:t>
                  </w:r>
                </w:p>
              </w:tc>
            </w:tr>
            <w:tr w14:paraId="0BFC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02" w:type="dxa"/>
                  <w:noWrap w:val="0"/>
                  <w:vAlign w:val="center"/>
                </w:tcPr>
                <w:p w14:paraId="0D9CFDB2">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0.0%</w:t>
                  </w:r>
                </w:p>
              </w:tc>
              <w:tc>
                <w:tcPr>
                  <w:tcW w:w="832" w:type="dxa"/>
                  <w:noWrap w:val="0"/>
                  <w:vAlign w:val="center"/>
                </w:tcPr>
                <w:p w14:paraId="2CFEEB68">
                  <w:pPr>
                    <w:keepNext w:val="0"/>
                    <w:keepLines w:val="0"/>
                    <w:widowControl/>
                    <w:suppressLineNumbers w:val="0"/>
                    <w:spacing w:before="0" w:beforeAutospacing="0" w:after="0" w:afterAutospacing="0"/>
                    <w:ind w:left="0" w:right="0"/>
                    <w:jc w:val="center"/>
                    <w:rPr>
                      <w:rFonts w:hint="default" w:ascii="宋体" w:hAnsi="宋体"/>
                      <w:b/>
                      <w:bCs/>
                      <w:color w:val="auto"/>
                      <w:szCs w:val="21"/>
                      <w:highlight w:val="none"/>
                    </w:rPr>
                  </w:pPr>
                  <w:r>
                    <w:rPr>
                      <w:rFonts w:hint="eastAsia" w:ascii="宋体" w:hAnsi="宋体"/>
                      <w:b/>
                      <w:bCs/>
                      <w:color w:val="auto"/>
                      <w:szCs w:val="21"/>
                      <w:highlight w:val="none"/>
                    </w:rPr>
                    <w:t>0.1%</w:t>
                  </w:r>
                </w:p>
              </w:tc>
              <w:tc>
                <w:tcPr>
                  <w:tcW w:w="820" w:type="dxa"/>
                  <w:noWrap w:val="0"/>
                  <w:vAlign w:val="center"/>
                </w:tcPr>
                <w:p w14:paraId="5FEE02F8">
                  <w:pPr>
                    <w:keepNext w:val="0"/>
                    <w:keepLines w:val="0"/>
                    <w:widowControl/>
                    <w:suppressLineNumbers w:val="0"/>
                    <w:spacing w:before="0" w:beforeAutospacing="0" w:after="0" w:afterAutospacing="0"/>
                    <w:ind w:left="0" w:right="0" w:firstLine="25" w:firstLineChars="12"/>
                    <w:jc w:val="center"/>
                    <w:rPr>
                      <w:rFonts w:hint="default" w:ascii="宋体" w:hAnsi="宋体"/>
                      <w:b/>
                      <w:bCs/>
                      <w:color w:val="auto"/>
                      <w:szCs w:val="21"/>
                      <w:highlight w:val="none"/>
                    </w:rPr>
                  </w:pPr>
                  <w:r>
                    <w:rPr>
                      <w:rFonts w:hint="eastAsia" w:ascii="宋体" w:hAnsi="宋体"/>
                      <w:b/>
                      <w:bCs/>
                      <w:color w:val="auto"/>
                      <w:szCs w:val="21"/>
                      <w:highlight w:val="none"/>
                    </w:rPr>
                    <w:t>0.2%</w:t>
                  </w:r>
                </w:p>
              </w:tc>
              <w:tc>
                <w:tcPr>
                  <w:tcW w:w="817" w:type="dxa"/>
                  <w:noWrap w:val="0"/>
                  <w:vAlign w:val="center"/>
                </w:tcPr>
                <w:p w14:paraId="04B4DB77">
                  <w:pPr>
                    <w:keepNext w:val="0"/>
                    <w:keepLines w:val="0"/>
                    <w:widowControl/>
                    <w:suppressLineNumbers w:val="0"/>
                    <w:spacing w:before="0" w:beforeAutospacing="0" w:after="0" w:afterAutospacing="0"/>
                    <w:ind w:left="0" w:right="0" w:firstLine="25" w:firstLineChars="12"/>
                    <w:jc w:val="center"/>
                    <w:rPr>
                      <w:rFonts w:hint="default" w:ascii="宋体" w:hAnsi="宋体"/>
                      <w:b/>
                      <w:bCs/>
                      <w:color w:val="auto"/>
                      <w:szCs w:val="21"/>
                      <w:highlight w:val="none"/>
                    </w:rPr>
                  </w:pPr>
                  <w:r>
                    <w:rPr>
                      <w:rFonts w:hint="eastAsia" w:ascii="宋体" w:hAnsi="宋体"/>
                      <w:b/>
                      <w:bCs/>
                      <w:color w:val="auto"/>
                      <w:szCs w:val="21"/>
                      <w:highlight w:val="none"/>
                    </w:rPr>
                    <w:t>0.3%</w:t>
                  </w:r>
                </w:p>
              </w:tc>
              <w:tc>
                <w:tcPr>
                  <w:tcW w:w="820" w:type="dxa"/>
                  <w:noWrap w:val="0"/>
                  <w:vAlign w:val="center"/>
                </w:tcPr>
                <w:p w14:paraId="38E05F95">
                  <w:pPr>
                    <w:keepNext w:val="0"/>
                    <w:keepLines w:val="0"/>
                    <w:widowControl/>
                    <w:suppressLineNumbers w:val="0"/>
                    <w:spacing w:before="0" w:beforeAutospacing="0" w:after="0" w:afterAutospacing="0"/>
                    <w:ind w:left="0" w:right="0" w:firstLine="25" w:firstLineChars="12"/>
                    <w:jc w:val="center"/>
                    <w:rPr>
                      <w:rFonts w:hint="default" w:ascii="宋体" w:hAnsi="宋体"/>
                      <w:b/>
                      <w:bCs/>
                      <w:color w:val="auto"/>
                      <w:szCs w:val="21"/>
                      <w:highlight w:val="none"/>
                    </w:rPr>
                  </w:pPr>
                  <w:r>
                    <w:rPr>
                      <w:rFonts w:hint="eastAsia" w:ascii="宋体" w:hAnsi="宋体"/>
                      <w:b/>
                      <w:bCs/>
                      <w:color w:val="auto"/>
                      <w:szCs w:val="21"/>
                      <w:highlight w:val="none"/>
                    </w:rPr>
                    <w:t>0.4%</w:t>
                  </w:r>
                </w:p>
              </w:tc>
              <w:tc>
                <w:tcPr>
                  <w:tcW w:w="817" w:type="dxa"/>
                  <w:noWrap w:val="0"/>
                  <w:vAlign w:val="center"/>
                </w:tcPr>
                <w:p w14:paraId="13020356">
                  <w:pPr>
                    <w:keepNext w:val="0"/>
                    <w:keepLines w:val="0"/>
                    <w:widowControl/>
                    <w:suppressLineNumbers w:val="0"/>
                    <w:spacing w:before="0" w:beforeAutospacing="0" w:after="0" w:afterAutospacing="0"/>
                    <w:ind w:left="0" w:right="0" w:firstLine="25" w:firstLineChars="12"/>
                    <w:jc w:val="center"/>
                    <w:rPr>
                      <w:rFonts w:hint="default" w:ascii="宋体" w:hAnsi="宋体"/>
                      <w:b/>
                      <w:bCs/>
                      <w:color w:val="auto"/>
                      <w:szCs w:val="21"/>
                      <w:highlight w:val="none"/>
                    </w:rPr>
                  </w:pPr>
                  <w:r>
                    <w:rPr>
                      <w:rFonts w:hint="eastAsia" w:ascii="宋体" w:hAnsi="宋体"/>
                      <w:b/>
                      <w:bCs/>
                      <w:color w:val="auto"/>
                      <w:szCs w:val="21"/>
                      <w:highlight w:val="none"/>
                    </w:rPr>
                    <w:t>0.5%</w:t>
                  </w:r>
                </w:p>
              </w:tc>
              <w:tc>
                <w:tcPr>
                  <w:tcW w:w="828" w:type="dxa"/>
                  <w:gridSpan w:val="2"/>
                  <w:noWrap w:val="0"/>
                  <w:vAlign w:val="center"/>
                </w:tcPr>
                <w:p w14:paraId="5E3F532F">
                  <w:pPr>
                    <w:keepNext w:val="0"/>
                    <w:keepLines w:val="0"/>
                    <w:widowControl/>
                    <w:suppressLineNumbers w:val="0"/>
                    <w:spacing w:before="0" w:beforeAutospacing="0" w:after="0" w:afterAutospacing="0"/>
                    <w:ind w:left="0" w:right="0" w:firstLine="25" w:firstLineChars="12"/>
                    <w:jc w:val="center"/>
                    <w:rPr>
                      <w:rFonts w:hint="default" w:ascii="宋体" w:hAnsi="宋体"/>
                      <w:b/>
                      <w:bCs/>
                      <w:color w:val="auto"/>
                      <w:szCs w:val="21"/>
                      <w:highlight w:val="none"/>
                    </w:rPr>
                  </w:pPr>
                  <w:r>
                    <w:rPr>
                      <w:rFonts w:hint="eastAsia" w:ascii="宋体" w:hAnsi="宋体"/>
                      <w:b/>
                      <w:bCs/>
                      <w:color w:val="auto"/>
                      <w:szCs w:val="21"/>
                      <w:highlight w:val="none"/>
                    </w:rPr>
                    <w:t>0.6%</w:t>
                  </w:r>
                </w:p>
              </w:tc>
            </w:tr>
            <w:tr w14:paraId="6C26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02" w:type="dxa"/>
                  <w:noWrap w:val="0"/>
                  <w:vAlign w:val="center"/>
                </w:tcPr>
                <w:p w14:paraId="1786D73B">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⑧</w:t>
                  </w:r>
                </w:p>
              </w:tc>
              <w:tc>
                <w:tcPr>
                  <w:tcW w:w="832" w:type="dxa"/>
                  <w:noWrap w:val="0"/>
                  <w:vAlign w:val="center"/>
                </w:tcPr>
                <w:p w14:paraId="2E8DF253">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⑨</w:t>
                  </w:r>
                </w:p>
              </w:tc>
              <w:tc>
                <w:tcPr>
                  <w:tcW w:w="820" w:type="dxa"/>
                  <w:noWrap w:val="0"/>
                  <w:vAlign w:val="center"/>
                </w:tcPr>
                <w:p w14:paraId="2CCA9A8C">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⑩</w:t>
                  </w:r>
                </w:p>
              </w:tc>
              <w:tc>
                <w:tcPr>
                  <w:tcW w:w="817" w:type="dxa"/>
                  <w:noWrap w:val="0"/>
                  <w:vAlign w:val="center"/>
                </w:tcPr>
                <w:p w14:paraId="2D25B031">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⑪</w:t>
                  </w:r>
                </w:p>
              </w:tc>
              <w:tc>
                <w:tcPr>
                  <w:tcW w:w="820" w:type="dxa"/>
                  <w:noWrap w:val="0"/>
                  <w:vAlign w:val="center"/>
                </w:tcPr>
                <w:p w14:paraId="065F4AF6">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⑫</w:t>
                  </w:r>
                </w:p>
              </w:tc>
              <w:tc>
                <w:tcPr>
                  <w:tcW w:w="817" w:type="dxa"/>
                  <w:noWrap w:val="0"/>
                  <w:vAlign w:val="center"/>
                </w:tcPr>
                <w:p w14:paraId="568CE67F">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⑬</w:t>
                  </w:r>
                </w:p>
              </w:tc>
              <w:tc>
                <w:tcPr>
                  <w:tcW w:w="828" w:type="dxa"/>
                  <w:gridSpan w:val="2"/>
                  <w:noWrap w:val="0"/>
                  <w:vAlign w:val="center"/>
                </w:tcPr>
                <w:p w14:paraId="49B5E9E2">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⑭</w:t>
                  </w:r>
                </w:p>
              </w:tc>
            </w:tr>
            <w:tr w14:paraId="0FCB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02" w:type="dxa"/>
                  <w:noWrap w:val="0"/>
                  <w:vAlign w:val="center"/>
                </w:tcPr>
                <w:p w14:paraId="1FE19CF1">
                  <w:pPr>
                    <w:keepNext w:val="0"/>
                    <w:keepLines w:val="0"/>
                    <w:widowControl/>
                    <w:suppressLineNumbers w:val="0"/>
                    <w:spacing w:before="0" w:beforeAutospacing="0" w:after="0" w:afterAutospacing="0"/>
                    <w:ind w:left="0" w:right="0"/>
                    <w:jc w:val="center"/>
                    <w:rPr>
                      <w:rFonts w:hint="default" w:ascii="宋体" w:hAnsi="宋体"/>
                      <w:b/>
                      <w:bCs/>
                      <w:color w:val="auto"/>
                      <w:szCs w:val="21"/>
                      <w:highlight w:val="none"/>
                    </w:rPr>
                  </w:pPr>
                  <w:r>
                    <w:rPr>
                      <w:rFonts w:hint="eastAsia" w:ascii="宋体" w:hAnsi="宋体"/>
                      <w:b/>
                      <w:bCs/>
                      <w:color w:val="auto"/>
                      <w:szCs w:val="21"/>
                      <w:highlight w:val="none"/>
                    </w:rPr>
                    <w:t>0.7%</w:t>
                  </w:r>
                </w:p>
              </w:tc>
              <w:tc>
                <w:tcPr>
                  <w:tcW w:w="832" w:type="dxa"/>
                  <w:noWrap w:val="0"/>
                  <w:vAlign w:val="center"/>
                </w:tcPr>
                <w:p w14:paraId="325BC348">
                  <w:pPr>
                    <w:keepNext w:val="0"/>
                    <w:keepLines w:val="0"/>
                    <w:widowControl/>
                    <w:suppressLineNumbers w:val="0"/>
                    <w:spacing w:before="0" w:beforeAutospacing="0" w:after="0" w:afterAutospacing="0"/>
                    <w:ind w:left="0" w:right="0"/>
                    <w:jc w:val="center"/>
                    <w:rPr>
                      <w:rFonts w:hint="default" w:ascii="宋体" w:hAnsi="宋体"/>
                      <w:b/>
                      <w:bCs/>
                      <w:color w:val="auto"/>
                      <w:szCs w:val="21"/>
                      <w:highlight w:val="none"/>
                    </w:rPr>
                  </w:pPr>
                  <w:r>
                    <w:rPr>
                      <w:rFonts w:hint="eastAsia" w:ascii="宋体" w:hAnsi="宋体"/>
                      <w:b/>
                      <w:bCs/>
                      <w:color w:val="auto"/>
                      <w:szCs w:val="21"/>
                      <w:highlight w:val="none"/>
                    </w:rPr>
                    <w:t>0.8%</w:t>
                  </w:r>
                </w:p>
              </w:tc>
              <w:tc>
                <w:tcPr>
                  <w:tcW w:w="820" w:type="dxa"/>
                  <w:noWrap w:val="0"/>
                  <w:vAlign w:val="center"/>
                </w:tcPr>
                <w:p w14:paraId="10847B6F">
                  <w:pPr>
                    <w:keepNext w:val="0"/>
                    <w:keepLines w:val="0"/>
                    <w:widowControl/>
                    <w:suppressLineNumbers w:val="0"/>
                    <w:spacing w:before="0" w:beforeAutospacing="0" w:after="0" w:afterAutospacing="0"/>
                    <w:ind w:left="0" w:right="0"/>
                    <w:jc w:val="center"/>
                    <w:rPr>
                      <w:rFonts w:hint="default" w:ascii="宋体" w:hAnsi="宋体"/>
                      <w:b/>
                      <w:bCs/>
                      <w:color w:val="auto"/>
                      <w:szCs w:val="21"/>
                      <w:highlight w:val="none"/>
                    </w:rPr>
                  </w:pPr>
                  <w:r>
                    <w:rPr>
                      <w:rFonts w:hint="eastAsia" w:ascii="宋体" w:hAnsi="宋体"/>
                      <w:b/>
                      <w:bCs/>
                      <w:color w:val="auto"/>
                      <w:szCs w:val="21"/>
                      <w:highlight w:val="none"/>
                    </w:rPr>
                    <w:t>0.9%</w:t>
                  </w:r>
                </w:p>
              </w:tc>
              <w:tc>
                <w:tcPr>
                  <w:tcW w:w="817" w:type="dxa"/>
                  <w:noWrap w:val="0"/>
                  <w:vAlign w:val="center"/>
                </w:tcPr>
                <w:p w14:paraId="26E701EA">
                  <w:pPr>
                    <w:keepNext w:val="0"/>
                    <w:keepLines w:val="0"/>
                    <w:widowControl/>
                    <w:suppressLineNumbers w:val="0"/>
                    <w:spacing w:before="0" w:beforeAutospacing="0" w:after="0" w:afterAutospacing="0"/>
                    <w:ind w:left="0" w:right="0"/>
                    <w:jc w:val="center"/>
                    <w:rPr>
                      <w:rFonts w:hint="default" w:ascii="宋体" w:hAnsi="宋体"/>
                      <w:b/>
                      <w:bCs/>
                      <w:color w:val="auto"/>
                      <w:szCs w:val="21"/>
                      <w:highlight w:val="none"/>
                    </w:rPr>
                  </w:pPr>
                  <w:r>
                    <w:rPr>
                      <w:rFonts w:hint="eastAsia" w:ascii="宋体" w:hAnsi="宋体"/>
                      <w:b/>
                      <w:bCs/>
                      <w:color w:val="auto"/>
                      <w:szCs w:val="21"/>
                      <w:highlight w:val="none"/>
                    </w:rPr>
                    <w:t>1.0%</w:t>
                  </w:r>
                </w:p>
              </w:tc>
              <w:tc>
                <w:tcPr>
                  <w:tcW w:w="820" w:type="dxa"/>
                  <w:noWrap w:val="0"/>
                  <w:vAlign w:val="center"/>
                </w:tcPr>
                <w:p w14:paraId="37676521">
                  <w:pPr>
                    <w:keepNext w:val="0"/>
                    <w:keepLines w:val="0"/>
                    <w:widowControl/>
                    <w:suppressLineNumbers w:val="0"/>
                    <w:spacing w:before="0" w:beforeAutospacing="0" w:after="0" w:afterAutospacing="0"/>
                    <w:ind w:left="0" w:right="0"/>
                    <w:jc w:val="center"/>
                    <w:rPr>
                      <w:rFonts w:hint="default" w:ascii="宋体" w:hAnsi="宋体"/>
                      <w:b/>
                      <w:bCs/>
                      <w:color w:val="auto"/>
                      <w:szCs w:val="21"/>
                      <w:highlight w:val="none"/>
                    </w:rPr>
                  </w:pPr>
                  <w:r>
                    <w:rPr>
                      <w:rFonts w:hint="eastAsia" w:ascii="宋体" w:hAnsi="宋体"/>
                      <w:b/>
                      <w:bCs/>
                      <w:color w:val="auto"/>
                      <w:szCs w:val="21"/>
                      <w:highlight w:val="none"/>
                    </w:rPr>
                    <w:t>1.1%</w:t>
                  </w:r>
                </w:p>
              </w:tc>
              <w:tc>
                <w:tcPr>
                  <w:tcW w:w="817" w:type="dxa"/>
                  <w:noWrap w:val="0"/>
                  <w:vAlign w:val="center"/>
                </w:tcPr>
                <w:p w14:paraId="70E75D42">
                  <w:pPr>
                    <w:keepNext w:val="0"/>
                    <w:keepLines w:val="0"/>
                    <w:widowControl/>
                    <w:suppressLineNumbers w:val="0"/>
                    <w:spacing w:before="0" w:beforeAutospacing="0" w:after="0" w:afterAutospacing="0"/>
                    <w:ind w:left="0" w:right="0"/>
                    <w:jc w:val="center"/>
                    <w:rPr>
                      <w:rFonts w:hint="default" w:ascii="宋体" w:hAnsi="宋体"/>
                      <w:b/>
                      <w:bCs/>
                      <w:color w:val="auto"/>
                      <w:szCs w:val="21"/>
                      <w:highlight w:val="none"/>
                    </w:rPr>
                  </w:pPr>
                  <w:r>
                    <w:rPr>
                      <w:rFonts w:hint="eastAsia" w:ascii="宋体" w:hAnsi="宋体"/>
                      <w:b/>
                      <w:bCs/>
                      <w:color w:val="auto"/>
                      <w:szCs w:val="21"/>
                      <w:highlight w:val="none"/>
                    </w:rPr>
                    <w:t>1.2%</w:t>
                  </w:r>
                </w:p>
              </w:tc>
              <w:tc>
                <w:tcPr>
                  <w:tcW w:w="828" w:type="dxa"/>
                  <w:gridSpan w:val="2"/>
                  <w:noWrap w:val="0"/>
                  <w:vAlign w:val="center"/>
                </w:tcPr>
                <w:p w14:paraId="6C79A163">
                  <w:pPr>
                    <w:keepNext w:val="0"/>
                    <w:keepLines w:val="0"/>
                    <w:widowControl/>
                    <w:suppressLineNumbers w:val="0"/>
                    <w:spacing w:before="0" w:beforeAutospacing="0" w:after="0" w:afterAutospacing="0"/>
                    <w:ind w:left="0" w:right="0"/>
                    <w:jc w:val="center"/>
                    <w:rPr>
                      <w:rFonts w:hint="default" w:ascii="宋体" w:hAnsi="宋体"/>
                      <w:b/>
                      <w:bCs/>
                      <w:color w:val="auto"/>
                      <w:szCs w:val="21"/>
                      <w:highlight w:val="none"/>
                    </w:rPr>
                  </w:pPr>
                  <w:r>
                    <w:rPr>
                      <w:rFonts w:hint="eastAsia" w:ascii="宋体" w:hAnsi="宋体"/>
                      <w:b/>
                      <w:bCs/>
                      <w:color w:val="auto"/>
                      <w:szCs w:val="21"/>
                      <w:highlight w:val="none"/>
                    </w:rPr>
                    <w:t>1.3%</w:t>
                  </w:r>
                </w:p>
              </w:tc>
            </w:tr>
            <w:tr w14:paraId="09291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02" w:type="dxa"/>
                  <w:noWrap w:val="0"/>
                  <w:vAlign w:val="center"/>
                </w:tcPr>
                <w:p w14:paraId="3BE6F3AF">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⑮</w:t>
                  </w:r>
                </w:p>
              </w:tc>
              <w:tc>
                <w:tcPr>
                  <w:tcW w:w="832" w:type="dxa"/>
                  <w:noWrap w:val="0"/>
                  <w:vAlign w:val="center"/>
                </w:tcPr>
                <w:p w14:paraId="453CA99B">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⑯</w:t>
                  </w:r>
                </w:p>
              </w:tc>
              <w:tc>
                <w:tcPr>
                  <w:tcW w:w="820" w:type="dxa"/>
                  <w:noWrap w:val="0"/>
                  <w:vAlign w:val="center"/>
                </w:tcPr>
                <w:p w14:paraId="7532B85F">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⑰</w:t>
                  </w:r>
                </w:p>
              </w:tc>
              <w:tc>
                <w:tcPr>
                  <w:tcW w:w="817" w:type="dxa"/>
                  <w:noWrap w:val="0"/>
                  <w:vAlign w:val="center"/>
                </w:tcPr>
                <w:p w14:paraId="40EEF1DD">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⑱</w:t>
                  </w:r>
                </w:p>
              </w:tc>
              <w:tc>
                <w:tcPr>
                  <w:tcW w:w="820" w:type="dxa"/>
                  <w:noWrap w:val="0"/>
                  <w:vAlign w:val="center"/>
                </w:tcPr>
                <w:p w14:paraId="517B0183">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⑲</w:t>
                  </w:r>
                </w:p>
              </w:tc>
              <w:tc>
                <w:tcPr>
                  <w:tcW w:w="817" w:type="dxa"/>
                  <w:noWrap w:val="0"/>
                  <w:vAlign w:val="center"/>
                </w:tcPr>
                <w:p w14:paraId="4A802731">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⑳</w:t>
                  </w:r>
                </w:p>
              </w:tc>
              <w:tc>
                <w:tcPr>
                  <w:tcW w:w="828" w:type="dxa"/>
                  <w:gridSpan w:val="2"/>
                  <w:noWrap w:val="0"/>
                  <w:vAlign w:val="center"/>
                </w:tcPr>
                <w:p w14:paraId="783855F8">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㉑</w:t>
                  </w:r>
                </w:p>
              </w:tc>
            </w:tr>
            <w:tr w14:paraId="1764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02" w:type="dxa"/>
                  <w:noWrap w:val="0"/>
                  <w:vAlign w:val="center"/>
                </w:tcPr>
                <w:p w14:paraId="1A064B52">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1.4%</w:t>
                  </w:r>
                </w:p>
              </w:tc>
              <w:tc>
                <w:tcPr>
                  <w:tcW w:w="832" w:type="dxa"/>
                  <w:noWrap w:val="0"/>
                  <w:vAlign w:val="center"/>
                </w:tcPr>
                <w:p w14:paraId="682E4109">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1.5%</w:t>
                  </w:r>
                </w:p>
              </w:tc>
              <w:tc>
                <w:tcPr>
                  <w:tcW w:w="820" w:type="dxa"/>
                  <w:noWrap w:val="0"/>
                  <w:vAlign w:val="center"/>
                </w:tcPr>
                <w:p w14:paraId="58178835">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1.6%</w:t>
                  </w:r>
                </w:p>
              </w:tc>
              <w:tc>
                <w:tcPr>
                  <w:tcW w:w="817" w:type="dxa"/>
                  <w:noWrap w:val="0"/>
                  <w:vAlign w:val="center"/>
                </w:tcPr>
                <w:p w14:paraId="39695B0D">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1.7%</w:t>
                  </w:r>
                </w:p>
              </w:tc>
              <w:tc>
                <w:tcPr>
                  <w:tcW w:w="820" w:type="dxa"/>
                  <w:noWrap w:val="0"/>
                  <w:vAlign w:val="center"/>
                </w:tcPr>
                <w:p w14:paraId="13138341">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1.8%</w:t>
                  </w:r>
                </w:p>
              </w:tc>
              <w:tc>
                <w:tcPr>
                  <w:tcW w:w="817" w:type="dxa"/>
                  <w:noWrap w:val="0"/>
                  <w:vAlign w:val="center"/>
                </w:tcPr>
                <w:p w14:paraId="769E3F6E">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1.9%</w:t>
                  </w:r>
                </w:p>
              </w:tc>
              <w:tc>
                <w:tcPr>
                  <w:tcW w:w="828" w:type="dxa"/>
                  <w:gridSpan w:val="2"/>
                  <w:noWrap w:val="0"/>
                  <w:vAlign w:val="center"/>
                </w:tcPr>
                <w:p w14:paraId="44E9C880">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2.0%</w:t>
                  </w:r>
                </w:p>
              </w:tc>
            </w:tr>
            <w:tr w14:paraId="0632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02" w:type="dxa"/>
                  <w:noWrap w:val="0"/>
                  <w:vAlign w:val="center"/>
                </w:tcPr>
                <w:p w14:paraId="6FF6844B">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㉒</w:t>
                  </w:r>
                </w:p>
              </w:tc>
              <w:tc>
                <w:tcPr>
                  <w:tcW w:w="832" w:type="dxa"/>
                  <w:noWrap w:val="0"/>
                  <w:vAlign w:val="center"/>
                </w:tcPr>
                <w:p w14:paraId="520EFC08">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㉓</w:t>
                  </w:r>
                </w:p>
              </w:tc>
              <w:tc>
                <w:tcPr>
                  <w:tcW w:w="820" w:type="dxa"/>
                  <w:noWrap w:val="0"/>
                  <w:vAlign w:val="center"/>
                </w:tcPr>
                <w:p w14:paraId="6E351B5A">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㉔</w:t>
                  </w:r>
                </w:p>
              </w:tc>
              <w:tc>
                <w:tcPr>
                  <w:tcW w:w="817" w:type="dxa"/>
                  <w:noWrap w:val="0"/>
                  <w:vAlign w:val="center"/>
                </w:tcPr>
                <w:p w14:paraId="75BF5781">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㉕</w:t>
                  </w:r>
                </w:p>
              </w:tc>
              <w:tc>
                <w:tcPr>
                  <w:tcW w:w="820" w:type="dxa"/>
                  <w:noWrap w:val="0"/>
                  <w:vAlign w:val="center"/>
                </w:tcPr>
                <w:p w14:paraId="5DC910F0">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㉖</w:t>
                  </w:r>
                </w:p>
              </w:tc>
              <w:tc>
                <w:tcPr>
                  <w:tcW w:w="817" w:type="dxa"/>
                  <w:noWrap w:val="0"/>
                  <w:vAlign w:val="center"/>
                </w:tcPr>
                <w:p w14:paraId="3CBDDA8A">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㉗</w:t>
                  </w:r>
                </w:p>
              </w:tc>
              <w:tc>
                <w:tcPr>
                  <w:tcW w:w="828" w:type="dxa"/>
                  <w:gridSpan w:val="2"/>
                  <w:noWrap w:val="0"/>
                  <w:vAlign w:val="center"/>
                </w:tcPr>
                <w:p w14:paraId="28D8EFA3">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㉘</w:t>
                  </w:r>
                </w:p>
              </w:tc>
            </w:tr>
            <w:tr w14:paraId="410F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02" w:type="dxa"/>
                  <w:noWrap w:val="0"/>
                  <w:vAlign w:val="center"/>
                </w:tcPr>
                <w:p w14:paraId="5C449C8A">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2.1%</w:t>
                  </w:r>
                </w:p>
              </w:tc>
              <w:tc>
                <w:tcPr>
                  <w:tcW w:w="832" w:type="dxa"/>
                  <w:noWrap w:val="0"/>
                  <w:vAlign w:val="center"/>
                </w:tcPr>
                <w:p w14:paraId="03C60763">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2.2%</w:t>
                  </w:r>
                </w:p>
              </w:tc>
              <w:tc>
                <w:tcPr>
                  <w:tcW w:w="820" w:type="dxa"/>
                  <w:noWrap w:val="0"/>
                  <w:vAlign w:val="center"/>
                </w:tcPr>
                <w:p w14:paraId="05C540D5">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2.3%</w:t>
                  </w:r>
                </w:p>
              </w:tc>
              <w:tc>
                <w:tcPr>
                  <w:tcW w:w="817" w:type="dxa"/>
                  <w:noWrap w:val="0"/>
                  <w:vAlign w:val="center"/>
                </w:tcPr>
                <w:p w14:paraId="46FCE282">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2.4%</w:t>
                  </w:r>
                </w:p>
              </w:tc>
              <w:tc>
                <w:tcPr>
                  <w:tcW w:w="820" w:type="dxa"/>
                  <w:noWrap w:val="0"/>
                  <w:vAlign w:val="center"/>
                </w:tcPr>
                <w:p w14:paraId="75806764">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2.5%</w:t>
                  </w:r>
                </w:p>
              </w:tc>
              <w:tc>
                <w:tcPr>
                  <w:tcW w:w="817" w:type="dxa"/>
                  <w:noWrap w:val="0"/>
                  <w:vAlign w:val="center"/>
                </w:tcPr>
                <w:p w14:paraId="1D1AD6E0">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2.6%</w:t>
                  </w:r>
                </w:p>
              </w:tc>
              <w:tc>
                <w:tcPr>
                  <w:tcW w:w="828" w:type="dxa"/>
                  <w:gridSpan w:val="2"/>
                  <w:noWrap w:val="0"/>
                  <w:vAlign w:val="center"/>
                </w:tcPr>
                <w:p w14:paraId="196CA2FE">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2.7%</w:t>
                  </w:r>
                </w:p>
              </w:tc>
            </w:tr>
            <w:tr w14:paraId="0F1D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02" w:type="dxa"/>
                  <w:noWrap w:val="0"/>
                  <w:vAlign w:val="center"/>
                </w:tcPr>
                <w:p w14:paraId="32F63344">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㉙</w:t>
                  </w:r>
                </w:p>
              </w:tc>
              <w:tc>
                <w:tcPr>
                  <w:tcW w:w="832" w:type="dxa"/>
                  <w:noWrap w:val="0"/>
                  <w:vAlign w:val="center"/>
                </w:tcPr>
                <w:p w14:paraId="75D6015F">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㉚</w:t>
                  </w:r>
                </w:p>
              </w:tc>
              <w:tc>
                <w:tcPr>
                  <w:tcW w:w="820" w:type="dxa"/>
                  <w:noWrap w:val="0"/>
                  <w:vAlign w:val="center"/>
                </w:tcPr>
                <w:p w14:paraId="56FCB862">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r>
                    <w:rPr>
                      <w:rFonts w:hint="eastAsia" w:ascii="宋体" w:hAnsi="宋体"/>
                      <w:b/>
                      <w:bCs/>
                      <w:color w:val="auto"/>
                      <w:szCs w:val="21"/>
                      <w:highlight w:val="none"/>
                    </w:rPr>
                    <w:t>㉛</w:t>
                  </w:r>
                </w:p>
              </w:tc>
              <w:tc>
                <w:tcPr>
                  <w:tcW w:w="817" w:type="dxa"/>
                  <w:noWrap w:val="0"/>
                  <w:vAlign w:val="center"/>
                </w:tcPr>
                <w:p w14:paraId="568CB156">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p>
              </w:tc>
              <w:tc>
                <w:tcPr>
                  <w:tcW w:w="820" w:type="dxa"/>
                  <w:noWrap w:val="0"/>
                  <w:vAlign w:val="center"/>
                </w:tcPr>
                <w:p w14:paraId="13AAA9F9">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p>
              </w:tc>
              <w:tc>
                <w:tcPr>
                  <w:tcW w:w="817" w:type="dxa"/>
                  <w:noWrap w:val="0"/>
                  <w:vAlign w:val="center"/>
                </w:tcPr>
                <w:p w14:paraId="52FDF9D6">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p>
              </w:tc>
              <w:tc>
                <w:tcPr>
                  <w:tcW w:w="828" w:type="dxa"/>
                  <w:gridSpan w:val="2"/>
                  <w:noWrap w:val="0"/>
                  <w:vAlign w:val="center"/>
                </w:tcPr>
                <w:p w14:paraId="0797A67E">
                  <w:pPr>
                    <w:keepNext w:val="0"/>
                    <w:keepLines w:val="0"/>
                    <w:widowControl/>
                    <w:suppressLineNumbers w:val="0"/>
                    <w:spacing w:before="0" w:beforeAutospacing="0" w:after="0" w:afterAutospacing="0"/>
                    <w:ind w:left="0" w:right="0" w:firstLine="6" w:firstLineChars="3"/>
                    <w:jc w:val="center"/>
                    <w:rPr>
                      <w:rFonts w:hint="default" w:ascii="宋体" w:hAnsi="宋体"/>
                      <w:b/>
                      <w:bCs/>
                      <w:color w:val="auto"/>
                      <w:szCs w:val="21"/>
                      <w:highlight w:val="none"/>
                    </w:rPr>
                  </w:pPr>
                </w:p>
              </w:tc>
            </w:tr>
            <w:tr w14:paraId="7836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443" w:hRule="atLeast"/>
                <w:jc w:val="center"/>
              </w:trPr>
              <w:tc>
                <w:tcPr>
                  <w:tcW w:w="802" w:type="dxa"/>
                  <w:noWrap w:val="0"/>
                  <w:vAlign w:val="center"/>
                </w:tcPr>
                <w:p w14:paraId="49D7F297">
                  <w:pPr>
                    <w:keepNext w:val="0"/>
                    <w:keepLines w:val="0"/>
                    <w:widowControl/>
                    <w:suppressLineNumbers w:val="0"/>
                    <w:spacing w:before="0" w:beforeAutospacing="0" w:after="0" w:afterAutospacing="0"/>
                    <w:ind w:left="0" w:right="0"/>
                    <w:jc w:val="center"/>
                    <w:rPr>
                      <w:rFonts w:hint="default" w:ascii="宋体" w:hAnsi="宋体"/>
                      <w:b/>
                      <w:bCs/>
                      <w:color w:val="auto"/>
                      <w:szCs w:val="21"/>
                      <w:highlight w:val="none"/>
                    </w:rPr>
                  </w:pPr>
                  <w:r>
                    <w:rPr>
                      <w:rFonts w:hint="eastAsia" w:ascii="宋体" w:hAnsi="宋体"/>
                      <w:b/>
                      <w:bCs/>
                      <w:color w:val="auto"/>
                      <w:szCs w:val="21"/>
                      <w:highlight w:val="none"/>
                    </w:rPr>
                    <w:t>2.8%</w:t>
                  </w:r>
                </w:p>
              </w:tc>
              <w:tc>
                <w:tcPr>
                  <w:tcW w:w="832" w:type="dxa"/>
                  <w:noWrap w:val="0"/>
                  <w:vAlign w:val="center"/>
                </w:tcPr>
                <w:p w14:paraId="3BDA0B0A">
                  <w:pPr>
                    <w:keepNext w:val="0"/>
                    <w:keepLines w:val="0"/>
                    <w:widowControl/>
                    <w:suppressLineNumbers w:val="0"/>
                    <w:spacing w:before="0" w:beforeAutospacing="0" w:after="0" w:afterAutospacing="0"/>
                    <w:ind w:left="0" w:right="0"/>
                    <w:jc w:val="center"/>
                    <w:rPr>
                      <w:rFonts w:hint="default" w:ascii="宋体" w:hAnsi="宋体"/>
                      <w:b/>
                      <w:bCs/>
                      <w:color w:val="auto"/>
                      <w:szCs w:val="21"/>
                      <w:highlight w:val="none"/>
                    </w:rPr>
                  </w:pPr>
                  <w:r>
                    <w:rPr>
                      <w:rFonts w:hint="eastAsia" w:ascii="宋体" w:hAnsi="宋体"/>
                      <w:b/>
                      <w:bCs/>
                      <w:color w:val="auto"/>
                      <w:szCs w:val="21"/>
                      <w:highlight w:val="none"/>
                    </w:rPr>
                    <w:t>2.9%</w:t>
                  </w:r>
                </w:p>
              </w:tc>
              <w:tc>
                <w:tcPr>
                  <w:tcW w:w="820" w:type="dxa"/>
                  <w:noWrap w:val="0"/>
                  <w:vAlign w:val="center"/>
                </w:tcPr>
                <w:p w14:paraId="1C427BB2">
                  <w:pPr>
                    <w:keepNext w:val="0"/>
                    <w:keepLines w:val="0"/>
                    <w:widowControl/>
                    <w:suppressLineNumbers w:val="0"/>
                    <w:spacing w:before="0" w:beforeAutospacing="0" w:after="0" w:afterAutospacing="0"/>
                    <w:ind w:left="0" w:right="0"/>
                    <w:jc w:val="center"/>
                    <w:rPr>
                      <w:rFonts w:hint="default" w:ascii="宋体" w:hAnsi="宋体"/>
                      <w:b/>
                      <w:bCs/>
                      <w:color w:val="auto"/>
                      <w:szCs w:val="21"/>
                      <w:highlight w:val="none"/>
                    </w:rPr>
                  </w:pPr>
                  <w:r>
                    <w:rPr>
                      <w:rFonts w:hint="eastAsia" w:ascii="宋体" w:hAnsi="宋体"/>
                      <w:b/>
                      <w:bCs/>
                      <w:color w:val="auto"/>
                      <w:szCs w:val="21"/>
                      <w:highlight w:val="none"/>
                    </w:rPr>
                    <w:t>3.0%</w:t>
                  </w:r>
                </w:p>
              </w:tc>
              <w:tc>
                <w:tcPr>
                  <w:tcW w:w="817" w:type="dxa"/>
                  <w:noWrap w:val="0"/>
                  <w:vAlign w:val="center"/>
                </w:tcPr>
                <w:p w14:paraId="36EBBF34">
                  <w:pPr>
                    <w:keepNext w:val="0"/>
                    <w:keepLines w:val="0"/>
                    <w:widowControl/>
                    <w:suppressLineNumbers w:val="0"/>
                    <w:spacing w:before="0" w:beforeAutospacing="0" w:after="0" w:afterAutospacing="0"/>
                    <w:ind w:left="0" w:right="0" w:firstLine="853" w:firstLineChars="406"/>
                    <w:jc w:val="center"/>
                    <w:rPr>
                      <w:rFonts w:hint="default" w:ascii="宋体" w:hAnsi="宋体"/>
                      <w:b/>
                      <w:bCs/>
                      <w:color w:val="auto"/>
                      <w:szCs w:val="21"/>
                      <w:highlight w:val="none"/>
                    </w:rPr>
                  </w:pPr>
                </w:p>
              </w:tc>
              <w:tc>
                <w:tcPr>
                  <w:tcW w:w="820" w:type="dxa"/>
                  <w:noWrap w:val="0"/>
                  <w:vAlign w:val="center"/>
                </w:tcPr>
                <w:p w14:paraId="175B40BF">
                  <w:pPr>
                    <w:keepNext w:val="0"/>
                    <w:keepLines w:val="0"/>
                    <w:widowControl/>
                    <w:suppressLineNumbers w:val="0"/>
                    <w:spacing w:before="0" w:beforeAutospacing="0" w:after="0" w:afterAutospacing="0"/>
                    <w:ind w:left="0" w:right="0" w:firstLine="853" w:firstLineChars="406"/>
                    <w:jc w:val="center"/>
                    <w:rPr>
                      <w:rFonts w:hint="default" w:ascii="宋体" w:hAnsi="宋体"/>
                      <w:b/>
                      <w:bCs/>
                      <w:color w:val="auto"/>
                      <w:szCs w:val="21"/>
                      <w:highlight w:val="none"/>
                    </w:rPr>
                  </w:pPr>
                </w:p>
              </w:tc>
              <w:tc>
                <w:tcPr>
                  <w:tcW w:w="817" w:type="dxa"/>
                  <w:noWrap w:val="0"/>
                  <w:vAlign w:val="center"/>
                </w:tcPr>
                <w:p w14:paraId="6A17A2B6">
                  <w:pPr>
                    <w:keepNext w:val="0"/>
                    <w:keepLines w:val="0"/>
                    <w:widowControl/>
                    <w:suppressLineNumbers w:val="0"/>
                    <w:spacing w:before="0" w:beforeAutospacing="0" w:after="0" w:afterAutospacing="0"/>
                    <w:ind w:left="0" w:right="0" w:firstLine="853" w:firstLineChars="406"/>
                    <w:jc w:val="center"/>
                    <w:rPr>
                      <w:rFonts w:hint="default" w:ascii="宋体" w:hAnsi="宋体"/>
                      <w:b/>
                      <w:bCs/>
                      <w:color w:val="auto"/>
                      <w:szCs w:val="21"/>
                      <w:highlight w:val="none"/>
                    </w:rPr>
                  </w:pPr>
                </w:p>
              </w:tc>
              <w:tc>
                <w:tcPr>
                  <w:tcW w:w="820" w:type="dxa"/>
                  <w:noWrap w:val="0"/>
                  <w:vAlign w:val="center"/>
                </w:tcPr>
                <w:p w14:paraId="675E9EE3">
                  <w:pPr>
                    <w:keepNext w:val="0"/>
                    <w:keepLines w:val="0"/>
                    <w:widowControl/>
                    <w:suppressLineNumbers w:val="0"/>
                    <w:spacing w:before="0" w:beforeAutospacing="0" w:after="0" w:afterAutospacing="0"/>
                    <w:ind w:left="0" w:right="0" w:firstLine="853" w:firstLineChars="406"/>
                    <w:jc w:val="center"/>
                    <w:rPr>
                      <w:rFonts w:hint="default" w:ascii="宋体" w:hAnsi="宋体"/>
                      <w:b/>
                      <w:bCs/>
                      <w:color w:val="auto"/>
                      <w:szCs w:val="21"/>
                      <w:highlight w:val="none"/>
                    </w:rPr>
                  </w:pPr>
                </w:p>
              </w:tc>
            </w:tr>
          </w:tbl>
          <w:p w14:paraId="64FB4FF7">
            <w:pPr>
              <w:keepNext w:val="0"/>
              <w:keepLines w:val="0"/>
              <w:widowControl/>
              <w:suppressLineNumbers w:val="0"/>
              <w:spacing w:before="0" w:beforeAutospacing="0" w:after="0" w:afterAutospacing="0" w:line="400" w:lineRule="exact"/>
              <w:ind w:left="0" w:right="0" w:firstLine="852" w:firstLineChars="406"/>
              <w:jc w:val="left"/>
              <w:rPr>
                <w:rFonts w:hint="default" w:ascii="宋体" w:hAnsi="宋体" w:cs="宋体"/>
                <w:color w:val="auto"/>
                <w:highlight w:val="none"/>
              </w:rPr>
            </w:pPr>
          </w:p>
          <w:p w14:paraId="4521DC2B">
            <w:pPr>
              <w:keepNext w:val="0"/>
              <w:keepLines w:val="0"/>
              <w:widowControl/>
              <w:suppressLineNumbers w:val="0"/>
              <w:spacing w:before="0" w:beforeAutospacing="0" w:after="0" w:afterAutospacing="0" w:line="400" w:lineRule="exact"/>
              <w:ind w:left="0" w:right="0" w:firstLine="420" w:firstLineChars="200"/>
              <w:jc w:val="left"/>
              <w:rPr>
                <w:rFonts w:hint="default" w:ascii="宋体" w:hAnsi="宋体" w:cs="宋体"/>
                <w:color w:val="auto"/>
                <w:szCs w:val="21"/>
                <w:highlight w:val="none"/>
              </w:rPr>
            </w:pPr>
            <w:r>
              <w:rPr>
                <w:rFonts w:hint="eastAsia" w:ascii="宋体" w:hAnsi="宋体" w:cs="宋体"/>
                <w:color w:val="auto"/>
                <w:highlight w:val="none"/>
              </w:rPr>
              <w:t>招标人最高评标限价＝最高投标限价×（1-下浮率）</w:t>
            </w:r>
          </w:p>
          <w:p w14:paraId="04FFE663">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(3)有效评标价范围：</w:t>
            </w:r>
          </w:p>
          <w:p w14:paraId="31CD2A15">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有效评标价范围：不大于最高评标限价的评标价为有效评标价。若大于最高评标限价的评标价，将否决其投标。</w:t>
            </w:r>
          </w:p>
          <w:p w14:paraId="0EE6961F">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w:t>
            </w:r>
            <w:r>
              <w:rPr>
                <w:rFonts w:hint="eastAsia" w:ascii="新宋体" w:hAnsi="新宋体" w:eastAsia="新宋体" w:cs="新宋体"/>
                <w:color w:val="auto"/>
                <w:szCs w:val="21"/>
                <w:highlight w:val="none"/>
              </w:rPr>
              <w:t>4</w:t>
            </w:r>
            <w:r>
              <w:rPr>
                <w:rFonts w:hint="default" w:ascii="新宋体" w:hAnsi="新宋体" w:eastAsia="新宋体" w:cs="新宋体"/>
                <w:color w:val="auto"/>
                <w:szCs w:val="21"/>
                <w:highlight w:val="none"/>
              </w:rPr>
              <w:t>)确定参与评标基准价计算的评标价平均值计算：</w:t>
            </w:r>
          </w:p>
          <w:p w14:paraId="5D1FB6F4">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 参与评标基准价计算的评标价范围：最高评标限价的85%≤参与评标基准价计算的评标价≤最高评标限价的100%，小于最高评标限价85%的评标价不参与评标基准价的计算，但仍参与评标价的得分计算。</w:t>
            </w:r>
          </w:p>
        </w:tc>
      </w:tr>
      <w:tr w14:paraId="6914C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noWrap w:val="0"/>
            <w:vAlign w:val="center"/>
          </w:tcPr>
          <w:p w14:paraId="1A8F0C89">
            <w:pPr>
              <w:keepNext w:val="0"/>
              <w:keepLines w:val="0"/>
              <w:widowControl/>
              <w:suppressLineNumbers w:val="0"/>
              <w:spacing w:before="0" w:beforeAutospacing="0" w:after="0" w:afterAutospacing="0"/>
              <w:ind w:left="0" w:right="0" w:firstLine="420"/>
              <w:jc w:val="center"/>
              <w:rPr>
                <w:rFonts w:hint="default" w:ascii="新宋体" w:hAnsi="新宋体" w:eastAsia="新宋体" w:cs="新宋体"/>
                <w:color w:val="auto"/>
                <w:szCs w:val="21"/>
                <w:highlight w:val="none"/>
              </w:rPr>
            </w:pPr>
          </w:p>
        </w:tc>
        <w:tc>
          <w:tcPr>
            <w:tcW w:w="1563" w:type="dxa"/>
            <w:noWrap w:val="0"/>
            <w:vAlign w:val="center"/>
          </w:tcPr>
          <w:p w14:paraId="6F243766">
            <w:pPr>
              <w:keepNext w:val="0"/>
              <w:keepLines w:val="0"/>
              <w:widowControl/>
              <w:suppressLineNumbers w:val="0"/>
              <w:spacing w:before="0" w:beforeAutospacing="0" w:after="0" w:afterAutospacing="0"/>
              <w:ind w:left="0" w:right="0" w:firstLine="420"/>
              <w:jc w:val="center"/>
              <w:rPr>
                <w:rFonts w:hint="default" w:ascii="新宋体" w:hAnsi="新宋体" w:eastAsia="新宋体" w:cs="新宋体"/>
                <w:color w:val="auto"/>
                <w:szCs w:val="21"/>
                <w:highlight w:val="none"/>
              </w:rPr>
            </w:pPr>
          </w:p>
        </w:tc>
        <w:tc>
          <w:tcPr>
            <w:tcW w:w="6408" w:type="dxa"/>
            <w:gridSpan w:val="2"/>
            <w:noWrap w:val="0"/>
            <w:vAlign w:val="center"/>
          </w:tcPr>
          <w:p w14:paraId="2D16961B">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 参与评标基准价的评标价平均值计算：除按第二章“投标人须知”第 5.2.4 项规定开标现场被宣布为不进入评标基准价计算的投标报价之外，在上述确定的参与评标基准价计算的评标价中去掉一个最高值和一个最低值后的算术平均值即为参与评标基准价计算的有效评标价平均值(如果参与评标价平均值计算的有效投标人少于 5 家时，则计算上述平均值时不去掉最高值和最低值)；</w:t>
            </w:r>
          </w:p>
          <w:p w14:paraId="3E792DC2">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若投标人的评标价均小于最高评标限价的85%时，则以最高评标限价的85%为评标基准价，同时可对投标报价小于85％的启动澄清程序，要求投标人作出书面说明并提供相关证明材料。投标人不能合理说明或者不能提供相关证明资料的，评标委员会认定该投标人以低于成本报价竞标，否决其投标。当所有投标人的投标因此种情况被否决；或当因此种情况被否决部分投标人后，有效投标人不足三家，评标委员会认为竞争不足的情况出现时，评标委员会可以否决全部投标。未否决全部投标的，评标委员会应当在评标报告中阐明理由并推荐中标候选人。</w:t>
            </w:r>
          </w:p>
          <w:p w14:paraId="05168817">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即使某投标文件第二个信封未通过形式评审与响应性评审，如其报价处于参与评标基准价计算的评标价的有效范围内，其评标价仍应参与有效评标价平均值的计算。</w:t>
            </w:r>
          </w:p>
          <w:p w14:paraId="792AC111">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w:t>
            </w:r>
            <w:r>
              <w:rPr>
                <w:rFonts w:hint="eastAsia" w:ascii="新宋体" w:hAnsi="新宋体" w:eastAsia="新宋体" w:cs="新宋体"/>
                <w:color w:val="auto"/>
                <w:szCs w:val="21"/>
                <w:highlight w:val="none"/>
              </w:rPr>
              <w:t>5</w:t>
            </w:r>
            <w:r>
              <w:rPr>
                <w:rFonts w:hint="default" w:ascii="新宋体" w:hAnsi="新宋体" w:eastAsia="新宋体" w:cs="新宋体"/>
                <w:color w:val="auto"/>
                <w:szCs w:val="21"/>
                <w:highlight w:val="none"/>
              </w:rPr>
              <w:t xml:space="preserve">)评标基准价的确定： </w:t>
            </w:r>
          </w:p>
          <w:p w14:paraId="1E9ED02C">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w:t>
            </w:r>
            <w:r>
              <w:rPr>
                <w:rFonts w:hint="eastAsia" w:ascii="新宋体" w:hAnsi="新宋体" w:eastAsia="新宋体" w:cs="新宋体"/>
                <w:color w:val="auto"/>
                <w:szCs w:val="21"/>
                <w:highlight w:val="none"/>
                <w:lang w:val="en-US" w:eastAsia="zh-CN"/>
              </w:rPr>
              <w:t>1</w:t>
            </w:r>
            <w:r>
              <w:rPr>
                <w:rFonts w:hint="default" w:ascii="新宋体" w:hAnsi="新宋体" w:eastAsia="新宋体" w:cs="新宋体"/>
                <w:color w:val="auto"/>
                <w:szCs w:val="21"/>
                <w:highlight w:val="none"/>
              </w:rPr>
              <w:t>×最高评标限价+</w:t>
            </w:r>
            <w:r>
              <w:rPr>
                <w:rFonts w:hint="eastAsia" w:ascii="新宋体" w:hAnsi="新宋体" w:eastAsia="新宋体" w:cs="新宋体"/>
                <w:color w:val="auto"/>
                <w:szCs w:val="21"/>
                <w:highlight w:val="none"/>
              </w:rPr>
              <w:t>0</w:t>
            </w:r>
            <w:r>
              <w:rPr>
                <w:rFonts w:hint="default" w:ascii="新宋体" w:hAnsi="新宋体" w:eastAsia="新宋体" w:cs="新宋体"/>
                <w:color w:val="auto"/>
                <w:szCs w:val="21"/>
                <w:highlight w:val="none"/>
              </w:rPr>
              <w:t>×参与评标基准价计算的有效评标价的平均值）</w:t>
            </w:r>
          </w:p>
          <w:p w14:paraId="4543073A">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14:paraId="14D4965F">
            <w:pPr>
              <w:keepNext w:val="0"/>
              <w:keepLines w:val="0"/>
              <w:widowControl/>
              <w:suppressLineNumbers w:val="0"/>
              <w:spacing w:before="0" w:beforeAutospacing="0" w:after="0" w:afterAutospacing="0"/>
              <w:ind w:left="0" w:right="0" w:firstLine="420"/>
              <w:rPr>
                <w:rFonts w:hint="default" w:ascii="宋体" w:hAnsi="宋体" w:cs="宋体"/>
                <w:color w:val="auto"/>
                <w:sz w:val="24"/>
                <w:highlight w:val="none"/>
              </w:rPr>
            </w:pPr>
            <w:r>
              <w:rPr>
                <w:rFonts w:hint="default" w:ascii="新宋体" w:hAnsi="新宋体" w:eastAsia="新宋体" w:cs="新宋体"/>
                <w:color w:val="auto"/>
                <w:szCs w:val="21"/>
                <w:highlight w:val="none"/>
              </w:rPr>
              <w:t>备注：最高评标限价、评标基准价四舍五入至个位整数。</w:t>
            </w:r>
          </w:p>
        </w:tc>
      </w:tr>
      <w:tr w14:paraId="66A5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noWrap w:val="0"/>
            <w:vAlign w:val="center"/>
          </w:tcPr>
          <w:p w14:paraId="593AFC21">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2.2.3</w:t>
            </w:r>
          </w:p>
        </w:tc>
        <w:tc>
          <w:tcPr>
            <w:tcW w:w="1563" w:type="dxa"/>
            <w:noWrap w:val="0"/>
            <w:vAlign w:val="center"/>
          </w:tcPr>
          <w:p w14:paraId="5BF6144F">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投标报价的偏差率计算公式</w:t>
            </w:r>
          </w:p>
        </w:tc>
        <w:tc>
          <w:tcPr>
            <w:tcW w:w="6408" w:type="dxa"/>
            <w:gridSpan w:val="2"/>
            <w:noWrap w:val="0"/>
            <w:vAlign w:val="center"/>
          </w:tcPr>
          <w:p w14:paraId="4F353A1D">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偏差率=100%×(投标人</w:t>
            </w:r>
            <w:r>
              <w:rPr>
                <w:rFonts w:hint="eastAsia" w:ascii="新宋体" w:hAnsi="新宋体" w:eastAsia="新宋体" w:cs="新宋体"/>
                <w:color w:val="auto"/>
                <w:szCs w:val="21"/>
                <w:highlight w:val="none"/>
              </w:rPr>
              <w:t>评标</w:t>
            </w:r>
            <w:r>
              <w:rPr>
                <w:rFonts w:hint="default" w:ascii="新宋体" w:hAnsi="新宋体" w:eastAsia="新宋体" w:cs="新宋体"/>
                <w:color w:val="auto"/>
                <w:szCs w:val="21"/>
                <w:highlight w:val="none"/>
              </w:rPr>
              <w:t>价-评标基准价)/评标基准价</w:t>
            </w:r>
          </w:p>
        </w:tc>
      </w:tr>
      <w:tr w14:paraId="2D9F7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trPr>
        <w:tc>
          <w:tcPr>
            <w:tcW w:w="2694" w:type="dxa"/>
            <w:gridSpan w:val="2"/>
            <w:noWrap w:val="0"/>
            <w:vAlign w:val="center"/>
          </w:tcPr>
          <w:p w14:paraId="25E39C8B">
            <w:pPr>
              <w:keepNext w:val="0"/>
              <w:keepLines w:val="0"/>
              <w:widowControl/>
              <w:suppressLineNumbers w:val="0"/>
              <w:spacing w:before="0" w:beforeAutospacing="0" w:after="0" w:afterAutospacing="0"/>
              <w:ind w:left="0" w:right="0" w:firstLine="422"/>
              <w:jc w:val="center"/>
              <w:rPr>
                <w:rFonts w:hint="default" w:ascii="新宋体" w:hAnsi="新宋体" w:eastAsia="新宋体" w:cs="新宋体"/>
                <w:b/>
                <w:color w:val="auto"/>
                <w:szCs w:val="21"/>
                <w:highlight w:val="none"/>
              </w:rPr>
            </w:pPr>
            <w:r>
              <w:rPr>
                <w:rFonts w:hint="default" w:ascii="新宋体" w:hAnsi="新宋体" w:eastAsia="新宋体" w:cs="新宋体"/>
                <w:b/>
                <w:color w:val="auto"/>
                <w:szCs w:val="21"/>
                <w:highlight w:val="none"/>
              </w:rPr>
              <w:t>条款号</w:t>
            </w:r>
          </w:p>
        </w:tc>
        <w:tc>
          <w:tcPr>
            <w:tcW w:w="2409" w:type="dxa"/>
            <w:noWrap w:val="0"/>
            <w:vAlign w:val="center"/>
          </w:tcPr>
          <w:p w14:paraId="28985BA4">
            <w:pPr>
              <w:keepNext w:val="0"/>
              <w:keepLines w:val="0"/>
              <w:widowControl/>
              <w:suppressLineNumbers w:val="0"/>
              <w:spacing w:before="0" w:beforeAutospacing="0" w:after="0" w:afterAutospacing="0"/>
              <w:ind w:left="0" w:right="0" w:firstLine="422"/>
              <w:jc w:val="center"/>
              <w:rPr>
                <w:rFonts w:hint="default" w:ascii="新宋体" w:hAnsi="新宋体" w:eastAsia="新宋体" w:cs="新宋体"/>
                <w:b/>
                <w:color w:val="auto"/>
                <w:szCs w:val="21"/>
                <w:highlight w:val="none"/>
              </w:rPr>
            </w:pPr>
            <w:r>
              <w:rPr>
                <w:rFonts w:hint="default" w:ascii="新宋体" w:hAnsi="新宋体" w:eastAsia="新宋体" w:cs="新宋体"/>
                <w:b/>
                <w:color w:val="auto"/>
                <w:szCs w:val="21"/>
                <w:highlight w:val="none"/>
              </w:rPr>
              <w:t>评分因素</w:t>
            </w:r>
          </w:p>
        </w:tc>
        <w:tc>
          <w:tcPr>
            <w:tcW w:w="3999" w:type="dxa"/>
            <w:noWrap w:val="0"/>
            <w:vAlign w:val="center"/>
          </w:tcPr>
          <w:p w14:paraId="3C1A7E5F">
            <w:pPr>
              <w:keepNext w:val="0"/>
              <w:keepLines w:val="0"/>
              <w:widowControl/>
              <w:suppressLineNumbers w:val="0"/>
              <w:spacing w:before="0" w:beforeAutospacing="0" w:after="0" w:afterAutospacing="0"/>
              <w:ind w:left="0" w:right="0" w:firstLine="422"/>
              <w:jc w:val="center"/>
              <w:rPr>
                <w:rFonts w:hint="default" w:ascii="新宋体" w:hAnsi="新宋体" w:eastAsia="新宋体" w:cs="新宋体"/>
                <w:b/>
                <w:color w:val="auto"/>
                <w:szCs w:val="21"/>
                <w:highlight w:val="none"/>
              </w:rPr>
            </w:pPr>
            <w:r>
              <w:rPr>
                <w:rFonts w:hint="default" w:ascii="新宋体" w:hAnsi="新宋体" w:eastAsia="新宋体" w:cs="新宋体"/>
                <w:b/>
                <w:color w:val="auto"/>
                <w:szCs w:val="21"/>
                <w:highlight w:val="none"/>
              </w:rPr>
              <w:t>评分标准</w:t>
            </w:r>
          </w:p>
        </w:tc>
      </w:tr>
      <w:tr w14:paraId="02334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31" w:type="dxa"/>
            <w:vMerge w:val="restart"/>
            <w:noWrap w:val="0"/>
            <w:vAlign w:val="center"/>
          </w:tcPr>
          <w:p w14:paraId="7D91A464">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2.2.4(</w:t>
            </w:r>
            <w:r>
              <w:rPr>
                <w:rFonts w:hint="eastAsia" w:ascii="新宋体" w:hAnsi="新宋体" w:eastAsia="新宋体" w:cs="新宋体"/>
                <w:color w:val="auto"/>
                <w:szCs w:val="21"/>
                <w:highlight w:val="none"/>
              </w:rPr>
              <w:t>1</w:t>
            </w:r>
            <w:r>
              <w:rPr>
                <w:rFonts w:hint="default" w:ascii="新宋体" w:hAnsi="新宋体" w:eastAsia="新宋体" w:cs="新宋体"/>
                <w:color w:val="auto"/>
                <w:szCs w:val="21"/>
                <w:highlight w:val="none"/>
              </w:rPr>
              <w:t>)</w:t>
            </w:r>
          </w:p>
        </w:tc>
        <w:tc>
          <w:tcPr>
            <w:tcW w:w="1563" w:type="dxa"/>
            <w:vMerge w:val="restart"/>
            <w:noWrap w:val="0"/>
            <w:vAlign w:val="center"/>
          </w:tcPr>
          <w:p w14:paraId="431A5C0D">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施工组织设计评分标准</w:t>
            </w:r>
          </w:p>
          <w:p w14:paraId="12B92EF2">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w:t>
            </w:r>
            <w:r>
              <w:rPr>
                <w:rFonts w:hint="eastAsia" w:ascii="新宋体" w:hAnsi="新宋体" w:eastAsia="新宋体" w:cs="新宋体"/>
                <w:color w:val="auto"/>
                <w:szCs w:val="21"/>
                <w:highlight w:val="none"/>
                <w:lang w:val="en-US" w:eastAsia="zh-CN"/>
              </w:rPr>
              <w:t>6</w:t>
            </w:r>
            <w:r>
              <w:rPr>
                <w:rFonts w:hint="default" w:ascii="新宋体" w:hAnsi="新宋体" w:eastAsia="新宋体" w:cs="新宋体"/>
                <w:color w:val="auto"/>
                <w:szCs w:val="21"/>
                <w:highlight w:val="none"/>
              </w:rPr>
              <w:t>分）</w:t>
            </w:r>
          </w:p>
        </w:tc>
        <w:tc>
          <w:tcPr>
            <w:tcW w:w="2409" w:type="dxa"/>
            <w:noWrap w:val="0"/>
            <w:vAlign w:val="center"/>
          </w:tcPr>
          <w:p w14:paraId="51CC5640">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船舶机械配备及进场计划</w:t>
            </w:r>
            <w:r>
              <w:rPr>
                <w:rFonts w:hint="default" w:ascii="新宋体" w:hAnsi="新宋体" w:eastAsia="新宋体" w:cs="新宋体"/>
                <w:color w:val="auto"/>
                <w:szCs w:val="21"/>
                <w:highlight w:val="none"/>
                <w:lang w:bidi="ar"/>
              </w:rPr>
              <w:t>（满分</w:t>
            </w:r>
            <w:r>
              <w:rPr>
                <w:rFonts w:hint="eastAsia" w:ascii="新宋体" w:hAnsi="新宋体" w:eastAsia="新宋体" w:cs="新宋体"/>
                <w:color w:val="auto"/>
                <w:szCs w:val="21"/>
                <w:highlight w:val="none"/>
                <w:lang w:val="en-US" w:eastAsia="zh-CN" w:bidi="ar"/>
              </w:rPr>
              <w:t>1</w:t>
            </w:r>
            <w:r>
              <w:rPr>
                <w:rFonts w:hint="default" w:ascii="新宋体" w:hAnsi="新宋体" w:eastAsia="新宋体" w:cs="新宋体"/>
                <w:color w:val="auto"/>
                <w:szCs w:val="21"/>
                <w:highlight w:val="none"/>
                <w:lang w:bidi="ar"/>
              </w:rPr>
              <w:t>分）</w:t>
            </w:r>
          </w:p>
        </w:tc>
        <w:tc>
          <w:tcPr>
            <w:tcW w:w="3999" w:type="dxa"/>
            <w:noWrap w:val="0"/>
            <w:vAlign w:val="center"/>
          </w:tcPr>
          <w:p w14:paraId="2D658752">
            <w:pPr>
              <w:keepNext w:val="0"/>
              <w:keepLines w:val="0"/>
              <w:widowControl/>
              <w:suppressLineNumbers w:val="0"/>
              <w:spacing w:before="0" w:beforeAutospacing="0" w:after="0" w:afterAutospacing="0"/>
              <w:ind w:left="0" w:right="0" w:firstLine="420"/>
              <w:rPr>
                <w:rFonts w:hint="default" w:ascii="宋体" w:hAnsi="宋体" w:cs="Times New Roman"/>
                <w:color w:val="auto"/>
                <w:szCs w:val="21"/>
                <w:highlight w:val="none"/>
              </w:rPr>
            </w:pPr>
            <w:r>
              <w:rPr>
                <w:rFonts w:hint="eastAsia" w:ascii="宋体" w:hAnsi="宋体" w:cs="Times New Roman"/>
                <w:color w:val="auto"/>
                <w:szCs w:val="21"/>
                <w:highlight w:val="none"/>
              </w:rPr>
              <w:t>①优(</w:t>
            </w:r>
            <w:r>
              <w:rPr>
                <w:rFonts w:hint="eastAsia" w:ascii="宋体" w:hAnsi="宋体" w:cs="Times New Roman"/>
                <w:color w:val="auto"/>
                <w:szCs w:val="21"/>
                <w:highlight w:val="none"/>
                <w:lang w:val="en-US" w:eastAsia="zh-CN"/>
              </w:rPr>
              <w:t>1</w:t>
            </w:r>
            <w:r>
              <w:rPr>
                <w:rFonts w:hint="eastAsia" w:ascii="宋体" w:hAnsi="宋体" w:cs="Times New Roman"/>
                <w:color w:val="auto"/>
                <w:szCs w:val="21"/>
                <w:highlight w:val="none"/>
              </w:rPr>
              <w:t>分)：按照工程需要及特点配备齐全的先进船舶和机械，并能根据进度要求组织进场。</w:t>
            </w:r>
          </w:p>
          <w:p w14:paraId="1CFB8BA9">
            <w:pPr>
              <w:keepNext w:val="0"/>
              <w:keepLines w:val="0"/>
              <w:widowControl/>
              <w:suppressLineNumbers w:val="0"/>
              <w:spacing w:before="0" w:beforeAutospacing="0" w:after="0" w:afterAutospacing="0"/>
              <w:ind w:left="0" w:right="0" w:firstLine="420"/>
              <w:rPr>
                <w:rFonts w:hint="default" w:ascii="宋体" w:hAnsi="宋体" w:cs="Times New Roman"/>
                <w:color w:val="auto"/>
                <w:szCs w:val="21"/>
                <w:highlight w:val="none"/>
              </w:rPr>
            </w:pPr>
            <w:r>
              <w:rPr>
                <w:rFonts w:hint="eastAsia" w:ascii="宋体" w:hAnsi="宋体" w:cs="Times New Roman"/>
                <w:color w:val="auto"/>
                <w:szCs w:val="21"/>
                <w:highlight w:val="none"/>
              </w:rPr>
              <w:t>②良(</w:t>
            </w:r>
            <w:r>
              <w:rPr>
                <w:rFonts w:hint="eastAsia" w:ascii="宋体" w:hAnsi="宋体" w:cs="Times New Roman"/>
                <w:color w:val="auto"/>
                <w:szCs w:val="21"/>
                <w:highlight w:val="none"/>
                <w:lang w:val="en-US" w:eastAsia="zh-CN"/>
              </w:rPr>
              <w:t>0.8</w:t>
            </w:r>
            <w:r>
              <w:rPr>
                <w:rFonts w:hint="eastAsia" w:ascii="宋体" w:hAnsi="宋体" w:cs="Times New Roman"/>
                <w:color w:val="auto"/>
                <w:szCs w:val="21"/>
                <w:highlight w:val="none"/>
              </w:rPr>
              <w:t>分)：按照工程需要及特点配备齐全的船舶和机械，并能根据进度要求组织进场。</w:t>
            </w:r>
          </w:p>
          <w:p w14:paraId="1BC5296A">
            <w:pPr>
              <w:keepNext w:val="0"/>
              <w:keepLines w:val="0"/>
              <w:widowControl/>
              <w:suppressLineNumbers w:val="0"/>
              <w:spacing w:before="0" w:beforeAutospacing="0" w:after="0" w:afterAutospacing="0"/>
              <w:ind w:left="0" w:right="0" w:firstLine="420"/>
              <w:rPr>
                <w:rFonts w:hint="default" w:ascii="宋体" w:hAnsi="宋体" w:cs="Times New Roman"/>
                <w:color w:val="auto"/>
                <w:szCs w:val="21"/>
                <w:highlight w:val="none"/>
              </w:rPr>
            </w:pPr>
            <w:r>
              <w:rPr>
                <w:rFonts w:hint="eastAsia" w:ascii="宋体" w:hAnsi="宋体" w:cs="Times New Roman"/>
                <w:color w:val="auto"/>
                <w:szCs w:val="21"/>
                <w:highlight w:val="none"/>
              </w:rPr>
              <w:t>③一般(</w:t>
            </w:r>
            <w:r>
              <w:rPr>
                <w:rFonts w:hint="eastAsia" w:ascii="宋体" w:hAnsi="宋体" w:cs="Times New Roman"/>
                <w:color w:val="auto"/>
                <w:szCs w:val="21"/>
                <w:highlight w:val="none"/>
                <w:lang w:val="en-US" w:eastAsia="zh-CN"/>
              </w:rPr>
              <w:t>0.6</w:t>
            </w:r>
            <w:r>
              <w:rPr>
                <w:rFonts w:hint="eastAsia" w:ascii="宋体" w:hAnsi="宋体" w:cs="Times New Roman"/>
                <w:color w:val="auto"/>
                <w:szCs w:val="21"/>
                <w:highlight w:val="none"/>
              </w:rPr>
              <w:t>分)：基本能配备工程施工需要的船舶和机械，结合进度要求组织进场。</w:t>
            </w:r>
          </w:p>
          <w:p w14:paraId="430ED412">
            <w:pPr>
              <w:keepNext w:val="0"/>
              <w:keepLines w:val="0"/>
              <w:widowControl/>
              <w:suppressLineNumbers w:val="0"/>
              <w:spacing w:before="0" w:beforeAutospacing="0" w:after="0" w:afterAutospacing="0"/>
              <w:ind w:left="0" w:right="0" w:firstLine="420"/>
              <w:jc w:val="left"/>
              <w:rPr>
                <w:rFonts w:hint="default" w:ascii="宋体" w:hAnsi="宋体" w:cs="Times New Roman"/>
                <w:color w:val="auto"/>
                <w:szCs w:val="21"/>
                <w:highlight w:val="none"/>
              </w:rPr>
            </w:pPr>
            <w:r>
              <w:rPr>
                <w:rFonts w:hint="eastAsia" w:ascii="宋体" w:hAnsi="宋体" w:cs="Times New Roman"/>
                <w:color w:val="auto"/>
                <w:szCs w:val="21"/>
                <w:highlight w:val="none"/>
              </w:rPr>
              <w:t>④</w:t>
            </w:r>
            <w:r>
              <w:rPr>
                <w:rFonts w:hint="eastAsia" w:ascii="Times New Roman" w:hAnsi="宋体" w:cs="Times New Roman"/>
                <w:color w:val="auto"/>
                <w:szCs w:val="21"/>
                <w:highlight w:val="none"/>
                <w:lang w:val="en-US" w:eastAsia="zh-CN"/>
              </w:rPr>
              <w:t>无提供</w:t>
            </w:r>
            <w:r>
              <w:rPr>
                <w:rFonts w:hint="eastAsia" w:ascii="新宋体" w:hAnsi="新宋体" w:eastAsia="新宋体" w:cs="新宋体"/>
                <w:color w:val="auto"/>
                <w:szCs w:val="21"/>
                <w:highlight w:val="none"/>
                <w:lang w:bidi="ar"/>
              </w:rPr>
              <w:t>：</w:t>
            </w:r>
            <w:r>
              <w:rPr>
                <w:rFonts w:hint="eastAsia" w:ascii="新宋体" w:hAnsi="新宋体" w:eastAsia="新宋体" w:cs="新宋体"/>
                <w:color w:val="auto"/>
                <w:szCs w:val="21"/>
                <w:highlight w:val="none"/>
                <w:lang w:val="en-US" w:eastAsia="zh-CN" w:bidi="ar"/>
              </w:rPr>
              <w:t>得0分。</w:t>
            </w:r>
          </w:p>
        </w:tc>
      </w:tr>
      <w:tr w14:paraId="0C58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31" w:type="dxa"/>
            <w:vMerge w:val="continue"/>
            <w:noWrap w:val="0"/>
            <w:vAlign w:val="center"/>
          </w:tcPr>
          <w:p w14:paraId="03E6C599">
            <w:pPr>
              <w:keepNext w:val="0"/>
              <w:keepLines w:val="0"/>
              <w:widowControl/>
              <w:suppressLineNumbers w:val="0"/>
              <w:spacing w:before="0" w:beforeAutospacing="0" w:after="0" w:afterAutospacing="0"/>
              <w:ind w:left="0" w:right="0" w:firstLine="420"/>
              <w:jc w:val="center"/>
              <w:rPr>
                <w:rFonts w:hint="default" w:ascii="新宋体" w:hAnsi="新宋体" w:eastAsia="新宋体" w:cs="新宋体"/>
                <w:color w:val="auto"/>
                <w:szCs w:val="21"/>
                <w:highlight w:val="none"/>
              </w:rPr>
            </w:pPr>
          </w:p>
        </w:tc>
        <w:tc>
          <w:tcPr>
            <w:tcW w:w="1563" w:type="dxa"/>
            <w:vMerge w:val="continue"/>
            <w:noWrap w:val="0"/>
            <w:vAlign w:val="center"/>
          </w:tcPr>
          <w:p w14:paraId="516A10BA">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p>
        </w:tc>
        <w:tc>
          <w:tcPr>
            <w:tcW w:w="2409" w:type="dxa"/>
            <w:noWrap w:val="0"/>
            <w:vAlign w:val="center"/>
          </w:tcPr>
          <w:p w14:paraId="187C7274">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施工工艺流程</w:t>
            </w:r>
          </w:p>
          <w:p w14:paraId="25A6102D">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lang w:bidi="ar"/>
              </w:rPr>
              <w:t>（满分</w:t>
            </w:r>
            <w:r>
              <w:rPr>
                <w:rFonts w:hint="eastAsia" w:ascii="新宋体" w:hAnsi="新宋体" w:eastAsia="新宋体" w:cs="新宋体"/>
                <w:color w:val="auto"/>
                <w:szCs w:val="21"/>
                <w:highlight w:val="none"/>
                <w:lang w:val="en-US" w:eastAsia="zh-CN" w:bidi="ar"/>
              </w:rPr>
              <w:t>1</w:t>
            </w:r>
            <w:r>
              <w:rPr>
                <w:rFonts w:hint="default" w:ascii="新宋体" w:hAnsi="新宋体" w:eastAsia="新宋体" w:cs="新宋体"/>
                <w:color w:val="auto"/>
                <w:szCs w:val="21"/>
                <w:highlight w:val="none"/>
                <w:lang w:bidi="ar"/>
              </w:rPr>
              <w:t>分）</w:t>
            </w:r>
          </w:p>
        </w:tc>
        <w:tc>
          <w:tcPr>
            <w:tcW w:w="3999" w:type="dxa"/>
            <w:noWrap w:val="0"/>
            <w:vAlign w:val="center"/>
          </w:tcPr>
          <w:p w14:paraId="58E67486">
            <w:pPr>
              <w:keepNext w:val="0"/>
              <w:keepLines w:val="0"/>
              <w:widowControl/>
              <w:suppressLineNumbers w:val="0"/>
              <w:spacing w:before="0" w:beforeAutospacing="0" w:after="0" w:afterAutospacing="0"/>
              <w:ind w:left="0" w:right="0" w:firstLine="420"/>
              <w:rPr>
                <w:rFonts w:hint="default" w:ascii="Times New Roman" w:hAnsi="Times New Roman" w:cs="Times New Roman"/>
                <w:color w:val="auto"/>
                <w:highlight w:val="none"/>
              </w:rPr>
            </w:pPr>
            <w:r>
              <w:rPr>
                <w:rFonts w:hint="eastAsia" w:ascii="Times New Roman" w:hAnsi="Times New Roman" w:cs="Times New Roman"/>
                <w:color w:val="auto"/>
                <w:highlight w:val="none"/>
              </w:rPr>
              <w:t>①优(</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分)：施工工艺流程科学完整，分工明确，有针对性，符合项目实际情况，比较好满足施工要求。</w:t>
            </w:r>
          </w:p>
          <w:p w14:paraId="4AED2B81">
            <w:pPr>
              <w:keepNext w:val="0"/>
              <w:keepLines w:val="0"/>
              <w:widowControl/>
              <w:suppressLineNumbers w:val="0"/>
              <w:spacing w:before="0" w:beforeAutospacing="0" w:after="0" w:afterAutospacing="0"/>
              <w:ind w:left="0" w:right="0" w:firstLine="420"/>
              <w:rPr>
                <w:rFonts w:hint="default" w:ascii="Times New Roman" w:hAnsi="Times New Roman" w:cs="Times New Roman"/>
                <w:color w:val="auto"/>
                <w:highlight w:val="none"/>
              </w:rPr>
            </w:pPr>
            <w:r>
              <w:rPr>
                <w:rFonts w:hint="eastAsia" w:ascii="Times New Roman" w:hAnsi="Times New Roman" w:cs="Times New Roman"/>
                <w:color w:val="auto"/>
                <w:highlight w:val="none"/>
              </w:rPr>
              <w:t>②良(</w:t>
            </w:r>
            <w:r>
              <w:rPr>
                <w:rFonts w:hint="eastAsia" w:ascii="Times New Roman" w:hAnsi="Times New Roman" w:cs="Times New Roman"/>
                <w:color w:val="auto"/>
                <w:highlight w:val="none"/>
                <w:lang w:val="en-US" w:eastAsia="zh-CN"/>
              </w:rPr>
              <w:t>0.8</w:t>
            </w:r>
            <w:r>
              <w:rPr>
                <w:rFonts w:hint="eastAsia" w:ascii="Times New Roman" w:hAnsi="Times New Roman" w:cs="Times New Roman"/>
                <w:color w:val="auto"/>
                <w:highlight w:val="none"/>
              </w:rPr>
              <w:t>分)：施工工艺流程科学完整，分工明确，较好满足施工要求。</w:t>
            </w:r>
          </w:p>
          <w:p w14:paraId="5D156B8E">
            <w:pPr>
              <w:keepNext w:val="0"/>
              <w:keepLines w:val="0"/>
              <w:widowControl/>
              <w:suppressLineNumbers w:val="0"/>
              <w:spacing w:before="0" w:beforeAutospacing="0" w:after="0" w:afterAutospacing="0"/>
              <w:ind w:left="0" w:right="0" w:firstLine="420"/>
              <w:rPr>
                <w:rFonts w:hint="default" w:ascii="Times New Roman" w:hAnsi="Times New Roman" w:cs="Times New Roman"/>
                <w:color w:val="auto"/>
                <w:highlight w:val="none"/>
              </w:rPr>
            </w:pPr>
            <w:r>
              <w:rPr>
                <w:rFonts w:hint="eastAsia" w:ascii="Times New Roman" w:hAnsi="Times New Roman" w:cs="Times New Roman"/>
                <w:color w:val="auto"/>
                <w:highlight w:val="none"/>
              </w:rPr>
              <w:t>③一般(</w:t>
            </w:r>
            <w:r>
              <w:rPr>
                <w:rFonts w:hint="eastAsia" w:ascii="Times New Roman" w:hAnsi="Times New Roman" w:cs="Times New Roman"/>
                <w:color w:val="auto"/>
                <w:highlight w:val="none"/>
                <w:lang w:val="en-US" w:eastAsia="zh-CN"/>
              </w:rPr>
              <w:t>0.6</w:t>
            </w:r>
            <w:r>
              <w:rPr>
                <w:rFonts w:hint="eastAsia" w:ascii="Times New Roman" w:hAnsi="Times New Roman" w:cs="Times New Roman"/>
                <w:color w:val="auto"/>
                <w:highlight w:val="none"/>
              </w:rPr>
              <w:t>分)：施工工艺流程科学完整，基本满足施工要求。</w:t>
            </w:r>
          </w:p>
          <w:p w14:paraId="64830F8F">
            <w:pPr>
              <w:keepNext w:val="0"/>
              <w:keepLines w:val="0"/>
              <w:widowControl/>
              <w:suppressLineNumbers w:val="0"/>
              <w:spacing w:before="0" w:beforeAutospacing="0" w:after="0" w:afterAutospacing="0"/>
              <w:ind w:left="0" w:right="0" w:firstLine="420"/>
              <w:rPr>
                <w:rFonts w:hint="default" w:ascii="Times New Roman" w:hAnsi="Times New Roman" w:eastAsia="新宋体" w:cs="Times New Roman"/>
                <w:color w:val="auto"/>
                <w:highlight w:val="none"/>
                <w:lang w:val="en-US" w:eastAsia="zh-CN"/>
              </w:rPr>
            </w:pPr>
            <w:r>
              <w:rPr>
                <w:rFonts w:hint="eastAsia" w:ascii="宋体" w:hAnsi="宋体" w:cs="Times New Roman"/>
                <w:color w:val="auto"/>
                <w:szCs w:val="21"/>
                <w:highlight w:val="none"/>
              </w:rPr>
              <w:t>④</w:t>
            </w:r>
            <w:r>
              <w:rPr>
                <w:rFonts w:hint="eastAsia" w:ascii="Times New Roman" w:hAnsi="宋体" w:cs="Times New Roman"/>
                <w:color w:val="auto"/>
                <w:szCs w:val="21"/>
                <w:highlight w:val="none"/>
                <w:lang w:val="en-US" w:eastAsia="zh-CN"/>
              </w:rPr>
              <w:t>无提供</w:t>
            </w:r>
            <w:r>
              <w:rPr>
                <w:rFonts w:hint="eastAsia" w:ascii="新宋体" w:hAnsi="新宋体" w:eastAsia="新宋体" w:cs="新宋体"/>
                <w:color w:val="auto"/>
                <w:szCs w:val="21"/>
                <w:highlight w:val="none"/>
                <w:lang w:bidi="ar"/>
              </w:rPr>
              <w:t>：</w:t>
            </w:r>
            <w:r>
              <w:rPr>
                <w:rFonts w:hint="eastAsia" w:ascii="新宋体" w:hAnsi="新宋体" w:eastAsia="新宋体" w:cs="新宋体"/>
                <w:color w:val="auto"/>
                <w:szCs w:val="21"/>
                <w:highlight w:val="none"/>
                <w:lang w:val="en-US" w:eastAsia="zh-CN" w:bidi="ar"/>
              </w:rPr>
              <w:t>得0分。</w:t>
            </w:r>
          </w:p>
        </w:tc>
      </w:tr>
      <w:tr w14:paraId="0463E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31" w:type="dxa"/>
            <w:vMerge w:val="continue"/>
            <w:noWrap w:val="0"/>
            <w:vAlign w:val="center"/>
          </w:tcPr>
          <w:p w14:paraId="2541D84D">
            <w:pPr>
              <w:keepNext w:val="0"/>
              <w:keepLines w:val="0"/>
              <w:widowControl/>
              <w:suppressLineNumbers w:val="0"/>
              <w:spacing w:before="0" w:beforeAutospacing="0" w:after="0" w:afterAutospacing="0"/>
              <w:ind w:left="0" w:right="0" w:firstLine="420"/>
              <w:jc w:val="center"/>
              <w:rPr>
                <w:rFonts w:hint="default" w:ascii="新宋体" w:hAnsi="新宋体" w:eastAsia="新宋体" w:cs="新宋体"/>
                <w:color w:val="auto"/>
                <w:szCs w:val="21"/>
                <w:highlight w:val="none"/>
              </w:rPr>
            </w:pPr>
          </w:p>
        </w:tc>
        <w:tc>
          <w:tcPr>
            <w:tcW w:w="1563" w:type="dxa"/>
            <w:vMerge w:val="continue"/>
            <w:noWrap w:val="0"/>
            <w:vAlign w:val="center"/>
          </w:tcPr>
          <w:p w14:paraId="04E64197">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p>
        </w:tc>
        <w:tc>
          <w:tcPr>
            <w:tcW w:w="2409" w:type="dxa"/>
            <w:noWrap w:val="0"/>
            <w:vAlign w:val="center"/>
          </w:tcPr>
          <w:p w14:paraId="1AC9665E">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施工技术措施</w:t>
            </w:r>
          </w:p>
          <w:p w14:paraId="6094E30B">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lang w:bidi="ar"/>
              </w:rPr>
              <w:t>（满分</w:t>
            </w:r>
            <w:r>
              <w:rPr>
                <w:rFonts w:hint="eastAsia" w:ascii="新宋体" w:hAnsi="新宋体" w:eastAsia="新宋体" w:cs="新宋体"/>
                <w:color w:val="auto"/>
                <w:szCs w:val="21"/>
                <w:highlight w:val="none"/>
                <w:lang w:val="en-US" w:eastAsia="zh-CN" w:bidi="ar"/>
              </w:rPr>
              <w:t>1</w:t>
            </w:r>
            <w:r>
              <w:rPr>
                <w:rFonts w:hint="default" w:ascii="新宋体" w:hAnsi="新宋体" w:eastAsia="新宋体" w:cs="新宋体"/>
                <w:color w:val="auto"/>
                <w:szCs w:val="21"/>
                <w:highlight w:val="none"/>
                <w:lang w:bidi="ar"/>
              </w:rPr>
              <w:t>分）</w:t>
            </w:r>
          </w:p>
        </w:tc>
        <w:tc>
          <w:tcPr>
            <w:tcW w:w="3999" w:type="dxa"/>
            <w:noWrap w:val="0"/>
            <w:vAlign w:val="center"/>
          </w:tcPr>
          <w:p w14:paraId="1DFC7512">
            <w:pPr>
              <w:keepNext w:val="0"/>
              <w:keepLines w:val="0"/>
              <w:widowControl/>
              <w:suppressLineNumbers w:val="0"/>
              <w:spacing w:before="0" w:beforeAutospacing="0" w:after="0" w:afterAutospacing="0"/>
              <w:ind w:left="0" w:right="0" w:firstLine="420"/>
              <w:rPr>
                <w:rFonts w:hint="default" w:ascii="Times New Roman" w:hAnsi="Times New Roman" w:cs="Times New Roman"/>
                <w:color w:val="auto"/>
                <w:highlight w:val="none"/>
              </w:rPr>
            </w:pPr>
            <w:r>
              <w:rPr>
                <w:rFonts w:hint="eastAsia" w:ascii="Times New Roman" w:hAnsi="Times New Roman" w:cs="Times New Roman"/>
                <w:color w:val="auto"/>
                <w:highlight w:val="none"/>
              </w:rPr>
              <w:t>①优(</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分)：针对项目实际情况，有具体、完整、可行的施工技术措施，符合规范及设计要求，较好满足施工进度要求。</w:t>
            </w:r>
          </w:p>
          <w:p w14:paraId="7C3F8730">
            <w:pPr>
              <w:keepNext w:val="0"/>
              <w:keepLines w:val="0"/>
              <w:widowControl/>
              <w:suppressLineNumbers w:val="0"/>
              <w:spacing w:before="0" w:beforeAutospacing="0" w:after="0" w:afterAutospacing="0"/>
              <w:ind w:left="0" w:right="0" w:firstLine="420"/>
              <w:rPr>
                <w:rFonts w:hint="default" w:ascii="Times New Roman" w:hAnsi="Times New Roman" w:cs="Times New Roman"/>
                <w:color w:val="auto"/>
                <w:highlight w:val="none"/>
              </w:rPr>
            </w:pPr>
            <w:r>
              <w:rPr>
                <w:rFonts w:hint="eastAsia" w:ascii="Times New Roman" w:hAnsi="Times New Roman" w:cs="Times New Roman"/>
                <w:color w:val="auto"/>
                <w:highlight w:val="none"/>
              </w:rPr>
              <w:t>②良(</w:t>
            </w:r>
            <w:r>
              <w:rPr>
                <w:rFonts w:hint="eastAsia" w:ascii="Times New Roman" w:hAnsi="Times New Roman" w:cs="Times New Roman"/>
                <w:color w:val="auto"/>
                <w:highlight w:val="none"/>
                <w:lang w:val="en-US" w:eastAsia="zh-CN"/>
              </w:rPr>
              <w:t>0.8</w:t>
            </w:r>
            <w:r>
              <w:rPr>
                <w:rFonts w:hint="eastAsia" w:ascii="Times New Roman" w:hAnsi="Times New Roman" w:cs="Times New Roman"/>
                <w:color w:val="auto"/>
                <w:highlight w:val="none"/>
              </w:rPr>
              <w:t>分)：针对项目实际情况，有具体、完整、可行的施工技术措施，符合规范及设计要求，能够满足施工进度要求。</w:t>
            </w:r>
          </w:p>
          <w:p w14:paraId="6B585B0F">
            <w:pPr>
              <w:keepNext w:val="0"/>
              <w:keepLines w:val="0"/>
              <w:widowControl/>
              <w:suppressLineNumbers w:val="0"/>
              <w:spacing w:before="0" w:beforeAutospacing="0" w:after="0" w:afterAutospacing="0"/>
              <w:ind w:left="0" w:right="0" w:firstLine="420"/>
              <w:rPr>
                <w:rFonts w:hint="default" w:ascii="Times New Roman" w:hAnsi="Times New Roman" w:cs="Times New Roman"/>
                <w:color w:val="auto"/>
                <w:highlight w:val="none"/>
              </w:rPr>
            </w:pPr>
            <w:r>
              <w:rPr>
                <w:rFonts w:hint="eastAsia" w:ascii="Times New Roman" w:hAnsi="Times New Roman" w:cs="Times New Roman"/>
                <w:color w:val="auto"/>
                <w:highlight w:val="none"/>
              </w:rPr>
              <w:t>③一般(</w:t>
            </w:r>
            <w:r>
              <w:rPr>
                <w:rFonts w:hint="eastAsia" w:ascii="Times New Roman" w:hAnsi="Times New Roman" w:cs="Times New Roman"/>
                <w:color w:val="auto"/>
                <w:highlight w:val="none"/>
                <w:lang w:val="en-US" w:eastAsia="zh-CN"/>
              </w:rPr>
              <w:t>0</w:t>
            </w:r>
            <w:r>
              <w:rPr>
                <w:rFonts w:hint="eastAsia" w:cs="Times New Roman"/>
                <w:color w:val="auto"/>
                <w:highlight w:val="none"/>
                <w:lang w:val="en-US" w:eastAsia="zh-CN"/>
              </w:rPr>
              <w:t>.</w:t>
            </w:r>
            <w:r>
              <w:rPr>
                <w:rFonts w:hint="eastAsia" w:ascii="Times New Roman" w:hAnsi="Times New Roman" w:cs="Times New Roman"/>
                <w:color w:val="auto"/>
                <w:highlight w:val="none"/>
                <w:lang w:val="en-US" w:eastAsia="zh-CN"/>
              </w:rPr>
              <w:t>6</w:t>
            </w:r>
            <w:r>
              <w:rPr>
                <w:rFonts w:hint="eastAsia" w:ascii="Times New Roman" w:hAnsi="Times New Roman" w:cs="Times New Roman"/>
                <w:color w:val="auto"/>
                <w:highlight w:val="none"/>
              </w:rPr>
              <w:t>分)：针对项目实际情况，有具体、完整、可行的施工技术措施，符合规范及设计要求，基本满足施工要求。</w:t>
            </w:r>
          </w:p>
          <w:p w14:paraId="22D4DE66">
            <w:pPr>
              <w:pStyle w:val="6"/>
              <w:keepNext w:val="0"/>
              <w:keepLines w:val="0"/>
              <w:widowControl/>
              <w:suppressLineNumbers w:val="0"/>
              <w:spacing w:before="0" w:beforeAutospacing="0" w:after="0" w:afterAutospacing="0"/>
              <w:ind w:left="0" w:right="0" w:firstLine="420" w:firstLineChars="200"/>
              <w:rPr>
                <w:rFonts w:cs="Times New Roman"/>
                <w:color w:val="auto"/>
                <w:highlight w:val="none"/>
              </w:rPr>
            </w:pPr>
            <w:r>
              <w:rPr>
                <w:rFonts w:hint="eastAsia" w:ascii="宋体" w:hAnsi="宋体" w:cs="Times New Roman"/>
                <w:color w:val="auto"/>
                <w:szCs w:val="21"/>
                <w:highlight w:val="none"/>
              </w:rPr>
              <w:t>④</w:t>
            </w:r>
            <w:r>
              <w:rPr>
                <w:rFonts w:hint="eastAsia" w:hAnsi="宋体" w:cs="Times New Roman"/>
                <w:color w:val="auto"/>
                <w:szCs w:val="21"/>
                <w:highlight w:val="none"/>
                <w:lang w:val="en-US" w:eastAsia="zh-CN"/>
              </w:rPr>
              <w:t>无提供</w:t>
            </w:r>
            <w:r>
              <w:rPr>
                <w:rFonts w:hint="eastAsia" w:ascii="新宋体" w:hAnsi="新宋体" w:eastAsia="新宋体" w:cs="新宋体"/>
                <w:color w:val="auto"/>
                <w:szCs w:val="21"/>
                <w:highlight w:val="none"/>
                <w:lang w:bidi="ar"/>
              </w:rPr>
              <w:t>：</w:t>
            </w:r>
            <w:r>
              <w:rPr>
                <w:rFonts w:hint="eastAsia" w:ascii="新宋体" w:hAnsi="新宋体" w:eastAsia="新宋体" w:cs="新宋体"/>
                <w:color w:val="auto"/>
                <w:szCs w:val="21"/>
                <w:highlight w:val="none"/>
                <w:lang w:val="en-US" w:eastAsia="zh-CN" w:bidi="ar"/>
              </w:rPr>
              <w:t>得0分。</w:t>
            </w:r>
          </w:p>
        </w:tc>
      </w:tr>
      <w:tr w14:paraId="3760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31" w:type="dxa"/>
            <w:vMerge w:val="continue"/>
            <w:noWrap w:val="0"/>
            <w:vAlign w:val="center"/>
          </w:tcPr>
          <w:p w14:paraId="6D0F3892">
            <w:pPr>
              <w:keepNext w:val="0"/>
              <w:keepLines w:val="0"/>
              <w:widowControl/>
              <w:suppressLineNumbers w:val="0"/>
              <w:spacing w:before="0" w:beforeAutospacing="0" w:after="0" w:afterAutospacing="0"/>
              <w:ind w:left="0" w:right="0" w:firstLine="420"/>
              <w:jc w:val="center"/>
              <w:rPr>
                <w:rFonts w:hint="default" w:ascii="新宋体" w:hAnsi="新宋体" w:eastAsia="新宋体" w:cs="新宋体"/>
                <w:color w:val="auto"/>
                <w:szCs w:val="21"/>
                <w:highlight w:val="none"/>
              </w:rPr>
            </w:pPr>
          </w:p>
        </w:tc>
        <w:tc>
          <w:tcPr>
            <w:tcW w:w="1563" w:type="dxa"/>
            <w:vMerge w:val="continue"/>
            <w:noWrap w:val="0"/>
            <w:vAlign w:val="center"/>
          </w:tcPr>
          <w:p w14:paraId="53C2B7C6">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p>
        </w:tc>
        <w:tc>
          <w:tcPr>
            <w:tcW w:w="2409" w:type="dxa"/>
            <w:noWrap w:val="0"/>
            <w:vAlign w:val="center"/>
          </w:tcPr>
          <w:p w14:paraId="0BD4FC5B">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施工质量保证措施</w:t>
            </w:r>
          </w:p>
          <w:p w14:paraId="5F92EB9E">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lang w:bidi="ar"/>
              </w:rPr>
              <w:t>（满分</w:t>
            </w:r>
            <w:r>
              <w:rPr>
                <w:rFonts w:hint="eastAsia" w:ascii="新宋体" w:hAnsi="新宋体" w:eastAsia="新宋体" w:cs="新宋体"/>
                <w:color w:val="auto"/>
                <w:szCs w:val="21"/>
                <w:highlight w:val="none"/>
                <w:lang w:val="en-US" w:eastAsia="zh-CN" w:bidi="ar"/>
              </w:rPr>
              <w:t>1</w:t>
            </w:r>
            <w:r>
              <w:rPr>
                <w:rFonts w:hint="default" w:ascii="新宋体" w:hAnsi="新宋体" w:eastAsia="新宋体" w:cs="新宋体"/>
                <w:color w:val="auto"/>
                <w:szCs w:val="21"/>
                <w:highlight w:val="none"/>
                <w:lang w:bidi="ar"/>
              </w:rPr>
              <w:t>分）</w:t>
            </w:r>
          </w:p>
        </w:tc>
        <w:tc>
          <w:tcPr>
            <w:tcW w:w="3999" w:type="dxa"/>
            <w:noWrap w:val="0"/>
            <w:vAlign w:val="center"/>
          </w:tcPr>
          <w:p w14:paraId="3C552B88">
            <w:pPr>
              <w:keepNext w:val="0"/>
              <w:keepLines w:val="0"/>
              <w:widowControl/>
              <w:suppressLineNumbers w:val="0"/>
              <w:spacing w:before="0" w:beforeAutospacing="0" w:after="0" w:afterAutospacing="0"/>
              <w:ind w:left="0" w:right="0" w:firstLine="420"/>
              <w:rPr>
                <w:rFonts w:hint="default" w:ascii="Times New Roman" w:hAnsi="Times New Roman" w:cs="Times New Roman"/>
                <w:color w:val="auto"/>
                <w:highlight w:val="none"/>
              </w:rPr>
            </w:pPr>
            <w:r>
              <w:rPr>
                <w:rFonts w:hint="eastAsia" w:ascii="Times New Roman" w:hAnsi="Times New Roman" w:cs="Times New Roman"/>
                <w:color w:val="auto"/>
                <w:highlight w:val="none"/>
              </w:rPr>
              <w:t>①优(</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分)：针对项目实际提出实际、可行、具体的保证措施，较好满足招标文件的质量要求及施工验收规范要求。</w:t>
            </w:r>
          </w:p>
          <w:p w14:paraId="280ABF57">
            <w:pPr>
              <w:keepNext w:val="0"/>
              <w:keepLines w:val="0"/>
              <w:widowControl/>
              <w:suppressLineNumbers w:val="0"/>
              <w:spacing w:before="0" w:beforeAutospacing="0" w:after="0" w:afterAutospacing="0"/>
              <w:ind w:left="0" w:right="0" w:firstLine="420"/>
              <w:rPr>
                <w:rFonts w:hint="default" w:ascii="Times New Roman" w:hAnsi="Times New Roman" w:cs="Times New Roman"/>
                <w:color w:val="auto"/>
                <w:highlight w:val="none"/>
              </w:rPr>
            </w:pPr>
            <w:r>
              <w:rPr>
                <w:rFonts w:hint="eastAsia" w:ascii="Times New Roman" w:hAnsi="Times New Roman" w:cs="Times New Roman"/>
                <w:color w:val="auto"/>
                <w:highlight w:val="none"/>
              </w:rPr>
              <w:t>②良(</w:t>
            </w:r>
            <w:r>
              <w:rPr>
                <w:rFonts w:hint="eastAsia" w:ascii="Times New Roman" w:hAnsi="Times New Roman" w:cs="Times New Roman"/>
                <w:color w:val="auto"/>
                <w:highlight w:val="none"/>
                <w:lang w:val="en-US" w:eastAsia="zh-CN"/>
              </w:rPr>
              <w:t>0.8</w:t>
            </w:r>
            <w:r>
              <w:rPr>
                <w:rFonts w:hint="eastAsia" w:ascii="Times New Roman" w:hAnsi="Times New Roman" w:cs="Times New Roman"/>
                <w:color w:val="auto"/>
                <w:highlight w:val="none"/>
              </w:rPr>
              <w:t>分)：针对项目实际提出实际、可行、具体的保证措施，能够满足招标文件的质量要求及施工验收规范要求。</w:t>
            </w:r>
          </w:p>
          <w:p w14:paraId="1187935A">
            <w:pPr>
              <w:keepNext w:val="0"/>
              <w:keepLines w:val="0"/>
              <w:widowControl/>
              <w:suppressLineNumbers w:val="0"/>
              <w:spacing w:before="0" w:beforeAutospacing="0" w:after="0" w:afterAutospacing="0"/>
              <w:ind w:left="0" w:right="0" w:firstLine="420"/>
              <w:rPr>
                <w:rFonts w:hint="default" w:ascii="Times New Roman" w:hAnsi="Times New Roman" w:cs="Times New Roman"/>
                <w:color w:val="auto"/>
                <w:highlight w:val="none"/>
              </w:rPr>
            </w:pPr>
            <w:r>
              <w:rPr>
                <w:rFonts w:hint="eastAsia" w:ascii="Times New Roman" w:hAnsi="Times New Roman" w:cs="Times New Roman"/>
                <w:color w:val="auto"/>
                <w:highlight w:val="none"/>
              </w:rPr>
              <w:t>③一般(</w:t>
            </w:r>
            <w:r>
              <w:rPr>
                <w:rFonts w:hint="eastAsia" w:ascii="Times New Roman" w:hAnsi="Times New Roman" w:cs="Times New Roman"/>
                <w:color w:val="auto"/>
                <w:highlight w:val="none"/>
                <w:lang w:val="en-US" w:eastAsia="zh-CN"/>
              </w:rPr>
              <w:t>0.6</w:t>
            </w:r>
            <w:r>
              <w:rPr>
                <w:rFonts w:hint="eastAsia" w:ascii="Times New Roman" w:hAnsi="Times New Roman" w:cs="Times New Roman"/>
                <w:color w:val="auto"/>
                <w:highlight w:val="none"/>
              </w:rPr>
              <w:t>分)：针对项目实际提出实际、可行、具体的保证措施，基本满足招标文件的质量要求及施工验收规范要求。</w:t>
            </w:r>
          </w:p>
          <w:p w14:paraId="04FAB208">
            <w:pPr>
              <w:pStyle w:val="6"/>
              <w:keepNext w:val="0"/>
              <w:keepLines w:val="0"/>
              <w:widowControl/>
              <w:suppressLineNumbers w:val="0"/>
              <w:spacing w:before="0" w:beforeAutospacing="0" w:after="0" w:afterAutospacing="0"/>
              <w:ind w:left="0" w:right="0" w:firstLine="420" w:firstLineChars="200"/>
              <w:rPr>
                <w:rFonts w:cs="Times New Roman"/>
                <w:color w:val="auto"/>
                <w:highlight w:val="none"/>
              </w:rPr>
            </w:pPr>
            <w:r>
              <w:rPr>
                <w:rFonts w:hint="eastAsia" w:ascii="宋体" w:hAnsi="宋体" w:cs="Times New Roman"/>
                <w:color w:val="auto"/>
                <w:szCs w:val="21"/>
                <w:highlight w:val="none"/>
              </w:rPr>
              <w:t>④</w:t>
            </w:r>
            <w:r>
              <w:rPr>
                <w:rFonts w:hint="eastAsia" w:hAnsi="宋体" w:cs="Times New Roman"/>
                <w:color w:val="auto"/>
                <w:szCs w:val="21"/>
                <w:highlight w:val="none"/>
                <w:lang w:val="en-US" w:eastAsia="zh-CN"/>
              </w:rPr>
              <w:t>无提供</w:t>
            </w:r>
            <w:r>
              <w:rPr>
                <w:rFonts w:hint="eastAsia" w:ascii="新宋体" w:hAnsi="新宋体" w:eastAsia="新宋体" w:cs="新宋体"/>
                <w:color w:val="auto"/>
                <w:szCs w:val="21"/>
                <w:highlight w:val="none"/>
                <w:lang w:bidi="ar"/>
              </w:rPr>
              <w:t>：</w:t>
            </w:r>
            <w:r>
              <w:rPr>
                <w:rFonts w:hint="eastAsia" w:ascii="新宋体" w:hAnsi="新宋体" w:eastAsia="新宋体" w:cs="新宋体"/>
                <w:color w:val="auto"/>
                <w:szCs w:val="21"/>
                <w:highlight w:val="none"/>
                <w:lang w:val="en-US" w:eastAsia="zh-CN" w:bidi="ar"/>
              </w:rPr>
              <w:t>得0分。</w:t>
            </w:r>
          </w:p>
        </w:tc>
      </w:tr>
      <w:tr w14:paraId="22CA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trPr>
        <w:tc>
          <w:tcPr>
            <w:tcW w:w="1131" w:type="dxa"/>
            <w:vMerge w:val="continue"/>
            <w:noWrap w:val="0"/>
            <w:vAlign w:val="center"/>
          </w:tcPr>
          <w:p w14:paraId="3169FCC2">
            <w:pPr>
              <w:keepNext w:val="0"/>
              <w:keepLines w:val="0"/>
              <w:widowControl/>
              <w:suppressLineNumbers w:val="0"/>
              <w:spacing w:before="0" w:beforeAutospacing="0" w:after="0" w:afterAutospacing="0"/>
              <w:ind w:left="0" w:right="0" w:firstLine="420"/>
              <w:jc w:val="center"/>
              <w:rPr>
                <w:rFonts w:hint="default" w:ascii="新宋体" w:hAnsi="新宋体" w:eastAsia="新宋体" w:cs="新宋体"/>
                <w:color w:val="auto"/>
                <w:szCs w:val="21"/>
                <w:highlight w:val="none"/>
              </w:rPr>
            </w:pPr>
          </w:p>
        </w:tc>
        <w:tc>
          <w:tcPr>
            <w:tcW w:w="1563" w:type="dxa"/>
            <w:vMerge w:val="continue"/>
            <w:noWrap w:val="0"/>
            <w:vAlign w:val="center"/>
          </w:tcPr>
          <w:p w14:paraId="26D37B0C">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p>
        </w:tc>
        <w:tc>
          <w:tcPr>
            <w:tcW w:w="2409" w:type="dxa"/>
            <w:noWrap w:val="0"/>
            <w:vAlign w:val="center"/>
          </w:tcPr>
          <w:p w14:paraId="0504595D">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施工安全保障措施</w:t>
            </w:r>
          </w:p>
          <w:p w14:paraId="2353E64A">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lang w:bidi="ar"/>
              </w:rPr>
              <w:t>（满分</w:t>
            </w:r>
            <w:r>
              <w:rPr>
                <w:rFonts w:hint="eastAsia" w:ascii="新宋体" w:hAnsi="新宋体" w:eastAsia="新宋体" w:cs="新宋体"/>
                <w:color w:val="auto"/>
                <w:szCs w:val="21"/>
                <w:highlight w:val="none"/>
                <w:lang w:val="en-US" w:eastAsia="zh-CN" w:bidi="ar"/>
              </w:rPr>
              <w:t>1</w:t>
            </w:r>
            <w:r>
              <w:rPr>
                <w:rFonts w:hint="default" w:ascii="新宋体" w:hAnsi="新宋体" w:eastAsia="新宋体" w:cs="新宋体"/>
                <w:color w:val="auto"/>
                <w:szCs w:val="21"/>
                <w:highlight w:val="none"/>
                <w:lang w:bidi="ar"/>
              </w:rPr>
              <w:t>分）</w:t>
            </w:r>
          </w:p>
        </w:tc>
        <w:tc>
          <w:tcPr>
            <w:tcW w:w="3999" w:type="dxa"/>
            <w:noWrap w:val="0"/>
            <w:vAlign w:val="center"/>
          </w:tcPr>
          <w:p w14:paraId="42AC2336">
            <w:pPr>
              <w:keepNext w:val="0"/>
              <w:keepLines w:val="0"/>
              <w:widowControl/>
              <w:suppressLineNumbers w:val="0"/>
              <w:spacing w:before="0" w:beforeAutospacing="0" w:after="0" w:afterAutospacing="0"/>
              <w:ind w:left="0" w:right="0" w:firstLine="420"/>
              <w:rPr>
                <w:rFonts w:hint="default" w:ascii="Times New Roman" w:hAnsi="Times New Roman" w:cs="Times New Roman"/>
                <w:color w:val="auto"/>
                <w:highlight w:val="none"/>
              </w:rPr>
            </w:pPr>
            <w:r>
              <w:rPr>
                <w:rFonts w:hint="eastAsia" w:ascii="Times New Roman" w:hAnsi="Times New Roman" w:cs="Times New Roman"/>
                <w:color w:val="auto"/>
                <w:highlight w:val="none"/>
              </w:rPr>
              <w:t>①优(</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分)：有科学完整的安全生产策划，有具体有效的安全施工方案，符合相关法律或规范，较好地满足施工要求。</w:t>
            </w:r>
          </w:p>
          <w:p w14:paraId="0EDDF63B">
            <w:pPr>
              <w:keepNext w:val="0"/>
              <w:keepLines w:val="0"/>
              <w:widowControl/>
              <w:suppressLineNumbers w:val="0"/>
              <w:spacing w:before="0" w:beforeAutospacing="0" w:after="0" w:afterAutospacing="0"/>
              <w:ind w:left="0" w:right="0" w:firstLine="420"/>
              <w:rPr>
                <w:rFonts w:hint="default" w:ascii="Times New Roman" w:hAnsi="Times New Roman" w:cs="Times New Roman"/>
                <w:color w:val="auto"/>
                <w:highlight w:val="none"/>
              </w:rPr>
            </w:pPr>
            <w:r>
              <w:rPr>
                <w:rFonts w:hint="eastAsia" w:ascii="Times New Roman" w:hAnsi="Times New Roman" w:cs="Times New Roman"/>
                <w:color w:val="auto"/>
                <w:highlight w:val="none"/>
              </w:rPr>
              <w:t>②良(</w:t>
            </w:r>
            <w:r>
              <w:rPr>
                <w:rFonts w:hint="eastAsia" w:ascii="Times New Roman" w:hAnsi="Times New Roman" w:cs="Times New Roman"/>
                <w:color w:val="auto"/>
                <w:highlight w:val="none"/>
                <w:lang w:val="en-US" w:eastAsia="zh-CN"/>
              </w:rPr>
              <w:t>0.8</w:t>
            </w:r>
            <w:r>
              <w:rPr>
                <w:rFonts w:hint="eastAsia" w:ascii="Times New Roman" w:hAnsi="Times New Roman" w:cs="Times New Roman"/>
                <w:color w:val="auto"/>
                <w:highlight w:val="none"/>
              </w:rPr>
              <w:t>分)：有科学完整的安全生产策划，有具体有效的安全施工方案，符合相关法律或规范，能够满足施工要求。</w:t>
            </w:r>
          </w:p>
          <w:p w14:paraId="73C2FD3A">
            <w:pPr>
              <w:keepNext w:val="0"/>
              <w:keepLines w:val="0"/>
              <w:widowControl/>
              <w:suppressLineNumbers w:val="0"/>
              <w:spacing w:before="0" w:beforeAutospacing="0" w:after="0" w:afterAutospacing="0"/>
              <w:ind w:left="0" w:right="0" w:firstLine="420"/>
              <w:rPr>
                <w:rFonts w:hint="eastAsia" w:ascii="Times New Roman" w:hAnsi="Times New Roman" w:cs="Times New Roman"/>
                <w:color w:val="auto"/>
                <w:highlight w:val="none"/>
              </w:rPr>
            </w:pPr>
            <w:r>
              <w:rPr>
                <w:rFonts w:hint="eastAsia" w:ascii="Times New Roman" w:hAnsi="Times New Roman" w:cs="Times New Roman"/>
                <w:color w:val="auto"/>
                <w:highlight w:val="none"/>
              </w:rPr>
              <w:t>③一般(</w:t>
            </w:r>
            <w:r>
              <w:rPr>
                <w:rFonts w:hint="eastAsia" w:ascii="Times New Roman" w:hAnsi="Times New Roman" w:cs="Times New Roman"/>
                <w:color w:val="auto"/>
                <w:highlight w:val="none"/>
                <w:lang w:val="en-US" w:eastAsia="zh-CN"/>
              </w:rPr>
              <w:t>0.6</w:t>
            </w:r>
            <w:r>
              <w:rPr>
                <w:rFonts w:hint="eastAsia" w:ascii="Times New Roman" w:hAnsi="Times New Roman" w:cs="Times New Roman"/>
                <w:color w:val="auto"/>
                <w:highlight w:val="none"/>
              </w:rPr>
              <w:t>分)：有完整的安全生产策划，有具体的安全施工方案，符合相关法律或规范，基本满足施工要求。</w:t>
            </w:r>
          </w:p>
          <w:p w14:paraId="58646A68">
            <w:pPr>
              <w:pStyle w:val="6"/>
              <w:keepNext w:val="0"/>
              <w:keepLines w:val="0"/>
              <w:widowControl/>
              <w:suppressLineNumbers w:val="0"/>
              <w:spacing w:before="0" w:beforeAutospacing="0" w:after="0" w:afterAutospacing="0"/>
              <w:ind w:left="0" w:right="0" w:firstLine="420" w:firstLineChars="200"/>
              <w:rPr>
                <w:rFonts w:cs="Times New Roman"/>
                <w:color w:val="auto"/>
                <w:highlight w:val="none"/>
              </w:rPr>
            </w:pPr>
            <w:r>
              <w:rPr>
                <w:rFonts w:hint="eastAsia" w:ascii="宋体" w:hAnsi="宋体" w:cs="Times New Roman"/>
                <w:color w:val="auto"/>
                <w:szCs w:val="21"/>
                <w:highlight w:val="none"/>
              </w:rPr>
              <w:t>④</w:t>
            </w:r>
            <w:r>
              <w:rPr>
                <w:rFonts w:hint="eastAsia" w:hAnsi="宋体" w:cs="Times New Roman"/>
                <w:color w:val="auto"/>
                <w:szCs w:val="21"/>
                <w:highlight w:val="none"/>
                <w:lang w:val="en-US" w:eastAsia="zh-CN"/>
              </w:rPr>
              <w:t>无提供</w:t>
            </w:r>
            <w:r>
              <w:rPr>
                <w:rFonts w:hint="eastAsia" w:ascii="新宋体" w:hAnsi="新宋体" w:eastAsia="新宋体" w:cs="新宋体"/>
                <w:color w:val="auto"/>
                <w:szCs w:val="21"/>
                <w:highlight w:val="none"/>
                <w:lang w:bidi="ar"/>
              </w:rPr>
              <w:t>：</w:t>
            </w:r>
            <w:r>
              <w:rPr>
                <w:rFonts w:hint="eastAsia" w:ascii="新宋体" w:hAnsi="新宋体" w:eastAsia="新宋体" w:cs="新宋体"/>
                <w:color w:val="auto"/>
                <w:szCs w:val="21"/>
                <w:highlight w:val="none"/>
                <w:lang w:val="en-US" w:eastAsia="zh-CN" w:bidi="ar"/>
              </w:rPr>
              <w:t>得0分。</w:t>
            </w:r>
          </w:p>
        </w:tc>
      </w:tr>
      <w:tr w14:paraId="54F54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31" w:type="dxa"/>
            <w:vMerge w:val="continue"/>
            <w:noWrap w:val="0"/>
            <w:vAlign w:val="center"/>
          </w:tcPr>
          <w:p w14:paraId="03C19FD9">
            <w:pPr>
              <w:keepNext w:val="0"/>
              <w:keepLines w:val="0"/>
              <w:widowControl/>
              <w:suppressLineNumbers w:val="0"/>
              <w:spacing w:before="0" w:beforeAutospacing="0" w:after="0" w:afterAutospacing="0"/>
              <w:ind w:left="0" w:right="0" w:firstLine="420"/>
              <w:jc w:val="center"/>
              <w:rPr>
                <w:rFonts w:hint="default" w:ascii="新宋体" w:hAnsi="新宋体" w:eastAsia="新宋体" w:cs="新宋体"/>
                <w:color w:val="auto"/>
                <w:szCs w:val="21"/>
                <w:highlight w:val="none"/>
              </w:rPr>
            </w:pPr>
          </w:p>
        </w:tc>
        <w:tc>
          <w:tcPr>
            <w:tcW w:w="1563" w:type="dxa"/>
            <w:vMerge w:val="continue"/>
            <w:noWrap w:val="0"/>
            <w:vAlign w:val="center"/>
          </w:tcPr>
          <w:p w14:paraId="15B07445">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p>
        </w:tc>
        <w:tc>
          <w:tcPr>
            <w:tcW w:w="2409" w:type="dxa"/>
            <w:noWrap w:val="0"/>
            <w:vAlign w:val="center"/>
          </w:tcPr>
          <w:p w14:paraId="7E38DED0">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文明施工与环境保护措施</w:t>
            </w:r>
            <w:r>
              <w:rPr>
                <w:rFonts w:hint="default" w:ascii="新宋体" w:hAnsi="新宋体" w:eastAsia="新宋体" w:cs="新宋体"/>
                <w:color w:val="auto"/>
                <w:szCs w:val="21"/>
                <w:highlight w:val="none"/>
                <w:lang w:bidi="ar"/>
              </w:rPr>
              <w:t>（满分</w:t>
            </w:r>
            <w:r>
              <w:rPr>
                <w:rFonts w:hint="eastAsia" w:ascii="新宋体" w:hAnsi="新宋体" w:eastAsia="新宋体" w:cs="新宋体"/>
                <w:color w:val="auto"/>
                <w:szCs w:val="21"/>
                <w:highlight w:val="none"/>
                <w:lang w:val="en-US" w:eastAsia="zh-CN" w:bidi="ar"/>
              </w:rPr>
              <w:t>1</w:t>
            </w:r>
            <w:r>
              <w:rPr>
                <w:rFonts w:hint="default" w:ascii="新宋体" w:hAnsi="新宋体" w:eastAsia="新宋体" w:cs="新宋体"/>
                <w:color w:val="auto"/>
                <w:szCs w:val="21"/>
                <w:highlight w:val="none"/>
                <w:lang w:bidi="ar"/>
              </w:rPr>
              <w:t>分）</w:t>
            </w:r>
          </w:p>
        </w:tc>
        <w:tc>
          <w:tcPr>
            <w:tcW w:w="3999" w:type="dxa"/>
            <w:noWrap w:val="0"/>
            <w:vAlign w:val="center"/>
          </w:tcPr>
          <w:p w14:paraId="11BEF7D6">
            <w:pPr>
              <w:keepNext w:val="0"/>
              <w:keepLines w:val="0"/>
              <w:widowControl/>
              <w:suppressLineNumbers w:val="0"/>
              <w:spacing w:before="0" w:beforeAutospacing="0" w:after="0" w:afterAutospacing="0"/>
              <w:ind w:left="0" w:right="0" w:firstLine="420"/>
              <w:rPr>
                <w:rFonts w:hint="default" w:ascii="Times New Roman" w:hAnsi="Times New Roman" w:cs="Times New Roman"/>
                <w:color w:val="auto"/>
                <w:highlight w:val="none"/>
              </w:rPr>
            </w:pPr>
            <w:r>
              <w:rPr>
                <w:rFonts w:hint="eastAsia" w:ascii="Times New Roman" w:hAnsi="Times New Roman" w:cs="Times New Roman"/>
                <w:color w:val="auto"/>
                <w:highlight w:val="none"/>
              </w:rPr>
              <w:t>①优(</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分)：针对项目实际情况，有先进、具体、完整、可行的实施措施，采用规范正确、清晰。</w:t>
            </w:r>
          </w:p>
          <w:p w14:paraId="35ABF96F">
            <w:pPr>
              <w:keepNext w:val="0"/>
              <w:keepLines w:val="0"/>
              <w:widowControl/>
              <w:suppressLineNumbers w:val="0"/>
              <w:spacing w:before="0" w:beforeAutospacing="0" w:after="0" w:afterAutospacing="0"/>
              <w:ind w:left="0" w:right="0" w:firstLine="420"/>
              <w:rPr>
                <w:rFonts w:hint="default" w:ascii="Times New Roman" w:hAnsi="Times New Roman" w:cs="Times New Roman"/>
                <w:color w:val="auto"/>
                <w:highlight w:val="none"/>
              </w:rPr>
            </w:pPr>
            <w:r>
              <w:rPr>
                <w:rFonts w:hint="eastAsia" w:ascii="Times New Roman" w:hAnsi="Times New Roman" w:cs="Times New Roman"/>
                <w:color w:val="auto"/>
                <w:highlight w:val="none"/>
              </w:rPr>
              <w:t>②良(</w:t>
            </w:r>
            <w:r>
              <w:rPr>
                <w:rFonts w:hint="eastAsia" w:ascii="Times New Roman" w:hAnsi="Times New Roman" w:cs="Times New Roman"/>
                <w:color w:val="auto"/>
                <w:highlight w:val="none"/>
                <w:lang w:val="en-US" w:eastAsia="zh-CN"/>
              </w:rPr>
              <w:t>0.8</w:t>
            </w:r>
            <w:r>
              <w:rPr>
                <w:rFonts w:hint="eastAsia" w:ascii="Times New Roman" w:hAnsi="Times New Roman" w:cs="Times New Roman"/>
                <w:color w:val="auto"/>
                <w:highlight w:val="none"/>
              </w:rPr>
              <w:t>分)：针对项目实际情况，有合理的措施且具体、完整，采用规范正确。</w:t>
            </w:r>
          </w:p>
          <w:p w14:paraId="3DF1FEF7">
            <w:pPr>
              <w:keepNext w:val="0"/>
              <w:keepLines w:val="0"/>
              <w:widowControl/>
              <w:suppressLineNumbers w:val="0"/>
              <w:spacing w:before="0" w:beforeAutospacing="0" w:after="0" w:afterAutospacing="0"/>
              <w:ind w:left="0" w:right="0" w:firstLine="420"/>
              <w:rPr>
                <w:rFonts w:hint="eastAsia" w:ascii="Times New Roman" w:hAnsi="Times New Roman" w:cs="Times New Roman"/>
                <w:color w:val="auto"/>
                <w:highlight w:val="none"/>
              </w:rPr>
            </w:pPr>
            <w:r>
              <w:rPr>
                <w:rFonts w:hint="eastAsia" w:ascii="Times New Roman" w:hAnsi="Times New Roman" w:cs="Times New Roman"/>
                <w:color w:val="auto"/>
                <w:highlight w:val="none"/>
              </w:rPr>
              <w:t>③一般(</w:t>
            </w:r>
            <w:r>
              <w:rPr>
                <w:rFonts w:hint="eastAsia" w:ascii="Times New Roman" w:hAnsi="Times New Roman" w:cs="Times New Roman"/>
                <w:color w:val="auto"/>
                <w:highlight w:val="none"/>
                <w:lang w:val="en-US" w:eastAsia="zh-CN"/>
              </w:rPr>
              <w:t>0.6</w:t>
            </w:r>
            <w:r>
              <w:rPr>
                <w:rFonts w:hint="eastAsia" w:ascii="Times New Roman" w:hAnsi="Times New Roman" w:cs="Times New Roman"/>
                <w:color w:val="auto"/>
                <w:highlight w:val="none"/>
              </w:rPr>
              <w:t>分)：有基本合理的措施，采用规范正确。</w:t>
            </w:r>
          </w:p>
          <w:p w14:paraId="0F92E3E1">
            <w:pPr>
              <w:pStyle w:val="6"/>
              <w:keepNext w:val="0"/>
              <w:keepLines w:val="0"/>
              <w:widowControl/>
              <w:suppressLineNumbers w:val="0"/>
              <w:spacing w:before="0" w:beforeAutospacing="0" w:after="0" w:afterAutospacing="0"/>
              <w:ind w:left="0" w:right="0" w:firstLine="420" w:firstLineChars="200"/>
              <w:rPr>
                <w:rFonts w:cs="Times New Roman"/>
                <w:color w:val="auto"/>
                <w:highlight w:val="none"/>
              </w:rPr>
            </w:pPr>
            <w:r>
              <w:rPr>
                <w:rFonts w:hint="eastAsia" w:ascii="宋体" w:hAnsi="宋体" w:cs="Times New Roman"/>
                <w:color w:val="auto"/>
                <w:szCs w:val="21"/>
                <w:highlight w:val="none"/>
              </w:rPr>
              <w:t>④</w:t>
            </w:r>
            <w:r>
              <w:rPr>
                <w:rFonts w:hint="eastAsia" w:hAnsi="宋体" w:cs="Times New Roman"/>
                <w:color w:val="auto"/>
                <w:szCs w:val="21"/>
                <w:highlight w:val="none"/>
                <w:lang w:val="en-US" w:eastAsia="zh-CN"/>
              </w:rPr>
              <w:t>无提供</w:t>
            </w:r>
            <w:r>
              <w:rPr>
                <w:rFonts w:hint="eastAsia" w:ascii="新宋体" w:hAnsi="新宋体" w:eastAsia="新宋体" w:cs="新宋体"/>
                <w:color w:val="auto"/>
                <w:szCs w:val="21"/>
                <w:highlight w:val="none"/>
                <w:lang w:bidi="ar"/>
              </w:rPr>
              <w:t>：</w:t>
            </w:r>
            <w:r>
              <w:rPr>
                <w:rFonts w:hint="eastAsia" w:ascii="新宋体" w:hAnsi="新宋体" w:eastAsia="新宋体" w:cs="新宋体"/>
                <w:color w:val="auto"/>
                <w:szCs w:val="21"/>
                <w:highlight w:val="none"/>
                <w:lang w:val="en-US" w:eastAsia="zh-CN" w:bidi="ar"/>
              </w:rPr>
              <w:t>得0分。</w:t>
            </w:r>
          </w:p>
        </w:tc>
      </w:tr>
      <w:tr w14:paraId="0C30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3" w:hRule="atLeast"/>
        </w:trPr>
        <w:tc>
          <w:tcPr>
            <w:tcW w:w="1131" w:type="dxa"/>
            <w:vMerge w:val="restart"/>
            <w:noWrap w:val="0"/>
            <w:vAlign w:val="center"/>
          </w:tcPr>
          <w:p w14:paraId="426E5200">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2.2.4(2)</w:t>
            </w:r>
          </w:p>
        </w:tc>
        <w:tc>
          <w:tcPr>
            <w:tcW w:w="1563" w:type="dxa"/>
            <w:vMerge w:val="restart"/>
            <w:noWrap w:val="0"/>
            <w:vAlign w:val="center"/>
          </w:tcPr>
          <w:p w14:paraId="7B9D7086">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项目管理机构</w:t>
            </w:r>
            <w:r>
              <w:rPr>
                <w:rFonts w:hint="default" w:ascii="新宋体" w:hAnsi="新宋体" w:eastAsia="新宋体" w:cs="新宋体"/>
                <w:color w:val="auto"/>
                <w:szCs w:val="21"/>
                <w:highlight w:val="none"/>
              </w:rPr>
              <w:t>（</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u w:val="single"/>
                <w:lang w:val="en-US" w:eastAsia="zh-CN"/>
              </w:rPr>
              <w:t>4</w:t>
            </w:r>
            <w:r>
              <w:rPr>
                <w:rFonts w:hint="eastAsia" w:ascii="新宋体" w:hAnsi="新宋体" w:eastAsia="新宋体" w:cs="新宋体"/>
                <w:color w:val="auto"/>
                <w:szCs w:val="21"/>
                <w:highlight w:val="none"/>
                <w:u w:val="single"/>
              </w:rPr>
              <w:t xml:space="preserve"> </w:t>
            </w:r>
            <w:r>
              <w:rPr>
                <w:rFonts w:hint="default" w:ascii="新宋体" w:hAnsi="新宋体" w:eastAsia="新宋体" w:cs="新宋体"/>
                <w:color w:val="auto"/>
                <w:szCs w:val="21"/>
                <w:highlight w:val="none"/>
              </w:rPr>
              <w:t>分）</w:t>
            </w:r>
          </w:p>
        </w:tc>
        <w:tc>
          <w:tcPr>
            <w:tcW w:w="2409" w:type="dxa"/>
            <w:noWrap w:val="0"/>
            <w:vAlign w:val="center"/>
          </w:tcPr>
          <w:p w14:paraId="6009D022">
            <w:pPr>
              <w:keepNext w:val="0"/>
              <w:keepLines w:val="0"/>
              <w:widowControl/>
              <w:suppressLineNumbers w:val="0"/>
              <w:spacing w:before="0" w:beforeAutospacing="0" w:after="0" w:afterAutospacing="0" w:line="240" w:lineRule="auto"/>
              <w:ind w:left="0" w:right="0"/>
              <w:jc w:val="center"/>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lang w:eastAsia="zh-CN"/>
              </w:rPr>
              <w:t>项目负责人资评</w:t>
            </w:r>
          </w:p>
          <w:p w14:paraId="3FC13C23">
            <w:pPr>
              <w:keepNext w:val="0"/>
              <w:keepLines w:val="0"/>
              <w:widowControl/>
              <w:suppressLineNumbers w:val="0"/>
              <w:spacing w:before="0" w:beforeAutospacing="0" w:after="0" w:afterAutospacing="0" w:line="240" w:lineRule="auto"/>
              <w:ind w:left="0" w:right="0"/>
              <w:jc w:val="center"/>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u w:val="single"/>
                <w:lang w:val="en-US" w:eastAsia="zh-CN"/>
              </w:rPr>
              <w:t>1</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分）</w:t>
            </w:r>
          </w:p>
        </w:tc>
        <w:tc>
          <w:tcPr>
            <w:tcW w:w="3999" w:type="dxa"/>
            <w:noWrap w:val="0"/>
            <w:vAlign w:val="center"/>
          </w:tcPr>
          <w:p w14:paraId="554AC77F">
            <w:pPr>
              <w:keepNext w:val="0"/>
              <w:keepLines w:val="0"/>
              <w:widowControl/>
              <w:numPr>
                <w:ilvl w:val="0"/>
                <w:numId w:val="2"/>
              </w:numPr>
              <w:suppressLineNumbers w:val="0"/>
              <w:spacing w:before="100" w:beforeAutospacing="1" w:after="100" w:afterAutospacing="1" w:line="240" w:lineRule="auto"/>
              <w:ind w:left="0" w:right="0" w:firstLine="480"/>
              <w:jc w:val="both"/>
              <w:rPr>
                <w:rFonts w:hint="eastAsia" w:ascii="Times New Roman" w:hAnsi="Times New Roman" w:cs="Times New Roman"/>
                <w:color w:val="auto"/>
                <w:highlight w:val="none"/>
              </w:rPr>
            </w:pPr>
            <w:r>
              <w:rPr>
                <w:rFonts w:hint="eastAsia" w:ascii="Times New Roman" w:hAnsi="Times New Roman" w:cs="Times New Roman"/>
                <w:color w:val="auto"/>
                <w:highlight w:val="none"/>
              </w:rPr>
              <w:t>拟派项目负责人（</w:t>
            </w:r>
            <w:r>
              <w:rPr>
                <w:rFonts w:hint="eastAsia" w:cs="Times New Roman"/>
                <w:color w:val="auto"/>
                <w:highlight w:val="none"/>
                <w:lang w:eastAsia="zh-CN"/>
              </w:rPr>
              <w:t>项目负责人</w:t>
            </w:r>
            <w:r>
              <w:rPr>
                <w:rFonts w:hint="eastAsia" w:ascii="Times New Roman" w:hAnsi="Times New Roman" w:cs="Times New Roman"/>
                <w:color w:val="auto"/>
                <w:highlight w:val="none"/>
              </w:rPr>
              <w:t>）具有高级或以上职称的得</w:t>
            </w:r>
            <w:r>
              <w:rPr>
                <w:rFonts w:hint="eastAsia" w:ascii="Times New Roman" w:hAnsi="Times New Roman" w:cs="Times New Roman"/>
                <w:color w:val="auto"/>
                <w:highlight w:val="none"/>
                <w:lang w:val="en-US" w:eastAsia="zh-CN"/>
              </w:rPr>
              <w:t>0.5</w:t>
            </w:r>
            <w:r>
              <w:rPr>
                <w:rFonts w:hint="eastAsia" w:ascii="Times New Roman" w:hAnsi="Times New Roman" w:cs="Times New Roman"/>
                <w:color w:val="auto"/>
                <w:highlight w:val="none"/>
              </w:rPr>
              <w:t>分；具有中级职称的得</w:t>
            </w:r>
            <w:r>
              <w:rPr>
                <w:rFonts w:hint="eastAsia" w:ascii="Times New Roman" w:hAnsi="Times New Roman" w:cs="Times New Roman"/>
                <w:color w:val="auto"/>
                <w:highlight w:val="none"/>
                <w:lang w:val="en-US" w:eastAsia="zh-CN"/>
              </w:rPr>
              <w:t>0.2</w:t>
            </w:r>
            <w:r>
              <w:rPr>
                <w:rFonts w:hint="eastAsia" w:ascii="Times New Roman" w:hAnsi="Times New Roman" w:cs="Times New Roman"/>
                <w:color w:val="auto"/>
                <w:highlight w:val="none"/>
              </w:rPr>
              <w:t>分；</w:t>
            </w:r>
            <w:r>
              <w:rPr>
                <w:rFonts w:hint="eastAsia" w:ascii="Times New Roman" w:hAnsi="Times New Roman" w:cs="Times New Roman"/>
                <w:color w:val="auto"/>
                <w:highlight w:val="none"/>
                <w:lang w:eastAsia="zh-CN"/>
              </w:rPr>
              <w:t>无或不提供</w:t>
            </w:r>
            <w:r>
              <w:rPr>
                <w:rFonts w:hint="eastAsia" w:ascii="Times New Roman" w:hAnsi="Times New Roman" w:cs="Times New Roman"/>
                <w:color w:val="auto"/>
                <w:highlight w:val="none"/>
              </w:rPr>
              <w:t>，得0分。</w:t>
            </w:r>
          </w:p>
          <w:p w14:paraId="09E2FA60">
            <w:pPr>
              <w:keepNext w:val="0"/>
              <w:keepLines w:val="0"/>
              <w:widowControl/>
              <w:numPr>
                <w:ilvl w:val="0"/>
                <w:numId w:val="2"/>
              </w:numPr>
              <w:suppressLineNumbers w:val="0"/>
              <w:spacing w:before="100" w:beforeAutospacing="1" w:after="100" w:afterAutospacing="1" w:line="240" w:lineRule="auto"/>
              <w:ind w:left="0" w:right="0" w:firstLine="480"/>
              <w:jc w:val="both"/>
              <w:rPr>
                <w:rFonts w:hint="default" w:ascii="Times New Roman" w:hAnsi="Times New Roman" w:cs="Times New Roman"/>
                <w:color w:val="auto"/>
                <w:highlight w:val="none"/>
              </w:rPr>
            </w:pPr>
            <w:r>
              <w:rPr>
                <w:rFonts w:hint="eastAsia" w:ascii="Times New Roman" w:hAnsi="Times New Roman" w:cs="Times New Roman"/>
                <w:color w:val="auto"/>
                <w:highlight w:val="none"/>
              </w:rPr>
              <w:t>拟派项目负责人（</w:t>
            </w:r>
            <w:r>
              <w:rPr>
                <w:rFonts w:hint="eastAsia" w:cs="Times New Roman"/>
                <w:color w:val="auto"/>
                <w:highlight w:val="none"/>
                <w:lang w:eastAsia="zh-CN"/>
              </w:rPr>
              <w:t>项目负责人</w:t>
            </w:r>
            <w:r>
              <w:rPr>
                <w:rFonts w:hint="eastAsia" w:ascii="Times New Roman" w:hAnsi="Times New Roman" w:cs="Times New Roman"/>
                <w:color w:val="auto"/>
                <w:highlight w:val="none"/>
              </w:rPr>
              <w:t>）</w:t>
            </w:r>
            <w:r>
              <w:rPr>
                <w:rFonts w:hint="eastAsia" w:ascii="宋体" w:hAnsi="宋体" w:eastAsia="宋体" w:cs="宋体"/>
                <w:color w:val="auto"/>
                <w:highlight w:val="none"/>
              </w:rPr>
              <w:t>20</w:t>
            </w:r>
            <w:r>
              <w:rPr>
                <w:rFonts w:hint="eastAsia" w:ascii="宋体" w:hAnsi="宋体" w:eastAsia="宋体" w:cs="宋体"/>
                <w:color w:val="auto"/>
                <w:highlight w:val="none"/>
                <w:lang w:val="en-US" w:eastAsia="zh-CN"/>
              </w:rPr>
              <w:t>21</w:t>
            </w:r>
            <w:r>
              <w:rPr>
                <w:rFonts w:hint="eastAsia" w:ascii="宋体" w:hAnsi="宋体" w:eastAsia="宋体" w:cs="宋体"/>
                <w:color w:val="auto"/>
                <w:highlight w:val="none"/>
              </w:rPr>
              <w:t>年</w:t>
            </w:r>
            <w:r>
              <w:rPr>
                <w:rFonts w:hint="eastAsia" w:ascii="宋体" w:hAnsi="宋体" w:cs="宋体"/>
                <w:color w:val="auto"/>
                <w:highlight w:val="none"/>
                <w:lang w:val="en-US" w:eastAsia="zh-CN"/>
              </w:rPr>
              <w:t>8</w:t>
            </w:r>
            <w:r>
              <w:rPr>
                <w:rFonts w:hint="eastAsia" w:ascii="宋体" w:hAnsi="宋体" w:eastAsia="宋体" w:cs="宋体"/>
                <w:color w:val="auto"/>
                <w:highlight w:val="none"/>
              </w:rPr>
              <w:t>月1日至投标截止时前</w:t>
            </w:r>
            <w:r>
              <w:rPr>
                <w:rFonts w:hint="eastAsia" w:ascii="Times New Roman" w:hAnsi="Times New Roman" w:cs="Times New Roman"/>
                <w:color w:val="auto"/>
                <w:highlight w:val="none"/>
              </w:rPr>
              <w:t>【以交（竣）工验收时间为准】担任过质量合格的</w:t>
            </w:r>
            <w:r>
              <w:rPr>
                <w:rFonts w:hint="eastAsia" w:ascii="Times New Roman" w:hAnsi="Times New Roman" w:cs="Times New Roman"/>
                <w:color w:val="auto"/>
                <w:highlight w:val="none"/>
                <w:lang w:val="en-US" w:eastAsia="en-US"/>
              </w:rPr>
              <w:t>码头港口</w:t>
            </w:r>
            <w:r>
              <w:rPr>
                <w:rFonts w:hint="eastAsia" w:ascii="Times New Roman" w:hAnsi="Times New Roman" w:eastAsia="宋体" w:cs="Times New Roman"/>
                <w:color w:val="auto"/>
                <w:highlight w:val="none"/>
                <w:lang w:val="en-US" w:eastAsia="zh-CN"/>
              </w:rPr>
              <w:t>、</w:t>
            </w:r>
            <w:r>
              <w:rPr>
                <w:rFonts w:hint="eastAsia" w:ascii="Times New Roman" w:hAnsi="Times New Roman" w:cs="Times New Roman"/>
                <w:color w:val="auto"/>
                <w:highlight w:val="none"/>
                <w:lang w:val="en-US" w:eastAsia="en-US"/>
              </w:rPr>
              <w:t>航道疏浚</w:t>
            </w:r>
            <w:r>
              <w:rPr>
                <w:rFonts w:hint="eastAsia" w:ascii="Times New Roman" w:hAnsi="Times New Roman" w:eastAsia="宋体" w:cs="Times New Roman"/>
                <w:color w:val="auto"/>
                <w:highlight w:val="none"/>
                <w:lang w:val="en-US" w:eastAsia="zh-CN"/>
              </w:rPr>
              <w:t>或</w:t>
            </w:r>
            <w:r>
              <w:rPr>
                <w:rFonts w:hint="eastAsia" w:ascii="Times New Roman" w:hAnsi="Times New Roman" w:cs="Times New Roman"/>
                <w:color w:val="auto"/>
                <w:highlight w:val="none"/>
              </w:rPr>
              <w:t>水利工程</w:t>
            </w:r>
            <w:r>
              <w:rPr>
                <w:rFonts w:hint="eastAsia" w:ascii="Times New Roman" w:hAnsi="Times New Roman" w:eastAsia="宋体" w:cs="Times New Roman"/>
                <w:color w:val="auto"/>
                <w:highlight w:val="none"/>
                <w:lang w:eastAsia="zh-CN"/>
              </w:rPr>
              <w:t>项目</w:t>
            </w:r>
            <w:r>
              <w:rPr>
                <w:rFonts w:hint="eastAsia" w:ascii="Times New Roman" w:hAnsi="Times New Roman" w:cs="Times New Roman"/>
                <w:color w:val="auto"/>
                <w:highlight w:val="none"/>
              </w:rPr>
              <w:t>（</w:t>
            </w:r>
            <w:r>
              <w:rPr>
                <w:rFonts w:hint="eastAsia" w:cs="Times New Roman"/>
                <w:color w:val="auto"/>
                <w:highlight w:val="none"/>
                <w:lang w:eastAsia="zh-CN"/>
              </w:rPr>
              <w:t>项目负责人</w:t>
            </w:r>
            <w:r>
              <w:rPr>
                <w:rFonts w:hint="eastAsia" w:ascii="Times New Roman" w:hAnsi="Times New Roman" w:cs="Times New Roman"/>
                <w:color w:val="auto"/>
                <w:highlight w:val="none"/>
              </w:rPr>
              <w:t>）的，得</w:t>
            </w:r>
            <w:r>
              <w:rPr>
                <w:rFonts w:hint="eastAsia" w:ascii="Times New Roman" w:hAnsi="Times New Roman" w:cs="Times New Roman"/>
                <w:color w:val="auto"/>
                <w:highlight w:val="none"/>
                <w:lang w:val="en-US" w:eastAsia="zh-CN"/>
              </w:rPr>
              <w:t>0.5</w:t>
            </w:r>
            <w:r>
              <w:rPr>
                <w:rFonts w:hint="eastAsia" w:ascii="Times New Roman" w:hAnsi="Times New Roman" w:cs="Times New Roman"/>
                <w:color w:val="auto"/>
                <w:highlight w:val="none"/>
              </w:rPr>
              <w:t>分；</w:t>
            </w:r>
            <w:r>
              <w:rPr>
                <w:rFonts w:hint="eastAsia" w:ascii="Times New Roman" w:hAnsi="Times New Roman" w:cs="Times New Roman"/>
                <w:color w:val="auto"/>
                <w:highlight w:val="none"/>
                <w:lang w:eastAsia="zh-CN"/>
              </w:rPr>
              <w:t>无或不提供</w:t>
            </w:r>
            <w:r>
              <w:rPr>
                <w:rFonts w:hint="eastAsia" w:ascii="Times New Roman" w:hAnsi="Times New Roman" w:cs="Times New Roman"/>
                <w:color w:val="auto"/>
                <w:highlight w:val="none"/>
              </w:rPr>
              <w:t>，得0分</w:t>
            </w:r>
            <w:r>
              <w:rPr>
                <w:rFonts w:hint="eastAsia" w:ascii="Times New Roman" w:hAnsi="Times New Roman" w:cs="Times New Roman"/>
                <w:color w:val="auto"/>
                <w:highlight w:val="none"/>
                <w:lang w:eastAsia="zh-CN"/>
              </w:rPr>
              <w:t>。</w:t>
            </w:r>
          </w:p>
          <w:p w14:paraId="79DD46E7">
            <w:pPr>
              <w:keepNext w:val="0"/>
              <w:keepLines w:val="0"/>
              <w:widowControl/>
              <w:numPr>
                <w:ilvl w:val="0"/>
                <w:numId w:val="0"/>
              </w:numPr>
              <w:suppressLineNumbers w:val="0"/>
              <w:spacing w:before="100" w:beforeAutospacing="1" w:after="100" w:afterAutospacing="1" w:line="240" w:lineRule="auto"/>
              <w:ind w:left="0" w:right="0"/>
              <w:jc w:val="both"/>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rPr>
              <w:t>本项累计不超过</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分。</w:t>
            </w:r>
          </w:p>
          <w:p w14:paraId="44E50549">
            <w:pPr>
              <w:keepNext w:val="0"/>
              <w:keepLines w:val="0"/>
              <w:widowControl/>
              <w:numPr>
                <w:ilvl w:val="0"/>
                <w:numId w:val="0"/>
              </w:numPr>
              <w:suppressLineNumbers w:val="0"/>
              <w:spacing w:before="100" w:beforeAutospacing="1" w:after="100" w:afterAutospacing="1" w:line="240" w:lineRule="auto"/>
              <w:ind w:left="0" w:right="0"/>
              <w:jc w:val="both"/>
              <w:rPr>
                <w:rFonts w:hint="eastAsia" w:ascii="Times New Roman" w:hAnsi="Times New Roman" w:eastAsia="宋体" w:cs="Times New Roman"/>
                <w:color w:val="auto"/>
                <w:highlight w:val="none"/>
                <w:lang w:eastAsia="zh-CN"/>
              </w:rPr>
            </w:pPr>
            <w:r>
              <w:rPr>
                <w:rFonts w:hint="eastAsia" w:ascii="Times New Roman" w:hAnsi="Courier New" w:eastAsia="宋体" w:cs="Times New Roman"/>
                <w:color w:val="auto"/>
                <w:highlight w:val="none"/>
                <w:lang w:eastAsia="zh-CN"/>
              </w:rPr>
              <w:t>注：须同时提供：中标通知书和施工合同、交（竣）工验收报告</w:t>
            </w:r>
            <w:r>
              <w:rPr>
                <w:rFonts w:hint="eastAsia" w:hAnsi="Courier New" w:cs="Times New Roman"/>
                <w:color w:val="auto"/>
                <w:highlight w:val="none"/>
                <w:lang w:eastAsia="zh-CN"/>
              </w:rPr>
              <w:t>原件扫描</w:t>
            </w:r>
            <w:r>
              <w:rPr>
                <w:rFonts w:hint="eastAsia" w:ascii="Times New Roman" w:hAnsi="Courier New" w:eastAsia="宋体" w:cs="Times New Roman"/>
                <w:color w:val="auto"/>
                <w:highlight w:val="none"/>
                <w:lang w:eastAsia="zh-CN"/>
              </w:rPr>
              <w:t>件（如上述资料不能体现项目负责人（</w:t>
            </w:r>
            <w:r>
              <w:rPr>
                <w:rFonts w:hint="eastAsia" w:hAnsi="Courier New" w:cs="Times New Roman"/>
                <w:color w:val="auto"/>
                <w:highlight w:val="none"/>
                <w:lang w:eastAsia="zh-CN"/>
              </w:rPr>
              <w:t>项目负责人</w:t>
            </w:r>
            <w:r>
              <w:rPr>
                <w:rFonts w:hint="eastAsia" w:ascii="Times New Roman" w:hAnsi="Courier New" w:eastAsia="宋体" w:cs="Times New Roman"/>
                <w:color w:val="auto"/>
                <w:highlight w:val="none"/>
                <w:lang w:eastAsia="zh-CN"/>
              </w:rPr>
              <w:t>）的还须附上相关证明文件）。</w:t>
            </w:r>
          </w:p>
        </w:tc>
      </w:tr>
      <w:tr w14:paraId="4150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60" w:hRule="atLeast"/>
        </w:trPr>
        <w:tc>
          <w:tcPr>
            <w:tcW w:w="1131" w:type="dxa"/>
            <w:vMerge w:val="continue"/>
            <w:noWrap w:val="0"/>
            <w:vAlign w:val="center"/>
          </w:tcPr>
          <w:p w14:paraId="572B9C43">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p>
        </w:tc>
        <w:tc>
          <w:tcPr>
            <w:tcW w:w="1563" w:type="dxa"/>
            <w:vMerge w:val="continue"/>
            <w:noWrap w:val="0"/>
            <w:vAlign w:val="center"/>
          </w:tcPr>
          <w:p w14:paraId="2EBF0A9C">
            <w:pPr>
              <w:keepNext w:val="0"/>
              <w:keepLines w:val="0"/>
              <w:widowControl/>
              <w:suppressLineNumbers w:val="0"/>
              <w:spacing w:before="0" w:beforeAutospacing="0" w:after="0" w:afterAutospacing="0"/>
              <w:ind w:left="0" w:right="0"/>
              <w:jc w:val="center"/>
              <w:rPr>
                <w:rFonts w:hint="eastAsia" w:ascii="新宋体" w:hAnsi="新宋体" w:eastAsia="新宋体" w:cs="新宋体"/>
                <w:color w:val="auto"/>
                <w:szCs w:val="21"/>
                <w:highlight w:val="none"/>
              </w:rPr>
            </w:pPr>
          </w:p>
        </w:tc>
        <w:tc>
          <w:tcPr>
            <w:tcW w:w="2409" w:type="dxa"/>
            <w:noWrap w:val="0"/>
            <w:vAlign w:val="center"/>
          </w:tcPr>
          <w:p w14:paraId="7322B79A">
            <w:pPr>
              <w:keepNext w:val="0"/>
              <w:keepLines w:val="0"/>
              <w:widowControl/>
              <w:suppressLineNumbers w:val="0"/>
              <w:spacing w:before="0" w:beforeAutospacing="0" w:after="0" w:afterAutospacing="0" w:line="240" w:lineRule="auto"/>
              <w:ind w:left="0" w:right="0"/>
              <w:jc w:val="center"/>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lang w:eastAsia="zh-CN"/>
              </w:rPr>
              <w:t>项目技术负责人资评</w:t>
            </w:r>
          </w:p>
          <w:p w14:paraId="72EBADC2">
            <w:pPr>
              <w:keepNext w:val="0"/>
              <w:keepLines w:val="0"/>
              <w:widowControl/>
              <w:suppressLineNumbers w:val="0"/>
              <w:spacing w:before="0" w:beforeAutospacing="0" w:after="0" w:afterAutospacing="0" w:line="240" w:lineRule="auto"/>
              <w:ind w:left="0" w:right="0"/>
              <w:jc w:val="center"/>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u w:val="single"/>
                <w:lang w:val="en-US" w:eastAsia="zh-CN"/>
              </w:rPr>
              <w:t>1</w:t>
            </w:r>
            <w:r>
              <w:rPr>
                <w:rFonts w:hint="eastAsia" w:ascii="新宋体" w:hAnsi="新宋体" w:eastAsia="新宋体" w:cs="新宋体"/>
                <w:color w:val="auto"/>
                <w:szCs w:val="21"/>
                <w:highlight w:val="none"/>
                <w:u w:val="single"/>
              </w:rPr>
              <w:t xml:space="preserve"> </w:t>
            </w:r>
            <w:r>
              <w:rPr>
                <w:rFonts w:hint="eastAsia" w:ascii="新宋体" w:hAnsi="新宋体" w:eastAsia="新宋体" w:cs="新宋体"/>
                <w:color w:val="auto"/>
                <w:szCs w:val="21"/>
                <w:highlight w:val="none"/>
              </w:rPr>
              <w:t>分）</w:t>
            </w:r>
          </w:p>
        </w:tc>
        <w:tc>
          <w:tcPr>
            <w:tcW w:w="3999" w:type="dxa"/>
            <w:noWrap w:val="0"/>
            <w:vAlign w:val="center"/>
          </w:tcPr>
          <w:p w14:paraId="74F95249">
            <w:pPr>
              <w:keepNext w:val="0"/>
              <w:keepLines w:val="0"/>
              <w:widowControl/>
              <w:numPr>
                <w:ilvl w:val="0"/>
                <w:numId w:val="3"/>
              </w:numPr>
              <w:suppressLineNumbers w:val="0"/>
              <w:spacing w:before="100" w:beforeAutospacing="1" w:after="100" w:afterAutospacing="1" w:line="240" w:lineRule="auto"/>
              <w:ind w:left="0" w:right="0" w:firstLine="480"/>
              <w:jc w:val="both"/>
              <w:rPr>
                <w:rFonts w:hint="eastAsia" w:ascii="Times New Roman" w:hAnsi="Times New Roman" w:cs="Times New Roman"/>
                <w:color w:val="auto"/>
                <w:highlight w:val="none"/>
              </w:rPr>
            </w:pPr>
            <w:r>
              <w:rPr>
                <w:rFonts w:hint="eastAsia" w:ascii="Times New Roman" w:hAnsi="Times New Roman" w:cs="Times New Roman"/>
                <w:color w:val="auto"/>
                <w:highlight w:val="none"/>
              </w:rPr>
              <w:t>拟派技术负责人为港口与航道工程一级注册建造师且具有高级或以上职称的得</w:t>
            </w:r>
            <w:r>
              <w:rPr>
                <w:rFonts w:hint="eastAsia" w:ascii="Times New Roman" w:hAnsi="Times New Roman" w:cs="Times New Roman"/>
                <w:color w:val="auto"/>
                <w:highlight w:val="none"/>
                <w:lang w:val="en-US" w:eastAsia="zh-CN"/>
              </w:rPr>
              <w:t>0.5</w:t>
            </w:r>
            <w:r>
              <w:rPr>
                <w:rFonts w:hint="eastAsia" w:ascii="Times New Roman" w:hAnsi="Times New Roman" w:cs="Times New Roman"/>
                <w:color w:val="auto"/>
                <w:highlight w:val="none"/>
              </w:rPr>
              <w:t>分；</w:t>
            </w:r>
            <w:r>
              <w:rPr>
                <w:rFonts w:hint="eastAsia" w:ascii="Times New Roman" w:hAnsi="Times New Roman" w:cs="Times New Roman"/>
                <w:color w:val="auto"/>
                <w:highlight w:val="none"/>
                <w:lang w:eastAsia="zh-CN"/>
              </w:rPr>
              <w:t>无或不提供</w:t>
            </w:r>
            <w:r>
              <w:rPr>
                <w:rFonts w:hint="eastAsia" w:ascii="Times New Roman" w:hAnsi="Times New Roman" w:cs="Times New Roman"/>
                <w:color w:val="auto"/>
                <w:highlight w:val="none"/>
              </w:rPr>
              <w:t>，得0分。</w:t>
            </w:r>
          </w:p>
          <w:p w14:paraId="353CA49F">
            <w:pPr>
              <w:keepNext w:val="0"/>
              <w:keepLines w:val="0"/>
              <w:widowControl/>
              <w:numPr>
                <w:ilvl w:val="0"/>
                <w:numId w:val="3"/>
              </w:numPr>
              <w:suppressLineNumbers w:val="0"/>
              <w:spacing w:before="100" w:beforeAutospacing="1" w:after="100" w:afterAutospacing="1" w:line="240" w:lineRule="auto"/>
              <w:ind w:left="0" w:right="0" w:firstLine="480"/>
              <w:jc w:val="both"/>
              <w:rPr>
                <w:rFonts w:hint="eastAsia" w:cs="Times New Roman"/>
                <w:color w:val="auto"/>
                <w:highlight w:val="none"/>
              </w:rPr>
            </w:pPr>
            <w:r>
              <w:rPr>
                <w:rFonts w:hint="eastAsia" w:ascii="Times New Roman" w:hAnsi="Times New Roman" w:cs="Times New Roman"/>
                <w:color w:val="auto"/>
                <w:highlight w:val="none"/>
              </w:rPr>
              <w:t>拟派技术负责人</w:t>
            </w:r>
            <w:r>
              <w:rPr>
                <w:rFonts w:hint="eastAsia" w:ascii="宋体" w:hAnsi="宋体" w:eastAsia="宋体" w:cs="宋体"/>
                <w:color w:val="auto"/>
                <w:highlight w:val="none"/>
              </w:rPr>
              <w:t>20</w:t>
            </w:r>
            <w:r>
              <w:rPr>
                <w:rFonts w:hint="eastAsia" w:ascii="宋体" w:hAnsi="宋体" w:eastAsia="宋体" w:cs="宋体"/>
                <w:color w:val="auto"/>
                <w:highlight w:val="none"/>
                <w:lang w:val="en-US" w:eastAsia="zh-CN"/>
              </w:rPr>
              <w:t>21</w:t>
            </w:r>
            <w:r>
              <w:rPr>
                <w:rFonts w:hint="eastAsia" w:ascii="宋体" w:hAnsi="宋体" w:eastAsia="宋体" w:cs="宋体"/>
                <w:color w:val="auto"/>
                <w:highlight w:val="none"/>
              </w:rPr>
              <w:t>年</w:t>
            </w:r>
            <w:r>
              <w:rPr>
                <w:rFonts w:hint="eastAsia" w:ascii="宋体" w:hAnsi="宋体" w:cs="宋体"/>
                <w:color w:val="auto"/>
                <w:highlight w:val="none"/>
                <w:lang w:val="en-US" w:eastAsia="zh-CN"/>
              </w:rPr>
              <w:t>8</w:t>
            </w:r>
            <w:r>
              <w:rPr>
                <w:rFonts w:hint="eastAsia" w:ascii="宋体" w:hAnsi="宋体" w:eastAsia="宋体" w:cs="宋体"/>
                <w:color w:val="auto"/>
                <w:highlight w:val="none"/>
              </w:rPr>
              <w:t>月1日至投标截止时前</w:t>
            </w:r>
            <w:r>
              <w:rPr>
                <w:rFonts w:hint="eastAsia" w:ascii="Times New Roman" w:hAnsi="Times New Roman" w:cs="Times New Roman"/>
                <w:color w:val="auto"/>
                <w:highlight w:val="none"/>
              </w:rPr>
              <w:t>【以交（竣）工验收时间为准】担任过质量合格的</w:t>
            </w:r>
            <w:r>
              <w:rPr>
                <w:rFonts w:hint="eastAsia" w:ascii="Times New Roman" w:hAnsi="Times New Roman" w:cs="Times New Roman"/>
                <w:color w:val="auto"/>
                <w:highlight w:val="none"/>
                <w:lang w:val="en-US" w:eastAsia="en-US"/>
              </w:rPr>
              <w:t>码头港口</w:t>
            </w:r>
            <w:r>
              <w:rPr>
                <w:rFonts w:hint="eastAsia" w:ascii="Times New Roman" w:hAnsi="Times New Roman" w:eastAsia="宋体" w:cs="Times New Roman"/>
                <w:color w:val="auto"/>
                <w:highlight w:val="none"/>
                <w:lang w:val="en-US" w:eastAsia="zh-CN"/>
              </w:rPr>
              <w:t>、</w:t>
            </w:r>
            <w:r>
              <w:rPr>
                <w:rFonts w:hint="eastAsia" w:ascii="Times New Roman" w:hAnsi="Times New Roman" w:cs="Times New Roman"/>
                <w:color w:val="auto"/>
                <w:highlight w:val="none"/>
                <w:lang w:val="en-US" w:eastAsia="en-US"/>
              </w:rPr>
              <w:t>航道疏浚</w:t>
            </w:r>
            <w:r>
              <w:rPr>
                <w:rFonts w:hint="eastAsia" w:ascii="Times New Roman" w:hAnsi="Times New Roman" w:eastAsia="宋体" w:cs="Times New Roman"/>
                <w:color w:val="auto"/>
                <w:highlight w:val="none"/>
                <w:lang w:val="en-US" w:eastAsia="zh-CN"/>
              </w:rPr>
              <w:t>或</w:t>
            </w:r>
            <w:r>
              <w:rPr>
                <w:rFonts w:hint="eastAsia" w:ascii="Times New Roman" w:hAnsi="Times New Roman" w:cs="Times New Roman"/>
                <w:color w:val="auto"/>
                <w:highlight w:val="none"/>
              </w:rPr>
              <w:t>水利工程</w:t>
            </w:r>
            <w:r>
              <w:rPr>
                <w:rFonts w:hint="eastAsia" w:ascii="Times New Roman" w:hAnsi="Times New Roman" w:eastAsia="宋体" w:cs="Times New Roman"/>
                <w:color w:val="auto"/>
                <w:highlight w:val="none"/>
                <w:lang w:eastAsia="zh-CN"/>
              </w:rPr>
              <w:t>项目</w:t>
            </w:r>
            <w:r>
              <w:rPr>
                <w:rFonts w:hint="eastAsia" w:ascii="Times New Roman" w:hAnsi="Times New Roman" w:cs="Times New Roman"/>
                <w:color w:val="auto"/>
                <w:highlight w:val="none"/>
              </w:rPr>
              <w:t>（</w:t>
            </w:r>
            <w:r>
              <w:rPr>
                <w:rFonts w:hint="eastAsia" w:cs="Times New Roman"/>
                <w:color w:val="auto"/>
                <w:highlight w:val="none"/>
                <w:lang w:eastAsia="zh-CN"/>
              </w:rPr>
              <w:t>项目负责人</w:t>
            </w:r>
            <w:r>
              <w:rPr>
                <w:rFonts w:hint="eastAsia" w:ascii="Times New Roman" w:hAnsi="Times New Roman" w:cs="Times New Roman"/>
                <w:color w:val="auto"/>
                <w:highlight w:val="none"/>
              </w:rPr>
              <w:t>）或技术负责人的，得</w:t>
            </w:r>
            <w:r>
              <w:rPr>
                <w:rFonts w:hint="eastAsia" w:ascii="Times New Roman" w:hAnsi="Times New Roman" w:cs="Times New Roman"/>
                <w:color w:val="auto"/>
                <w:highlight w:val="none"/>
                <w:lang w:val="en-US" w:eastAsia="zh-CN"/>
              </w:rPr>
              <w:t>0.5</w:t>
            </w:r>
            <w:r>
              <w:rPr>
                <w:rFonts w:hint="eastAsia" w:ascii="Times New Roman" w:hAnsi="Times New Roman" w:cs="Times New Roman"/>
                <w:color w:val="auto"/>
                <w:highlight w:val="none"/>
              </w:rPr>
              <w:t>分；</w:t>
            </w:r>
            <w:r>
              <w:rPr>
                <w:rFonts w:hint="eastAsia" w:ascii="Times New Roman" w:hAnsi="Times New Roman" w:cs="Times New Roman"/>
                <w:color w:val="auto"/>
                <w:highlight w:val="none"/>
                <w:lang w:eastAsia="zh-CN"/>
              </w:rPr>
              <w:t>无或不提供</w:t>
            </w:r>
            <w:r>
              <w:rPr>
                <w:rFonts w:hint="eastAsia" w:ascii="Times New Roman" w:hAnsi="Times New Roman" w:cs="Times New Roman"/>
                <w:color w:val="auto"/>
                <w:highlight w:val="none"/>
              </w:rPr>
              <w:t>，得0分。本项累计不超过</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分。</w:t>
            </w:r>
            <w:r>
              <w:rPr>
                <w:rFonts w:hint="eastAsia" w:hAnsi="Courier New" w:eastAsia="宋体" w:cs="Times New Roman"/>
                <w:color w:val="auto"/>
                <w:highlight w:val="none"/>
                <w:lang w:eastAsia="zh-CN"/>
              </w:rPr>
              <w:t>注：须同时提供：中标通知书和施工合同、交（竣）工验收报告</w:t>
            </w:r>
            <w:r>
              <w:rPr>
                <w:rFonts w:hint="eastAsia" w:cs="Times New Roman"/>
                <w:color w:val="auto"/>
                <w:highlight w:val="none"/>
                <w:lang w:eastAsia="zh-CN"/>
              </w:rPr>
              <w:t>原件扫描</w:t>
            </w:r>
            <w:r>
              <w:rPr>
                <w:rFonts w:hint="eastAsia" w:hAnsi="Courier New" w:eastAsia="宋体" w:cs="Times New Roman"/>
                <w:color w:val="auto"/>
                <w:highlight w:val="none"/>
                <w:lang w:eastAsia="zh-CN"/>
              </w:rPr>
              <w:t>件（如上述资料不能体现项目负责人（</w:t>
            </w:r>
            <w:r>
              <w:rPr>
                <w:rFonts w:hint="eastAsia" w:cs="Times New Roman"/>
                <w:color w:val="auto"/>
                <w:highlight w:val="none"/>
                <w:lang w:eastAsia="zh-CN"/>
              </w:rPr>
              <w:t>项目负责人</w:t>
            </w:r>
            <w:r>
              <w:rPr>
                <w:rFonts w:hint="eastAsia" w:hAnsi="Courier New" w:eastAsia="宋体" w:cs="Times New Roman"/>
                <w:color w:val="auto"/>
                <w:highlight w:val="none"/>
                <w:lang w:eastAsia="zh-CN"/>
              </w:rPr>
              <w:t>）或技术负责人的还须附上相关证明文件）。</w:t>
            </w:r>
          </w:p>
        </w:tc>
      </w:tr>
      <w:tr w14:paraId="11E2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131" w:type="dxa"/>
            <w:vMerge w:val="continue"/>
            <w:noWrap w:val="0"/>
            <w:vAlign w:val="center"/>
          </w:tcPr>
          <w:p w14:paraId="40BFE536">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p>
        </w:tc>
        <w:tc>
          <w:tcPr>
            <w:tcW w:w="1563" w:type="dxa"/>
            <w:vMerge w:val="continue"/>
            <w:noWrap w:val="0"/>
            <w:vAlign w:val="center"/>
          </w:tcPr>
          <w:p w14:paraId="7FAC764D">
            <w:pPr>
              <w:keepNext w:val="0"/>
              <w:keepLines w:val="0"/>
              <w:widowControl/>
              <w:suppressLineNumbers w:val="0"/>
              <w:spacing w:before="0" w:beforeAutospacing="0" w:after="0" w:afterAutospacing="0"/>
              <w:ind w:left="0" w:right="0"/>
              <w:jc w:val="center"/>
              <w:rPr>
                <w:rFonts w:hint="eastAsia" w:ascii="新宋体" w:hAnsi="新宋体" w:eastAsia="新宋体" w:cs="新宋体"/>
                <w:color w:val="auto"/>
                <w:szCs w:val="21"/>
                <w:highlight w:val="none"/>
              </w:rPr>
            </w:pPr>
          </w:p>
        </w:tc>
        <w:tc>
          <w:tcPr>
            <w:tcW w:w="2409" w:type="dxa"/>
            <w:noWrap w:val="0"/>
            <w:vAlign w:val="center"/>
          </w:tcPr>
          <w:p w14:paraId="42E97C1F">
            <w:pPr>
              <w:keepNext w:val="0"/>
              <w:keepLines w:val="0"/>
              <w:widowControl/>
              <w:suppressLineNumbers w:val="0"/>
              <w:spacing w:before="0" w:beforeAutospacing="0" w:after="0" w:afterAutospacing="0" w:line="240" w:lineRule="auto"/>
              <w:ind w:left="0" w:right="0"/>
              <w:jc w:val="center"/>
              <w:rPr>
                <w:rFonts w:hint="eastAsia" w:ascii="新宋体" w:hAnsi="新宋体" w:eastAsia="新宋体" w:cs="新宋体"/>
                <w:color w:val="auto"/>
                <w:szCs w:val="21"/>
                <w:highlight w:val="none"/>
                <w:lang w:eastAsia="zh-CN"/>
              </w:rPr>
            </w:pPr>
            <w:r>
              <w:rPr>
                <w:rFonts w:hint="eastAsia" w:ascii="新宋体" w:hAnsi="新宋体" w:eastAsia="新宋体" w:cs="新宋体"/>
                <w:color w:val="auto"/>
                <w:szCs w:val="21"/>
                <w:highlight w:val="none"/>
              </w:rPr>
              <w:t>项目部其他成员</w:t>
            </w:r>
            <w:r>
              <w:rPr>
                <w:rFonts w:hint="eastAsia" w:ascii="新宋体" w:hAnsi="新宋体" w:eastAsia="新宋体" w:cs="新宋体"/>
                <w:color w:val="auto"/>
                <w:szCs w:val="21"/>
                <w:highlight w:val="none"/>
                <w:lang w:eastAsia="zh-CN"/>
              </w:rPr>
              <w:t>资评</w:t>
            </w:r>
          </w:p>
          <w:p w14:paraId="60C018E8">
            <w:pPr>
              <w:keepNext w:val="0"/>
              <w:keepLines w:val="0"/>
              <w:widowControl/>
              <w:suppressLineNumbers w:val="0"/>
              <w:spacing w:before="0" w:beforeAutospacing="0" w:after="0" w:afterAutospacing="0" w:line="240" w:lineRule="auto"/>
              <w:ind w:left="0" w:right="0"/>
              <w:jc w:val="center"/>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w:t>
            </w:r>
            <w:r>
              <w:rPr>
                <w:rFonts w:hint="eastAsia" w:ascii="新宋体" w:hAnsi="新宋体" w:eastAsia="新宋体" w:cs="新宋体"/>
                <w:color w:val="auto"/>
                <w:szCs w:val="21"/>
                <w:highlight w:val="none"/>
                <w:u w:val="single"/>
                <w:lang w:val="en-US" w:eastAsia="zh-CN"/>
              </w:rPr>
              <w:t>2</w:t>
            </w:r>
            <w:r>
              <w:rPr>
                <w:rFonts w:hint="eastAsia" w:ascii="新宋体" w:hAnsi="新宋体" w:eastAsia="新宋体" w:cs="新宋体"/>
                <w:color w:val="auto"/>
                <w:szCs w:val="21"/>
                <w:highlight w:val="none"/>
              </w:rPr>
              <w:t>分）</w:t>
            </w:r>
          </w:p>
        </w:tc>
        <w:tc>
          <w:tcPr>
            <w:tcW w:w="3999" w:type="dxa"/>
            <w:noWrap w:val="0"/>
            <w:vAlign w:val="center"/>
          </w:tcPr>
          <w:p w14:paraId="779FF6B0">
            <w:pPr>
              <w:keepNext w:val="0"/>
              <w:keepLines w:val="0"/>
              <w:widowControl/>
              <w:suppressLineNumbers w:val="0"/>
              <w:spacing w:before="100" w:beforeAutospacing="1" w:after="100" w:afterAutospacing="1" w:line="240" w:lineRule="auto"/>
              <w:ind w:left="0" w:right="0" w:firstLine="480"/>
              <w:jc w:val="both"/>
              <w:rPr>
                <w:rFonts w:hint="eastAsia" w:ascii="Times New Roman" w:hAnsi="Times New Roman" w:cs="Times New Roman"/>
                <w:color w:val="auto"/>
                <w:highlight w:val="none"/>
              </w:rPr>
            </w:pPr>
            <w:r>
              <w:rPr>
                <w:rFonts w:hint="eastAsia" w:ascii="Times New Roman" w:hAnsi="Times New Roman" w:cs="Times New Roman"/>
                <w:color w:val="auto"/>
                <w:highlight w:val="none"/>
              </w:rPr>
              <w:t>其他主要人员完全满足如下配备的，得</w:t>
            </w:r>
            <w:r>
              <w:rPr>
                <w:rFonts w:hint="eastAsia" w:ascii="Times New Roman" w:hAnsi="Times New Roman" w:cs="Times New Roman"/>
                <w:color w:val="auto"/>
                <w:highlight w:val="none"/>
                <w:lang w:val="en-US" w:eastAsia="zh-CN"/>
              </w:rPr>
              <w:t>2</w:t>
            </w:r>
            <w:r>
              <w:rPr>
                <w:rFonts w:hint="eastAsia" w:ascii="Times New Roman" w:hAnsi="Times New Roman" w:cs="Times New Roman"/>
                <w:color w:val="auto"/>
                <w:highlight w:val="none"/>
              </w:rPr>
              <w:t>分；否则不得分。</w:t>
            </w:r>
          </w:p>
          <w:p w14:paraId="3BA1558F">
            <w:pPr>
              <w:keepNext w:val="0"/>
              <w:keepLines w:val="0"/>
              <w:widowControl/>
              <w:numPr>
                <w:ilvl w:val="0"/>
                <w:numId w:val="4"/>
              </w:numPr>
              <w:suppressLineNumbers w:val="0"/>
              <w:spacing w:before="100" w:beforeAutospacing="1" w:after="100" w:afterAutospacing="1" w:line="240" w:lineRule="auto"/>
              <w:ind w:left="0" w:right="0" w:firstLine="480"/>
              <w:jc w:val="both"/>
              <w:rPr>
                <w:rFonts w:hint="eastAsia" w:ascii="Times New Roman" w:hAnsi="Times New Roman" w:cs="Times New Roman"/>
                <w:color w:val="auto"/>
                <w:highlight w:val="none"/>
              </w:rPr>
            </w:pPr>
            <w:r>
              <w:rPr>
                <w:rFonts w:hint="eastAsia" w:ascii="Times New Roman" w:hAnsi="Times New Roman" w:cs="Times New Roman"/>
                <w:color w:val="auto"/>
                <w:highlight w:val="none"/>
              </w:rPr>
              <w:t>具有水</w:t>
            </w:r>
            <w:r>
              <w:rPr>
                <w:rFonts w:hint="eastAsia" w:ascii="Times New Roman" w:hAnsi="Times New Roman" w:eastAsia="宋体" w:cs="Times New Roman"/>
                <w:color w:val="auto"/>
                <w:highlight w:val="none"/>
                <w:lang w:eastAsia="zh-CN"/>
              </w:rPr>
              <w:t>利</w:t>
            </w:r>
            <w:r>
              <w:rPr>
                <w:rFonts w:hint="eastAsia" w:ascii="Times New Roman" w:hAnsi="Times New Roman" w:cs="Times New Roman"/>
                <w:color w:val="auto"/>
                <w:highlight w:val="none"/>
              </w:rPr>
              <w:t>工程系列高级工程师职称或水</w:t>
            </w:r>
            <w:r>
              <w:rPr>
                <w:rFonts w:hint="eastAsia" w:ascii="Times New Roman" w:hAnsi="Times New Roman" w:cs="Times New Roman"/>
                <w:color w:val="auto"/>
                <w:highlight w:val="none"/>
                <w:lang w:eastAsia="zh-CN"/>
              </w:rPr>
              <w:t>运</w:t>
            </w:r>
            <w:r>
              <w:rPr>
                <w:rFonts w:hint="eastAsia" w:ascii="Times New Roman" w:hAnsi="Times New Roman" w:cs="Times New Roman"/>
                <w:color w:val="auto"/>
                <w:highlight w:val="none"/>
              </w:rPr>
              <w:t>工程系列</w:t>
            </w:r>
            <w:r>
              <w:rPr>
                <w:rFonts w:hint="eastAsia" w:ascii="Times New Roman" w:hAnsi="Times New Roman" w:eastAsia="宋体" w:cs="Times New Roman"/>
                <w:color w:val="auto"/>
                <w:highlight w:val="none"/>
                <w:lang w:eastAsia="zh-CN"/>
              </w:rPr>
              <w:t>中</w:t>
            </w:r>
            <w:r>
              <w:rPr>
                <w:rFonts w:hint="eastAsia" w:ascii="Times New Roman" w:hAnsi="Times New Roman" w:cs="Times New Roman"/>
                <w:color w:val="auto"/>
                <w:highlight w:val="none"/>
              </w:rPr>
              <w:t>级工程师职称的人员1名；</w:t>
            </w:r>
          </w:p>
          <w:p w14:paraId="4BBB1CB1">
            <w:pPr>
              <w:keepNext w:val="0"/>
              <w:keepLines w:val="0"/>
              <w:widowControl/>
              <w:numPr>
                <w:ilvl w:val="0"/>
                <w:numId w:val="4"/>
              </w:numPr>
              <w:suppressLineNumbers w:val="0"/>
              <w:spacing w:before="100" w:beforeAutospacing="1" w:after="100" w:afterAutospacing="1" w:line="240" w:lineRule="auto"/>
              <w:ind w:left="0" w:right="0" w:firstLine="480"/>
              <w:jc w:val="both"/>
              <w:rPr>
                <w:rFonts w:hint="eastAsia" w:ascii="Times New Roman" w:hAnsi="Times New Roman" w:cs="Times New Roman"/>
                <w:color w:val="auto"/>
                <w:highlight w:val="none"/>
              </w:rPr>
            </w:pPr>
            <w:r>
              <w:rPr>
                <w:rFonts w:hint="eastAsia" w:ascii="Times New Roman" w:hAnsi="Times New Roman" w:cs="Times New Roman"/>
                <w:color w:val="auto"/>
                <w:highlight w:val="none"/>
              </w:rPr>
              <w:t>具有交通运输主管部门颁发的在有效期内的安全生产“三类人员”C类证书的专职安全员</w:t>
            </w:r>
            <w:r>
              <w:rPr>
                <w:rFonts w:hint="eastAsia" w:ascii="Times New Roman" w:hAnsi="Times New Roman" w:cs="Times New Roman"/>
                <w:color w:val="auto"/>
                <w:highlight w:val="none"/>
                <w:lang w:val="en-US" w:eastAsia="zh-CN"/>
              </w:rPr>
              <w:t>2</w:t>
            </w:r>
            <w:r>
              <w:rPr>
                <w:rFonts w:hint="eastAsia" w:ascii="Times New Roman" w:hAnsi="Times New Roman" w:cs="Times New Roman"/>
                <w:color w:val="auto"/>
                <w:highlight w:val="none"/>
              </w:rPr>
              <w:t>名；</w:t>
            </w:r>
          </w:p>
          <w:p w14:paraId="183F2D11">
            <w:pPr>
              <w:keepNext w:val="0"/>
              <w:keepLines w:val="0"/>
              <w:widowControl/>
              <w:numPr>
                <w:ilvl w:val="0"/>
                <w:numId w:val="4"/>
              </w:numPr>
              <w:suppressLineNumbers w:val="0"/>
              <w:spacing w:before="100" w:beforeAutospacing="1" w:after="100" w:afterAutospacing="1" w:line="240" w:lineRule="auto"/>
              <w:ind w:left="0" w:right="0" w:firstLine="480"/>
              <w:jc w:val="both"/>
              <w:rPr>
                <w:rFonts w:hint="eastAsia" w:ascii="Times New Roman" w:hAnsi="Times New Roman" w:cs="Times New Roman"/>
                <w:color w:val="auto"/>
                <w:highlight w:val="none"/>
              </w:rPr>
            </w:pPr>
            <w:r>
              <w:rPr>
                <w:rFonts w:hint="eastAsia" w:ascii="Times New Roman" w:hAnsi="Times New Roman" w:cs="Times New Roman"/>
                <w:color w:val="auto"/>
                <w:highlight w:val="none"/>
              </w:rPr>
              <w:t>持有中华人民共和国住房和城乡建设部颁发</w:t>
            </w:r>
            <w:r>
              <w:rPr>
                <w:rFonts w:hint="default" w:ascii="宋体" w:hAnsi="宋体" w:cs="宋体"/>
                <w:color w:val="auto"/>
                <w:kern w:val="0"/>
                <w:szCs w:val="21"/>
                <w:highlight w:val="none"/>
              </w:rPr>
              <w:t>一级造价工程师注册证（</w:t>
            </w:r>
            <w:r>
              <w:rPr>
                <w:rFonts w:hint="default" w:ascii="宋体" w:hAnsi="宋体" w:cs="宋体"/>
                <w:color w:val="auto"/>
                <w:kern w:val="0"/>
                <w:szCs w:val="21"/>
                <w:highlight w:val="none"/>
                <w:lang w:eastAsia="zh-CN"/>
              </w:rPr>
              <w:t>水</w:t>
            </w:r>
            <w:r>
              <w:rPr>
                <w:rFonts w:hint="eastAsia" w:ascii="宋体" w:hAnsi="宋体" w:cs="宋体"/>
                <w:color w:val="auto"/>
                <w:kern w:val="0"/>
                <w:szCs w:val="21"/>
                <w:highlight w:val="none"/>
                <w:lang w:eastAsia="zh-CN"/>
              </w:rPr>
              <w:t>运</w:t>
            </w:r>
            <w:r>
              <w:rPr>
                <w:rFonts w:hint="default" w:ascii="宋体" w:hAnsi="宋体" w:cs="宋体"/>
                <w:color w:val="auto"/>
                <w:kern w:val="0"/>
                <w:szCs w:val="21"/>
                <w:highlight w:val="none"/>
                <w:lang w:eastAsia="zh-CN"/>
              </w:rPr>
              <w:t>工程专业</w:t>
            </w:r>
            <w:r>
              <w:rPr>
                <w:rFonts w:hint="eastAsia" w:ascii="宋体" w:hAnsi="宋体" w:eastAsia="宋体" w:cs="宋体"/>
                <w:color w:val="auto"/>
                <w:kern w:val="0"/>
                <w:szCs w:val="21"/>
                <w:highlight w:val="none"/>
                <w:lang w:eastAsia="zh-CN"/>
              </w:rPr>
              <w:t>或水利工程专业</w:t>
            </w:r>
            <w:r>
              <w:rPr>
                <w:rFonts w:hint="default" w:ascii="宋体" w:hAnsi="宋体" w:cs="宋体"/>
                <w:color w:val="auto"/>
                <w:kern w:val="0"/>
                <w:szCs w:val="21"/>
                <w:highlight w:val="none"/>
              </w:rPr>
              <w:t>）</w:t>
            </w:r>
            <w:r>
              <w:rPr>
                <w:rFonts w:hint="eastAsia" w:ascii="Times New Roman" w:hAnsi="Times New Roman" w:cs="Times New Roman"/>
                <w:color w:val="auto"/>
                <w:highlight w:val="none"/>
              </w:rPr>
              <w:t>的在有效期内的注册造价工程师执业资格的造价工程师</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名。</w:t>
            </w:r>
          </w:p>
          <w:p w14:paraId="4DED6A67">
            <w:pPr>
              <w:keepNext w:val="0"/>
              <w:keepLines w:val="0"/>
              <w:widowControl/>
              <w:suppressLineNumbers w:val="0"/>
              <w:spacing w:before="0" w:beforeAutospacing="0" w:after="0" w:afterAutospacing="0" w:line="240" w:lineRule="auto"/>
              <w:ind w:left="0" w:right="0"/>
              <w:jc w:val="both"/>
              <w:rPr>
                <w:rFonts w:hint="eastAsia" w:ascii="Times New Roman" w:hAnsi="Times New Roman" w:cs="Times New Roman"/>
                <w:color w:val="auto"/>
                <w:highlight w:val="none"/>
              </w:rPr>
            </w:pPr>
            <w:r>
              <w:rPr>
                <w:rFonts w:hint="eastAsia" w:ascii="Times New Roman" w:hAnsi="Times New Roman" w:eastAsia="宋体" w:cs="Times New Roman"/>
                <w:b/>
                <w:bCs/>
                <w:color w:val="auto"/>
                <w:highlight w:val="none"/>
                <w:lang w:eastAsia="zh-CN"/>
              </w:rPr>
              <w:t>注：以上人员必须提供</w:t>
            </w:r>
            <w:r>
              <w:rPr>
                <w:rFonts w:hint="eastAsia" w:ascii="Times New Roman" w:hAnsi="Times New Roman" w:eastAsia="宋体" w:cs="Times New Roman"/>
                <w:b/>
                <w:bCs/>
                <w:color w:val="auto"/>
                <w:highlight w:val="none"/>
                <w:lang w:val="en-US" w:eastAsia="zh-CN"/>
              </w:rPr>
              <w:t>相关证书证明文件及</w:t>
            </w:r>
            <w:r>
              <w:rPr>
                <w:rFonts w:hint="eastAsia" w:ascii="Times New Roman" w:hAnsi="Times New Roman" w:eastAsia="宋体" w:cs="Times New Roman"/>
                <w:b/>
                <w:bCs/>
                <w:color w:val="auto"/>
                <w:highlight w:val="none"/>
                <w:lang w:eastAsia="zh-CN"/>
              </w:rPr>
              <w:t>投标单位所属社保机构出具的社保缴费证明或参加社保的有效证明材料</w:t>
            </w:r>
            <w:r>
              <w:rPr>
                <w:rFonts w:hint="eastAsia" w:cs="Times New Roman"/>
                <w:b/>
                <w:bCs/>
                <w:color w:val="auto"/>
                <w:highlight w:val="none"/>
                <w:lang w:eastAsia="zh-CN"/>
              </w:rPr>
              <w:t>原件扫描</w:t>
            </w:r>
            <w:r>
              <w:rPr>
                <w:rFonts w:hint="eastAsia" w:ascii="Times New Roman" w:hAnsi="Times New Roman" w:eastAsia="宋体" w:cs="Times New Roman"/>
                <w:b/>
                <w:bCs/>
                <w:color w:val="auto"/>
                <w:highlight w:val="none"/>
                <w:lang w:eastAsia="zh-CN"/>
              </w:rPr>
              <w:t>件（社保时段为</w:t>
            </w:r>
            <w:r>
              <w:rPr>
                <w:rStyle w:val="17"/>
                <w:rFonts w:hint="default" w:ascii="宋体" w:hAnsi="宋体"/>
                <w:b w:val="0"/>
                <w:i w:val="0"/>
                <w:caps w:val="0"/>
                <w:color w:val="auto"/>
                <w:spacing w:val="0"/>
                <w:w w:val="100"/>
                <w:kern w:val="2"/>
                <w:sz w:val="24"/>
                <w:szCs w:val="24"/>
                <w:highlight w:val="none"/>
                <w:lang w:val="en-US" w:eastAsia="zh-CN"/>
              </w:rPr>
              <w:t>投标文件递交截止日前</w:t>
            </w:r>
            <w:r>
              <w:rPr>
                <w:rFonts w:hint="eastAsia" w:ascii="Times New Roman" w:hAnsi="Times New Roman" w:eastAsia="宋体" w:cs="Times New Roman"/>
                <w:b/>
                <w:bCs/>
                <w:color w:val="auto"/>
                <w:highlight w:val="none"/>
                <w:lang w:eastAsia="zh-CN"/>
              </w:rPr>
              <w:t>半年时间内连续不少于</w:t>
            </w:r>
            <w:r>
              <w:rPr>
                <w:rFonts w:hint="eastAsia" w:ascii="Times New Roman" w:hAnsi="Times New Roman" w:eastAsia="宋体" w:cs="Times New Roman"/>
                <w:b/>
                <w:bCs/>
                <w:color w:val="auto"/>
                <w:highlight w:val="none"/>
                <w:lang w:val="en-US" w:eastAsia="zh-CN"/>
              </w:rPr>
              <w:t>6</w:t>
            </w:r>
            <w:r>
              <w:rPr>
                <w:rFonts w:hint="eastAsia" w:ascii="Times New Roman" w:hAnsi="Times New Roman" w:eastAsia="宋体" w:cs="Times New Roman"/>
                <w:b/>
                <w:bCs/>
                <w:color w:val="auto"/>
                <w:highlight w:val="none"/>
                <w:lang w:eastAsia="zh-CN"/>
              </w:rPr>
              <w:t>个月）。</w:t>
            </w:r>
          </w:p>
        </w:tc>
      </w:tr>
      <w:tr w14:paraId="7EBB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31" w:type="dxa"/>
            <w:noWrap w:val="0"/>
            <w:vAlign w:val="center"/>
          </w:tcPr>
          <w:p w14:paraId="02CF76DC">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2.2.4(</w:t>
            </w:r>
            <w:r>
              <w:rPr>
                <w:rFonts w:hint="eastAsia" w:ascii="新宋体" w:hAnsi="新宋体" w:eastAsia="新宋体" w:cs="新宋体"/>
                <w:color w:val="auto"/>
                <w:szCs w:val="21"/>
                <w:highlight w:val="none"/>
              </w:rPr>
              <w:t>3</w:t>
            </w:r>
            <w:r>
              <w:rPr>
                <w:rFonts w:hint="default" w:ascii="新宋体" w:hAnsi="新宋体" w:eastAsia="新宋体" w:cs="新宋体"/>
                <w:color w:val="auto"/>
                <w:szCs w:val="21"/>
                <w:highlight w:val="none"/>
              </w:rPr>
              <w:t>)</w:t>
            </w:r>
          </w:p>
        </w:tc>
        <w:tc>
          <w:tcPr>
            <w:tcW w:w="1563" w:type="dxa"/>
            <w:noWrap w:val="0"/>
            <w:vAlign w:val="center"/>
          </w:tcPr>
          <w:p w14:paraId="57241064">
            <w:pPr>
              <w:keepNext w:val="0"/>
              <w:keepLines w:val="0"/>
              <w:widowControl/>
              <w:suppressLineNumbers w:val="0"/>
              <w:spacing w:before="0" w:beforeAutospacing="0" w:after="0" w:afterAutospacing="0"/>
              <w:ind w:left="0" w:right="0"/>
              <w:jc w:val="center"/>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评标价</w:t>
            </w:r>
          </w:p>
          <w:p w14:paraId="32219C87">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w:t>
            </w:r>
            <w:r>
              <w:rPr>
                <w:rFonts w:hint="eastAsia" w:ascii="新宋体" w:hAnsi="新宋体" w:eastAsia="新宋体" w:cs="新宋体"/>
                <w:color w:val="auto"/>
                <w:szCs w:val="21"/>
                <w:highlight w:val="none"/>
                <w:lang w:val="en-US" w:eastAsia="zh-CN"/>
              </w:rPr>
              <w:t>75</w:t>
            </w:r>
            <w:r>
              <w:rPr>
                <w:rFonts w:hint="eastAsia" w:ascii="新宋体" w:hAnsi="新宋体" w:eastAsia="新宋体" w:cs="新宋体"/>
                <w:color w:val="auto"/>
                <w:szCs w:val="21"/>
                <w:highlight w:val="none"/>
              </w:rPr>
              <w:t>分）</w:t>
            </w:r>
          </w:p>
        </w:tc>
        <w:tc>
          <w:tcPr>
            <w:tcW w:w="6408" w:type="dxa"/>
            <w:gridSpan w:val="2"/>
            <w:noWrap w:val="0"/>
            <w:vAlign w:val="center"/>
          </w:tcPr>
          <w:p w14:paraId="7C939C9F">
            <w:pPr>
              <w:keepNext w:val="0"/>
              <w:keepLines w:val="0"/>
              <w:widowControl/>
              <w:suppressLineNumbers w:val="0"/>
              <w:spacing w:before="0" w:beforeAutospacing="0" w:after="0" w:afterAutospacing="0"/>
              <w:ind w:left="0" w:right="0"/>
              <w:rPr>
                <w:rFonts w:hint="eastAsia" w:ascii="新宋体" w:hAnsi="新宋体" w:eastAsia="新宋体" w:cs="新宋体"/>
                <w:color w:val="auto"/>
                <w:szCs w:val="21"/>
                <w:highlight w:val="none"/>
                <w:lang w:eastAsia="zh-CN" w:bidi="ar"/>
              </w:rPr>
            </w:pPr>
            <w:r>
              <w:rPr>
                <w:rFonts w:hint="default" w:ascii="新宋体" w:hAnsi="新宋体" w:eastAsia="新宋体" w:cs="新宋体"/>
                <w:color w:val="auto"/>
                <w:szCs w:val="21"/>
                <w:highlight w:val="none"/>
                <w:lang w:bidi="ar"/>
              </w:rPr>
              <w:t>评标价得分计算公式示例：</w:t>
            </w:r>
          </w:p>
          <w:p w14:paraId="0EE19B82">
            <w:pPr>
              <w:keepNext w:val="0"/>
              <w:keepLines w:val="0"/>
              <w:widowControl/>
              <w:suppressLineNumbers w:val="0"/>
              <w:spacing w:before="0" w:beforeAutospacing="0" w:after="0" w:afterAutospacing="0"/>
              <w:ind w:left="0" w:right="0"/>
              <w:rPr>
                <w:rFonts w:hint="eastAsia" w:ascii="新宋体" w:hAnsi="新宋体" w:eastAsia="新宋体" w:cs="新宋体"/>
                <w:color w:val="auto"/>
                <w:szCs w:val="21"/>
                <w:highlight w:val="none"/>
                <w:lang w:eastAsia="zh-CN" w:bidi="ar"/>
              </w:rPr>
            </w:pPr>
            <w:r>
              <w:rPr>
                <w:rFonts w:hint="default" w:ascii="新宋体" w:hAnsi="新宋体" w:eastAsia="新宋体" w:cs="新宋体"/>
                <w:color w:val="auto"/>
                <w:szCs w:val="21"/>
                <w:highlight w:val="none"/>
                <w:lang w:bidi="ar"/>
              </w:rPr>
              <w:t>(1)如果投标人的评标价&gt;评标基准价，则评标价得分＝F－偏差率×100× D1；D1 取1</w:t>
            </w:r>
            <w:r>
              <w:rPr>
                <w:rFonts w:hint="eastAsia" w:ascii="新宋体" w:hAnsi="新宋体" w:eastAsia="新宋体" w:cs="新宋体"/>
                <w:color w:val="auto"/>
                <w:szCs w:val="21"/>
                <w:highlight w:val="none"/>
                <w:lang w:val="en-US" w:eastAsia="zh-CN" w:bidi="ar"/>
              </w:rPr>
              <w:t>.5</w:t>
            </w:r>
            <w:r>
              <w:rPr>
                <w:rFonts w:hint="default" w:ascii="新宋体" w:hAnsi="新宋体" w:eastAsia="新宋体" w:cs="新宋体"/>
                <w:color w:val="auto"/>
                <w:szCs w:val="21"/>
                <w:highlight w:val="none"/>
                <w:lang w:bidi="ar"/>
              </w:rPr>
              <w:t>；</w:t>
            </w:r>
          </w:p>
          <w:p w14:paraId="74367714">
            <w:pPr>
              <w:keepNext w:val="0"/>
              <w:keepLines w:val="0"/>
              <w:widowControl/>
              <w:suppressLineNumbers w:val="0"/>
              <w:spacing w:before="0" w:beforeAutospacing="0" w:after="0" w:afterAutospacing="0"/>
              <w:ind w:left="0" w:right="0"/>
              <w:rPr>
                <w:rFonts w:hint="eastAsia" w:ascii="新宋体" w:hAnsi="新宋体" w:eastAsia="新宋体" w:cs="新宋体"/>
                <w:color w:val="auto"/>
                <w:szCs w:val="21"/>
                <w:highlight w:val="none"/>
                <w:lang w:bidi="ar"/>
              </w:rPr>
            </w:pPr>
            <w:r>
              <w:rPr>
                <w:rFonts w:hint="default" w:ascii="新宋体" w:hAnsi="新宋体" w:eastAsia="新宋体" w:cs="新宋体"/>
                <w:color w:val="auto"/>
                <w:szCs w:val="21"/>
                <w:highlight w:val="none"/>
                <w:lang w:bidi="ar"/>
              </w:rPr>
              <w:t>(2)如果投标人的评标价≤评标基准价，则评标价得分＝F＋偏差率× 100×D2；D2＝</w:t>
            </w:r>
            <w:r>
              <w:rPr>
                <w:rFonts w:hint="eastAsia" w:ascii="新宋体" w:hAnsi="新宋体" w:eastAsia="新宋体" w:cs="新宋体"/>
                <w:color w:val="auto"/>
                <w:szCs w:val="21"/>
                <w:highlight w:val="none"/>
                <w:lang w:val="en-US" w:eastAsia="zh-CN" w:bidi="ar"/>
              </w:rPr>
              <w:t>1</w:t>
            </w:r>
            <w:r>
              <w:rPr>
                <w:rFonts w:hint="default" w:ascii="新宋体" w:hAnsi="新宋体" w:eastAsia="新宋体" w:cs="新宋体"/>
                <w:color w:val="auto"/>
                <w:szCs w:val="21"/>
                <w:highlight w:val="none"/>
                <w:lang w:bidi="ar"/>
              </w:rPr>
              <w:t>。</w:t>
            </w:r>
          </w:p>
          <w:p w14:paraId="3E0F9F3E">
            <w:pPr>
              <w:keepNext w:val="0"/>
              <w:keepLines w:val="0"/>
              <w:widowControl/>
              <w:suppressLineNumbers w:val="0"/>
              <w:spacing w:before="0" w:beforeAutospacing="0" w:after="0" w:afterAutospacing="0"/>
              <w:ind w:left="0" w:right="0"/>
              <w:rPr>
                <w:rFonts w:hint="eastAsia" w:ascii="新宋体" w:hAnsi="新宋体" w:eastAsia="新宋体" w:cs="新宋体"/>
                <w:color w:val="auto"/>
                <w:szCs w:val="21"/>
                <w:highlight w:val="none"/>
                <w:lang w:bidi="ar"/>
              </w:rPr>
            </w:pPr>
            <w:r>
              <w:rPr>
                <w:rFonts w:hint="default" w:ascii="新宋体" w:hAnsi="新宋体" w:eastAsia="新宋体" w:cs="新宋体"/>
                <w:color w:val="auto"/>
                <w:szCs w:val="21"/>
                <w:highlight w:val="none"/>
                <w:lang w:bidi="ar"/>
              </w:rPr>
              <w:t>注：评标价得分计算保留小数点后四位，小数点后第五位“四舍五入”。</w:t>
            </w:r>
          </w:p>
        </w:tc>
      </w:tr>
      <w:tr w14:paraId="32F7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5" w:hRule="atLeast"/>
        </w:trPr>
        <w:tc>
          <w:tcPr>
            <w:tcW w:w="1131" w:type="dxa"/>
            <w:vMerge w:val="restart"/>
            <w:noWrap w:val="0"/>
            <w:vAlign w:val="center"/>
          </w:tcPr>
          <w:p w14:paraId="4A982B02">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2.2.4(</w:t>
            </w:r>
            <w:r>
              <w:rPr>
                <w:rFonts w:hint="eastAsia" w:ascii="新宋体" w:hAnsi="新宋体" w:eastAsia="新宋体" w:cs="新宋体"/>
                <w:color w:val="auto"/>
                <w:szCs w:val="21"/>
                <w:highlight w:val="none"/>
              </w:rPr>
              <w:t>4</w:t>
            </w:r>
            <w:r>
              <w:rPr>
                <w:rFonts w:hint="default" w:ascii="新宋体" w:hAnsi="新宋体" w:eastAsia="新宋体" w:cs="新宋体"/>
                <w:color w:val="auto"/>
                <w:szCs w:val="21"/>
                <w:highlight w:val="none"/>
              </w:rPr>
              <w:t>)</w:t>
            </w:r>
          </w:p>
        </w:tc>
        <w:tc>
          <w:tcPr>
            <w:tcW w:w="1563" w:type="dxa"/>
            <w:vMerge w:val="restart"/>
            <w:noWrap w:val="0"/>
            <w:vAlign w:val="center"/>
          </w:tcPr>
          <w:p w14:paraId="3C524AE4">
            <w:pPr>
              <w:keepNext w:val="0"/>
              <w:keepLines w:val="0"/>
              <w:widowControl/>
              <w:suppressLineNumbers w:val="0"/>
              <w:spacing w:before="0" w:beforeAutospacing="0" w:after="0" w:afterAutospacing="0"/>
              <w:ind w:left="0" w:right="0"/>
              <w:jc w:val="center"/>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其他因素</w:t>
            </w:r>
          </w:p>
          <w:p w14:paraId="3F77F2BA">
            <w:pPr>
              <w:keepNext w:val="0"/>
              <w:keepLines w:val="0"/>
              <w:widowControl/>
              <w:suppressLineNumbers w:val="0"/>
              <w:spacing w:before="0" w:beforeAutospacing="0" w:after="0" w:afterAutospacing="0"/>
              <w:ind w:left="0" w:right="0"/>
              <w:jc w:val="center"/>
              <w:rPr>
                <w:rFonts w:hint="eastAsia" w:ascii="新宋体" w:hAnsi="新宋体" w:eastAsia="新宋体" w:cs="新宋体"/>
                <w:color w:val="auto"/>
                <w:szCs w:val="21"/>
                <w:highlight w:val="none"/>
              </w:rPr>
            </w:pPr>
            <w:r>
              <w:rPr>
                <w:rFonts w:hint="default" w:ascii="新宋体" w:hAnsi="新宋体" w:eastAsia="新宋体" w:cs="新宋体"/>
                <w:color w:val="auto"/>
                <w:szCs w:val="21"/>
                <w:highlight w:val="none"/>
              </w:rPr>
              <w:t>（</w:t>
            </w:r>
            <w:r>
              <w:rPr>
                <w:rFonts w:hint="eastAsia" w:ascii="新宋体" w:hAnsi="新宋体" w:eastAsia="新宋体" w:cs="新宋体"/>
                <w:color w:val="auto"/>
                <w:szCs w:val="21"/>
                <w:highlight w:val="none"/>
                <w:lang w:val="en-US" w:eastAsia="zh-CN"/>
              </w:rPr>
              <w:t>15</w:t>
            </w:r>
            <w:r>
              <w:rPr>
                <w:rFonts w:hint="default" w:ascii="新宋体" w:hAnsi="新宋体" w:eastAsia="新宋体" w:cs="新宋体"/>
                <w:color w:val="auto"/>
                <w:szCs w:val="21"/>
                <w:highlight w:val="none"/>
              </w:rPr>
              <w:t>分）</w:t>
            </w:r>
          </w:p>
        </w:tc>
        <w:tc>
          <w:tcPr>
            <w:tcW w:w="2409" w:type="dxa"/>
            <w:noWrap w:val="0"/>
            <w:vAlign w:val="center"/>
          </w:tcPr>
          <w:p w14:paraId="5BA533C1">
            <w:pPr>
              <w:keepNext w:val="0"/>
              <w:keepLines w:val="0"/>
              <w:widowControl w:val="0"/>
              <w:suppressLineNumbers w:val="0"/>
              <w:autoSpaceDE w:val="0"/>
              <w:autoSpaceDN w:val="0"/>
              <w:spacing w:before="0" w:beforeAutospacing="0" w:after="0" w:afterAutospacing="0" w:line="209" w:lineRule="exact"/>
              <w:ind w:left="24" w:right="0" w:firstLine="0"/>
              <w:jc w:val="center"/>
              <w:rPr>
                <w:rFonts w:hint="default" w:ascii="宋体" w:hAnsi="宋体" w:cs="宋体"/>
                <w:color w:val="auto"/>
                <w:spacing w:val="-1"/>
                <w:sz w:val="21"/>
                <w:highlight w:val="none"/>
              </w:rPr>
            </w:pPr>
            <w:r>
              <w:rPr>
                <w:rFonts w:hint="default" w:ascii="宋体" w:hAnsi="宋体" w:cs="宋体"/>
                <w:color w:val="auto"/>
                <w:spacing w:val="-1"/>
                <w:sz w:val="21"/>
                <w:highlight w:val="none"/>
              </w:rPr>
              <w:t>履约信誉</w:t>
            </w:r>
          </w:p>
          <w:p w14:paraId="0E8A695B">
            <w:pPr>
              <w:keepNext w:val="0"/>
              <w:keepLines w:val="0"/>
              <w:widowControl w:val="0"/>
              <w:suppressLineNumbers w:val="0"/>
              <w:autoSpaceDE w:val="0"/>
              <w:autoSpaceDN w:val="0"/>
              <w:spacing w:before="0" w:beforeAutospacing="0" w:after="0" w:afterAutospacing="0" w:line="209" w:lineRule="exact"/>
              <w:ind w:left="24" w:right="0" w:firstLine="0"/>
              <w:jc w:val="center"/>
              <w:rPr>
                <w:rFonts w:hint="eastAsia" w:ascii="新宋体" w:hAnsi="新宋体" w:eastAsia="宋体" w:cs="新宋体"/>
                <w:color w:val="auto"/>
                <w:szCs w:val="21"/>
                <w:highlight w:val="none"/>
                <w:lang w:eastAsia="zh-CN"/>
              </w:rPr>
            </w:pPr>
            <w:r>
              <w:rPr>
                <w:rFonts w:hint="eastAsia" w:ascii="宋体" w:hAnsi="宋体" w:cs="宋体"/>
                <w:color w:val="auto"/>
                <w:spacing w:val="-1"/>
                <w:sz w:val="21"/>
                <w:highlight w:val="none"/>
                <w:lang w:eastAsia="zh-CN"/>
              </w:rPr>
              <w:t>（</w:t>
            </w:r>
            <w:r>
              <w:rPr>
                <w:rFonts w:hint="eastAsia" w:ascii="宋体" w:hAnsi="宋体" w:cs="宋体"/>
                <w:color w:val="auto"/>
                <w:spacing w:val="-1"/>
                <w:sz w:val="21"/>
                <w:highlight w:val="none"/>
                <w:lang w:val="en-US" w:eastAsia="zh-CN"/>
              </w:rPr>
              <w:t>10分</w:t>
            </w:r>
            <w:r>
              <w:rPr>
                <w:rFonts w:hint="eastAsia" w:ascii="宋体" w:hAnsi="宋体" w:cs="宋体"/>
                <w:color w:val="auto"/>
                <w:spacing w:val="-1"/>
                <w:sz w:val="21"/>
                <w:highlight w:val="none"/>
                <w:lang w:eastAsia="zh-CN"/>
              </w:rPr>
              <w:t>）</w:t>
            </w:r>
          </w:p>
        </w:tc>
        <w:tc>
          <w:tcPr>
            <w:tcW w:w="3999" w:type="dxa"/>
            <w:noWrap w:val="0"/>
            <w:vAlign w:val="center"/>
          </w:tcPr>
          <w:p w14:paraId="52BD5D6C">
            <w:pPr>
              <w:keepNext w:val="0"/>
              <w:keepLines w:val="0"/>
              <w:widowControl w:val="0"/>
              <w:suppressLineNumbers w:val="0"/>
              <w:autoSpaceDE w:val="0"/>
              <w:autoSpaceDN w:val="0"/>
              <w:spacing w:before="0" w:beforeAutospacing="0" w:after="0" w:afterAutospacing="0" w:line="209" w:lineRule="exact"/>
              <w:ind w:left="105" w:right="0" w:firstLine="0"/>
              <w:jc w:val="left"/>
              <w:rPr>
                <w:rFonts w:hint="default" w:ascii="Times New Roman" w:hAnsi="Times New Roman" w:cs="Times New Roman"/>
                <w:color w:val="auto"/>
                <w:spacing w:val="0"/>
                <w:sz w:val="21"/>
                <w:highlight w:val="none"/>
              </w:rPr>
            </w:pPr>
            <w:r>
              <w:rPr>
                <w:rFonts w:hint="default" w:ascii="宋体" w:hAnsi="Times New Roman" w:cs="Times New Roman"/>
                <w:color w:val="auto"/>
                <w:spacing w:val="0"/>
                <w:sz w:val="21"/>
                <w:highlight w:val="none"/>
              </w:rPr>
              <w:t>1.</w:t>
            </w:r>
            <w:r>
              <w:rPr>
                <w:rFonts w:hint="default" w:ascii="Times New Roman" w:hAnsi="Times New Roman" w:cs="Times New Roman"/>
                <w:color w:val="auto"/>
                <w:spacing w:val="52"/>
                <w:sz w:val="21"/>
                <w:highlight w:val="none"/>
              </w:rPr>
              <w:t xml:space="preserve"> </w:t>
            </w:r>
            <w:r>
              <w:rPr>
                <w:rFonts w:hint="default" w:ascii="宋体" w:hAnsi="宋体" w:cs="宋体"/>
                <w:color w:val="auto"/>
                <w:spacing w:val="0"/>
                <w:sz w:val="21"/>
                <w:highlight w:val="none"/>
              </w:rPr>
              <w:t>信用等级分值（5</w:t>
            </w:r>
            <w:r>
              <w:rPr>
                <w:rFonts w:hint="default" w:ascii="Times New Roman" w:hAnsi="Times New Roman" w:cs="Times New Roman"/>
                <w:color w:val="auto"/>
                <w:spacing w:val="-1"/>
                <w:sz w:val="21"/>
                <w:highlight w:val="none"/>
              </w:rPr>
              <w:t xml:space="preserve"> </w:t>
            </w:r>
            <w:r>
              <w:rPr>
                <w:rFonts w:hint="default" w:ascii="宋体" w:hAnsi="宋体" w:cs="宋体"/>
                <w:color w:val="auto"/>
                <w:spacing w:val="-1"/>
                <w:sz w:val="21"/>
                <w:highlight w:val="none"/>
              </w:rPr>
              <w:t>分）</w:t>
            </w:r>
          </w:p>
          <w:p w14:paraId="5E8535AE">
            <w:pPr>
              <w:keepNext w:val="0"/>
              <w:keepLines w:val="0"/>
              <w:widowControl w:val="0"/>
              <w:suppressLineNumbers w:val="0"/>
              <w:autoSpaceDE w:val="0"/>
              <w:autoSpaceDN w:val="0"/>
              <w:spacing w:before="53" w:beforeAutospacing="0" w:after="0" w:afterAutospacing="0" w:line="209" w:lineRule="exact"/>
              <w:ind w:left="0" w:leftChars="0" w:right="0" w:firstLine="0" w:firstLineChars="0"/>
              <w:jc w:val="left"/>
              <w:rPr>
                <w:rFonts w:hint="default" w:ascii="Times New Roman" w:hAnsi="Times New Roman" w:cs="Times New Roman"/>
                <w:color w:val="auto"/>
                <w:spacing w:val="0"/>
                <w:sz w:val="21"/>
                <w:highlight w:val="none"/>
              </w:rPr>
            </w:pPr>
            <w:r>
              <w:rPr>
                <w:rFonts w:hint="default" w:ascii="宋体" w:hAnsi="宋体" w:cs="宋体"/>
                <w:color w:val="auto"/>
                <w:spacing w:val="0"/>
                <w:sz w:val="21"/>
                <w:highlight w:val="none"/>
              </w:rPr>
              <w:t>AA、A、B、C</w:t>
            </w:r>
            <w:r>
              <w:rPr>
                <w:rFonts w:hint="default" w:ascii="Times New Roman" w:hAnsi="Times New Roman" w:cs="Times New Roman"/>
                <w:color w:val="auto"/>
                <w:spacing w:val="-1"/>
                <w:sz w:val="21"/>
                <w:highlight w:val="none"/>
              </w:rPr>
              <w:t xml:space="preserve"> </w:t>
            </w:r>
            <w:r>
              <w:rPr>
                <w:rFonts w:hint="default" w:ascii="宋体" w:hAnsi="宋体" w:cs="宋体"/>
                <w:color w:val="auto"/>
                <w:spacing w:val="0"/>
                <w:sz w:val="21"/>
                <w:highlight w:val="none"/>
              </w:rPr>
              <w:t>级单位的信用等级分得分分别为</w:t>
            </w:r>
            <w:r>
              <w:rPr>
                <w:rFonts w:hint="default" w:ascii="Times New Roman" w:hAnsi="Times New Roman" w:cs="Times New Roman"/>
                <w:color w:val="auto"/>
                <w:spacing w:val="3"/>
                <w:sz w:val="21"/>
                <w:highlight w:val="none"/>
              </w:rPr>
              <w:t xml:space="preserve"> </w:t>
            </w:r>
            <w:r>
              <w:rPr>
                <w:rFonts w:hint="default" w:ascii="宋体" w:hAnsi="宋体" w:cs="宋体"/>
                <w:color w:val="auto"/>
                <w:spacing w:val="0"/>
                <w:sz w:val="21"/>
                <w:highlight w:val="none"/>
              </w:rPr>
              <w:t>5.00、4.75、4.45、3.65</w:t>
            </w:r>
            <w:r>
              <w:rPr>
                <w:rFonts w:hint="default" w:ascii="Times New Roman" w:hAnsi="Times New Roman" w:cs="Times New Roman"/>
                <w:color w:val="auto"/>
                <w:spacing w:val="-1"/>
                <w:sz w:val="21"/>
                <w:highlight w:val="none"/>
              </w:rPr>
              <w:t xml:space="preserve"> </w:t>
            </w:r>
            <w:r>
              <w:rPr>
                <w:rFonts w:hint="default" w:ascii="宋体" w:hAnsi="宋体" w:cs="宋体"/>
                <w:color w:val="auto"/>
                <w:spacing w:val="-1"/>
                <w:sz w:val="21"/>
                <w:highlight w:val="none"/>
              </w:rPr>
              <w:t>分。</w:t>
            </w:r>
          </w:p>
          <w:p w14:paraId="5B50CEE0">
            <w:pPr>
              <w:keepNext w:val="0"/>
              <w:keepLines w:val="0"/>
              <w:widowControl w:val="0"/>
              <w:suppressLineNumbers w:val="0"/>
              <w:autoSpaceDE w:val="0"/>
              <w:autoSpaceDN w:val="0"/>
              <w:spacing w:before="51" w:beforeAutospacing="0" w:after="0" w:afterAutospacing="0" w:line="209" w:lineRule="exact"/>
              <w:ind w:left="0" w:right="0" w:firstLine="0"/>
              <w:jc w:val="left"/>
              <w:rPr>
                <w:rFonts w:hint="default" w:ascii="Times New Roman" w:hAnsi="Times New Roman" w:cs="Times New Roman"/>
                <w:color w:val="auto"/>
                <w:spacing w:val="0"/>
                <w:sz w:val="21"/>
                <w:highlight w:val="none"/>
              </w:rPr>
            </w:pPr>
            <w:r>
              <w:rPr>
                <w:rFonts w:hint="default" w:ascii="宋体" w:hAnsi="宋体" w:cs="宋体"/>
                <w:color w:val="auto"/>
                <w:spacing w:val="0"/>
                <w:sz w:val="21"/>
                <w:highlight w:val="none"/>
              </w:rPr>
              <w:t>注：信用等级的确定原则遵循投标人须知前附表</w:t>
            </w:r>
            <w:r>
              <w:rPr>
                <w:rFonts w:hint="default" w:ascii="Times New Roman" w:hAnsi="Times New Roman" w:cs="Times New Roman"/>
                <w:color w:val="auto"/>
                <w:spacing w:val="-1"/>
                <w:sz w:val="21"/>
                <w:highlight w:val="none"/>
              </w:rPr>
              <w:t xml:space="preserve"> </w:t>
            </w:r>
            <w:r>
              <w:rPr>
                <w:rFonts w:hint="default" w:ascii="宋体" w:hAnsi="Times New Roman" w:cs="Times New Roman"/>
                <w:color w:val="auto"/>
                <w:spacing w:val="2"/>
                <w:sz w:val="21"/>
                <w:highlight w:val="none"/>
              </w:rPr>
              <w:t>10.2</w:t>
            </w:r>
            <w:r>
              <w:rPr>
                <w:rFonts w:hint="default" w:ascii="Times New Roman" w:hAnsi="Times New Roman" w:cs="Times New Roman"/>
                <w:color w:val="auto"/>
                <w:spacing w:val="-2"/>
                <w:sz w:val="21"/>
                <w:highlight w:val="none"/>
              </w:rPr>
              <w:t xml:space="preserve"> </w:t>
            </w:r>
            <w:r>
              <w:rPr>
                <w:rFonts w:hint="default" w:ascii="宋体" w:hAnsi="宋体" w:cs="宋体"/>
                <w:color w:val="auto"/>
                <w:spacing w:val="-1"/>
                <w:sz w:val="21"/>
                <w:highlight w:val="none"/>
              </w:rPr>
              <w:t>款的</w:t>
            </w:r>
            <w:r>
              <w:rPr>
                <w:rFonts w:hint="default" w:ascii="宋体" w:hAnsi="宋体" w:cs="宋体"/>
                <w:color w:val="auto"/>
                <w:spacing w:val="0"/>
                <w:sz w:val="21"/>
                <w:highlight w:val="none"/>
              </w:rPr>
              <w:t>规定。</w:t>
            </w:r>
          </w:p>
          <w:p w14:paraId="1FC69B19">
            <w:pPr>
              <w:keepNext w:val="0"/>
              <w:keepLines w:val="0"/>
              <w:widowControl w:val="0"/>
              <w:suppressLineNumbers w:val="0"/>
              <w:autoSpaceDE w:val="0"/>
              <w:autoSpaceDN w:val="0"/>
              <w:spacing w:before="50" w:beforeAutospacing="0" w:after="0" w:afterAutospacing="0" w:line="209" w:lineRule="exact"/>
              <w:ind w:left="0" w:right="0" w:firstLine="0"/>
              <w:jc w:val="left"/>
              <w:rPr>
                <w:rFonts w:hint="default" w:ascii="Times New Roman" w:hAnsi="Times New Roman" w:cs="Times New Roman"/>
                <w:color w:val="auto"/>
                <w:spacing w:val="0"/>
                <w:sz w:val="21"/>
                <w:highlight w:val="none"/>
              </w:rPr>
            </w:pPr>
            <w:r>
              <w:rPr>
                <w:rFonts w:hint="default" w:ascii="宋体" w:hAnsi="Times New Roman" w:cs="Times New Roman"/>
                <w:color w:val="auto"/>
                <w:spacing w:val="0"/>
                <w:sz w:val="21"/>
                <w:highlight w:val="none"/>
              </w:rPr>
              <w:t>2.</w:t>
            </w:r>
            <w:r>
              <w:rPr>
                <w:rFonts w:hint="default" w:ascii="Times New Roman" w:hAnsi="Times New Roman" w:cs="Times New Roman"/>
                <w:color w:val="auto"/>
                <w:spacing w:val="56"/>
                <w:sz w:val="21"/>
                <w:highlight w:val="none"/>
              </w:rPr>
              <w:t xml:space="preserve"> </w:t>
            </w:r>
            <w:r>
              <w:rPr>
                <w:rFonts w:hint="default" w:ascii="宋体" w:hAnsi="宋体" w:cs="宋体"/>
                <w:color w:val="auto"/>
                <w:spacing w:val="-1"/>
                <w:sz w:val="21"/>
                <w:highlight w:val="none"/>
              </w:rPr>
              <w:t>履约情况（5</w:t>
            </w:r>
            <w:r>
              <w:rPr>
                <w:rFonts w:hint="default" w:ascii="Times New Roman" w:hAnsi="Times New Roman" w:cs="Times New Roman"/>
                <w:color w:val="auto"/>
                <w:spacing w:val="0"/>
                <w:sz w:val="21"/>
                <w:highlight w:val="none"/>
              </w:rPr>
              <w:t xml:space="preserve"> </w:t>
            </w:r>
            <w:r>
              <w:rPr>
                <w:rFonts w:hint="default" w:ascii="宋体" w:hAnsi="宋体" w:cs="宋体"/>
                <w:color w:val="auto"/>
                <w:spacing w:val="-1"/>
                <w:sz w:val="21"/>
                <w:highlight w:val="none"/>
              </w:rPr>
              <w:t>分）</w:t>
            </w:r>
          </w:p>
          <w:p w14:paraId="08BE5D00">
            <w:pPr>
              <w:keepNext w:val="0"/>
              <w:keepLines w:val="0"/>
              <w:widowControl w:val="0"/>
              <w:suppressLineNumbers w:val="0"/>
              <w:autoSpaceDE w:val="0"/>
              <w:autoSpaceDN w:val="0"/>
              <w:spacing w:before="0" w:beforeAutospacing="0" w:after="0" w:afterAutospacing="0" w:line="209" w:lineRule="exact"/>
              <w:ind w:left="0" w:right="0" w:firstLine="0"/>
              <w:jc w:val="left"/>
              <w:rPr>
                <w:rFonts w:hint="default" w:ascii="Times New Roman" w:hAnsi="Times New Roman" w:cs="Times New Roman"/>
                <w:color w:val="auto"/>
                <w:spacing w:val="0"/>
                <w:sz w:val="21"/>
                <w:highlight w:val="none"/>
              </w:rPr>
            </w:pPr>
            <w:r>
              <w:rPr>
                <w:rFonts w:hint="default" w:ascii="宋体" w:hAnsi="宋体" w:cs="宋体"/>
                <w:color w:val="auto"/>
                <w:spacing w:val="0"/>
                <w:sz w:val="21"/>
                <w:highlight w:val="none"/>
              </w:rPr>
              <w:t>若没出现下述情形得满分；</w:t>
            </w:r>
          </w:p>
          <w:p w14:paraId="42CC4F3A">
            <w:pPr>
              <w:keepNext w:val="0"/>
              <w:keepLines w:val="0"/>
              <w:widowControl w:val="0"/>
              <w:suppressLineNumbers w:val="0"/>
              <w:autoSpaceDE w:val="0"/>
              <w:autoSpaceDN w:val="0"/>
              <w:spacing w:before="0" w:beforeAutospacing="0" w:after="0" w:afterAutospacing="0" w:line="209" w:lineRule="exact"/>
              <w:ind w:left="0" w:leftChars="0" w:right="0" w:firstLine="0" w:firstLineChars="0"/>
              <w:jc w:val="left"/>
              <w:rPr>
                <w:rFonts w:hint="default" w:ascii="Times New Roman" w:hAnsi="Times New Roman" w:cs="Times New Roman"/>
                <w:color w:val="auto"/>
                <w:spacing w:val="0"/>
                <w:sz w:val="21"/>
                <w:highlight w:val="none"/>
              </w:rPr>
            </w:pPr>
            <w:r>
              <w:rPr>
                <w:rFonts w:hint="default" w:ascii="宋体" w:hAnsi="宋体" w:cs="宋体"/>
                <w:color w:val="auto"/>
                <w:spacing w:val="0"/>
                <w:sz w:val="21"/>
                <w:highlight w:val="none"/>
              </w:rPr>
              <w:t>投标文件递交截止日前</w:t>
            </w:r>
            <w:r>
              <w:rPr>
                <w:rFonts w:hint="default" w:ascii="Times New Roman" w:hAnsi="Times New Roman" w:cs="Times New Roman"/>
                <w:color w:val="auto"/>
                <w:spacing w:val="-4"/>
                <w:sz w:val="21"/>
                <w:highlight w:val="none"/>
              </w:rPr>
              <w:t xml:space="preserve"> </w:t>
            </w:r>
            <w:r>
              <w:rPr>
                <w:rFonts w:hint="default" w:ascii="宋体" w:hAnsi="Times New Roman" w:cs="Times New Roman"/>
                <w:color w:val="auto"/>
                <w:spacing w:val="0"/>
                <w:sz w:val="21"/>
                <w:highlight w:val="none"/>
              </w:rPr>
              <w:t>1</w:t>
            </w:r>
            <w:r>
              <w:rPr>
                <w:rFonts w:hint="default" w:ascii="Times New Roman" w:hAnsi="Times New Roman" w:cs="Times New Roman"/>
                <w:color w:val="auto"/>
                <w:spacing w:val="1"/>
                <w:sz w:val="21"/>
                <w:highlight w:val="none"/>
              </w:rPr>
              <w:t xml:space="preserve"> </w:t>
            </w:r>
            <w:r>
              <w:rPr>
                <w:rFonts w:hint="default" w:ascii="宋体" w:hAnsi="宋体" w:cs="宋体"/>
                <w:color w:val="auto"/>
                <w:spacing w:val="-3"/>
                <w:sz w:val="21"/>
                <w:highlight w:val="none"/>
              </w:rPr>
              <w:t>年内，投标人因水运工程（含附</w:t>
            </w:r>
            <w:r>
              <w:rPr>
                <w:rFonts w:hint="default" w:ascii="宋体" w:hAnsi="宋体" w:cs="宋体"/>
                <w:color w:val="auto"/>
                <w:spacing w:val="-2"/>
                <w:sz w:val="21"/>
                <w:highlight w:val="none"/>
              </w:rPr>
              <w:t>属设施）建设项目质量、安全、履约或招标投标问题等原因</w:t>
            </w:r>
            <w:r>
              <w:rPr>
                <w:rFonts w:hint="default" w:ascii="宋体" w:hAnsi="宋体" w:cs="宋体"/>
                <w:color w:val="auto"/>
                <w:spacing w:val="-1"/>
                <w:sz w:val="21"/>
                <w:highlight w:val="none"/>
              </w:rPr>
              <w:t>被：</w:t>
            </w:r>
          </w:p>
          <w:p w14:paraId="78BF5CD7">
            <w:pPr>
              <w:keepNext w:val="0"/>
              <w:keepLines w:val="0"/>
              <w:widowControl w:val="0"/>
              <w:suppressLineNumbers w:val="0"/>
              <w:autoSpaceDE w:val="0"/>
              <w:autoSpaceDN w:val="0"/>
              <w:spacing w:before="0" w:beforeAutospacing="0" w:after="0" w:afterAutospacing="0" w:line="231" w:lineRule="exact"/>
              <w:ind w:left="0" w:right="0" w:firstLine="0"/>
              <w:jc w:val="left"/>
              <w:rPr>
                <w:rFonts w:hint="default" w:ascii="Times New Roman" w:hAnsi="Times New Roman" w:cs="Times New Roman"/>
                <w:color w:val="auto"/>
                <w:spacing w:val="0"/>
                <w:sz w:val="21"/>
                <w:highlight w:val="none"/>
              </w:rPr>
            </w:pPr>
            <w:r>
              <w:rPr>
                <w:rFonts w:hint="default" w:ascii="宋体" w:hAnsi="宋体" w:cs="宋体"/>
                <w:color w:val="auto"/>
                <w:spacing w:val="1"/>
                <w:sz w:val="21"/>
                <w:highlight w:val="none"/>
              </w:rPr>
              <w:t>（</w:t>
            </w:r>
            <w:r>
              <w:rPr>
                <w:rFonts w:hint="default" w:ascii="Times New Roman" w:hAnsi="Times New Roman" w:cs="Times New Roman"/>
                <w:color w:val="auto"/>
                <w:spacing w:val="1"/>
                <w:sz w:val="21"/>
                <w:highlight w:val="none"/>
              </w:rPr>
              <w:t>1</w:t>
            </w:r>
            <w:r>
              <w:rPr>
                <w:rFonts w:hint="default" w:ascii="宋体" w:hAnsi="宋体" w:cs="宋体"/>
                <w:color w:val="auto"/>
                <w:spacing w:val="0"/>
                <w:sz w:val="21"/>
                <w:highlight w:val="none"/>
              </w:rPr>
              <w:t>）交通运输部行政处罚的，扣</w:t>
            </w:r>
            <w:r>
              <w:rPr>
                <w:rFonts w:hint="default" w:ascii="Times New Roman" w:hAnsi="Times New Roman" w:cs="Times New Roman"/>
                <w:color w:val="auto"/>
                <w:spacing w:val="0"/>
                <w:sz w:val="21"/>
                <w:highlight w:val="none"/>
              </w:rPr>
              <w:t xml:space="preserve"> 5</w:t>
            </w:r>
            <w:r>
              <w:rPr>
                <w:rFonts w:hint="default" w:ascii="Times New Roman" w:hAnsi="Times New Roman" w:cs="Times New Roman"/>
                <w:color w:val="auto"/>
                <w:spacing w:val="-11"/>
                <w:sz w:val="21"/>
                <w:highlight w:val="none"/>
              </w:rPr>
              <w:t xml:space="preserve"> </w:t>
            </w:r>
            <w:r>
              <w:rPr>
                <w:rFonts w:hint="default" w:ascii="宋体" w:hAnsi="宋体" w:cs="宋体"/>
                <w:color w:val="auto"/>
                <w:spacing w:val="-1"/>
                <w:sz w:val="21"/>
                <w:highlight w:val="none"/>
              </w:rPr>
              <w:t>分</w:t>
            </w:r>
            <w:r>
              <w:rPr>
                <w:rFonts w:hint="default" w:ascii="Times New Roman" w:hAnsi="Times New Roman" w:cs="Times New Roman"/>
                <w:color w:val="auto"/>
                <w:spacing w:val="1"/>
                <w:sz w:val="21"/>
                <w:highlight w:val="none"/>
              </w:rPr>
              <w:t>/</w:t>
            </w:r>
            <w:r>
              <w:rPr>
                <w:rFonts w:hint="default" w:ascii="宋体" w:hAnsi="宋体" w:cs="宋体"/>
                <w:color w:val="auto"/>
                <w:spacing w:val="-1"/>
                <w:sz w:val="21"/>
                <w:highlight w:val="none"/>
              </w:rPr>
              <w:t>次。</w:t>
            </w:r>
          </w:p>
          <w:p w14:paraId="5C8DD9DF">
            <w:pPr>
              <w:keepNext w:val="0"/>
              <w:keepLines w:val="0"/>
              <w:widowControl w:val="0"/>
              <w:suppressLineNumbers w:val="0"/>
              <w:autoSpaceDE w:val="0"/>
              <w:autoSpaceDN w:val="0"/>
              <w:spacing w:before="0" w:beforeAutospacing="0" w:after="0" w:afterAutospacing="0" w:line="231" w:lineRule="exact"/>
              <w:ind w:left="0" w:right="0" w:firstLine="0"/>
              <w:jc w:val="left"/>
              <w:rPr>
                <w:rFonts w:hint="default" w:ascii="Times New Roman" w:hAnsi="Times New Roman" w:cs="Times New Roman"/>
                <w:color w:val="auto"/>
                <w:spacing w:val="0"/>
                <w:sz w:val="21"/>
                <w:highlight w:val="none"/>
              </w:rPr>
            </w:pPr>
            <w:r>
              <w:rPr>
                <w:rFonts w:hint="default" w:ascii="宋体" w:hAnsi="宋体" w:cs="宋体"/>
                <w:color w:val="auto"/>
                <w:spacing w:val="1"/>
                <w:sz w:val="21"/>
                <w:highlight w:val="none"/>
              </w:rPr>
              <w:t>（</w:t>
            </w:r>
            <w:r>
              <w:rPr>
                <w:rFonts w:hint="default" w:ascii="Times New Roman" w:hAnsi="Times New Roman" w:cs="Times New Roman"/>
                <w:color w:val="auto"/>
                <w:spacing w:val="1"/>
                <w:sz w:val="21"/>
                <w:highlight w:val="none"/>
              </w:rPr>
              <w:t>2</w:t>
            </w:r>
            <w:r>
              <w:rPr>
                <w:rFonts w:hint="default" w:ascii="宋体" w:hAnsi="宋体" w:cs="宋体"/>
                <w:color w:val="auto"/>
                <w:spacing w:val="0"/>
                <w:sz w:val="21"/>
                <w:highlight w:val="none"/>
              </w:rPr>
              <w:t>）广东省交通运输厅行政处罚的，扣</w:t>
            </w:r>
            <w:r>
              <w:rPr>
                <w:rFonts w:hint="default" w:ascii="Times New Roman" w:hAnsi="Times New Roman" w:cs="Times New Roman"/>
                <w:color w:val="auto"/>
                <w:spacing w:val="0"/>
                <w:sz w:val="21"/>
                <w:highlight w:val="none"/>
              </w:rPr>
              <w:t xml:space="preserve"> 3</w:t>
            </w:r>
            <w:r>
              <w:rPr>
                <w:rFonts w:hint="default" w:ascii="Times New Roman" w:hAnsi="Times New Roman" w:cs="Times New Roman"/>
                <w:color w:val="auto"/>
                <w:spacing w:val="-11"/>
                <w:sz w:val="21"/>
                <w:highlight w:val="none"/>
              </w:rPr>
              <w:t xml:space="preserve"> </w:t>
            </w:r>
            <w:r>
              <w:rPr>
                <w:rFonts w:hint="default" w:ascii="宋体" w:hAnsi="宋体" w:cs="宋体"/>
                <w:color w:val="auto"/>
                <w:spacing w:val="1"/>
                <w:sz w:val="21"/>
                <w:highlight w:val="none"/>
              </w:rPr>
              <w:t>分</w:t>
            </w:r>
            <w:r>
              <w:rPr>
                <w:rFonts w:hint="default" w:ascii="Times New Roman" w:hAnsi="Times New Roman" w:cs="Times New Roman"/>
                <w:color w:val="auto"/>
                <w:spacing w:val="-1"/>
                <w:sz w:val="21"/>
                <w:highlight w:val="none"/>
              </w:rPr>
              <w:t>/</w:t>
            </w:r>
            <w:r>
              <w:rPr>
                <w:rFonts w:hint="default" w:ascii="宋体" w:hAnsi="宋体" w:cs="宋体"/>
                <w:color w:val="auto"/>
                <w:spacing w:val="1"/>
                <w:sz w:val="21"/>
                <w:highlight w:val="none"/>
              </w:rPr>
              <w:t>次。</w:t>
            </w:r>
          </w:p>
          <w:p w14:paraId="6ACDA0C4">
            <w:pPr>
              <w:keepNext w:val="0"/>
              <w:keepLines w:val="0"/>
              <w:widowControl w:val="0"/>
              <w:suppressLineNumbers w:val="0"/>
              <w:autoSpaceDE w:val="0"/>
              <w:autoSpaceDN w:val="0"/>
              <w:spacing w:before="0" w:beforeAutospacing="0" w:after="0" w:afterAutospacing="0" w:line="233" w:lineRule="exact"/>
              <w:ind w:left="0" w:right="0" w:firstLine="0"/>
              <w:jc w:val="left"/>
              <w:rPr>
                <w:rFonts w:hint="default" w:ascii="Times New Roman" w:hAnsi="Times New Roman" w:cs="Times New Roman"/>
                <w:color w:val="auto"/>
                <w:spacing w:val="0"/>
                <w:sz w:val="9"/>
                <w:highlight w:val="none"/>
              </w:rPr>
            </w:pPr>
            <w:r>
              <w:rPr>
                <w:rFonts w:hint="default" w:ascii="宋体" w:hAnsi="宋体" w:cs="宋体"/>
                <w:color w:val="auto"/>
                <w:spacing w:val="1"/>
                <w:sz w:val="21"/>
                <w:highlight w:val="none"/>
                <w:u w:val="single"/>
              </w:rPr>
              <w:t>（</w:t>
            </w:r>
            <w:r>
              <w:rPr>
                <w:rFonts w:hint="default" w:ascii="Times New Roman" w:hAnsi="Times New Roman" w:cs="Times New Roman"/>
                <w:color w:val="auto"/>
                <w:spacing w:val="1"/>
                <w:sz w:val="21"/>
                <w:highlight w:val="none"/>
                <w:u w:val="single"/>
              </w:rPr>
              <w:t>3</w:t>
            </w:r>
            <w:r>
              <w:rPr>
                <w:rFonts w:hint="default" w:ascii="宋体" w:hAnsi="宋体" w:cs="宋体"/>
                <w:color w:val="auto"/>
                <w:spacing w:val="0"/>
                <w:sz w:val="21"/>
                <w:highlight w:val="none"/>
                <w:u w:val="single"/>
              </w:rPr>
              <w:t>）项目所在地地级以上市交通运输局行政处罚的，扣</w:t>
            </w:r>
            <w:r>
              <w:rPr>
                <w:rFonts w:hint="default" w:ascii="Times New Roman" w:hAnsi="Times New Roman" w:cs="Times New Roman"/>
                <w:color w:val="auto"/>
                <w:spacing w:val="1"/>
                <w:sz w:val="21"/>
                <w:highlight w:val="none"/>
                <w:u w:val="single"/>
              </w:rPr>
              <w:t>1.5</w:t>
            </w:r>
            <w:r>
              <w:rPr>
                <w:rFonts w:hint="default" w:ascii="Times New Roman" w:hAnsi="Times New Roman" w:cs="Times New Roman"/>
                <w:color w:val="auto"/>
                <w:spacing w:val="-12"/>
                <w:sz w:val="21"/>
                <w:highlight w:val="none"/>
                <w:u w:val="single"/>
              </w:rPr>
              <w:t xml:space="preserve"> </w:t>
            </w:r>
            <w:r>
              <w:rPr>
                <w:rFonts w:hint="default" w:ascii="宋体" w:hAnsi="宋体" w:cs="宋体"/>
                <w:color w:val="auto"/>
                <w:spacing w:val="-1"/>
                <w:sz w:val="21"/>
                <w:highlight w:val="none"/>
                <w:u w:val="single"/>
              </w:rPr>
              <w:t>分</w:t>
            </w:r>
            <w:r>
              <w:rPr>
                <w:rFonts w:hint="default" w:ascii="Times New Roman" w:hAnsi="Times New Roman" w:cs="Times New Roman"/>
                <w:color w:val="auto"/>
                <w:spacing w:val="2"/>
                <w:sz w:val="21"/>
                <w:highlight w:val="none"/>
                <w:u w:val="single"/>
              </w:rPr>
              <w:t>/</w:t>
            </w:r>
            <w:r>
              <w:rPr>
                <w:rFonts w:hint="default" w:ascii="宋体" w:hAnsi="宋体" w:cs="宋体"/>
                <w:color w:val="auto"/>
                <w:spacing w:val="0"/>
                <w:sz w:val="21"/>
                <w:highlight w:val="none"/>
                <w:u w:val="single"/>
              </w:rPr>
              <w:t>次。</w:t>
            </w:r>
          </w:p>
          <w:p w14:paraId="26CFEE20">
            <w:pPr>
              <w:keepNext w:val="0"/>
              <w:keepLines w:val="0"/>
              <w:widowControl w:val="0"/>
              <w:suppressLineNumbers w:val="0"/>
              <w:autoSpaceDE w:val="0"/>
              <w:autoSpaceDN w:val="0"/>
              <w:spacing w:before="0" w:beforeAutospacing="0" w:after="0" w:afterAutospacing="0" w:line="231" w:lineRule="exact"/>
              <w:ind w:left="0" w:right="0" w:firstLine="0"/>
              <w:jc w:val="left"/>
              <w:rPr>
                <w:rFonts w:hint="default" w:ascii="Times New Roman" w:hAnsi="Times New Roman" w:cs="Times New Roman"/>
                <w:color w:val="auto"/>
                <w:spacing w:val="0"/>
                <w:sz w:val="11"/>
                <w:highlight w:val="none"/>
              </w:rPr>
            </w:pPr>
            <w:r>
              <w:rPr>
                <w:rFonts w:hint="default" w:ascii="宋体" w:hAnsi="宋体" w:cs="宋体"/>
                <w:color w:val="auto"/>
                <w:spacing w:val="1"/>
                <w:sz w:val="21"/>
                <w:highlight w:val="none"/>
              </w:rPr>
              <w:t>（</w:t>
            </w:r>
            <w:r>
              <w:rPr>
                <w:rFonts w:hint="default" w:ascii="Times New Roman" w:hAnsi="Times New Roman" w:cs="Times New Roman"/>
                <w:color w:val="auto"/>
                <w:spacing w:val="1"/>
                <w:sz w:val="21"/>
                <w:highlight w:val="none"/>
              </w:rPr>
              <w:t>4</w:t>
            </w:r>
            <w:r>
              <w:rPr>
                <w:rFonts w:hint="default" w:ascii="宋体" w:hAnsi="宋体" w:cs="宋体"/>
                <w:color w:val="auto"/>
                <w:spacing w:val="0"/>
                <w:sz w:val="21"/>
                <w:highlight w:val="none"/>
              </w:rPr>
              <w:t>）广东省交通运输厅正式约谈的，扣</w:t>
            </w:r>
            <w:r>
              <w:rPr>
                <w:rFonts w:hint="default" w:ascii="Times New Roman" w:hAnsi="Times New Roman" w:cs="Times New Roman"/>
                <w:color w:val="auto"/>
                <w:spacing w:val="0"/>
                <w:sz w:val="21"/>
                <w:highlight w:val="none"/>
              </w:rPr>
              <w:t xml:space="preserve"> </w:t>
            </w:r>
            <w:r>
              <w:rPr>
                <w:rFonts w:hint="default" w:ascii="Times New Roman" w:hAnsi="Times New Roman" w:cs="Times New Roman"/>
                <w:color w:val="auto"/>
                <w:spacing w:val="1"/>
                <w:sz w:val="21"/>
                <w:highlight w:val="none"/>
              </w:rPr>
              <w:t>0.6</w:t>
            </w:r>
            <w:r>
              <w:rPr>
                <w:rFonts w:hint="default" w:ascii="Times New Roman" w:hAnsi="Times New Roman" w:cs="Times New Roman"/>
                <w:color w:val="auto"/>
                <w:spacing w:val="-12"/>
                <w:sz w:val="21"/>
                <w:highlight w:val="none"/>
              </w:rPr>
              <w:t xml:space="preserve"> </w:t>
            </w:r>
            <w:r>
              <w:rPr>
                <w:rFonts w:hint="default" w:ascii="宋体" w:hAnsi="宋体" w:cs="宋体"/>
                <w:color w:val="auto"/>
                <w:spacing w:val="1"/>
                <w:sz w:val="21"/>
                <w:highlight w:val="none"/>
              </w:rPr>
              <w:t>分</w:t>
            </w:r>
            <w:r>
              <w:rPr>
                <w:rFonts w:hint="default" w:ascii="Times New Roman" w:hAnsi="Times New Roman" w:cs="Times New Roman"/>
                <w:color w:val="auto"/>
                <w:spacing w:val="-1"/>
                <w:sz w:val="21"/>
                <w:highlight w:val="none"/>
              </w:rPr>
              <w:t>/</w:t>
            </w:r>
            <w:r>
              <w:rPr>
                <w:rFonts w:hint="default" w:ascii="宋体" w:hAnsi="宋体" w:cs="宋体"/>
                <w:color w:val="auto"/>
                <w:spacing w:val="-1"/>
                <w:sz w:val="21"/>
                <w:highlight w:val="none"/>
              </w:rPr>
              <w:t>次。</w:t>
            </w:r>
          </w:p>
          <w:p w14:paraId="36286E2A">
            <w:pPr>
              <w:keepNext w:val="0"/>
              <w:keepLines w:val="0"/>
              <w:widowControl w:val="0"/>
              <w:suppressLineNumbers w:val="0"/>
              <w:autoSpaceDE w:val="0"/>
              <w:autoSpaceDN w:val="0"/>
              <w:spacing w:before="0" w:beforeAutospacing="0" w:after="0" w:afterAutospacing="0" w:line="233" w:lineRule="exact"/>
              <w:ind w:left="0" w:right="0" w:firstLine="0"/>
              <w:jc w:val="left"/>
              <w:rPr>
                <w:rFonts w:hint="default" w:ascii="Times New Roman" w:hAnsi="Times New Roman" w:cs="Times New Roman"/>
                <w:color w:val="auto"/>
                <w:spacing w:val="0"/>
                <w:sz w:val="21"/>
                <w:highlight w:val="none"/>
              </w:rPr>
            </w:pPr>
            <w:r>
              <w:rPr>
                <w:rFonts w:hint="default" w:ascii="宋体" w:hAnsi="宋体" w:cs="宋体"/>
                <w:color w:val="auto"/>
                <w:spacing w:val="1"/>
                <w:sz w:val="21"/>
                <w:highlight w:val="none"/>
                <w:u w:val="single"/>
              </w:rPr>
              <w:t>（</w:t>
            </w:r>
            <w:r>
              <w:rPr>
                <w:rFonts w:hint="default" w:ascii="Times New Roman" w:hAnsi="Times New Roman" w:cs="Times New Roman"/>
                <w:color w:val="auto"/>
                <w:spacing w:val="1"/>
                <w:sz w:val="21"/>
                <w:highlight w:val="none"/>
                <w:u w:val="single"/>
              </w:rPr>
              <w:t>5</w:t>
            </w:r>
            <w:r>
              <w:rPr>
                <w:rFonts w:hint="default" w:ascii="宋体" w:hAnsi="宋体" w:cs="宋体"/>
                <w:color w:val="auto"/>
                <w:spacing w:val="0"/>
                <w:sz w:val="21"/>
                <w:highlight w:val="none"/>
                <w:u w:val="single"/>
              </w:rPr>
              <w:t>）项目所在地地级以上市交通运输局正式约谈的，扣</w:t>
            </w:r>
            <w:r>
              <w:rPr>
                <w:rFonts w:hint="default" w:ascii="Times New Roman" w:hAnsi="Times New Roman" w:cs="Times New Roman"/>
                <w:color w:val="auto"/>
                <w:spacing w:val="1"/>
                <w:sz w:val="21"/>
                <w:highlight w:val="none"/>
                <w:u w:val="single"/>
              </w:rPr>
              <w:t>0.3</w:t>
            </w:r>
            <w:r>
              <w:rPr>
                <w:rFonts w:hint="default" w:ascii="Times New Roman" w:hAnsi="Times New Roman" w:cs="Times New Roman"/>
                <w:color w:val="auto"/>
                <w:spacing w:val="-12"/>
                <w:sz w:val="21"/>
                <w:highlight w:val="none"/>
                <w:u w:val="single"/>
              </w:rPr>
              <w:t xml:space="preserve"> </w:t>
            </w:r>
            <w:r>
              <w:rPr>
                <w:rFonts w:hint="default" w:ascii="宋体" w:hAnsi="宋体" w:cs="宋体"/>
                <w:color w:val="auto"/>
                <w:spacing w:val="-1"/>
                <w:sz w:val="21"/>
                <w:highlight w:val="none"/>
                <w:u w:val="single"/>
              </w:rPr>
              <w:t>分</w:t>
            </w:r>
            <w:r>
              <w:rPr>
                <w:rFonts w:hint="default" w:ascii="Times New Roman" w:hAnsi="Times New Roman" w:cs="Times New Roman"/>
                <w:color w:val="auto"/>
                <w:spacing w:val="2"/>
                <w:sz w:val="21"/>
                <w:highlight w:val="none"/>
                <w:u w:val="single"/>
              </w:rPr>
              <w:t>/</w:t>
            </w:r>
            <w:r>
              <w:rPr>
                <w:rFonts w:hint="default" w:ascii="宋体" w:hAnsi="宋体" w:cs="宋体"/>
                <w:color w:val="auto"/>
                <w:spacing w:val="0"/>
                <w:sz w:val="21"/>
                <w:highlight w:val="none"/>
                <w:u w:val="single"/>
              </w:rPr>
              <w:t>次。</w:t>
            </w:r>
          </w:p>
          <w:p w14:paraId="760B039E">
            <w:pPr>
              <w:keepNext w:val="0"/>
              <w:keepLines w:val="0"/>
              <w:widowControl w:val="0"/>
              <w:suppressLineNumbers w:val="0"/>
              <w:autoSpaceDE w:val="0"/>
              <w:autoSpaceDN w:val="0"/>
              <w:spacing w:before="0" w:beforeAutospacing="0" w:after="0" w:afterAutospacing="0" w:line="233" w:lineRule="exact"/>
              <w:ind w:left="0" w:right="0" w:firstLine="0"/>
              <w:jc w:val="left"/>
              <w:rPr>
                <w:rFonts w:hint="default" w:ascii="Times New Roman" w:hAnsi="Times New Roman" w:cs="Times New Roman"/>
                <w:color w:val="auto"/>
                <w:spacing w:val="0"/>
                <w:sz w:val="21"/>
                <w:highlight w:val="none"/>
              </w:rPr>
            </w:pPr>
            <w:r>
              <w:rPr>
                <w:rFonts w:hint="default" w:ascii="宋体" w:hAnsi="宋体" w:cs="宋体"/>
                <w:color w:val="auto"/>
                <w:spacing w:val="1"/>
                <w:sz w:val="21"/>
                <w:highlight w:val="none"/>
                <w:u w:val="single"/>
              </w:rPr>
              <w:t>（</w:t>
            </w:r>
            <w:r>
              <w:rPr>
                <w:rFonts w:hint="default" w:ascii="Times New Roman" w:hAnsi="Times New Roman" w:cs="Times New Roman"/>
                <w:color w:val="auto"/>
                <w:spacing w:val="1"/>
                <w:sz w:val="21"/>
                <w:highlight w:val="none"/>
                <w:u w:val="single"/>
              </w:rPr>
              <w:t>6</w:t>
            </w:r>
            <w:r>
              <w:rPr>
                <w:rFonts w:hint="default" w:ascii="宋体" w:hAnsi="宋体" w:cs="宋体"/>
                <w:color w:val="auto"/>
                <w:spacing w:val="1"/>
                <w:sz w:val="21"/>
                <w:highlight w:val="none"/>
                <w:u w:val="single"/>
              </w:rPr>
              <w:t>）招标人上级管理单位（仅限于广东省内）正式约谈</w:t>
            </w:r>
            <w:r>
              <w:rPr>
                <w:rFonts w:hint="default" w:ascii="宋体" w:hAnsi="宋体" w:cs="宋体"/>
                <w:color w:val="auto"/>
                <w:spacing w:val="0"/>
                <w:sz w:val="21"/>
                <w:highlight w:val="none"/>
                <w:u w:val="single"/>
              </w:rPr>
              <w:t>的，扣</w:t>
            </w:r>
            <w:r>
              <w:rPr>
                <w:rFonts w:hint="default" w:ascii="Times New Roman" w:hAnsi="Times New Roman" w:cs="Times New Roman"/>
                <w:color w:val="auto"/>
                <w:spacing w:val="-1"/>
                <w:sz w:val="21"/>
                <w:highlight w:val="none"/>
                <w:u w:val="single"/>
              </w:rPr>
              <w:t xml:space="preserve"> </w:t>
            </w:r>
            <w:r>
              <w:rPr>
                <w:rFonts w:hint="default" w:ascii="Times New Roman" w:hAnsi="Times New Roman" w:cs="Times New Roman"/>
                <w:color w:val="auto"/>
                <w:spacing w:val="1"/>
                <w:sz w:val="21"/>
                <w:highlight w:val="none"/>
                <w:u w:val="single"/>
              </w:rPr>
              <w:t>0.2</w:t>
            </w:r>
            <w:r>
              <w:rPr>
                <w:rFonts w:hint="default" w:ascii="Times New Roman" w:hAnsi="Times New Roman" w:cs="Times New Roman"/>
                <w:color w:val="auto"/>
                <w:spacing w:val="-10"/>
                <w:sz w:val="21"/>
                <w:highlight w:val="none"/>
                <w:u w:val="single"/>
              </w:rPr>
              <w:t xml:space="preserve"> </w:t>
            </w:r>
            <w:r>
              <w:rPr>
                <w:rFonts w:hint="default" w:ascii="宋体" w:hAnsi="宋体" w:cs="宋体"/>
                <w:color w:val="auto"/>
                <w:spacing w:val="-2"/>
                <w:sz w:val="21"/>
                <w:highlight w:val="none"/>
                <w:u w:val="single"/>
              </w:rPr>
              <w:t>分</w:t>
            </w:r>
            <w:r>
              <w:rPr>
                <w:rFonts w:hint="default" w:ascii="Times New Roman" w:hAnsi="Times New Roman" w:cs="Times New Roman"/>
                <w:color w:val="auto"/>
                <w:spacing w:val="-1"/>
                <w:sz w:val="21"/>
                <w:highlight w:val="none"/>
                <w:u w:val="single"/>
              </w:rPr>
              <w:t>/</w:t>
            </w:r>
            <w:r>
              <w:rPr>
                <w:rFonts w:hint="default" w:ascii="宋体" w:hAnsi="宋体" w:cs="宋体"/>
                <w:color w:val="auto"/>
                <w:spacing w:val="0"/>
                <w:sz w:val="21"/>
                <w:highlight w:val="none"/>
                <w:u w:val="single"/>
              </w:rPr>
              <w:t>次。</w:t>
            </w:r>
          </w:p>
          <w:p w14:paraId="2D42E9A2">
            <w:pPr>
              <w:keepNext w:val="0"/>
              <w:keepLines w:val="0"/>
              <w:widowControl w:val="0"/>
              <w:suppressLineNumbers w:val="0"/>
              <w:autoSpaceDE w:val="0"/>
              <w:autoSpaceDN w:val="0"/>
              <w:spacing w:before="0" w:beforeAutospacing="0" w:after="0" w:afterAutospacing="0" w:line="233" w:lineRule="exact"/>
              <w:ind w:left="0" w:right="0" w:firstLine="0"/>
              <w:jc w:val="left"/>
              <w:rPr>
                <w:rFonts w:hint="default" w:ascii="Times New Roman" w:hAnsi="Times New Roman" w:cs="Times New Roman"/>
                <w:color w:val="auto"/>
                <w:spacing w:val="0"/>
                <w:sz w:val="21"/>
                <w:highlight w:val="none"/>
              </w:rPr>
            </w:pPr>
            <w:r>
              <w:rPr>
                <w:rFonts w:hint="default" w:ascii="宋体" w:hAnsi="宋体" w:cs="宋体"/>
                <w:color w:val="auto"/>
                <w:spacing w:val="1"/>
                <w:sz w:val="21"/>
                <w:highlight w:val="none"/>
                <w:u w:val="single"/>
              </w:rPr>
              <w:t>（</w:t>
            </w:r>
            <w:r>
              <w:rPr>
                <w:rFonts w:hint="default" w:ascii="Times New Roman" w:hAnsi="Times New Roman" w:cs="Times New Roman"/>
                <w:color w:val="auto"/>
                <w:spacing w:val="1"/>
                <w:sz w:val="21"/>
                <w:highlight w:val="none"/>
                <w:u w:val="single"/>
              </w:rPr>
              <w:t>7</w:t>
            </w:r>
            <w:r>
              <w:rPr>
                <w:rFonts w:hint="default" w:ascii="宋体" w:hAnsi="宋体" w:cs="宋体"/>
                <w:color w:val="auto"/>
                <w:spacing w:val="0"/>
                <w:sz w:val="21"/>
                <w:highlight w:val="none"/>
                <w:u w:val="single"/>
              </w:rPr>
              <w:t>）本项目招标人正式约谈的，扣</w:t>
            </w:r>
            <w:r>
              <w:rPr>
                <w:rFonts w:hint="default" w:ascii="Times New Roman" w:hAnsi="Times New Roman" w:cs="Times New Roman"/>
                <w:color w:val="auto"/>
                <w:spacing w:val="0"/>
                <w:sz w:val="21"/>
                <w:highlight w:val="none"/>
                <w:u w:val="single"/>
              </w:rPr>
              <w:t xml:space="preserve"> </w:t>
            </w:r>
            <w:r>
              <w:rPr>
                <w:rFonts w:hint="default" w:ascii="Times New Roman" w:hAnsi="Times New Roman" w:cs="Times New Roman"/>
                <w:color w:val="auto"/>
                <w:spacing w:val="1"/>
                <w:sz w:val="21"/>
                <w:highlight w:val="none"/>
                <w:u w:val="single"/>
              </w:rPr>
              <w:t>0.1</w:t>
            </w:r>
            <w:r>
              <w:rPr>
                <w:rFonts w:hint="default" w:ascii="Times New Roman" w:hAnsi="Times New Roman" w:cs="Times New Roman"/>
                <w:color w:val="auto"/>
                <w:spacing w:val="-12"/>
                <w:sz w:val="21"/>
                <w:highlight w:val="none"/>
                <w:u w:val="single"/>
              </w:rPr>
              <w:t xml:space="preserve"> </w:t>
            </w:r>
            <w:r>
              <w:rPr>
                <w:rFonts w:hint="default" w:ascii="宋体" w:hAnsi="宋体" w:cs="宋体"/>
                <w:color w:val="auto"/>
                <w:spacing w:val="1"/>
                <w:sz w:val="21"/>
                <w:highlight w:val="none"/>
                <w:u w:val="single"/>
              </w:rPr>
              <w:t>分</w:t>
            </w:r>
            <w:r>
              <w:rPr>
                <w:rFonts w:hint="default" w:ascii="Times New Roman" w:hAnsi="Times New Roman" w:cs="Times New Roman"/>
                <w:color w:val="auto"/>
                <w:spacing w:val="-1"/>
                <w:sz w:val="21"/>
                <w:highlight w:val="none"/>
                <w:u w:val="single"/>
              </w:rPr>
              <w:t>/</w:t>
            </w:r>
            <w:r>
              <w:rPr>
                <w:rFonts w:hint="default" w:ascii="宋体" w:hAnsi="宋体" w:cs="宋体"/>
                <w:color w:val="auto"/>
                <w:spacing w:val="0"/>
                <w:sz w:val="21"/>
                <w:highlight w:val="none"/>
                <w:u w:val="single"/>
              </w:rPr>
              <w:t>次。</w:t>
            </w:r>
          </w:p>
          <w:p w14:paraId="0761B0C9">
            <w:pPr>
              <w:keepNext w:val="0"/>
              <w:keepLines w:val="0"/>
              <w:widowControl w:val="0"/>
              <w:suppressLineNumbers w:val="0"/>
              <w:autoSpaceDE w:val="0"/>
              <w:autoSpaceDN w:val="0"/>
              <w:spacing w:before="0" w:beforeAutospacing="0" w:after="0" w:afterAutospacing="0" w:line="209" w:lineRule="exact"/>
              <w:ind w:left="0" w:right="0"/>
              <w:jc w:val="left"/>
              <w:rPr>
                <w:rFonts w:hint="eastAsia" w:ascii="宋体" w:hAnsi="宋体" w:eastAsia="宋体" w:cs="宋体"/>
                <w:color w:val="auto"/>
                <w:highlight w:val="none"/>
              </w:rPr>
            </w:pPr>
            <w:r>
              <w:rPr>
                <w:rFonts w:hint="default" w:ascii="宋体" w:hAnsi="宋体" w:cs="宋体"/>
                <w:color w:val="auto"/>
                <w:spacing w:val="7"/>
                <w:sz w:val="21"/>
                <w:highlight w:val="none"/>
              </w:rPr>
              <w:t>同一事项同时被多个部门行政处罚或正式约谈只按最</w:t>
            </w:r>
            <w:r>
              <w:rPr>
                <w:rFonts w:hint="default" w:ascii="宋体" w:hAnsi="宋体" w:cs="宋体"/>
                <w:color w:val="auto"/>
                <w:spacing w:val="0"/>
                <w:sz w:val="21"/>
                <w:highlight w:val="none"/>
              </w:rPr>
              <w:t>高的扣分计算</w:t>
            </w:r>
            <w:r>
              <w:rPr>
                <w:rFonts w:hint="default" w:ascii="Times New Roman" w:hAnsi="Times New Roman" w:cs="Times New Roman"/>
                <w:color w:val="auto"/>
                <w:spacing w:val="-2"/>
                <w:sz w:val="21"/>
                <w:highlight w:val="none"/>
              </w:rPr>
              <w:t xml:space="preserve"> </w:t>
            </w:r>
            <w:r>
              <w:rPr>
                <w:rFonts w:hint="default" w:ascii="宋体" w:hAnsi="Times New Roman" w:cs="Times New Roman"/>
                <w:color w:val="auto"/>
                <w:spacing w:val="0"/>
                <w:sz w:val="21"/>
                <w:highlight w:val="none"/>
              </w:rPr>
              <w:t>1</w:t>
            </w:r>
            <w:r>
              <w:rPr>
                <w:rFonts w:hint="default" w:ascii="Times New Roman" w:hAnsi="Times New Roman" w:cs="Times New Roman"/>
                <w:color w:val="auto"/>
                <w:spacing w:val="1"/>
                <w:sz w:val="21"/>
                <w:highlight w:val="none"/>
              </w:rPr>
              <w:t xml:space="preserve"> </w:t>
            </w:r>
            <w:r>
              <w:rPr>
                <w:rFonts w:hint="default" w:ascii="宋体" w:hAnsi="宋体" w:cs="宋体"/>
                <w:color w:val="auto"/>
                <w:spacing w:val="-2"/>
                <w:sz w:val="21"/>
                <w:highlight w:val="none"/>
              </w:rPr>
              <w:t>次</w:t>
            </w:r>
            <w:r>
              <w:rPr>
                <w:rFonts w:hint="default" w:ascii="宋体" w:hAnsi="宋体" w:cs="宋体"/>
                <w:color w:val="auto"/>
                <w:spacing w:val="-1"/>
                <w:sz w:val="21"/>
                <w:highlight w:val="none"/>
              </w:rPr>
              <w:t>。如果扣完本项分值，可以从总分中扣。</w:t>
            </w:r>
            <w:r>
              <w:rPr>
                <w:rFonts w:hint="default" w:ascii="宋体" w:hAnsi="宋体" w:cs="宋体"/>
                <w:color w:val="auto"/>
                <w:spacing w:val="-2"/>
                <w:sz w:val="21"/>
                <w:highlight w:val="none"/>
              </w:rPr>
              <w:t>以联合体形式投标的，若各联合体成员任何一方或均存在上</w:t>
            </w:r>
            <w:r>
              <w:rPr>
                <w:rFonts w:hint="default" w:ascii="宋体" w:hAnsi="宋体" w:cs="宋体"/>
                <w:color w:val="auto"/>
                <w:spacing w:val="0"/>
                <w:sz w:val="21"/>
                <w:highlight w:val="none"/>
              </w:rPr>
              <w:t>述情形的，对联合体各成员进行累计扣分。</w:t>
            </w:r>
          </w:p>
        </w:tc>
      </w:tr>
      <w:tr w14:paraId="1D28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5" w:hRule="atLeast"/>
        </w:trPr>
        <w:tc>
          <w:tcPr>
            <w:tcW w:w="1131" w:type="dxa"/>
            <w:vMerge w:val="continue"/>
            <w:noWrap w:val="0"/>
            <w:vAlign w:val="center"/>
          </w:tcPr>
          <w:p w14:paraId="7309B563">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p>
        </w:tc>
        <w:tc>
          <w:tcPr>
            <w:tcW w:w="1563" w:type="dxa"/>
            <w:vMerge w:val="continue"/>
            <w:noWrap w:val="0"/>
            <w:vAlign w:val="center"/>
          </w:tcPr>
          <w:p w14:paraId="04F02263">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p>
        </w:tc>
        <w:tc>
          <w:tcPr>
            <w:tcW w:w="2409" w:type="dxa"/>
            <w:noWrap w:val="0"/>
            <w:vAlign w:val="center"/>
          </w:tcPr>
          <w:p w14:paraId="492621A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highlight w:val="none"/>
              </w:rPr>
            </w:pPr>
          </w:p>
          <w:p w14:paraId="053C026A">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工程业绩</w:t>
            </w:r>
          </w:p>
          <w:p w14:paraId="6FD20EB5">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kern w:val="2"/>
                <w:sz w:val="21"/>
                <w:szCs w:val="21"/>
                <w:highlight w:val="none"/>
                <w:lang w:val="en-US" w:eastAsia="zh-CN" w:bidi="ar-SA"/>
              </w:rPr>
            </w:pPr>
            <w:r>
              <w:rPr>
                <w:rFonts w:hint="default" w:ascii="新宋体" w:hAnsi="新宋体" w:eastAsia="新宋体" w:cs="新宋体"/>
                <w:color w:val="auto"/>
                <w:szCs w:val="21"/>
                <w:highlight w:val="none"/>
              </w:rPr>
              <w:t>（满分</w:t>
            </w:r>
            <w:r>
              <w:rPr>
                <w:rFonts w:hint="eastAsia" w:ascii="新宋体" w:hAnsi="新宋体" w:eastAsia="新宋体" w:cs="新宋体"/>
                <w:color w:val="auto"/>
                <w:szCs w:val="21"/>
                <w:highlight w:val="none"/>
                <w:lang w:val="en-US" w:eastAsia="zh-CN"/>
              </w:rPr>
              <w:t>2</w:t>
            </w:r>
            <w:r>
              <w:rPr>
                <w:rFonts w:hint="default" w:ascii="新宋体" w:hAnsi="新宋体" w:eastAsia="新宋体" w:cs="新宋体"/>
                <w:color w:val="auto"/>
                <w:szCs w:val="21"/>
                <w:highlight w:val="none"/>
              </w:rPr>
              <w:t>分）</w:t>
            </w:r>
          </w:p>
        </w:tc>
        <w:tc>
          <w:tcPr>
            <w:tcW w:w="3999" w:type="dxa"/>
            <w:noWrap w:val="0"/>
            <w:vAlign w:val="center"/>
          </w:tcPr>
          <w:p w14:paraId="1B15F291">
            <w:pPr>
              <w:pStyle w:val="4"/>
              <w:keepNext w:val="0"/>
              <w:keepLines w:val="0"/>
              <w:widowControl/>
              <w:suppressLineNumbers w:val="0"/>
              <w:spacing w:before="0" w:beforeAutospacing="0" w:after="0" w:afterAutospacing="0"/>
              <w:ind w:left="0" w:right="0"/>
              <w:rPr>
                <w:rFonts w:hint="default" w:ascii="宋体" w:hAnsi="宋体" w:eastAsia="宋体" w:cs="宋体"/>
                <w:color w:val="auto"/>
                <w:highlight w:val="none"/>
              </w:rPr>
            </w:pPr>
            <w:r>
              <w:rPr>
                <w:rFonts w:hint="eastAsia" w:ascii="宋体" w:hAnsi="宋体" w:eastAsia="宋体" w:cs="宋体"/>
                <w:color w:val="auto"/>
                <w:highlight w:val="none"/>
              </w:rPr>
              <w:t>近</w:t>
            </w:r>
            <w:r>
              <w:rPr>
                <w:rFonts w:hint="eastAsia" w:ascii="宋体" w:hAnsi="宋体" w:cs="宋体"/>
                <w:color w:val="auto"/>
                <w:highlight w:val="none"/>
                <w:lang w:val="en-US" w:eastAsia="zh-CN"/>
              </w:rPr>
              <w:t>7</w:t>
            </w:r>
            <w:r>
              <w:rPr>
                <w:rFonts w:hint="eastAsia" w:ascii="宋体" w:hAnsi="宋体" w:eastAsia="宋体" w:cs="宋体"/>
                <w:color w:val="auto"/>
                <w:highlight w:val="none"/>
              </w:rPr>
              <w:t>年（20</w:t>
            </w:r>
            <w:r>
              <w:rPr>
                <w:rFonts w:hint="eastAsia" w:ascii="宋体" w:hAnsi="宋体" w:eastAsia="宋体" w:cs="宋体"/>
                <w:color w:val="auto"/>
                <w:highlight w:val="none"/>
                <w:lang w:val="en-US" w:eastAsia="zh-CN"/>
              </w:rPr>
              <w:t>19</w:t>
            </w:r>
            <w:r>
              <w:rPr>
                <w:rFonts w:hint="eastAsia" w:ascii="宋体" w:hAnsi="宋体" w:eastAsia="宋体" w:cs="宋体"/>
                <w:color w:val="auto"/>
                <w:highlight w:val="none"/>
              </w:rPr>
              <w:t>年</w:t>
            </w:r>
            <w:r>
              <w:rPr>
                <w:rFonts w:hint="eastAsia" w:ascii="宋体" w:hAnsi="宋体" w:cs="宋体"/>
                <w:color w:val="auto"/>
                <w:highlight w:val="none"/>
                <w:lang w:val="en-US" w:eastAsia="zh-CN"/>
              </w:rPr>
              <w:t>8</w:t>
            </w:r>
            <w:r>
              <w:rPr>
                <w:rFonts w:hint="eastAsia" w:ascii="宋体" w:hAnsi="宋体" w:eastAsia="宋体" w:cs="宋体"/>
                <w:color w:val="auto"/>
                <w:highlight w:val="none"/>
              </w:rPr>
              <w:t>月1日至投标截止时前），投标人完成过施工合同价</w:t>
            </w:r>
            <w:r>
              <w:rPr>
                <w:rFonts w:hint="eastAsia" w:ascii="宋体" w:hAnsi="宋体" w:eastAsia="宋体" w:cs="宋体"/>
                <w:color w:val="auto"/>
                <w:highlight w:val="none"/>
                <w:lang w:val="en-US" w:eastAsia="zh-CN"/>
              </w:rPr>
              <w:t>600万（或以上）的</w:t>
            </w:r>
            <w:r>
              <w:rPr>
                <w:rFonts w:hint="eastAsia" w:ascii="宋体" w:hAnsi="宋体" w:eastAsia="宋体" w:cs="宋体"/>
                <w:color w:val="auto"/>
                <w:highlight w:val="none"/>
              </w:rPr>
              <w:t>质量合格的</w:t>
            </w:r>
            <w:r>
              <w:rPr>
                <w:rFonts w:hint="eastAsia" w:ascii="宋体" w:hAnsi="宋体" w:eastAsia="宋体" w:cs="宋体"/>
                <w:color w:val="auto"/>
                <w:highlight w:val="none"/>
                <w:lang w:val="en-US" w:eastAsia="zh-CN"/>
              </w:rPr>
              <w:t>类似</w:t>
            </w:r>
            <w:r>
              <w:rPr>
                <w:rFonts w:hint="eastAsia" w:ascii="宋体" w:hAnsi="宋体" w:eastAsia="宋体" w:cs="宋体"/>
                <w:color w:val="auto"/>
                <w:highlight w:val="none"/>
              </w:rPr>
              <w:t>工程业绩</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类似工程指</w:t>
            </w:r>
            <w:r>
              <w:rPr>
                <w:rFonts w:hint="eastAsia" w:ascii="宋体" w:hAnsi="宋体" w:eastAsia="宋体" w:cs="宋体"/>
                <w:color w:val="auto"/>
                <w:highlight w:val="none"/>
              </w:rPr>
              <w:t>码头港</w:t>
            </w:r>
            <w:r>
              <w:rPr>
                <w:rFonts w:hint="eastAsia" w:ascii="宋体" w:hAnsi="宋体" w:eastAsia="宋体" w:cs="宋体"/>
                <w:color w:val="auto"/>
                <w:highlight w:val="none"/>
                <w:lang w:eastAsia="zh-CN"/>
              </w:rPr>
              <w:t>口</w:t>
            </w:r>
            <w:r>
              <w:rPr>
                <w:rFonts w:hint="eastAsia" w:ascii="宋体" w:hAnsi="宋体" w:eastAsia="宋体" w:cs="宋体"/>
                <w:color w:val="auto"/>
                <w:highlight w:val="none"/>
              </w:rPr>
              <w:t>疏浚或航道疏浚工程业绩</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每提供1项得1分，</w:t>
            </w:r>
            <w:r>
              <w:rPr>
                <w:rFonts w:hint="eastAsia" w:ascii="宋体" w:hAnsi="宋体" w:eastAsia="宋体" w:cs="宋体"/>
                <w:color w:val="auto"/>
                <w:highlight w:val="none"/>
              </w:rPr>
              <w:t>本项满分</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w:t>
            </w:r>
          </w:p>
          <w:p w14:paraId="07AC9A99">
            <w:pPr>
              <w:keepNext w:val="0"/>
              <w:keepLines w:val="0"/>
              <w:widowControl/>
              <w:suppressLineNumbers w:val="0"/>
              <w:spacing w:before="0" w:beforeAutospacing="0" w:after="0" w:afterAutospacing="0" w:line="240" w:lineRule="auto"/>
              <w:ind w:left="0" w:right="-88" w:rightChars="-42"/>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b/>
                <w:bCs/>
                <w:color w:val="auto"/>
                <w:highlight w:val="none"/>
              </w:rPr>
              <w:t>注：业绩证明资料须同时提供：施工合同或合同协议书、交（竣）工验收报告</w:t>
            </w:r>
            <w:r>
              <w:rPr>
                <w:rFonts w:hint="eastAsia" w:ascii="宋体" w:hAnsi="宋体" w:cs="宋体"/>
                <w:b/>
                <w:bCs/>
                <w:color w:val="auto"/>
                <w:highlight w:val="none"/>
                <w:lang w:eastAsia="zh-CN"/>
              </w:rPr>
              <w:t>原件扫描</w:t>
            </w:r>
            <w:r>
              <w:rPr>
                <w:rFonts w:hint="eastAsia" w:ascii="宋体" w:hAnsi="宋体" w:eastAsia="宋体" w:cs="宋体"/>
                <w:b/>
                <w:bCs/>
                <w:color w:val="auto"/>
                <w:highlight w:val="none"/>
              </w:rPr>
              <w:t>件并加盖投标人</w:t>
            </w:r>
            <w:r>
              <w:rPr>
                <w:rFonts w:hint="eastAsia" w:ascii="宋体" w:hAnsi="宋体" w:cs="宋体"/>
                <w:b/>
                <w:bCs/>
                <w:color w:val="auto"/>
                <w:highlight w:val="none"/>
                <w:lang w:eastAsia="zh-CN"/>
              </w:rPr>
              <w:t>电子印章</w:t>
            </w:r>
            <w:r>
              <w:rPr>
                <w:rFonts w:hint="eastAsia" w:ascii="宋体" w:hAnsi="宋体" w:eastAsia="宋体" w:cs="宋体"/>
                <w:b/>
                <w:bCs/>
                <w:color w:val="auto"/>
                <w:highlight w:val="none"/>
              </w:rPr>
              <w:t>（如上述资料不能证明业绩中码头结构还须附上业主证明文件），时间以交（竣）工验收证明为准。</w:t>
            </w:r>
          </w:p>
        </w:tc>
      </w:tr>
      <w:tr w14:paraId="19BEE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31" w:type="dxa"/>
            <w:vMerge w:val="continue"/>
            <w:noWrap w:val="0"/>
            <w:vAlign w:val="center"/>
          </w:tcPr>
          <w:p w14:paraId="2AE2741C">
            <w:pPr>
              <w:keepNext w:val="0"/>
              <w:keepLines w:val="0"/>
              <w:widowControl/>
              <w:suppressLineNumbers w:val="0"/>
              <w:spacing w:before="0" w:beforeAutospacing="0" w:after="0" w:afterAutospacing="0"/>
              <w:ind w:left="0" w:right="0" w:firstLine="420"/>
              <w:jc w:val="center"/>
              <w:rPr>
                <w:rFonts w:hint="default" w:ascii="新宋体" w:hAnsi="新宋体" w:eastAsia="新宋体" w:cs="新宋体"/>
                <w:color w:val="auto"/>
                <w:szCs w:val="21"/>
                <w:highlight w:val="none"/>
              </w:rPr>
            </w:pPr>
          </w:p>
        </w:tc>
        <w:tc>
          <w:tcPr>
            <w:tcW w:w="1563" w:type="dxa"/>
            <w:vMerge w:val="continue"/>
            <w:noWrap w:val="0"/>
            <w:vAlign w:val="center"/>
          </w:tcPr>
          <w:p w14:paraId="4F01CFD3">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p>
        </w:tc>
        <w:tc>
          <w:tcPr>
            <w:tcW w:w="2409" w:type="dxa"/>
            <w:noWrap w:val="0"/>
            <w:vAlign w:val="center"/>
          </w:tcPr>
          <w:p w14:paraId="192132C8">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企业信誉</w:t>
            </w:r>
          </w:p>
          <w:p w14:paraId="117CAEB6">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（满分</w:t>
            </w:r>
            <w:r>
              <w:rPr>
                <w:rFonts w:hint="eastAsia" w:ascii="新宋体" w:hAnsi="新宋体" w:eastAsia="新宋体" w:cs="新宋体"/>
                <w:color w:val="auto"/>
                <w:szCs w:val="21"/>
                <w:highlight w:val="none"/>
                <w:lang w:val="en-US" w:eastAsia="zh-CN"/>
              </w:rPr>
              <w:t>1</w:t>
            </w:r>
            <w:r>
              <w:rPr>
                <w:rFonts w:hint="default" w:ascii="新宋体" w:hAnsi="新宋体" w:eastAsia="新宋体" w:cs="新宋体"/>
                <w:color w:val="auto"/>
                <w:szCs w:val="21"/>
                <w:highlight w:val="none"/>
              </w:rPr>
              <w:t>分）</w:t>
            </w:r>
          </w:p>
        </w:tc>
        <w:tc>
          <w:tcPr>
            <w:tcW w:w="3999" w:type="dxa"/>
            <w:noWrap w:val="0"/>
            <w:vAlign w:val="center"/>
          </w:tcPr>
          <w:p w14:paraId="446F1F1C">
            <w:pPr>
              <w:keepNext w:val="0"/>
              <w:keepLines w:val="0"/>
              <w:widowControl/>
              <w:suppressLineNumbers w:val="0"/>
              <w:bidi w:val="0"/>
              <w:spacing w:before="0" w:beforeAutospacing="0" w:after="0" w:afterAutospacing="0" w:line="240" w:lineRule="auto"/>
              <w:ind w:left="0" w:right="0"/>
              <w:rPr>
                <w:rFonts w:hint="default"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、20</w:t>
            </w:r>
            <w:r>
              <w:rPr>
                <w:rFonts w:hint="eastAsia" w:ascii="宋体" w:hAnsi="宋体" w:eastAsia="宋体" w:cs="宋体"/>
                <w:color w:val="auto"/>
                <w:highlight w:val="none"/>
                <w:lang w:val="en-US" w:eastAsia="zh-CN"/>
              </w:rPr>
              <w:t>21</w:t>
            </w:r>
            <w:r>
              <w:rPr>
                <w:rFonts w:hint="eastAsia" w:ascii="宋体" w:hAnsi="宋体" w:eastAsia="宋体" w:cs="宋体"/>
                <w:color w:val="auto"/>
                <w:highlight w:val="none"/>
              </w:rPr>
              <w:t>年</w:t>
            </w:r>
            <w:r>
              <w:rPr>
                <w:rFonts w:hint="eastAsia" w:ascii="宋体" w:hAnsi="宋体" w:cs="宋体"/>
                <w:color w:val="auto"/>
                <w:highlight w:val="none"/>
                <w:lang w:val="en-US" w:eastAsia="zh-CN"/>
              </w:rPr>
              <w:t>8</w:t>
            </w:r>
            <w:r>
              <w:rPr>
                <w:rFonts w:hint="eastAsia" w:ascii="宋体" w:hAnsi="宋体" w:eastAsia="宋体" w:cs="宋体"/>
                <w:color w:val="auto"/>
                <w:highlight w:val="none"/>
              </w:rPr>
              <w:t>月1日至投标截止时前,</w:t>
            </w:r>
            <w:r>
              <w:rPr>
                <w:rFonts w:hint="eastAsia" w:ascii="宋体" w:hAnsi="宋体" w:cs="宋体"/>
                <w:color w:val="auto"/>
                <w:highlight w:val="none"/>
                <w:lang w:eastAsia="zh-CN"/>
              </w:rPr>
              <w:t>投标人</w:t>
            </w:r>
            <w:r>
              <w:rPr>
                <w:rFonts w:hint="eastAsia" w:ascii="宋体" w:hAnsi="宋体" w:eastAsia="宋体" w:cs="宋体"/>
                <w:color w:val="auto"/>
                <w:highlight w:val="none"/>
              </w:rPr>
              <w:t>获得国家国税局纳税信用A级</w:t>
            </w:r>
            <w:r>
              <w:rPr>
                <w:rFonts w:hint="eastAsia" w:ascii="宋体" w:hAnsi="宋体" w:cs="宋体"/>
                <w:color w:val="auto"/>
                <w:highlight w:val="none"/>
                <w:lang w:val="en-US" w:eastAsia="zh-CN"/>
              </w:rPr>
              <w:t>3</w:t>
            </w:r>
            <w:r>
              <w:rPr>
                <w:rFonts w:hint="eastAsia" w:ascii="宋体" w:hAnsi="宋体" w:eastAsia="宋体" w:cs="宋体"/>
                <w:color w:val="auto"/>
                <w:highlight w:val="none"/>
              </w:rPr>
              <w:t>年</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含</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年</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或</w:t>
            </w:r>
            <w:r>
              <w:rPr>
                <w:rFonts w:hint="eastAsia" w:ascii="宋体" w:hAnsi="宋体" w:eastAsia="宋体" w:cs="宋体"/>
                <w:color w:val="auto"/>
                <w:highlight w:val="none"/>
              </w:rPr>
              <w:t>以上得</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分，获得国家国税局纳税信用A级</w:t>
            </w:r>
            <w:r>
              <w:rPr>
                <w:rFonts w:hint="eastAsia" w:ascii="宋体" w:hAnsi="宋体" w:cs="宋体"/>
                <w:color w:val="auto"/>
                <w:highlight w:val="none"/>
                <w:lang w:val="en-US" w:eastAsia="zh-CN"/>
              </w:rPr>
              <w:t>2</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得</w:t>
            </w:r>
            <w:r>
              <w:rPr>
                <w:rFonts w:hint="eastAsia" w:ascii="宋体" w:hAnsi="宋体" w:eastAsia="宋体" w:cs="宋体"/>
                <w:color w:val="auto"/>
                <w:highlight w:val="none"/>
                <w:lang w:val="en-US" w:eastAsia="zh-CN"/>
              </w:rPr>
              <w:t>0.6</w:t>
            </w:r>
            <w:r>
              <w:rPr>
                <w:rFonts w:hint="eastAsia" w:ascii="宋体" w:hAnsi="宋体" w:eastAsia="宋体" w:cs="宋体"/>
                <w:color w:val="auto"/>
                <w:highlight w:val="none"/>
              </w:rPr>
              <w:t>分,</w:t>
            </w:r>
            <w:r>
              <w:rPr>
                <w:rFonts w:hint="eastAsia" w:ascii="宋体" w:hAnsi="宋体" w:cs="宋体"/>
                <w:color w:val="auto"/>
                <w:highlight w:val="none"/>
                <w:lang w:val="en-US" w:eastAsia="zh-CN"/>
              </w:rPr>
              <w:t>1</w:t>
            </w:r>
            <w:r>
              <w:rPr>
                <w:rFonts w:hint="eastAsia" w:ascii="宋体" w:hAnsi="宋体" w:eastAsia="宋体" w:cs="宋体"/>
                <w:color w:val="auto"/>
                <w:highlight w:val="none"/>
                <w:lang w:val="en-US" w:eastAsia="zh-CN"/>
              </w:rPr>
              <w:t>年的得0.2分，</w:t>
            </w:r>
            <w:r>
              <w:rPr>
                <w:rFonts w:hint="eastAsia" w:ascii="宋体" w:hAnsi="宋体" w:eastAsia="宋体" w:cs="宋体"/>
                <w:color w:val="auto"/>
                <w:highlight w:val="none"/>
              </w:rPr>
              <w:t>无或其他不得分。</w:t>
            </w:r>
          </w:p>
          <w:p w14:paraId="1F1628AF">
            <w:pPr>
              <w:keepNext w:val="0"/>
              <w:keepLines w:val="0"/>
              <w:widowControl/>
              <w:suppressLineNumbers w:val="0"/>
              <w:spacing w:before="0" w:beforeAutospacing="0" w:after="0" w:afterAutospacing="0" w:line="240" w:lineRule="auto"/>
              <w:ind w:left="0" w:right="0"/>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注：提供国家税务总局网站公布</w:t>
            </w:r>
            <w:r>
              <w:rPr>
                <w:rFonts w:hint="eastAsia" w:ascii="宋体" w:hAnsi="宋体" w:eastAsia="宋体" w:cs="宋体"/>
                <w:b/>
                <w:bCs/>
                <w:color w:val="auto"/>
                <w:kern w:val="0"/>
                <w:szCs w:val="21"/>
                <w:highlight w:val="none"/>
                <w:lang w:val="en-US" w:eastAsia="zh-CN"/>
              </w:rPr>
              <w:t>发文</w:t>
            </w:r>
            <w:r>
              <w:rPr>
                <w:rFonts w:hint="eastAsia" w:ascii="宋体" w:hAnsi="宋体" w:eastAsia="宋体" w:cs="宋体"/>
                <w:b/>
                <w:bCs/>
                <w:color w:val="auto"/>
                <w:kern w:val="0"/>
                <w:szCs w:val="21"/>
                <w:highlight w:val="none"/>
              </w:rPr>
              <w:t>截图</w:t>
            </w:r>
            <w:r>
              <w:rPr>
                <w:rFonts w:hint="eastAsia" w:ascii="宋体" w:hAnsi="宋体" w:eastAsia="宋体" w:cs="宋体"/>
                <w:b/>
                <w:bCs/>
                <w:color w:val="auto"/>
                <w:kern w:val="0"/>
                <w:szCs w:val="21"/>
                <w:highlight w:val="none"/>
                <w:lang w:eastAsia="zh-CN"/>
              </w:rPr>
              <w:t>及网址查询链接</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rPr>
              <w:t>并加盖投标人</w:t>
            </w:r>
            <w:r>
              <w:rPr>
                <w:rFonts w:hint="eastAsia" w:ascii="宋体" w:hAnsi="宋体" w:cs="宋体"/>
                <w:b/>
                <w:bCs/>
                <w:color w:val="auto"/>
                <w:highlight w:val="none"/>
                <w:lang w:eastAsia="zh-CN"/>
              </w:rPr>
              <w:t>电子印章</w:t>
            </w:r>
            <w:r>
              <w:rPr>
                <w:rFonts w:hint="eastAsia" w:ascii="宋体" w:hAnsi="宋体" w:eastAsia="宋体" w:cs="宋体"/>
                <w:b/>
                <w:bCs/>
                <w:color w:val="auto"/>
                <w:highlight w:val="none"/>
              </w:rPr>
              <w:t>。</w:t>
            </w:r>
          </w:p>
        </w:tc>
      </w:tr>
      <w:tr w14:paraId="398D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31" w:type="dxa"/>
            <w:vMerge w:val="continue"/>
            <w:noWrap w:val="0"/>
            <w:vAlign w:val="center"/>
          </w:tcPr>
          <w:p w14:paraId="32A7D350">
            <w:pPr>
              <w:keepNext w:val="0"/>
              <w:keepLines w:val="0"/>
              <w:widowControl/>
              <w:suppressLineNumbers w:val="0"/>
              <w:spacing w:before="0" w:beforeAutospacing="0" w:after="0" w:afterAutospacing="0"/>
              <w:ind w:left="0" w:right="0" w:firstLine="420"/>
              <w:jc w:val="center"/>
              <w:rPr>
                <w:rFonts w:hint="default" w:ascii="新宋体" w:hAnsi="新宋体" w:eastAsia="新宋体" w:cs="新宋体"/>
                <w:color w:val="auto"/>
                <w:szCs w:val="21"/>
                <w:highlight w:val="none"/>
              </w:rPr>
            </w:pPr>
          </w:p>
        </w:tc>
        <w:tc>
          <w:tcPr>
            <w:tcW w:w="1563" w:type="dxa"/>
            <w:vMerge w:val="continue"/>
            <w:noWrap w:val="0"/>
            <w:vAlign w:val="center"/>
          </w:tcPr>
          <w:p w14:paraId="580D1116">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p>
        </w:tc>
        <w:tc>
          <w:tcPr>
            <w:tcW w:w="2409" w:type="dxa"/>
            <w:noWrap w:val="0"/>
            <w:vAlign w:val="center"/>
          </w:tcPr>
          <w:p w14:paraId="047636D3">
            <w:pPr>
              <w:keepNext w:val="0"/>
              <w:keepLines w:val="0"/>
              <w:widowControl/>
              <w:suppressLineNumbers w:val="0"/>
              <w:spacing w:before="0" w:beforeAutospacing="0" w:after="0" w:afterAutospacing="0"/>
              <w:ind w:left="0" w:right="0"/>
              <w:jc w:val="center"/>
              <w:rPr>
                <w:rFonts w:hint="eastAsia" w:ascii="新宋体" w:hAnsi="新宋体" w:eastAsia="新宋体" w:cs="新宋体"/>
                <w:color w:val="auto"/>
                <w:szCs w:val="21"/>
                <w:highlight w:val="none"/>
              </w:rPr>
            </w:pPr>
            <w:r>
              <w:rPr>
                <w:rFonts w:hint="eastAsia" w:ascii="新宋体" w:hAnsi="新宋体" w:eastAsia="新宋体" w:cs="新宋体"/>
                <w:color w:val="auto"/>
                <w:szCs w:val="21"/>
                <w:highlight w:val="none"/>
              </w:rPr>
              <w:t>企业荣誉</w:t>
            </w:r>
          </w:p>
          <w:p w14:paraId="59206737">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（满分</w:t>
            </w:r>
            <w:r>
              <w:rPr>
                <w:rFonts w:hint="eastAsia" w:ascii="新宋体" w:hAnsi="新宋体" w:eastAsia="新宋体" w:cs="新宋体"/>
                <w:color w:val="auto"/>
                <w:szCs w:val="21"/>
                <w:highlight w:val="none"/>
                <w:lang w:val="en-US" w:eastAsia="zh-CN"/>
              </w:rPr>
              <w:t>2</w:t>
            </w:r>
            <w:r>
              <w:rPr>
                <w:rFonts w:hint="eastAsia" w:ascii="新宋体" w:hAnsi="新宋体" w:eastAsia="新宋体" w:cs="新宋体"/>
                <w:color w:val="auto"/>
                <w:szCs w:val="21"/>
                <w:highlight w:val="none"/>
              </w:rPr>
              <w:t>分）</w:t>
            </w:r>
          </w:p>
        </w:tc>
        <w:tc>
          <w:tcPr>
            <w:tcW w:w="3999" w:type="dxa"/>
            <w:noWrap w:val="0"/>
            <w:vAlign w:val="center"/>
          </w:tcPr>
          <w:p w14:paraId="4FCE98A1">
            <w:pPr>
              <w:keepNext w:val="0"/>
              <w:keepLines w:val="0"/>
              <w:widowControl/>
              <w:suppressLineNumbers w:val="0"/>
              <w:adjustRightInd w:val="0"/>
              <w:spacing w:before="0" w:beforeAutospacing="0" w:after="0" w:afterAutospacing="0" w:line="240" w:lineRule="auto"/>
              <w:ind w:left="0" w:right="0"/>
              <w:textAlignment w:val="baseline"/>
              <w:rPr>
                <w:rFonts w:hint="default"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投标人自</w:t>
            </w:r>
            <w:r>
              <w:rPr>
                <w:rFonts w:hint="eastAsia" w:ascii="宋体" w:hAnsi="宋体" w:eastAsia="宋体" w:cs="宋体"/>
                <w:color w:val="auto"/>
                <w:highlight w:val="none"/>
              </w:rPr>
              <w:t>20</w:t>
            </w:r>
            <w:r>
              <w:rPr>
                <w:rFonts w:hint="eastAsia" w:ascii="宋体" w:hAnsi="宋体" w:cs="宋体"/>
                <w:color w:val="auto"/>
                <w:highlight w:val="none"/>
                <w:lang w:val="en-US" w:eastAsia="zh-CN"/>
              </w:rPr>
              <w:t>21</w:t>
            </w:r>
            <w:r>
              <w:rPr>
                <w:rFonts w:hint="eastAsia" w:ascii="宋体" w:hAnsi="宋体" w:eastAsia="宋体" w:cs="宋体"/>
                <w:color w:val="auto"/>
                <w:highlight w:val="none"/>
              </w:rPr>
              <w:t xml:space="preserve">年 </w:t>
            </w:r>
            <w:r>
              <w:rPr>
                <w:rFonts w:hint="eastAsia" w:ascii="宋体" w:hAnsi="宋体" w:cs="宋体"/>
                <w:color w:val="auto"/>
                <w:highlight w:val="none"/>
                <w:lang w:val="en-US" w:eastAsia="zh-CN"/>
              </w:rPr>
              <w:t>8</w:t>
            </w:r>
            <w:r>
              <w:rPr>
                <w:rFonts w:hint="eastAsia" w:ascii="宋体" w:hAnsi="宋体" w:eastAsia="宋体" w:cs="宋体"/>
                <w:color w:val="auto"/>
                <w:highlight w:val="none"/>
              </w:rPr>
              <w:t xml:space="preserve"> 月 1 日至投标截止时间前施工完成过的水运</w:t>
            </w:r>
            <w:r>
              <w:rPr>
                <w:rFonts w:hint="eastAsia" w:ascii="宋体" w:hAnsi="宋体" w:eastAsia="宋体" w:cs="宋体"/>
                <w:color w:val="auto"/>
                <w:highlight w:val="none"/>
                <w:lang w:eastAsia="zh-CN"/>
              </w:rPr>
              <w:t>（或水利）</w:t>
            </w:r>
            <w:r>
              <w:rPr>
                <w:rFonts w:hint="eastAsia" w:ascii="宋体" w:hAnsi="宋体" w:eastAsia="宋体" w:cs="宋体"/>
                <w:color w:val="auto"/>
                <w:highlight w:val="none"/>
              </w:rPr>
              <w:t>工程项目获得过国家级</w:t>
            </w:r>
            <w:bookmarkStart w:id="13" w:name="OLE_LINK1"/>
            <w:r>
              <w:rPr>
                <w:rFonts w:hint="eastAsia" w:ascii="宋体" w:hAnsi="宋体" w:eastAsia="宋体" w:cs="宋体"/>
                <w:color w:val="auto"/>
                <w:highlight w:val="none"/>
              </w:rPr>
              <w:t>优质工程奖</w:t>
            </w:r>
            <w:bookmarkEnd w:id="13"/>
            <w:r>
              <w:rPr>
                <w:rFonts w:hint="eastAsia" w:ascii="宋体" w:hAnsi="宋体" w:eastAsia="宋体" w:cs="宋体"/>
                <w:color w:val="auto"/>
                <w:highlight w:val="none"/>
              </w:rPr>
              <w:t xml:space="preserve">（鲁班奖、詹天佑奖、国家优质工程金奖）的，得 </w:t>
            </w:r>
            <w:r>
              <w:rPr>
                <w:rFonts w:hint="eastAsia" w:ascii="宋体" w:hAnsi="宋体" w:eastAsia="宋体" w:cs="宋体"/>
                <w:color w:val="auto"/>
                <w:highlight w:val="none"/>
                <w:lang w:val="en-US" w:eastAsia="zh-CN"/>
              </w:rPr>
              <w:t>0.5</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省部级本优质工程奖得</w:t>
            </w:r>
            <w:r>
              <w:rPr>
                <w:rFonts w:hint="eastAsia" w:ascii="宋体" w:hAnsi="宋体" w:eastAsia="宋体" w:cs="宋体"/>
                <w:color w:val="auto"/>
                <w:highlight w:val="none"/>
                <w:lang w:val="en-US" w:eastAsia="zh-CN"/>
              </w:rPr>
              <w:t>0.2分，</w:t>
            </w:r>
            <w:r>
              <w:rPr>
                <w:rFonts w:hint="eastAsia" w:ascii="宋体" w:hAnsi="宋体" w:eastAsia="宋体" w:cs="宋体"/>
                <w:color w:val="auto"/>
                <w:highlight w:val="none"/>
              </w:rPr>
              <w:t>小项满分</w:t>
            </w:r>
            <w:r>
              <w:rPr>
                <w:rFonts w:hint="eastAsia" w:ascii="宋体" w:hAnsi="宋体" w:eastAsia="宋体" w:cs="宋体"/>
                <w:color w:val="auto"/>
                <w:highlight w:val="none"/>
                <w:lang w:val="en-US" w:eastAsia="zh-CN"/>
              </w:rPr>
              <w:t>0.5</w:t>
            </w:r>
            <w:r>
              <w:rPr>
                <w:rFonts w:hint="eastAsia" w:ascii="宋体" w:hAnsi="宋体" w:eastAsia="宋体" w:cs="宋体"/>
                <w:color w:val="auto"/>
                <w:highlight w:val="none"/>
              </w:rPr>
              <w:t>分。</w:t>
            </w:r>
          </w:p>
          <w:p w14:paraId="07912B25">
            <w:pPr>
              <w:keepNext w:val="0"/>
              <w:keepLines w:val="0"/>
              <w:widowControl/>
              <w:suppressLineNumbers w:val="0"/>
              <w:adjustRightInd w:val="0"/>
              <w:spacing w:before="0" w:beforeAutospacing="0" w:after="0" w:afterAutospacing="0" w:line="240" w:lineRule="auto"/>
              <w:ind w:left="0" w:right="0"/>
              <w:textAlignment w:val="baseline"/>
              <w:rPr>
                <w:rFonts w:hint="default"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eastAsia="zh-CN"/>
              </w:rPr>
              <w:t>投标人自</w:t>
            </w:r>
            <w:r>
              <w:rPr>
                <w:rFonts w:hint="eastAsia" w:ascii="宋体" w:hAnsi="宋体" w:eastAsia="宋体" w:cs="宋体"/>
                <w:color w:val="auto"/>
                <w:highlight w:val="none"/>
                <w:lang w:val="en-US" w:eastAsia="zh-CN"/>
              </w:rPr>
              <w:t>2021</w:t>
            </w:r>
            <w:r>
              <w:rPr>
                <w:rFonts w:hint="eastAsia" w:ascii="宋体" w:hAnsi="宋体" w:eastAsia="宋体" w:cs="宋体"/>
                <w:color w:val="auto"/>
                <w:highlight w:val="none"/>
              </w:rPr>
              <w:t>年</w:t>
            </w:r>
            <w:r>
              <w:rPr>
                <w:rFonts w:hint="eastAsia" w:ascii="宋体" w:hAnsi="宋体" w:cs="宋体"/>
                <w:color w:val="auto"/>
                <w:highlight w:val="none"/>
                <w:lang w:val="en-US" w:eastAsia="zh-CN"/>
              </w:rPr>
              <w:t>8</w:t>
            </w:r>
            <w:r>
              <w:rPr>
                <w:rFonts w:hint="eastAsia" w:ascii="宋体" w:hAnsi="宋体" w:eastAsia="宋体" w:cs="宋体"/>
                <w:color w:val="auto"/>
                <w:highlight w:val="none"/>
              </w:rPr>
              <w:t>月 1日至投标截止时间前，所施工完成的水运</w:t>
            </w:r>
            <w:r>
              <w:rPr>
                <w:rFonts w:hint="eastAsia" w:ascii="宋体" w:hAnsi="宋体" w:eastAsia="宋体" w:cs="宋体"/>
                <w:color w:val="auto"/>
                <w:highlight w:val="none"/>
                <w:lang w:eastAsia="zh-CN"/>
              </w:rPr>
              <w:t>（或水利）</w:t>
            </w:r>
            <w:r>
              <w:rPr>
                <w:rFonts w:hint="eastAsia" w:ascii="宋体" w:hAnsi="宋体" w:eastAsia="宋体" w:cs="宋体"/>
                <w:color w:val="auto"/>
                <w:highlight w:val="none"/>
              </w:rPr>
              <w:t>工程项目获得过省部级及以上“</w:t>
            </w:r>
            <w:r>
              <w:rPr>
                <w:rFonts w:hint="eastAsia" w:ascii="宋体" w:hAnsi="宋体" w:eastAsia="宋体" w:cs="宋体"/>
                <w:color w:val="auto"/>
                <w:highlight w:val="none"/>
                <w:lang w:val="en-US" w:eastAsia="zh-CN"/>
              </w:rPr>
              <w:t>文明工地</w:t>
            </w:r>
            <w:r>
              <w:rPr>
                <w:rFonts w:hint="eastAsia" w:ascii="宋体" w:hAnsi="宋体" w:eastAsia="宋体" w:cs="宋体"/>
                <w:color w:val="auto"/>
                <w:highlight w:val="none"/>
              </w:rPr>
              <w:t>”或“平安工地”</w:t>
            </w:r>
            <w:r>
              <w:rPr>
                <w:rFonts w:hint="eastAsia" w:ascii="宋体" w:hAnsi="宋体" w:eastAsia="宋体" w:cs="宋体"/>
                <w:color w:val="auto"/>
                <w:highlight w:val="none"/>
                <w:lang w:val="en-US" w:eastAsia="zh-CN"/>
              </w:rPr>
              <w:t>荣誉</w:t>
            </w:r>
            <w:r>
              <w:rPr>
                <w:rFonts w:hint="eastAsia" w:ascii="宋体" w:hAnsi="宋体" w:eastAsia="宋体" w:cs="宋体"/>
                <w:color w:val="auto"/>
                <w:highlight w:val="none"/>
              </w:rPr>
              <w:t xml:space="preserve">的 ，一次得 </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分。本小项满分</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分。</w:t>
            </w:r>
          </w:p>
          <w:p w14:paraId="22183205">
            <w:pPr>
              <w:keepNext w:val="0"/>
              <w:keepLines w:val="0"/>
              <w:widowControl/>
              <w:suppressLineNumbers w:val="0"/>
              <w:snapToGrid w:val="0"/>
              <w:spacing w:before="0" w:beforeAutospacing="0" w:after="0" w:afterAutospacing="0" w:line="240" w:lineRule="auto"/>
              <w:ind w:left="0" w:right="0"/>
              <w:jc w:val="left"/>
              <w:rPr>
                <w:rFonts w:hint="default"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、投标人被评为国家级优秀施工企业的每个</w:t>
            </w:r>
            <w:r>
              <w:rPr>
                <w:rFonts w:hint="eastAsia" w:ascii="宋体" w:hAnsi="宋体" w:eastAsia="宋体" w:cs="宋体"/>
                <w:color w:val="auto"/>
                <w:kern w:val="0"/>
                <w:szCs w:val="21"/>
                <w:highlight w:val="none"/>
                <w:lang w:val="en-US" w:eastAsia="zh-CN"/>
              </w:rPr>
              <w:t>0.5</w:t>
            </w:r>
            <w:r>
              <w:rPr>
                <w:rFonts w:hint="eastAsia" w:ascii="宋体" w:hAnsi="宋体" w:eastAsia="宋体" w:cs="宋体"/>
                <w:color w:val="auto"/>
                <w:kern w:val="0"/>
                <w:szCs w:val="21"/>
                <w:highlight w:val="none"/>
              </w:rPr>
              <w:t>分；本项最高得</w:t>
            </w:r>
            <w:r>
              <w:rPr>
                <w:rFonts w:hint="eastAsia" w:ascii="宋体" w:hAnsi="宋体" w:eastAsia="宋体" w:cs="宋体"/>
                <w:color w:val="auto"/>
                <w:kern w:val="0"/>
                <w:szCs w:val="21"/>
                <w:highlight w:val="none"/>
                <w:lang w:val="en-US" w:eastAsia="zh-CN"/>
              </w:rPr>
              <w:t>0.5</w:t>
            </w:r>
            <w:r>
              <w:rPr>
                <w:rFonts w:hint="eastAsia" w:ascii="宋体" w:hAnsi="宋体" w:eastAsia="宋体" w:cs="宋体"/>
                <w:color w:val="auto"/>
                <w:kern w:val="0"/>
                <w:szCs w:val="21"/>
                <w:highlight w:val="none"/>
              </w:rPr>
              <w:t>分。</w:t>
            </w:r>
          </w:p>
          <w:p w14:paraId="6B358A86">
            <w:pPr>
              <w:keepNext w:val="0"/>
              <w:keepLines w:val="0"/>
              <w:widowControl/>
              <w:suppressLineNumbers w:val="0"/>
              <w:spacing w:before="0" w:beforeAutospacing="0" w:after="0" w:afterAutospacing="0" w:line="240" w:lineRule="auto"/>
              <w:ind w:left="0" w:right="-88" w:rightChars="-42"/>
              <w:rPr>
                <w:rFonts w:hint="eastAsia" w:ascii="宋体" w:hAnsi="宋体" w:eastAsia="宋体" w:cs="宋体"/>
                <w:color w:val="auto"/>
                <w:highlight w:val="none"/>
              </w:rPr>
            </w:pPr>
            <w:r>
              <w:rPr>
                <w:rFonts w:hint="eastAsia" w:ascii="宋体" w:hAnsi="宋体" w:eastAsia="宋体" w:cs="宋体"/>
                <w:b/>
                <w:color w:val="auto"/>
                <w:highlight w:val="none"/>
                <w:lang w:eastAsia="zh-CN"/>
              </w:rPr>
              <w:t>注：</w:t>
            </w:r>
            <w:r>
              <w:rPr>
                <w:rFonts w:hint="eastAsia" w:ascii="宋体" w:hAnsi="宋体" w:eastAsia="宋体" w:cs="宋体"/>
                <w:b/>
                <w:color w:val="auto"/>
                <w:highlight w:val="none"/>
                <w:lang w:val="en-US" w:eastAsia="zh-CN"/>
              </w:rPr>
              <w:fldChar w:fldCharType="begin"/>
            </w:r>
            <w:r>
              <w:rPr>
                <w:rFonts w:hint="eastAsia" w:ascii="宋体" w:hAnsi="宋体" w:eastAsia="宋体" w:cs="宋体"/>
                <w:b/>
                <w:color w:val="auto"/>
                <w:highlight w:val="none"/>
                <w:lang w:val="en-US" w:eastAsia="zh-CN"/>
              </w:rPr>
              <w:instrText xml:space="preserve"> = 1 \* GB3 \* MERGEFORMAT </w:instrText>
            </w:r>
            <w:r>
              <w:rPr>
                <w:rFonts w:hint="eastAsia" w:ascii="宋体" w:hAnsi="宋体" w:eastAsia="宋体" w:cs="宋体"/>
                <w:b/>
                <w:color w:val="auto"/>
                <w:highlight w:val="none"/>
                <w:lang w:val="en-US" w:eastAsia="zh-CN"/>
              </w:rPr>
              <w:fldChar w:fldCharType="separate"/>
            </w:r>
            <w:r>
              <w:rPr>
                <w:rFonts w:hint="default" w:ascii="Times New Roman" w:hAnsi="Times New Roman" w:cs="Times New Roman"/>
                <w:color w:val="auto"/>
                <w:highlight w:val="none"/>
              </w:rPr>
              <w:t>①</w:t>
            </w:r>
            <w:r>
              <w:rPr>
                <w:rFonts w:hint="eastAsia" w:ascii="宋体" w:hAnsi="宋体" w:eastAsia="宋体" w:cs="宋体"/>
                <w:b/>
                <w:color w:val="auto"/>
                <w:highlight w:val="none"/>
                <w:lang w:val="en-US" w:eastAsia="zh-CN"/>
              </w:rPr>
              <w:fldChar w:fldCharType="end"/>
            </w:r>
            <w:r>
              <w:rPr>
                <w:rFonts w:hint="eastAsia" w:ascii="宋体" w:hAnsi="宋体" w:eastAsia="宋体" w:cs="宋体"/>
                <w:b/>
                <w:color w:val="auto"/>
                <w:highlight w:val="none"/>
                <w:lang w:eastAsia="zh-CN"/>
              </w:rPr>
              <w:t>须</w:t>
            </w:r>
            <w:r>
              <w:rPr>
                <w:rFonts w:hint="eastAsia" w:ascii="宋体" w:hAnsi="宋体" w:eastAsia="宋体" w:cs="宋体"/>
                <w:b/>
                <w:color w:val="auto"/>
                <w:kern w:val="0"/>
                <w:szCs w:val="21"/>
                <w:highlight w:val="none"/>
              </w:rPr>
              <w:t>提供相关奖项或荣誉证明材料</w:t>
            </w:r>
            <w:r>
              <w:rPr>
                <w:rFonts w:hint="eastAsia" w:ascii="宋体" w:hAnsi="宋体" w:cs="宋体"/>
                <w:b/>
                <w:color w:val="auto"/>
                <w:kern w:val="0"/>
                <w:szCs w:val="21"/>
                <w:highlight w:val="none"/>
                <w:lang w:eastAsia="zh-CN"/>
              </w:rPr>
              <w:t>原件扫描件</w:t>
            </w:r>
            <w:r>
              <w:rPr>
                <w:rFonts w:hint="eastAsia" w:ascii="宋体" w:hAnsi="宋体" w:eastAsia="宋体" w:cs="宋体"/>
                <w:b/>
                <w:bCs/>
                <w:color w:val="auto"/>
                <w:highlight w:val="none"/>
              </w:rPr>
              <w:t>并加盖投标人</w:t>
            </w:r>
            <w:r>
              <w:rPr>
                <w:rFonts w:hint="eastAsia" w:ascii="宋体" w:hAnsi="宋体" w:cs="宋体"/>
                <w:b/>
                <w:bCs/>
                <w:color w:val="auto"/>
                <w:highlight w:val="none"/>
                <w:lang w:eastAsia="zh-CN"/>
              </w:rPr>
              <w:t>电子印章</w:t>
            </w:r>
            <w:r>
              <w:rPr>
                <w:rFonts w:hint="eastAsia" w:ascii="宋体" w:hAnsi="宋体" w:eastAsia="宋体" w:cs="宋体"/>
                <w:b/>
                <w:color w:val="auto"/>
                <w:kern w:val="0"/>
                <w:szCs w:val="21"/>
                <w:highlight w:val="none"/>
              </w:rPr>
              <w:t>，否则不得分。</w:t>
            </w:r>
          </w:p>
        </w:tc>
      </w:tr>
    </w:tbl>
    <w:p w14:paraId="0099BBE8">
      <w:pPr>
        <w:ind w:firstLine="420"/>
        <w:rPr>
          <w:color w:val="auto"/>
          <w:szCs w:val="21"/>
          <w:highlight w:val="none"/>
        </w:rPr>
      </w:pP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7817"/>
      </w:tblGrid>
      <w:tr w14:paraId="1C7C9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43" w:type="dxa"/>
            <w:gridSpan w:val="2"/>
            <w:noWrap w:val="0"/>
            <w:vAlign w:val="top"/>
          </w:tcPr>
          <w:p w14:paraId="0DDF742F">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bookmarkStart w:id="14" w:name="_第四章_合同条款及格式"/>
            <w:bookmarkEnd w:id="14"/>
            <w:r>
              <w:rPr>
                <w:rFonts w:hint="eastAsia" w:ascii="新宋体" w:hAnsi="新宋体" w:eastAsia="新宋体" w:cs="新宋体"/>
                <w:color w:val="auto"/>
                <w:szCs w:val="21"/>
                <w:highlight w:val="none"/>
              </w:rPr>
              <w:t>需要补充的其他内容：</w:t>
            </w:r>
          </w:p>
        </w:tc>
      </w:tr>
      <w:tr w14:paraId="4B174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top"/>
          </w:tcPr>
          <w:p w14:paraId="63F0BEA2">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条款号</w:t>
            </w:r>
          </w:p>
        </w:tc>
        <w:tc>
          <w:tcPr>
            <w:tcW w:w="7817" w:type="dxa"/>
            <w:noWrap w:val="0"/>
            <w:vAlign w:val="top"/>
          </w:tcPr>
          <w:p w14:paraId="1FAE64FE">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补充或修改的内容</w:t>
            </w:r>
          </w:p>
        </w:tc>
      </w:tr>
      <w:tr w14:paraId="70D0D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3E3DFBC7">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1</w:t>
            </w:r>
          </w:p>
        </w:tc>
        <w:tc>
          <w:tcPr>
            <w:tcW w:w="7817" w:type="dxa"/>
            <w:noWrap w:val="0"/>
            <w:vAlign w:val="top"/>
          </w:tcPr>
          <w:p w14:paraId="09C203C4">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将评标办法原文第 1 条“评标方法”改为“评标方法、组织及工作程序”，原文内容修改如下：</w:t>
            </w:r>
          </w:p>
          <w:p w14:paraId="32D0E9D4">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1.评标方法、组织及工作程序</w:t>
            </w:r>
          </w:p>
          <w:p w14:paraId="6E895C94">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1.1 评标方法</w:t>
            </w:r>
          </w:p>
          <w:p w14:paraId="72C48680">
            <w:pPr>
              <w:keepNext w:val="0"/>
              <w:keepLines w:val="0"/>
              <w:widowControl/>
              <w:suppressLineNumbers w:val="0"/>
              <w:spacing w:before="0" w:beforeAutospacing="0" w:after="0" w:afterAutospacing="0"/>
              <w:ind w:left="0" w:right="0" w:firstLine="420"/>
              <w:rPr>
                <w:rFonts w:hint="eastAsia" w:ascii="新宋体" w:hAnsi="新宋体" w:eastAsia="新宋体" w:cs="新宋体"/>
                <w:color w:val="auto"/>
                <w:szCs w:val="21"/>
                <w:highlight w:val="none"/>
                <w:lang w:eastAsia="zh-CN"/>
              </w:rPr>
            </w:pPr>
            <w:r>
              <w:rPr>
                <w:rFonts w:hint="default" w:ascii="新宋体" w:hAnsi="新宋体" w:eastAsia="新宋体" w:cs="新宋体"/>
                <w:color w:val="auto"/>
                <w:szCs w:val="21"/>
                <w:highlight w:val="none"/>
              </w:rPr>
              <w:t>本次评标采用双信封的综合评分法。评标委员会对满足招标文件实质性要求的投标文件，按照本章第 2.2 款规定的评分标准进行打分，投标报价低于其成本的除外。综合评分相等时，评标委员会应按照评标办法前附表规定的推荐</w:t>
            </w:r>
            <w:r>
              <w:rPr>
                <w:rFonts w:hint="eastAsia" w:ascii="新宋体" w:hAnsi="新宋体" w:eastAsia="新宋体" w:cs="新宋体"/>
                <w:color w:val="auto"/>
                <w:szCs w:val="21"/>
                <w:highlight w:val="none"/>
                <w:lang w:eastAsia="zh-CN"/>
              </w:rPr>
              <w:t>定</w:t>
            </w:r>
            <w:r>
              <w:rPr>
                <w:rFonts w:hint="default" w:ascii="新宋体" w:hAnsi="新宋体" w:eastAsia="新宋体" w:cs="新宋体"/>
                <w:color w:val="auto"/>
                <w:szCs w:val="21"/>
                <w:highlight w:val="none"/>
              </w:rPr>
              <w:t>标候选人</w:t>
            </w:r>
          </w:p>
          <w:p w14:paraId="6321B9A7">
            <w:pPr>
              <w:keepNext w:val="0"/>
              <w:keepLines w:val="0"/>
              <w:widowControl/>
              <w:suppressLineNumbers w:val="0"/>
              <w:spacing w:before="0" w:beforeAutospacing="0" w:after="0" w:afterAutospacing="0"/>
              <w:ind w:left="0" w:right="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w:t>
            </w:r>
          </w:p>
          <w:p w14:paraId="7592FB0C">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1.2 评标组织</w:t>
            </w:r>
          </w:p>
          <w:p w14:paraId="77AE3F80">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1.2.1 协助工作组</w:t>
            </w:r>
          </w:p>
          <w:p w14:paraId="21C21113">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招标人可在评标工作开始前成立协助工作组，选派熟悉招标工作、政治素质高的人员组成，协助评标委员会工作。协助工作组人员的具体数量由招标人视评标工作量确定。</w:t>
            </w:r>
          </w:p>
          <w:p w14:paraId="6E8FA999">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招标人可以协助评标委员会开展下列工作并提供相关信息：</w:t>
            </w:r>
          </w:p>
          <w:p w14:paraId="2F72ED50">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（1）根据招标文件，编制评标使用的相应表格；</w:t>
            </w:r>
          </w:p>
          <w:p w14:paraId="1A8F59AC">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（2）对投标报价进行算术性校核（如采用固化工程量清单，本步骤省略）；</w:t>
            </w:r>
          </w:p>
          <w:p w14:paraId="1FA9F1C8">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（3）以评标标准和方法为依据，列出投标文件相对于招标文件的所有偏差，并进行归类汇总；</w:t>
            </w:r>
          </w:p>
          <w:p w14:paraId="1088061E">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（4）对投标人的资质、业绩、主要人员资历和目前在岗情况、信用等级进行核实。</w:t>
            </w:r>
          </w:p>
          <w:p w14:paraId="0B806503">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招标人不得对投标文件作出任何评价，不得故意遗漏或者片面摘录，不得在评标委员会对所有偏差定性之前透露存有偏差的投标人名称。</w:t>
            </w:r>
          </w:p>
          <w:p w14:paraId="0D8B0AF7">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1.2.2 评标委员会</w:t>
            </w:r>
          </w:p>
          <w:p w14:paraId="044FC2C2">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评标委员会由招标人按国家、广东省等的有关规定依法组建。评标委员会的主要工作内容包括：</w:t>
            </w:r>
          </w:p>
          <w:p w14:paraId="42D530AD">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（1）评标委员会开始评标工作之前，首先听取招标人、协助工作组关于工程情况和辅助工作的说明，并认真研读招标文件，获取评标所需的重要信息和数据；</w:t>
            </w:r>
          </w:p>
          <w:p w14:paraId="4685C670">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（2）对协助工作组提供的评标工作用表和评标内容进行核查。</w:t>
            </w:r>
          </w:p>
          <w:p w14:paraId="2DA1A239">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（3）按照以下 1.3 款程序进行各项评审工作。</w:t>
            </w:r>
          </w:p>
          <w:p w14:paraId="36793D77">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1.3 评审工作程序</w:t>
            </w:r>
          </w:p>
          <w:p w14:paraId="1E89F3C8">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（一）第一个信封（商务及技术文件）：</w:t>
            </w:r>
          </w:p>
          <w:p w14:paraId="0FE918A7">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l、初步评审：包括形式评审与响应性评审、资格评审</w:t>
            </w:r>
            <w:r>
              <w:rPr>
                <w:rFonts w:hint="default" w:ascii="新宋体" w:hAnsi="新宋体" w:eastAsia="新宋体" w:cs="新宋体"/>
                <w:strike/>
                <w:dstrike w:val="0"/>
                <w:color w:val="auto"/>
                <w:szCs w:val="21"/>
                <w:highlight w:val="none"/>
              </w:rPr>
              <w:t>（适用于未进行资格预审）</w:t>
            </w:r>
            <w:r>
              <w:rPr>
                <w:rFonts w:hint="default" w:ascii="新宋体" w:hAnsi="新宋体" w:eastAsia="新宋体" w:cs="新宋体"/>
                <w:color w:val="auto"/>
                <w:szCs w:val="21"/>
                <w:highlight w:val="none"/>
              </w:rPr>
              <w:t>；</w:t>
            </w:r>
          </w:p>
          <w:p w14:paraId="46AD7EE7">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2、详细评审（评审打分）：评标委员会首先对通过初步评审的投标文件第一个信封（商务及技术文件）进行详细评审，对投标人的施工组织设计、项目管理机构、其他因素等分别评审打分。</w:t>
            </w:r>
          </w:p>
          <w:p w14:paraId="7561A2A0">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（二）第二个信封（报价文件）：</w:t>
            </w:r>
          </w:p>
          <w:p w14:paraId="09E39D8A">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1、初步评审：</w:t>
            </w:r>
          </w:p>
          <w:p w14:paraId="54ED7C66">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（1）只有投标文件第一个信封通过详细评审的投标人才能继续参加第二个信封报价文件的形式评审与响应性评审；</w:t>
            </w:r>
          </w:p>
          <w:p w14:paraId="05C6702F">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（2）报价算术性修正（如采用固化工程量清单，本步骤省略）；</w:t>
            </w:r>
          </w:p>
          <w:p w14:paraId="64C28E47">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2、详细评审：计算评标基准价、评标价得分及综合得分；</w:t>
            </w:r>
          </w:p>
          <w:p w14:paraId="63C2CFE6">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（三）投标文件相关信息的核查。</w:t>
            </w:r>
          </w:p>
          <w:p w14:paraId="05420270">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w:t>
            </w:r>
            <w:r>
              <w:rPr>
                <w:rFonts w:hint="eastAsia" w:ascii="新宋体" w:hAnsi="新宋体" w:eastAsia="新宋体" w:cs="新宋体"/>
                <w:color w:val="auto"/>
                <w:szCs w:val="21"/>
                <w:highlight w:val="none"/>
              </w:rPr>
              <w:t>四</w:t>
            </w:r>
            <w:r>
              <w:rPr>
                <w:rFonts w:hint="default" w:ascii="新宋体" w:hAnsi="新宋体" w:eastAsia="新宋体" w:cs="新宋体"/>
                <w:color w:val="auto"/>
                <w:szCs w:val="21"/>
                <w:highlight w:val="none"/>
              </w:rPr>
              <w:t>）投标文件的澄清和说明(如有)</w:t>
            </w:r>
          </w:p>
          <w:p w14:paraId="29EC1851">
            <w:pPr>
              <w:keepNext w:val="0"/>
              <w:keepLines w:val="0"/>
              <w:widowControl/>
              <w:suppressLineNumbers w:val="0"/>
              <w:spacing w:before="0" w:beforeAutospacing="0" w:after="0" w:afterAutospacing="0"/>
              <w:ind w:left="0" w:right="0" w:firstLine="420"/>
              <w:rPr>
                <w:rFonts w:hint="default" w:ascii="宋体" w:hAnsi="宋体" w:cs="宋体"/>
                <w:color w:val="auto"/>
                <w:sz w:val="24"/>
                <w:highlight w:val="none"/>
              </w:rPr>
            </w:pPr>
            <w:r>
              <w:rPr>
                <w:rFonts w:hint="default" w:ascii="新宋体" w:hAnsi="新宋体" w:eastAsia="新宋体" w:cs="新宋体"/>
                <w:color w:val="auto"/>
                <w:szCs w:val="21"/>
                <w:highlight w:val="none"/>
              </w:rPr>
              <w:t>（五）按评标办法规定推荐</w:t>
            </w:r>
            <w:r>
              <w:rPr>
                <w:rFonts w:hint="eastAsia" w:ascii="新宋体" w:hAnsi="新宋体" w:eastAsia="新宋体" w:cs="新宋体"/>
                <w:color w:val="auto"/>
                <w:szCs w:val="21"/>
                <w:highlight w:val="none"/>
                <w:lang w:eastAsia="zh-CN"/>
              </w:rPr>
              <w:t>定</w:t>
            </w:r>
            <w:r>
              <w:rPr>
                <w:rFonts w:hint="default" w:ascii="新宋体" w:hAnsi="新宋体" w:eastAsia="新宋体" w:cs="新宋体"/>
                <w:color w:val="auto"/>
                <w:szCs w:val="21"/>
                <w:highlight w:val="none"/>
              </w:rPr>
              <w:t>标候选人，编写评标报告</w:t>
            </w:r>
            <w:r>
              <w:rPr>
                <w:rFonts w:hint="eastAsia" w:ascii="新宋体" w:hAnsi="新宋体" w:eastAsia="新宋体" w:cs="新宋体"/>
                <w:color w:val="auto"/>
                <w:szCs w:val="21"/>
                <w:highlight w:val="none"/>
              </w:rPr>
              <w:t>。</w:t>
            </w:r>
          </w:p>
        </w:tc>
      </w:tr>
      <w:tr w14:paraId="5E469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6F27D565">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3.2.2</w:t>
            </w:r>
          </w:p>
        </w:tc>
        <w:tc>
          <w:tcPr>
            <w:tcW w:w="7817" w:type="dxa"/>
            <w:noWrap w:val="0"/>
            <w:vAlign w:val="top"/>
          </w:tcPr>
          <w:p w14:paraId="6A483911">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将评标办法原文第 3.2.2 项修改如下：</w:t>
            </w:r>
          </w:p>
          <w:p w14:paraId="4470E894">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投标人的商务和技术得分分值计算保留小数点后三位，小数点后第四位“四舍五入”。</w:t>
            </w:r>
          </w:p>
        </w:tc>
      </w:tr>
      <w:tr w14:paraId="18DC0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15E46FBD">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3.2.3</w:t>
            </w:r>
          </w:p>
        </w:tc>
        <w:tc>
          <w:tcPr>
            <w:tcW w:w="7817" w:type="dxa"/>
            <w:noWrap w:val="0"/>
            <w:vAlign w:val="top"/>
          </w:tcPr>
          <w:p w14:paraId="5039CD68">
            <w:pPr>
              <w:keepNext w:val="0"/>
              <w:keepLines w:val="0"/>
              <w:widowControl/>
              <w:suppressLineNumbers w:val="0"/>
              <w:shd w:val="clear" w:color="auto" w:fill="auto"/>
              <w:spacing w:before="0" w:beforeAutospacing="0" w:after="0" w:afterAutospacing="0" w:line="400" w:lineRule="exact"/>
              <w:ind w:left="0" w:right="0"/>
              <w:jc w:val="left"/>
              <w:rPr>
                <w:rFonts w:hint="default"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将评标办法范本原文第3.2.3项细化如下：</w:t>
            </w:r>
          </w:p>
          <w:p w14:paraId="46AE6C47">
            <w:pPr>
              <w:keepNext w:val="0"/>
              <w:keepLines w:val="0"/>
              <w:widowControl/>
              <w:suppressLineNumbers w:val="0"/>
              <w:shd w:val="clear" w:color="auto" w:fill="auto"/>
              <w:spacing w:before="0" w:beforeAutospacing="0" w:after="0" w:afterAutospacing="0" w:line="400" w:lineRule="exact"/>
              <w:ind w:left="0" w:right="0"/>
              <w:jc w:val="left"/>
              <w:rPr>
                <w:rFonts w:hint="default"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投标人的商务和技术得分=A+B+C。</w:t>
            </w:r>
          </w:p>
          <w:p w14:paraId="27A5F7EF">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eastAsia" w:ascii="宋体" w:hAnsi="宋体" w:eastAsia="宋体" w:cs="宋体"/>
                <w:color w:val="auto"/>
                <w:spacing w:val="0"/>
                <w:sz w:val="21"/>
                <w:szCs w:val="21"/>
                <w:highlight w:val="none"/>
              </w:rPr>
              <w:t>除履约信誉、技术能力得分外，投标文件各评分因素细分项得分均不应低于其权重分的60%，评分低于权重分值60%的，评标委员会成员应当在评标报告中作出说明。计算投标人技术得分时:对各评分因素细分项中取消一个最高、一个最低分后计算算术平均值的和为投标人的最终技术得分，平均值计算保留小数点后三位，小数点后第四位“四舍五入”。</w:t>
            </w:r>
          </w:p>
        </w:tc>
      </w:tr>
      <w:tr w14:paraId="2DDA8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39DF6D8E">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3.5.2</w:t>
            </w:r>
          </w:p>
        </w:tc>
        <w:tc>
          <w:tcPr>
            <w:tcW w:w="7817" w:type="dxa"/>
            <w:noWrap w:val="0"/>
            <w:vAlign w:val="top"/>
          </w:tcPr>
          <w:p w14:paraId="4B18E081">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将评标办法原文第 3.5.2 项细化如下：</w:t>
            </w:r>
          </w:p>
          <w:p w14:paraId="7DFAAE39">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投标人综合得分=投标人的商务和技术得分+C。（计算保留小数点后四位，小数点后第五位“四舍五入”）</w:t>
            </w:r>
          </w:p>
        </w:tc>
      </w:tr>
      <w:tr w14:paraId="35BA5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1B097D13">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3.6</w:t>
            </w:r>
          </w:p>
        </w:tc>
        <w:tc>
          <w:tcPr>
            <w:tcW w:w="7817" w:type="dxa"/>
            <w:noWrap w:val="0"/>
            <w:vAlign w:val="top"/>
          </w:tcPr>
          <w:p w14:paraId="0B1137C2">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3.6.2 项（2）目末增加以下条款：</w:t>
            </w:r>
          </w:p>
          <w:p w14:paraId="0011E7F8">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g.广东省实施《中华人民共和国招标投标法》办法第十六条规定的情形。增加 3.6.3 项：</w:t>
            </w:r>
          </w:p>
          <w:p w14:paraId="701361B8">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3.6.3 依法必须进行招标的项目，除第一中标候选人或者中标人，其他投标人存在串通投标、弄虚作假、行贿情形且在评标过程中未被发现的，视为对中标结果没有造成实质性影响，招标人可以依法继续开展招标活动。投标人的违法行为由行政监督部门依法处理。</w:t>
            </w:r>
          </w:p>
        </w:tc>
      </w:tr>
      <w:tr w14:paraId="6CB72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65E1B0AF">
            <w:pPr>
              <w:keepNext w:val="0"/>
              <w:keepLines w:val="0"/>
              <w:widowControl/>
              <w:suppressLineNumbers w:val="0"/>
              <w:spacing w:before="0" w:beforeAutospacing="0" w:after="0" w:afterAutospacing="0"/>
              <w:ind w:left="0" w:right="0"/>
              <w:jc w:val="center"/>
              <w:rPr>
                <w:rFonts w:hint="default" w:ascii="新宋体" w:hAnsi="新宋体" w:eastAsia="新宋体" w:cs="新宋体"/>
                <w:color w:val="auto"/>
                <w:szCs w:val="21"/>
                <w:highlight w:val="none"/>
              </w:rPr>
            </w:pPr>
            <w:r>
              <w:rPr>
                <w:rFonts w:hint="eastAsia" w:ascii="新宋体" w:hAnsi="新宋体" w:eastAsia="新宋体" w:cs="新宋体"/>
                <w:color w:val="auto"/>
                <w:szCs w:val="21"/>
                <w:highlight w:val="none"/>
              </w:rPr>
              <w:t>3.9</w:t>
            </w:r>
          </w:p>
        </w:tc>
        <w:tc>
          <w:tcPr>
            <w:tcW w:w="7817" w:type="dxa"/>
            <w:noWrap w:val="0"/>
            <w:vAlign w:val="top"/>
          </w:tcPr>
          <w:p w14:paraId="37556682">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增加 3.9.3-3.9.7 项：</w:t>
            </w:r>
          </w:p>
          <w:p w14:paraId="433A4CB9">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3.9.3 推荐中标候选人方式：（1）已被推荐为某一合同段的第一中标候选人，自动失去其在本次招标中其他合同段的中标候选人资格。（2）按合同段最高投标限价由高到低顺序依次选定各合同段中标候选人，如果出现投标人在多个合同段都排名第一，将确定该投标人为最高投标限价较高的合同段的第一中标候选人，同时该投标人自动失去在本次招标中其他合同段的中标候选人资格，其他合同段的综合排名名次高者自动上升为中标候选人，以此类推。</w:t>
            </w:r>
          </w:p>
          <w:p w14:paraId="4F9E6ACE">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3.9.4 通过第一个信封商务及技术文件评审的投标人少于 3 个的，评标委员会可以否决全部投标；未否决全部投标的，评标委员会应当在评标报告中阐明理由，招标人应当按照招标文件规定的程序进行第二个信封报价文件开标，但评标委员会在进行报价文件评审时仍有权否决全部投标；评标委员会未在报价文件评审时否决全部投标的，应当在评标报告中阐明理由并推荐中标候选人。</w:t>
            </w:r>
          </w:p>
          <w:p w14:paraId="4D67B897">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3.9.5 通过第一个信封商务及技术文件评审的投标人在 3 个及以上的，招标人应当按照招标文件规定的程序进行第二个信封报价文件开标；在对报价文件进行评审后，有效投标不足 3 个的，评标委员会可以否决全部投标。未否决全部投标的，评标委员会应当在评标报告中阐明理由并推荐中标候选人。</w:t>
            </w:r>
          </w:p>
          <w:p w14:paraId="61A7D9BF">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3.9.6 如果发生无法确定推荐中标候选人的其它意外情况，评标委员会可建议招标人重新招标。</w:t>
            </w:r>
          </w:p>
          <w:p w14:paraId="19E31D82">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3.9.7 本招标文件规定的否决投标条款包含在以下条款：</w:t>
            </w:r>
          </w:p>
          <w:p w14:paraId="67432359">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（1）招标公告第 3 点 投标人资格要求；</w:t>
            </w:r>
          </w:p>
          <w:p w14:paraId="4C2A9448">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（2）投标人须知 1.11.1 项、1.4.3 项、1.4.4 项、1.12 项、3.4 项、3.5项、3.6 项；</w:t>
            </w:r>
          </w:p>
          <w:p w14:paraId="65E35BA0">
            <w:pPr>
              <w:keepNext w:val="0"/>
              <w:keepLines w:val="0"/>
              <w:widowControl/>
              <w:suppressLineNumbers w:val="0"/>
              <w:spacing w:before="0" w:beforeAutospacing="0" w:after="0" w:afterAutospacing="0"/>
              <w:ind w:left="0" w:right="0" w:firstLine="420"/>
              <w:rPr>
                <w:rFonts w:hint="default" w:ascii="新宋体" w:hAnsi="新宋体" w:eastAsia="新宋体" w:cs="新宋体"/>
                <w:color w:val="auto"/>
                <w:szCs w:val="21"/>
                <w:highlight w:val="none"/>
              </w:rPr>
            </w:pPr>
            <w:r>
              <w:rPr>
                <w:rFonts w:hint="default" w:ascii="新宋体" w:hAnsi="新宋体" w:eastAsia="新宋体" w:cs="新宋体"/>
                <w:color w:val="auto"/>
                <w:szCs w:val="21"/>
                <w:highlight w:val="none"/>
              </w:rPr>
              <w:t>（3）本评标办法的否决条款</w:t>
            </w:r>
            <w:r>
              <w:rPr>
                <w:rFonts w:hint="eastAsia" w:ascii="新宋体" w:hAnsi="新宋体" w:eastAsia="新宋体" w:cs="新宋体"/>
                <w:color w:val="auto"/>
                <w:szCs w:val="21"/>
                <w:highlight w:val="none"/>
              </w:rPr>
              <w:t>。</w:t>
            </w:r>
          </w:p>
        </w:tc>
      </w:tr>
    </w:tbl>
    <w:p w14:paraId="57788D04">
      <w:pPr>
        <w:ind w:firstLine="420"/>
        <w:rPr>
          <w:rFonts w:hint="eastAsia"/>
          <w:color w:val="auto"/>
          <w:szCs w:val="21"/>
          <w:highlight w:val="none"/>
        </w:rPr>
      </w:pPr>
    </w:p>
    <w:p w14:paraId="4C7EAAA6">
      <w:pPr>
        <w:pStyle w:val="3"/>
        <w:spacing w:after="0"/>
        <w:ind w:firstLine="422" w:firstLineChars="200"/>
        <w:jc w:val="both"/>
        <w:rPr>
          <w:rFonts w:ascii="宋体" w:hAnsi="宋体" w:eastAsia="宋体"/>
          <w:b/>
          <w:bCs/>
          <w:color w:val="auto"/>
          <w:sz w:val="21"/>
          <w:szCs w:val="21"/>
          <w:highlight w:val="none"/>
        </w:rPr>
      </w:pPr>
      <w:bookmarkStart w:id="15" w:name="_Toc79652987"/>
      <w:r>
        <w:rPr>
          <w:rFonts w:hint="eastAsia" w:ascii="宋体" w:hAnsi="宋体" w:eastAsia="宋体"/>
          <w:b/>
          <w:bCs/>
          <w:color w:val="auto"/>
          <w:sz w:val="21"/>
          <w:szCs w:val="21"/>
          <w:highlight w:val="none"/>
        </w:rPr>
        <w:t>1、评标方法</w:t>
      </w:r>
      <w:bookmarkEnd w:id="15"/>
    </w:p>
    <w:p w14:paraId="424A7E5F">
      <w:pPr>
        <w:spacing w:line="360" w:lineRule="auto"/>
        <w:ind w:firstLine="420" w:firstLineChars="200"/>
        <w:rPr>
          <w:rFonts w:ascii="宋体" w:hAnsi="宋体"/>
          <w:color w:val="auto"/>
          <w:szCs w:val="21"/>
          <w:highlight w:val="none"/>
        </w:rPr>
      </w:pPr>
      <w:bookmarkStart w:id="16" w:name="_Toc228845091"/>
      <w:bookmarkStart w:id="17" w:name="_Toc238457524"/>
      <w:bookmarkStart w:id="18" w:name="_Toc245528830"/>
      <w:bookmarkStart w:id="19" w:name="_Toc257368337"/>
      <w:bookmarkStart w:id="20" w:name="_Toc206258910"/>
      <w:bookmarkStart w:id="21" w:name="_Toc304453644"/>
      <w:bookmarkStart w:id="22" w:name="_Toc237841348"/>
      <w:bookmarkStart w:id="23" w:name="_Toc202599229"/>
      <w:bookmarkStart w:id="24" w:name="_Toc202502865"/>
      <w:bookmarkStart w:id="25" w:name="_Toc262505602"/>
      <w:bookmarkStart w:id="26" w:name="_Toc252849812"/>
      <w:r>
        <w:rPr>
          <w:rFonts w:ascii="宋体" w:hAnsi="宋体"/>
          <w:color w:val="auto"/>
          <w:szCs w:val="21"/>
          <w:highlight w:val="none"/>
        </w:rPr>
        <w:t>本次评标采用</w:t>
      </w:r>
      <w:r>
        <w:rPr>
          <w:rFonts w:hint="eastAsia" w:ascii="宋体" w:hAnsi="宋体" w:eastAsia="宋体"/>
          <w:color w:val="auto"/>
          <w:szCs w:val="21"/>
          <w:highlight w:val="none"/>
          <w:lang w:eastAsia="zh-CN"/>
        </w:rPr>
        <w:t>双信封的</w:t>
      </w:r>
      <w:r>
        <w:rPr>
          <w:rFonts w:ascii="宋体" w:hAnsi="宋体"/>
          <w:color w:val="auto"/>
          <w:szCs w:val="21"/>
          <w:highlight w:val="none"/>
        </w:rPr>
        <w:t>综合评分法。</w:t>
      </w:r>
      <w:r>
        <w:rPr>
          <w:rFonts w:hint="eastAsia" w:ascii="宋体" w:hAnsi="宋体"/>
          <w:color w:val="auto"/>
          <w:szCs w:val="21"/>
          <w:highlight w:val="none"/>
        </w:rPr>
        <w:t>评标委员会对满足招标文件实质性要求的投标文件的施工组织设计、主要人员、技术能力等因素进行评分，按照得分由高到低排序，对排名在招标文件规定数量以内的投标人的报价文件进行评审，按照评标价由低到高的顺序推荐5名定标候选人，但投标报价低于其成本的除外。评标价相等时，按定标候选人数量的规定，由评标委员会采用票决法的方式，确定定标候选人排序。</w:t>
      </w:r>
    </w:p>
    <w:p w14:paraId="041958B4">
      <w:pPr>
        <w:pStyle w:val="3"/>
        <w:spacing w:after="0"/>
        <w:ind w:firstLine="422" w:firstLineChars="200"/>
        <w:jc w:val="both"/>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2、评审标准</w:t>
      </w:r>
      <w:bookmarkEnd w:id="16"/>
      <w:bookmarkEnd w:id="17"/>
      <w:bookmarkEnd w:id="18"/>
      <w:bookmarkEnd w:id="19"/>
      <w:bookmarkEnd w:id="20"/>
      <w:bookmarkEnd w:id="21"/>
      <w:bookmarkEnd w:id="22"/>
      <w:bookmarkEnd w:id="23"/>
      <w:bookmarkEnd w:id="24"/>
      <w:bookmarkEnd w:id="25"/>
      <w:bookmarkEnd w:id="26"/>
    </w:p>
    <w:p w14:paraId="3C95BD0E">
      <w:pPr>
        <w:spacing w:line="360" w:lineRule="auto"/>
        <w:ind w:firstLine="420" w:firstLineChars="200"/>
        <w:rPr>
          <w:rFonts w:ascii="宋体" w:hAnsi="宋体"/>
          <w:b/>
          <w:color w:val="auto"/>
          <w:szCs w:val="21"/>
          <w:highlight w:val="none"/>
        </w:rPr>
      </w:pPr>
      <w:bookmarkStart w:id="27" w:name="_Toc202502866"/>
      <w:bookmarkStart w:id="28" w:name="_Toc206258911"/>
      <w:bookmarkStart w:id="29" w:name="_Toc202599230"/>
      <w:r>
        <w:rPr>
          <w:rFonts w:hint="eastAsia" w:ascii="宋体" w:hAnsi="宋体"/>
          <w:b/>
          <w:color w:val="auto"/>
          <w:szCs w:val="21"/>
          <w:highlight w:val="none"/>
        </w:rPr>
        <w:t>2.1 初步评审标准</w:t>
      </w:r>
      <w:bookmarkEnd w:id="27"/>
      <w:bookmarkEnd w:id="28"/>
      <w:bookmarkEnd w:id="29"/>
    </w:p>
    <w:p w14:paraId="6EF644F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2.1.1 形式评审标准：见评标办法前附表。</w:t>
      </w:r>
    </w:p>
    <w:p w14:paraId="646F7106">
      <w:pPr>
        <w:spacing w:line="360" w:lineRule="auto"/>
        <w:ind w:firstLine="420" w:firstLineChars="200"/>
        <w:rPr>
          <w:rFonts w:ascii="宋体" w:hAnsi="宋体"/>
          <w:color w:val="auto"/>
          <w:szCs w:val="21"/>
          <w:highlight w:val="none"/>
        </w:rPr>
      </w:pPr>
      <w:r>
        <w:rPr>
          <w:rFonts w:ascii="宋体" w:hAnsi="宋体"/>
          <w:color w:val="auto"/>
          <w:szCs w:val="21"/>
          <w:highlight w:val="none"/>
        </w:rPr>
        <w:t xml:space="preserve">2.1.2 </w:t>
      </w:r>
      <w:r>
        <w:rPr>
          <w:rFonts w:hint="eastAsia" w:ascii="宋体" w:hAnsi="宋体"/>
          <w:color w:val="auto"/>
          <w:szCs w:val="21"/>
          <w:highlight w:val="none"/>
        </w:rPr>
        <w:t>资格评审标准：见评标办法前附表。</w:t>
      </w:r>
    </w:p>
    <w:p w14:paraId="65B5CCB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2.1.3 响应性评审标准：见评标办法前附表。</w:t>
      </w:r>
    </w:p>
    <w:p w14:paraId="370E4942">
      <w:pPr>
        <w:spacing w:line="360" w:lineRule="auto"/>
        <w:ind w:firstLine="420" w:firstLineChars="200"/>
        <w:rPr>
          <w:rFonts w:ascii="宋体" w:hAnsi="宋体"/>
          <w:b/>
          <w:color w:val="auto"/>
          <w:szCs w:val="21"/>
          <w:highlight w:val="none"/>
        </w:rPr>
      </w:pPr>
      <w:bookmarkStart w:id="30" w:name="_Toc206258912"/>
      <w:bookmarkStart w:id="31" w:name="_Toc202599231"/>
      <w:bookmarkStart w:id="32" w:name="_Toc202502867"/>
      <w:r>
        <w:rPr>
          <w:rFonts w:hint="eastAsia" w:ascii="宋体" w:hAnsi="宋体"/>
          <w:b/>
          <w:color w:val="auto"/>
          <w:szCs w:val="21"/>
          <w:highlight w:val="none"/>
        </w:rPr>
        <w:t>2.2 分值构成与评分标准</w:t>
      </w:r>
      <w:bookmarkEnd w:id="30"/>
      <w:bookmarkEnd w:id="31"/>
      <w:bookmarkEnd w:id="32"/>
    </w:p>
    <w:p w14:paraId="5EBF8C2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2.2.1 分值构成</w:t>
      </w:r>
    </w:p>
    <w:p w14:paraId="3D75ACE6">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（1）施工组织设计：见评标办法前附表；</w:t>
      </w:r>
    </w:p>
    <w:p w14:paraId="01BD472A">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（2）</w:t>
      </w:r>
      <w:r>
        <w:rPr>
          <w:rFonts w:ascii="宋体" w:hAnsi="宋体" w:eastAsia="宋体" w:cs="Times New Roman"/>
          <w:color w:val="auto"/>
          <w:szCs w:val="21"/>
          <w:highlight w:val="none"/>
        </w:rPr>
        <w:t>项目管理机构：</w:t>
      </w:r>
      <w:r>
        <w:rPr>
          <w:rFonts w:ascii="宋体" w:hAnsi="宋体"/>
          <w:color w:val="auto"/>
          <w:szCs w:val="21"/>
          <w:highlight w:val="none"/>
        </w:rPr>
        <w:t>见评标办法前附表；</w:t>
      </w:r>
    </w:p>
    <w:p w14:paraId="3B55EF42">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（3）投标报价：见评标办法前附表；</w:t>
      </w:r>
    </w:p>
    <w:p w14:paraId="5972C991">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（4）其他评分因素：见评标办法前附表。</w:t>
      </w:r>
    </w:p>
    <w:p w14:paraId="2783A3B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2.2.2 评标基准价计算</w:t>
      </w:r>
    </w:p>
    <w:p w14:paraId="1BF9412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评标基准价计算方法：见评标办法前附表。</w:t>
      </w:r>
    </w:p>
    <w:p w14:paraId="3C0201C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2.2.3 投标报价的偏差率计算</w:t>
      </w:r>
    </w:p>
    <w:p w14:paraId="1085D3F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投标报价的偏差率计算公式：见评标办法前附表。</w:t>
      </w:r>
    </w:p>
    <w:p w14:paraId="4374CB8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2.2.4 评分标准</w:t>
      </w:r>
    </w:p>
    <w:p w14:paraId="0BC2509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（1）施工组织设计评分标准：见评标办法前附表；</w:t>
      </w:r>
    </w:p>
    <w:p w14:paraId="2437042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eastAsia="宋体" w:cs="Times New Roman"/>
          <w:color w:val="auto"/>
          <w:szCs w:val="21"/>
          <w:highlight w:val="none"/>
        </w:rPr>
        <w:t>项目管理机构</w:t>
      </w:r>
      <w:r>
        <w:rPr>
          <w:rFonts w:hint="eastAsia" w:ascii="宋体" w:hAnsi="宋体"/>
          <w:color w:val="auto"/>
          <w:szCs w:val="21"/>
          <w:highlight w:val="none"/>
        </w:rPr>
        <w:t>评分标准：见评标办法前附表；</w:t>
      </w:r>
    </w:p>
    <w:p w14:paraId="7B63E90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（3）投标报价评分标准：见评标办法前附表；</w:t>
      </w:r>
    </w:p>
    <w:p w14:paraId="79723C5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（4）其他因素评分标准：见评标办法前附表。</w:t>
      </w:r>
    </w:p>
    <w:p w14:paraId="210FA6D4">
      <w:pPr>
        <w:pStyle w:val="3"/>
        <w:spacing w:after="0"/>
        <w:ind w:firstLine="420" w:firstLineChars="200"/>
        <w:jc w:val="both"/>
        <w:rPr>
          <w:rFonts w:ascii="宋体" w:hAnsi="宋体" w:eastAsia="宋体"/>
          <w:color w:val="auto"/>
          <w:sz w:val="21"/>
          <w:szCs w:val="21"/>
          <w:highlight w:val="none"/>
        </w:rPr>
      </w:pPr>
      <w:bookmarkStart w:id="33" w:name="_Toc262505603"/>
      <w:bookmarkStart w:id="34" w:name="_Toc304453645"/>
      <w:bookmarkStart w:id="35" w:name="_Toc252849813"/>
      <w:bookmarkStart w:id="36" w:name="_Toc238457525"/>
      <w:bookmarkStart w:id="37" w:name="_Toc257368338"/>
      <w:bookmarkStart w:id="38" w:name="_Toc237841349"/>
      <w:bookmarkStart w:id="39" w:name="_Toc206258913"/>
      <w:bookmarkStart w:id="40" w:name="_Toc245528831"/>
      <w:bookmarkStart w:id="41" w:name="_Toc202599232"/>
      <w:bookmarkStart w:id="42" w:name="_Toc228845092"/>
      <w:bookmarkStart w:id="43" w:name="_Toc202502868"/>
      <w:r>
        <w:rPr>
          <w:rFonts w:hint="eastAsia" w:ascii="宋体" w:hAnsi="宋体" w:eastAsia="宋体"/>
          <w:color w:val="auto"/>
          <w:sz w:val="21"/>
          <w:szCs w:val="21"/>
          <w:highlight w:val="none"/>
        </w:rPr>
        <w:t>3、评标程序</w:t>
      </w:r>
      <w:bookmarkEnd w:id="33"/>
      <w:bookmarkEnd w:id="34"/>
      <w:bookmarkEnd w:id="35"/>
      <w:bookmarkEnd w:id="36"/>
      <w:bookmarkEnd w:id="37"/>
      <w:bookmarkEnd w:id="38"/>
      <w:bookmarkEnd w:id="39"/>
      <w:bookmarkEnd w:id="40"/>
      <w:bookmarkEnd w:id="41"/>
      <w:bookmarkEnd w:id="42"/>
      <w:bookmarkEnd w:id="43"/>
    </w:p>
    <w:p w14:paraId="37F86488">
      <w:pPr>
        <w:spacing w:line="360" w:lineRule="auto"/>
        <w:ind w:firstLine="420" w:firstLineChars="200"/>
        <w:rPr>
          <w:rFonts w:ascii="宋体" w:hAnsi="宋体"/>
          <w:b/>
          <w:color w:val="auto"/>
          <w:szCs w:val="21"/>
          <w:highlight w:val="none"/>
        </w:rPr>
      </w:pPr>
      <w:bookmarkStart w:id="44" w:name="_Toc202599233"/>
      <w:bookmarkStart w:id="45" w:name="_Toc202502869"/>
      <w:bookmarkStart w:id="46" w:name="_Toc206258914"/>
      <w:r>
        <w:rPr>
          <w:rFonts w:hint="eastAsia" w:ascii="宋体" w:hAnsi="宋体"/>
          <w:b/>
          <w:color w:val="auto"/>
          <w:szCs w:val="21"/>
          <w:highlight w:val="none"/>
        </w:rPr>
        <w:t xml:space="preserve">3.1 </w:t>
      </w:r>
      <w:bookmarkEnd w:id="44"/>
      <w:bookmarkEnd w:id="45"/>
      <w:bookmarkEnd w:id="46"/>
      <w:r>
        <w:rPr>
          <w:rFonts w:ascii="宋体" w:hAnsi="宋体"/>
          <w:b/>
          <w:color w:val="auto"/>
          <w:szCs w:val="21"/>
          <w:highlight w:val="none"/>
        </w:rPr>
        <w:t>第一个信封初步评审</w:t>
      </w:r>
    </w:p>
    <w:p w14:paraId="571639AE">
      <w:pPr>
        <w:spacing w:line="360" w:lineRule="auto"/>
        <w:ind w:firstLine="420" w:firstLineChars="200"/>
        <w:rPr>
          <w:rFonts w:ascii="宋体" w:hAnsi="宋体"/>
          <w:color w:val="auto"/>
          <w:szCs w:val="21"/>
          <w:highlight w:val="none"/>
        </w:rPr>
      </w:pPr>
      <w:r>
        <w:rPr>
          <w:rFonts w:ascii="宋体" w:hAnsi="宋体"/>
          <w:color w:val="auto"/>
          <w:szCs w:val="21"/>
          <w:highlight w:val="none"/>
        </w:rPr>
        <w:t>3.1.1 评标委员会可以要求投标人提交第二章“投标人须知”第3.5.1项至第3.5.6项规定的有关证明和证件的原件，以便核验。评标委员会依据本章第2.1款规定的标准对投标文件第一个信封（商务及技术文件）进行初步评审。有一项不符合评审标准的，评标委员会应否决其投标。</w:t>
      </w:r>
    </w:p>
    <w:p w14:paraId="224F8618">
      <w:pPr>
        <w:spacing w:line="360" w:lineRule="auto"/>
        <w:ind w:firstLine="420" w:firstLineChars="200"/>
        <w:rPr>
          <w:rFonts w:ascii="宋体" w:hAnsi="宋体"/>
          <w:b/>
          <w:color w:val="auto"/>
          <w:szCs w:val="21"/>
          <w:highlight w:val="none"/>
        </w:rPr>
      </w:pPr>
      <w:bookmarkStart w:id="47" w:name="_Toc202599234"/>
      <w:bookmarkStart w:id="48" w:name="_Toc202502870"/>
      <w:bookmarkStart w:id="49" w:name="_Toc206258915"/>
      <w:r>
        <w:rPr>
          <w:rFonts w:hint="eastAsia" w:ascii="宋体" w:hAnsi="宋体"/>
          <w:b/>
          <w:color w:val="auto"/>
          <w:szCs w:val="21"/>
          <w:highlight w:val="none"/>
        </w:rPr>
        <w:t>3.2 第一信封详细评审</w:t>
      </w:r>
      <w:bookmarkEnd w:id="47"/>
      <w:bookmarkEnd w:id="48"/>
      <w:bookmarkEnd w:id="49"/>
    </w:p>
    <w:p w14:paraId="1C21924F">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3.2.1 评标委员会按本章第 2.2 款规定的量化因素和分值进行打分，并计算出各投标人的商务和技术得分。</w:t>
      </w:r>
    </w:p>
    <w:p w14:paraId="4612015C">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（1）按本章第 2.2.4（1）目规定的评审因素和分值对施工组织设计部分计算出得分 A；</w:t>
      </w:r>
    </w:p>
    <w:p w14:paraId="5D8AA3FD">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（2）按本章第 2.2.4（2）目规定的评审因素和分值对</w:t>
      </w:r>
      <w:r>
        <w:rPr>
          <w:rFonts w:ascii="宋体" w:hAnsi="宋体" w:eastAsia="宋体" w:cs="Times New Roman"/>
          <w:color w:val="auto"/>
          <w:szCs w:val="21"/>
          <w:highlight w:val="none"/>
        </w:rPr>
        <w:t>项目管理机构</w:t>
      </w:r>
      <w:r>
        <w:rPr>
          <w:rFonts w:ascii="宋体" w:hAnsi="宋体"/>
          <w:color w:val="auto"/>
          <w:szCs w:val="21"/>
          <w:highlight w:val="none"/>
        </w:rPr>
        <w:t>部分计算出得分 B；</w:t>
      </w:r>
    </w:p>
    <w:p w14:paraId="200A7583">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（3）按本章第 2.2.4（4）目规定的评审因素和分值对其他部分计算出得分 D。</w:t>
      </w:r>
    </w:p>
    <w:p w14:paraId="296EC018">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3.2.2 投标人的商务和技术得分分值计算保留小数点后两位，小数点后第三位“四舍五入”。</w:t>
      </w:r>
    </w:p>
    <w:p w14:paraId="5F32981D">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3.2.3 投标人的商务和技术得分=A+B+D。</w:t>
      </w:r>
    </w:p>
    <w:p w14:paraId="7E46E17D">
      <w:pPr>
        <w:spacing w:line="360" w:lineRule="auto"/>
        <w:ind w:firstLine="420" w:firstLineChars="200"/>
        <w:rPr>
          <w:rFonts w:hint="eastAsia" w:ascii="宋体" w:hAnsi="宋体"/>
          <w:b/>
          <w:color w:val="auto"/>
          <w:szCs w:val="21"/>
          <w:highlight w:val="none"/>
        </w:rPr>
      </w:pPr>
      <w:r>
        <w:rPr>
          <w:rFonts w:ascii="宋体" w:hAnsi="宋体"/>
          <w:b/>
          <w:color w:val="auto"/>
          <w:szCs w:val="21"/>
          <w:highlight w:val="none"/>
        </w:rPr>
        <w:t>3.3 第二个信封开标</w:t>
      </w:r>
    </w:p>
    <w:p w14:paraId="4D4108FF">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第一个信封（商务及技术文件）评审结束后，招标人将按照第二章“投标人须知”第 5.1款规定的时间和地点对通过投标文件第一个信封（商务及技术文件）评审的投标文件第二个信封（报价文件）进行开标。</w:t>
      </w:r>
    </w:p>
    <w:p w14:paraId="1CF9D5E4">
      <w:pPr>
        <w:spacing w:line="360" w:lineRule="auto"/>
        <w:ind w:firstLine="420" w:firstLineChars="200"/>
        <w:rPr>
          <w:rFonts w:hint="eastAsia" w:ascii="宋体" w:hAnsi="宋体"/>
          <w:b/>
          <w:color w:val="auto"/>
          <w:szCs w:val="21"/>
          <w:highlight w:val="none"/>
        </w:rPr>
      </w:pPr>
      <w:r>
        <w:rPr>
          <w:rFonts w:ascii="宋体" w:hAnsi="宋体"/>
          <w:b/>
          <w:color w:val="auto"/>
          <w:szCs w:val="21"/>
          <w:highlight w:val="none"/>
        </w:rPr>
        <w:t>3.4 第二个信封初步评审</w:t>
      </w:r>
    </w:p>
    <w:p w14:paraId="1EE0163E">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3.4.1 评标委员会依据本章第 2.1.1 项、第 2.1.3 项规定的评审标准对投标文件第二个信封（报价文件）进行初步评审。有一项不符合评审标准的，评标委员会应否决其投标。</w:t>
      </w:r>
    </w:p>
    <w:p w14:paraId="509413BD">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3.4.2投标报价有算术错误的，评标委员会按以下原则对投标报价进行修正，修正的价格经投标人书面确认后具有约束力。投标人不接受修正价格的，评标委员会应否决其投标。</w:t>
      </w:r>
    </w:p>
    <w:p w14:paraId="30D42FF3">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(1)投标文件中的大写金额与小写金额不一致的，以大写金额为准；</w:t>
      </w:r>
    </w:p>
    <w:p w14:paraId="2A892874">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(2)总价金额与依据单价计算出的结果不一致的，以单价金额为准修正总价，但单价金额小数点有明显错误的除外；</w:t>
      </w:r>
    </w:p>
    <w:p w14:paraId="67771787">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(3)当单价与数量相乘不等于合价时，以单价计算为准，如果单价有明显的小数点位置差错，应以标出的合价为准，同时对单价予以修正；</w:t>
      </w:r>
    </w:p>
    <w:p w14:paraId="6FF36E1D">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(4)当各子目的合价累计不等于总价时，应以各子目合价累计数为准，修正总价。</w:t>
      </w:r>
    </w:p>
    <w:p w14:paraId="564D411F">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3.4.3 工程量清单中的投标报价有其他错误的，评标委员会按以下原则对投标报价进行修正，修正的价格经投标人书面确认后具有约束力。投标人不接受修正价格的，评标委员会应否决其投标。</w:t>
      </w:r>
    </w:p>
    <w:p w14:paraId="153BAB67">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(1)在招标人给定的工程量清单中漏报了某个工程子目的单价、合价或总额价，或所报单价、合价或总额价减少了报价范围，则漏报的工程子目单价、合价和总额价或单价、合价和总额价中减少的报价内容视为已含入其他工程子目的单价、合价和总额价之中。</w:t>
      </w:r>
    </w:p>
    <w:p w14:paraId="58F92D5C">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(2)在招标人给定的工程量清单中多报了某个工程子目的单价、合价或总额价，或所报单价、合价或总额价增加了报价范围，则从投标报价中扣除多报的工程子目报价或工程子目报价中增加了报价范围的部分报价。</w:t>
      </w:r>
    </w:p>
    <w:p w14:paraId="063F964C">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(3)当单价与数量的乘积与合价(金额)虽然一致，但投标人修改了该子目的工程数量，则其合价按招标人给定的工程数量乘以投标人所报单价予以修正。</w:t>
      </w:r>
    </w:p>
    <w:p w14:paraId="5C16CB64">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3.4.4 修正后的最终投标报价若超过最高投标限价(如有)，评标委员会应否决其投标。</w:t>
      </w:r>
    </w:p>
    <w:p w14:paraId="2EEC74E1">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3.4.5 修正后的最终投标报价仅作为签订合同的一个依据，不参与评标价得分的计算。</w:t>
      </w:r>
    </w:p>
    <w:p w14:paraId="7D9E2CBE">
      <w:pPr>
        <w:spacing w:line="360" w:lineRule="auto"/>
        <w:ind w:firstLine="420" w:firstLineChars="200"/>
        <w:rPr>
          <w:rFonts w:hint="eastAsia" w:ascii="宋体" w:hAnsi="宋体"/>
          <w:b/>
          <w:color w:val="auto"/>
          <w:szCs w:val="21"/>
          <w:highlight w:val="none"/>
        </w:rPr>
      </w:pPr>
      <w:r>
        <w:rPr>
          <w:rFonts w:ascii="宋体" w:hAnsi="宋体"/>
          <w:b/>
          <w:color w:val="auto"/>
          <w:szCs w:val="21"/>
          <w:highlight w:val="none"/>
        </w:rPr>
        <w:t>3．5第二个信封详细评审</w:t>
      </w:r>
    </w:p>
    <w:p w14:paraId="37C87CAF">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3.5.1 评标委员会按本章第 2.2.4（3）目规定的评审因素和分值对投标报价计算出得分C。投标报价得分分值计算保留小数点后两位，小数点后第三位“四舍五入”。</w:t>
      </w:r>
    </w:p>
    <w:p w14:paraId="12CBFA16">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3.5.2 投标人得分=投标人的商务和技术得分+C</w:t>
      </w:r>
    </w:p>
    <w:p w14:paraId="5C1D6FE6">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3.5.3 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w:t>
      </w:r>
    </w:p>
    <w:p w14:paraId="362BFB74">
      <w:pPr>
        <w:spacing w:line="360" w:lineRule="auto"/>
        <w:ind w:firstLine="420" w:firstLineChars="200"/>
        <w:rPr>
          <w:rFonts w:hint="eastAsia" w:ascii="宋体" w:hAnsi="宋体"/>
          <w:b/>
          <w:color w:val="auto"/>
          <w:szCs w:val="21"/>
          <w:highlight w:val="none"/>
        </w:rPr>
      </w:pPr>
      <w:r>
        <w:rPr>
          <w:rFonts w:ascii="宋体" w:hAnsi="宋体"/>
          <w:b/>
          <w:color w:val="auto"/>
          <w:szCs w:val="21"/>
          <w:highlight w:val="none"/>
        </w:rPr>
        <w:t>3.6 投标文件相关信息的核查</w:t>
      </w:r>
    </w:p>
    <w:p w14:paraId="3E9FCA55">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3.6.1 评标委员会应对在评标过程中发现的投标人与投标人之间、投标人与招标人之间存在的串通投标的情形进行评审和认定。投标人存在串通投标、弄虚作假、行贿等违法行为的，评标委员会应否决其投标。</w:t>
      </w:r>
    </w:p>
    <w:p w14:paraId="1082C2EB">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（1）有下列情形之一的，属于投标人相互串通投标：</w:t>
      </w:r>
    </w:p>
    <w:p w14:paraId="4D0D6CB2">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a.投标人之间协商投标报价等投标文件的实质性内容；</w:t>
      </w:r>
    </w:p>
    <w:p w14:paraId="675822B8">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b.投标人之间约定中标人；</w:t>
      </w:r>
    </w:p>
    <w:p w14:paraId="084850C8">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c.投标人之间约定部分投标人放弃投标或中标；</w:t>
      </w:r>
    </w:p>
    <w:p w14:paraId="7D422B65">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d.属于同一集团、协会、商会等组织成员的投标人按照该组织要求协同投标；</w:t>
      </w:r>
    </w:p>
    <w:p w14:paraId="37AC9D92">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e.投标人之间为谋取中标或排斥特定投标人而采取的其他联合行动。</w:t>
      </w:r>
    </w:p>
    <w:p w14:paraId="07A03431">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（2）有下列情形之一的，视为投标人相互串通投标：</w:t>
      </w:r>
    </w:p>
    <w:p w14:paraId="7768B9AA">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a.不同投标人的投标文件由同一单位或个人编制；</w:t>
      </w:r>
    </w:p>
    <w:p w14:paraId="00130D6E">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b.不同投标人委托同一单位或个人办理投标事宜；</w:t>
      </w:r>
    </w:p>
    <w:p w14:paraId="7A5E597B">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c.不同投标人的投标文件载明的项目管理成员为同一人；</w:t>
      </w:r>
    </w:p>
    <w:p w14:paraId="408B6001">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d.不同投标人的投标文件异常一致或投标报价呈规律性差异；</w:t>
      </w:r>
    </w:p>
    <w:p w14:paraId="7AABD8F0">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e.不同投标人的投标文件相互混装；</w:t>
      </w:r>
    </w:p>
    <w:p w14:paraId="726971E7">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f.不同投标人的投标保证金从同一单位或个人的账户转出。</w:t>
      </w:r>
    </w:p>
    <w:p w14:paraId="6BEAC17F">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（3）有下列情形之一的，属于招标人与投标人串通投标：</w:t>
      </w:r>
    </w:p>
    <w:p w14:paraId="2F1C1ADA">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a.招标人在开标前开启投标文件并将有关信息泄露给其他投标人;</w:t>
      </w:r>
    </w:p>
    <w:p w14:paraId="27EBBBA8">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b.招标人直接或间接向投标人泄露标底、评标委员会成员等信息；</w:t>
      </w:r>
    </w:p>
    <w:p w14:paraId="32BCAFEB">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c.招标人明示或暗示投标人压低或抬高投标报价；</w:t>
      </w:r>
    </w:p>
    <w:p w14:paraId="3773437C">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d.招标人授意投标人撤换、修改投标文件；</w:t>
      </w:r>
    </w:p>
    <w:p w14:paraId="047B0AA5">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e.招标人明示或暗示投标人为特定投标人中标提供方便；</w:t>
      </w:r>
    </w:p>
    <w:p w14:paraId="342DAD6D">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f.招标人与投标人为谋求特定投标人中标而采取的其他串通行为。</w:t>
      </w:r>
    </w:p>
    <w:p w14:paraId="735BB2DC">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（4）投标人有下列情形之一的，属于弄虚作假的行为：</w:t>
      </w:r>
    </w:p>
    <w:p w14:paraId="18A89457">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a.使用通过受让或租借等方式获取的资格、资质证书投标；</w:t>
      </w:r>
    </w:p>
    <w:p w14:paraId="32F9B9EA">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b.使用伪造、变造的许可证件；</w:t>
      </w:r>
    </w:p>
    <w:p w14:paraId="47E756E0">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c.提供虚假的财务状况或业绩；</w:t>
      </w:r>
    </w:p>
    <w:p w14:paraId="16BF8F29">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d.提供虚假的项目负责人或主要技术人员简历、劳动关系证明；</w:t>
      </w:r>
    </w:p>
    <w:p w14:paraId="513840EF">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e.提供虚假的信用状况；</w:t>
      </w:r>
    </w:p>
    <w:p w14:paraId="0F4828B4">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f.其他弄虚作假的行为。</w:t>
      </w:r>
    </w:p>
    <w:p w14:paraId="6A5F5D53">
      <w:pPr>
        <w:spacing w:line="360" w:lineRule="auto"/>
        <w:ind w:firstLine="420" w:firstLineChars="200"/>
        <w:rPr>
          <w:rFonts w:hint="eastAsia" w:ascii="宋体" w:hAnsi="宋体"/>
          <w:b/>
          <w:bCs/>
          <w:color w:val="auto"/>
          <w:szCs w:val="21"/>
          <w:highlight w:val="none"/>
        </w:rPr>
      </w:pPr>
      <w:r>
        <w:rPr>
          <w:rFonts w:ascii="宋体" w:hAnsi="宋体"/>
          <w:b/>
          <w:bCs/>
          <w:color w:val="auto"/>
          <w:szCs w:val="21"/>
          <w:highlight w:val="none"/>
        </w:rPr>
        <w:t>3.7 投标文件的澄清和说明</w:t>
      </w:r>
    </w:p>
    <w:p w14:paraId="68AAF6AB">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3.7.1 在评标过程中，评标委员会可以书面形式要求投标人对所提交投标文件中含义不明确的内容、明显文字或计算错误进行书面澄清或说明。评标委员会不接受投标人主动提出的澄清、说明。投标人不按评标委员会要求澄清或说明的，评标委员会应否决其投标。</w:t>
      </w:r>
    </w:p>
    <w:p w14:paraId="17DAB810">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3.7.2 澄清和说明不得超出投标文件的范围或改变投标文件的实质性内容（算术性错误的修正除外）。投标人的书面澄清、说明属于投标文件的组成部分。</w:t>
      </w:r>
    </w:p>
    <w:p w14:paraId="4EEDF2C9">
      <w:pPr>
        <w:spacing w:line="360" w:lineRule="auto"/>
        <w:ind w:firstLine="420" w:firstLineChars="200"/>
        <w:rPr>
          <w:rFonts w:ascii="宋体" w:hAnsi="宋体"/>
          <w:color w:val="auto"/>
          <w:szCs w:val="21"/>
          <w:highlight w:val="none"/>
        </w:rPr>
      </w:pPr>
      <w:r>
        <w:rPr>
          <w:rFonts w:ascii="宋体" w:hAnsi="宋体"/>
          <w:color w:val="auto"/>
          <w:szCs w:val="21"/>
          <w:highlight w:val="none"/>
        </w:rPr>
        <w:t>3.7.3 评标委员会不得暗示或诱导投标人作出澄清、说明，对投标人提交的澄清、说明有疑问的，可以要求投标人进一步澄清或说明，直至满足评标委员会的要求。</w:t>
      </w:r>
    </w:p>
    <w:p w14:paraId="46DDF562">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7</w:t>
      </w:r>
      <w:r>
        <w:rPr>
          <w:rFonts w:ascii="宋体" w:hAnsi="宋体"/>
          <w:color w:val="auto"/>
          <w:szCs w:val="21"/>
          <w:highlight w:val="none"/>
        </w:rPr>
        <w:t>.4 凡超出招标文件规定的或给发包人带来未曾要求的利益的变化、偏差或其他因素在评标时不予考虑。</w:t>
      </w:r>
    </w:p>
    <w:p w14:paraId="0B1CF584">
      <w:pPr>
        <w:spacing w:line="360" w:lineRule="auto"/>
        <w:ind w:firstLine="420" w:firstLineChars="200"/>
        <w:rPr>
          <w:rFonts w:hint="eastAsia" w:ascii="宋体" w:hAnsi="宋体"/>
          <w:b/>
          <w:bCs/>
          <w:color w:val="auto"/>
          <w:szCs w:val="21"/>
          <w:highlight w:val="none"/>
        </w:rPr>
      </w:pPr>
      <w:r>
        <w:rPr>
          <w:rFonts w:ascii="宋体" w:hAnsi="宋体"/>
          <w:b/>
          <w:bCs/>
          <w:color w:val="auto"/>
          <w:szCs w:val="21"/>
          <w:highlight w:val="none"/>
        </w:rPr>
        <w:t>3.8 不得否决投标的情形</w:t>
      </w:r>
    </w:p>
    <w:p w14:paraId="59F0CC9D">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投标文件存在第二章“投标人须知”第 1.12.3 项所列情形的，均视为细微偏差，评标委员会不得否决投标人的投标，应按照第二章“投标人须知”第 1.12.4 项规定的原则处理。</w:t>
      </w:r>
    </w:p>
    <w:p w14:paraId="18AA6A99">
      <w:pPr>
        <w:spacing w:line="360" w:lineRule="auto"/>
        <w:ind w:firstLine="420" w:firstLineChars="200"/>
        <w:rPr>
          <w:rFonts w:hint="eastAsia" w:ascii="宋体" w:hAnsi="宋体"/>
          <w:b/>
          <w:bCs/>
          <w:color w:val="auto"/>
          <w:szCs w:val="21"/>
          <w:highlight w:val="none"/>
        </w:rPr>
      </w:pPr>
      <w:r>
        <w:rPr>
          <w:rFonts w:ascii="宋体" w:hAnsi="宋体"/>
          <w:b/>
          <w:bCs/>
          <w:color w:val="auto"/>
          <w:szCs w:val="21"/>
          <w:highlight w:val="none"/>
        </w:rPr>
        <w:t>3.9 评标结果</w:t>
      </w:r>
    </w:p>
    <w:p w14:paraId="591BF3E3">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3.9.1 除第二章“投标人须知”前附表外，评标委员会</w:t>
      </w:r>
      <w:r>
        <w:rPr>
          <w:rFonts w:hint="eastAsia" w:ascii="宋体" w:hAnsi="宋体"/>
          <w:color w:val="auto"/>
          <w:szCs w:val="21"/>
          <w:highlight w:val="none"/>
        </w:rPr>
        <w:t>按照评标价由低到高的顺序推荐5名定标候选人，但投标报价低于其成本的除外。评标价相等时，按定标候选人数量的规定，由评标委员会采用票决法的方式，确定定标候选人排序。</w:t>
      </w:r>
    </w:p>
    <w:p w14:paraId="604CE4AA">
      <w:pPr>
        <w:spacing w:line="360" w:lineRule="auto"/>
        <w:ind w:firstLine="420" w:firstLineChars="200"/>
        <w:rPr>
          <w:rFonts w:ascii="宋体" w:hAnsi="宋体"/>
          <w:color w:val="auto"/>
          <w:szCs w:val="21"/>
          <w:highlight w:val="none"/>
        </w:rPr>
      </w:pPr>
      <w:r>
        <w:rPr>
          <w:rFonts w:ascii="宋体" w:hAnsi="宋体"/>
          <w:color w:val="auto"/>
          <w:szCs w:val="21"/>
          <w:highlight w:val="none"/>
        </w:rPr>
        <w:t>3.9.2 评标委员会完成评标后，应向招标人提交书面评标报告。</w:t>
      </w:r>
    </w:p>
    <w:p w14:paraId="02C2195F">
      <w:pPr>
        <w:rPr>
          <w:rFonts w:ascii="宋体" w:hAnsi="宋体"/>
          <w:color w:val="auto"/>
          <w:szCs w:val="21"/>
          <w:highlight w:val="none"/>
        </w:rPr>
        <w:sectPr>
          <w:footerReference r:id="rId7" w:type="default"/>
          <w:pgSz w:w="11900" w:h="16839"/>
          <w:pgMar w:top="1141" w:right="1416" w:bottom="1026" w:left="1417" w:header="829" w:footer="793" w:gutter="0"/>
          <w:pgNumType w:fmt="decimal" w:start="1"/>
          <w:cols w:space="720" w:num="1"/>
        </w:sectPr>
      </w:pPr>
      <w:r>
        <w:rPr>
          <w:rFonts w:ascii="宋体" w:hAnsi="宋体"/>
          <w:color w:val="auto"/>
          <w:szCs w:val="21"/>
          <w:highlight w:val="none"/>
        </w:rPr>
        <w:br w:type="page"/>
      </w:r>
    </w:p>
    <w:p w14:paraId="5BED9572">
      <w:pPr>
        <w:spacing w:before="140" w:line="222" w:lineRule="auto"/>
        <w:jc w:val="center"/>
        <w:outlineLvl w:val="9"/>
        <w:rPr>
          <w:rFonts w:hint="eastAsia" w:ascii="宋体" w:hAnsi="宋体" w:eastAsia="宋体" w:cs="宋体"/>
          <w:b/>
          <w:bCs/>
          <w:spacing w:val="4"/>
          <w:sz w:val="43"/>
          <w:szCs w:val="43"/>
          <w:lang w:val="en-US" w:eastAsia="zh-CN"/>
        </w:rPr>
      </w:pPr>
    </w:p>
    <w:p w14:paraId="3FA94718">
      <w:pPr>
        <w:spacing w:before="140" w:line="222" w:lineRule="auto"/>
        <w:jc w:val="center"/>
        <w:outlineLvl w:val="9"/>
        <w:rPr>
          <w:rFonts w:hint="eastAsia" w:ascii="宋体" w:hAnsi="宋体" w:eastAsia="宋体" w:cs="宋体"/>
          <w:b/>
          <w:bCs/>
          <w:spacing w:val="4"/>
          <w:sz w:val="43"/>
          <w:szCs w:val="43"/>
          <w:lang w:val="en-US" w:eastAsia="zh-CN"/>
        </w:rPr>
      </w:pPr>
    </w:p>
    <w:p w14:paraId="7E317C6D">
      <w:pPr>
        <w:spacing w:before="140" w:line="222" w:lineRule="auto"/>
        <w:jc w:val="center"/>
        <w:outlineLvl w:val="9"/>
        <w:rPr>
          <w:rFonts w:hint="eastAsia" w:ascii="宋体" w:hAnsi="宋体" w:eastAsia="宋体" w:cs="宋体"/>
          <w:b/>
          <w:bCs/>
          <w:spacing w:val="4"/>
          <w:sz w:val="43"/>
          <w:szCs w:val="43"/>
          <w:lang w:val="en-US" w:eastAsia="zh-CN"/>
        </w:rPr>
      </w:pPr>
    </w:p>
    <w:p w14:paraId="0704A625">
      <w:pPr>
        <w:spacing w:before="140" w:line="222" w:lineRule="auto"/>
        <w:jc w:val="center"/>
        <w:outlineLvl w:val="9"/>
        <w:rPr>
          <w:rFonts w:hint="eastAsia" w:ascii="宋体" w:hAnsi="宋体" w:eastAsia="宋体" w:cs="宋体"/>
          <w:b/>
          <w:bCs/>
          <w:spacing w:val="4"/>
          <w:sz w:val="43"/>
          <w:szCs w:val="43"/>
          <w:lang w:val="en-US" w:eastAsia="zh-CN"/>
        </w:rPr>
      </w:pPr>
    </w:p>
    <w:p w14:paraId="6AB8BEAB">
      <w:pPr>
        <w:spacing w:before="140" w:line="222" w:lineRule="auto"/>
        <w:jc w:val="center"/>
        <w:outlineLvl w:val="9"/>
        <w:rPr>
          <w:rFonts w:hint="eastAsia" w:ascii="宋体" w:hAnsi="宋体" w:eastAsia="宋体" w:cs="宋体"/>
          <w:b/>
          <w:bCs/>
          <w:spacing w:val="4"/>
          <w:sz w:val="43"/>
          <w:szCs w:val="43"/>
          <w:lang w:val="en-US" w:eastAsia="zh-CN"/>
        </w:rPr>
      </w:pPr>
    </w:p>
    <w:p w14:paraId="447C6A62">
      <w:pPr>
        <w:spacing w:before="140" w:line="222" w:lineRule="auto"/>
        <w:jc w:val="center"/>
        <w:outlineLvl w:val="9"/>
        <w:rPr>
          <w:rFonts w:hint="eastAsia" w:ascii="宋体" w:hAnsi="宋体" w:eastAsia="宋体" w:cs="宋体"/>
          <w:b/>
          <w:bCs/>
          <w:spacing w:val="4"/>
          <w:sz w:val="43"/>
          <w:szCs w:val="43"/>
          <w:lang w:val="en-US" w:eastAsia="zh-CN"/>
        </w:rPr>
      </w:pPr>
    </w:p>
    <w:p w14:paraId="10889312">
      <w:pPr>
        <w:spacing w:before="140" w:line="222" w:lineRule="auto"/>
        <w:jc w:val="center"/>
        <w:outlineLvl w:val="9"/>
        <w:rPr>
          <w:rFonts w:hint="eastAsia" w:ascii="宋体" w:hAnsi="宋体" w:eastAsia="宋体" w:cs="宋体"/>
          <w:b/>
          <w:bCs/>
          <w:spacing w:val="4"/>
          <w:sz w:val="43"/>
          <w:szCs w:val="43"/>
          <w:lang w:val="en-US" w:eastAsia="zh-CN"/>
        </w:rPr>
      </w:pPr>
    </w:p>
    <w:p w14:paraId="42F683FD">
      <w:pPr>
        <w:spacing w:before="140" w:line="222" w:lineRule="auto"/>
        <w:jc w:val="center"/>
        <w:outlineLvl w:val="9"/>
        <w:rPr>
          <w:rFonts w:hint="eastAsia" w:ascii="宋体" w:hAnsi="宋体" w:eastAsia="宋体" w:cs="宋体"/>
          <w:b/>
          <w:bCs/>
          <w:spacing w:val="4"/>
          <w:sz w:val="43"/>
          <w:szCs w:val="43"/>
          <w:lang w:val="en-US" w:eastAsia="zh-CN"/>
        </w:rPr>
      </w:pPr>
    </w:p>
    <w:p w14:paraId="6840DCD3">
      <w:pPr>
        <w:spacing w:before="140" w:line="222" w:lineRule="auto"/>
        <w:jc w:val="center"/>
        <w:outlineLvl w:val="9"/>
        <w:rPr>
          <w:rFonts w:hint="eastAsia" w:ascii="宋体" w:hAnsi="宋体" w:eastAsia="宋体" w:cs="宋体"/>
          <w:b/>
          <w:bCs/>
          <w:spacing w:val="4"/>
          <w:sz w:val="43"/>
          <w:szCs w:val="43"/>
          <w:lang w:val="en-US" w:eastAsia="zh-CN"/>
        </w:rPr>
      </w:pPr>
    </w:p>
    <w:p w14:paraId="382AF4A8">
      <w:pPr>
        <w:spacing w:before="140" w:line="222" w:lineRule="auto"/>
        <w:jc w:val="center"/>
        <w:outlineLvl w:val="0"/>
        <w:rPr>
          <w:rFonts w:ascii="宋体" w:hAnsi="宋体" w:eastAsia="宋体" w:cs="宋体"/>
          <w:b/>
          <w:bCs/>
          <w:spacing w:val="4"/>
          <w:sz w:val="43"/>
          <w:szCs w:val="43"/>
        </w:rPr>
      </w:pPr>
      <w:r>
        <w:rPr>
          <w:rFonts w:hint="eastAsia" w:ascii="宋体" w:hAnsi="宋体" w:eastAsia="宋体" w:cs="宋体"/>
          <w:b/>
          <w:bCs/>
          <w:spacing w:val="4"/>
          <w:sz w:val="43"/>
          <w:szCs w:val="43"/>
          <w:lang w:val="en-US" w:eastAsia="zh-CN"/>
        </w:rPr>
        <w:t xml:space="preserve">第四章  </w:t>
      </w:r>
      <w:r>
        <w:rPr>
          <w:rFonts w:hint="eastAsia" w:ascii="宋体" w:hAnsi="宋体" w:eastAsia="宋体" w:cs="宋体"/>
          <w:b/>
          <w:bCs/>
          <w:spacing w:val="4"/>
          <w:sz w:val="43"/>
          <w:szCs w:val="43"/>
          <w:lang w:eastAsia="zh-CN"/>
        </w:rPr>
        <w:t>定标办法</w:t>
      </w:r>
    </w:p>
    <w:p w14:paraId="249261A9">
      <w:pPr>
        <w:pStyle w:val="2"/>
        <w:sectPr>
          <w:pgSz w:w="11900" w:h="16839"/>
          <w:pgMar w:top="1141" w:right="1416" w:bottom="1026" w:left="1417" w:header="829" w:footer="793" w:gutter="0"/>
          <w:pgNumType w:fmt="decimal"/>
          <w:cols w:space="720" w:num="1"/>
        </w:sectPr>
      </w:pPr>
    </w:p>
    <w:p w14:paraId="0F0CF1AC">
      <w:pPr>
        <w:numPr>
          <w:ilvl w:val="0"/>
          <w:numId w:val="5"/>
        </w:numPr>
        <w:spacing w:before="140" w:line="222" w:lineRule="auto"/>
        <w:ind w:left="2120"/>
        <w:jc w:val="left"/>
        <w:outlineLvl w:val="0"/>
        <w:rPr>
          <w:rFonts w:ascii="宋体" w:hAnsi="宋体" w:eastAsia="宋体" w:cs="宋体"/>
          <w:b/>
          <w:bCs/>
          <w:spacing w:val="5"/>
          <w:sz w:val="32"/>
          <w:szCs w:val="32"/>
        </w:rPr>
      </w:pPr>
      <w:bookmarkStart w:id="50" w:name="_Toc24849"/>
      <w:r>
        <w:rPr>
          <w:rFonts w:hint="eastAsia" w:ascii="宋体" w:hAnsi="宋体" w:eastAsia="宋体" w:cs="宋体"/>
          <w:b/>
          <w:bCs/>
          <w:spacing w:val="5"/>
          <w:sz w:val="32"/>
          <w:szCs w:val="32"/>
          <w:lang w:val="en-US" w:eastAsia="zh-CN"/>
        </w:rPr>
        <w:t xml:space="preserve">   </w:t>
      </w:r>
      <w:r>
        <w:rPr>
          <w:rFonts w:hint="eastAsia" w:ascii="宋体" w:hAnsi="宋体" w:eastAsia="宋体" w:cs="宋体"/>
          <w:b/>
          <w:bCs/>
          <w:spacing w:val="5"/>
          <w:sz w:val="32"/>
          <w:szCs w:val="32"/>
          <w:lang w:eastAsia="zh-CN"/>
        </w:rPr>
        <w:t>定标办法</w:t>
      </w:r>
      <w:bookmarkEnd w:id="50"/>
    </w:p>
    <w:p w14:paraId="60AC618C">
      <w:pPr>
        <w:numPr>
          <w:ilvl w:val="0"/>
          <w:numId w:val="0"/>
        </w:numPr>
        <w:spacing w:before="140" w:line="222" w:lineRule="auto"/>
        <w:outlineLvl w:val="9"/>
        <w:rPr>
          <w:rFonts w:ascii="宋体" w:hAnsi="宋体" w:eastAsia="宋体" w:cs="宋体"/>
          <w:b/>
          <w:bCs/>
          <w:spacing w:val="5"/>
          <w:sz w:val="43"/>
          <w:szCs w:val="43"/>
        </w:rPr>
      </w:pPr>
    </w:p>
    <w:p w14:paraId="650C906E">
      <w:pPr>
        <w:keepNext w:val="0"/>
        <w:keepLines w:val="0"/>
        <w:pageBreakBefore w:val="0"/>
        <w:wordWrap/>
        <w:overflowPunct/>
        <w:topLinePunct w:val="0"/>
        <w:bidi w:val="0"/>
        <w:spacing w:line="360" w:lineRule="auto"/>
        <w:jc w:val="left"/>
        <w:rPr>
          <w:rFonts w:hint="eastAsia" w:ascii="宋体" w:hAnsi="宋体" w:eastAsia="宋体" w:cs="宋体"/>
          <w:b/>
          <w:bCs/>
          <w:color w:val="auto"/>
          <w:kern w:val="0"/>
          <w:sz w:val="24"/>
          <w:szCs w:val="24"/>
          <w:highlight w:val="none"/>
        </w:rPr>
      </w:pPr>
      <w:r>
        <w:rPr>
          <w:rFonts w:hint="eastAsia" w:hAnsi="宋体" w:eastAsia="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lang w:eastAsia="zh-CN"/>
        </w:rPr>
        <w:t>确定</w:t>
      </w:r>
      <w:r>
        <w:rPr>
          <w:rFonts w:hint="eastAsia" w:ascii="宋体" w:hAnsi="宋体" w:eastAsia="宋体" w:cs="宋体"/>
          <w:b/>
          <w:bCs/>
          <w:color w:val="auto"/>
          <w:kern w:val="0"/>
          <w:sz w:val="24"/>
          <w:szCs w:val="24"/>
          <w:highlight w:val="none"/>
        </w:rPr>
        <w:t>定标时间</w:t>
      </w:r>
    </w:p>
    <w:p w14:paraId="7D012AE0">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招标人</w:t>
      </w:r>
      <w:r>
        <w:rPr>
          <w:rFonts w:hint="eastAsia" w:ascii="宋体" w:hAnsi="宋体" w:eastAsia="宋体" w:cs="宋体"/>
          <w:color w:val="auto"/>
          <w:kern w:val="0"/>
          <w:sz w:val="24"/>
          <w:szCs w:val="24"/>
          <w:highlight w:val="none"/>
          <w:lang w:eastAsia="zh-CN"/>
        </w:rPr>
        <w:t>应</w:t>
      </w:r>
      <w:r>
        <w:rPr>
          <w:rFonts w:hint="eastAsia" w:ascii="宋体" w:hAnsi="宋体" w:eastAsia="宋体" w:cs="宋体"/>
          <w:color w:val="auto"/>
          <w:kern w:val="0"/>
          <w:sz w:val="24"/>
          <w:szCs w:val="24"/>
          <w:highlight w:val="none"/>
        </w:rPr>
        <w:t>自</w:t>
      </w:r>
      <w:r>
        <w:rPr>
          <w:rFonts w:hint="eastAsia" w:ascii="宋体" w:hAnsi="宋体" w:eastAsia="宋体" w:cs="宋体"/>
          <w:color w:val="auto"/>
          <w:kern w:val="0"/>
          <w:sz w:val="24"/>
          <w:szCs w:val="24"/>
          <w:highlight w:val="none"/>
          <w:lang w:val="en-US" w:eastAsia="zh-CN"/>
        </w:rPr>
        <w:t>定标候选人</w:t>
      </w:r>
      <w:r>
        <w:rPr>
          <w:rFonts w:hint="eastAsia" w:ascii="宋体" w:hAnsi="宋体" w:eastAsia="宋体" w:cs="宋体"/>
          <w:color w:val="auto"/>
          <w:kern w:val="0"/>
          <w:sz w:val="24"/>
          <w:szCs w:val="24"/>
          <w:highlight w:val="none"/>
        </w:rPr>
        <w:t>公示期满后</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Fonts w:hint="eastAsia" w:ascii="宋体" w:hAnsi="宋体" w:eastAsia="宋体" w:cs="宋体"/>
          <w:color w:val="auto"/>
          <w:kern w:val="0"/>
          <w:sz w:val="24"/>
          <w:szCs w:val="24"/>
          <w:highlight w:val="none"/>
          <w:lang w:eastAsia="zh-CN"/>
        </w:rPr>
        <w:t>应</w:t>
      </w:r>
      <w:r>
        <w:rPr>
          <w:rFonts w:hint="eastAsia" w:ascii="宋体" w:hAnsi="宋体" w:eastAsia="宋体" w:cs="宋体"/>
          <w:color w:val="auto"/>
          <w:kern w:val="0"/>
          <w:sz w:val="24"/>
          <w:szCs w:val="24"/>
          <w:highlight w:val="none"/>
        </w:rPr>
        <w:t>通过公共资源交易平台公布延期原因和定标时间。</w:t>
      </w:r>
    </w:p>
    <w:p w14:paraId="682E275C">
      <w:pPr>
        <w:keepNext w:val="0"/>
        <w:keepLines w:val="0"/>
        <w:pageBreakBefore w:val="0"/>
        <w:wordWrap/>
        <w:overflowPunct/>
        <w:topLinePunct w:val="0"/>
        <w:bidi w:val="0"/>
        <w:spacing w:line="360" w:lineRule="auto"/>
        <w:jc w:val="left"/>
        <w:rPr>
          <w:rFonts w:hint="eastAsia" w:ascii="宋体" w:hAnsi="宋体" w:eastAsia="宋体" w:cs="宋体"/>
          <w:b/>
          <w:bCs/>
          <w:color w:val="auto"/>
          <w:kern w:val="0"/>
          <w:sz w:val="24"/>
          <w:szCs w:val="24"/>
          <w:highlight w:val="none"/>
          <w:lang w:eastAsia="zh-CN"/>
        </w:rPr>
      </w:pPr>
      <w:r>
        <w:rPr>
          <w:rFonts w:hint="eastAsia"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定标委员会</w:t>
      </w:r>
    </w:p>
    <w:p w14:paraId="19C4B827">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hAnsi="宋体" w:eastAsia="宋体" w:cs="宋体"/>
          <w:color w:val="auto"/>
          <w:kern w:val="0"/>
          <w:sz w:val="24"/>
          <w:szCs w:val="24"/>
          <w:highlight w:val="none"/>
          <w:lang w:val="en-US" w:eastAsia="zh-CN"/>
        </w:rPr>
        <w:t>2.1</w:t>
      </w:r>
      <w:r>
        <w:rPr>
          <w:rFonts w:hint="eastAsia" w:ascii="宋体" w:hAnsi="宋体" w:eastAsia="宋体" w:cs="宋体"/>
          <w:color w:val="auto"/>
          <w:kern w:val="0"/>
          <w:sz w:val="24"/>
          <w:szCs w:val="24"/>
          <w:highlight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1B0B06AC">
      <w:pPr>
        <w:keepNext w:val="0"/>
        <w:keepLines w:val="0"/>
        <w:pageBreakBefore w:val="0"/>
        <w:wordWrap/>
        <w:overflowPunct/>
        <w:topLinePunct w:val="0"/>
        <w:bidi w:val="0"/>
        <w:spacing w:line="360" w:lineRule="auto"/>
        <w:ind w:firstLine="480" w:firstLineChars="200"/>
        <w:jc w:val="left"/>
        <w:rPr>
          <w:rFonts w:hint="eastAsia"/>
          <w:color w:val="auto"/>
          <w:kern w:val="0"/>
          <w:sz w:val="24"/>
          <w:szCs w:val="24"/>
          <w:highlight w:val="none"/>
          <w:lang w:val="en-US" w:eastAsia="zh-CN"/>
        </w:rPr>
      </w:pPr>
      <w:r>
        <w:rPr>
          <w:rFonts w:hint="eastAsia" w:ascii="Arial" w:eastAsia="Arial"/>
          <w:color w:val="auto"/>
          <w:kern w:val="0"/>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7D250666">
      <w:pPr>
        <w:keepNext w:val="0"/>
        <w:keepLines w:val="0"/>
        <w:pageBreakBefore w:val="0"/>
        <w:wordWrap/>
        <w:overflowPunct/>
        <w:topLinePunct w:val="0"/>
        <w:bidi w:val="0"/>
        <w:spacing w:line="360" w:lineRule="auto"/>
        <w:ind w:firstLine="480" w:firstLineChars="200"/>
        <w:jc w:val="left"/>
        <w:rPr>
          <w:rFonts w:hint="eastAsia"/>
          <w:color w:val="auto"/>
          <w:kern w:val="0"/>
          <w:sz w:val="24"/>
          <w:szCs w:val="24"/>
          <w:highlight w:val="none"/>
          <w:lang w:val="en-US" w:eastAsia="zh-CN"/>
        </w:rPr>
      </w:pPr>
      <w:r>
        <w:rPr>
          <w:rFonts w:hint="eastAsia"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w:t>
      </w:r>
      <w:r>
        <w:rPr>
          <w:rFonts w:hint="eastAsia"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415ECFB0">
      <w:pPr>
        <w:keepNext w:val="0"/>
        <w:keepLines w:val="0"/>
        <w:pageBreakBefore w:val="0"/>
        <w:wordWrap/>
        <w:overflowPunct/>
        <w:topLinePunct w:val="0"/>
        <w:bidi w:val="0"/>
        <w:spacing w:line="360" w:lineRule="auto"/>
        <w:jc w:val="left"/>
        <w:rPr>
          <w:rFonts w:hint="eastAsia" w:ascii="宋体" w:hAnsi="宋体" w:eastAsia="宋体" w:cs="宋体"/>
          <w:b/>
          <w:bCs/>
          <w:color w:val="auto"/>
          <w:kern w:val="0"/>
          <w:sz w:val="24"/>
          <w:szCs w:val="24"/>
          <w:highlight w:val="none"/>
          <w:lang w:val="en-US" w:eastAsia="zh-CN"/>
        </w:rPr>
      </w:pPr>
      <w:r>
        <w:rPr>
          <w:rFonts w:hint="eastAsia"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组建招标监督小组</w:t>
      </w:r>
    </w:p>
    <w:p w14:paraId="1E161036">
      <w:pPr>
        <w:keepNext w:val="0"/>
        <w:keepLines w:val="0"/>
        <w:pageBreakBefore w:val="0"/>
        <w:wordWrap/>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5D8730E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pPr>
      <w:r>
        <w:rPr>
          <w:rFonts w:hint="eastAsia" w:ascii="宋体" w:hAnsi="宋体" w:eastAsia="宋体" w:cs="宋体"/>
          <w:b/>
          <w:bCs/>
          <w:snapToGrid w:val="0"/>
          <w:color w:val="000000"/>
          <w:kern w:val="0"/>
          <w:sz w:val="24"/>
          <w:szCs w:val="24"/>
          <w:lang w:val="en-US" w:eastAsia="zh-CN" w:bidi="ar"/>
        </w:rPr>
        <w:t xml:space="preserve">4、定标方法 </w:t>
      </w:r>
    </w:p>
    <w:p w14:paraId="705EEB0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2" w:firstLineChars="200"/>
        <w:jc w:val="left"/>
        <w:textAlignment w:val="baseline"/>
      </w:pPr>
      <w:r>
        <w:rPr>
          <w:rFonts w:hint="eastAsia" w:ascii="宋体" w:hAnsi="宋体" w:eastAsia="宋体" w:cs="宋体"/>
          <w:b/>
          <w:bCs/>
          <w:snapToGrid w:val="0"/>
          <w:color w:val="000000"/>
          <w:kern w:val="0"/>
          <w:sz w:val="24"/>
          <w:szCs w:val="24"/>
          <w:lang w:val="en-US" w:eastAsia="zh-CN" w:bidi="ar"/>
        </w:rPr>
        <w:t>本项目采用评定分离办法，票决定标法</w:t>
      </w:r>
      <w:r>
        <w:rPr>
          <w:rFonts w:hint="eastAsia" w:ascii="宋体" w:hAnsi="宋体" w:eastAsia="宋体" w:cs="宋体"/>
          <w:snapToGrid w:val="0"/>
          <w:color w:val="000000"/>
          <w:kern w:val="0"/>
          <w:sz w:val="24"/>
          <w:szCs w:val="24"/>
          <w:lang w:val="en-US" w:eastAsia="zh-CN" w:bidi="ar"/>
        </w:rPr>
        <w:t xml:space="preserve">定标。招标人应当按照充分竞争、优质优价原则。在评标委员会推荐的合格定标候选人中根据以下定标细则确定中标候选人。 </w:t>
      </w:r>
    </w:p>
    <w:p w14:paraId="02140F9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pPr>
      <w:r>
        <w:rPr>
          <w:rFonts w:hint="eastAsia" w:ascii="宋体" w:hAnsi="宋体" w:eastAsia="宋体" w:cs="宋体"/>
          <w:b/>
          <w:bCs/>
          <w:snapToGrid w:val="0"/>
          <w:color w:val="000000"/>
          <w:kern w:val="0"/>
          <w:sz w:val="24"/>
          <w:szCs w:val="24"/>
          <w:lang w:val="en-US" w:eastAsia="zh-CN" w:bidi="ar"/>
        </w:rPr>
        <w:t xml:space="preserve">5、定标细则 </w:t>
      </w:r>
    </w:p>
    <w:p w14:paraId="3AFF31A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kern w:val="0"/>
          <w:position w:val="0"/>
          <w:sz w:val="24"/>
          <w:szCs w:val="24"/>
          <w:highlight w:val="none"/>
          <w:u w:val="none" w:color="auto"/>
          <w:lang w:eastAsia="zh-CN"/>
        </w:rPr>
      </w:pPr>
      <w:r>
        <w:rPr>
          <w:rFonts w:hint="eastAsia" w:ascii="宋体" w:hAnsi="宋体" w:eastAsia="宋体" w:cs="宋体"/>
          <w:b/>
          <w:bCs/>
          <w:color w:val="auto"/>
          <w:spacing w:val="0"/>
          <w:kern w:val="0"/>
          <w:position w:val="0"/>
          <w:sz w:val="24"/>
          <w:szCs w:val="24"/>
          <w:highlight w:val="none"/>
          <w:u w:val="none" w:color="auto"/>
          <w:lang w:val="en-US" w:eastAsia="zh-CN"/>
        </w:rPr>
        <w:t>5.1票决数量法程序</w:t>
      </w:r>
    </w:p>
    <w:p w14:paraId="1687AA1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kern w:val="0"/>
          <w:position w:val="0"/>
          <w:sz w:val="24"/>
          <w:szCs w:val="24"/>
          <w:highlight w:val="none"/>
          <w:u w:val="none" w:color="auto"/>
          <w:lang w:val="en-US" w:eastAsia="zh-CN"/>
        </w:rPr>
      </w:pPr>
      <w:r>
        <w:rPr>
          <w:rFonts w:hint="eastAsia" w:ascii="宋体" w:hAnsi="宋体" w:eastAsia="宋体" w:cs="宋体"/>
          <w:b w:val="0"/>
          <w:i w:val="0"/>
          <w:snapToGrid/>
          <w:color w:val="auto"/>
          <w:kern w:val="0"/>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kern w:val="0"/>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kern w:val="0"/>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kern w:val="0"/>
          <w:sz w:val="24"/>
          <w:szCs w:val="24"/>
          <w:highlight w:val="none"/>
          <w:u w:val="none"/>
          <w:lang w:val="en-US" w:eastAsia="zh-CN"/>
        </w:rPr>
        <w:t>若第一轮投票中前三名中标候选人有</w:t>
      </w:r>
      <w:r>
        <w:rPr>
          <w:rFonts w:hint="eastAsia" w:ascii="宋体" w:hAnsi="宋体" w:eastAsia="宋体" w:cs="宋体"/>
          <w:color w:val="auto"/>
          <w:kern w:val="0"/>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kern w:val="0"/>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kern w:val="0"/>
          <w:sz w:val="24"/>
          <w:szCs w:val="24"/>
          <w:highlight w:val="none"/>
          <w:u w:val="none"/>
          <w:shd w:val="clear" w:color="auto" w:fill="FFFFFF"/>
          <w:lang w:eastAsia="zh-CN"/>
        </w:rPr>
        <w:t>票决采用记名方式并注明投票理由。</w:t>
      </w:r>
    </w:p>
    <w:p w14:paraId="4895710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rPr>
      </w:pPr>
      <w:r>
        <w:rPr>
          <w:rFonts w:hint="eastAsia" w:ascii="宋体" w:hAnsi="宋体" w:eastAsia="宋体" w:cs="宋体"/>
          <w:b/>
          <w:bCs/>
          <w:color w:val="auto"/>
          <w:spacing w:val="0"/>
          <w:kern w:val="0"/>
          <w:position w:val="0"/>
          <w:sz w:val="24"/>
          <w:szCs w:val="24"/>
          <w:highlight w:val="none"/>
          <w:u w:val="none" w:color="auto"/>
          <w:lang w:val="en-US" w:eastAsia="zh-CN"/>
        </w:rPr>
        <w:t>5.1.1.</w:t>
      </w:r>
      <w:r>
        <w:rPr>
          <w:rFonts w:hint="eastAsia" w:ascii="宋体" w:hAnsi="宋体" w:eastAsia="宋体" w:cs="宋体"/>
          <w:b/>
          <w:bCs/>
          <w:color w:val="auto"/>
          <w:kern w:val="0"/>
          <w:sz w:val="24"/>
          <w:szCs w:val="24"/>
          <w:highlight w:val="none"/>
          <w:u w:val="none"/>
          <w:shd w:val="clear" w:color="auto" w:fill="FFFFFF"/>
        </w:rPr>
        <w:t>项目情况介绍</w:t>
      </w:r>
    </w:p>
    <w:p w14:paraId="5324B3A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kern w:val="0"/>
          <w:position w:val="0"/>
          <w:sz w:val="24"/>
          <w:szCs w:val="24"/>
          <w:highlight w:val="none"/>
          <w:u w:val="none" w:color="auto"/>
          <w:lang w:eastAsia="zh-CN"/>
        </w:rPr>
      </w:pPr>
      <w:r>
        <w:rPr>
          <w:rFonts w:hint="eastAsia" w:ascii="宋体" w:hAnsi="宋体" w:eastAsia="宋体" w:cs="宋体"/>
          <w:b w:val="0"/>
          <w:bCs w:val="0"/>
          <w:color w:val="auto"/>
          <w:spacing w:val="0"/>
          <w:kern w:val="0"/>
          <w:position w:val="0"/>
          <w:sz w:val="24"/>
          <w:szCs w:val="24"/>
          <w:highlight w:val="none"/>
          <w:u w:val="none" w:color="auto"/>
          <w:lang w:eastAsia="zh-CN"/>
        </w:rPr>
        <w:t>招标人代表介绍项目的概况及招标要求，以及定标方法与定标工作规则，不得发表具有倾向性的言论。</w:t>
      </w:r>
    </w:p>
    <w:p w14:paraId="4676FD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kern w:val="0"/>
          <w:position w:val="0"/>
          <w:sz w:val="24"/>
          <w:szCs w:val="24"/>
          <w:highlight w:val="none"/>
          <w:u w:val="none" w:color="auto"/>
          <w:lang w:val="en-US" w:eastAsia="zh-CN"/>
        </w:rPr>
      </w:pPr>
      <w:r>
        <w:rPr>
          <w:rFonts w:hint="eastAsia" w:ascii="宋体" w:hAnsi="宋体" w:eastAsia="宋体" w:cs="宋体"/>
          <w:b/>
          <w:bCs/>
          <w:color w:val="auto"/>
          <w:spacing w:val="0"/>
          <w:kern w:val="0"/>
          <w:position w:val="0"/>
          <w:sz w:val="24"/>
          <w:szCs w:val="24"/>
          <w:highlight w:val="none"/>
          <w:u w:val="none" w:color="auto"/>
          <w:lang w:val="en-US" w:eastAsia="zh-CN"/>
        </w:rPr>
        <w:t>5.1.2.</w:t>
      </w:r>
      <w:r>
        <w:rPr>
          <w:rFonts w:hint="eastAsia" w:ascii="宋体" w:hAnsi="宋体" w:eastAsia="宋体" w:cs="宋体"/>
          <w:b/>
          <w:bCs/>
          <w:color w:val="auto"/>
          <w:kern w:val="0"/>
          <w:sz w:val="24"/>
          <w:szCs w:val="24"/>
          <w:highlight w:val="none"/>
          <w:u w:val="none"/>
          <w:shd w:val="clear" w:color="auto" w:fill="FFFFFF"/>
        </w:rPr>
        <w:t>审阅定标资料</w:t>
      </w:r>
    </w:p>
    <w:p w14:paraId="2C0011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kern w:val="0"/>
          <w:position w:val="0"/>
          <w:sz w:val="24"/>
          <w:szCs w:val="24"/>
          <w:highlight w:val="none"/>
          <w:u w:val="none" w:color="auto"/>
          <w:lang w:eastAsia="zh-CN"/>
        </w:rPr>
      </w:pPr>
      <w:r>
        <w:rPr>
          <w:rFonts w:hint="eastAsia" w:ascii="宋体" w:hAnsi="宋体" w:eastAsia="宋体" w:cs="宋体"/>
          <w:b w:val="0"/>
          <w:bCs w:val="0"/>
          <w:color w:val="auto"/>
          <w:spacing w:val="0"/>
          <w:kern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kern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kern w:val="0"/>
          <w:sz w:val="24"/>
          <w:szCs w:val="24"/>
          <w:highlight w:val="none"/>
          <w:u w:val="none"/>
          <w:shd w:val="clear" w:color="auto" w:fill="FFFFFF"/>
          <w:lang w:eastAsia="zh-CN"/>
        </w:rPr>
        <w:t>。</w:t>
      </w:r>
    </w:p>
    <w:p w14:paraId="3D0DDA1A">
      <w:pPr>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snapToGrid w:val="0"/>
          <w:color w:val="auto"/>
          <w:kern w:val="0"/>
          <w:sz w:val="24"/>
          <w:szCs w:val="24"/>
          <w:highlight w:val="none"/>
          <w:u w:val="none"/>
          <w:shd w:val="clear" w:color="auto" w:fill="FFFFFF"/>
          <w:lang w:val="en-US" w:eastAsia="en-US" w:bidi="ar-SA"/>
        </w:rPr>
      </w:pPr>
      <w:r>
        <w:rPr>
          <w:rFonts w:hint="eastAsia" w:ascii="宋体" w:hAnsi="宋体" w:eastAsia="宋体" w:cs="宋体"/>
          <w:b/>
          <w:bCs/>
          <w:snapToGrid w:val="0"/>
          <w:color w:val="auto"/>
          <w:spacing w:val="0"/>
          <w:kern w:val="0"/>
          <w:position w:val="0"/>
          <w:sz w:val="24"/>
          <w:szCs w:val="24"/>
          <w:highlight w:val="none"/>
          <w:u w:val="none" w:color="auto"/>
          <w:lang w:val="en-US" w:eastAsia="zh-CN" w:bidi="ar-SA"/>
        </w:rPr>
        <w:t>5.1.3.</w:t>
      </w:r>
      <w:r>
        <w:rPr>
          <w:rFonts w:hint="eastAsia" w:ascii="宋体" w:hAnsi="宋体" w:eastAsia="宋体" w:cs="宋体"/>
          <w:b/>
          <w:bCs/>
          <w:snapToGrid w:val="0"/>
          <w:color w:val="auto"/>
          <w:kern w:val="0"/>
          <w:sz w:val="24"/>
          <w:szCs w:val="24"/>
          <w:highlight w:val="none"/>
          <w:u w:val="none"/>
          <w:shd w:val="clear" w:color="auto" w:fill="FFFFFF"/>
          <w:lang w:val="en-US" w:eastAsia="en-US" w:bidi="ar-SA"/>
        </w:rPr>
        <w:t>疑问澄清</w:t>
      </w:r>
    </w:p>
    <w:p w14:paraId="523AB7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kern w:val="0"/>
          <w:position w:val="0"/>
          <w:sz w:val="24"/>
          <w:szCs w:val="24"/>
          <w:highlight w:val="none"/>
          <w:u w:val="none" w:color="auto"/>
          <w:lang w:val="en-US" w:eastAsia="zh-CN"/>
        </w:rPr>
      </w:pPr>
      <w:r>
        <w:rPr>
          <w:rFonts w:hint="eastAsia" w:ascii="宋体" w:hAnsi="宋体" w:eastAsia="宋体" w:cs="宋体"/>
          <w:color w:val="auto"/>
          <w:kern w:val="0"/>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AD57D1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021E129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kern w:val="0"/>
          <w:position w:val="0"/>
          <w:sz w:val="24"/>
          <w:szCs w:val="24"/>
          <w:highlight w:val="none"/>
          <w:u w:val="none" w:color="auto"/>
          <w:lang w:val="en-US" w:eastAsia="zh-CN"/>
        </w:rPr>
      </w:pPr>
      <w:r>
        <w:rPr>
          <w:rFonts w:hint="eastAsia" w:ascii="宋体" w:hAnsi="宋体" w:eastAsia="宋体" w:cs="宋体"/>
          <w:b w:val="0"/>
          <w:bCs w:val="0"/>
          <w:color w:val="auto"/>
          <w:spacing w:val="0"/>
          <w:kern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237BF4B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kern w:val="0"/>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3FCEFA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kern w:val="0"/>
          <w:position w:val="0"/>
          <w:sz w:val="24"/>
          <w:szCs w:val="24"/>
          <w:highlight w:val="none"/>
          <w:u w:val="none" w:color="auto"/>
          <w:lang w:val="en-US" w:eastAsia="zh-CN"/>
        </w:rPr>
      </w:pPr>
      <w:r>
        <w:rPr>
          <w:rFonts w:hint="eastAsia" w:ascii="宋体" w:hAnsi="宋体" w:eastAsia="宋体" w:cs="宋体"/>
          <w:b w:val="0"/>
          <w:bCs/>
          <w:color w:val="auto"/>
          <w:kern w:val="0"/>
          <w:sz w:val="24"/>
          <w:szCs w:val="24"/>
          <w:highlight w:val="none"/>
          <w:lang w:eastAsia="zh-CN"/>
        </w:rPr>
        <w:t>点票工作完成后，定标委员会组长汇总定标结果，编制定标报告，确定中标候选人，全体成员签名。</w:t>
      </w:r>
    </w:p>
    <w:p w14:paraId="4B7C107A">
      <w:pPr>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snapToGrid w:val="0"/>
          <w:color w:val="auto"/>
          <w:kern w:val="0"/>
          <w:sz w:val="24"/>
          <w:szCs w:val="24"/>
          <w:highlight w:val="none"/>
          <w:u w:val="none"/>
          <w:shd w:val="clear" w:color="auto" w:fill="FFFFFF"/>
          <w:lang w:val="en-US" w:eastAsia="en-US" w:bidi="ar-SA"/>
        </w:rPr>
      </w:pPr>
      <w:r>
        <w:rPr>
          <w:rFonts w:hint="eastAsia" w:ascii="宋体" w:hAnsi="宋体" w:eastAsia="宋体" w:cs="宋体"/>
          <w:b/>
          <w:bCs/>
          <w:snapToGrid w:val="0"/>
          <w:color w:val="auto"/>
          <w:spacing w:val="0"/>
          <w:kern w:val="0"/>
          <w:position w:val="0"/>
          <w:sz w:val="24"/>
          <w:szCs w:val="24"/>
          <w:highlight w:val="none"/>
          <w:u w:val="none" w:color="auto"/>
          <w:lang w:val="en-US" w:eastAsia="zh-CN" w:bidi="ar-SA"/>
        </w:rPr>
        <w:t>5.1.6.</w:t>
      </w:r>
      <w:r>
        <w:rPr>
          <w:rFonts w:hint="eastAsia" w:ascii="宋体" w:hAnsi="宋体" w:eastAsia="宋体" w:cs="宋体"/>
          <w:b/>
          <w:bCs/>
          <w:snapToGrid w:val="0"/>
          <w:color w:val="auto"/>
          <w:kern w:val="0"/>
          <w:sz w:val="24"/>
          <w:szCs w:val="24"/>
          <w:highlight w:val="none"/>
          <w:u w:val="none"/>
          <w:shd w:val="clear" w:color="auto" w:fill="FFFFFF"/>
          <w:lang w:val="en-US" w:eastAsia="en-US" w:bidi="ar-SA"/>
        </w:rPr>
        <w:t>全程监督</w:t>
      </w:r>
    </w:p>
    <w:p w14:paraId="4410014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kern w:val="0"/>
          <w:sz w:val="24"/>
          <w:szCs w:val="24"/>
          <w:highlight w:val="none"/>
          <w:lang w:eastAsia="zh-CN"/>
        </w:rPr>
      </w:pPr>
      <w:r>
        <w:rPr>
          <w:rFonts w:hint="eastAsia" w:ascii="宋体" w:hAnsi="宋体" w:eastAsia="宋体" w:cs="宋体"/>
          <w:b w:val="0"/>
          <w:bCs/>
          <w:color w:val="auto"/>
          <w:kern w:val="0"/>
          <w:sz w:val="24"/>
          <w:szCs w:val="24"/>
          <w:highlight w:val="none"/>
          <w:lang w:eastAsia="zh-CN"/>
        </w:rPr>
        <w:t>招标监督小组对集体议定的全过程进行监督，确保程序合规、讨论充分、记录完整，结论形成过程公正、透明。</w:t>
      </w:r>
    </w:p>
    <w:p w14:paraId="17B5162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kern w:val="0"/>
          <w:position w:val="0"/>
          <w:sz w:val="24"/>
          <w:szCs w:val="24"/>
          <w:highlight w:val="none"/>
          <w:u w:val="none" w:color="auto"/>
          <w:lang w:val="en-US" w:eastAsia="zh-CN"/>
        </w:rPr>
      </w:pPr>
      <w:r>
        <w:rPr>
          <w:rFonts w:hint="eastAsia" w:ascii="宋体" w:hAnsi="宋体" w:eastAsia="宋体" w:cs="宋体"/>
          <w:b/>
          <w:bCs/>
          <w:color w:val="auto"/>
          <w:spacing w:val="0"/>
          <w:kern w:val="0"/>
          <w:position w:val="0"/>
          <w:sz w:val="24"/>
          <w:szCs w:val="24"/>
          <w:highlight w:val="none"/>
          <w:u w:val="none" w:color="auto"/>
          <w:lang w:val="en-US" w:eastAsia="zh-CN"/>
        </w:rPr>
        <w:t>5.2定标因素</w:t>
      </w:r>
    </w:p>
    <w:p w14:paraId="0B40273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kern w:val="0"/>
          <w:position w:val="0"/>
          <w:sz w:val="24"/>
          <w:szCs w:val="24"/>
          <w:highlight w:val="none"/>
          <w:u w:val="none" w:color="auto"/>
          <w:lang w:val="en-US" w:eastAsia="zh-CN"/>
        </w:rPr>
      </w:pPr>
      <w:r>
        <w:rPr>
          <w:rFonts w:hint="eastAsia" w:ascii="宋体" w:hAnsi="宋体" w:eastAsia="宋体" w:cs="宋体"/>
          <w:b w:val="0"/>
          <w:bCs w:val="0"/>
          <w:color w:val="auto"/>
          <w:spacing w:val="0"/>
          <w:kern w:val="0"/>
          <w:position w:val="0"/>
          <w:sz w:val="24"/>
          <w:szCs w:val="24"/>
          <w:highlight w:val="none"/>
          <w:u w:val="none" w:color="auto"/>
          <w:lang w:val="en-US" w:eastAsia="zh-CN"/>
        </w:rPr>
        <w:t>在同等条件下，择优的定标因素和相对标准有以下几个方面：</w:t>
      </w:r>
    </w:p>
    <w:p w14:paraId="0A00EA9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kern w:val="0"/>
          <w:position w:val="0"/>
          <w:sz w:val="24"/>
          <w:szCs w:val="24"/>
          <w:highlight w:val="none"/>
          <w:u w:val="none" w:color="auto"/>
          <w:lang w:val="en-US" w:eastAsia="zh-CN"/>
        </w:rPr>
      </w:pPr>
      <w:r>
        <w:rPr>
          <w:rFonts w:hint="eastAsia" w:ascii="宋体" w:hAnsi="宋体" w:eastAsia="宋体" w:cs="宋体"/>
          <w:b w:val="0"/>
          <w:bCs w:val="0"/>
          <w:color w:val="auto"/>
          <w:spacing w:val="0"/>
          <w:kern w:val="0"/>
          <w:position w:val="0"/>
          <w:sz w:val="24"/>
          <w:szCs w:val="24"/>
          <w:highlight w:val="none"/>
          <w:u w:val="none" w:color="auto"/>
          <w:lang w:val="en-US" w:eastAsia="zh-CN"/>
        </w:rPr>
        <w:t>定标因素和相对标准有以下几个方面：</w:t>
      </w:r>
    </w:p>
    <w:p w14:paraId="50BFB7E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kern w:val="0"/>
          <w:position w:val="0"/>
          <w:sz w:val="24"/>
          <w:szCs w:val="24"/>
          <w:highlight w:val="none"/>
          <w:u w:val="none" w:color="auto"/>
          <w:lang w:val="en-US" w:eastAsia="zh-CN"/>
        </w:rPr>
      </w:pPr>
      <w:r>
        <w:rPr>
          <w:rFonts w:hint="eastAsia" w:ascii="宋体" w:hAnsi="宋体" w:eastAsia="宋体" w:cs="宋体"/>
          <w:b w:val="0"/>
          <w:bCs w:val="0"/>
          <w:color w:val="auto"/>
          <w:spacing w:val="0"/>
          <w:kern w:val="0"/>
          <w:position w:val="0"/>
          <w:sz w:val="24"/>
          <w:szCs w:val="24"/>
          <w:highlight w:val="none"/>
          <w:u w:val="none" w:color="auto"/>
          <w:lang w:val="en-US" w:eastAsia="zh-CN"/>
        </w:rPr>
        <w:t>（1）拟派团队管理能力与水平（履约能力）</w:t>
      </w:r>
    </w:p>
    <w:p w14:paraId="613F1B3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kern w:val="0"/>
          <w:position w:val="0"/>
          <w:sz w:val="24"/>
          <w:szCs w:val="24"/>
          <w:highlight w:val="none"/>
          <w:u w:val="none" w:color="auto"/>
          <w:lang w:val="en-US" w:eastAsia="zh-CN"/>
        </w:rPr>
      </w:pPr>
      <w:r>
        <w:rPr>
          <w:rFonts w:hint="eastAsia" w:ascii="宋体" w:hAnsi="宋体" w:eastAsia="宋体" w:cs="宋体"/>
          <w:b w:val="0"/>
          <w:bCs w:val="0"/>
          <w:color w:val="auto"/>
          <w:spacing w:val="0"/>
          <w:kern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3388635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kern w:val="0"/>
          <w:position w:val="0"/>
          <w:sz w:val="24"/>
          <w:szCs w:val="24"/>
          <w:highlight w:val="none"/>
          <w:u w:val="none" w:color="auto"/>
          <w:lang w:val="en-US" w:eastAsia="zh-CN"/>
        </w:rPr>
      </w:pPr>
      <w:r>
        <w:rPr>
          <w:rFonts w:hint="eastAsia" w:ascii="宋体" w:hAnsi="宋体" w:eastAsia="宋体" w:cs="宋体"/>
          <w:b w:val="0"/>
          <w:bCs w:val="0"/>
          <w:color w:val="auto"/>
          <w:spacing w:val="0"/>
          <w:kern w:val="0"/>
          <w:position w:val="0"/>
          <w:sz w:val="24"/>
          <w:szCs w:val="24"/>
          <w:highlight w:val="none"/>
          <w:u w:val="none" w:color="auto"/>
          <w:lang w:val="en-US" w:eastAsia="zh-CN"/>
        </w:rPr>
        <w:t>（2）履约信誉</w:t>
      </w:r>
    </w:p>
    <w:p w14:paraId="274F21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kern w:val="0"/>
          <w:position w:val="0"/>
          <w:sz w:val="24"/>
          <w:szCs w:val="24"/>
          <w:highlight w:val="none"/>
          <w:u w:val="none" w:color="auto"/>
          <w:lang w:val="en-US" w:eastAsia="zh-CN"/>
        </w:rPr>
      </w:pPr>
      <w:r>
        <w:rPr>
          <w:rFonts w:hint="eastAsia" w:ascii="宋体" w:hAnsi="宋体" w:eastAsia="宋体" w:cs="宋体"/>
          <w:b w:val="0"/>
          <w:bCs w:val="0"/>
          <w:color w:val="auto"/>
          <w:spacing w:val="0"/>
          <w:kern w:val="0"/>
          <w:position w:val="0"/>
          <w:sz w:val="24"/>
          <w:szCs w:val="24"/>
          <w:highlight w:val="none"/>
          <w:u w:val="none" w:color="auto"/>
          <w:lang w:val="en-US" w:eastAsia="zh-CN"/>
        </w:rPr>
        <w:t>相对标准：履约信誉评价等级高的定标候选人优于履约信誉评价等级一般的定标候选人。</w:t>
      </w:r>
    </w:p>
    <w:p w14:paraId="089B8538">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kern w:val="0"/>
          <w:position w:val="0"/>
          <w:sz w:val="24"/>
          <w:szCs w:val="24"/>
          <w:highlight w:val="none"/>
          <w:u w:val="none" w:color="auto"/>
          <w:lang w:val="en-US" w:eastAsia="zh-CN"/>
        </w:rPr>
      </w:pPr>
      <w:r>
        <w:rPr>
          <w:rFonts w:hint="eastAsia" w:ascii="宋体" w:hAnsi="宋体" w:eastAsia="宋体" w:cs="宋体"/>
          <w:b w:val="0"/>
          <w:bCs w:val="0"/>
          <w:color w:val="auto"/>
          <w:spacing w:val="0"/>
          <w:kern w:val="0"/>
          <w:position w:val="0"/>
          <w:sz w:val="24"/>
          <w:szCs w:val="24"/>
          <w:highlight w:val="none"/>
          <w:u w:val="none" w:color="auto"/>
          <w:lang w:val="en-US" w:eastAsia="zh-CN"/>
        </w:rPr>
        <w:t>技术能力</w:t>
      </w:r>
    </w:p>
    <w:p w14:paraId="34DAAA7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kern w:val="0"/>
          <w:position w:val="0"/>
          <w:sz w:val="24"/>
          <w:szCs w:val="24"/>
          <w:highlight w:val="none"/>
          <w:u w:val="none" w:color="auto"/>
          <w:lang w:val="en-US" w:eastAsia="zh-CN"/>
        </w:rPr>
      </w:pPr>
      <w:r>
        <w:rPr>
          <w:rFonts w:hint="eastAsia" w:ascii="宋体" w:hAnsi="宋体" w:eastAsia="宋体" w:cs="宋体"/>
          <w:b w:val="0"/>
          <w:bCs w:val="0"/>
          <w:color w:val="auto"/>
          <w:spacing w:val="0"/>
          <w:kern w:val="0"/>
          <w:position w:val="0"/>
          <w:sz w:val="24"/>
          <w:szCs w:val="24"/>
          <w:highlight w:val="none"/>
          <w:u w:val="none" w:color="auto"/>
          <w:lang w:val="en-US" w:eastAsia="zh-CN"/>
        </w:rPr>
        <w:t>相对标准：获得有关的国家级工法、专利（发明专利或实用新专利）、国家级科学技术进步奖等的定标候选人优于获得省级奖项的定标候选人。</w:t>
      </w:r>
    </w:p>
    <w:p w14:paraId="6BB5B72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kern w:val="0"/>
          <w:position w:val="0"/>
          <w:sz w:val="24"/>
          <w:szCs w:val="24"/>
          <w:highlight w:val="none"/>
          <w:u w:val="none" w:color="auto"/>
          <w:lang w:val="en-US" w:eastAsia="zh-CN"/>
        </w:rPr>
      </w:pPr>
      <w:r>
        <w:rPr>
          <w:rFonts w:hint="eastAsia" w:ascii="宋体" w:hAnsi="宋体" w:eastAsia="宋体" w:cs="宋体"/>
          <w:b w:val="0"/>
          <w:bCs w:val="0"/>
          <w:color w:val="auto"/>
          <w:spacing w:val="0"/>
          <w:kern w:val="0"/>
          <w:position w:val="0"/>
          <w:sz w:val="24"/>
          <w:szCs w:val="24"/>
          <w:highlight w:val="none"/>
          <w:u w:val="none" w:color="auto"/>
          <w:lang w:val="en-US" w:eastAsia="zh-CN"/>
        </w:rPr>
        <w:t>（4）评标报告</w:t>
      </w:r>
    </w:p>
    <w:p w14:paraId="0D4FC58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kern w:val="0"/>
          <w:position w:val="0"/>
          <w:sz w:val="24"/>
          <w:szCs w:val="24"/>
          <w:highlight w:val="none"/>
          <w:u w:val="none" w:color="auto"/>
          <w:lang w:val="en-US" w:eastAsia="zh-CN"/>
        </w:rPr>
      </w:pPr>
      <w:r>
        <w:rPr>
          <w:rFonts w:hint="eastAsia" w:ascii="宋体" w:hAnsi="宋体" w:eastAsia="宋体" w:cs="宋体"/>
          <w:b w:val="0"/>
          <w:bCs w:val="0"/>
          <w:color w:val="auto"/>
          <w:spacing w:val="0"/>
          <w:kern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kern w:val="0"/>
          <w:sz w:val="24"/>
          <w:szCs w:val="24"/>
          <w:highlight w:val="none"/>
        </w:rPr>
        <w:t>风险</w:t>
      </w:r>
      <w:r>
        <w:rPr>
          <w:rFonts w:hint="eastAsia" w:ascii="宋体" w:hAnsi="宋体" w:eastAsia="宋体" w:cs="宋体"/>
          <w:color w:val="auto"/>
          <w:kern w:val="0"/>
          <w:sz w:val="24"/>
          <w:szCs w:val="24"/>
          <w:highlight w:val="none"/>
          <w:lang w:val="en-US" w:eastAsia="zh-CN"/>
        </w:rPr>
        <w:t>低</w:t>
      </w:r>
      <w:r>
        <w:rPr>
          <w:rFonts w:hint="eastAsia" w:ascii="宋体" w:hAnsi="宋体" w:eastAsia="宋体" w:cs="宋体"/>
          <w:b w:val="0"/>
          <w:bCs w:val="0"/>
          <w:color w:val="auto"/>
          <w:spacing w:val="0"/>
          <w:kern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kern w:val="0"/>
          <w:sz w:val="24"/>
          <w:szCs w:val="24"/>
          <w:highlight w:val="none"/>
        </w:rPr>
        <w:t>风险</w:t>
      </w:r>
      <w:r>
        <w:rPr>
          <w:rFonts w:hint="eastAsia" w:ascii="宋体" w:hAnsi="宋体" w:eastAsia="宋体" w:cs="宋体"/>
          <w:color w:val="auto"/>
          <w:kern w:val="0"/>
          <w:sz w:val="24"/>
          <w:szCs w:val="24"/>
          <w:highlight w:val="none"/>
          <w:lang w:val="en-US" w:eastAsia="zh-CN"/>
        </w:rPr>
        <w:t>高</w:t>
      </w:r>
      <w:r>
        <w:rPr>
          <w:rFonts w:hint="eastAsia" w:ascii="宋体" w:hAnsi="宋体" w:eastAsia="宋体" w:cs="宋体"/>
          <w:b w:val="0"/>
          <w:bCs w:val="0"/>
          <w:color w:val="auto"/>
          <w:spacing w:val="0"/>
          <w:kern w:val="0"/>
          <w:position w:val="0"/>
          <w:sz w:val="24"/>
          <w:szCs w:val="24"/>
          <w:highlight w:val="none"/>
          <w:u w:val="none" w:color="auto"/>
          <w:lang w:val="en-US" w:eastAsia="zh-CN"/>
        </w:rPr>
        <w:t>的</w:t>
      </w:r>
      <w:r>
        <w:rPr>
          <w:rFonts w:hint="eastAsia" w:ascii="宋体" w:hAnsi="宋体" w:eastAsia="宋体" w:cs="宋体"/>
          <w:color w:val="auto"/>
          <w:kern w:val="0"/>
          <w:sz w:val="24"/>
          <w:szCs w:val="24"/>
          <w:highlight w:val="none"/>
        </w:rPr>
        <w:t>定标候选人</w:t>
      </w:r>
      <w:r>
        <w:rPr>
          <w:rFonts w:hint="eastAsia" w:ascii="宋体" w:hAnsi="宋体" w:eastAsia="宋体" w:cs="宋体"/>
          <w:color w:val="auto"/>
          <w:kern w:val="0"/>
          <w:sz w:val="24"/>
          <w:szCs w:val="24"/>
          <w:highlight w:val="none"/>
          <w:lang w:eastAsia="zh-CN"/>
        </w:rPr>
        <w:t>（</w:t>
      </w:r>
      <w:r>
        <w:rPr>
          <w:rFonts w:hint="eastAsia" w:ascii="宋体" w:hAnsi="宋体" w:eastAsia="宋体" w:cs="宋体"/>
          <w:b w:val="0"/>
          <w:bCs w:val="0"/>
          <w:color w:val="auto"/>
          <w:spacing w:val="0"/>
          <w:kern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kern w:val="0"/>
          <w:sz w:val="24"/>
          <w:szCs w:val="24"/>
          <w:highlight w:val="none"/>
        </w:rPr>
        <w:t>的优势、风险等评审情况</w:t>
      </w:r>
      <w:r>
        <w:rPr>
          <w:rFonts w:hint="eastAsia" w:ascii="宋体" w:hAnsi="宋体" w:eastAsia="宋体" w:cs="宋体"/>
          <w:b w:val="0"/>
          <w:bCs w:val="0"/>
          <w:color w:val="auto"/>
          <w:spacing w:val="0"/>
          <w:kern w:val="0"/>
          <w:position w:val="0"/>
          <w:sz w:val="24"/>
          <w:szCs w:val="24"/>
          <w:highlight w:val="none"/>
          <w:u w:val="none" w:color="auto"/>
          <w:lang w:val="en-US" w:eastAsia="zh-CN"/>
        </w:rPr>
        <w:t>进行评审比较</w:t>
      </w:r>
      <w:r>
        <w:rPr>
          <w:rFonts w:hint="eastAsia" w:ascii="宋体" w:hAnsi="宋体" w:eastAsia="宋体" w:cs="宋体"/>
          <w:color w:val="auto"/>
          <w:kern w:val="0"/>
          <w:sz w:val="24"/>
          <w:szCs w:val="24"/>
          <w:highlight w:val="none"/>
          <w:lang w:eastAsia="zh-CN"/>
        </w:rPr>
        <w:t>）</w:t>
      </w:r>
      <w:r>
        <w:rPr>
          <w:rFonts w:hint="eastAsia" w:ascii="宋体" w:hAnsi="宋体" w:eastAsia="宋体" w:cs="宋体"/>
          <w:b w:val="0"/>
          <w:bCs w:val="0"/>
          <w:color w:val="auto"/>
          <w:spacing w:val="0"/>
          <w:kern w:val="0"/>
          <w:position w:val="0"/>
          <w:sz w:val="24"/>
          <w:szCs w:val="24"/>
          <w:highlight w:val="none"/>
          <w:u w:val="none" w:color="auto"/>
          <w:lang w:val="en-US" w:eastAsia="zh-CN"/>
        </w:rPr>
        <w:t>。</w:t>
      </w:r>
    </w:p>
    <w:p w14:paraId="4E3DB87A">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4D719470">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Fonts w:hint="eastAsia" w:ascii="宋体" w:hAnsi="宋体" w:eastAsia="宋体" w:cs="宋体"/>
          <w:b w:val="0"/>
          <w:bCs w:val="0"/>
          <w:color w:val="auto"/>
          <w:kern w:val="0"/>
          <w:sz w:val="24"/>
          <w:szCs w:val="24"/>
          <w:highlight w:val="none"/>
          <w:lang w:val="en-US" w:eastAsia="zh-CN"/>
        </w:rPr>
        <w:t>后</w:t>
      </w:r>
      <w:r>
        <w:rPr>
          <w:rFonts w:hint="eastAsia" w:ascii="宋体" w:hAnsi="宋体" w:eastAsia="宋体" w:cs="宋体"/>
          <w:color w:val="auto"/>
          <w:kern w:val="0"/>
          <w:sz w:val="24"/>
          <w:szCs w:val="24"/>
          <w:highlight w:val="none"/>
          <w:lang w:val="en-US" w:eastAsia="zh-CN"/>
        </w:rPr>
        <w:t>，招标人应于定标会结束后3日内将中标候选人和定标情况在广东省招标投标监管网和韶关市公共资源交易中心工程交易系统上公示，公示时间不少于3日内。公示主要内容包括：公示主要内容包括：定标报告（定标成员信息除外）、中标人名单、中标价和拟投入本项目的项目负责人、技术负责人及各专业负责人（如有）等内容。</w:t>
      </w:r>
    </w:p>
    <w:p w14:paraId="5A4B4F3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宋体" w:hAnsi="宋体" w:eastAsia="宋体" w:cs="宋体"/>
          <w:snapToGrid w:val="0"/>
          <w:color w:val="000000"/>
          <w:kern w:val="0"/>
          <w:sz w:val="24"/>
          <w:szCs w:val="24"/>
          <w:lang w:val="en-US" w:eastAsia="zh-CN" w:bidi="ar"/>
        </w:rPr>
      </w:pPr>
    </w:p>
    <w:p w14:paraId="3B38E7D4">
      <w:pPr>
        <w:keepNext w:val="0"/>
        <w:keepLines w:val="0"/>
        <w:widowControl/>
        <w:suppressLineNumbers w:val="0"/>
        <w:jc w:val="left"/>
        <w:rPr>
          <w:rFonts w:ascii="宋体" w:hAnsi="宋体" w:eastAsia="宋体" w:cs="宋体"/>
          <w:sz w:val="43"/>
          <w:szCs w:val="43"/>
        </w:rPr>
      </w:pPr>
      <w:r>
        <w:rPr>
          <w:rFonts w:hint="eastAsia" w:ascii="宋体" w:hAnsi="宋体" w:eastAsia="宋体" w:cs="宋体"/>
          <w:b/>
          <w:bCs/>
          <w:spacing w:val="5"/>
          <w:sz w:val="43"/>
          <w:szCs w:val="43"/>
          <w:lang w:val="en-US" w:eastAsia="zh-CN"/>
        </w:rPr>
        <w:br w:type="page"/>
      </w:r>
    </w:p>
    <w:p w14:paraId="00B3C35E">
      <w:pPr>
        <w:numPr>
          <w:ilvl w:val="0"/>
          <w:numId w:val="5"/>
        </w:numPr>
        <w:spacing w:before="140" w:line="222" w:lineRule="auto"/>
        <w:ind w:left="2120"/>
        <w:jc w:val="left"/>
        <w:outlineLvl w:val="0"/>
        <w:rPr>
          <w:rFonts w:ascii="宋体" w:hAnsi="宋体" w:eastAsia="宋体" w:cs="宋体"/>
          <w:sz w:val="43"/>
          <w:szCs w:val="43"/>
        </w:rPr>
      </w:pPr>
      <w:bookmarkStart w:id="51" w:name="_Toc918"/>
      <w:r>
        <w:rPr>
          <w:rFonts w:ascii="宋体" w:hAnsi="宋体" w:eastAsia="宋体" w:cs="宋体"/>
          <w:b/>
          <w:bCs/>
          <w:spacing w:val="5"/>
          <w:sz w:val="43"/>
          <w:szCs w:val="43"/>
        </w:rPr>
        <w:t>合同条款及格式</w:t>
      </w:r>
      <w:bookmarkEnd w:id="51"/>
    </w:p>
    <w:p w14:paraId="1BAAD5D4">
      <w:pPr>
        <w:spacing w:before="101" w:line="225" w:lineRule="auto"/>
        <w:ind w:left="3059"/>
        <w:jc w:val="both"/>
        <w:rPr>
          <w:rFonts w:ascii="宋体" w:hAnsi="宋体" w:eastAsia="宋体" w:cs="宋体"/>
          <w:b/>
          <w:bCs/>
          <w:spacing w:val="4"/>
          <w:sz w:val="31"/>
          <w:szCs w:val="31"/>
        </w:rPr>
      </w:pPr>
    </w:p>
    <w:p w14:paraId="2E53D973">
      <w:pPr>
        <w:spacing w:before="101" w:line="225" w:lineRule="auto"/>
        <w:ind w:left="3059"/>
        <w:jc w:val="both"/>
        <w:rPr>
          <w:rFonts w:ascii="宋体" w:hAnsi="宋体" w:eastAsia="宋体" w:cs="宋体"/>
          <w:b/>
          <w:bCs/>
          <w:spacing w:val="4"/>
          <w:sz w:val="31"/>
          <w:szCs w:val="31"/>
        </w:rPr>
      </w:pPr>
    </w:p>
    <w:p w14:paraId="0507F8E2">
      <w:pPr>
        <w:spacing w:before="101" w:line="225" w:lineRule="auto"/>
        <w:ind w:left="3059"/>
        <w:jc w:val="both"/>
        <w:rPr>
          <w:rFonts w:ascii="宋体" w:hAnsi="宋体" w:eastAsia="宋体" w:cs="宋体"/>
          <w:b/>
          <w:bCs/>
          <w:spacing w:val="4"/>
          <w:sz w:val="31"/>
          <w:szCs w:val="31"/>
        </w:rPr>
      </w:pPr>
    </w:p>
    <w:p w14:paraId="32900A7E">
      <w:pPr>
        <w:spacing w:before="101" w:line="225" w:lineRule="auto"/>
        <w:ind w:left="3059"/>
        <w:jc w:val="both"/>
        <w:rPr>
          <w:rFonts w:ascii="宋体" w:hAnsi="宋体" w:eastAsia="宋体" w:cs="宋体"/>
          <w:b/>
          <w:bCs/>
          <w:spacing w:val="4"/>
          <w:sz w:val="31"/>
          <w:szCs w:val="31"/>
        </w:rPr>
      </w:pPr>
    </w:p>
    <w:p w14:paraId="3F606736">
      <w:pPr>
        <w:spacing w:before="101" w:line="225" w:lineRule="auto"/>
        <w:ind w:left="3059"/>
        <w:jc w:val="both"/>
        <w:rPr>
          <w:rFonts w:ascii="宋体" w:hAnsi="宋体" w:eastAsia="宋体" w:cs="宋体"/>
          <w:b/>
          <w:bCs/>
          <w:spacing w:val="4"/>
          <w:sz w:val="31"/>
          <w:szCs w:val="31"/>
        </w:rPr>
      </w:pPr>
    </w:p>
    <w:p w14:paraId="2BDC0640">
      <w:pPr>
        <w:spacing w:before="101" w:line="225" w:lineRule="auto"/>
        <w:ind w:left="3059"/>
        <w:jc w:val="both"/>
        <w:rPr>
          <w:rFonts w:ascii="宋体" w:hAnsi="宋体" w:eastAsia="宋体" w:cs="宋体"/>
          <w:b/>
          <w:bCs/>
          <w:spacing w:val="4"/>
          <w:sz w:val="31"/>
          <w:szCs w:val="31"/>
        </w:rPr>
      </w:pPr>
    </w:p>
    <w:p w14:paraId="049256AB">
      <w:pPr>
        <w:spacing w:before="101" w:line="225" w:lineRule="auto"/>
        <w:ind w:left="3059"/>
        <w:jc w:val="both"/>
        <w:rPr>
          <w:rFonts w:ascii="宋体" w:hAnsi="宋体" w:eastAsia="宋体" w:cs="宋体"/>
          <w:b/>
          <w:bCs/>
          <w:spacing w:val="4"/>
          <w:sz w:val="31"/>
          <w:szCs w:val="31"/>
        </w:rPr>
      </w:pPr>
    </w:p>
    <w:p w14:paraId="0B953102">
      <w:pPr>
        <w:spacing w:before="101" w:line="225" w:lineRule="auto"/>
        <w:ind w:left="3059"/>
        <w:jc w:val="both"/>
        <w:rPr>
          <w:rFonts w:ascii="宋体" w:hAnsi="宋体" w:eastAsia="宋体" w:cs="宋体"/>
          <w:b/>
          <w:bCs/>
          <w:spacing w:val="4"/>
          <w:sz w:val="31"/>
          <w:szCs w:val="31"/>
        </w:rPr>
      </w:pPr>
    </w:p>
    <w:p w14:paraId="1A70E185">
      <w:pPr>
        <w:spacing w:before="101" w:line="225" w:lineRule="auto"/>
        <w:ind w:left="3059"/>
        <w:jc w:val="both"/>
        <w:rPr>
          <w:rFonts w:ascii="宋体" w:hAnsi="宋体" w:eastAsia="宋体" w:cs="宋体"/>
          <w:sz w:val="31"/>
          <w:szCs w:val="31"/>
        </w:rPr>
      </w:pPr>
      <w:r>
        <w:rPr>
          <w:rFonts w:ascii="宋体" w:hAnsi="宋体" w:eastAsia="宋体" w:cs="宋体"/>
          <w:b/>
          <w:bCs/>
          <w:spacing w:val="4"/>
          <w:sz w:val="31"/>
          <w:szCs w:val="31"/>
        </w:rPr>
        <w:t>第一节</w:t>
      </w:r>
      <w:r>
        <w:rPr>
          <w:rFonts w:ascii="宋体" w:hAnsi="宋体" w:eastAsia="宋体" w:cs="宋体"/>
          <w:spacing w:val="-56"/>
          <w:sz w:val="31"/>
          <w:szCs w:val="31"/>
        </w:rPr>
        <w:t xml:space="preserve"> </w:t>
      </w:r>
      <w:r>
        <w:rPr>
          <w:rFonts w:ascii="宋体" w:hAnsi="宋体" w:eastAsia="宋体" w:cs="宋体"/>
          <w:b/>
          <w:bCs/>
          <w:spacing w:val="4"/>
          <w:sz w:val="31"/>
          <w:szCs w:val="31"/>
        </w:rPr>
        <w:t>通用合同条款</w:t>
      </w:r>
    </w:p>
    <w:p w14:paraId="15D71223">
      <w:pPr>
        <w:spacing w:line="253" w:lineRule="auto"/>
        <w:rPr>
          <w:rFonts w:ascii="Arial"/>
          <w:sz w:val="21"/>
        </w:rPr>
      </w:pPr>
    </w:p>
    <w:p w14:paraId="4C96EAB0">
      <w:pPr>
        <w:spacing w:line="253" w:lineRule="auto"/>
        <w:rPr>
          <w:rFonts w:ascii="Arial"/>
          <w:sz w:val="21"/>
        </w:rPr>
      </w:pPr>
    </w:p>
    <w:p w14:paraId="1BB520C5">
      <w:pPr>
        <w:spacing w:line="253" w:lineRule="auto"/>
        <w:rPr>
          <w:rFonts w:ascii="Arial"/>
          <w:sz w:val="21"/>
        </w:rPr>
      </w:pPr>
    </w:p>
    <w:p w14:paraId="638A901D">
      <w:pPr>
        <w:spacing w:line="253" w:lineRule="auto"/>
        <w:rPr>
          <w:rFonts w:ascii="Arial"/>
          <w:sz w:val="21"/>
        </w:rPr>
      </w:pPr>
    </w:p>
    <w:p w14:paraId="7CA536D0">
      <w:pPr>
        <w:spacing w:line="253" w:lineRule="auto"/>
        <w:rPr>
          <w:rFonts w:ascii="Arial"/>
          <w:sz w:val="21"/>
        </w:rPr>
      </w:pPr>
    </w:p>
    <w:p w14:paraId="0189D9A3">
      <w:pPr>
        <w:spacing w:line="253" w:lineRule="auto"/>
        <w:rPr>
          <w:rFonts w:ascii="Arial"/>
          <w:sz w:val="21"/>
        </w:rPr>
      </w:pPr>
    </w:p>
    <w:p w14:paraId="69EB00DE">
      <w:pPr>
        <w:spacing w:before="91" w:line="220" w:lineRule="auto"/>
        <w:ind w:left="1720"/>
        <w:rPr>
          <w:rFonts w:ascii="宋体" w:hAnsi="宋体" w:eastAsia="宋体" w:cs="宋体"/>
          <w:sz w:val="28"/>
          <w:szCs w:val="28"/>
        </w:rPr>
      </w:pPr>
      <w:r>
        <w:rPr>
          <w:rFonts w:ascii="宋体" w:hAnsi="宋体" w:eastAsia="宋体" w:cs="宋体"/>
          <w:b/>
          <w:bCs/>
          <w:spacing w:val="-2"/>
          <w:sz w:val="28"/>
          <w:szCs w:val="28"/>
        </w:rPr>
        <w:t>【详见《中华人民共和国标准施工招标文件》</w:t>
      </w:r>
    </w:p>
    <w:p w14:paraId="72C9D379">
      <w:pPr>
        <w:spacing w:before="211" w:line="219" w:lineRule="auto"/>
        <w:ind w:left="721"/>
        <w:rPr>
          <w:rFonts w:ascii="宋体" w:hAnsi="宋体" w:eastAsia="宋体" w:cs="宋体"/>
          <w:sz w:val="28"/>
          <w:szCs w:val="28"/>
        </w:rPr>
      </w:pPr>
      <w:r>
        <w:rPr>
          <w:rFonts w:ascii="宋体" w:hAnsi="宋体" w:eastAsia="宋体" w:cs="宋体"/>
          <w:b/>
          <w:bCs/>
          <w:spacing w:val="-3"/>
          <w:sz w:val="28"/>
          <w:szCs w:val="28"/>
        </w:rPr>
        <w:t>（2007</w:t>
      </w:r>
      <w:r>
        <w:rPr>
          <w:rFonts w:ascii="宋体" w:hAnsi="宋体" w:eastAsia="宋体" w:cs="宋体"/>
          <w:spacing w:val="-53"/>
          <w:sz w:val="28"/>
          <w:szCs w:val="28"/>
        </w:rPr>
        <w:t xml:space="preserve"> </w:t>
      </w:r>
      <w:r>
        <w:rPr>
          <w:rFonts w:ascii="宋体" w:hAnsi="宋体" w:eastAsia="宋体" w:cs="宋体"/>
          <w:b/>
          <w:bCs/>
          <w:spacing w:val="-3"/>
          <w:sz w:val="28"/>
          <w:szCs w:val="28"/>
        </w:rPr>
        <w:t>年版）第四章</w:t>
      </w:r>
      <w:r>
        <w:rPr>
          <w:rFonts w:ascii="宋体" w:hAnsi="宋体" w:eastAsia="宋体" w:cs="宋体"/>
          <w:spacing w:val="-3"/>
          <w:sz w:val="28"/>
          <w:szCs w:val="28"/>
        </w:rPr>
        <w:t xml:space="preserve"> </w:t>
      </w:r>
      <w:r>
        <w:rPr>
          <w:rFonts w:ascii="宋体" w:hAnsi="宋体" w:eastAsia="宋体" w:cs="宋体"/>
          <w:b/>
          <w:bCs/>
          <w:spacing w:val="-3"/>
          <w:sz w:val="28"/>
          <w:szCs w:val="28"/>
        </w:rPr>
        <w:t>合同条款及格式</w:t>
      </w:r>
      <w:r>
        <w:rPr>
          <w:rFonts w:ascii="宋体" w:hAnsi="宋体" w:eastAsia="宋体" w:cs="宋体"/>
          <w:spacing w:val="-3"/>
          <w:sz w:val="28"/>
          <w:szCs w:val="28"/>
        </w:rPr>
        <w:t xml:space="preserve"> </w:t>
      </w:r>
      <w:r>
        <w:rPr>
          <w:rFonts w:ascii="宋体" w:hAnsi="宋体" w:eastAsia="宋体" w:cs="宋体"/>
          <w:b/>
          <w:bCs/>
          <w:spacing w:val="-3"/>
          <w:sz w:val="28"/>
          <w:szCs w:val="28"/>
        </w:rPr>
        <w:t>第一节通用合同条款】</w:t>
      </w:r>
    </w:p>
    <w:p w14:paraId="18EAA43D">
      <w:pPr>
        <w:spacing w:line="468" w:lineRule="auto"/>
        <w:rPr>
          <w:rFonts w:hint="eastAsia" w:ascii="Arial" w:eastAsia="宋体"/>
          <w:sz w:val="21"/>
          <w:lang w:eastAsia="zh-CN"/>
        </w:rPr>
      </w:pPr>
      <w:r>
        <w:rPr>
          <w:rFonts w:hint="eastAsia" w:ascii="Arial" w:eastAsia="宋体"/>
          <w:sz w:val="21"/>
          <w:lang w:eastAsia="zh-CN"/>
        </w:rPr>
        <w:br w:type="page"/>
      </w:r>
    </w:p>
    <w:p w14:paraId="3AA2B70F">
      <w:pPr>
        <w:spacing w:before="101" w:line="241" w:lineRule="auto"/>
        <w:ind w:left="2980"/>
        <w:rPr>
          <w:rFonts w:ascii="Arial"/>
          <w:sz w:val="21"/>
        </w:rPr>
      </w:pPr>
      <w:bookmarkStart w:id="52" w:name="bookmark194"/>
      <w:bookmarkEnd w:id="52"/>
      <w:r>
        <w:rPr>
          <w:rFonts w:ascii="宋体" w:hAnsi="宋体" w:eastAsia="宋体" w:cs="宋体"/>
          <w:b/>
          <w:bCs/>
          <w:spacing w:val="4"/>
          <w:sz w:val="31"/>
          <w:szCs w:val="31"/>
        </w:rPr>
        <w:t>第二节</w:t>
      </w:r>
      <w:r>
        <w:rPr>
          <w:rFonts w:ascii="宋体" w:hAnsi="宋体" w:eastAsia="宋体" w:cs="宋体"/>
          <w:spacing w:val="-56"/>
          <w:sz w:val="31"/>
          <w:szCs w:val="31"/>
        </w:rPr>
        <w:t xml:space="preserve"> </w:t>
      </w:r>
      <w:r>
        <w:rPr>
          <w:rFonts w:ascii="宋体" w:hAnsi="宋体" w:eastAsia="宋体" w:cs="宋体"/>
          <w:b/>
          <w:bCs/>
          <w:spacing w:val="4"/>
          <w:sz w:val="31"/>
          <w:szCs w:val="31"/>
        </w:rPr>
        <w:t>专用合同条款</w:t>
      </w:r>
    </w:p>
    <w:p w14:paraId="626BE994">
      <w:pPr>
        <w:spacing w:before="321" w:line="219" w:lineRule="auto"/>
        <w:ind w:left="3640"/>
        <w:rPr>
          <w:rFonts w:ascii="宋体" w:hAnsi="宋体" w:eastAsia="宋体" w:cs="宋体"/>
          <w:sz w:val="30"/>
          <w:szCs w:val="30"/>
        </w:rPr>
      </w:pPr>
      <w:r>
        <w:rPr>
          <w:rFonts w:ascii="宋体" w:hAnsi="宋体" w:eastAsia="宋体" w:cs="宋体"/>
          <w:b/>
          <w:bCs/>
          <w:spacing w:val="-5"/>
          <w:sz w:val="30"/>
          <w:szCs w:val="30"/>
        </w:rPr>
        <w:t>专用合同条款</w:t>
      </w:r>
    </w:p>
    <w:p w14:paraId="662549B1">
      <w:pPr>
        <w:spacing w:before="23" w:line="220" w:lineRule="auto"/>
        <w:ind w:left="26"/>
        <w:rPr>
          <w:rFonts w:ascii="宋体" w:hAnsi="宋体" w:eastAsia="宋体" w:cs="宋体"/>
          <w:sz w:val="24"/>
          <w:szCs w:val="24"/>
        </w:rPr>
      </w:pPr>
      <w:r>
        <w:rPr>
          <w:rFonts w:ascii="宋体" w:hAnsi="宋体" w:eastAsia="宋体" w:cs="宋体"/>
          <w:b/>
          <w:bCs/>
          <w:spacing w:val="-7"/>
          <w:sz w:val="24"/>
          <w:szCs w:val="24"/>
        </w:rPr>
        <w:t>1．一般约定</w:t>
      </w:r>
    </w:p>
    <w:p w14:paraId="05EA48CE">
      <w:pPr>
        <w:spacing w:before="179" w:line="220" w:lineRule="auto"/>
        <w:ind w:left="506"/>
        <w:rPr>
          <w:rFonts w:ascii="宋体" w:hAnsi="宋体" w:eastAsia="宋体" w:cs="宋体"/>
          <w:sz w:val="24"/>
          <w:szCs w:val="24"/>
        </w:rPr>
      </w:pPr>
      <w:r>
        <w:rPr>
          <w:rFonts w:ascii="宋体" w:hAnsi="宋体" w:eastAsia="宋体" w:cs="宋体"/>
          <w:b/>
          <w:bCs/>
          <w:spacing w:val="-8"/>
          <w:sz w:val="24"/>
          <w:szCs w:val="24"/>
        </w:rPr>
        <w:t>1.1</w:t>
      </w:r>
      <w:r>
        <w:rPr>
          <w:rFonts w:ascii="宋体" w:hAnsi="宋体" w:eastAsia="宋体" w:cs="宋体"/>
          <w:spacing w:val="17"/>
          <w:sz w:val="24"/>
          <w:szCs w:val="24"/>
        </w:rPr>
        <w:t xml:space="preserve"> </w:t>
      </w:r>
      <w:r>
        <w:rPr>
          <w:rFonts w:ascii="宋体" w:hAnsi="宋体" w:eastAsia="宋体" w:cs="宋体"/>
          <w:b/>
          <w:bCs/>
          <w:spacing w:val="-8"/>
          <w:sz w:val="24"/>
          <w:szCs w:val="24"/>
        </w:rPr>
        <w:t>词语定义</w:t>
      </w:r>
    </w:p>
    <w:p w14:paraId="225F4DDC">
      <w:pPr>
        <w:spacing w:before="182" w:line="221" w:lineRule="auto"/>
        <w:ind w:left="506"/>
        <w:rPr>
          <w:rFonts w:ascii="宋体" w:hAnsi="宋体" w:eastAsia="宋体" w:cs="宋体"/>
          <w:sz w:val="24"/>
          <w:szCs w:val="24"/>
        </w:rPr>
      </w:pPr>
      <w:r>
        <w:rPr>
          <w:rFonts w:ascii="宋体" w:hAnsi="宋体" w:eastAsia="宋体" w:cs="宋体"/>
          <w:spacing w:val="-6"/>
          <w:sz w:val="24"/>
          <w:szCs w:val="24"/>
        </w:rPr>
        <w:t>1.1.1</w:t>
      </w:r>
      <w:r>
        <w:rPr>
          <w:rFonts w:ascii="宋体" w:hAnsi="宋体" w:eastAsia="宋体" w:cs="宋体"/>
          <w:spacing w:val="13"/>
          <w:sz w:val="24"/>
          <w:szCs w:val="24"/>
        </w:rPr>
        <w:t xml:space="preserve"> </w:t>
      </w:r>
      <w:r>
        <w:rPr>
          <w:rFonts w:ascii="宋体" w:hAnsi="宋体" w:eastAsia="宋体" w:cs="宋体"/>
          <w:spacing w:val="-6"/>
          <w:sz w:val="24"/>
          <w:szCs w:val="24"/>
        </w:rPr>
        <w:t>合同</w:t>
      </w:r>
    </w:p>
    <w:p w14:paraId="72FBE344">
      <w:pPr>
        <w:spacing w:before="177" w:line="219" w:lineRule="auto"/>
        <w:ind w:left="488"/>
        <w:rPr>
          <w:rFonts w:ascii="宋体" w:hAnsi="宋体" w:eastAsia="宋体" w:cs="宋体"/>
          <w:sz w:val="24"/>
          <w:szCs w:val="24"/>
        </w:rPr>
      </w:pPr>
      <w:r>
        <w:rPr>
          <w:rFonts w:ascii="宋体" w:hAnsi="宋体" w:eastAsia="宋体" w:cs="宋体"/>
          <w:b/>
          <w:bCs/>
          <w:spacing w:val="-6"/>
          <w:sz w:val="24"/>
          <w:szCs w:val="24"/>
        </w:rPr>
        <w:t>通用合同条款本款增加</w:t>
      </w:r>
      <w:r>
        <w:rPr>
          <w:rFonts w:ascii="宋体" w:hAnsi="宋体" w:eastAsia="宋体" w:cs="宋体"/>
          <w:spacing w:val="-23"/>
          <w:sz w:val="24"/>
          <w:szCs w:val="24"/>
        </w:rPr>
        <w:t xml:space="preserve"> </w:t>
      </w:r>
      <w:r>
        <w:rPr>
          <w:rFonts w:ascii="宋体" w:hAnsi="宋体" w:eastAsia="宋体" w:cs="宋体"/>
          <w:b/>
          <w:bCs/>
          <w:spacing w:val="-6"/>
          <w:sz w:val="24"/>
          <w:szCs w:val="24"/>
        </w:rPr>
        <w:t>1.1.1.10</w:t>
      </w:r>
      <w:r>
        <w:rPr>
          <w:rFonts w:ascii="宋体" w:hAnsi="宋体" w:eastAsia="宋体" w:cs="宋体"/>
          <w:spacing w:val="-49"/>
          <w:sz w:val="24"/>
          <w:szCs w:val="24"/>
        </w:rPr>
        <w:t xml:space="preserve"> </w:t>
      </w:r>
      <w:r>
        <w:rPr>
          <w:rFonts w:ascii="宋体" w:hAnsi="宋体" w:eastAsia="宋体" w:cs="宋体"/>
          <w:b/>
          <w:bCs/>
          <w:spacing w:val="-6"/>
          <w:sz w:val="24"/>
          <w:szCs w:val="24"/>
        </w:rPr>
        <w:t>至</w:t>
      </w:r>
      <w:r>
        <w:rPr>
          <w:rFonts w:ascii="宋体" w:hAnsi="宋体" w:eastAsia="宋体" w:cs="宋体"/>
          <w:spacing w:val="-33"/>
          <w:sz w:val="24"/>
          <w:szCs w:val="24"/>
        </w:rPr>
        <w:t xml:space="preserve"> </w:t>
      </w:r>
      <w:r>
        <w:rPr>
          <w:rFonts w:ascii="宋体" w:hAnsi="宋体" w:eastAsia="宋体" w:cs="宋体"/>
          <w:b/>
          <w:bCs/>
          <w:spacing w:val="-6"/>
          <w:sz w:val="24"/>
          <w:szCs w:val="24"/>
        </w:rPr>
        <w:t>1.1.1.12</w:t>
      </w:r>
      <w:r>
        <w:rPr>
          <w:rFonts w:ascii="宋体" w:hAnsi="宋体" w:eastAsia="宋体" w:cs="宋体"/>
          <w:spacing w:val="-6"/>
          <w:sz w:val="24"/>
          <w:szCs w:val="24"/>
        </w:rPr>
        <w:t xml:space="preserve"> </w:t>
      </w:r>
      <w:r>
        <w:rPr>
          <w:rFonts w:ascii="宋体" w:hAnsi="宋体" w:eastAsia="宋体" w:cs="宋体"/>
          <w:b/>
          <w:bCs/>
          <w:spacing w:val="-6"/>
          <w:sz w:val="24"/>
          <w:szCs w:val="24"/>
        </w:rPr>
        <w:t>目的内容：</w:t>
      </w:r>
    </w:p>
    <w:p w14:paraId="65642473">
      <w:pPr>
        <w:spacing w:before="184" w:line="359" w:lineRule="auto"/>
        <w:ind w:left="28" w:right="67" w:firstLine="478"/>
        <w:rPr>
          <w:rFonts w:ascii="宋体" w:hAnsi="宋体" w:eastAsia="宋体" w:cs="宋体"/>
          <w:sz w:val="24"/>
          <w:szCs w:val="24"/>
        </w:rPr>
      </w:pPr>
      <w:r>
        <w:rPr>
          <w:rFonts w:ascii="宋体" w:hAnsi="宋体" w:eastAsia="宋体" w:cs="宋体"/>
          <w:spacing w:val="-1"/>
          <w:sz w:val="24"/>
          <w:szCs w:val="24"/>
        </w:rPr>
        <w:t>1.1.1.10 补遗书：指发出招标文件之后由招标人向已取得招标文件的投标人发出的对招标文件补充或修改的书面文件。补遗书是招标文件的组成部分。</w:t>
      </w:r>
    </w:p>
    <w:p w14:paraId="042F56A1">
      <w:pPr>
        <w:spacing w:line="359" w:lineRule="auto"/>
        <w:ind w:left="9" w:right="67" w:firstLine="496"/>
        <w:rPr>
          <w:rFonts w:ascii="宋体" w:hAnsi="宋体" w:eastAsia="宋体" w:cs="宋体"/>
          <w:sz w:val="24"/>
          <w:szCs w:val="24"/>
        </w:rPr>
      </w:pPr>
      <w:r>
        <w:rPr>
          <w:rFonts w:ascii="宋体" w:hAnsi="宋体" w:eastAsia="宋体" w:cs="宋体"/>
          <w:spacing w:val="-1"/>
          <w:sz w:val="24"/>
          <w:szCs w:val="24"/>
        </w:rPr>
        <w:t>1.1.1.11</w:t>
      </w:r>
      <w:r>
        <w:rPr>
          <w:rFonts w:ascii="宋体" w:hAnsi="宋体" w:eastAsia="宋体" w:cs="宋体"/>
          <w:spacing w:val="30"/>
          <w:sz w:val="24"/>
          <w:szCs w:val="24"/>
        </w:rPr>
        <w:t xml:space="preserve"> </w:t>
      </w:r>
      <w:r>
        <w:rPr>
          <w:rFonts w:ascii="宋体" w:hAnsi="宋体" w:eastAsia="宋体" w:cs="宋体"/>
          <w:spacing w:val="-1"/>
          <w:sz w:val="24"/>
          <w:szCs w:val="24"/>
        </w:rPr>
        <w:t>固定总价合同：在合同执</w:t>
      </w:r>
      <w:r>
        <w:rPr>
          <w:rFonts w:ascii="宋体" w:hAnsi="宋体" w:eastAsia="宋体" w:cs="宋体"/>
          <w:spacing w:val="-2"/>
          <w:sz w:val="24"/>
          <w:szCs w:val="24"/>
        </w:rPr>
        <w:t>行过程中，除约定的风险范围外，不得调整总</w:t>
      </w:r>
      <w:r>
        <w:rPr>
          <w:rFonts w:ascii="宋体" w:hAnsi="宋体" w:eastAsia="宋体" w:cs="宋体"/>
          <w:spacing w:val="-3"/>
          <w:sz w:val="24"/>
          <w:szCs w:val="24"/>
        </w:rPr>
        <w:t>价的合同。</w:t>
      </w:r>
    </w:p>
    <w:p w14:paraId="698E87A5">
      <w:pPr>
        <w:spacing w:line="359" w:lineRule="auto"/>
        <w:ind w:left="8" w:right="67" w:firstLine="497"/>
        <w:rPr>
          <w:rFonts w:ascii="宋体" w:hAnsi="宋体" w:eastAsia="宋体" w:cs="宋体"/>
          <w:sz w:val="24"/>
          <w:szCs w:val="24"/>
        </w:rPr>
      </w:pPr>
      <w:r>
        <w:rPr>
          <w:rFonts w:ascii="宋体" w:hAnsi="宋体" w:eastAsia="宋体" w:cs="宋体"/>
          <w:spacing w:val="-1"/>
          <w:sz w:val="24"/>
          <w:szCs w:val="24"/>
        </w:rPr>
        <w:t>1.1.1.12</w:t>
      </w:r>
      <w:r>
        <w:rPr>
          <w:rFonts w:ascii="宋体" w:hAnsi="宋体" w:eastAsia="宋体" w:cs="宋体"/>
          <w:spacing w:val="30"/>
          <w:sz w:val="24"/>
          <w:szCs w:val="24"/>
        </w:rPr>
        <w:t xml:space="preserve"> </w:t>
      </w:r>
      <w:r>
        <w:rPr>
          <w:rFonts w:ascii="宋体" w:hAnsi="宋体" w:eastAsia="宋体" w:cs="宋体"/>
          <w:spacing w:val="-1"/>
          <w:sz w:val="24"/>
          <w:szCs w:val="24"/>
        </w:rPr>
        <w:t>固定单价合同：在合同执</w:t>
      </w:r>
      <w:r>
        <w:rPr>
          <w:rFonts w:ascii="宋体" w:hAnsi="宋体" w:eastAsia="宋体" w:cs="宋体"/>
          <w:spacing w:val="-2"/>
          <w:sz w:val="24"/>
          <w:szCs w:val="24"/>
        </w:rPr>
        <w:t>行过程中，除约定的风险范围外，合同工程量</w:t>
      </w:r>
      <w:r>
        <w:rPr>
          <w:rFonts w:ascii="宋体" w:hAnsi="宋体" w:eastAsia="宋体" w:cs="宋体"/>
          <w:spacing w:val="-1"/>
          <w:sz w:val="24"/>
          <w:szCs w:val="24"/>
        </w:rPr>
        <w:t>清单中不得调整单价的合同。</w:t>
      </w:r>
    </w:p>
    <w:p w14:paraId="5347D5B5">
      <w:pPr>
        <w:spacing w:line="220" w:lineRule="auto"/>
        <w:ind w:left="506"/>
        <w:rPr>
          <w:rFonts w:ascii="宋体" w:hAnsi="宋体" w:eastAsia="宋体" w:cs="宋体"/>
          <w:sz w:val="24"/>
          <w:szCs w:val="24"/>
        </w:rPr>
      </w:pPr>
      <w:r>
        <w:rPr>
          <w:rFonts w:ascii="宋体" w:hAnsi="宋体" w:eastAsia="宋体" w:cs="宋体"/>
          <w:spacing w:val="-2"/>
          <w:sz w:val="24"/>
          <w:szCs w:val="24"/>
        </w:rPr>
        <w:t>1.1.2 合同当事人和人员</w:t>
      </w:r>
    </w:p>
    <w:p w14:paraId="552C916E">
      <w:pPr>
        <w:spacing w:before="179" w:line="219" w:lineRule="auto"/>
        <w:ind w:left="506"/>
        <w:rPr>
          <w:rFonts w:ascii="宋体" w:hAnsi="宋体" w:eastAsia="宋体" w:cs="宋体"/>
          <w:sz w:val="24"/>
          <w:szCs w:val="24"/>
        </w:rPr>
      </w:pPr>
      <w:r>
        <w:rPr>
          <w:rFonts w:ascii="宋体" w:hAnsi="宋体" w:eastAsia="宋体" w:cs="宋体"/>
          <w:spacing w:val="-2"/>
          <w:sz w:val="24"/>
          <w:szCs w:val="24"/>
        </w:rPr>
        <w:t>1.1.2.2 发包人：本合同专指</w:t>
      </w:r>
      <w:r>
        <w:rPr>
          <w:rFonts w:ascii="宋体" w:hAnsi="宋体" w:eastAsia="宋体" w:cs="宋体"/>
          <w:sz w:val="24"/>
          <w:szCs w:val="24"/>
          <w:u w:val="single" w:color="auto"/>
        </w:rPr>
        <w:t xml:space="preserve">                    </w:t>
      </w:r>
    </w:p>
    <w:p w14:paraId="25D65E46">
      <w:pPr>
        <w:spacing w:before="184" w:line="219" w:lineRule="auto"/>
        <w:ind w:left="506"/>
        <w:rPr>
          <w:rFonts w:ascii="宋体" w:hAnsi="宋体" w:eastAsia="宋体" w:cs="宋体"/>
          <w:sz w:val="24"/>
          <w:szCs w:val="24"/>
        </w:rPr>
      </w:pPr>
      <w:r>
        <w:rPr>
          <w:rFonts w:ascii="宋体" w:hAnsi="宋体" w:eastAsia="宋体" w:cs="宋体"/>
          <w:spacing w:val="-2"/>
          <w:sz w:val="24"/>
          <w:szCs w:val="24"/>
        </w:rPr>
        <w:t>1.1.2.6 监理人：本合同专指</w:t>
      </w:r>
      <w:r>
        <w:rPr>
          <w:rFonts w:ascii="宋体" w:hAnsi="宋体" w:eastAsia="宋体" w:cs="宋体"/>
          <w:sz w:val="24"/>
          <w:szCs w:val="24"/>
          <w:u w:val="single" w:color="auto"/>
        </w:rPr>
        <w:t xml:space="preserve">                    </w:t>
      </w:r>
    </w:p>
    <w:p w14:paraId="3ECAEEFE">
      <w:pPr>
        <w:spacing w:before="184" w:line="359" w:lineRule="auto"/>
        <w:ind w:left="8" w:right="7" w:firstLine="497"/>
        <w:rPr>
          <w:rFonts w:ascii="宋体" w:hAnsi="宋体" w:eastAsia="宋体" w:cs="宋体"/>
          <w:sz w:val="24"/>
          <w:szCs w:val="24"/>
        </w:rPr>
      </w:pPr>
      <w:r>
        <w:rPr>
          <w:rFonts w:ascii="宋体" w:hAnsi="宋体" w:eastAsia="宋体" w:cs="宋体"/>
          <w:spacing w:val="-1"/>
          <w:sz w:val="24"/>
          <w:szCs w:val="24"/>
        </w:rPr>
        <w:t>1.1.2.8</w:t>
      </w:r>
      <w:r>
        <w:rPr>
          <w:rFonts w:ascii="宋体" w:hAnsi="宋体" w:eastAsia="宋体" w:cs="宋体"/>
          <w:spacing w:val="-48"/>
          <w:sz w:val="24"/>
          <w:szCs w:val="24"/>
        </w:rPr>
        <w:t xml:space="preserve"> </w:t>
      </w:r>
      <w:r>
        <w:rPr>
          <w:rFonts w:ascii="宋体" w:hAnsi="宋体" w:eastAsia="宋体" w:cs="宋体"/>
          <w:spacing w:val="-1"/>
          <w:sz w:val="24"/>
          <w:szCs w:val="24"/>
        </w:rPr>
        <w:t>工程建设项目代理人：指受发包人委托，具有相应资质及法定代理委</w:t>
      </w:r>
      <w:r>
        <w:rPr>
          <w:rFonts w:ascii="宋体" w:hAnsi="宋体" w:eastAsia="宋体" w:cs="宋体"/>
          <w:spacing w:val="-2"/>
          <w:sz w:val="24"/>
          <w:szCs w:val="24"/>
        </w:rPr>
        <w:t>托资</w:t>
      </w:r>
      <w:r>
        <w:rPr>
          <w:rFonts w:ascii="宋体" w:hAnsi="宋体" w:eastAsia="宋体" w:cs="宋体"/>
          <w:spacing w:val="-1"/>
          <w:sz w:val="24"/>
          <w:szCs w:val="24"/>
        </w:rPr>
        <w:t>格，代表发包人负责管理本合同的企业法人。</w:t>
      </w:r>
    </w:p>
    <w:p w14:paraId="6071A3CD">
      <w:pPr>
        <w:spacing w:line="359" w:lineRule="auto"/>
        <w:ind w:left="31" w:firstLine="474"/>
        <w:rPr>
          <w:rFonts w:ascii="宋体" w:hAnsi="宋体" w:eastAsia="宋体" w:cs="宋体"/>
          <w:sz w:val="24"/>
          <w:szCs w:val="24"/>
        </w:rPr>
      </w:pPr>
      <w:r>
        <w:rPr>
          <w:rFonts w:ascii="宋体" w:hAnsi="宋体" w:eastAsia="宋体" w:cs="宋体"/>
          <w:spacing w:val="-1"/>
          <w:sz w:val="24"/>
          <w:szCs w:val="24"/>
        </w:rPr>
        <w:t>1.1.2.9</w:t>
      </w:r>
      <w:r>
        <w:rPr>
          <w:rFonts w:ascii="宋体" w:hAnsi="宋体" w:eastAsia="宋体" w:cs="宋体"/>
          <w:spacing w:val="-38"/>
          <w:sz w:val="24"/>
          <w:szCs w:val="24"/>
        </w:rPr>
        <w:t xml:space="preserve"> </w:t>
      </w:r>
      <w:r>
        <w:rPr>
          <w:rFonts w:ascii="宋体" w:hAnsi="宋体" w:eastAsia="宋体" w:cs="宋体"/>
          <w:spacing w:val="-1"/>
          <w:sz w:val="24"/>
          <w:szCs w:val="24"/>
        </w:rPr>
        <w:t>发包人代表：指发包人代表</w:t>
      </w:r>
      <w:r>
        <w:rPr>
          <w:rFonts w:ascii="宋体" w:hAnsi="宋体" w:eastAsia="宋体" w:cs="宋体"/>
          <w:spacing w:val="-2"/>
          <w:sz w:val="24"/>
          <w:szCs w:val="24"/>
        </w:rPr>
        <w:t>（或称发包人驻地代表</w:t>
      </w:r>
      <w:r>
        <w:rPr>
          <w:rFonts w:ascii="宋体" w:hAnsi="宋体" w:eastAsia="宋体" w:cs="宋体"/>
          <w:spacing w:val="6"/>
          <w:sz w:val="24"/>
          <w:szCs w:val="24"/>
        </w:rPr>
        <w:t>），</w:t>
      </w:r>
      <w:r>
        <w:rPr>
          <w:rFonts w:ascii="宋体" w:hAnsi="宋体" w:eastAsia="宋体" w:cs="宋体"/>
          <w:spacing w:val="-2"/>
          <w:sz w:val="24"/>
          <w:szCs w:val="24"/>
        </w:rPr>
        <w:t>是发包人派出到合同段执行发包人授予的一定权力及职责的现场管理人员。</w:t>
      </w:r>
    </w:p>
    <w:p w14:paraId="5BF8D924">
      <w:pPr>
        <w:spacing w:line="220" w:lineRule="auto"/>
        <w:ind w:left="506"/>
        <w:rPr>
          <w:rFonts w:ascii="宋体" w:hAnsi="宋体" w:eastAsia="宋体" w:cs="宋体"/>
          <w:sz w:val="24"/>
          <w:szCs w:val="24"/>
        </w:rPr>
      </w:pPr>
      <w:r>
        <w:rPr>
          <w:rFonts w:ascii="宋体" w:hAnsi="宋体" w:eastAsia="宋体" w:cs="宋体"/>
          <w:spacing w:val="-3"/>
          <w:sz w:val="24"/>
          <w:szCs w:val="24"/>
        </w:rPr>
        <w:t>1.1.3 工程和设备</w:t>
      </w:r>
    </w:p>
    <w:p w14:paraId="2A61BF3C">
      <w:pPr>
        <w:spacing w:before="179" w:line="219" w:lineRule="auto"/>
        <w:ind w:left="506"/>
        <w:rPr>
          <w:rFonts w:ascii="宋体" w:hAnsi="宋体" w:eastAsia="宋体" w:cs="宋体"/>
          <w:sz w:val="24"/>
          <w:szCs w:val="24"/>
        </w:rPr>
      </w:pPr>
      <w:r>
        <w:rPr>
          <w:rFonts w:ascii="宋体" w:hAnsi="宋体" w:eastAsia="宋体" w:cs="宋体"/>
          <w:spacing w:val="-1"/>
          <w:sz w:val="24"/>
          <w:szCs w:val="24"/>
        </w:rPr>
        <w:t>1.1.3.4 单位工程：本合同的单位工程包括：</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4289915">
      <w:pPr>
        <w:spacing w:before="183" w:line="219" w:lineRule="auto"/>
        <w:ind w:left="506"/>
        <w:rPr>
          <w:rFonts w:ascii="宋体" w:hAnsi="宋体" w:eastAsia="宋体" w:cs="宋体"/>
          <w:sz w:val="24"/>
          <w:szCs w:val="24"/>
        </w:rPr>
      </w:pPr>
      <w:r>
        <w:rPr>
          <w:rFonts w:ascii="宋体" w:hAnsi="宋体" w:eastAsia="宋体" w:cs="宋体"/>
          <w:spacing w:val="-1"/>
          <w:sz w:val="24"/>
          <w:szCs w:val="24"/>
        </w:rPr>
        <w:t>1.1.3.10 永久占地：</w:t>
      </w:r>
      <w:r>
        <w:rPr>
          <w:rFonts w:ascii="宋体" w:hAnsi="宋体" w:eastAsia="宋体" w:cs="宋体"/>
          <w:spacing w:val="-1"/>
          <w:sz w:val="24"/>
          <w:szCs w:val="24"/>
          <w:u w:val="single" w:color="auto"/>
        </w:rPr>
        <w:t>按本合同有关批</w:t>
      </w:r>
      <w:r>
        <w:rPr>
          <w:rFonts w:ascii="宋体" w:hAnsi="宋体" w:eastAsia="宋体" w:cs="宋体"/>
          <w:spacing w:val="-2"/>
          <w:sz w:val="24"/>
          <w:szCs w:val="24"/>
          <w:u w:val="single" w:color="auto"/>
        </w:rPr>
        <w:t>准文件</w:t>
      </w:r>
      <w:r>
        <w:rPr>
          <w:rFonts w:ascii="宋体" w:hAnsi="宋体" w:eastAsia="宋体" w:cs="宋体"/>
          <w:spacing w:val="-2"/>
          <w:sz w:val="24"/>
          <w:szCs w:val="24"/>
        </w:rPr>
        <w:t>。</w:t>
      </w:r>
    </w:p>
    <w:p w14:paraId="04F9C3A3">
      <w:pPr>
        <w:spacing w:before="182" w:line="219" w:lineRule="auto"/>
        <w:ind w:left="506"/>
        <w:rPr>
          <w:rFonts w:ascii="宋体" w:hAnsi="宋体" w:eastAsia="宋体" w:cs="宋体"/>
          <w:sz w:val="24"/>
          <w:szCs w:val="24"/>
        </w:rPr>
      </w:pPr>
      <w:r>
        <w:rPr>
          <w:rFonts w:ascii="宋体" w:hAnsi="宋体" w:eastAsia="宋体" w:cs="宋体"/>
          <w:spacing w:val="-1"/>
          <w:sz w:val="24"/>
          <w:szCs w:val="24"/>
        </w:rPr>
        <w:t>1.1.3.11 临时占地：</w:t>
      </w:r>
      <w:r>
        <w:rPr>
          <w:rFonts w:ascii="宋体" w:hAnsi="宋体" w:eastAsia="宋体" w:cs="宋体"/>
          <w:spacing w:val="-1"/>
          <w:sz w:val="24"/>
          <w:szCs w:val="24"/>
          <w:u w:val="single" w:color="auto"/>
        </w:rPr>
        <w:t>除合同另有约定外，由承包人自行解决</w:t>
      </w:r>
      <w:r>
        <w:rPr>
          <w:rFonts w:ascii="宋体" w:hAnsi="宋体" w:eastAsia="宋体" w:cs="宋体"/>
          <w:spacing w:val="-1"/>
          <w:sz w:val="24"/>
          <w:szCs w:val="24"/>
        </w:rPr>
        <w:t>。</w:t>
      </w:r>
    </w:p>
    <w:p w14:paraId="73B9DB57">
      <w:pPr>
        <w:spacing w:before="183" w:line="219" w:lineRule="auto"/>
        <w:ind w:left="506"/>
        <w:rPr>
          <w:rFonts w:ascii="宋体" w:hAnsi="宋体" w:eastAsia="宋体" w:cs="宋体"/>
          <w:sz w:val="24"/>
          <w:szCs w:val="24"/>
        </w:rPr>
      </w:pPr>
      <w:r>
        <w:rPr>
          <w:rFonts w:ascii="宋体" w:hAnsi="宋体" w:eastAsia="宋体" w:cs="宋体"/>
          <w:b/>
          <w:bCs/>
          <w:spacing w:val="-4"/>
          <w:sz w:val="24"/>
          <w:szCs w:val="24"/>
        </w:rPr>
        <w:t>1.4</w:t>
      </w:r>
      <w:r>
        <w:rPr>
          <w:rFonts w:ascii="宋体" w:hAnsi="宋体" w:eastAsia="宋体" w:cs="宋体"/>
          <w:spacing w:val="-4"/>
          <w:sz w:val="24"/>
          <w:szCs w:val="24"/>
        </w:rPr>
        <w:t xml:space="preserve"> </w:t>
      </w:r>
      <w:r>
        <w:rPr>
          <w:rFonts w:ascii="宋体" w:hAnsi="宋体" w:eastAsia="宋体" w:cs="宋体"/>
          <w:b/>
          <w:bCs/>
          <w:spacing w:val="-4"/>
          <w:sz w:val="24"/>
          <w:szCs w:val="24"/>
        </w:rPr>
        <w:t>合同文件的优先顺序</w:t>
      </w:r>
    </w:p>
    <w:p w14:paraId="0E78D07D">
      <w:pPr>
        <w:spacing w:before="181" w:line="219" w:lineRule="auto"/>
        <w:ind w:left="491"/>
        <w:rPr>
          <w:rFonts w:ascii="宋体" w:hAnsi="宋体" w:eastAsia="宋体" w:cs="宋体"/>
          <w:sz w:val="24"/>
          <w:szCs w:val="24"/>
        </w:rPr>
      </w:pPr>
      <w:r>
        <w:rPr>
          <w:rFonts w:ascii="宋体" w:hAnsi="宋体" w:eastAsia="宋体" w:cs="宋体"/>
          <w:sz w:val="24"/>
          <w:szCs w:val="24"/>
        </w:rPr>
        <w:t>组成合同的各项文件应互相解释，互为说明，</w:t>
      </w:r>
      <w:r>
        <w:rPr>
          <w:rFonts w:ascii="宋体" w:hAnsi="宋体" w:eastAsia="宋体" w:cs="宋体"/>
          <w:spacing w:val="-1"/>
          <w:sz w:val="24"/>
          <w:szCs w:val="24"/>
        </w:rPr>
        <w:t>解释合同文件的优先顺序如下：</w:t>
      </w:r>
    </w:p>
    <w:p w14:paraId="04D4C0E5">
      <w:pPr>
        <w:spacing w:before="182" w:line="359" w:lineRule="auto"/>
        <w:ind w:left="8" w:firstLine="491"/>
        <w:rPr>
          <w:rFonts w:ascii="宋体" w:hAnsi="宋体" w:eastAsia="宋体" w:cs="宋体"/>
          <w:sz w:val="24"/>
          <w:szCs w:val="24"/>
        </w:rPr>
      </w:pPr>
      <w:r>
        <w:rPr>
          <w:rFonts w:ascii="宋体" w:hAnsi="宋体" w:eastAsia="宋体" w:cs="宋体"/>
          <w:spacing w:val="-1"/>
          <w:sz w:val="24"/>
          <w:szCs w:val="24"/>
        </w:rPr>
        <w:t>（1）合同协议书及各种合同附件（包括廉政合同、安全生产合同、建设工程农民</w:t>
      </w:r>
      <w:r>
        <w:rPr>
          <w:rFonts w:ascii="宋体" w:hAnsi="宋体" w:eastAsia="宋体" w:cs="宋体"/>
          <w:spacing w:val="-2"/>
          <w:sz w:val="24"/>
          <w:szCs w:val="24"/>
        </w:rPr>
        <w:t>工工资支付保证书、工程资金监管协议、评标期间的澄清文件和补充资料、以及合同谈</w:t>
      </w:r>
      <w:r>
        <w:rPr>
          <w:rFonts w:ascii="宋体" w:hAnsi="宋体" w:eastAsia="宋体" w:cs="宋体"/>
          <w:spacing w:val="-1"/>
          <w:sz w:val="24"/>
          <w:szCs w:val="24"/>
        </w:rPr>
        <w:t>判过程中双方签署的相关文件或纪要</w:t>
      </w:r>
      <w:r>
        <w:rPr>
          <w:rFonts w:ascii="宋体" w:hAnsi="宋体" w:eastAsia="宋体" w:cs="宋体"/>
          <w:spacing w:val="2"/>
          <w:sz w:val="24"/>
          <w:szCs w:val="24"/>
        </w:rPr>
        <w:t>）；</w:t>
      </w:r>
    </w:p>
    <w:p w14:paraId="14465063">
      <w:pPr>
        <w:spacing w:before="1" w:line="218" w:lineRule="auto"/>
        <w:ind w:left="499"/>
        <w:rPr>
          <w:rFonts w:ascii="宋体" w:hAnsi="宋体" w:eastAsia="宋体" w:cs="宋体"/>
          <w:sz w:val="24"/>
          <w:szCs w:val="24"/>
        </w:rPr>
      </w:pPr>
      <w:r>
        <w:rPr>
          <w:rFonts w:ascii="宋体" w:hAnsi="宋体" w:eastAsia="宋体" w:cs="宋体"/>
          <w:spacing w:val="-3"/>
          <w:sz w:val="24"/>
          <w:szCs w:val="24"/>
        </w:rPr>
        <w:t>（2）中标通知书；</w:t>
      </w:r>
    </w:p>
    <w:p w14:paraId="51D14A04">
      <w:pPr>
        <w:spacing w:before="183" w:line="219" w:lineRule="auto"/>
        <w:ind w:left="499"/>
        <w:rPr>
          <w:rFonts w:ascii="宋体" w:hAnsi="宋体" w:eastAsia="宋体" w:cs="宋体"/>
          <w:sz w:val="24"/>
          <w:szCs w:val="24"/>
        </w:rPr>
      </w:pPr>
      <w:r>
        <w:rPr>
          <w:rFonts w:ascii="宋体" w:hAnsi="宋体" w:eastAsia="宋体" w:cs="宋体"/>
          <w:spacing w:val="-2"/>
          <w:sz w:val="24"/>
          <w:szCs w:val="24"/>
        </w:rPr>
        <w:t>（3）投标函及投标函附录；</w:t>
      </w:r>
    </w:p>
    <w:p w14:paraId="7CA7B508">
      <w:pPr>
        <w:spacing w:before="185" w:line="219" w:lineRule="auto"/>
        <w:ind w:left="499"/>
        <w:rPr>
          <w:rFonts w:ascii="宋体" w:hAnsi="宋体" w:eastAsia="宋体" w:cs="宋体"/>
          <w:sz w:val="24"/>
          <w:szCs w:val="24"/>
        </w:rPr>
      </w:pPr>
      <w:r>
        <w:rPr>
          <w:rFonts w:ascii="宋体" w:hAnsi="宋体" w:eastAsia="宋体" w:cs="宋体"/>
          <w:spacing w:val="-3"/>
          <w:sz w:val="24"/>
          <w:szCs w:val="24"/>
        </w:rPr>
        <w:t>（4）专用合同条款；</w:t>
      </w:r>
    </w:p>
    <w:p w14:paraId="058F97DC">
      <w:pPr>
        <w:spacing w:before="312" w:line="219" w:lineRule="auto"/>
        <w:ind w:left="499"/>
        <w:rPr>
          <w:rFonts w:ascii="宋体" w:hAnsi="宋体" w:eastAsia="宋体" w:cs="宋体"/>
          <w:sz w:val="24"/>
          <w:szCs w:val="24"/>
        </w:rPr>
      </w:pPr>
      <w:r>
        <w:rPr>
          <w:rFonts w:ascii="宋体" w:hAnsi="宋体" w:eastAsia="宋体" w:cs="宋体"/>
          <w:spacing w:val="-3"/>
          <w:sz w:val="24"/>
          <w:szCs w:val="24"/>
        </w:rPr>
        <w:br w:type="page"/>
      </w:r>
      <w:r>
        <w:rPr>
          <w:rFonts w:ascii="宋体" w:hAnsi="宋体" w:eastAsia="宋体" w:cs="宋体"/>
          <w:spacing w:val="-3"/>
          <w:sz w:val="24"/>
          <w:szCs w:val="24"/>
        </w:rPr>
        <w:t>（5）通用合同条款；</w:t>
      </w:r>
    </w:p>
    <w:p w14:paraId="5D21D0D2">
      <w:pPr>
        <w:spacing w:before="180" w:line="219" w:lineRule="auto"/>
        <w:ind w:left="499"/>
        <w:rPr>
          <w:rFonts w:ascii="宋体" w:hAnsi="宋体" w:eastAsia="宋体" w:cs="宋体"/>
          <w:sz w:val="24"/>
          <w:szCs w:val="24"/>
        </w:rPr>
      </w:pPr>
      <w:r>
        <w:rPr>
          <w:rFonts w:ascii="宋体" w:hAnsi="宋体" w:eastAsia="宋体" w:cs="宋体"/>
          <w:spacing w:val="-2"/>
          <w:sz w:val="24"/>
          <w:szCs w:val="24"/>
        </w:rPr>
        <w:t>（6）技术标准和要求；</w:t>
      </w:r>
    </w:p>
    <w:p w14:paraId="0147E293">
      <w:pPr>
        <w:spacing w:before="182" w:line="221" w:lineRule="auto"/>
        <w:ind w:left="499"/>
        <w:rPr>
          <w:rFonts w:ascii="宋体" w:hAnsi="宋体" w:eastAsia="宋体" w:cs="宋体"/>
          <w:sz w:val="24"/>
          <w:szCs w:val="24"/>
        </w:rPr>
      </w:pPr>
      <w:r>
        <w:rPr>
          <w:rFonts w:ascii="宋体" w:hAnsi="宋体" w:eastAsia="宋体" w:cs="宋体"/>
          <w:spacing w:val="-4"/>
          <w:sz w:val="24"/>
          <w:szCs w:val="24"/>
        </w:rPr>
        <w:t>（7）图纸；</w:t>
      </w:r>
    </w:p>
    <w:p w14:paraId="265B2504">
      <w:pPr>
        <w:spacing w:before="178" w:line="218" w:lineRule="auto"/>
        <w:ind w:left="499"/>
        <w:rPr>
          <w:rFonts w:ascii="宋体" w:hAnsi="宋体" w:eastAsia="宋体" w:cs="宋体"/>
          <w:sz w:val="24"/>
          <w:szCs w:val="24"/>
        </w:rPr>
      </w:pPr>
      <w:r>
        <w:rPr>
          <w:rFonts w:ascii="宋体" w:hAnsi="宋体" w:eastAsia="宋体" w:cs="宋体"/>
          <w:spacing w:val="-2"/>
          <w:sz w:val="24"/>
          <w:szCs w:val="24"/>
        </w:rPr>
        <w:t>（8）已标价工程量清单；</w:t>
      </w:r>
    </w:p>
    <w:p w14:paraId="59783F0D">
      <w:pPr>
        <w:spacing w:before="185" w:line="219" w:lineRule="auto"/>
        <w:ind w:left="499"/>
        <w:rPr>
          <w:rFonts w:ascii="宋体" w:hAnsi="宋体" w:eastAsia="宋体" w:cs="宋体"/>
          <w:sz w:val="24"/>
          <w:szCs w:val="24"/>
        </w:rPr>
      </w:pPr>
      <w:r>
        <w:rPr>
          <w:rFonts w:ascii="宋体" w:hAnsi="宋体" w:eastAsia="宋体" w:cs="宋体"/>
          <w:spacing w:val="-3"/>
          <w:sz w:val="24"/>
          <w:szCs w:val="24"/>
        </w:rPr>
        <w:t>（9）其他合同文件。</w:t>
      </w:r>
    </w:p>
    <w:p w14:paraId="3590427E">
      <w:pPr>
        <w:spacing w:before="180" w:line="219" w:lineRule="auto"/>
        <w:ind w:left="506"/>
        <w:rPr>
          <w:rFonts w:ascii="宋体" w:hAnsi="宋体" w:eastAsia="宋体" w:cs="宋体"/>
          <w:sz w:val="24"/>
          <w:szCs w:val="24"/>
        </w:rPr>
      </w:pPr>
      <w:r>
        <w:rPr>
          <w:rFonts w:ascii="宋体" w:hAnsi="宋体" w:eastAsia="宋体" w:cs="宋体"/>
          <w:b/>
          <w:bCs/>
          <w:spacing w:val="-5"/>
          <w:sz w:val="24"/>
          <w:szCs w:val="24"/>
        </w:rPr>
        <w:t>1.5</w:t>
      </w:r>
      <w:r>
        <w:rPr>
          <w:rFonts w:ascii="宋体" w:hAnsi="宋体" w:eastAsia="宋体" w:cs="宋体"/>
          <w:spacing w:val="-5"/>
          <w:sz w:val="24"/>
          <w:szCs w:val="24"/>
        </w:rPr>
        <w:t xml:space="preserve"> </w:t>
      </w:r>
      <w:r>
        <w:rPr>
          <w:rFonts w:ascii="宋体" w:hAnsi="宋体" w:eastAsia="宋体" w:cs="宋体"/>
          <w:b/>
          <w:bCs/>
          <w:spacing w:val="-5"/>
          <w:sz w:val="24"/>
          <w:szCs w:val="24"/>
        </w:rPr>
        <w:t>合同协议书</w:t>
      </w:r>
    </w:p>
    <w:p w14:paraId="68D3D995">
      <w:pPr>
        <w:spacing w:before="184" w:line="218" w:lineRule="auto"/>
        <w:ind w:left="506"/>
        <w:rPr>
          <w:rFonts w:ascii="宋体" w:hAnsi="宋体" w:eastAsia="宋体" w:cs="宋体"/>
          <w:sz w:val="24"/>
          <w:szCs w:val="24"/>
        </w:rPr>
      </w:pPr>
      <w:r>
        <w:rPr>
          <w:rFonts w:ascii="宋体" w:hAnsi="宋体" w:eastAsia="宋体" w:cs="宋体"/>
          <w:spacing w:val="-3"/>
          <w:sz w:val="24"/>
          <w:szCs w:val="24"/>
        </w:rPr>
        <w:t>1.5.1 合同价格和费用</w:t>
      </w:r>
    </w:p>
    <w:p w14:paraId="1A3550FB">
      <w:pPr>
        <w:spacing w:before="182" w:line="359" w:lineRule="auto"/>
        <w:ind w:left="11" w:firstLine="478"/>
        <w:rPr>
          <w:rFonts w:ascii="宋体" w:hAnsi="宋体" w:eastAsia="宋体" w:cs="宋体"/>
          <w:sz w:val="24"/>
          <w:szCs w:val="24"/>
        </w:rPr>
      </w:pPr>
      <w:r>
        <w:rPr>
          <w:rFonts w:ascii="宋体" w:hAnsi="宋体" w:eastAsia="宋体" w:cs="宋体"/>
          <w:spacing w:val="-2"/>
          <w:sz w:val="24"/>
          <w:szCs w:val="24"/>
        </w:rPr>
        <w:t>本合同的承包价格和费用，包括承包人按照合同约定应当完成的全部合同范围内的</w:t>
      </w:r>
      <w:r>
        <w:rPr>
          <w:rFonts w:ascii="宋体" w:hAnsi="宋体" w:eastAsia="宋体" w:cs="宋体"/>
          <w:spacing w:val="-1"/>
          <w:sz w:val="24"/>
          <w:szCs w:val="24"/>
        </w:rPr>
        <w:t>工作及缺陷责任期内的全部工作。</w:t>
      </w:r>
    </w:p>
    <w:p w14:paraId="3DB05F39">
      <w:pPr>
        <w:spacing w:before="1" w:line="217" w:lineRule="auto"/>
        <w:ind w:left="488"/>
        <w:rPr>
          <w:rFonts w:ascii="宋体" w:hAnsi="宋体" w:eastAsia="宋体" w:cs="宋体"/>
          <w:sz w:val="24"/>
          <w:szCs w:val="24"/>
        </w:rPr>
      </w:pPr>
      <w:r>
        <w:rPr>
          <w:rFonts w:ascii="宋体" w:hAnsi="宋体" w:eastAsia="宋体" w:cs="宋体"/>
          <w:spacing w:val="-1"/>
          <w:sz w:val="24"/>
          <w:szCs w:val="24"/>
        </w:rPr>
        <w:t>承包人按以下</w:t>
      </w:r>
      <w:r>
        <w:rPr>
          <w:rFonts w:ascii="宋体" w:hAnsi="宋体" w:eastAsia="宋体" w:cs="宋体"/>
          <w:spacing w:val="-1"/>
          <w:sz w:val="24"/>
          <w:szCs w:val="24"/>
          <w:u w:val="single" w:color="auto"/>
        </w:rPr>
        <w:t xml:space="preserve">               </w:t>
      </w:r>
      <w:r>
        <w:rPr>
          <w:rFonts w:ascii="宋体" w:hAnsi="宋体" w:eastAsia="宋体" w:cs="宋体"/>
          <w:spacing w:val="-99"/>
          <w:sz w:val="24"/>
          <w:szCs w:val="24"/>
        </w:rPr>
        <w:t xml:space="preserve"> </w:t>
      </w:r>
      <w:r>
        <w:rPr>
          <w:rFonts w:ascii="宋体" w:hAnsi="宋体" w:eastAsia="宋体" w:cs="宋体"/>
          <w:spacing w:val="-1"/>
          <w:sz w:val="24"/>
          <w:szCs w:val="24"/>
        </w:rPr>
        <w:t>方式确定承包合同价格：</w:t>
      </w:r>
    </w:p>
    <w:p w14:paraId="4AF1814D">
      <w:pPr>
        <w:spacing w:before="185" w:line="218" w:lineRule="auto"/>
        <w:ind w:left="499"/>
        <w:rPr>
          <w:rFonts w:ascii="宋体" w:hAnsi="宋体" w:eastAsia="宋体" w:cs="宋体"/>
          <w:sz w:val="24"/>
          <w:szCs w:val="24"/>
        </w:rPr>
      </w:pPr>
      <w:r>
        <w:rPr>
          <w:rFonts w:ascii="宋体" w:hAnsi="宋体" w:eastAsia="宋体" w:cs="宋体"/>
          <w:spacing w:val="-3"/>
          <w:sz w:val="24"/>
          <w:szCs w:val="24"/>
        </w:rPr>
        <w:t>（1）固定总价合同；</w:t>
      </w:r>
    </w:p>
    <w:p w14:paraId="7C1E7C58">
      <w:pPr>
        <w:spacing w:before="182" w:line="360" w:lineRule="auto"/>
        <w:ind w:left="499" w:right="6226"/>
        <w:rPr>
          <w:rFonts w:ascii="宋体" w:hAnsi="宋体" w:eastAsia="宋体" w:cs="宋体"/>
          <w:sz w:val="24"/>
          <w:szCs w:val="24"/>
        </w:rPr>
      </w:pPr>
      <w:r>
        <w:rPr>
          <w:rFonts w:ascii="宋体" w:hAnsi="宋体" w:eastAsia="宋体" w:cs="宋体"/>
          <w:spacing w:val="-3"/>
          <w:sz w:val="24"/>
          <w:szCs w:val="24"/>
        </w:rPr>
        <w:t>（2）固定单价合同；</w:t>
      </w:r>
      <w:r>
        <w:rPr>
          <w:rFonts w:ascii="宋体" w:hAnsi="宋体" w:eastAsia="宋体" w:cs="宋体"/>
          <w:spacing w:val="8"/>
          <w:sz w:val="24"/>
          <w:szCs w:val="24"/>
        </w:rPr>
        <w:t xml:space="preserve"> </w:t>
      </w:r>
      <w:r>
        <w:rPr>
          <w:rFonts w:ascii="宋体" w:hAnsi="宋体" w:eastAsia="宋体" w:cs="宋体"/>
          <w:spacing w:val="-11"/>
          <w:sz w:val="24"/>
          <w:szCs w:val="24"/>
        </w:rPr>
        <w:t>（3）</w:t>
      </w:r>
      <w:r>
        <w:rPr>
          <w:rFonts w:ascii="宋体" w:hAnsi="宋体" w:eastAsia="宋体" w:cs="宋体"/>
          <w:spacing w:val="-11"/>
          <w:sz w:val="24"/>
          <w:szCs w:val="24"/>
          <w:u w:val="single" w:color="auto"/>
        </w:rPr>
        <w:t xml:space="preserve">              </w:t>
      </w:r>
      <w:r>
        <w:rPr>
          <w:rFonts w:ascii="宋体" w:hAnsi="宋体" w:eastAsia="宋体" w:cs="宋体"/>
          <w:spacing w:val="-11"/>
          <w:sz w:val="24"/>
          <w:szCs w:val="24"/>
        </w:rPr>
        <w:t>。</w:t>
      </w:r>
    </w:p>
    <w:p w14:paraId="1EFF551A">
      <w:pPr>
        <w:spacing w:before="1" w:line="219" w:lineRule="auto"/>
        <w:ind w:left="506"/>
        <w:rPr>
          <w:rFonts w:ascii="宋体" w:hAnsi="宋体" w:eastAsia="宋体" w:cs="宋体"/>
          <w:sz w:val="24"/>
          <w:szCs w:val="24"/>
        </w:rPr>
      </w:pPr>
      <w:r>
        <w:rPr>
          <w:rFonts w:ascii="宋体" w:hAnsi="宋体" w:eastAsia="宋体" w:cs="宋体"/>
          <w:spacing w:val="-1"/>
          <w:sz w:val="24"/>
          <w:szCs w:val="24"/>
        </w:rPr>
        <w:t>1.5.2 合同生效的其他条件：</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0C30808">
      <w:pPr>
        <w:spacing w:before="181" w:line="219" w:lineRule="auto"/>
        <w:ind w:left="506"/>
        <w:rPr>
          <w:rFonts w:ascii="宋体" w:hAnsi="宋体" w:eastAsia="宋体" w:cs="宋体"/>
          <w:sz w:val="24"/>
          <w:szCs w:val="24"/>
        </w:rPr>
      </w:pPr>
      <w:r>
        <w:rPr>
          <w:rFonts w:ascii="宋体" w:hAnsi="宋体" w:eastAsia="宋体" w:cs="宋体"/>
          <w:b/>
          <w:bCs/>
          <w:spacing w:val="-8"/>
          <w:sz w:val="24"/>
          <w:szCs w:val="24"/>
        </w:rPr>
        <w:t>1.6</w:t>
      </w:r>
      <w:r>
        <w:rPr>
          <w:rFonts w:ascii="宋体" w:hAnsi="宋体" w:eastAsia="宋体" w:cs="宋体"/>
          <w:spacing w:val="44"/>
          <w:sz w:val="24"/>
          <w:szCs w:val="24"/>
        </w:rPr>
        <w:t xml:space="preserve"> </w:t>
      </w:r>
      <w:r>
        <w:rPr>
          <w:rFonts w:ascii="宋体" w:hAnsi="宋体" w:eastAsia="宋体" w:cs="宋体"/>
          <w:b/>
          <w:bCs/>
          <w:spacing w:val="-8"/>
          <w:sz w:val="24"/>
          <w:szCs w:val="24"/>
        </w:rPr>
        <w:t>图纸和承包人文件</w:t>
      </w:r>
    </w:p>
    <w:p w14:paraId="33611EB6">
      <w:pPr>
        <w:spacing w:before="182" w:line="219" w:lineRule="auto"/>
        <w:ind w:left="506"/>
        <w:rPr>
          <w:rFonts w:ascii="宋体" w:hAnsi="宋体" w:eastAsia="宋体" w:cs="宋体"/>
          <w:sz w:val="24"/>
          <w:szCs w:val="24"/>
        </w:rPr>
      </w:pPr>
      <w:r>
        <w:rPr>
          <w:rFonts w:ascii="宋体" w:hAnsi="宋体" w:eastAsia="宋体" w:cs="宋体"/>
          <w:spacing w:val="-6"/>
          <w:sz w:val="24"/>
          <w:szCs w:val="24"/>
        </w:rPr>
        <w:t>1.6.1</w:t>
      </w:r>
      <w:r>
        <w:rPr>
          <w:rFonts w:ascii="宋体" w:hAnsi="宋体" w:eastAsia="宋体" w:cs="宋体"/>
          <w:spacing w:val="32"/>
          <w:sz w:val="24"/>
          <w:szCs w:val="24"/>
        </w:rPr>
        <w:t xml:space="preserve"> </w:t>
      </w:r>
      <w:r>
        <w:rPr>
          <w:rFonts w:ascii="宋体" w:hAnsi="宋体" w:eastAsia="宋体" w:cs="宋体"/>
          <w:spacing w:val="-6"/>
          <w:sz w:val="24"/>
          <w:szCs w:val="24"/>
        </w:rPr>
        <w:t>图纸的提供</w:t>
      </w:r>
    </w:p>
    <w:p w14:paraId="14D1E395">
      <w:pPr>
        <w:spacing w:before="181" w:line="219" w:lineRule="auto"/>
        <w:ind w:left="492"/>
        <w:rPr>
          <w:rFonts w:ascii="宋体" w:hAnsi="宋体" w:eastAsia="宋体" w:cs="宋体"/>
          <w:sz w:val="24"/>
          <w:szCs w:val="24"/>
        </w:rPr>
      </w:pPr>
      <w:r>
        <w:rPr>
          <w:rFonts w:ascii="宋体" w:hAnsi="宋体" w:eastAsia="宋体" w:cs="宋体"/>
          <w:spacing w:val="-2"/>
          <w:sz w:val="24"/>
          <w:szCs w:val="24"/>
        </w:rPr>
        <w:t>发包人提供图纸的期限：</w:t>
      </w:r>
      <w:r>
        <w:rPr>
          <w:rFonts w:ascii="宋体" w:hAnsi="宋体" w:eastAsia="宋体" w:cs="宋体"/>
          <w:spacing w:val="-2"/>
          <w:sz w:val="24"/>
          <w:szCs w:val="24"/>
          <w:u w:val="single" w:color="auto"/>
        </w:rPr>
        <w:t>发出中标通知书之后</w:t>
      </w:r>
      <w:r>
        <w:rPr>
          <w:rFonts w:ascii="宋体" w:hAnsi="宋体" w:eastAsia="宋体" w:cs="宋体"/>
          <w:spacing w:val="-39"/>
          <w:sz w:val="24"/>
          <w:szCs w:val="24"/>
          <w:u w:val="single" w:color="auto"/>
        </w:rPr>
        <w:t xml:space="preserve"> </w:t>
      </w:r>
      <w:r>
        <w:rPr>
          <w:rFonts w:ascii="宋体" w:hAnsi="宋体" w:eastAsia="宋体" w:cs="宋体"/>
          <w:spacing w:val="-2"/>
          <w:sz w:val="24"/>
          <w:szCs w:val="24"/>
          <w:u w:val="single" w:color="auto"/>
        </w:rPr>
        <w:t>7</w:t>
      </w:r>
      <w:r>
        <w:rPr>
          <w:rFonts w:ascii="宋体" w:hAnsi="宋体" w:eastAsia="宋体" w:cs="宋体"/>
          <w:spacing w:val="-46"/>
          <w:sz w:val="24"/>
          <w:szCs w:val="24"/>
          <w:u w:val="single" w:color="auto"/>
        </w:rPr>
        <w:t xml:space="preserve"> </w:t>
      </w:r>
      <w:r>
        <w:rPr>
          <w:rFonts w:ascii="宋体" w:hAnsi="宋体" w:eastAsia="宋体" w:cs="宋体"/>
          <w:spacing w:val="-2"/>
          <w:sz w:val="24"/>
          <w:szCs w:val="24"/>
          <w:u w:val="single" w:color="auto"/>
        </w:rPr>
        <w:t>天内</w:t>
      </w:r>
      <w:r>
        <w:rPr>
          <w:rFonts w:ascii="宋体" w:hAnsi="宋体" w:eastAsia="宋体" w:cs="宋体"/>
          <w:spacing w:val="-2"/>
          <w:sz w:val="24"/>
          <w:szCs w:val="24"/>
        </w:rPr>
        <w:t xml:space="preserve"> 。</w:t>
      </w:r>
    </w:p>
    <w:p w14:paraId="198D4F51">
      <w:pPr>
        <w:spacing w:before="181" w:line="219" w:lineRule="auto"/>
        <w:ind w:left="492"/>
        <w:rPr>
          <w:rFonts w:ascii="宋体" w:hAnsi="宋体" w:eastAsia="宋体" w:cs="宋体"/>
          <w:sz w:val="24"/>
          <w:szCs w:val="24"/>
        </w:rPr>
      </w:pPr>
      <w:r>
        <w:rPr>
          <w:rFonts w:ascii="宋体" w:hAnsi="宋体" w:eastAsia="宋体" w:cs="宋体"/>
          <w:spacing w:val="-1"/>
          <w:sz w:val="24"/>
          <w:szCs w:val="24"/>
        </w:rPr>
        <w:t>发包人提供图纸的数量：</w:t>
      </w:r>
      <w:r>
        <w:rPr>
          <w:rFonts w:ascii="宋体" w:hAnsi="宋体" w:eastAsia="宋体" w:cs="宋体"/>
          <w:spacing w:val="-1"/>
          <w:sz w:val="24"/>
          <w:szCs w:val="24"/>
          <w:u w:val="single" w:color="auto"/>
        </w:rPr>
        <w:t xml:space="preserve">   份</w:t>
      </w:r>
      <w:r>
        <w:rPr>
          <w:rFonts w:ascii="宋体" w:hAnsi="宋体" w:eastAsia="宋体" w:cs="宋体"/>
          <w:spacing w:val="-1"/>
          <w:sz w:val="24"/>
          <w:szCs w:val="24"/>
        </w:rPr>
        <w:t>。</w:t>
      </w:r>
    </w:p>
    <w:p w14:paraId="4BCCF790">
      <w:pPr>
        <w:spacing w:before="185" w:line="359" w:lineRule="auto"/>
        <w:ind w:left="8" w:firstLine="483"/>
        <w:rPr>
          <w:rFonts w:ascii="宋体" w:hAnsi="宋体" w:eastAsia="宋体" w:cs="宋体"/>
          <w:sz w:val="24"/>
          <w:szCs w:val="24"/>
        </w:rPr>
      </w:pPr>
      <w:r>
        <w:rPr>
          <w:rFonts w:ascii="宋体" w:hAnsi="宋体" w:eastAsia="宋体" w:cs="宋体"/>
          <w:spacing w:val="-3"/>
          <w:sz w:val="24"/>
          <w:szCs w:val="24"/>
        </w:rPr>
        <w:t>发包人应在发出中标通知书之后</w:t>
      </w:r>
      <w:r>
        <w:rPr>
          <w:rFonts w:ascii="宋体" w:hAnsi="宋体" w:eastAsia="宋体" w:cs="宋体"/>
          <w:spacing w:val="-34"/>
          <w:sz w:val="24"/>
          <w:szCs w:val="24"/>
        </w:rPr>
        <w:t xml:space="preserve"> </w:t>
      </w:r>
      <w:r>
        <w:rPr>
          <w:rFonts w:ascii="宋体" w:hAnsi="宋体" w:eastAsia="宋体" w:cs="宋体"/>
          <w:spacing w:val="-3"/>
          <w:sz w:val="24"/>
          <w:szCs w:val="24"/>
        </w:rPr>
        <w:t>7</w:t>
      </w:r>
      <w:r>
        <w:rPr>
          <w:rFonts w:ascii="宋体" w:hAnsi="宋体" w:eastAsia="宋体" w:cs="宋体"/>
          <w:spacing w:val="-46"/>
          <w:sz w:val="24"/>
          <w:szCs w:val="24"/>
        </w:rPr>
        <w:t xml:space="preserve"> </w:t>
      </w:r>
      <w:r>
        <w:rPr>
          <w:rFonts w:ascii="宋体" w:hAnsi="宋体" w:eastAsia="宋体" w:cs="宋体"/>
          <w:spacing w:val="-3"/>
          <w:sz w:val="24"/>
          <w:szCs w:val="24"/>
        </w:rPr>
        <w:t>天内，向承包人免费提供由发包人或其委托的设</w:t>
      </w:r>
      <w:r>
        <w:rPr>
          <w:rFonts w:ascii="宋体" w:hAnsi="宋体" w:eastAsia="宋体" w:cs="宋体"/>
          <w:sz w:val="24"/>
          <w:szCs w:val="24"/>
        </w:rPr>
        <w:t>计单位提交的其他技术资料</w:t>
      </w:r>
      <w:r>
        <w:rPr>
          <w:rFonts w:ascii="宋体" w:hAnsi="宋体" w:eastAsia="宋体" w:cs="宋体"/>
          <w:sz w:val="24"/>
          <w:szCs w:val="24"/>
          <w:u w:val="single" w:color="auto"/>
        </w:rPr>
        <w:t xml:space="preserve">   份</w:t>
      </w:r>
      <w:r>
        <w:rPr>
          <w:rFonts w:ascii="宋体" w:hAnsi="宋体" w:eastAsia="宋体" w:cs="宋体"/>
          <w:sz w:val="24"/>
          <w:szCs w:val="24"/>
        </w:rPr>
        <w:t>，并向承包人进行技术交底</w:t>
      </w:r>
      <w:r>
        <w:rPr>
          <w:rFonts w:ascii="宋体" w:hAnsi="宋体" w:eastAsia="宋体" w:cs="宋体"/>
          <w:spacing w:val="-1"/>
          <w:sz w:val="24"/>
          <w:szCs w:val="24"/>
        </w:rPr>
        <w:t>。未经发包人同意，承包人不得将设计文件提供给第三方。</w:t>
      </w:r>
    </w:p>
    <w:p w14:paraId="364E6507">
      <w:pPr>
        <w:spacing w:before="1" w:line="218" w:lineRule="auto"/>
        <w:ind w:left="506"/>
        <w:rPr>
          <w:rFonts w:ascii="宋体" w:hAnsi="宋体" w:eastAsia="宋体" w:cs="宋体"/>
          <w:sz w:val="24"/>
          <w:szCs w:val="24"/>
        </w:rPr>
      </w:pPr>
      <w:r>
        <w:rPr>
          <w:rFonts w:ascii="宋体" w:hAnsi="宋体" w:eastAsia="宋体" w:cs="宋体"/>
          <w:spacing w:val="-1"/>
          <w:sz w:val="24"/>
          <w:szCs w:val="24"/>
        </w:rPr>
        <w:t>1.6.2</w:t>
      </w:r>
      <w:r>
        <w:rPr>
          <w:rFonts w:ascii="宋体" w:hAnsi="宋体" w:eastAsia="宋体" w:cs="宋体"/>
          <w:spacing w:val="-51"/>
          <w:sz w:val="24"/>
          <w:szCs w:val="24"/>
        </w:rPr>
        <w:t xml:space="preserve"> </w:t>
      </w:r>
      <w:r>
        <w:rPr>
          <w:rFonts w:ascii="宋体" w:hAnsi="宋体" w:eastAsia="宋体" w:cs="宋体"/>
          <w:spacing w:val="-1"/>
          <w:sz w:val="24"/>
          <w:szCs w:val="24"/>
        </w:rPr>
        <w:t>承包人提供的文件：</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25D87A30">
      <w:pPr>
        <w:spacing w:before="182" w:line="219" w:lineRule="auto"/>
        <w:ind w:left="506"/>
        <w:rPr>
          <w:rFonts w:ascii="宋体" w:hAnsi="宋体" w:eastAsia="宋体" w:cs="宋体"/>
          <w:sz w:val="24"/>
          <w:szCs w:val="24"/>
        </w:rPr>
      </w:pPr>
      <w:r>
        <w:rPr>
          <w:rFonts w:ascii="宋体" w:hAnsi="宋体" w:eastAsia="宋体" w:cs="宋体"/>
          <w:spacing w:val="-6"/>
          <w:sz w:val="24"/>
          <w:szCs w:val="24"/>
        </w:rPr>
        <w:t>1.6.3</w:t>
      </w:r>
      <w:r>
        <w:rPr>
          <w:rFonts w:ascii="宋体" w:hAnsi="宋体" w:eastAsia="宋体" w:cs="宋体"/>
          <w:spacing w:val="-28"/>
          <w:sz w:val="24"/>
          <w:szCs w:val="24"/>
        </w:rPr>
        <w:t xml:space="preserve"> </w:t>
      </w:r>
      <w:r>
        <w:rPr>
          <w:rFonts w:ascii="宋体" w:hAnsi="宋体" w:eastAsia="宋体" w:cs="宋体"/>
          <w:spacing w:val="-6"/>
          <w:sz w:val="24"/>
          <w:szCs w:val="24"/>
        </w:rPr>
        <w:t>图纸的修改</w:t>
      </w:r>
    </w:p>
    <w:p w14:paraId="35A2DE12">
      <w:pPr>
        <w:spacing w:before="182" w:line="219" w:lineRule="auto"/>
        <w:ind w:left="488"/>
        <w:rPr>
          <w:rFonts w:ascii="宋体" w:hAnsi="宋体" w:eastAsia="宋体" w:cs="宋体"/>
          <w:sz w:val="24"/>
          <w:szCs w:val="24"/>
        </w:rPr>
      </w:pPr>
      <w:r>
        <w:rPr>
          <w:rFonts w:ascii="宋体" w:hAnsi="宋体" w:eastAsia="宋体" w:cs="宋体"/>
          <w:spacing w:val="-1"/>
          <w:sz w:val="24"/>
          <w:szCs w:val="24"/>
        </w:rPr>
        <w:t>通用合同条款本款的内容不适用于本合同，代之以：</w:t>
      </w:r>
    </w:p>
    <w:p w14:paraId="4ABA539A">
      <w:pPr>
        <w:spacing w:before="183" w:line="359" w:lineRule="auto"/>
        <w:ind w:left="7" w:firstLine="504"/>
        <w:rPr>
          <w:rFonts w:ascii="宋体" w:hAnsi="宋体" w:eastAsia="宋体" w:cs="宋体"/>
          <w:sz w:val="24"/>
          <w:szCs w:val="24"/>
        </w:rPr>
      </w:pPr>
      <w:r>
        <w:rPr>
          <w:rFonts w:ascii="宋体" w:hAnsi="宋体" w:eastAsia="宋体" w:cs="宋体"/>
          <w:spacing w:val="-2"/>
          <w:sz w:val="24"/>
          <w:szCs w:val="24"/>
        </w:rPr>
        <w:t>图纸需要修改和补充的，应由监理人取得发包人</w:t>
      </w:r>
      <w:r>
        <w:rPr>
          <w:rFonts w:ascii="宋体" w:hAnsi="宋体" w:eastAsia="宋体" w:cs="宋体"/>
          <w:spacing w:val="-3"/>
          <w:sz w:val="24"/>
          <w:szCs w:val="24"/>
        </w:rPr>
        <w:t>同意后，在该工程或工程相应部位</w:t>
      </w:r>
      <w:r>
        <w:rPr>
          <w:rFonts w:ascii="宋体" w:hAnsi="宋体" w:eastAsia="宋体" w:cs="宋体"/>
          <w:spacing w:val="-1"/>
          <w:sz w:val="24"/>
          <w:szCs w:val="24"/>
        </w:rPr>
        <w:t>施工前的</w:t>
      </w:r>
      <w:r>
        <w:rPr>
          <w:rFonts w:ascii="宋体" w:hAnsi="宋体" w:eastAsia="宋体" w:cs="宋体"/>
          <w:spacing w:val="-1"/>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1"/>
          <w:sz w:val="24"/>
          <w:szCs w:val="24"/>
        </w:rPr>
        <w:t>天内由设计单位签发图纸修改图给承包人。承包人应办理设计变更手续并按修改后的图纸施工。</w:t>
      </w:r>
    </w:p>
    <w:p w14:paraId="35668028">
      <w:pPr>
        <w:spacing w:before="1" w:line="220" w:lineRule="auto"/>
        <w:ind w:left="506"/>
        <w:rPr>
          <w:rFonts w:ascii="宋体" w:hAnsi="宋体" w:eastAsia="宋体" w:cs="宋体"/>
          <w:sz w:val="24"/>
          <w:szCs w:val="24"/>
        </w:rPr>
      </w:pPr>
      <w:r>
        <w:rPr>
          <w:rFonts w:ascii="宋体" w:hAnsi="宋体" w:eastAsia="宋体" w:cs="宋体"/>
          <w:spacing w:val="-6"/>
          <w:sz w:val="24"/>
          <w:szCs w:val="24"/>
        </w:rPr>
        <w:t>1.6.4</w:t>
      </w:r>
      <w:r>
        <w:rPr>
          <w:rFonts w:ascii="宋体" w:hAnsi="宋体" w:eastAsia="宋体" w:cs="宋体"/>
          <w:spacing w:val="-28"/>
          <w:sz w:val="24"/>
          <w:szCs w:val="24"/>
        </w:rPr>
        <w:t xml:space="preserve"> </w:t>
      </w:r>
      <w:r>
        <w:rPr>
          <w:rFonts w:ascii="宋体" w:hAnsi="宋体" w:eastAsia="宋体" w:cs="宋体"/>
          <w:spacing w:val="-6"/>
          <w:sz w:val="24"/>
          <w:szCs w:val="24"/>
        </w:rPr>
        <w:t>图纸的错误</w:t>
      </w:r>
    </w:p>
    <w:p w14:paraId="0636014B">
      <w:pPr>
        <w:spacing w:before="178" w:line="219" w:lineRule="auto"/>
        <w:ind w:left="488"/>
        <w:rPr>
          <w:rFonts w:ascii="宋体" w:hAnsi="宋体" w:eastAsia="宋体" w:cs="宋体"/>
          <w:sz w:val="24"/>
          <w:szCs w:val="24"/>
        </w:rPr>
      </w:pPr>
      <w:r>
        <w:rPr>
          <w:rFonts w:ascii="宋体" w:hAnsi="宋体" w:eastAsia="宋体" w:cs="宋体"/>
          <w:spacing w:val="-1"/>
          <w:sz w:val="24"/>
          <w:szCs w:val="24"/>
        </w:rPr>
        <w:t>通用合同条款本款的内容不适用于本合同，代之以：</w:t>
      </w:r>
    </w:p>
    <w:p w14:paraId="6F92F9CC">
      <w:pPr>
        <w:spacing w:before="183" w:line="219" w:lineRule="auto"/>
        <w:jc w:val="right"/>
        <w:rPr>
          <w:rFonts w:ascii="宋体" w:hAnsi="宋体" w:eastAsia="宋体" w:cs="宋体"/>
          <w:sz w:val="24"/>
          <w:szCs w:val="24"/>
        </w:rPr>
      </w:pPr>
      <w:r>
        <w:rPr>
          <w:rFonts w:ascii="宋体" w:hAnsi="宋体" w:eastAsia="宋体" w:cs="宋体"/>
          <w:spacing w:val="-2"/>
          <w:sz w:val="24"/>
          <w:szCs w:val="24"/>
        </w:rPr>
        <w:t>当承包人在查阅合同文件或在本合同工程实施过程中，发现有关的</w:t>
      </w:r>
      <w:r>
        <w:rPr>
          <w:rFonts w:ascii="宋体" w:hAnsi="宋体" w:eastAsia="宋体" w:cs="宋体"/>
          <w:spacing w:val="-3"/>
          <w:sz w:val="24"/>
          <w:szCs w:val="24"/>
        </w:rPr>
        <w:t>工程设计、技术</w:t>
      </w:r>
    </w:p>
    <w:p w14:paraId="1DD4AA40">
      <w:pPr>
        <w:spacing w:before="311" w:line="359" w:lineRule="auto"/>
        <w:ind w:left="7" w:firstLine="1"/>
        <w:jc w:val="both"/>
        <w:rPr>
          <w:rFonts w:ascii="宋体" w:hAnsi="宋体" w:eastAsia="宋体" w:cs="宋体"/>
          <w:sz w:val="24"/>
          <w:szCs w:val="24"/>
        </w:rPr>
      </w:pPr>
      <w:r>
        <w:rPr>
          <w:rFonts w:ascii="宋体" w:hAnsi="宋体" w:eastAsia="宋体" w:cs="宋体"/>
          <w:spacing w:val="-2"/>
          <w:sz w:val="24"/>
          <w:szCs w:val="24"/>
        </w:rPr>
        <w:br w:type="page"/>
      </w:r>
      <w:r>
        <w:rPr>
          <w:rFonts w:ascii="宋体" w:hAnsi="宋体" w:eastAsia="宋体" w:cs="宋体"/>
          <w:spacing w:val="-2"/>
          <w:sz w:val="24"/>
          <w:szCs w:val="24"/>
        </w:rPr>
        <w:t>规范、图纸或其他资料中的任何差错、遗漏或缺陷后，应及时书面通知监理人。监理人</w:t>
      </w:r>
      <w:r>
        <w:rPr>
          <w:rFonts w:ascii="宋体" w:hAnsi="宋体" w:eastAsia="宋体" w:cs="宋体"/>
          <w:spacing w:val="-1"/>
          <w:sz w:val="24"/>
          <w:szCs w:val="24"/>
        </w:rPr>
        <w:t>接到该通知后，应在</w:t>
      </w:r>
      <w:r>
        <w:rPr>
          <w:rFonts w:ascii="宋体" w:hAnsi="宋体" w:eastAsia="宋体" w:cs="宋体"/>
          <w:spacing w:val="-1"/>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1"/>
          <w:sz w:val="24"/>
          <w:szCs w:val="24"/>
        </w:rPr>
        <w:t>天内审核并通过发包人通知设计单位修改后及时书面通知承包</w:t>
      </w:r>
      <w:r>
        <w:rPr>
          <w:rFonts w:ascii="宋体" w:hAnsi="宋体" w:eastAsia="宋体" w:cs="宋体"/>
          <w:spacing w:val="-6"/>
          <w:sz w:val="24"/>
          <w:szCs w:val="24"/>
        </w:rPr>
        <w:t>人。监理人或发包人未及时审核、通知修改的，由此引发的工期延误损失由发包人承担。</w:t>
      </w:r>
    </w:p>
    <w:p w14:paraId="10AAA52D">
      <w:pPr>
        <w:spacing w:line="221" w:lineRule="auto"/>
        <w:ind w:left="506"/>
        <w:rPr>
          <w:rFonts w:ascii="宋体" w:hAnsi="宋体" w:eastAsia="宋体" w:cs="宋体"/>
          <w:sz w:val="24"/>
          <w:szCs w:val="24"/>
        </w:rPr>
      </w:pPr>
      <w:r>
        <w:rPr>
          <w:rFonts w:ascii="宋体" w:hAnsi="宋体" w:eastAsia="宋体" w:cs="宋体"/>
          <w:b/>
          <w:bCs/>
          <w:spacing w:val="-10"/>
          <w:sz w:val="24"/>
          <w:szCs w:val="24"/>
        </w:rPr>
        <w:t>1.7</w:t>
      </w:r>
      <w:r>
        <w:rPr>
          <w:rFonts w:ascii="宋体" w:hAnsi="宋体" w:eastAsia="宋体" w:cs="宋体"/>
          <w:spacing w:val="14"/>
          <w:sz w:val="24"/>
          <w:szCs w:val="24"/>
        </w:rPr>
        <w:t xml:space="preserve"> </w:t>
      </w:r>
      <w:r>
        <w:rPr>
          <w:rFonts w:ascii="宋体" w:hAnsi="宋体" w:eastAsia="宋体" w:cs="宋体"/>
          <w:b/>
          <w:bCs/>
          <w:spacing w:val="-10"/>
          <w:sz w:val="24"/>
          <w:szCs w:val="24"/>
        </w:rPr>
        <w:t>联络</w:t>
      </w:r>
    </w:p>
    <w:p w14:paraId="2E3F2FB4">
      <w:pPr>
        <w:spacing w:before="179" w:line="219" w:lineRule="auto"/>
        <w:ind w:left="506"/>
        <w:rPr>
          <w:rFonts w:ascii="宋体" w:hAnsi="宋体" w:eastAsia="宋体" w:cs="宋体"/>
          <w:sz w:val="24"/>
          <w:szCs w:val="24"/>
        </w:rPr>
      </w:pPr>
      <w:r>
        <w:rPr>
          <w:rFonts w:ascii="宋体" w:hAnsi="宋体" w:eastAsia="宋体" w:cs="宋体"/>
          <w:spacing w:val="-2"/>
          <w:sz w:val="24"/>
          <w:szCs w:val="24"/>
        </w:rPr>
        <w:t>1.7.3 各类来往书面函件的联络送达期限：</w:t>
      </w:r>
    </w:p>
    <w:p w14:paraId="594BFF63">
      <w:pPr>
        <w:spacing w:before="181" w:line="219" w:lineRule="auto"/>
        <w:ind w:left="499"/>
        <w:rPr>
          <w:rFonts w:ascii="宋体" w:hAnsi="宋体" w:eastAsia="宋体" w:cs="宋体"/>
          <w:sz w:val="24"/>
          <w:szCs w:val="24"/>
        </w:rPr>
      </w:pPr>
      <w:r>
        <w:rPr>
          <w:rFonts w:ascii="宋体" w:hAnsi="宋体" w:eastAsia="宋体" w:cs="宋体"/>
          <w:spacing w:val="-2"/>
          <w:sz w:val="24"/>
          <w:szCs w:val="24"/>
        </w:rPr>
        <w:t>（1）邮件以“特快专递</w:t>
      </w:r>
      <w:r>
        <w:rPr>
          <w:rFonts w:ascii="宋体" w:hAnsi="宋体" w:eastAsia="宋体" w:cs="宋体"/>
          <w:spacing w:val="-88"/>
          <w:sz w:val="24"/>
          <w:szCs w:val="24"/>
        </w:rPr>
        <w:t xml:space="preserve"> </w:t>
      </w:r>
      <w:r>
        <w:rPr>
          <w:rFonts w:ascii="宋体" w:hAnsi="宋体" w:eastAsia="宋体" w:cs="宋体"/>
          <w:spacing w:val="-2"/>
          <w:sz w:val="24"/>
          <w:szCs w:val="24"/>
        </w:rPr>
        <w:t>”、“挂号信函</w:t>
      </w:r>
      <w:r>
        <w:rPr>
          <w:rFonts w:ascii="宋体" w:hAnsi="宋体" w:eastAsia="宋体" w:cs="宋体"/>
          <w:spacing w:val="-88"/>
          <w:sz w:val="24"/>
          <w:szCs w:val="24"/>
        </w:rPr>
        <w:t xml:space="preserve"> </w:t>
      </w:r>
      <w:r>
        <w:rPr>
          <w:rFonts w:ascii="宋体" w:hAnsi="宋体" w:eastAsia="宋体" w:cs="宋体"/>
          <w:spacing w:val="-2"/>
          <w:sz w:val="24"/>
          <w:szCs w:val="24"/>
        </w:rPr>
        <w:t>”</w:t>
      </w:r>
      <w:r>
        <w:rPr>
          <w:rFonts w:ascii="宋体" w:hAnsi="宋体" w:eastAsia="宋体" w:cs="宋体"/>
          <w:spacing w:val="-3"/>
          <w:sz w:val="24"/>
          <w:szCs w:val="24"/>
        </w:rPr>
        <w:t>方式邮寄，以收件人签收日期为准；</w:t>
      </w:r>
    </w:p>
    <w:p w14:paraId="5733FD74">
      <w:pPr>
        <w:spacing w:before="182" w:line="219" w:lineRule="auto"/>
        <w:ind w:left="499"/>
        <w:rPr>
          <w:rFonts w:ascii="宋体" w:hAnsi="宋体" w:eastAsia="宋体" w:cs="宋体"/>
          <w:sz w:val="24"/>
          <w:szCs w:val="24"/>
        </w:rPr>
      </w:pPr>
      <w:r>
        <w:rPr>
          <w:rFonts w:ascii="宋体" w:hAnsi="宋体" w:eastAsia="宋体" w:cs="宋体"/>
          <w:spacing w:val="-1"/>
          <w:sz w:val="24"/>
          <w:szCs w:val="24"/>
        </w:rPr>
        <w:t>（2）传真、电子邮件以收件人发回确认回执日期为准；</w:t>
      </w:r>
    </w:p>
    <w:p w14:paraId="60EAFBC6">
      <w:pPr>
        <w:spacing w:before="182" w:line="219" w:lineRule="auto"/>
        <w:ind w:left="499"/>
        <w:rPr>
          <w:rFonts w:ascii="宋体" w:hAnsi="宋体" w:eastAsia="宋体" w:cs="宋体"/>
          <w:sz w:val="24"/>
          <w:szCs w:val="24"/>
        </w:rPr>
      </w:pPr>
      <w:r>
        <w:rPr>
          <w:rFonts w:ascii="宋体" w:hAnsi="宋体" w:eastAsia="宋体" w:cs="宋体"/>
          <w:spacing w:val="-2"/>
          <w:sz w:val="24"/>
          <w:szCs w:val="24"/>
        </w:rPr>
        <w:t>（3）人工送达以收件人签收日期为准。</w:t>
      </w:r>
    </w:p>
    <w:p w14:paraId="5219354A">
      <w:pPr>
        <w:spacing w:before="183" w:line="220" w:lineRule="auto"/>
        <w:ind w:left="506"/>
        <w:rPr>
          <w:rFonts w:ascii="宋体" w:hAnsi="宋体" w:eastAsia="宋体" w:cs="宋体"/>
          <w:sz w:val="24"/>
          <w:szCs w:val="24"/>
        </w:rPr>
      </w:pPr>
      <w:r>
        <w:rPr>
          <w:rFonts w:ascii="宋体" w:hAnsi="宋体" w:eastAsia="宋体" w:cs="宋体"/>
          <w:b/>
          <w:bCs/>
          <w:spacing w:val="-10"/>
          <w:sz w:val="24"/>
          <w:szCs w:val="24"/>
        </w:rPr>
        <w:t>1.8</w:t>
      </w:r>
      <w:r>
        <w:rPr>
          <w:rFonts w:ascii="宋体" w:hAnsi="宋体" w:eastAsia="宋体" w:cs="宋体"/>
          <w:spacing w:val="14"/>
          <w:sz w:val="24"/>
          <w:szCs w:val="24"/>
        </w:rPr>
        <w:t xml:space="preserve"> </w:t>
      </w:r>
      <w:r>
        <w:rPr>
          <w:rFonts w:ascii="宋体" w:hAnsi="宋体" w:eastAsia="宋体" w:cs="宋体"/>
          <w:b/>
          <w:bCs/>
          <w:spacing w:val="-10"/>
          <w:sz w:val="24"/>
          <w:szCs w:val="24"/>
        </w:rPr>
        <w:t>转让</w:t>
      </w:r>
    </w:p>
    <w:p w14:paraId="1296F4FE">
      <w:pPr>
        <w:spacing w:before="179" w:line="219" w:lineRule="auto"/>
        <w:ind w:left="489"/>
        <w:rPr>
          <w:rFonts w:ascii="宋体" w:hAnsi="宋体" w:eastAsia="宋体" w:cs="宋体"/>
          <w:sz w:val="24"/>
          <w:szCs w:val="24"/>
        </w:rPr>
      </w:pPr>
      <w:r>
        <w:rPr>
          <w:rFonts w:ascii="宋体" w:hAnsi="宋体" w:eastAsia="宋体" w:cs="宋体"/>
          <w:spacing w:val="-1"/>
          <w:sz w:val="24"/>
          <w:szCs w:val="24"/>
        </w:rPr>
        <w:t>合同转让：本合同不得转让。</w:t>
      </w:r>
    </w:p>
    <w:p w14:paraId="4707F54F">
      <w:pPr>
        <w:spacing w:before="184" w:line="219" w:lineRule="auto"/>
        <w:ind w:left="11"/>
        <w:rPr>
          <w:rFonts w:ascii="宋体" w:hAnsi="宋体" w:eastAsia="宋体" w:cs="宋体"/>
          <w:sz w:val="24"/>
          <w:szCs w:val="24"/>
        </w:rPr>
      </w:pPr>
      <w:r>
        <w:rPr>
          <w:rFonts w:ascii="宋体" w:hAnsi="宋体" w:eastAsia="宋体" w:cs="宋体"/>
          <w:b/>
          <w:bCs/>
          <w:spacing w:val="-4"/>
          <w:sz w:val="24"/>
          <w:szCs w:val="24"/>
        </w:rPr>
        <w:t>2．发包人义务</w:t>
      </w:r>
    </w:p>
    <w:p w14:paraId="0DFBC100">
      <w:pPr>
        <w:spacing w:before="180" w:line="219" w:lineRule="auto"/>
        <w:ind w:left="491"/>
        <w:rPr>
          <w:rFonts w:ascii="宋体" w:hAnsi="宋体" w:eastAsia="宋体" w:cs="宋体"/>
          <w:sz w:val="24"/>
          <w:szCs w:val="24"/>
        </w:rPr>
      </w:pPr>
      <w:r>
        <w:rPr>
          <w:rFonts w:ascii="宋体" w:hAnsi="宋体" w:eastAsia="宋体" w:cs="宋体"/>
          <w:b/>
          <w:bCs/>
          <w:spacing w:val="-3"/>
          <w:sz w:val="24"/>
          <w:szCs w:val="24"/>
        </w:rPr>
        <w:t>2.3</w:t>
      </w:r>
      <w:r>
        <w:rPr>
          <w:rFonts w:ascii="宋体" w:hAnsi="宋体" w:eastAsia="宋体" w:cs="宋体"/>
          <w:spacing w:val="-3"/>
          <w:sz w:val="24"/>
          <w:szCs w:val="24"/>
        </w:rPr>
        <w:t xml:space="preserve"> </w:t>
      </w:r>
      <w:r>
        <w:rPr>
          <w:rFonts w:ascii="宋体" w:hAnsi="宋体" w:eastAsia="宋体" w:cs="宋体"/>
          <w:b/>
          <w:bCs/>
          <w:spacing w:val="-3"/>
          <w:sz w:val="24"/>
          <w:szCs w:val="24"/>
        </w:rPr>
        <w:t>提供施工场地</w:t>
      </w:r>
    </w:p>
    <w:p w14:paraId="3F81BC10">
      <w:pPr>
        <w:spacing w:before="184" w:line="359" w:lineRule="auto"/>
        <w:ind w:left="7" w:right="80" w:firstLine="484"/>
        <w:jc w:val="both"/>
        <w:rPr>
          <w:rFonts w:ascii="宋体" w:hAnsi="宋体" w:eastAsia="宋体" w:cs="宋体"/>
          <w:sz w:val="24"/>
          <w:szCs w:val="24"/>
        </w:rPr>
      </w:pPr>
      <w:r>
        <w:rPr>
          <w:rFonts w:ascii="宋体" w:hAnsi="宋体" w:eastAsia="宋体" w:cs="宋体"/>
          <w:spacing w:val="-2"/>
          <w:sz w:val="24"/>
          <w:szCs w:val="24"/>
        </w:rPr>
        <w:t>发包人提供施工场地的约定：除现场已具备的条件外，承包人应自行按发包人提供的资料（但不限于上述资料）调查施工场地内地下管线、设施和地下工程等有关资料，并做好完善的保护措施，由此产生的一切责任由承包人承担。承包人应自行开通公共通道与施工场地间的道路，获得供水、供电、通讯等线路接点及施工船舶临时停泊水域，并保证施工期间的畅通，完成以上工作所需的费用，除有专门的报价项目外，发包人不</w:t>
      </w:r>
      <w:r>
        <w:rPr>
          <w:rFonts w:ascii="宋体" w:hAnsi="宋体" w:eastAsia="宋体" w:cs="宋体"/>
          <w:spacing w:val="-1"/>
          <w:sz w:val="24"/>
          <w:szCs w:val="24"/>
        </w:rPr>
        <w:t>另行支付任何费用。</w:t>
      </w:r>
    </w:p>
    <w:p w14:paraId="19B8F21A">
      <w:pPr>
        <w:spacing w:before="2" w:line="220" w:lineRule="auto"/>
        <w:ind w:left="491"/>
        <w:rPr>
          <w:rFonts w:ascii="宋体" w:hAnsi="宋体" w:eastAsia="宋体" w:cs="宋体"/>
          <w:sz w:val="24"/>
          <w:szCs w:val="24"/>
        </w:rPr>
      </w:pPr>
      <w:r>
        <w:rPr>
          <w:rFonts w:ascii="宋体" w:hAnsi="宋体" w:eastAsia="宋体" w:cs="宋体"/>
          <w:b/>
          <w:bCs/>
          <w:spacing w:val="-3"/>
          <w:sz w:val="24"/>
          <w:szCs w:val="24"/>
        </w:rPr>
        <w:t>2.5</w:t>
      </w:r>
      <w:r>
        <w:rPr>
          <w:rFonts w:ascii="宋体" w:hAnsi="宋体" w:eastAsia="宋体" w:cs="宋体"/>
          <w:spacing w:val="-3"/>
          <w:sz w:val="24"/>
          <w:szCs w:val="24"/>
        </w:rPr>
        <w:t xml:space="preserve"> </w:t>
      </w:r>
      <w:r>
        <w:rPr>
          <w:rFonts w:ascii="宋体" w:hAnsi="宋体" w:eastAsia="宋体" w:cs="宋体"/>
          <w:b/>
          <w:bCs/>
          <w:spacing w:val="-3"/>
          <w:sz w:val="24"/>
          <w:szCs w:val="24"/>
        </w:rPr>
        <w:t>组织设计交底</w:t>
      </w:r>
    </w:p>
    <w:p w14:paraId="3483DA65">
      <w:pPr>
        <w:spacing w:before="180" w:line="359" w:lineRule="auto"/>
        <w:ind w:left="7" w:right="85" w:firstLine="483"/>
        <w:rPr>
          <w:rFonts w:ascii="宋体" w:hAnsi="宋体" w:eastAsia="宋体" w:cs="宋体"/>
          <w:sz w:val="24"/>
          <w:szCs w:val="24"/>
        </w:rPr>
      </w:pPr>
      <w:r>
        <w:rPr>
          <w:rFonts w:ascii="宋体" w:hAnsi="宋体" w:eastAsia="宋体" w:cs="宋体"/>
          <w:spacing w:val="-1"/>
          <w:sz w:val="24"/>
          <w:szCs w:val="24"/>
        </w:rPr>
        <w:t>2.5.1</w:t>
      </w:r>
      <w:r>
        <w:rPr>
          <w:rFonts w:ascii="宋体" w:hAnsi="宋体" w:eastAsia="宋体" w:cs="宋体"/>
          <w:spacing w:val="-46"/>
          <w:sz w:val="24"/>
          <w:szCs w:val="24"/>
        </w:rPr>
        <w:t xml:space="preserve"> </w:t>
      </w:r>
      <w:r>
        <w:rPr>
          <w:rFonts w:ascii="宋体" w:hAnsi="宋体" w:eastAsia="宋体" w:cs="宋体"/>
          <w:spacing w:val="-1"/>
          <w:sz w:val="24"/>
          <w:szCs w:val="24"/>
        </w:rPr>
        <w:t>发包人应在计划开工日期</w:t>
      </w:r>
      <w:r>
        <w:rPr>
          <w:rFonts w:ascii="宋体" w:hAnsi="宋体" w:eastAsia="宋体" w:cs="宋体"/>
          <w:spacing w:val="-1"/>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1"/>
          <w:sz w:val="24"/>
          <w:szCs w:val="24"/>
        </w:rPr>
        <w:t>天前，组织设计单位向承包人进行设计交底。</w:t>
      </w:r>
      <w:r>
        <w:rPr>
          <w:rFonts w:ascii="宋体" w:hAnsi="宋体" w:eastAsia="宋体" w:cs="宋体"/>
          <w:spacing w:val="-2"/>
          <w:sz w:val="24"/>
          <w:szCs w:val="24"/>
        </w:rPr>
        <w:t>设计交底会应由发包人主持，设计单位、承包人、监理人和工程有关方面的人员参加，</w:t>
      </w:r>
      <w:r>
        <w:rPr>
          <w:rFonts w:ascii="宋体" w:hAnsi="宋体" w:eastAsia="宋体" w:cs="宋体"/>
          <w:spacing w:val="-1"/>
          <w:sz w:val="24"/>
          <w:szCs w:val="24"/>
        </w:rPr>
        <w:t>会后形成会议纪要。</w:t>
      </w:r>
    </w:p>
    <w:p w14:paraId="22B6CA8D">
      <w:pPr>
        <w:spacing w:line="219" w:lineRule="auto"/>
        <w:ind w:left="491"/>
        <w:rPr>
          <w:rFonts w:ascii="宋体" w:hAnsi="宋体" w:eastAsia="宋体" w:cs="宋体"/>
          <w:sz w:val="24"/>
          <w:szCs w:val="24"/>
        </w:rPr>
      </w:pPr>
      <w:r>
        <w:rPr>
          <w:rFonts w:ascii="宋体" w:hAnsi="宋体" w:eastAsia="宋体" w:cs="宋体"/>
          <w:b/>
          <w:bCs/>
          <w:spacing w:val="-6"/>
          <w:sz w:val="24"/>
          <w:szCs w:val="24"/>
        </w:rPr>
        <w:t>2.8</w:t>
      </w:r>
      <w:r>
        <w:rPr>
          <w:rFonts w:ascii="宋体" w:hAnsi="宋体" w:eastAsia="宋体" w:cs="宋体"/>
          <w:spacing w:val="18"/>
          <w:sz w:val="24"/>
          <w:szCs w:val="24"/>
        </w:rPr>
        <w:t xml:space="preserve"> </w:t>
      </w:r>
      <w:r>
        <w:rPr>
          <w:rFonts w:ascii="宋体" w:hAnsi="宋体" w:eastAsia="宋体" w:cs="宋体"/>
          <w:b/>
          <w:bCs/>
          <w:spacing w:val="-6"/>
          <w:sz w:val="24"/>
          <w:szCs w:val="24"/>
        </w:rPr>
        <w:t>其他义务</w:t>
      </w:r>
    </w:p>
    <w:p w14:paraId="0CD849D9">
      <w:pPr>
        <w:spacing w:before="183" w:line="359" w:lineRule="auto"/>
        <w:ind w:left="8" w:right="18" w:firstLine="482"/>
        <w:rPr>
          <w:rFonts w:ascii="宋体" w:hAnsi="宋体" w:eastAsia="宋体" w:cs="宋体"/>
          <w:sz w:val="24"/>
          <w:szCs w:val="24"/>
        </w:rPr>
      </w:pPr>
      <w:r>
        <w:rPr>
          <w:rFonts w:ascii="宋体" w:hAnsi="宋体" w:eastAsia="宋体" w:cs="宋体"/>
          <w:spacing w:val="-5"/>
          <w:sz w:val="24"/>
          <w:szCs w:val="24"/>
        </w:rPr>
        <w:t>2.8.1</w:t>
      </w:r>
      <w:r>
        <w:rPr>
          <w:rFonts w:ascii="宋体" w:hAnsi="宋体" w:eastAsia="宋体" w:cs="宋体"/>
          <w:spacing w:val="-47"/>
          <w:sz w:val="24"/>
          <w:szCs w:val="24"/>
        </w:rPr>
        <w:t xml:space="preserve"> </w:t>
      </w:r>
      <w:r>
        <w:rPr>
          <w:rFonts w:ascii="宋体" w:hAnsi="宋体" w:eastAsia="宋体" w:cs="宋体"/>
          <w:spacing w:val="-5"/>
          <w:sz w:val="24"/>
          <w:szCs w:val="24"/>
        </w:rPr>
        <w:t>发包人应在合同协议书签署的同时任命发包人代表；发包人需更换其代</w:t>
      </w:r>
      <w:r>
        <w:rPr>
          <w:rFonts w:ascii="宋体" w:hAnsi="宋体" w:eastAsia="宋体" w:cs="宋体"/>
          <w:spacing w:val="-6"/>
          <w:sz w:val="24"/>
          <w:szCs w:val="24"/>
        </w:rPr>
        <w:t>表时，</w:t>
      </w:r>
      <w:r>
        <w:rPr>
          <w:rFonts w:ascii="宋体" w:hAnsi="宋体" w:eastAsia="宋体" w:cs="宋体"/>
          <w:spacing w:val="-2"/>
          <w:sz w:val="24"/>
          <w:szCs w:val="24"/>
        </w:rPr>
        <w:t>应至少提前</w:t>
      </w:r>
      <w:r>
        <w:rPr>
          <w:rFonts w:ascii="宋体" w:hAnsi="宋体" w:eastAsia="宋体" w:cs="宋体"/>
          <w:spacing w:val="-2"/>
          <w:sz w:val="24"/>
          <w:szCs w:val="24"/>
          <w:u w:val="single" w:color="auto"/>
        </w:rPr>
        <w:t xml:space="preserve">     </w:t>
      </w:r>
      <w:r>
        <w:rPr>
          <w:rFonts w:ascii="宋体" w:hAnsi="宋体" w:eastAsia="宋体" w:cs="宋体"/>
          <w:spacing w:val="-93"/>
          <w:sz w:val="24"/>
          <w:szCs w:val="24"/>
        </w:rPr>
        <w:t xml:space="preserve"> </w:t>
      </w:r>
      <w:r>
        <w:rPr>
          <w:rFonts w:ascii="宋体" w:hAnsi="宋体" w:eastAsia="宋体" w:cs="宋体"/>
          <w:spacing w:val="-2"/>
          <w:sz w:val="24"/>
          <w:szCs w:val="24"/>
        </w:rPr>
        <w:t>天书面通知承包人。</w:t>
      </w:r>
    </w:p>
    <w:p w14:paraId="66DD72DE">
      <w:pPr>
        <w:spacing w:line="359" w:lineRule="auto"/>
        <w:ind w:left="10" w:right="87" w:firstLine="480"/>
        <w:rPr>
          <w:rFonts w:ascii="宋体" w:hAnsi="宋体" w:eastAsia="宋体" w:cs="宋体"/>
          <w:sz w:val="24"/>
          <w:szCs w:val="24"/>
        </w:rPr>
      </w:pPr>
      <w:r>
        <w:rPr>
          <w:rFonts w:ascii="宋体" w:hAnsi="宋体" w:eastAsia="宋体" w:cs="宋体"/>
          <w:spacing w:val="-1"/>
          <w:sz w:val="24"/>
          <w:szCs w:val="24"/>
        </w:rPr>
        <w:t>2.8.2</w:t>
      </w:r>
      <w:r>
        <w:rPr>
          <w:rFonts w:ascii="宋体" w:hAnsi="宋体" w:eastAsia="宋体" w:cs="宋体"/>
          <w:spacing w:val="-36"/>
          <w:sz w:val="24"/>
          <w:szCs w:val="24"/>
        </w:rPr>
        <w:t xml:space="preserve"> </w:t>
      </w:r>
      <w:r>
        <w:rPr>
          <w:rFonts w:ascii="宋体" w:hAnsi="宋体" w:eastAsia="宋体" w:cs="宋体"/>
          <w:spacing w:val="-1"/>
          <w:sz w:val="24"/>
          <w:szCs w:val="24"/>
        </w:rPr>
        <w:t>发包人应协助（或配合）承包人办理航行通告、疏浚物海洋倾倒许可证（或</w:t>
      </w:r>
      <w:r>
        <w:rPr>
          <w:rFonts w:ascii="宋体" w:hAnsi="宋体" w:eastAsia="宋体" w:cs="宋体"/>
          <w:spacing w:val="-2"/>
          <w:sz w:val="24"/>
          <w:szCs w:val="24"/>
        </w:rPr>
        <w:t>纳泥区接收证明）等。</w:t>
      </w:r>
    </w:p>
    <w:p w14:paraId="0B1041DF">
      <w:pPr>
        <w:spacing w:before="1" w:line="360" w:lineRule="auto"/>
        <w:ind w:left="8" w:right="85" w:firstLine="482"/>
        <w:rPr>
          <w:rFonts w:ascii="宋体" w:hAnsi="宋体" w:eastAsia="宋体" w:cs="宋体"/>
          <w:sz w:val="24"/>
          <w:szCs w:val="24"/>
        </w:rPr>
      </w:pPr>
      <w:r>
        <w:rPr>
          <w:rFonts w:ascii="宋体" w:hAnsi="宋体" w:eastAsia="宋体" w:cs="宋体"/>
          <w:spacing w:val="-1"/>
          <w:sz w:val="24"/>
          <w:szCs w:val="24"/>
        </w:rPr>
        <w:t>2.8.3</w:t>
      </w:r>
      <w:r>
        <w:rPr>
          <w:rFonts w:ascii="宋体" w:hAnsi="宋体" w:eastAsia="宋体" w:cs="宋体"/>
          <w:spacing w:val="-47"/>
          <w:sz w:val="24"/>
          <w:szCs w:val="24"/>
        </w:rPr>
        <w:t xml:space="preserve"> </w:t>
      </w:r>
      <w:r>
        <w:rPr>
          <w:rFonts w:ascii="宋体" w:hAnsi="宋体" w:eastAsia="宋体" w:cs="宋体"/>
          <w:spacing w:val="-1"/>
          <w:sz w:val="24"/>
          <w:szCs w:val="24"/>
        </w:rPr>
        <w:t>发包人应在计划开工日期</w:t>
      </w:r>
      <w:r>
        <w:rPr>
          <w:rFonts w:ascii="宋体" w:hAnsi="宋体" w:eastAsia="宋体" w:cs="宋体"/>
          <w:spacing w:val="-1"/>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1"/>
          <w:sz w:val="24"/>
          <w:szCs w:val="24"/>
        </w:rPr>
        <w:t>天前向承包人提供与施工现场相关的现有工程</w:t>
      </w:r>
      <w:r>
        <w:rPr>
          <w:rFonts w:ascii="宋体" w:hAnsi="宋体" w:eastAsia="宋体" w:cs="宋体"/>
          <w:spacing w:val="-2"/>
          <w:sz w:val="24"/>
          <w:szCs w:val="24"/>
        </w:rPr>
        <w:t>地质和地下管线资料，工程地质报告以及交验测量的水准点、坐标控制点等技术资料，</w:t>
      </w:r>
      <w:r>
        <w:rPr>
          <w:rFonts w:ascii="宋体" w:hAnsi="宋体" w:eastAsia="宋体" w:cs="宋体"/>
          <w:spacing w:val="-1"/>
          <w:sz w:val="24"/>
          <w:szCs w:val="24"/>
        </w:rPr>
        <w:t>并对其提供的上述资料的真实性、准确性负责。</w:t>
      </w:r>
      <w:r>
        <w:rPr>
          <w:rFonts w:ascii="宋体" w:hAnsi="宋体" w:eastAsia="宋体" w:cs="宋体"/>
          <w:spacing w:val="-1"/>
          <w:sz w:val="24"/>
          <w:szCs w:val="24"/>
        </w:rPr>
        <w:br w:type="page"/>
      </w: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rPr>
        <w:t>2.8.4</w:t>
      </w:r>
      <w:r>
        <w:rPr>
          <w:rFonts w:ascii="宋体" w:hAnsi="宋体" w:eastAsia="宋体" w:cs="宋体"/>
          <w:spacing w:val="-36"/>
          <w:sz w:val="24"/>
          <w:szCs w:val="24"/>
        </w:rPr>
        <w:t xml:space="preserve"> </w:t>
      </w:r>
      <w:r>
        <w:rPr>
          <w:rFonts w:ascii="宋体" w:hAnsi="宋体" w:eastAsia="宋体" w:cs="宋体"/>
          <w:spacing w:val="-1"/>
          <w:sz w:val="24"/>
          <w:szCs w:val="24"/>
        </w:rPr>
        <w:t>发包人原则上与承包人签订合同前应向承包人提供工程款支付担保，具体约</w:t>
      </w:r>
      <w:r>
        <w:rPr>
          <w:rFonts w:ascii="宋体" w:hAnsi="宋体" w:eastAsia="宋体" w:cs="宋体"/>
          <w:spacing w:val="-4"/>
          <w:sz w:val="24"/>
          <w:szCs w:val="24"/>
        </w:rPr>
        <w:t>定如下：</w:t>
      </w:r>
    </w:p>
    <w:p w14:paraId="32DA6AB0">
      <w:pPr>
        <w:spacing w:line="359" w:lineRule="auto"/>
        <w:ind w:left="8" w:right="167" w:firstLine="479"/>
        <w:rPr>
          <w:rFonts w:ascii="宋体" w:hAnsi="宋体" w:eastAsia="宋体" w:cs="宋体"/>
          <w:sz w:val="24"/>
          <w:szCs w:val="24"/>
        </w:rPr>
      </w:pPr>
      <w:r>
        <w:rPr>
          <w:rFonts w:ascii="宋体" w:hAnsi="宋体" w:eastAsia="宋体" w:cs="宋体"/>
          <w:spacing w:val="-2"/>
          <w:sz w:val="24"/>
          <w:szCs w:val="24"/>
        </w:rPr>
        <w:t>①工程款支付担保形式：可采用银行保函、工程担保公司保函、工程保证保险或其</w:t>
      </w:r>
      <w:r>
        <w:rPr>
          <w:rFonts w:ascii="宋体" w:hAnsi="宋体" w:eastAsia="宋体" w:cs="宋体"/>
          <w:spacing w:val="-1"/>
          <w:sz w:val="24"/>
          <w:szCs w:val="24"/>
        </w:rPr>
        <w:t>他合法形式，不能以承诺的方式替代工程款支付担保。</w:t>
      </w:r>
    </w:p>
    <w:p w14:paraId="2678FAD0">
      <w:pPr>
        <w:spacing w:line="217" w:lineRule="auto"/>
        <w:ind w:left="486"/>
        <w:rPr>
          <w:rFonts w:ascii="宋体" w:hAnsi="宋体" w:eastAsia="宋体" w:cs="宋体"/>
          <w:sz w:val="24"/>
          <w:szCs w:val="24"/>
        </w:rPr>
      </w:pPr>
      <w:r>
        <w:rPr>
          <w:rFonts w:ascii="宋体" w:hAnsi="宋体" w:eastAsia="宋体" w:cs="宋体"/>
          <w:spacing w:val="-1"/>
          <w:sz w:val="24"/>
          <w:szCs w:val="24"/>
        </w:rPr>
        <w:t>②工程款支付担保方式</w:t>
      </w:r>
    </w:p>
    <w:p w14:paraId="38727859">
      <w:pPr>
        <w:spacing w:before="183" w:line="220" w:lineRule="auto"/>
        <w:ind w:left="512"/>
        <w:rPr>
          <w:rFonts w:ascii="宋体" w:hAnsi="宋体" w:eastAsia="宋体" w:cs="宋体"/>
          <w:sz w:val="24"/>
          <w:szCs w:val="24"/>
        </w:rPr>
      </w:pPr>
      <w:r>
        <w:rPr>
          <w:rFonts w:ascii="宋体" w:hAnsi="宋体" w:eastAsia="宋体" w:cs="宋体"/>
          <w:spacing w:val="-4"/>
          <w:sz w:val="24"/>
          <w:szCs w:val="24"/>
        </w:rPr>
        <w:t>□ 非分段滚动方式</w:t>
      </w:r>
    </w:p>
    <w:p w14:paraId="6DB3F511">
      <w:pPr>
        <w:spacing w:before="182" w:line="219" w:lineRule="auto"/>
        <w:ind w:left="489"/>
        <w:rPr>
          <w:rFonts w:ascii="宋体" w:hAnsi="宋体" w:eastAsia="宋体" w:cs="宋体"/>
          <w:sz w:val="24"/>
          <w:szCs w:val="24"/>
        </w:rPr>
      </w:pPr>
      <w:r>
        <w:rPr>
          <w:rFonts w:ascii="宋体" w:hAnsi="宋体" w:eastAsia="宋体" w:cs="宋体"/>
          <w:spacing w:val="-1"/>
          <w:sz w:val="24"/>
          <w:szCs w:val="24"/>
        </w:rPr>
        <w:t>支付担保的金额：中标合同额的</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9C805B1">
      <w:pPr>
        <w:spacing w:before="180" w:line="220" w:lineRule="auto"/>
        <w:ind w:left="512"/>
        <w:rPr>
          <w:rFonts w:ascii="宋体" w:hAnsi="宋体" w:eastAsia="宋体" w:cs="宋体"/>
          <w:sz w:val="24"/>
          <w:szCs w:val="24"/>
        </w:rPr>
      </w:pPr>
      <w:r>
        <w:rPr>
          <w:rFonts w:ascii="宋体" w:hAnsi="宋体" w:eastAsia="宋体" w:cs="宋体"/>
          <w:spacing w:val="-5"/>
          <w:sz w:val="24"/>
          <w:szCs w:val="24"/>
        </w:rPr>
        <w:t>□ 分段滚动方式</w:t>
      </w:r>
    </w:p>
    <w:p w14:paraId="6AB7A308">
      <w:pPr>
        <w:spacing w:before="182" w:line="219" w:lineRule="auto"/>
        <w:ind w:left="480"/>
        <w:rPr>
          <w:rFonts w:ascii="宋体" w:hAnsi="宋体" w:eastAsia="宋体" w:cs="宋体"/>
          <w:sz w:val="24"/>
          <w:szCs w:val="24"/>
        </w:rPr>
      </w:pPr>
      <w:r>
        <w:rPr>
          <w:rFonts w:ascii="宋体" w:hAnsi="宋体" w:eastAsia="宋体" w:cs="宋体"/>
          <w:sz w:val="24"/>
          <w:szCs w:val="24"/>
        </w:rPr>
        <w:t>A.分段中标合同额的</w:t>
      </w:r>
      <w:r>
        <w:rPr>
          <w:rFonts w:ascii="宋体" w:hAnsi="宋体" w:eastAsia="宋体" w:cs="宋体"/>
          <w:sz w:val="24"/>
          <w:szCs w:val="24"/>
          <w:u w:val="single" w:color="auto"/>
        </w:rPr>
        <w:t xml:space="preserve">   </w:t>
      </w:r>
      <w:r>
        <w:rPr>
          <w:rFonts w:ascii="宋体" w:hAnsi="宋体" w:eastAsia="宋体" w:cs="宋体"/>
          <w:sz w:val="24"/>
          <w:szCs w:val="24"/>
        </w:rPr>
        <w:t>%，其中，分段中标合同额=中标合同额÷分段</w:t>
      </w:r>
      <w:r>
        <w:rPr>
          <w:rFonts w:ascii="宋体" w:hAnsi="宋体" w:eastAsia="宋体" w:cs="宋体"/>
          <w:spacing w:val="-1"/>
          <w:sz w:val="24"/>
          <w:szCs w:val="24"/>
        </w:rPr>
        <w:t>周期。</w:t>
      </w:r>
    </w:p>
    <w:p w14:paraId="700EF1D8">
      <w:pPr>
        <w:spacing w:before="180" w:line="359" w:lineRule="auto"/>
        <w:ind w:left="10" w:right="167" w:firstLine="472"/>
        <w:rPr>
          <w:rFonts w:ascii="宋体" w:hAnsi="宋体" w:eastAsia="宋体" w:cs="宋体"/>
          <w:sz w:val="24"/>
          <w:szCs w:val="24"/>
        </w:rPr>
      </w:pPr>
      <w:r>
        <w:rPr>
          <w:rFonts w:ascii="宋体" w:hAnsi="宋体" w:eastAsia="宋体" w:cs="宋体"/>
          <w:spacing w:val="2"/>
          <w:sz w:val="24"/>
          <w:szCs w:val="24"/>
        </w:rPr>
        <w:t>B.分段一般是指将中标合同额按分段周期平均划分</w:t>
      </w:r>
      <w:r>
        <w:rPr>
          <w:rFonts w:ascii="宋体" w:hAnsi="宋体" w:eastAsia="宋体" w:cs="宋体"/>
          <w:spacing w:val="1"/>
          <w:sz w:val="24"/>
          <w:szCs w:val="24"/>
        </w:rPr>
        <w:t>，如分段周期为</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（招标人</w:t>
      </w:r>
      <w:r>
        <w:rPr>
          <w:rFonts w:ascii="宋体" w:hAnsi="宋体" w:eastAsia="宋体" w:cs="宋体"/>
          <w:spacing w:val="-1"/>
          <w:sz w:val="24"/>
          <w:szCs w:val="24"/>
        </w:rPr>
        <w:t>可选择年、或季度、或月）。</w:t>
      </w:r>
    </w:p>
    <w:p w14:paraId="3B9993E5">
      <w:pPr>
        <w:spacing w:before="3" w:line="359" w:lineRule="auto"/>
        <w:ind w:left="9" w:right="167" w:firstLine="477"/>
        <w:rPr>
          <w:rFonts w:ascii="宋体" w:hAnsi="宋体" w:eastAsia="宋体" w:cs="宋体"/>
          <w:sz w:val="24"/>
          <w:szCs w:val="24"/>
        </w:rPr>
      </w:pPr>
      <w:r>
        <w:rPr>
          <w:rFonts w:ascii="宋体" w:hAnsi="宋体" w:eastAsia="宋体" w:cs="宋体"/>
          <w:spacing w:val="-2"/>
          <w:sz w:val="24"/>
          <w:szCs w:val="24"/>
        </w:rPr>
        <w:t>C.滚动是在承包人、发包人和监理人签字确认分段工程进度款，且发包人支付该分段工程款后，当期工程款支付担保解除，</w:t>
      </w:r>
      <w:r>
        <w:rPr>
          <w:rFonts w:ascii="宋体" w:hAnsi="宋体" w:eastAsia="宋体" w:cs="宋体"/>
          <w:spacing w:val="-68"/>
          <w:sz w:val="24"/>
          <w:szCs w:val="24"/>
        </w:rPr>
        <w:t xml:space="preserve"> </w:t>
      </w:r>
      <w:r>
        <w:rPr>
          <w:rFonts w:ascii="宋体" w:hAnsi="宋体" w:eastAsia="宋体" w:cs="宋体"/>
          <w:spacing w:val="-2"/>
          <w:sz w:val="24"/>
          <w:szCs w:val="24"/>
        </w:rPr>
        <w:t>自动进入下一期工程款的担保。</w:t>
      </w:r>
    </w:p>
    <w:p w14:paraId="0C66CF1B">
      <w:pPr>
        <w:spacing w:before="3" w:line="358" w:lineRule="auto"/>
        <w:ind w:left="7" w:right="167" w:firstLine="479"/>
        <w:rPr>
          <w:rFonts w:ascii="宋体" w:hAnsi="宋体" w:eastAsia="宋体" w:cs="宋体"/>
          <w:sz w:val="24"/>
          <w:szCs w:val="24"/>
        </w:rPr>
      </w:pPr>
      <w:r>
        <w:rPr>
          <w:rFonts w:ascii="宋体" w:hAnsi="宋体" w:eastAsia="宋体" w:cs="宋体"/>
          <w:sz w:val="24"/>
          <w:szCs w:val="24"/>
        </w:rPr>
        <w:t>④工程款支付担保的有效期自发包人与承包人签订的合同生</w:t>
      </w:r>
      <w:r>
        <w:rPr>
          <w:rFonts w:ascii="宋体" w:hAnsi="宋体" w:eastAsia="宋体" w:cs="宋体"/>
          <w:spacing w:val="-1"/>
          <w:sz w:val="24"/>
          <w:szCs w:val="24"/>
        </w:rPr>
        <w:t>效之日起至发包人根</w:t>
      </w:r>
      <w:r>
        <w:rPr>
          <w:rFonts w:ascii="宋体" w:hAnsi="宋体" w:eastAsia="宋体" w:cs="宋体"/>
          <w:spacing w:val="-2"/>
          <w:sz w:val="24"/>
          <w:szCs w:val="24"/>
        </w:rPr>
        <w:t>据本合同约定支付完除质量保证金以外的全部款项之日止。承包人应在发包人退还其履</w:t>
      </w:r>
      <w:r>
        <w:rPr>
          <w:rFonts w:ascii="宋体" w:hAnsi="宋体" w:eastAsia="宋体" w:cs="宋体"/>
          <w:spacing w:val="-1"/>
          <w:sz w:val="24"/>
          <w:szCs w:val="24"/>
        </w:rPr>
        <w:t>约保证金时同步一次性向发包人退还工程款支付担保。</w:t>
      </w:r>
    </w:p>
    <w:p w14:paraId="10836EF7">
      <w:pPr>
        <w:spacing w:line="217" w:lineRule="auto"/>
        <w:ind w:left="486"/>
        <w:rPr>
          <w:rFonts w:ascii="宋体" w:hAnsi="宋体" w:eastAsia="宋体" w:cs="宋体"/>
          <w:sz w:val="24"/>
          <w:szCs w:val="24"/>
        </w:rPr>
      </w:pPr>
      <w:r>
        <w:rPr>
          <w:rFonts w:ascii="宋体" w:hAnsi="宋体" w:eastAsia="宋体" w:cs="宋体"/>
          <w:sz w:val="24"/>
          <w:szCs w:val="24"/>
        </w:rPr>
        <w:t>⑤发包人未按合同约定提供工程款支付担保的责任：</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391DE7F">
      <w:pPr>
        <w:spacing w:before="184" w:line="222" w:lineRule="auto"/>
        <w:ind w:left="13"/>
        <w:rPr>
          <w:rFonts w:ascii="宋体" w:hAnsi="宋体" w:eastAsia="宋体" w:cs="宋体"/>
          <w:sz w:val="24"/>
          <w:szCs w:val="24"/>
        </w:rPr>
      </w:pPr>
      <w:r>
        <w:rPr>
          <w:rFonts w:ascii="宋体" w:hAnsi="宋体" w:eastAsia="宋体" w:cs="宋体"/>
          <w:b/>
          <w:bCs/>
          <w:spacing w:val="-5"/>
          <w:sz w:val="24"/>
          <w:szCs w:val="24"/>
        </w:rPr>
        <w:t>3.监理人</w:t>
      </w:r>
    </w:p>
    <w:p w14:paraId="6ACAF46E">
      <w:pPr>
        <w:spacing w:before="179" w:line="219" w:lineRule="auto"/>
        <w:ind w:left="493"/>
        <w:rPr>
          <w:rFonts w:ascii="宋体" w:hAnsi="宋体" w:eastAsia="宋体" w:cs="宋体"/>
          <w:sz w:val="24"/>
          <w:szCs w:val="24"/>
        </w:rPr>
      </w:pPr>
      <w:r>
        <w:rPr>
          <w:rFonts w:ascii="宋体" w:hAnsi="宋体" w:eastAsia="宋体" w:cs="宋体"/>
          <w:b/>
          <w:bCs/>
          <w:spacing w:val="-3"/>
          <w:sz w:val="24"/>
          <w:szCs w:val="24"/>
        </w:rPr>
        <w:t>3.1</w:t>
      </w:r>
      <w:r>
        <w:rPr>
          <w:rFonts w:ascii="宋体" w:hAnsi="宋体" w:eastAsia="宋体" w:cs="宋体"/>
          <w:spacing w:val="-3"/>
          <w:sz w:val="24"/>
          <w:szCs w:val="24"/>
        </w:rPr>
        <w:t xml:space="preserve"> </w:t>
      </w:r>
      <w:r>
        <w:rPr>
          <w:rFonts w:ascii="宋体" w:hAnsi="宋体" w:eastAsia="宋体" w:cs="宋体"/>
          <w:b/>
          <w:bCs/>
          <w:spacing w:val="-3"/>
          <w:sz w:val="24"/>
          <w:szCs w:val="24"/>
        </w:rPr>
        <w:t>监理人的职责和权力</w:t>
      </w:r>
    </w:p>
    <w:p w14:paraId="5D091711">
      <w:pPr>
        <w:spacing w:before="183" w:line="359" w:lineRule="auto"/>
        <w:ind w:left="8" w:right="167" w:firstLine="484"/>
        <w:rPr>
          <w:rFonts w:ascii="宋体" w:hAnsi="宋体" w:eastAsia="宋体" w:cs="宋体"/>
          <w:sz w:val="24"/>
          <w:szCs w:val="24"/>
        </w:rPr>
      </w:pPr>
      <w:r>
        <w:rPr>
          <w:rFonts w:ascii="宋体" w:hAnsi="宋体" w:eastAsia="宋体" w:cs="宋体"/>
          <w:spacing w:val="-1"/>
          <w:sz w:val="24"/>
          <w:szCs w:val="24"/>
        </w:rPr>
        <w:t>3.1.1</w:t>
      </w:r>
      <w:r>
        <w:rPr>
          <w:rFonts w:ascii="宋体" w:hAnsi="宋体" w:eastAsia="宋体" w:cs="宋体"/>
          <w:spacing w:val="-30"/>
          <w:sz w:val="24"/>
          <w:szCs w:val="24"/>
        </w:rPr>
        <w:t xml:space="preserve"> </w:t>
      </w:r>
      <w:r>
        <w:rPr>
          <w:rFonts w:ascii="宋体" w:hAnsi="宋体" w:eastAsia="宋体" w:cs="宋体"/>
          <w:spacing w:val="-1"/>
          <w:sz w:val="24"/>
          <w:szCs w:val="24"/>
        </w:rPr>
        <w:t>监理人在行使某项权力前需要经发包人事先批准：</w:t>
      </w:r>
      <w:r>
        <w:rPr>
          <w:rFonts w:ascii="宋体" w:hAnsi="宋体" w:eastAsia="宋体" w:cs="宋体"/>
          <w:spacing w:val="-1"/>
          <w:sz w:val="24"/>
          <w:szCs w:val="24"/>
          <w:u w:val="single" w:color="auto"/>
        </w:rPr>
        <w:t>监理人发出的任何指示前应得到发包人的书面批准</w:t>
      </w:r>
      <w:r>
        <w:rPr>
          <w:rFonts w:ascii="宋体" w:hAnsi="宋体" w:eastAsia="宋体" w:cs="宋体"/>
          <w:spacing w:val="-1"/>
          <w:sz w:val="24"/>
          <w:szCs w:val="24"/>
        </w:rPr>
        <w:t>。</w:t>
      </w:r>
    </w:p>
    <w:p w14:paraId="3258638F">
      <w:pPr>
        <w:spacing w:before="1" w:line="359" w:lineRule="auto"/>
        <w:ind w:left="8" w:firstLine="484"/>
        <w:rPr>
          <w:rFonts w:ascii="宋体" w:hAnsi="宋体" w:eastAsia="宋体" w:cs="宋体"/>
          <w:sz w:val="24"/>
          <w:szCs w:val="24"/>
        </w:rPr>
      </w:pPr>
      <w:r>
        <w:rPr>
          <w:rFonts w:ascii="宋体" w:hAnsi="宋体" w:eastAsia="宋体" w:cs="宋体"/>
          <w:spacing w:val="2"/>
          <w:sz w:val="24"/>
          <w:szCs w:val="24"/>
        </w:rPr>
        <w:t>3.1.2 通用合同条款本条中“监理人发出的任何指示应视</w:t>
      </w:r>
      <w:r>
        <w:rPr>
          <w:rFonts w:ascii="宋体" w:hAnsi="宋体" w:eastAsia="宋体" w:cs="宋体"/>
          <w:spacing w:val="1"/>
          <w:sz w:val="24"/>
          <w:szCs w:val="24"/>
        </w:rPr>
        <w:t>为已得到发包人的批准</w:t>
      </w:r>
      <w:r>
        <w:rPr>
          <w:rFonts w:ascii="宋体" w:hAnsi="宋体" w:eastAsia="宋体" w:cs="宋体"/>
          <w:spacing w:val="-88"/>
          <w:sz w:val="24"/>
          <w:szCs w:val="24"/>
        </w:rPr>
        <w:t xml:space="preserve"> </w:t>
      </w:r>
      <w:r>
        <w:rPr>
          <w:rFonts w:ascii="宋体" w:hAnsi="宋体" w:eastAsia="宋体" w:cs="宋体"/>
          <w:spacing w:val="1"/>
          <w:sz w:val="24"/>
          <w:szCs w:val="24"/>
        </w:rPr>
        <w:t>”</w:t>
      </w:r>
      <w:r>
        <w:rPr>
          <w:rFonts w:ascii="宋体" w:hAnsi="宋体" w:eastAsia="宋体" w:cs="宋体"/>
          <w:spacing w:val="-1"/>
          <w:sz w:val="24"/>
          <w:szCs w:val="24"/>
        </w:rPr>
        <w:t>修改为“监理人发出的任何指示前应得到发包人的书面批准</w:t>
      </w:r>
      <w:r>
        <w:rPr>
          <w:rFonts w:ascii="宋体" w:hAnsi="宋体" w:eastAsia="宋体" w:cs="宋体"/>
          <w:spacing w:val="-70"/>
          <w:sz w:val="24"/>
          <w:szCs w:val="24"/>
        </w:rPr>
        <w:t xml:space="preserve"> </w:t>
      </w:r>
      <w:r>
        <w:rPr>
          <w:rFonts w:ascii="宋体" w:hAnsi="宋体" w:eastAsia="宋体" w:cs="宋体"/>
          <w:spacing w:val="-1"/>
          <w:sz w:val="24"/>
          <w:szCs w:val="24"/>
        </w:rPr>
        <w:t>”。</w:t>
      </w:r>
    </w:p>
    <w:p w14:paraId="5875808C">
      <w:pPr>
        <w:spacing w:line="219" w:lineRule="auto"/>
        <w:ind w:left="493"/>
        <w:rPr>
          <w:rFonts w:ascii="宋体" w:hAnsi="宋体" w:eastAsia="宋体" w:cs="宋体"/>
          <w:sz w:val="24"/>
          <w:szCs w:val="24"/>
        </w:rPr>
      </w:pPr>
      <w:r>
        <w:rPr>
          <w:rFonts w:ascii="宋体" w:hAnsi="宋体" w:eastAsia="宋体" w:cs="宋体"/>
          <w:spacing w:val="-1"/>
          <w:sz w:val="24"/>
          <w:szCs w:val="24"/>
        </w:rPr>
        <w:t>3.1.4</w:t>
      </w:r>
      <w:r>
        <w:rPr>
          <w:rFonts w:ascii="宋体" w:hAnsi="宋体" w:eastAsia="宋体" w:cs="宋体"/>
          <w:spacing w:val="-50"/>
          <w:sz w:val="24"/>
          <w:szCs w:val="24"/>
        </w:rPr>
        <w:t xml:space="preserve"> </w:t>
      </w:r>
      <w:r>
        <w:rPr>
          <w:rFonts w:ascii="宋体" w:hAnsi="宋体" w:eastAsia="宋体" w:cs="宋体"/>
          <w:spacing w:val="-1"/>
          <w:sz w:val="24"/>
          <w:szCs w:val="24"/>
        </w:rPr>
        <w:t>监理人职责：</w:t>
      </w:r>
      <w:r>
        <w:rPr>
          <w:rFonts w:ascii="宋体" w:hAnsi="宋体" w:eastAsia="宋体" w:cs="宋体"/>
          <w:spacing w:val="-1"/>
          <w:sz w:val="24"/>
          <w:szCs w:val="24"/>
          <w:u w:val="single" w:color="auto"/>
        </w:rPr>
        <w:t>按监理合同中规定的职责执行</w:t>
      </w:r>
      <w:r>
        <w:rPr>
          <w:rFonts w:ascii="宋体" w:hAnsi="宋体" w:eastAsia="宋体" w:cs="宋体"/>
          <w:spacing w:val="-1"/>
          <w:sz w:val="24"/>
          <w:szCs w:val="24"/>
        </w:rPr>
        <w:t>。</w:t>
      </w:r>
    </w:p>
    <w:p w14:paraId="7971DD54">
      <w:pPr>
        <w:spacing w:before="183" w:line="219" w:lineRule="auto"/>
        <w:ind w:left="493"/>
        <w:rPr>
          <w:rFonts w:ascii="宋体" w:hAnsi="宋体" w:eastAsia="宋体" w:cs="宋体"/>
          <w:sz w:val="24"/>
          <w:szCs w:val="24"/>
        </w:rPr>
      </w:pPr>
      <w:r>
        <w:rPr>
          <w:rFonts w:ascii="宋体" w:hAnsi="宋体" w:eastAsia="宋体" w:cs="宋体"/>
          <w:spacing w:val="-1"/>
          <w:sz w:val="24"/>
          <w:szCs w:val="24"/>
        </w:rPr>
        <w:t>3.1.5</w:t>
      </w:r>
      <w:r>
        <w:rPr>
          <w:rFonts w:ascii="宋体" w:hAnsi="宋体" w:eastAsia="宋体" w:cs="宋体"/>
          <w:spacing w:val="-50"/>
          <w:sz w:val="24"/>
          <w:szCs w:val="24"/>
        </w:rPr>
        <w:t xml:space="preserve"> </w:t>
      </w:r>
      <w:r>
        <w:rPr>
          <w:rFonts w:ascii="宋体" w:hAnsi="宋体" w:eastAsia="宋体" w:cs="宋体"/>
          <w:spacing w:val="-1"/>
          <w:sz w:val="24"/>
          <w:szCs w:val="24"/>
        </w:rPr>
        <w:t>监理人的权力：</w:t>
      </w:r>
      <w:r>
        <w:rPr>
          <w:rFonts w:ascii="宋体" w:hAnsi="宋体" w:eastAsia="宋体" w:cs="宋体"/>
          <w:spacing w:val="-1"/>
          <w:sz w:val="24"/>
          <w:szCs w:val="24"/>
          <w:u w:val="single" w:color="auto"/>
        </w:rPr>
        <w:t>按监理合同中规定的权力执行</w:t>
      </w:r>
      <w:r>
        <w:rPr>
          <w:rFonts w:ascii="宋体" w:hAnsi="宋体" w:eastAsia="宋体" w:cs="宋体"/>
          <w:spacing w:val="-1"/>
          <w:sz w:val="24"/>
          <w:szCs w:val="24"/>
        </w:rPr>
        <w:t>。</w:t>
      </w:r>
    </w:p>
    <w:p w14:paraId="383B1169">
      <w:pPr>
        <w:spacing w:before="180" w:line="219" w:lineRule="auto"/>
        <w:ind w:left="488"/>
        <w:rPr>
          <w:rFonts w:ascii="宋体" w:hAnsi="宋体" w:eastAsia="宋体" w:cs="宋体"/>
          <w:sz w:val="24"/>
          <w:szCs w:val="24"/>
        </w:rPr>
      </w:pPr>
      <w:r>
        <w:rPr>
          <w:rFonts w:ascii="宋体" w:hAnsi="宋体" w:eastAsia="宋体" w:cs="宋体"/>
          <w:b/>
          <w:bCs/>
          <w:spacing w:val="-4"/>
          <w:sz w:val="24"/>
          <w:szCs w:val="24"/>
        </w:rPr>
        <w:t>通用合同条款本款增加第</w:t>
      </w:r>
      <w:r>
        <w:rPr>
          <w:rFonts w:ascii="宋体" w:hAnsi="宋体" w:eastAsia="宋体" w:cs="宋体"/>
          <w:spacing w:val="-34"/>
          <w:sz w:val="24"/>
          <w:szCs w:val="24"/>
        </w:rPr>
        <w:t xml:space="preserve"> </w:t>
      </w:r>
      <w:r>
        <w:rPr>
          <w:rFonts w:ascii="宋体" w:hAnsi="宋体" w:eastAsia="宋体" w:cs="宋体"/>
          <w:b/>
          <w:bCs/>
          <w:spacing w:val="-4"/>
          <w:sz w:val="24"/>
          <w:szCs w:val="24"/>
        </w:rPr>
        <w:t>3.1.6</w:t>
      </w:r>
      <w:r>
        <w:rPr>
          <w:rFonts w:ascii="宋体" w:hAnsi="宋体" w:eastAsia="宋体" w:cs="宋体"/>
          <w:spacing w:val="-47"/>
          <w:sz w:val="24"/>
          <w:szCs w:val="24"/>
        </w:rPr>
        <w:t xml:space="preserve"> </w:t>
      </w:r>
      <w:r>
        <w:rPr>
          <w:rFonts w:ascii="宋体" w:hAnsi="宋体" w:eastAsia="宋体" w:cs="宋体"/>
          <w:b/>
          <w:bCs/>
          <w:spacing w:val="-4"/>
          <w:sz w:val="24"/>
          <w:szCs w:val="24"/>
        </w:rPr>
        <w:t>项的内容：</w:t>
      </w:r>
    </w:p>
    <w:p w14:paraId="2FDC5D90">
      <w:pPr>
        <w:spacing w:before="183" w:line="360" w:lineRule="auto"/>
        <w:ind w:left="8" w:right="87" w:firstLine="480"/>
        <w:jc w:val="both"/>
        <w:rPr>
          <w:rFonts w:ascii="宋体" w:hAnsi="宋体" w:eastAsia="宋体" w:cs="宋体"/>
          <w:sz w:val="24"/>
          <w:szCs w:val="24"/>
        </w:rPr>
      </w:pPr>
      <w:r>
        <w:rPr>
          <w:rFonts w:ascii="宋体" w:hAnsi="宋体" w:eastAsia="宋体" w:cs="宋体"/>
          <w:spacing w:val="-2"/>
          <w:sz w:val="24"/>
          <w:szCs w:val="24"/>
        </w:rPr>
        <w:t>开工审核前，监理人必须按照国家及省市相关规定所要求的认定标准，对本工程承</w:t>
      </w:r>
      <w:r>
        <w:rPr>
          <w:rFonts w:ascii="宋体" w:hAnsi="宋体" w:eastAsia="宋体" w:cs="宋体"/>
          <w:spacing w:val="-7"/>
          <w:sz w:val="24"/>
          <w:szCs w:val="24"/>
        </w:rPr>
        <w:t>包人所投入的专业技术人员职业资格是否存在“挂证</w:t>
      </w:r>
      <w:r>
        <w:rPr>
          <w:rFonts w:ascii="宋体" w:hAnsi="宋体" w:eastAsia="宋体" w:cs="宋体"/>
          <w:spacing w:val="-70"/>
          <w:sz w:val="24"/>
          <w:szCs w:val="24"/>
        </w:rPr>
        <w:t xml:space="preserve"> </w:t>
      </w:r>
      <w:r>
        <w:rPr>
          <w:rFonts w:ascii="宋体" w:hAnsi="宋体" w:eastAsia="宋体" w:cs="宋体"/>
          <w:spacing w:val="-7"/>
          <w:sz w:val="24"/>
          <w:szCs w:val="24"/>
        </w:rPr>
        <w:t>”等违法违规行为进行排查、核实、</w:t>
      </w:r>
      <w:r>
        <w:rPr>
          <w:rFonts w:ascii="宋体" w:hAnsi="宋体" w:eastAsia="宋体" w:cs="宋体"/>
          <w:spacing w:val="-2"/>
          <w:sz w:val="24"/>
          <w:szCs w:val="24"/>
        </w:rPr>
        <w:t>处理，确保投入人员到岗履职以及人员实际工作单位（工作单位同承包单位）与注册单位一致、人员社会保险缴纳单位与注册单位一致，否则必须整改落实到位后方可批准开</w:t>
      </w:r>
    </w:p>
    <w:p w14:paraId="26E087B5">
      <w:pPr>
        <w:spacing w:before="312" w:line="235" w:lineRule="auto"/>
        <w:ind w:left="11"/>
        <w:rPr>
          <w:rFonts w:ascii="宋体" w:hAnsi="宋体" w:eastAsia="宋体" w:cs="宋体"/>
          <w:sz w:val="24"/>
          <w:szCs w:val="24"/>
        </w:rPr>
      </w:pPr>
      <w:r>
        <w:rPr>
          <w:rFonts w:ascii="宋体" w:hAnsi="宋体" w:eastAsia="宋体" w:cs="宋体"/>
          <w:spacing w:val="-7"/>
          <w:sz w:val="24"/>
          <w:szCs w:val="24"/>
        </w:rPr>
        <w:br w:type="page"/>
      </w:r>
      <w:r>
        <w:rPr>
          <w:rFonts w:ascii="宋体" w:hAnsi="宋体" w:eastAsia="宋体" w:cs="宋体"/>
          <w:spacing w:val="-7"/>
          <w:sz w:val="24"/>
          <w:szCs w:val="24"/>
        </w:rPr>
        <w:t>工。</w:t>
      </w:r>
    </w:p>
    <w:p w14:paraId="39DC5220">
      <w:pPr>
        <w:spacing w:before="159" w:line="221" w:lineRule="auto"/>
        <w:ind w:left="493"/>
        <w:rPr>
          <w:rFonts w:ascii="宋体" w:hAnsi="宋体" w:eastAsia="宋体" w:cs="宋体"/>
          <w:sz w:val="24"/>
          <w:szCs w:val="24"/>
        </w:rPr>
      </w:pPr>
      <w:r>
        <w:rPr>
          <w:rFonts w:ascii="宋体" w:hAnsi="宋体" w:eastAsia="宋体" w:cs="宋体"/>
          <w:b/>
          <w:bCs/>
          <w:spacing w:val="-3"/>
          <w:sz w:val="24"/>
          <w:szCs w:val="24"/>
        </w:rPr>
        <w:t>3.4</w:t>
      </w:r>
      <w:r>
        <w:rPr>
          <w:rFonts w:ascii="宋体" w:hAnsi="宋体" w:eastAsia="宋体" w:cs="宋体"/>
          <w:spacing w:val="-3"/>
          <w:sz w:val="24"/>
          <w:szCs w:val="24"/>
        </w:rPr>
        <w:t xml:space="preserve"> </w:t>
      </w:r>
      <w:r>
        <w:rPr>
          <w:rFonts w:ascii="宋体" w:hAnsi="宋体" w:eastAsia="宋体" w:cs="宋体"/>
          <w:b/>
          <w:bCs/>
          <w:spacing w:val="-3"/>
          <w:sz w:val="24"/>
          <w:szCs w:val="24"/>
        </w:rPr>
        <w:t>监理人的指示</w:t>
      </w:r>
    </w:p>
    <w:p w14:paraId="6E270EAF">
      <w:pPr>
        <w:spacing w:before="180" w:line="219" w:lineRule="auto"/>
        <w:ind w:left="488"/>
        <w:rPr>
          <w:rFonts w:ascii="宋体" w:hAnsi="宋体" w:eastAsia="宋体" w:cs="宋体"/>
          <w:sz w:val="24"/>
          <w:szCs w:val="24"/>
        </w:rPr>
      </w:pPr>
      <w:r>
        <w:rPr>
          <w:rFonts w:ascii="宋体" w:hAnsi="宋体" w:eastAsia="宋体" w:cs="宋体"/>
          <w:spacing w:val="-2"/>
          <w:sz w:val="24"/>
          <w:szCs w:val="24"/>
        </w:rPr>
        <w:t>通用合同条款</w:t>
      </w:r>
      <w:r>
        <w:rPr>
          <w:rFonts w:ascii="宋体" w:hAnsi="宋体" w:eastAsia="宋体" w:cs="宋体"/>
          <w:spacing w:val="-38"/>
          <w:sz w:val="24"/>
          <w:szCs w:val="24"/>
        </w:rPr>
        <w:t xml:space="preserve"> </w:t>
      </w:r>
      <w:r>
        <w:rPr>
          <w:rFonts w:ascii="宋体" w:hAnsi="宋体" w:eastAsia="宋体" w:cs="宋体"/>
          <w:spacing w:val="-2"/>
          <w:sz w:val="24"/>
          <w:szCs w:val="24"/>
        </w:rPr>
        <w:t>3.4.5</w:t>
      </w:r>
      <w:r>
        <w:rPr>
          <w:rFonts w:ascii="宋体" w:hAnsi="宋体" w:eastAsia="宋体" w:cs="宋体"/>
          <w:spacing w:val="-47"/>
          <w:sz w:val="24"/>
          <w:szCs w:val="24"/>
        </w:rPr>
        <w:t xml:space="preserve"> </w:t>
      </w:r>
      <w:r>
        <w:rPr>
          <w:rFonts w:ascii="宋体" w:hAnsi="宋体" w:eastAsia="宋体" w:cs="宋体"/>
          <w:spacing w:val="-2"/>
          <w:sz w:val="24"/>
          <w:szCs w:val="24"/>
        </w:rPr>
        <w:t>项的内容不适用于本合同。</w:t>
      </w:r>
    </w:p>
    <w:p w14:paraId="6DAB07AA">
      <w:pPr>
        <w:spacing w:before="181" w:line="219" w:lineRule="auto"/>
        <w:ind w:left="7"/>
        <w:rPr>
          <w:rFonts w:ascii="宋体" w:hAnsi="宋体" w:eastAsia="宋体" w:cs="宋体"/>
          <w:sz w:val="24"/>
          <w:szCs w:val="24"/>
        </w:rPr>
      </w:pPr>
      <w:r>
        <w:rPr>
          <w:rFonts w:ascii="宋体" w:hAnsi="宋体" w:eastAsia="宋体" w:cs="宋体"/>
          <w:b/>
          <w:bCs/>
          <w:spacing w:val="-4"/>
          <w:sz w:val="24"/>
          <w:szCs w:val="24"/>
        </w:rPr>
        <w:t>4．承包人义务</w:t>
      </w:r>
    </w:p>
    <w:p w14:paraId="74DC2ADD">
      <w:pPr>
        <w:spacing w:before="183" w:line="219" w:lineRule="auto"/>
        <w:ind w:left="487"/>
        <w:rPr>
          <w:rFonts w:ascii="宋体" w:hAnsi="宋体" w:eastAsia="宋体" w:cs="宋体"/>
          <w:sz w:val="24"/>
          <w:szCs w:val="24"/>
        </w:rPr>
      </w:pPr>
      <w:r>
        <w:rPr>
          <w:rFonts w:ascii="宋体" w:hAnsi="宋体" w:eastAsia="宋体" w:cs="宋体"/>
          <w:b/>
          <w:bCs/>
          <w:spacing w:val="-3"/>
          <w:sz w:val="24"/>
          <w:szCs w:val="24"/>
        </w:rPr>
        <w:t>4.1</w:t>
      </w:r>
      <w:r>
        <w:rPr>
          <w:rFonts w:ascii="宋体" w:hAnsi="宋体" w:eastAsia="宋体" w:cs="宋体"/>
          <w:spacing w:val="-3"/>
          <w:sz w:val="24"/>
          <w:szCs w:val="24"/>
        </w:rPr>
        <w:t xml:space="preserve"> </w:t>
      </w:r>
      <w:r>
        <w:rPr>
          <w:rFonts w:ascii="宋体" w:hAnsi="宋体" w:eastAsia="宋体" w:cs="宋体"/>
          <w:b/>
          <w:bCs/>
          <w:spacing w:val="-3"/>
          <w:sz w:val="24"/>
          <w:szCs w:val="24"/>
        </w:rPr>
        <w:t>承包人的一般义务</w:t>
      </w:r>
    </w:p>
    <w:p w14:paraId="20C09F0B">
      <w:pPr>
        <w:spacing w:before="181" w:line="219" w:lineRule="auto"/>
        <w:ind w:left="487"/>
        <w:rPr>
          <w:rFonts w:ascii="宋体" w:hAnsi="宋体" w:eastAsia="宋体" w:cs="宋体"/>
          <w:sz w:val="24"/>
          <w:szCs w:val="24"/>
        </w:rPr>
      </w:pPr>
      <w:r>
        <w:rPr>
          <w:rFonts w:ascii="宋体" w:hAnsi="宋体" w:eastAsia="宋体" w:cs="宋体"/>
          <w:spacing w:val="-1"/>
          <w:sz w:val="24"/>
          <w:szCs w:val="24"/>
        </w:rPr>
        <w:t>4.1.1 遵守法律</w:t>
      </w:r>
    </w:p>
    <w:p w14:paraId="57997BBF">
      <w:pPr>
        <w:spacing w:before="183" w:line="359" w:lineRule="auto"/>
        <w:ind w:left="26" w:right="167" w:firstLine="462"/>
        <w:rPr>
          <w:rFonts w:ascii="宋体" w:hAnsi="宋体" w:eastAsia="宋体" w:cs="宋体"/>
          <w:sz w:val="24"/>
          <w:szCs w:val="24"/>
        </w:rPr>
      </w:pPr>
      <w:r>
        <w:rPr>
          <w:rFonts w:ascii="宋体" w:hAnsi="宋体" w:eastAsia="宋体" w:cs="宋体"/>
          <w:spacing w:val="-2"/>
          <w:sz w:val="24"/>
          <w:szCs w:val="24"/>
        </w:rPr>
        <w:t>承包人在履行合同过程中应遵守法律，并保证发包人免于承担因承包人违反法律而</w:t>
      </w:r>
      <w:r>
        <w:rPr>
          <w:rFonts w:ascii="宋体" w:hAnsi="宋体" w:eastAsia="宋体" w:cs="宋体"/>
          <w:spacing w:val="-4"/>
          <w:sz w:val="24"/>
          <w:szCs w:val="24"/>
        </w:rPr>
        <w:t>引起的任何责任。</w:t>
      </w:r>
    </w:p>
    <w:p w14:paraId="6EB9EC0F">
      <w:pPr>
        <w:spacing w:before="1" w:line="218" w:lineRule="auto"/>
        <w:ind w:left="488"/>
        <w:rPr>
          <w:rFonts w:ascii="宋体" w:hAnsi="宋体" w:eastAsia="宋体" w:cs="宋体"/>
          <w:sz w:val="24"/>
          <w:szCs w:val="24"/>
        </w:rPr>
      </w:pPr>
      <w:r>
        <w:rPr>
          <w:rFonts w:ascii="宋体" w:hAnsi="宋体" w:eastAsia="宋体" w:cs="宋体"/>
          <w:spacing w:val="-1"/>
          <w:sz w:val="24"/>
          <w:szCs w:val="24"/>
        </w:rPr>
        <w:t>通用合同条款本款增加以下内容：</w:t>
      </w:r>
    </w:p>
    <w:p w14:paraId="628F445F">
      <w:pPr>
        <w:spacing w:before="183" w:line="359" w:lineRule="auto"/>
        <w:ind w:left="7" w:firstLine="481"/>
        <w:rPr>
          <w:rFonts w:ascii="宋体" w:hAnsi="宋体" w:eastAsia="宋体" w:cs="宋体"/>
          <w:sz w:val="24"/>
          <w:szCs w:val="24"/>
        </w:rPr>
      </w:pPr>
      <w:r>
        <w:rPr>
          <w:rFonts w:ascii="宋体" w:hAnsi="宋体" w:eastAsia="宋体" w:cs="宋体"/>
          <w:spacing w:val="-2"/>
          <w:sz w:val="24"/>
          <w:szCs w:val="24"/>
        </w:rPr>
        <w:t>开工审核前，承包人必须严格按照国家及省市相关规定所要求的认定标准，对本工</w:t>
      </w:r>
      <w:r>
        <w:rPr>
          <w:rFonts w:ascii="宋体" w:hAnsi="宋体" w:eastAsia="宋体" w:cs="宋体"/>
          <w:sz w:val="24"/>
          <w:szCs w:val="24"/>
        </w:rPr>
        <w:t>程承包人所投入的专业技术人员职业资格是否存在</w:t>
      </w:r>
      <w:r>
        <w:rPr>
          <w:rFonts w:ascii="宋体" w:hAnsi="宋体" w:eastAsia="宋体" w:cs="宋体"/>
          <w:spacing w:val="-1"/>
          <w:sz w:val="24"/>
          <w:szCs w:val="24"/>
        </w:rPr>
        <w:t>“挂证</w:t>
      </w:r>
      <w:r>
        <w:rPr>
          <w:rFonts w:ascii="宋体" w:hAnsi="宋体" w:eastAsia="宋体" w:cs="宋体"/>
          <w:spacing w:val="-88"/>
          <w:sz w:val="24"/>
          <w:szCs w:val="24"/>
        </w:rPr>
        <w:t xml:space="preserve"> </w:t>
      </w:r>
      <w:r>
        <w:rPr>
          <w:rFonts w:ascii="宋体" w:hAnsi="宋体" w:eastAsia="宋体" w:cs="宋体"/>
          <w:spacing w:val="-1"/>
          <w:sz w:val="24"/>
          <w:szCs w:val="24"/>
        </w:rPr>
        <w:t>”等违法违规行为进行排查、</w:t>
      </w:r>
      <w:r>
        <w:rPr>
          <w:rFonts w:ascii="宋体" w:hAnsi="宋体" w:eastAsia="宋体" w:cs="宋体"/>
          <w:spacing w:val="-2"/>
          <w:sz w:val="24"/>
          <w:szCs w:val="24"/>
        </w:rPr>
        <w:t>核实、处理，确保投入人员到岗履职以及人员实际工作单位（工作单位同承包单位）与注册单位一致、人员社会保险缴纳单位与注册单位一致。如发现拟投入技术人员未到岗</w:t>
      </w:r>
      <w:r>
        <w:rPr>
          <w:rFonts w:ascii="宋体" w:hAnsi="宋体" w:eastAsia="宋体" w:cs="宋体"/>
          <w:spacing w:val="2"/>
          <w:sz w:val="24"/>
          <w:szCs w:val="24"/>
        </w:rPr>
        <w:t>履职、注册单位不在承包人单位、人员社会保险缴纳单位与注册单位不一致等“</w:t>
      </w:r>
      <w:r>
        <w:rPr>
          <w:rFonts w:ascii="宋体" w:hAnsi="宋体" w:eastAsia="宋体" w:cs="宋体"/>
          <w:spacing w:val="1"/>
          <w:sz w:val="24"/>
          <w:szCs w:val="24"/>
        </w:rPr>
        <w:t>挂证</w:t>
      </w:r>
      <w:r>
        <w:rPr>
          <w:rFonts w:ascii="宋体" w:hAnsi="宋体" w:eastAsia="宋体" w:cs="宋体"/>
          <w:spacing w:val="-88"/>
          <w:sz w:val="24"/>
          <w:szCs w:val="24"/>
        </w:rPr>
        <w:t xml:space="preserve"> </w:t>
      </w:r>
      <w:r>
        <w:rPr>
          <w:rFonts w:ascii="宋体" w:hAnsi="宋体" w:eastAsia="宋体" w:cs="宋体"/>
          <w:spacing w:val="1"/>
          <w:sz w:val="24"/>
          <w:szCs w:val="24"/>
        </w:rPr>
        <w:t>”</w:t>
      </w:r>
      <w:r>
        <w:rPr>
          <w:rFonts w:ascii="宋体" w:hAnsi="宋体" w:eastAsia="宋体" w:cs="宋体"/>
          <w:spacing w:val="-2"/>
          <w:sz w:val="24"/>
          <w:szCs w:val="24"/>
        </w:rPr>
        <w:t>行为，视为承包人违约，承担违约责任。并由发包人上报交通运输主管部门和发证机关</w:t>
      </w:r>
      <w:r>
        <w:rPr>
          <w:rFonts w:ascii="宋体" w:hAnsi="宋体" w:eastAsia="宋体" w:cs="宋体"/>
          <w:spacing w:val="-1"/>
          <w:sz w:val="24"/>
          <w:szCs w:val="24"/>
        </w:rPr>
        <w:t>依法依规从严处罚，承包人承担有关法律责任。</w:t>
      </w:r>
    </w:p>
    <w:p w14:paraId="2109346C">
      <w:pPr>
        <w:spacing w:before="1" w:line="219" w:lineRule="auto"/>
        <w:ind w:left="487"/>
        <w:rPr>
          <w:rFonts w:ascii="宋体" w:hAnsi="宋体" w:eastAsia="宋体" w:cs="宋体"/>
          <w:sz w:val="24"/>
          <w:szCs w:val="24"/>
        </w:rPr>
      </w:pPr>
      <w:r>
        <w:rPr>
          <w:rFonts w:ascii="宋体" w:hAnsi="宋体" w:eastAsia="宋体" w:cs="宋体"/>
          <w:b/>
          <w:bCs/>
          <w:spacing w:val="-3"/>
          <w:sz w:val="24"/>
          <w:szCs w:val="24"/>
        </w:rPr>
        <w:t>4.1.10</w:t>
      </w:r>
      <w:r>
        <w:rPr>
          <w:rFonts w:ascii="宋体" w:hAnsi="宋体" w:eastAsia="宋体" w:cs="宋体"/>
          <w:spacing w:val="-3"/>
          <w:sz w:val="24"/>
          <w:szCs w:val="24"/>
        </w:rPr>
        <w:t xml:space="preserve"> </w:t>
      </w:r>
      <w:r>
        <w:rPr>
          <w:rFonts w:ascii="宋体" w:hAnsi="宋体" w:eastAsia="宋体" w:cs="宋体"/>
          <w:b/>
          <w:bCs/>
          <w:spacing w:val="-3"/>
          <w:sz w:val="24"/>
          <w:szCs w:val="24"/>
        </w:rPr>
        <w:t>其他义务</w:t>
      </w:r>
    </w:p>
    <w:p w14:paraId="1C2A8363">
      <w:pPr>
        <w:spacing w:before="179" w:line="219" w:lineRule="auto"/>
        <w:ind w:left="488"/>
        <w:rPr>
          <w:rFonts w:ascii="宋体" w:hAnsi="宋体" w:eastAsia="宋体" w:cs="宋体"/>
          <w:sz w:val="24"/>
          <w:szCs w:val="24"/>
        </w:rPr>
      </w:pPr>
      <w:r>
        <w:rPr>
          <w:rFonts w:ascii="宋体" w:hAnsi="宋体" w:eastAsia="宋体" w:cs="宋体"/>
          <w:spacing w:val="-1"/>
          <w:sz w:val="24"/>
          <w:szCs w:val="24"/>
        </w:rPr>
        <w:t>通用合同条款本款的内容不适用于本合同，代之以：</w:t>
      </w:r>
    </w:p>
    <w:p w14:paraId="56E8BDC4">
      <w:pPr>
        <w:spacing w:before="186" w:line="359" w:lineRule="auto"/>
        <w:ind w:left="7" w:right="235" w:firstLine="480"/>
        <w:jc w:val="both"/>
        <w:rPr>
          <w:rFonts w:ascii="宋体" w:hAnsi="宋体" w:eastAsia="宋体" w:cs="宋体"/>
          <w:sz w:val="24"/>
          <w:szCs w:val="24"/>
        </w:rPr>
      </w:pPr>
      <w:r>
        <w:rPr>
          <w:rFonts w:ascii="宋体" w:hAnsi="宋体" w:eastAsia="宋体" w:cs="宋体"/>
          <w:sz w:val="24"/>
          <w:szCs w:val="24"/>
        </w:rPr>
        <w:t>4.1.10.1 施工准备：承包人负责施工现场的布置和临时设</w:t>
      </w:r>
      <w:r>
        <w:rPr>
          <w:rFonts w:ascii="宋体" w:hAnsi="宋体" w:eastAsia="宋体" w:cs="宋体"/>
          <w:spacing w:val="-1"/>
          <w:sz w:val="24"/>
          <w:szCs w:val="24"/>
        </w:rPr>
        <w:t>施的施工，在收到中标通知书后</w:t>
      </w:r>
      <w:r>
        <w:rPr>
          <w:rFonts w:ascii="宋体" w:hAnsi="宋体" w:eastAsia="宋体" w:cs="宋体"/>
          <w:spacing w:val="-46"/>
          <w:sz w:val="24"/>
          <w:szCs w:val="24"/>
        </w:rPr>
        <w:t xml:space="preserve"> </w:t>
      </w:r>
      <w:r>
        <w:rPr>
          <w:rFonts w:ascii="宋体" w:hAnsi="宋体" w:eastAsia="宋体" w:cs="宋体"/>
          <w:spacing w:val="-1"/>
          <w:sz w:val="24"/>
          <w:szCs w:val="24"/>
          <w:u w:val="single" w:color="auto"/>
        </w:rPr>
        <w:t>28</w:t>
      </w:r>
      <w:r>
        <w:rPr>
          <w:rFonts w:ascii="宋体" w:hAnsi="宋体" w:eastAsia="宋体" w:cs="宋体"/>
          <w:spacing w:val="-46"/>
          <w:sz w:val="24"/>
          <w:szCs w:val="24"/>
          <w:u w:val="single" w:color="auto"/>
        </w:rPr>
        <w:t xml:space="preserve"> </w:t>
      </w:r>
      <w:r>
        <w:rPr>
          <w:rFonts w:ascii="宋体" w:hAnsi="宋体" w:eastAsia="宋体" w:cs="宋体"/>
          <w:spacing w:val="-1"/>
          <w:sz w:val="24"/>
          <w:szCs w:val="24"/>
        </w:rPr>
        <w:t>天内向监理人提交详细的施工组织设计（包括劳动力进场计划）、施工进度计划及开工申请报告。</w:t>
      </w:r>
    </w:p>
    <w:p w14:paraId="54B923F5">
      <w:pPr>
        <w:spacing w:line="359" w:lineRule="auto"/>
        <w:ind w:left="31" w:right="167" w:firstLine="456"/>
        <w:rPr>
          <w:rFonts w:ascii="宋体" w:hAnsi="宋体" w:eastAsia="宋体" w:cs="宋体"/>
          <w:sz w:val="24"/>
          <w:szCs w:val="24"/>
        </w:rPr>
      </w:pPr>
      <w:r>
        <w:rPr>
          <w:rFonts w:ascii="宋体" w:hAnsi="宋体" w:eastAsia="宋体" w:cs="宋体"/>
          <w:spacing w:val="-3"/>
          <w:sz w:val="24"/>
          <w:szCs w:val="24"/>
        </w:rPr>
        <w:t>承包人应在开工</w:t>
      </w:r>
      <w:r>
        <w:rPr>
          <w:rFonts w:ascii="宋体" w:hAnsi="宋体" w:eastAsia="宋体" w:cs="宋体"/>
          <w:spacing w:val="-30"/>
          <w:sz w:val="24"/>
          <w:szCs w:val="24"/>
        </w:rPr>
        <w:t xml:space="preserve"> </w:t>
      </w:r>
      <w:r>
        <w:rPr>
          <w:rFonts w:ascii="宋体" w:hAnsi="宋体" w:eastAsia="宋体" w:cs="宋体"/>
          <w:spacing w:val="-3"/>
          <w:sz w:val="24"/>
          <w:szCs w:val="24"/>
          <w:u w:val="single" w:color="auto"/>
        </w:rPr>
        <w:t>5</w:t>
      </w:r>
      <w:r>
        <w:rPr>
          <w:rFonts w:ascii="宋体" w:hAnsi="宋体" w:eastAsia="宋体" w:cs="宋体"/>
          <w:spacing w:val="-46"/>
          <w:sz w:val="24"/>
          <w:szCs w:val="24"/>
          <w:u w:val="single" w:color="auto"/>
        </w:rPr>
        <w:t xml:space="preserve"> </w:t>
      </w:r>
      <w:r>
        <w:rPr>
          <w:rFonts w:ascii="宋体" w:hAnsi="宋体" w:eastAsia="宋体" w:cs="宋体"/>
          <w:spacing w:val="-3"/>
          <w:sz w:val="24"/>
          <w:szCs w:val="24"/>
        </w:rPr>
        <w:t>天前进驻施工场地，并将开工所需施工船舶、机械、设备按照合</w:t>
      </w:r>
      <w:r>
        <w:rPr>
          <w:rFonts w:ascii="宋体" w:hAnsi="宋体" w:eastAsia="宋体" w:cs="宋体"/>
          <w:spacing w:val="-2"/>
          <w:sz w:val="24"/>
          <w:szCs w:val="24"/>
        </w:rPr>
        <w:t>同约定进场到位，按规范要求办理进场手续。</w:t>
      </w:r>
    </w:p>
    <w:p w14:paraId="15735E9E">
      <w:pPr>
        <w:spacing w:line="359" w:lineRule="auto"/>
        <w:ind w:left="11" w:right="167" w:firstLine="476"/>
        <w:rPr>
          <w:rFonts w:ascii="宋体" w:hAnsi="宋体" w:eastAsia="宋体" w:cs="宋体"/>
          <w:sz w:val="24"/>
          <w:szCs w:val="24"/>
        </w:rPr>
      </w:pPr>
      <w:r>
        <w:rPr>
          <w:rFonts w:ascii="宋体" w:hAnsi="宋体" w:eastAsia="宋体" w:cs="宋体"/>
          <w:spacing w:val="-3"/>
          <w:sz w:val="24"/>
          <w:szCs w:val="24"/>
        </w:rPr>
        <w:t>4.1.10.2</w:t>
      </w:r>
      <w:r>
        <w:rPr>
          <w:rFonts w:ascii="宋体" w:hAnsi="宋体" w:eastAsia="宋体" w:cs="宋体"/>
          <w:spacing w:val="-51"/>
          <w:sz w:val="24"/>
          <w:szCs w:val="24"/>
        </w:rPr>
        <w:t xml:space="preserve"> </w:t>
      </w:r>
      <w:r>
        <w:rPr>
          <w:rFonts w:ascii="宋体" w:hAnsi="宋体" w:eastAsia="宋体" w:cs="宋体"/>
          <w:spacing w:val="-3"/>
          <w:sz w:val="24"/>
          <w:szCs w:val="24"/>
        </w:rPr>
        <w:t>承包人按照批准的临时设施总平面图布置图及</w:t>
      </w:r>
      <w:r>
        <w:rPr>
          <w:rFonts w:ascii="宋体" w:hAnsi="宋体" w:eastAsia="宋体" w:cs="宋体"/>
          <w:spacing w:val="-4"/>
          <w:sz w:val="24"/>
          <w:szCs w:val="24"/>
        </w:rPr>
        <w:t>相关生活配套设施，负责施</w:t>
      </w:r>
      <w:r>
        <w:rPr>
          <w:rFonts w:ascii="宋体" w:hAnsi="宋体" w:eastAsia="宋体" w:cs="宋体"/>
          <w:spacing w:val="-1"/>
          <w:sz w:val="24"/>
          <w:szCs w:val="24"/>
        </w:rPr>
        <w:t>工现场的布置和临时设施的施工。</w:t>
      </w:r>
    </w:p>
    <w:p w14:paraId="0111109D">
      <w:pPr>
        <w:spacing w:line="359" w:lineRule="auto"/>
        <w:ind w:left="8" w:right="167" w:firstLine="479"/>
        <w:rPr>
          <w:rFonts w:ascii="宋体" w:hAnsi="宋体" w:eastAsia="宋体" w:cs="宋体"/>
          <w:sz w:val="24"/>
          <w:szCs w:val="24"/>
        </w:rPr>
      </w:pPr>
      <w:r>
        <w:rPr>
          <w:rFonts w:ascii="宋体" w:hAnsi="宋体" w:eastAsia="宋体" w:cs="宋体"/>
          <w:spacing w:val="-3"/>
          <w:sz w:val="24"/>
          <w:szCs w:val="24"/>
        </w:rPr>
        <w:t>4.1.10.3</w:t>
      </w:r>
      <w:r>
        <w:rPr>
          <w:rFonts w:ascii="宋体" w:hAnsi="宋体" w:eastAsia="宋体" w:cs="宋体"/>
          <w:spacing w:val="-51"/>
          <w:sz w:val="24"/>
          <w:szCs w:val="24"/>
        </w:rPr>
        <w:t xml:space="preserve"> </w:t>
      </w:r>
      <w:r>
        <w:rPr>
          <w:rFonts w:ascii="宋体" w:hAnsi="宋体" w:eastAsia="宋体" w:cs="宋体"/>
          <w:spacing w:val="-3"/>
          <w:sz w:val="24"/>
          <w:szCs w:val="24"/>
        </w:rPr>
        <w:t>承包人应妥善处理好与工程其他承包人的配合</w:t>
      </w:r>
      <w:r>
        <w:rPr>
          <w:rFonts w:ascii="宋体" w:hAnsi="宋体" w:eastAsia="宋体" w:cs="宋体"/>
          <w:spacing w:val="-4"/>
          <w:sz w:val="24"/>
          <w:szCs w:val="24"/>
        </w:rPr>
        <w:t>关系。发生交叉施工时，承</w:t>
      </w:r>
      <w:r>
        <w:rPr>
          <w:rFonts w:ascii="宋体" w:hAnsi="宋体" w:eastAsia="宋体" w:cs="宋体"/>
          <w:sz w:val="24"/>
          <w:szCs w:val="24"/>
        </w:rPr>
        <w:t>包人和工程其他承包人应相互配合，友好协作，并</w:t>
      </w:r>
      <w:r>
        <w:rPr>
          <w:rFonts w:ascii="宋体" w:hAnsi="宋体" w:eastAsia="宋体" w:cs="宋体"/>
          <w:spacing w:val="-1"/>
          <w:sz w:val="24"/>
          <w:szCs w:val="24"/>
        </w:rPr>
        <w:t>服从监理人的统一协调。</w:t>
      </w:r>
    </w:p>
    <w:p w14:paraId="287CD12F">
      <w:pPr>
        <w:spacing w:before="4" w:line="359" w:lineRule="auto"/>
        <w:ind w:left="7" w:right="87" w:firstLine="480"/>
        <w:rPr>
          <w:rFonts w:ascii="宋体" w:hAnsi="宋体" w:eastAsia="宋体" w:cs="宋体"/>
          <w:sz w:val="24"/>
          <w:szCs w:val="24"/>
        </w:rPr>
      </w:pPr>
      <w:r>
        <w:rPr>
          <w:rFonts w:ascii="宋体" w:hAnsi="宋体" w:eastAsia="宋体" w:cs="宋体"/>
          <w:spacing w:val="-1"/>
          <w:sz w:val="24"/>
          <w:szCs w:val="24"/>
        </w:rPr>
        <w:t>4.1.10.4</w:t>
      </w:r>
      <w:r>
        <w:rPr>
          <w:rFonts w:ascii="宋体" w:hAnsi="宋体" w:eastAsia="宋体" w:cs="宋体"/>
          <w:spacing w:val="-44"/>
          <w:sz w:val="24"/>
          <w:szCs w:val="24"/>
        </w:rPr>
        <w:t xml:space="preserve"> </w:t>
      </w:r>
      <w:r>
        <w:rPr>
          <w:rFonts w:ascii="宋体" w:hAnsi="宋体" w:eastAsia="宋体" w:cs="宋体"/>
          <w:spacing w:val="-1"/>
          <w:sz w:val="24"/>
          <w:szCs w:val="24"/>
        </w:rPr>
        <w:t>承包人应根据工程施工情况及</w:t>
      </w:r>
      <w:r>
        <w:rPr>
          <w:rFonts w:ascii="宋体" w:hAnsi="宋体" w:eastAsia="宋体" w:cs="宋体"/>
          <w:spacing w:val="-2"/>
          <w:sz w:val="24"/>
          <w:szCs w:val="24"/>
        </w:rPr>
        <w:t>监理人指令，及时向监理人提交开工报告、测量报告、试验检验报告、隐蔽工程验收申请、工程质量自检报告、交工验收申请报告</w:t>
      </w:r>
      <w:r>
        <w:rPr>
          <w:rFonts w:ascii="宋体" w:hAnsi="宋体" w:eastAsia="宋体" w:cs="宋体"/>
          <w:spacing w:val="-1"/>
          <w:sz w:val="24"/>
          <w:szCs w:val="24"/>
        </w:rPr>
        <w:t>及工程事故报告等。</w:t>
      </w:r>
    </w:p>
    <w:p w14:paraId="5D51F2C1">
      <w:pPr>
        <w:spacing w:before="312" w:line="359" w:lineRule="auto"/>
        <w:ind w:left="8" w:firstLine="479"/>
        <w:rPr>
          <w:rFonts w:ascii="宋体" w:hAnsi="宋体" w:eastAsia="宋体" w:cs="宋体"/>
          <w:sz w:val="24"/>
          <w:szCs w:val="24"/>
        </w:rPr>
      </w:pPr>
      <w:r>
        <w:rPr>
          <w:rFonts w:ascii="宋体" w:hAnsi="宋体" w:eastAsia="宋体" w:cs="宋体"/>
          <w:spacing w:val="-1"/>
          <w:sz w:val="24"/>
          <w:szCs w:val="24"/>
        </w:rPr>
        <w:br w:type="page"/>
      </w:r>
      <w:r>
        <w:rPr>
          <w:rFonts w:ascii="宋体" w:hAnsi="宋体" w:eastAsia="宋体" w:cs="宋体"/>
          <w:spacing w:val="-1"/>
          <w:sz w:val="24"/>
          <w:szCs w:val="24"/>
        </w:rPr>
        <w:t>4.1.10.5</w:t>
      </w:r>
      <w:r>
        <w:rPr>
          <w:rFonts w:ascii="宋体" w:hAnsi="宋体" w:eastAsia="宋体" w:cs="宋体"/>
          <w:spacing w:val="-51"/>
          <w:sz w:val="24"/>
          <w:szCs w:val="24"/>
        </w:rPr>
        <w:t xml:space="preserve"> </w:t>
      </w:r>
      <w:r>
        <w:rPr>
          <w:rFonts w:ascii="宋体" w:hAnsi="宋体" w:eastAsia="宋体" w:cs="宋体"/>
          <w:spacing w:val="-1"/>
          <w:sz w:val="24"/>
          <w:szCs w:val="24"/>
        </w:rPr>
        <w:t>承包人应支付为获得施工许可</w:t>
      </w:r>
      <w:r>
        <w:rPr>
          <w:rFonts w:ascii="宋体" w:hAnsi="宋体" w:eastAsia="宋体" w:cs="宋体"/>
          <w:spacing w:val="-2"/>
          <w:sz w:val="24"/>
          <w:szCs w:val="24"/>
        </w:rPr>
        <w:t>证及到港船舶检验等有关证件所需的费用、</w:t>
      </w:r>
      <w:r>
        <w:rPr>
          <w:rFonts w:ascii="宋体" w:hAnsi="宋体" w:eastAsia="宋体" w:cs="宋体"/>
          <w:spacing w:val="-2"/>
          <w:sz w:val="24"/>
          <w:szCs w:val="24"/>
          <w:u w:val="single" w:color="auto"/>
        </w:rPr>
        <w:t>疏浚物海洋倾倒费、取样检测费；办理应由承包人办理的施工所需各种证件、批件和其</w:t>
      </w:r>
      <w:r>
        <w:rPr>
          <w:rFonts w:ascii="宋体" w:hAnsi="宋体" w:eastAsia="宋体" w:cs="宋体"/>
          <w:spacing w:val="-2"/>
          <w:sz w:val="24"/>
          <w:szCs w:val="24"/>
        </w:rPr>
        <w:t>他审批手续。施工过程中应遵守政府及地方的有关航道、水利、海事、海洋、环保等方</w:t>
      </w:r>
      <w:r>
        <w:rPr>
          <w:rFonts w:ascii="宋体" w:hAnsi="宋体" w:eastAsia="宋体" w:cs="宋体"/>
          <w:spacing w:val="-1"/>
          <w:sz w:val="24"/>
          <w:szCs w:val="24"/>
        </w:rPr>
        <w:t>面法律、法规和规章。</w:t>
      </w:r>
    </w:p>
    <w:p w14:paraId="7B4E7E9A">
      <w:pPr>
        <w:spacing w:line="359" w:lineRule="auto"/>
        <w:ind w:left="8" w:right="73" w:firstLine="479"/>
        <w:rPr>
          <w:rFonts w:ascii="宋体" w:hAnsi="宋体" w:eastAsia="宋体" w:cs="宋体"/>
          <w:sz w:val="24"/>
          <w:szCs w:val="24"/>
        </w:rPr>
      </w:pPr>
      <w:r>
        <w:rPr>
          <w:rFonts w:ascii="宋体" w:hAnsi="宋体" w:eastAsia="宋体" w:cs="宋体"/>
          <w:spacing w:val="-3"/>
          <w:sz w:val="24"/>
          <w:szCs w:val="24"/>
        </w:rPr>
        <w:t>4.1.10.6</w:t>
      </w:r>
      <w:r>
        <w:rPr>
          <w:rFonts w:ascii="宋体" w:hAnsi="宋体" w:eastAsia="宋体" w:cs="宋体"/>
          <w:spacing w:val="-51"/>
          <w:sz w:val="24"/>
          <w:szCs w:val="24"/>
        </w:rPr>
        <w:t xml:space="preserve"> </w:t>
      </w:r>
      <w:r>
        <w:rPr>
          <w:rFonts w:ascii="宋体" w:hAnsi="宋体" w:eastAsia="宋体" w:cs="宋体"/>
          <w:spacing w:val="-3"/>
          <w:sz w:val="24"/>
          <w:szCs w:val="24"/>
        </w:rPr>
        <w:t>承包人应解决施工船舶的临时停泊设施并不得</w:t>
      </w:r>
      <w:r>
        <w:rPr>
          <w:rFonts w:ascii="宋体" w:hAnsi="宋体" w:eastAsia="宋体" w:cs="宋体"/>
          <w:spacing w:val="-4"/>
          <w:sz w:val="24"/>
          <w:szCs w:val="24"/>
        </w:rPr>
        <w:t>阻碍航道、妨碍进出港船舶</w:t>
      </w:r>
      <w:r>
        <w:rPr>
          <w:rFonts w:ascii="宋体" w:hAnsi="宋体" w:eastAsia="宋体" w:cs="宋体"/>
          <w:spacing w:val="-1"/>
          <w:sz w:val="24"/>
          <w:szCs w:val="24"/>
        </w:rPr>
        <w:t>航行及安全，保证船舶在施工水域内航行安全和畅通。</w:t>
      </w:r>
    </w:p>
    <w:p w14:paraId="73EACAC9">
      <w:pPr>
        <w:spacing w:line="359" w:lineRule="auto"/>
        <w:ind w:left="7" w:right="11" w:firstLine="480"/>
        <w:rPr>
          <w:rFonts w:ascii="宋体" w:hAnsi="宋体" w:eastAsia="宋体" w:cs="宋体"/>
          <w:sz w:val="24"/>
          <w:szCs w:val="24"/>
        </w:rPr>
      </w:pPr>
      <w:r>
        <w:rPr>
          <w:rFonts w:ascii="宋体" w:hAnsi="宋体" w:eastAsia="宋体" w:cs="宋体"/>
          <w:spacing w:val="-3"/>
          <w:sz w:val="24"/>
          <w:szCs w:val="24"/>
        </w:rPr>
        <w:t>4.1.10.7</w:t>
      </w:r>
      <w:r>
        <w:rPr>
          <w:rFonts w:ascii="宋体" w:hAnsi="宋体" w:eastAsia="宋体" w:cs="宋体"/>
          <w:spacing w:val="-51"/>
          <w:sz w:val="24"/>
          <w:szCs w:val="24"/>
        </w:rPr>
        <w:t xml:space="preserve"> </w:t>
      </w:r>
      <w:r>
        <w:rPr>
          <w:rFonts w:ascii="宋体" w:hAnsi="宋体" w:eastAsia="宋体" w:cs="宋体"/>
          <w:spacing w:val="-3"/>
          <w:sz w:val="24"/>
          <w:szCs w:val="24"/>
        </w:rPr>
        <w:t>承包人应采取一切措施，防止施工船舶、机械</w:t>
      </w:r>
      <w:r>
        <w:rPr>
          <w:rFonts w:ascii="宋体" w:hAnsi="宋体" w:eastAsia="宋体" w:cs="宋体"/>
          <w:spacing w:val="-4"/>
          <w:sz w:val="24"/>
          <w:szCs w:val="24"/>
        </w:rPr>
        <w:t>、设备及材料的沉没。若发</w:t>
      </w:r>
      <w:r>
        <w:rPr>
          <w:rFonts w:ascii="宋体" w:hAnsi="宋体" w:eastAsia="宋体" w:cs="宋体"/>
          <w:spacing w:val="-6"/>
          <w:sz w:val="24"/>
          <w:szCs w:val="24"/>
        </w:rPr>
        <w:t>生沉没，应立即向有关部门报告，并及时通知发包人、监理人。承包人应</w:t>
      </w:r>
      <w:r>
        <w:rPr>
          <w:rFonts w:ascii="宋体" w:hAnsi="宋体" w:eastAsia="宋体" w:cs="宋体"/>
          <w:spacing w:val="-7"/>
          <w:sz w:val="24"/>
          <w:szCs w:val="24"/>
        </w:rPr>
        <w:t>采取得当措施，</w:t>
      </w:r>
      <w:r>
        <w:rPr>
          <w:rFonts w:ascii="宋体" w:hAnsi="宋体" w:eastAsia="宋体" w:cs="宋体"/>
          <w:spacing w:val="-2"/>
          <w:sz w:val="24"/>
          <w:szCs w:val="24"/>
        </w:rPr>
        <w:t>及时设置浮标或障碍指示灯，直至打捞工作完成为止，并支付相关费用，发包人不另行支付任何费用。</w:t>
      </w:r>
    </w:p>
    <w:p w14:paraId="7B936314">
      <w:pPr>
        <w:spacing w:line="359" w:lineRule="auto"/>
        <w:ind w:left="7" w:right="73" w:firstLine="480"/>
        <w:rPr>
          <w:rFonts w:ascii="宋体" w:hAnsi="宋体" w:eastAsia="宋体" w:cs="宋体"/>
          <w:sz w:val="24"/>
          <w:szCs w:val="24"/>
        </w:rPr>
      </w:pPr>
      <w:r>
        <w:rPr>
          <w:rFonts w:ascii="宋体" w:hAnsi="宋体" w:eastAsia="宋体" w:cs="宋体"/>
          <w:spacing w:val="-3"/>
          <w:sz w:val="24"/>
          <w:szCs w:val="24"/>
        </w:rPr>
        <w:t>4.1.10.8</w:t>
      </w:r>
      <w:r>
        <w:rPr>
          <w:rFonts w:ascii="宋体" w:hAnsi="宋体" w:eastAsia="宋体" w:cs="宋体"/>
          <w:spacing w:val="-51"/>
          <w:sz w:val="24"/>
          <w:szCs w:val="24"/>
        </w:rPr>
        <w:t xml:space="preserve"> </w:t>
      </w:r>
      <w:r>
        <w:rPr>
          <w:rFonts w:ascii="宋体" w:hAnsi="宋体" w:eastAsia="宋体" w:cs="宋体"/>
          <w:spacing w:val="-3"/>
          <w:sz w:val="24"/>
          <w:szCs w:val="24"/>
        </w:rPr>
        <w:t>承包人应充分考虑到施工现场所有的设备、临</w:t>
      </w:r>
      <w:r>
        <w:rPr>
          <w:rFonts w:ascii="宋体" w:hAnsi="宋体" w:eastAsia="宋体" w:cs="宋体"/>
          <w:spacing w:val="-4"/>
          <w:sz w:val="24"/>
          <w:szCs w:val="24"/>
        </w:rPr>
        <w:t>时建筑等防火安全，配备足</w:t>
      </w:r>
      <w:r>
        <w:rPr>
          <w:rFonts w:ascii="宋体" w:hAnsi="宋体" w:eastAsia="宋体" w:cs="宋体"/>
          <w:spacing w:val="-2"/>
          <w:sz w:val="24"/>
          <w:szCs w:val="24"/>
        </w:rPr>
        <w:t>够的防火设备。</w:t>
      </w:r>
    </w:p>
    <w:p w14:paraId="7C55D6A8">
      <w:pPr>
        <w:spacing w:line="219" w:lineRule="auto"/>
        <w:ind w:left="487"/>
        <w:rPr>
          <w:rFonts w:ascii="宋体" w:hAnsi="宋体" w:eastAsia="宋体" w:cs="宋体"/>
          <w:sz w:val="24"/>
          <w:szCs w:val="24"/>
        </w:rPr>
      </w:pPr>
      <w:r>
        <w:rPr>
          <w:rFonts w:ascii="宋体" w:hAnsi="宋体" w:eastAsia="宋体" w:cs="宋体"/>
          <w:sz w:val="24"/>
          <w:szCs w:val="24"/>
        </w:rPr>
        <w:t>4.1.10.9</w:t>
      </w:r>
      <w:r>
        <w:rPr>
          <w:rFonts w:ascii="宋体" w:hAnsi="宋体" w:eastAsia="宋体" w:cs="宋体"/>
          <w:spacing w:val="-51"/>
          <w:sz w:val="24"/>
          <w:szCs w:val="24"/>
        </w:rPr>
        <w:t xml:space="preserve"> </w:t>
      </w:r>
      <w:r>
        <w:rPr>
          <w:rFonts w:ascii="宋体" w:hAnsi="宋体" w:eastAsia="宋体" w:cs="宋体"/>
          <w:sz w:val="24"/>
          <w:szCs w:val="24"/>
        </w:rPr>
        <w:t>承包人应在施工过程中对</w:t>
      </w:r>
      <w:r>
        <w:rPr>
          <w:rFonts w:ascii="宋体" w:hAnsi="宋体" w:eastAsia="宋体" w:cs="宋体"/>
          <w:spacing w:val="-1"/>
          <w:sz w:val="24"/>
          <w:szCs w:val="24"/>
        </w:rPr>
        <w:t>与工程建筑物进行监测，并承担相应费用。</w:t>
      </w:r>
    </w:p>
    <w:p w14:paraId="28B79059">
      <w:pPr>
        <w:spacing w:before="180" w:line="359" w:lineRule="auto"/>
        <w:ind w:left="8" w:right="11" w:firstLine="479"/>
        <w:rPr>
          <w:rFonts w:ascii="宋体" w:hAnsi="宋体" w:eastAsia="宋体" w:cs="宋体"/>
          <w:sz w:val="24"/>
          <w:szCs w:val="24"/>
        </w:rPr>
      </w:pPr>
      <w:r>
        <w:rPr>
          <w:rFonts w:ascii="宋体" w:hAnsi="宋体" w:eastAsia="宋体" w:cs="宋体"/>
          <w:spacing w:val="-1"/>
          <w:sz w:val="24"/>
          <w:szCs w:val="24"/>
        </w:rPr>
        <w:t>4.1.10.10</w:t>
      </w:r>
      <w:r>
        <w:rPr>
          <w:rFonts w:ascii="宋体" w:hAnsi="宋体" w:eastAsia="宋体" w:cs="宋体"/>
          <w:spacing w:val="-30"/>
          <w:sz w:val="24"/>
          <w:szCs w:val="24"/>
        </w:rPr>
        <w:t xml:space="preserve"> </w:t>
      </w:r>
      <w:r>
        <w:rPr>
          <w:rFonts w:ascii="宋体" w:hAnsi="宋体" w:eastAsia="宋体" w:cs="宋体"/>
          <w:spacing w:val="-1"/>
          <w:sz w:val="24"/>
          <w:szCs w:val="24"/>
        </w:rPr>
        <w:t>为了确保工程顺利实施，监理人按合同条款约定在现场发出的指令，承</w:t>
      </w:r>
      <w:r>
        <w:rPr>
          <w:rFonts w:ascii="宋体" w:hAnsi="宋体" w:eastAsia="宋体" w:cs="宋体"/>
          <w:spacing w:val="-2"/>
          <w:sz w:val="24"/>
          <w:szCs w:val="24"/>
        </w:rPr>
        <w:t>包人应无条件执行，若承包人拒不执行，发包人可委托第三方完成，所需费用直接从承</w:t>
      </w:r>
      <w:r>
        <w:rPr>
          <w:rFonts w:ascii="宋体" w:hAnsi="宋体" w:eastAsia="宋体" w:cs="宋体"/>
          <w:spacing w:val="-4"/>
          <w:sz w:val="24"/>
          <w:szCs w:val="24"/>
        </w:rPr>
        <w:t>包人的工程款中扣除（金额不限于承包人相应工程的报价金额</w:t>
      </w:r>
      <w:r>
        <w:rPr>
          <w:rFonts w:ascii="宋体" w:hAnsi="宋体" w:eastAsia="宋体" w:cs="宋体"/>
          <w:spacing w:val="-47"/>
          <w:sz w:val="24"/>
          <w:szCs w:val="24"/>
        </w:rPr>
        <w:t>），</w:t>
      </w:r>
      <w:r>
        <w:rPr>
          <w:rFonts w:ascii="宋体" w:hAnsi="宋体" w:eastAsia="宋体" w:cs="宋体"/>
          <w:spacing w:val="-4"/>
          <w:sz w:val="24"/>
          <w:szCs w:val="24"/>
        </w:rPr>
        <w:t>无须经过承包人同意，</w:t>
      </w:r>
      <w:r>
        <w:rPr>
          <w:rFonts w:ascii="宋体" w:hAnsi="宋体" w:eastAsia="宋体" w:cs="宋体"/>
          <w:sz w:val="24"/>
          <w:szCs w:val="24"/>
        </w:rPr>
        <w:t>承包人应承担的全部责任，发包人有权追究</w:t>
      </w:r>
      <w:r>
        <w:rPr>
          <w:rFonts w:ascii="宋体" w:hAnsi="宋体" w:eastAsia="宋体" w:cs="宋体"/>
          <w:spacing w:val="-1"/>
          <w:sz w:val="24"/>
          <w:szCs w:val="24"/>
        </w:rPr>
        <w:t>承包人的合同违约责任。</w:t>
      </w:r>
    </w:p>
    <w:p w14:paraId="590E82D4">
      <w:pPr>
        <w:spacing w:before="3" w:line="359" w:lineRule="auto"/>
        <w:ind w:left="9" w:right="73" w:firstLine="478"/>
        <w:rPr>
          <w:rFonts w:ascii="宋体" w:hAnsi="宋体" w:eastAsia="宋体" w:cs="宋体"/>
          <w:sz w:val="24"/>
          <w:szCs w:val="24"/>
        </w:rPr>
      </w:pPr>
      <w:r>
        <w:rPr>
          <w:rFonts w:ascii="宋体" w:hAnsi="宋体" w:eastAsia="宋体" w:cs="宋体"/>
          <w:spacing w:val="1"/>
          <w:sz w:val="24"/>
          <w:szCs w:val="24"/>
        </w:rPr>
        <w:t>4.1.10.11承包人应严格遵守政府有关解决拖欠工程款和劳务人员工资的法律、法</w:t>
      </w:r>
      <w:r>
        <w:rPr>
          <w:rFonts w:ascii="宋体" w:hAnsi="宋体" w:eastAsia="宋体" w:cs="宋体"/>
          <w:spacing w:val="-2"/>
          <w:sz w:val="24"/>
          <w:szCs w:val="24"/>
        </w:rPr>
        <w:t>规，及时支付工程中的材料、设备货款、租赁费、工程款及劳务人员工资等费用。承包人不得以任何借口拖欠材料、设备货款、租赁费、工程款及劳务人员工资等费用，一旦出现此类事件，一律上报交通运输主管部门，记入信用档案。承包人认可：在必要时，发包人有权从承包人的工程款中代为支付其在本工程上拖欠的各类费用，无须经过承包</w:t>
      </w:r>
      <w:r>
        <w:rPr>
          <w:rFonts w:ascii="宋体" w:hAnsi="宋体" w:eastAsia="宋体" w:cs="宋体"/>
          <w:spacing w:val="-3"/>
          <w:sz w:val="24"/>
          <w:szCs w:val="24"/>
        </w:rPr>
        <w:t>人同意。</w:t>
      </w:r>
    </w:p>
    <w:p w14:paraId="0B2A7B5F">
      <w:pPr>
        <w:spacing w:before="3" w:line="358" w:lineRule="auto"/>
        <w:ind w:left="8" w:right="73" w:firstLine="479"/>
        <w:rPr>
          <w:rFonts w:ascii="宋体" w:hAnsi="宋体" w:eastAsia="宋体" w:cs="宋体"/>
          <w:sz w:val="24"/>
          <w:szCs w:val="24"/>
        </w:rPr>
      </w:pPr>
      <w:r>
        <w:rPr>
          <w:rFonts w:ascii="宋体" w:hAnsi="宋体" w:eastAsia="宋体" w:cs="宋体"/>
          <w:sz w:val="24"/>
          <w:szCs w:val="24"/>
        </w:rPr>
        <w:t>4.1.10.12</w:t>
      </w:r>
      <w:r>
        <w:rPr>
          <w:rFonts w:ascii="宋体" w:hAnsi="宋体" w:eastAsia="宋体" w:cs="宋体"/>
          <w:spacing w:val="-51"/>
          <w:sz w:val="24"/>
          <w:szCs w:val="24"/>
        </w:rPr>
        <w:t xml:space="preserve"> </w:t>
      </w:r>
      <w:r>
        <w:rPr>
          <w:rFonts w:ascii="宋体" w:hAnsi="宋体" w:eastAsia="宋体" w:cs="宋体"/>
          <w:sz w:val="24"/>
          <w:szCs w:val="24"/>
        </w:rPr>
        <w:t>承包人应按《保障农民工工</w:t>
      </w:r>
      <w:r>
        <w:rPr>
          <w:rFonts w:ascii="宋体" w:hAnsi="宋体" w:eastAsia="宋体" w:cs="宋体"/>
          <w:spacing w:val="-1"/>
          <w:sz w:val="24"/>
          <w:szCs w:val="24"/>
        </w:rPr>
        <w:t>资支付条例》《广东省交通运输厅关于加强</w:t>
      </w:r>
      <w:r>
        <w:rPr>
          <w:rFonts w:ascii="宋体" w:hAnsi="宋体" w:eastAsia="宋体" w:cs="宋体"/>
          <w:spacing w:val="-2"/>
          <w:sz w:val="24"/>
          <w:szCs w:val="24"/>
        </w:rPr>
        <w:t>交通建设工程从业人员实名制管理和作业工人工资支付管理的通知》等文件的规定严格</w:t>
      </w:r>
      <w:r>
        <w:rPr>
          <w:rFonts w:ascii="宋体" w:hAnsi="宋体" w:eastAsia="宋体" w:cs="宋体"/>
          <w:spacing w:val="-1"/>
          <w:sz w:val="24"/>
          <w:szCs w:val="24"/>
        </w:rPr>
        <w:t>执行，并应为农民工办理工伤保险。</w:t>
      </w:r>
    </w:p>
    <w:p w14:paraId="47A55C15">
      <w:pPr>
        <w:spacing w:before="1" w:line="360" w:lineRule="auto"/>
        <w:ind w:left="11" w:right="41" w:firstLine="477"/>
        <w:jc w:val="both"/>
        <w:rPr>
          <w:rFonts w:ascii="宋体" w:hAnsi="宋体" w:eastAsia="宋体" w:cs="宋体"/>
          <w:sz w:val="24"/>
          <w:szCs w:val="24"/>
        </w:rPr>
      </w:pPr>
      <w:r>
        <w:rPr>
          <w:rFonts w:ascii="宋体" w:hAnsi="宋体" w:eastAsia="宋体" w:cs="宋体"/>
          <w:spacing w:val="-2"/>
          <w:sz w:val="24"/>
          <w:szCs w:val="24"/>
        </w:rPr>
        <w:t>承包人的项目负责人（项目经理）部是劳务人员工资支付行为的主体，承包人的项</w:t>
      </w:r>
      <w:r>
        <w:rPr>
          <w:rFonts w:ascii="宋体" w:hAnsi="宋体" w:eastAsia="宋体" w:cs="宋体"/>
          <w:spacing w:val="-1"/>
          <w:sz w:val="24"/>
          <w:szCs w:val="24"/>
        </w:rPr>
        <w:t>目负责人（项目经理）是劳务人员工资支付的责任人。承包人项目负责人（项目经理）</w:t>
      </w:r>
      <w:r>
        <w:rPr>
          <w:rFonts w:ascii="宋体" w:hAnsi="宋体" w:eastAsia="宋体" w:cs="宋体"/>
          <w:spacing w:val="-2"/>
          <w:sz w:val="24"/>
          <w:szCs w:val="24"/>
        </w:rPr>
        <w:t>部要建立全体劳务人员花名册和工资支付表，应委托银行发放劳务人员工资，并保留相关支付凭证，确保将工资直接发放给劳务人员本人。严禁发放给其他不具备用工主体资格的组织和个人。</w:t>
      </w:r>
    </w:p>
    <w:p w14:paraId="2105F543">
      <w:pPr>
        <w:spacing w:before="180" w:line="359" w:lineRule="auto"/>
        <w:ind w:left="8" w:right="99" w:firstLine="482"/>
        <w:rPr>
          <w:rFonts w:ascii="宋体" w:hAnsi="宋体" w:eastAsia="宋体" w:cs="宋体"/>
          <w:sz w:val="24"/>
          <w:szCs w:val="24"/>
        </w:rPr>
      </w:pPr>
      <w:r>
        <w:rPr>
          <w:rFonts w:ascii="宋体" w:hAnsi="宋体" w:eastAsia="宋体" w:cs="宋体"/>
          <w:spacing w:val="-2"/>
          <w:sz w:val="24"/>
          <w:szCs w:val="24"/>
        </w:rPr>
        <w:t>工资支付表应如实记录支付单位、支付时间、支付对象、支付数额、支付对象的身</w:t>
      </w:r>
      <w:r>
        <w:rPr>
          <w:rFonts w:ascii="宋体" w:hAnsi="宋体" w:eastAsia="宋体" w:cs="宋体"/>
          <w:sz w:val="24"/>
          <w:szCs w:val="24"/>
        </w:rPr>
        <w:t>份证号和签字等工资支付情况。劳务人员花名册和工</w:t>
      </w:r>
      <w:r>
        <w:rPr>
          <w:rFonts w:ascii="宋体" w:hAnsi="宋体" w:eastAsia="宋体" w:cs="宋体"/>
          <w:spacing w:val="-1"/>
          <w:sz w:val="24"/>
          <w:szCs w:val="24"/>
        </w:rPr>
        <w:t>资支付表报监理人备查。</w:t>
      </w:r>
    </w:p>
    <w:p w14:paraId="61483A49">
      <w:pPr>
        <w:spacing w:line="359" w:lineRule="auto"/>
        <w:ind w:left="7" w:right="18" w:firstLine="480"/>
        <w:rPr>
          <w:rFonts w:ascii="宋体" w:hAnsi="宋体" w:eastAsia="宋体" w:cs="宋体"/>
          <w:sz w:val="24"/>
          <w:szCs w:val="24"/>
        </w:rPr>
      </w:pPr>
      <w:r>
        <w:rPr>
          <w:rFonts w:ascii="宋体" w:hAnsi="宋体" w:eastAsia="宋体" w:cs="宋体"/>
          <w:sz w:val="24"/>
          <w:szCs w:val="24"/>
        </w:rPr>
        <w:t>4.1.10.13</w:t>
      </w:r>
      <w:r>
        <w:rPr>
          <w:rFonts w:ascii="宋体" w:hAnsi="宋体" w:eastAsia="宋体" w:cs="宋体"/>
          <w:spacing w:val="-51"/>
          <w:sz w:val="24"/>
          <w:szCs w:val="24"/>
        </w:rPr>
        <w:t xml:space="preserve"> </w:t>
      </w:r>
      <w:r>
        <w:rPr>
          <w:rFonts w:ascii="宋体" w:hAnsi="宋体" w:eastAsia="宋体" w:cs="宋体"/>
          <w:sz w:val="24"/>
          <w:szCs w:val="24"/>
        </w:rPr>
        <w:t>承包人必须按时支付其雇用</w:t>
      </w:r>
      <w:r>
        <w:rPr>
          <w:rFonts w:ascii="宋体" w:hAnsi="宋体" w:eastAsia="宋体" w:cs="宋体"/>
          <w:spacing w:val="-1"/>
          <w:sz w:val="24"/>
          <w:szCs w:val="24"/>
        </w:rPr>
        <w:t>人员、实际为承包人或其分包单位服务、应</w:t>
      </w:r>
      <w:r>
        <w:rPr>
          <w:rFonts w:ascii="宋体" w:hAnsi="宋体" w:eastAsia="宋体" w:cs="宋体"/>
          <w:spacing w:val="-6"/>
          <w:sz w:val="24"/>
          <w:szCs w:val="24"/>
        </w:rPr>
        <w:t>从承包人中得到报酬的人员（包括但不限于农民工）的工资，不得拖欠上述人员的工资。</w:t>
      </w:r>
      <w:r>
        <w:rPr>
          <w:rFonts w:ascii="宋体" w:hAnsi="宋体" w:eastAsia="宋体" w:cs="宋体"/>
          <w:spacing w:val="-2"/>
          <w:sz w:val="24"/>
          <w:szCs w:val="24"/>
        </w:rPr>
        <w:t>同时，承包人有责任和义务监督其分包单位对属下员工工资的支付。发包人和监理人有权监督承包人使用农民工的管理，对不签订劳动合同、非法使用农民工的，或者拖延和克扣农民工工资的，一经发现，发包人将予以通报并上报上级主管单位。若因上述原因造成劳务人员上访、纠纷等情况，承包人须承担一切经济和法律责任。除按国家有关法律、法规、规章及上述合同条款的规定进行处理外，同时按照合同相关条款对承包人违</w:t>
      </w:r>
      <w:r>
        <w:rPr>
          <w:rFonts w:ascii="宋体" w:hAnsi="宋体" w:eastAsia="宋体" w:cs="宋体"/>
          <w:spacing w:val="-3"/>
          <w:sz w:val="24"/>
          <w:szCs w:val="24"/>
        </w:rPr>
        <w:t>约处理。</w:t>
      </w:r>
    </w:p>
    <w:p w14:paraId="2813D1BD">
      <w:pPr>
        <w:spacing w:before="1" w:line="359" w:lineRule="auto"/>
        <w:ind w:left="14" w:right="99" w:firstLine="473"/>
        <w:rPr>
          <w:rFonts w:ascii="宋体" w:hAnsi="宋体" w:eastAsia="宋体" w:cs="宋体"/>
          <w:sz w:val="24"/>
          <w:szCs w:val="24"/>
        </w:rPr>
      </w:pPr>
      <w:r>
        <w:rPr>
          <w:rFonts w:ascii="宋体" w:hAnsi="宋体" w:eastAsia="宋体" w:cs="宋体"/>
          <w:spacing w:val="-1"/>
          <w:sz w:val="24"/>
          <w:szCs w:val="24"/>
        </w:rPr>
        <w:t>4.1.10.14</w:t>
      </w:r>
      <w:r>
        <w:rPr>
          <w:rFonts w:ascii="宋体" w:hAnsi="宋体" w:eastAsia="宋体" w:cs="宋体"/>
          <w:spacing w:val="-30"/>
          <w:sz w:val="24"/>
          <w:szCs w:val="24"/>
        </w:rPr>
        <w:t xml:space="preserve"> </w:t>
      </w:r>
      <w:r>
        <w:rPr>
          <w:rFonts w:ascii="宋体" w:hAnsi="宋体" w:eastAsia="宋体" w:cs="宋体"/>
          <w:spacing w:val="-1"/>
          <w:sz w:val="24"/>
          <w:szCs w:val="24"/>
        </w:rPr>
        <w:t>临时道路、临时码头、临时用电、临时用水、临时通信、临时用地所需</w:t>
      </w:r>
      <w:r>
        <w:rPr>
          <w:rFonts w:ascii="宋体" w:hAnsi="宋体" w:eastAsia="宋体" w:cs="宋体"/>
          <w:spacing w:val="-2"/>
          <w:sz w:val="24"/>
          <w:szCs w:val="24"/>
        </w:rPr>
        <w:t>费用承包人在投标时已自行报价，并包含在合同总价中，由承包人负责支付，发包人不</w:t>
      </w:r>
      <w:r>
        <w:rPr>
          <w:rFonts w:ascii="宋体" w:hAnsi="宋体" w:eastAsia="宋体" w:cs="宋体"/>
          <w:spacing w:val="-3"/>
          <w:sz w:val="24"/>
          <w:szCs w:val="24"/>
        </w:rPr>
        <w:t>另行支付费用。</w:t>
      </w:r>
    </w:p>
    <w:p w14:paraId="5B23838F">
      <w:pPr>
        <w:spacing w:before="3" w:line="358" w:lineRule="auto"/>
        <w:ind w:left="11" w:right="99" w:firstLine="476"/>
        <w:rPr>
          <w:rFonts w:ascii="宋体" w:hAnsi="宋体" w:eastAsia="宋体" w:cs="宋体"/>
          <w:sz w:val="24"/>
          <w:szCs w:val="24"/>
        </w:rPr>
      </w:pPr>
      <w:r>
        <w:rPr>
          <w:rFonts w:ascii="宋体" w:hAnsi="宋体" w:eastAsia="宋体" w:cs="宋体"/>
          <w:sz w:val="24"/>
          <w:szCs w:val="24"/>
        </w:rPr>
        <w:t>4.1.10.15</w:t>
      </w:r>
      <w:r>
        <w:rPr>
          <w:rFonts w:ascii="宋体" w:hAnsi="宋体" w:eastAsia="宋体" w:cs="宋体"/>
          <w:spacing w:val="-51"/>
          <w:sz w:val="24"/>
          <w:szCs w:val="24"/>
        </w:rPr>
        <w:t xml:space="preserve"> </w:t>
      </w:r>
      <w:r>
        <w:rPr>
          <w:rFonts w:ascii="宋体" w:hAnsi="宋体" w:eastAsia="宋体" w:cs="宋体"/>
          <w:sz w:val="24"/>
          <w:szCs w:val="24"/>
        </w:rPr>
        <w:t>承包人免费为发包人驻现场</w:t>
      </w:r>
      <w:r>
        <w:rPr>
          <w:rFonts w:ascii="宋体" w:hAnsi="宋体" w:eastAsia="宋体" w:cs="宋体"/>
          <w:spacing w:val="-1"/>
          <w:sz w:val="24"/>
          <w:szCs w:val="24"/>
        </w:rPr>
        <w:t>管理人员等提供由项目施工准备期到工程竣</w:t>
      </w:r>
      <w:r>
        <w:rPr>
          <w:rFonts w:ascii="宋体" w:hAnsi="宋体" w:eastAsia="宋体" w:cs="宋体"/>
          <w:spacing w:val="-2"/>
          <w:sz w:val="24"/>
          <w:szCs w:val="24"/>
        </w:rPr>
        <w:t>工验收为止的现场办公设备、办公环境、生活用房和交通工具及所需提供、使用和维护</w:t>
      </w:r>
      <w:r>
        <w:rPr>
          <w:rFonts w:ascii="宋体" w:hAnsi="宋体" w:eastAsia="宋体" w:cs="宋体"/>
          <w:spacing w:val="-3"/>
          <w:sz w:val="24"/>
          <w:szCs w:val="24"/>
        </w:rPr>
        <w:t>的相关费用。</w:t>
      </w:r>
    </w:p>
    <w:p w14:paraId="4182537B">
      <w:pPr>
        <w:spacing w:before="1" w:line="359" w:lineRule="auto"/>
        <w:ind w:left="7" w:right="18" w:firstLine="480"/>
        <w:rPr>
          <w:rFonts w:ascii="宋体" w:hAnsi="宋体" w:eastAsia="宋体" w:cs="宋体"/>
          <w:sz w:val="24"/>
          <w:szCs w:val="24"/>
        </w:rPr>
      </w:pPr>
      <w:r>
        <w:rPr>
          <w:rFonts w:ascii="宋体" w:hAnsi="宋体" w:eastAsia="宋体" w:cs="宋体"/>
          <w:sz w:val="24"/>
          <w:szCs w:val="24"/>
        </w:rPr>
        <w:t>4.1.10.16</w:t>
      </w:r>
      <w:r>
        <w:rPr>
          <w:rFonts w:ascii="宋体" w:hAnsi="宋体" w:eastAsia="宋体" w:cs="宋体"/>
          <w:spacing w:val="-50"/>
          <w:sz w:val="24"/>
          <w:szCs w:val="24"/>
        </w:rPr>
        <w:t xml:space="preserve"> </w:t>
      </w:r>
      <w:r>
        <w:rPr>
          <w:rFonts w:ascii="宋体" w:hAnsi="宋体" w:eastAsia="宋体" w:cs="宋体"/>
          <w:sz w:val="24"/>
          <w:szCs w:val="24"/>
        </w:rPr>
        <w:t>若承包人在已投入投标承</w:t>
      </w:r>
      <w:r>
        <w:rPr>
          <w:rFonts w:ascii="宋体" w:hAnsi="宋体" w:eastAsia="宋体" w:cs="宋体"/>
          <w:spacing w:val="-1"/>
          <w:sz w:val="24"/>
          <w:szCs w:val="24"/>
        </w:rPr>
        <w:t>诺施工设备外，因施工需求而增加投入施工的</w:t>
      </w:r>
      <w:r>
        <w:rPr>
          <w:rFonts w:ascii="宋体" w:hAnsi="宋体" w:eastAsia="宋体" w:cs="宋体"/>
          <w:spacing w:val="-2"/>
          <w:sz w:val="24"/>
          <w:szCs w:val="24"/>
        </w:rPr>
        <w:t>船舶，如船舶为承包人租赁的，租赁的船舶必须为租赁协议的出租方所有（船舶有效证件的所有人的名字需与出租方一致</w:t>
      </w:r>
      <w:r>
        <w:rPr>
          <w:rFonts w:ascii="宋体" w:hAnsi="宋体" w:eastAsia="宋体" w:cs="宋体"/>
          <w:spacing w:val="-59"/>
          <w:w w:val="93"/>
          <w:sz w:val="24"/>
          <w:szCs w:val="24"/>
        </w:rPr>
        <w:t>），</w:t>
      </w:r>
      <w:r>
        <w:rPr>
          <w:rFonts w:ascii="宋体" w:hAnsi="宋体" w:eastAsia="宋体" w:cs="宋体"/>
          <w:spacing w:val="-2"/>
          <w:sz w:val="24"/>
          <w:szCs w:val="24"/>
        </w:rPr>
        <w:t>须经监理人审查并报发包人批准后方可投入施工。</w:t>
      </w:r>
    </w:p>
    <w:p w14:paraId="25276D0A">
      <w:pPr>
        <w:spacing w:before="1" w:line="359" w:lineRule="auto"/>
        <w:ind w:left="8" w:firstLine="479"/>
        <w:rPr>
          <w:rFonts w:ascii="宋体" w:hAnsi="宋体" w:eastAsia="宋体" w:cs="宋体"/>
          <w:sz w:val="24"/>
          <w:szCs w:val="24"/>
        </w:rPr>
      </w:pPr>
      <w:r>
        <w:rPr>
          <w:rFonts w:ascii="宋体" w:hAnsi="宋体" w:eastAsia="宋体" w:cs="宋体"/>
          <w:sz w:val="24"/>
          <w:szCs w:val="24"/>
        </w:rPr>
        <w:t>4.1.10.17</w:t>
      </w:r>
      <w:r>
        <w:rPr>
          <w:rFonts w:ascii="宋体" w:hAnsi="宋体" w:eastAsia="宋体" w:cs="宋体"/>
          <w:spacing w:val="-51"/>
          <w:sz w:val="24"/>
          <w:szCs w:val="24"/>
        </w:rPr>
        <w:t xml:space="preserve"> </w:t>
      </w:r>
      <w:r>
        <w:rPr>
          <w:rFonts w:ascii="宋体" w:hAnsi="宋体" w:eastAsia="宋体" w:cs="宋体"/>
          <w:sz w:val="24"/>
          <w:szCs w:val="24"/>
        </w:rPr>
        <w:t>承包人及其施工船舶严格遵</w:t>
      </w:r>
      <w:r>
        <w:rPr>
          <w:rFonts w:ascii="宋体" w:hAnsi="宋体" w:eastAsia="宋体" w:cs="宋体"/>
          <w:spacing w:val="-1"/>
          <w:sz w:val="24"/>
          <w:szCs w:val="24"/>
        </w:rPr>
        <w:t>守发包人对疏浚土抛卸的管理规定，若被核</w:t>
      </w:r>
      <w:r>
        <w:rPr>
          <w:rFonts w:ascii="宋体" w:hAnsi="宋体" w:eastAsia="宋体" w:cs="宋体"/>
          <w:spacing w:val="1"/>
          <w:sz w:val="24"/>
          <w:szCs w:val="24"/>
        </w:rPr>
        <w:t>实存在偷卸（不按指定位置抛卸）、偷砂等行为，将接受违约金（每次</w:t>
      </w:r>
      <w:r>
        <w:rPr>
          <w:rFonts w:ascii="宋体" w:hAnsi="宋体" w:eastAsia="宋体" w:cs="宋体"/>
          <w:spacing w:val="1"/>
          <w:sz w:val="24"/>
          <w:szCs w:val="24"/>
          <w:u w:val="single" w:color="auto"/>
        </w:rPr>
        <w:t xml:space="preserve">   </w:t>
      </w:r>
      <w:r>
        <w:rPr>
          <w:rFonts w:ascii="宋体" w:hAnsi="宋体" w:eastAsia="宋体" w:cs="宋体"/>
          <w:spacing w:val="-103"/>
          <w:sz w:val="24"/>
          <w:szCs w:val="24"/>
        </w:rPr>
        <w:t xml:space="preserve"> </w:t>
      </w:r>
      <w:r>
        <w:rPr>
          <w:rFonts w:ascii="宋体" w:hAnsi="宋体" w:eastAsia="宋体" w:cs="宋体"/>
          <w:spacing w:val="1"/>
          <w:sz w:val="24"/>
          <w:szCs w:val="24"/>
        </w:rPr>
        <w:t>万元）、设</w:t>
      </w:r>
      <w:r>
        <w:rPr>
          <w:rFonts w:ascii="宋体" w:hAnsi="宋体" w:eastAsia="宋体" w:cs="宋体"/>
          <w:spacing w:val="-1"/>
          <w:sz w:val="24"/>
          <w:szCs w:val="24"/>
        </w:rPr>
        <w:t>备清退出场、清挖偷卸土方、信用评价扣分、约谈企业法人</w:t>
      </w:r>
      <w:r>
        <w:rPr>
          <w:rFonts w:ascii="宋体" w:hAnsi="宋体" w:eastAsia="宋体" w:cs="宋体"/>
          <w:spacing w:val="-2"/>
          <w:sz w:val="24"/>
          <w:szCs w:val="24"/>
        </w:rPr>
        <w:t>等，情节严重（超过</w:t>
      </w:r>
      <w:r>
        <w:rPr>
          <w:rFonts w:ascii="宋体" w:hAnsi="宋体" w:eastAsia="宋体" w:cs="宋体"/>
          <w:spacing w:val="33"/>
          <w:sz w:val="24"/>
          <w:szCs w:val="24"/>
          <w:u w:val="single" w:color="auto"/>
        </w:rPr>
        <w:t xml:space="preserve">  </w:t>
      </w:r>
      <w:r>
        <w:rPr>
          <w:rFonts w:ascii="宋体" w:hAnsi="宋体" w:eastAsia="宋体" w:cs="宋体"/>
          <w:spacing w:val="-103"/>
          <w:sz w:val="24"/>
          <w:szCs w:val="24"/>
        </w:rPr>
        <w:t xml:space="preserve"> </w:t>
      </w:r>
      <w:r>
        <w:rPr>
          <w:rFonts w:ascii="宋体" w:hAnsi="宋体" w:eastAsia="宋体" w:cs="宋体"/>
          <w:spacing w:val="-2"/>
          <w:sz w:val="24"/>
          <w:szCs w:val="24"/>
        </w:rPr>
        <w:t>次）的视为违约，发包人可解除合同，由此造成的损失由承包人负责，若核实存在明显超载</w:t>
      </w:r>
      <w:r>
        <w:rPr>
          <w:rFonts w:ascii="宋体" w:hAnsi="宋体" w:eastAsia="宋体" w:cs="宋体"/>
          <w:spacing w:val="-1"/>
          <w:sz w:val="24"/>
          <w:szCs w:val="24"/>
        </w:rPr>
        <w:t>作业的，扣罚</w:t>
      </w:r>
      <w:r>
        <w:rPr>
          <w:rFonts w:ascii="宋体" w:hAnsi="宋体" w:eastAsia="宋体" w:cs="宋体"/>
          <w:spacing w:val="29"/>
          <w:sz w:val="24"/>
          <w:szCs w:val="24"/>
          <w:u w:val="single" w:color="auto"/>
        </w:rPr>
        <w:t xml:space="preserve">   </w:t>
      </w:r>
      <w:r>
        <w:rPr>
          <w:rFonts w:ascii="宋体" w:hAnsi="宋体" w:eastAsia="宋体" w:cs="宋体"/>
          <w:spacing w:val="-103"/>
          <w:sz w:val="24"/>
          <w:szCs w:val="24"/>
        </w:rPr>
        <w:t xml:space="preserve"> </w:t>
      </w:r>
      <w:r>
        <w:rPr>
          <w:rFonts w:ascii="宋体" w:hAnsi="宋体" w:eastAsia="宋体" w:cs="宋体"/>
          <w:spacing w:val="-1"/>
          <w:sz w:val="24"/>
          <w:szCs w:val="24"/>
        </w:rPr>
        <w:t>万/艘次。同一艘船发现</w:t>
      </w:r>
      <w:r>
        <w:rPr>
          <w:rFonts w:ascii="宋体" w:hAnsi="宋体" w:eastAsia="宋体" w:cs="宋体"/>
          <w:spacing w:val="47"/>
          <w:sz w:val="24"/>
          <w:szCs w:val="24"/>
          <w:u w:val="single" w:color="auto"/>
        </w:rPr>
        <w:t xml:space="preserve">  </w:t>
      </w:r>
      <w:r>
        <w:rPr>
          <w:rFonts w:ascii="宋体" w:hAnsi="宋体" w:eastAsia="宋体" w:cs="宋体"/>
          <w:spacing w:val="-102"/>
          <w:sz w:val="24"/>
          <w:szCs w:val="24"/>
        </w:rPr>
        <w:t xml:space="preserve"> </w:t>
      </w:r>
      <w:r>
        <w:rPr>
          <w:rFonts w:ascii="宋体" w:hAnsi="宋体" w:eastAsia="宋体" w:cs="宋体"/>
          <w:spacing w:val="-1"/>
          <w:sz w:val="24"/>
          <w:szCs w:val="24"/>
        </w:rPr>
        <w:t>次及以上超载行为的，扣</w:t>
      </w:r>
      <w:r>
        <w:rPr>
          <w:rFonts w:ascii="宋体" w:hAnsi="宋体" w:eastAsia="宋体" w:cs="宋体"/>
          <w:spacing w:val="-2"/>
          <w:sz w:val="24"/>
          <w:szCs w:val="24"/>
        </w:rPr>
        <w:t>违约金的同时作</w:t>
      </w:r>
      <w:r>
        <w:rPr>
          <w:rFonts w:ascii="宋体" w:hAnsi="宋体" w:eastAsia="宋体" w:cs="宋体"/>
          <w:spacing w:val="-1"/>
          <w:sz w:val="24"/>
          <w:szCs w:val="24"/>
        </w:rPr>
        <w:t>清退出场处理。如涉及违法行为的，将移交相关执法部门处理。</w:t>
      </w:r>
    </w:p>
    <w:p w14:paraId="04D7AE8D">
      <w:pPr>
        <w:spacing w:line="359" w:lineRule="auto"/>
        <w:ind w:left="7" w:right="106" w:firstLine="480"/>
        <w:rPr>
          <w:rFonts w:ascii="宋体" w:hAnsi="宋体" w:eastAsia="宋体" w:cs="宋体"/>
          <w:sz w:val="24"/>
          <w:szCs w:val="24"/>
        </w:rPr>
      </w:pPr>
      <w:r>
        <w:rPr>
          <w:rFonts w:ascii="宋体" w:hAnsi="宋体" w:eastAsia="宋体" w:cs="宋体"/>
          <w:sz w:val="24"/>
          <w:szCs w:val="24"/>
        </w:rPr>
        <w:t>4.1.10.18</w:t>
      </w:r>
      <w:r>
        <w:rPr>
          <w:rFonts w:ascii="宋体" w:hAnsi="宋体" w:eastAsia="宋体" w:cs="宋体"/>
          <w:spacing w:val="-51"/>
          <w:sz w:val="24"/>
          <w:szCs w:val="24"/>
        </w:rPr>
        <w:t xml:space="preserve"> </w:t>
      </w:r>
      <w:r>
        <w:rPr>
          <w:rFonts w:ascii="宋体" w:hAnsi="宋体" w:eastAsia="宋体" w:cs="宋体"/>
          <w:sz w:val="24"/>
          <w:szCs w:val="24"/>
        </w:rPr>
        <w:t>承包人需按交通主管部门或</w:t>
      </w:r>
      <w:r>
        <w:rPr>
          <w:rFonts w:ascii="宋体" w:hAnsi="宋体" w:eastAsia="宋体" w:cs="宋体"/>
          <w:spacing w:val="-1"/>
          <w:sz w:val="24"/>
          <w:szCs w:val="24"/>
        </w:rPr>
        <w:t>项目所属地政府要求落实相关的疫情防控措</w:t>
      </w:r>
      <w:r>
        <w:rPr>
          <w:rFonts w:ascii="宋体" w:hAnsi="宋体" w:eastAsia="宋体" w:cs="宋体"/>
          <w:spacing w:val="-5"/>
          <w:sz w:val="24"/>
          <w:szCs w:val="24"/>
        </w:rPr>
        <w:t>施。</w:t>
      </w:r>
    </w:p>
    <w:p w14:paraId="0A168C74">
      <w:pPr>
        <w:spacing w:before="1" w:line="362" w:lineRule="auto"/>
        <w:ind w:left="9" w:right="106" w:firstLine="478"/>
        <w:rPr>
          <w:rFonts w:ascii="宋体" w:hAnsi="宋体" w:eastAsia="宋体" w:cs="宋体"/>
          <w:sz w:val="12"/>
          <w:szCs w:val="12"/>
        </w:rPr>
      </w:pPr>
      <w:r>
        <w:rPr>
          <w:rFonts w:ascii="宋体" w:hAnsi="宋体" w:eastAsia="宋体" w:cs="宋体"/>
          <w:sz w:val="24"/>
          <w:szCs w:val="24"/>
        </w:rPr>
        <w:t>4.1.10.19</w:t>
      </w:r>
      <w:r>
        <w:rPr>
          <w:rFonts w:ascii="宋体" w:hAnsi="宋体" w:eastAsia="宋体" w:cs="宋体"/>
          <w:spacing w:val="-50"/>
          <w:sz w:val="24"/>
          <w:szCs w:val="24"/>
        </w:rPr>
        <w:t xml:space="preserve"> </w:t>
      </w:r>
      <w:r>
        <w:rPr>
          <w:rFonts w:ascii="宋体" w:hAnsi="宋体" w:eastAsia="宋体" w:cs="宋体"/>
          <w:sz w:val="24"/>
          <w:szCs w:val="24"/>
        </w:rPr>
        <w:t>开工前承包人须委托有相</w:t>
      </w:r>
      <w:r>
        <w:rPr>
          <w:rFonts w:ascii="宋体" w:hAnsi="宋体" w:eastAsia="宋体" w:cs="宋体"/>
          <w:spacing w:val="-1"/>
          <w:sz w:val="24"/>
          <w:szCs w:val="24"/>
        </w:rPr>
        <w:t>应资质的第三方测量单位对本标段施工涉及水</w:t>
      </w:r>
      <w:r>
        <w:rPr>
          <w:rFonts w:ascii="宋体" w:hAnsi="宋体" w:eastAsia="宋体" w:cs="宋体"/>
          <w:spacing w:val="-3"/>
          <w:sz w:val="24"/>
          <w:szCs w:val="24"/>
        </w:rPr>
        <w:t>域进行多波束测量，按</w:t>
      </w:r>
      <w:r>
        <w:rPr>
          <w:rFonts w:ascii="宋体" w:hAnsi="宋体" w:eastAsia="宋体" w:cs="宋体"/>
          <w:spacing w:val="-24"/>
          <w:sz w:val="24"/>
          <w:szCs w:val="24"/>
        </w:rPr>
        <w:t xml:space="preserve"> </w:t>
      </w:r>
      <w:r>
        <w:rPr>
          <w:rFonts w:ascii="宋体" w:hAnsi="宋体" w:eastAsia="宋体" w:cs="宋体"/>
          <w:spacing w:val="-3"/>
          <w:sz w:val="24"/>
          <w:szCs w:val="24"/>
        </w:rPr>
        <w:t>1:5000</w:t>
      </w:r>
      <w:r>
        <w:rPr>
          <w:rFonts w:ascii="宋体" w:hAnsi="宋体" w:eastAsia="宋体" w:cs="宋体"/>
          <w:spacing w:val="-24"/>
          <w:sz w:val="24"/>
          <w:szCs w:val="24"/>
        </w:rPr>
        <w:t xml:space="preserve"> </w:t>
      </w:r>
      <w:r>
        <w:rPr>
          <w:rFonts w:ascii="宋体" w:hAnsi="宋体" w:eastAsia="宋体" w:cs="宋体"/>
          <w:spacing w:val="-3"/>
          <w:sz w:val="24"/>
          <w:szCs w:val="24"/>
        </w:rPr>
        <w:t>比例出图，其中测量范围是：内河水域至</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51"/>
          <w:sz w:val="24"/>
          <w:szCs w:val="24"/>
        </w:rPr>
        <w:t xml:space="preserve"> </w:t>
      </w:r>
      <w:r>
        <w:rPr>
          <w:rFonts w:ascii="宋体" w:hAnsi="宋体" w:eastAsia="宋体" w:cs="宋体"/>
          <w:spacing w:val="-3"/>
          <w:sz w:val="24"/>
          <w:szCs w:val="24"/>
        </w:rPr>
        <w:t>米水深线，</w:t>
      </w:r>
      <w:r>
        <w:rPr>
          <w:rFonts w:ascii="宋体" w:hAnsi="宋体" w:eastAsia="宋体" w:cs="宋体"/>
          <w:spacing w:val="-2"/>
          <w:sz w:val="24"/>
          <w:szCs w:val="24"/>
        </w:rPr>
        <w:t>沿海水域为主航道及两侧边线外各</w:t>
      </w:r>
      <w:r>
        <w:rPr>
          <w:rFonts w:ascii="宋体" w:hAnsi="宋体" w:eastAsia="宋体" w:cs="宋体"/>
          <w:spacing w:val="-48"/>
          <w:sz w:val="24"/>
          <w:szCs w:val="24"/>
        </w:rPr>
        <w:t xml:space="preserve"> </w:t>
      </w:r>
      <w:r>
        <w:rPr>
          <w:rFonts w:ascii="宋体" w:hAnsi="宋体" w:eastAsia="宋体" w:cs="宋体"/>
          <w:spacing w:val="-2"/>
          <w:sz w:val="24"/>
          <w:szCs w:val="24"/>
        </w:rPr>
        <w:t>200</w:t>
      </w:r>
      <w:r>
        <w:rPr>
          <w:rFonts w:ascii="宋体" w:hAnsi="宋体" w:eastAsia="宋体" w:cs="宋体"/>
          <w:spacing w:val="-51"/>
          <w:sz w:val="24"/>
          <w:szCs w:val="24"/>
        </w:rPr>
        <w:t xml:space="preserve"> </w:t>
      </w:r>
      <w:r>
        <w:rPr>
          <w:rFonts w:ascii="宋体" w:hAnsi="宋体" w:eastAsia="宋体" w:cs="宋体"/>
          <w:spacing w:val="-2"/>
          <w:sz w:val="24"/>
          <w:szCs w:val="24"/>
        </w:rPr>
        <w:t>米。相关费用已包含在综合单</w:t>
      </w:r>
      <w:r>
        <w:rPr>
          <w:rFonts w:ascii="宋体" w:hAnsi="宋体" w:eastAsia="宋体" w:cs="宋体"/>
          <w:spacing w:val="-3"/>
          <w:sz w:val="24"/>
          <w:szCs w:val="24"/>
        </w:rPr>
        <w:t>价中由承包人自行</w:t>
      </w:r>
      <w:r>
        <w:rPr>
          <w:rFonts w:ascii="宋体" w:hAnsi="宋体" w:eastAsia="宋体" w:cs="宋体"/>
          <w:spacing w:val="-2"/>
          <w:sz w:val="24"/>
          <w:szCs w:val="24"/>
        </w:rPr>
        <w:t>承担，发包人不另行支付。开工前测量只作地形变化对比，作为挖土运抛监管的基础依</w:t>
      </w:r>
      <w:r>
        <w:rPr>
          <w:rFonts w:ascii="宋体" w:hAnsi="宋体" w:eastAsia="宋体" w:cs="宋体"/>
          <w:spacing w:val="-1"/>
          <w:sz w:val="24"/>
          <w:szCs w:val="24"/>
        </w:rPr>
        <w:t>据资料，但不作为计量依据。</w:t>
      </w:r>
      <w:r>
        <w:fldChar w:fldCharType="begin"/>
      </w:r>
      <w:r>
        <w:instrText xml:space="preserve"> HYPERLINK \l "bookmark196" </w:instrText>
      </w:r>
      <w:r>
        <w:fldChar w:fldCharType="separate"/>
      </w:r>
      <w:r>
        <w:rPr>
          <w:rFonts w:ascii="宋体" w:hAnsi="宋体" w:eastAsia="宋体" w:cs="宋体"/>
          <w:spacing w:val="-1"/>
          <w:position w:val="11"/>
          <w:sz w:val="12"/>
          <w:szCs w:val="12"/>
        </w:rPr>
        <w:t>①</w:t>
      </w:r>
      <w:r>
        <w:rPr>
          <w:rFonts w:ascii="宋体" w:hAnsi="宋体" w:eastAsia="宋体" w:cs="宋体"/>
          <w:spacing w:val="-1"/>
          <w:position w:val="11"/>
          <w:sz w:val="12"/>
          <w:szCs w:val="12"/>
        </w:rPr>
        <w:fldChar w:fldCharType="end"/>
      </w:r>
    </w:p>
    <w:p w14:paraId="2C7DF19D">
      <w:pPr>
        <w:spacing w:line="359" w:lineRule="auto"/>
        <w:ind w:left="13" w:right="20" w:firstLine="477"/>
        <w:rPr>
          <w:rFonts w:ascii="宋体" w:hAnsi="宋体" w:eastAsia="宋体" w:cs="宋体"/>
          <w:sz w:val="24"/>
          <w:szCs w:val="24"/>
        </w:rPr>
      </w:pPr>
      <w:r>
        <w:rPr>
          <w:rFonts w:ascii="宋体" w:hAnsi="宋体" w:eastAsia="宋体" w:cs="宋体"/>
          <w:sz w:val="24"/>
          <w:szCs w:val="24"/>
        </w:rPr>
        <w:t>4.1.10.20</w:t>
      </w:r>
      <w:r>
        <w:rPr>
          <w:rFonts w:ascii="宋体" w:hAnsi="宋体" w:eastAsia="宋体" w:cs="宋体"/>
          <w:spacing w:val="-50"/>
          <w:sz w:val="24"/>
          <w:szCs w:val="24"/>
        </w:rPr>
        <w:t xml:space="preserve"> </w:t>
      </w:r>
      <w:r>
        <w:rPr>
          <w:rFonts w:ascii="宋体" w:hAnsi="宋体" w:eastAsia="宋体" w:cs="宋体"/>
          <w:sz w:val="24"/>
          <w:szCs w:val="24"/>
        </w:rPr>
        <w:t>本项目所需费用在报价清</w:t>
      </w:r>
      <w:r>
        <w:rPr>
          <w:rFonts w:ascii="宋体" w:hAnsi="宋体" w:eastAsia="宋体" w:cs="宋体"/>
          <w:spacing w:val="-1"/>
          <w:sz w:val="24"/>
          <w:szCs w:val="24"/>
        </w:rPr>
        <w:t>单中有按项目单项报价的，按相应报价包干使</w:t>
      </w:r>
      <w:r>
        <w:rPr>
          <w:rFonts w:ascii="宋体" w:hAnsi="宋体" w:eastAsia="宋体" w:cs="宋体"/>
          <w:sz w:val="24"/>
          <w:szCs w:val="24"/>
        </w:rPr>
        <w:t>用，没有单独报价项目的，视为已包含在总报价中，</w:t>
      </w:r>
      <w:r>
        <w:rPr>
          <w:rFonts w:ascii="宋体" w:hAnsi="宋体" w:eastAsia="宋体" w:cs="宋体"/>
          <w:spacing w:val="-1"/>
          <w:sz w:val="24"/>
          <w:szCs w:val="24"/>
        </w:rPr>
        <w:t>发包人不另行支付任何费用。</w:t>
      </w:r>
    </w:p>
    <w:p w14:paraId="7ACE7AA3">
      <w:pPr>
        <w:spacing w:line="220" w:lineRule="auto"/>
        <w:ind w:left="490"/>
        <w:rPr>
          <w:rFonts w:ascii="宋体" w:hAnsi="宋体" w:eastAsia="宋体" w:cs="宋体"/>
          <w:sz w:val="24"/>
          <w:szCs w:val="24"/>
        </w:rPr>
      </w:pPr>
      <w:r>
        <w:rPr>
          <w:rFonts w:ascii="宋体" w:hAnsi="宋体" w:eastAsia="宋体" w:cs="宋体"/>
          <w:b/>
          <w:bCs/>
          <w:spacing w:val="-5"/>
          <w:sz w:val="24"/>
          <w:szCs w:val="24"/>
        </w:rPr>
        <w:t>4.2</w:t>
      </w:r>
      <w:r>
        <w:rPr>
          <w:rFonts w:ascii="宋体" w:hAnsi="宋体" w:eastAsia="宋体" w:cs="宋体"/>
          <w:spacing w:val="20"/>
          <w:sz w:val="24"/>
          <w:szCs w:val="24"/>
        </w:rPr>
        <w:t xml:space="preserve"> </w:t>
      </w:r>
      <w:r>
        <w:rPr>
          <w:rFonts w:ascii="宋体" w:hAnsi="宋体" w:eastAsia="宋体" w:cs="宋体"/>
          <w:b/>
          <w:bCs/>
          <w:spacing w:val="-5"/>
          <w:sz w:val="24"/>
          <w:szCs w:val="24"/>
        </w:rPr>
        <w:t>履约保证金</w:t>
      </w:r>
    </w:p>
    <w:p w14:paraId="25047420">
      <w:pPr>
        <w:spacing w:before="181" w:line="219" w:lineRule="auto"/>
        <w:ind w:left="491"/>
        <w:rPr>
          <w:rFonts w:ascii="宋体" w:hAnsi="宋体" w:eastAsia="宋体" w:cs="宋体"/>
          <w:sz w:val="24"/>
          <w:szCs w:val="24"/>
        </w:rPr>
      </w:pPr>
      <w:r>
        <w:rPr>
          <w:rFonts w:ascii="宋体" w:hAnsi="宋体" w:eastAsia="宋体" w:cs="宋体"/>
          <w:spacing w:val="-1"/>
          <w:sz w:val="24"/>
          <w:szCs w:val="24"/>
        </w:rPr>
        <w:t>通用合同条款本款的内容不适用于本合同，代之以：</w:t>
      </w:r>
    </w:p>
    <w:p w14:paraId="2C461461">
      <w:pPr>
        <w:spacing w:before="181" w:line="219" w:lineRule="auto"/>
        <w:ind w:left="490"/>
        <w:rPr>
          <w:rFonts w:ascii="宋体" w:hAnsi="宋体" w:eastAsia="宋体" w:cs="宋体"/>
          <w:sz w:val="24"/>
          <w:szCs w:val="24"/>
        </w:rPr>
      </w:pPr>
      <w:r>
        <w:rPr>
          <w:rFonts w:ascii="宋体" w:hAnsi="宋体" w:eastAsia="宋体" w:cs="宋体"/>
          <w:spacing w:val="-1"/>
          <w:sz w:val="24"/>
          <w:szCs w:val="24"/>
        </w:rPr>
        <w:t>4.2.1 履约保证金形式：</w:t>
      </w:r>
      <w:r>
        <w:rPr>
          <w:rFonts w:ascii="宋体" w:hAnsi="宋体" w:eastAsia="宋体" w:cs="宋体"/>
          <w:spacing w:val="-1"/>
          <w:sz w:val="24"/>
          <w:szCs w:val="24"/>
          <w:u w:val="single" w:color="auto"/>
        </w:rPr>
        <w:t>详见投标人须知</w:t>
      </w:r>
    </w:p>
    <w:p w14:paraId="52570A63">
      <w:pPr>
        <w:spacing w:before="183" w:line="359" w:lineRule="auto"/>
        <w:ind w:left="11" w:right="13" w:firstLine="479"/>
        <w:rPr>
          <w:rFonts w:ascii="宋体" w:hAnsi="宋体" w:eastAsia="宋体" w:cs="宋体"/>
          <w:sz w:val="24"/>
          <w:szCs w:val="24"/>
        </w:rPr>
      </w:pPr>
      <w:r>
        <w:rPr>
          <w:rFonts w:ascii="宋体" w:hAnsi="宋体" w:eastAsia="宋体" w:cs="宋体"/>
          <w:sz w:val="24"/>
          <w:szCs w:val="24"/>
        </w:rPr>
        <w:t>4.2.2</w:t>
      </w:r>
      <w:r>
        <w:rPr>
          <w:rFonts w:ascii="宋体" w:hAnsi="宋体" w:eastAsia="宋体" w:cs="宋体"/>
          <w:spacing w:val="-44"/>
          <w:sz w:val="24"/>
          <w:szCs w:val="24"/>
        </w:rPr>
        <w:t xml:space="preserve"> </w:t>
      </w:r>
      <w:r>
        <w:rPr>
          <w:rFonts w:ascii="宋体" w:hAnsi="宋体" w:eastAsia="宋体" w:cs="宋体"/>
          <w:sz w:val="24"/>
          <w:szCs w:val="24"/>
        </w:rPr>
        <w:t>承包人应在签订合同协议书之前</w:t>
      </w:r>
      <w:r>
        <w:rPr>
          <w:rFonts w:ascii="宋体" w:hAnsi="宋体" w:eastAsia="宋体" w:cs="宋体"/>
          <w:spacing w:val="-1"/>
          <w:sz w:val="24"/>
          <w:szCs w:val="24"/>
        </w:rPr>
        <w:t>向发包人提交履约保证金，金额符合投标人</w:t>
      </w:r>
      <w:r>
        <w:rPr>
          <w:rFonts w:ascii="宋体" w:hAnsi="宋体" w:eastAsia="宋体" w:cs="宋体"/>
          <w:spacing w:val="-2"/>
          <w:sz w:val="24"/>
          <w:szCs w:val="24"/>
        </w:rPr>
        <w:t>须知前附表</w:t>
      </w:r>
      <w:r>
        <w:rPr>
          <w:rFonts w:ascii="宋体" w:hAnsi="宋体" w:eastAsia="宋体" w:cs="宋体"/>
          <w:spacing w:val="-45"/>
          <w:sz w:val="24"/>
          <w:szCs w:val="24"/>
        </w:rPr>
        <w:t xml:space="preserve"> </w:t>
      </w:r>
      <w:r>
        <w:rPr>
          <w:rFonts w:ascii="宋体" w:hAnsi="宋体" w:eastAsia="宋体" w:cs="宋体"/>
          <w:spacing w:val="-2"/>
          <w:sz w:val="24"/>
          <w:szCs w:val="24"/>
        </w:rPr>
        <w:t>7.7.1</w:t>
      </w:r>
      <w:r>
        <w:rPr>
          <w:rFonts w:ascii="宋体" w:hAnsi="宋体" w:eastAsia="宋体" w:cs="宋体"/>
          <w:spacing w:val="-47"/>
          <w:sz w:val="24"/>
          <w:szCs w:val="24"/>
        </w:rPr>
        <w:t xml:space="preserve"> </w:t>
      </w:r>
      <w:r>
        <w:rPr>
          <w:rFonts w:ascii="宋体" w:hAnsi="宋体" w:eastAsia="宋体" w:cs="宋体"/>
          <w:spacing w:val="-2"/>
          <w:sz w:val="24"/>
          <w:szCs w:val="24"/>
        </w:rPr>
        <w:t>项的规定，承包人应保证其履约保证金在</w:t>
      </w:r>
      <w:r>
        <w:rPr>
          <w:rFonts w:ascii="宋体" w:hAnsi="宋体" w:eastAsia="宋体" w:cs="宋体"/>
          <w:spacing w:val="-3"/>
          <w:sz w:val="24"/>
          <w:szCs w:val="24"/>
        </w:rPr>
        <w:t>发包人签发交工验收证书前</w:t>
      </w:r>
      <w:r>
        <w:rPr>
          <w:rFonts w:ascii="宋体" w:hAnsi="宋体" w:eastAsia="宋体" w:cs="宋体"/>
          <w:spacing w:val="-2"/>
          <w:sz w:val="24"/>
          <w:szCs w:val="24"/>
        </w:rPr>
        <w:t>一直有效。在本项目全部工程交工验收后 28 天内将履约保证金不计利息全额退还给承包人。履约保证金退还前，承包人应先确保按照合同约定的质量保证金预留比例提交质量保证金。若采用银行保函形式，则出具银行保函担保的银行级别要求为承包人公司注</w:t>
      </w:r>
      <w:r>
        <w:rPr>
          <w:rFonts w:ascii="宋体" w:hAnsi="宋体" w:eastAsia="宋体" w:cs="宋体"/>
          <w:spacing w:val="-1"/>
          <w:sz w:val="24"/>
          <w:szCs w:val="24"/>
        </w:rPr>
        <w:t>册所在地的全国性国有商业银行或股份制商业银行的分支机构。</w:t>
      </w:r>
    </w:p>
    <w:p w14:paraId="7C14138F">
      <w:pPr>
        <w:spacing w:line="219" w:lineRule="auto"/>
        <w:ind w:left="490"/>
        <w:rPr>
          <w:rFonts w:ascii="宋体" w:hAnsi="宋体" w:eastAsia="宋体" w:cs="宋体"/>
          <w:sz w:val="24"/>
          <w:szCs w:val="24"/>
        </w:rPr>
      </w:pPr>
      <w:r>
        <w:rPr>
          <w:rFonts w:ascii="宋体" w:hAnsi="宋体" w:eastAsia="宋体" w:cs="宋体"/>
          <w:spacing w:val="-1"/>
          <w:sz w:val="24"/>
          <w:szCs w:val="24"/>
        </w:rPr>
        <w:t>4.2.3</w:t>
      </w:r>
      <w:r>
        <w:rPr>
          <w:rFonts w:ascii="宋体" w:hAnsi="宋体" w:eastAsia="宋体" w:cs="宋体"/>
          <w:spacing w:val="-33"/>
          <w:sz w:val="24"/>
          <w:szCs w:val="24"/>
        </w:rPr>
        <w:t xml:space="preserve"> </w:t>
      </w:r>
      <w:r>
        <w:rPr>
          <w:rFonts w:ascii="宋体" w:hAnsi="宋体" w:eastAsia="宋体" w:cs="宋体"/>
          <w:spacing w:val="-1"/>
          <w:sz w:val="24"/>
          <w:szCs w:val="24"/>
        </w:rPr>
        <w:t>如果发生下述情况，发包人有权从履约保证金中扣罚违约金或赔偿金等：</w:t>
      </w:r>
    </w:p>
    <w:p w14:paraId="21442BDE">
      <w:pPr>
        <w:spacing w:before="183" w:line="358" w:lineRule="auto"/>
        <w:ind w:left="14" w:right="80" w:firstLine="488"/>
        <w:rPr>
          <w:rFonts w:ascii="宋体" w:hAnsi="宋体" w:eastAsia="宋体" w:cs="宋体"/>
          <w:sz w:val="24"/>
          <w:szCs w:val="24"/>
        </w:rPr>
      </w:pPr>
      <w:r>
        <w:rPr>
          <w:rFonts w:ascii="宋体" w:hAnsi="宋体" w:eastAsia="宋体" w:cs="宋体"/>
          <w:spacing w:val="-1"/>
          <w:sz w:val="24"/>
          <w:szCs w:val="24"/>
        </w:rPr>
        <w:t>（1）监理工程师指出承包人有违反合同的行为后，承包人仍继续违反该合同的行</w:t>
      </w:r>
      <w:r>
        <w:rPr>
          <w:rFonts w:ascii="宋体" w:hAnsi="宋体" w:eastAsia="宋体" w:cs="宋体"/>
          <w:spacing w:val="-7"/>
          <w:sz w:val="24"/>
          <w:szCs w:val="24"/>
        </w:rPr>
        <w:t>为；</w:t>
      </w:r>
    </w:p>
    <w:p w14:paraId="2F0EE222">
      <w:pPr>
        <w:spacing w:before="1" w:line="219" w:lineRule="auto"/>
        <w:ind w:left="503"/>
        <w:rPr>
          <w:rFonts w:ascii="宋体" w:hAnsi="宋体" w:eastAsia="宋体" w:cs="宋体"/>
          <w:sz w:val="24"/>
          <w:szCs w:val="24"/>
        </w:rPr>
      </w:pPr>
      <w:r>
        <w:rPr>
          <w:rFonts w:ascii="宋体" w:hAnsi="宋体" w:eastAsia="宋体" w:cs="宋体"/>
          <w:spacing w:val="-2"/>
          <w:sz w:val="24"/>
          <w:szCs w:val="24"/>
        </w:rPr>
        <w:t>（2）承包人被发包人扣罚的款项。</w:t>
      </w:r>
    </w:p>
    <w:p w14:paraId="17DFB84F">
      <w:pPr>
        <w:spacing w:before="184" w:line="359" w:lineRule="auto"/>
        <w:ind w:left="11" w:right="13" w:firstLine="480"/>
        <w:jc w:val="both"/>
        <w:rPr>
          <w:rFonts w:ascii="宋体" w:hAnsi="宋体" w:eastAsia="宋体" w:cs="宋体"/>
          <w:sz w:val="24"/>
          <w:szCs w:val="24"/>
        </w:rPr>
      </w:pPr>
      <w:r>
        <w:rPr>
          <w:rFonts w:ascii="宋体" w:hAnsi="宋体" w:eastAsia="宋体" w:cs="宋体"/>
          <w:spacing w:val="-2"/>
          <w:sz w:val="24"/>
          <w:szCs w:val="24"/>
        </w:rPr>
        <w:t>根据合同约定，扣罚承包人的违约罚金及赔偿金等费用，应首先从当期应支付进度款等工程款项中扣除，如果当期进度款等工程款项不足以抵扣时，则发包人可从履约保证金中直接扣罚。</w:t>
      </w:r>
    </w:p>
    <w:p w14:paraId="2D341A54">
      <w:pPr>
        <w:spacing w:before="2" w:line="354" w:lineRule="auto"/>
        <w:ind w:right="13" w:firstLine="495"/>
        <w:jc w:val="both"/>
        <w:rPr>
          <w:rFonts w:ascii="宋体" w:hAnsi="宋体" w:eastAsia="宋体" w:cs="宋体"/>
          <w:sz w:val="24"/>
          <w:szCs w:val="24"/>
        </w:rPr>
      </w:pPr>
      <w:r>
        <w:rPr>
          <w:rFonts w:ascii="宋体" w:hAnsi="宋体" w:eastAsia="宋体" w:cs="宋体"/>
          <w:spacing w:val="-2"/>
          <w:sz w:val="24"/>
          <w:szCs w:val="24"/>
        </w:rPr>
        <w:t>如果出现履约保证金不足以抵扣应扣罚承包人违约罚金及赔偿金等费用的情况，承</w:t>
      </w:r>
      <w:r>
        <w:rPr>
          <w:rFonts w:ascii="宋体" w:hAnsi="宋体" w:eastAsia="宋体" w:cs="宋体"/>
          <w:spacing w:val="-1"/>
          <w:sz w:val="24"/>
          <w:szCs w:val="24"/>
        </w:rPr>
        <w:t>包人应按照发包人要求的方式及时间向发包人支付，否则发包人有权按本合同第</w:t>
      </w:r>
      <w:r>
        <w:rPr>
          <w:rFonts w:ascii="宋体" w:hAnsi="宋体" w:eastAsia="宋体" w:cs="宋体"/>
          <w:spacing w:val="-31"/>
          <w:sz w:val="24"/>
          <w:szCs w:val="24"/>
        </w:rPr>
        <w:t xml:space="preserve"> </w:t>
      </w:r>
      <w:r>
        <w:rPr>
          <w:rFonts w:ascii="宋体" w:hAnsi="宋体" w:eastAsia="宋体" w:cs="宋体"/>
          <w:spacing w:val="-1"/>
          <w:sz w:val="24"/>
          <w:szCs w:val="24"/>
        </w:rPr>
        <w:t>24</w:t>
      </w:r>
      <w:r>
        <w:rPr>
          <w:rFonts w:ascii="宋体" w:hAnsi="宋体" w:eastAsia="宋体" w:cs="宋体"/>
          <w:spacing w:val="-50"/>
          <w:sz w:val="24"/>
          <w:szCs w:val="24"/>
        </w:rPr>
        <w:t xml:space="preserve"> </w:t>
      </w:r>
      <w:r>
        <w:rPr>
          <w:rFonts w:ascii="宋体" w:hAnsi="宋体" w:eastAsia="宋体" w:cs="宋体"/>
          <w:spacing w:val="-1"/>
          <w:sz w:val="24"/>
          <w:szCs w:val="24"/>
        </w:rPr>
        <w:t>款</w:t>
      </w:r>
      <w:r>
        <w:rPr>
          <w:rFonts w:ascii="宋体" w:hAnsi="宋体" w:eastAsia="宋体" w:cs="宋体"/>
          <w:spacing w:val="-2"/>
          <w:sz w:val="24"/>
          <w:szCs w:val="24"/>
        </w:rPr>
        <w:t>“争议的解决</w:t>
      </w:r>
      <w:r>
        <w:rPr>
          <w:rFonts w:ascii="宋体" w:hAnsi="宋体" w:eastAsia="宋体" w:cs="宋体"/>
          <w:spacing w:val="-87"/>
          <w:sz w:val="24"/>
          <w:szCs w:val="24"/>
        </w:rPr>
        <w:t xml:space="preserve"> </w:t>
      </w:r>
      <w:r>
        <w:rPr>
          <w:rFonts w:ascii="宋体" w:hAnsi="宋体" w:eastAsia="宋体" w:cs="宋体"/>
          <w:spacing w:val="-2"/>
          <w:sz w:val="24"/>
          <w:szCs w:val="24"/>
        </w:rPr>
        <w:t>”相关约定获得赔偿。</w:t>
      </w:r>
    </w:p>
    <w:p w14:paraId="6BD80987">
      <w:pPr>
        <w:spacing w:line="227" w:lineRule="auto"/>
        <w:ind w:left="490"/>
        <w:rPr>
          <w:rFonts w:ascii="宋体" w:hAnsi="宋体" w:eastAsia="宋体" w:cs="宋体"/>
          <w:sz w:val="12"/>
          <w:szCs w:val="12"/>
        </w:rPr>
      </w:pPr>
      <w:bookmarkStart w:id="53" w:name="bookmark196"/>
      <w:bookmarkEnd w:id="53"/>
      <w:r>
        <w:rPr>
          <w:rFonts w:ascii="宋体" w:hAnsi="宋体" w:eastAsia="宋体" w:cs="宋体"/>
          <w:b/>
          <w:bCs/>
          <w:spacing w:val="-6"/>
          <w:sz w:val="24"/>
          <w:szCs w:val="24"/>
        </w:rPr>
        <w:t>4.3</w:t>
      </w:r>
      <w:r>
        <w:rPr>
          <w:rFonts w:ascii="宋体" w:hAnsi="宋体" w:eastAsia="宋体" w:cs="宋体"/>
          <w:spacing w:val="17"/>
          <w:sz w:val="24"/>
          <w:szCs w:val="24"/>
        </w:rPr>
        <w:t xml:space="preserve"> </w:t>
      </w:r>
      <w:r>
        <w:rPr>
          <w:rFonts w:ascii="宋体" w:hAnsi="宋体" w:eastAsia="宋体" w:cs="宋体"/>
          <w:b/>
          <w:bCs/>
          <w:spacing w:val="-6"/>
          <w:sz w:val="24"/>
          <w:szCs w:val="24"/>
        </w:rPr>
        <w:t>分包</w:t>
      </w:r>
      <w:r>
        <w:fldChar w:fldCharType="begin"/>
      </w:r>
      <w:r>
        <w:instrText xml:space="preserve"> HYPERLINK \l "bookmark196" </w:instrText>
      </w:r>
      <w:r>
        <w:fldChar w:fldCharType="separate"/>
      </w:r>
      <w:r>
        <w:rPr>
          <w:rFonts w:ascii="宋体" w:hAnsi="宋体" w:eastAsia="宋体" w:cs="宋体"/>
          <w:b/>
          <w:bCs/>
          <w:spacing w:val="-6"/>
          <w:position w:val="11"/>
          <w:sz w:val="12"/>
          <w:szCs w:val="12"/>
        </w:rPr>
        <w:t>②</w:t>
      </w:r>
      <w:r>
        <w:rPr>
          <w:rFonts w:ascii="宋体" w:hAnsi="宋体" w:eastAsia="宋体" w:cs="宋体"/>
          <w:b/>
          <w:bCs/>
          <w:spacing w:val="-6"/>
          <w:position w:val="11"/>
          <w:sz w:val="12"/>
          <w:szCs w:val="12"/>
        </w:rPr>
        <w:fldChar w:fldCharType="end"/>
      </w:r>
    </w:p>
    <w:p w14:paraId="45A3C4B3">
      <w:pPr>
        <w:spacing w:before="191" w:line="360" w:lineRule="auto"/>
        <w:ind w:left="11" w:firstLine="479"/>
        <w:jc w:val="both"/>
        <w:rPr>
          <w:rFonts w:ascii="宋体" w:hAnsi="宋体" w:eastAsia="宋体" w:cs="宋体"/>
          <w:spacing w:val="-1"/>
          <w:sz w:val="24"/>
          <w:szCs w:val="24"/>
        </w:rPr>
      </w:pPr>
      <w:r>
        <w:rPr>
          <w:rFonts w:ascii="宋体" w:hAnsi="宋体" w:eastAsia="宋体" w:cs="宋体"/>
          <w:sz w:val="24"/>
          <w:szCs w:val="24"/>
        </w:rPr>
        <w:t>4.3.2</w:t>
      </w:r>
      <w:r>
        <w:rPr>
          <w:rFonts w:ascii="宋体" w:hAnsi="宋体" w:eastAsia="宋体" w:cs="宋体"/>
          <w:spacing w:val="-44"/>
          <w:sz w:val="24"/>
          <w:szCs w:val="24"/>
        </w:rPr>
        <w:t xml:space="preserve"> </w:t>
      </w:r>
      <w:r>
        <w:rPr>
          <w:rFonts w:ascii="宋体" w:hAnsi="宋体" w:eastAsia="宋体" w:cs="宋体"/>
          <w:sz w:val="24"/>
          <w:szCs w:val="24"/>
        </w:rPr>
        <w:t>承包人不得将工程主体分包给第</w:t>
      </w:r>
      <w:r>
        <w:rPr>
          <w:rFonts w:ascii="宋体" w:hAnsi="宋体" w:eastAsia="宋体" w:cs="宋体"/>
          <w:spacing w:val="-1"/>
          <w:sz w:val="24"/>
          <w:szCs w:val="24"/>
        </w:rPr>
        <w:t>三人。经发包人同意，承包人可将工程的其</w:t>
      </w:r>
      <w:r>
        <w:rPr>
          <w:rFonts w:ascii="宋体" w:hAnsi="宋体" w:eastAsia="宋体" w:cs="宋体"/>
          <w:spacing w:val="-2"/>
          <w:sz w:val="24"/>
          <w:szCs w:val="24"/>
        </w:rPr>
        <w:t>他部分或工作分包给第三人，如</w:t>
      </w:r>
      <w:r>
        <w:rPr>
          <w:rFonts w:ascii="宋体" w:hAnsi="宋体" w:eastAsia="宋体" w:cs="宋体"/>
          <w:spacing w:val="-12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2"/>
          <w:sz w:val="24"/>
          <w:szCs w:val="24"/>
        </w:rPr>
        <w:t>安全标准化教育培</w:t>
      </w:r>
      <w:r>
        <w:rPr>
          <w:rFonts w:ascii="宋体" w:hAnsi="宋体" w:eastAsia="宋体" w:cs="宋体"/>
          <w:spacing w:val="-3"/>
          <w:sz w:val="24"/>
          <w:szCs w:val="24"/>
        </w:rPr>
        <w:t>训教材编制等。</w:t>
      </w:r>
      <w:r>
        <w:rPr>
          <w:rFonts w:ascii="宋体" w:hAnsi="宋体" w:eastAsia="宋体" w:cs="宋体"/>
          <w:spacing w:val="-1"/>
          <w:sz w:val="24"/>
          <w:szCs w:val="24"/>
        </w:rPr>
        <w:t>分包包括专业分包和劳务分包。</w:t>
      </w:r>
    </w:p>
    <w:p w14:paraId="0BC171A2">
      <w:pPr>
        <w:spacing w:before="191" w:line="360" w:lineRule="auto"/>
        <w:ind w:left="11" w:firstLine="479"/>
        <w:jc w:val="both"/>
        <w:rPr>
          <w:rFonts w:ascii="宋体" w:hAnsi="宋体" w:eastAsia="宋体" w:cs="宋体"/>
          <w:sz w:val="24"/>
          <w:szCs w:val="24"/>
        </w:rPr>
      </w:pPr>
      <w:r>
        <w:rPr>
          <w:rFonts w:ascii="宋体" w:hAnsi="宋体" w:eastAsia="宋体" w:cs="宋体"/>
          <w:sz w:val="24"/>
          <w:szCs w:val="24"/>
        </w:rPr>
        <w:t>4.3.2.1</w:t>
      </w:r>
      <w:r>
        <w:rPr>
          <w:rFonts w:ascii="宋体" w:hAnsi="宋体" w:eastAsia="宋体" w:cs="宋体"/>
          <w:spacing w:val="-43"/>
          <w:sz w:val="24"/>
          <w:szCs w:val="24"/>
        </w:rPr>
        <w:t xml:space="preserve"> </w:t>
      </w:r>
      <w:r>
        <w:rPr>
          <w:rFonts w:ascii="宋体" w:hAnsi="宋体" w:eastAsia="宋体" w:cs="宋体"/>
          <w:sz w:val="24"/>
          <w:szCs w:val="24"/>
        </w:rPr>
        <w:t>专业分包：在工程施工过程</w:t>
      </w:r>
      <w:r>
        <w:rPr>
          <w:rFonts w:ascii="宋体" w:hAnsi="宋体" w:eastAsia="宋体" w:cs="宋体"/>
          <w:spacing w:val="-1"/>
          <w:sz w:val="24"/>
          <w:szCs w:val="24"/>
        </w:rPr>
        <w:t>中，承包人如有专业分包计划，则必须遵守以</w:t>
      </w:r>
      <w:r>
        <w:rPr>
          <w:rFonts w:ascii="宋体" w:hAnsi="宋体" w:eastAsia="宋体" w:cs="宋体"/>
          <w:spacing w:val="-5"/>
          <w:sz w:val="24"/>
          <w:szCs w:val="24"/>
        </w:rPr>
        <w:t>下规定：</w:t>
      </w:r>
    </w:p>
    <w:p w14:paraId="4FFEC65C">
      <w:pPr>
        <w:spacing w:line="219" w:lineRule="auto"/>
        <w:ind w:left="499"/>
        <w:rPr>
          <w:rFonts w:ascii="宋体" w:hAnsi="宋体" w:eastAsia="宋体" w:cs="宋体"/>
          <w:sz w:val="24"/>
          <w:szCs w:val="24"/>
        </w:rPr>
      </w:pPr>
      <w:r>
        <w:rPr>
          <w:rFonts w:ascii="宋体" w:hAnsi="宋体" w:eastAsia="宋体" w:cs="宋体"/>
          <w:spacing w:val="-1"/>
          <w:sz w:val="24"/>
          <w:szCs w:val="24"/>
        </w:rPr>
        <w:t>（1）接受分包的第三人资质要求:具备相应的专业承包资质；</w:t>
      </w:r>
    </w:p>
    <w:p w14:paraId="1E259690">
      <w:pPr>
        <w:spacing w:before="180" w:line="219" w:lineRule="auto"/>
        <w:ind w:left="499"/>
        <w:rPr>
          <w:rFonts w:ascii="宋体" w:hAnsi="宋体" w:eastAsia="宋体" w:cs="宋体"/>
          <w:sz w:val="24"/>
          <w:szCs w:val="24"/>
        </w:rPr>
      </w:pPr>
      <w:r>
        <w:rPr>
          <w:rFonts w:ascii="宋体" w:hAnsi="宋体" w:eastAsia="宋体" w:cs="宋体"/>
          <w:spacing w:val="-2"/>
          <w:sz w:val="24"/>
          <w:szCs w:val="24"/>
        </w:rPr>
        <w:t>（2）分包工程不得再次分包；</w:t>
      </w:r>
    </w:p>
    <w:p w14:paraId="186FA29E">
      <w:pPr>
        <w:spacing w:before="183" w:line="359" w:lineRule="auto"/>
        <w:ind w:left="7" w:right="67" w:firstLine="492"/>
        <w:rPr>
          <w:rFonts w:ascii="宋体" w:hAnsi="宋体" w:eastAsia="宋体" w:cs="宋体"/>
          <w:sz w:val="24"/>
          <w:szCs w:val="24"/>
        </w:rPr>
      </w:pPr>
      <w:r>
        <w:rPr>
          <w:rFonts w:ascii="宋体" w:hAnsi="宋体" w:eastAsia="宋体" w:cs="宋体"/>
          <w:spacing w:val="-1"/>
          <w:sz w:val="24"/>
          <w:szCs w:val="24"/>
        </w:rPr>
        <w:t>（3）工程分包单位资质、分包计划和所有分包协议须报监理人审查，并报发包人</w:t>
      </w:r>
      <w:r>
        <w:rPr>
          <w:rFonts w:ascii="宋体" w:hAnsi="宋体" w:eastAsia="宋体" w:cs="宋体"/>
          <w:spacing w:val="-3"/>
          <w:sz w:val="24"/>
          <w:szCs w:val="24"/>
        </w:rPr>
        <w:t>批准；</w:t>
      </w:r>
    </w:p>
    <w:p w14:paraId="267AC039">
      <w:pPr>
        <w:spacing w:line="219" w:lineRule="auto"/>
        <w:ind w:left="499"/>
        <w:rPr>
          <w:rFonts w:ascii="宋体" w:hAnsi="宋体" w:eastAsia="宋体" w:cs="宋体"/>
          <w:sz w:val="24"/>
          <w:szCs w:val="24"/>
        </w:rPr>
      </w:pPr>
      <w:r>
        <w:rPr>
          <w:rFonts w:ascii="宋体" w:hAnsi="宋体" w:eastAsia="宋体" w:cs="宋体"/>
          <w:spacing w:val="-1"/>
          <w:sz w:val="24"/>
          <w:szCs w:val="24"/>
        </w:rPr>
        <w:t>（4）承包人和分包人应对分包工程承担连带责任；</w:t>
      </w:r>
    </w:p>
    <w:p w14:paraId="1F0244D3">
      <w:pPr>
        <w:spacing w:before="180" w:line="219" w:lineRule="auto"/>
        <w:ind w:left="499"/>
        <w:rPr>
          <w:rFonts w:ascii="宋体" w:hAnsi="宋体" w:eastAsia="宋体" w:cs="宋体"/>
          <w:sz w:val="24"/>
          <w:szCs w:val="24"/>
        </w:rPr>
      </w:pPr>
      <w:r>
        <w:rPr>
          <w:rFonts w:ascii="宋体" w:hAnsi="宋体" w:eastAsia="宋体" w:cs="宋体"/>
          <w:spacing w:val="-1"/>
          <w:sz w:val="24"/>
          <w:szCs w:val="24"/>
        </w:rPr>
        <w:t>（5）其他有关要求执行广东省最新颁布的水运工程施工分包方面的规定或办法。</w:t>
      </w:r>
    </w:p>
    <w:p w14:paraId="7F5189AA">
      <w:pPr>
        <w:spacing w:before="184" w:line="219" w:lineRule="auto"/>
        <w:ind w:left="487"/>
        <w:rPr>
          <w:rFonts w:ascii="宋体" w:hAnsi="宋体" w:eastAsia="宋体" w:cs="宋体"/>
          <w:sz w:val="24"/>
          <w:szCs w:val="24"/>
        </w:rPr>
      </w:pPr>
      <w:r>
        <w:rPr>
          <w:rFonts w:ascii="宋体" w:hAnsi="宋体" w:eastAsia="宋体" w:cs="宋体"/>
          <w:sz w:val="24"/>
          <w:szCs w:val="24"/>
        </w:rPr>
        <w:t>4.3.2.2 劳务分包：承包人如需劳务分包，</w:t>
      </w:r>
      <w:r>
        <w:rPr>
          <w:rFonts w:ascii="宋体" w:hAnsi="宋体" w:eastAsia="宋体" w:cs="宋体"/>
          <w:spacing w:val="-1"/>
          <w:sz w:val="24"/>
          <w:szCs w:val="24"/>
        </w:rPr>
        <w:t>则必须遵守以下规定：</w:t>
      </w:r>
    </w:p>
    <w:p w14:paraId="24E6DD9C">
      <w:pPr>
        <w:spacing w:before="181" w:line="219" w:lineRule="auto"/>
        <w:ind w:left="499"/>
        <w:rPr>
          <w:rFonts w:ascii="宋体" w:hAnsi="宋体" w:eastAsia="宋体" w:cs="宋体"/>
          <w:sz w:val="24"/>
          <w:szCs w:val="24"/>
        </w:rPr>
      </w:pPr>
      <w:r>
        <w:rPr>
          <w:rFonts w:ascii="宋体" w:hAnsi="宋体" w:eastAsia="宋体" w:cs="宋体"/>
          <w:spacing w:val="-1"/>
          <w:sz w:val="24"/>
          <w:szCs w:val="24"/>
        </w:rPr>
        <w:t>（1）分包计划和所有分包协议须报监理人审查，并报发包人批准。</w:t>
      </w:r>
    </w:p>
    <w:p w14:paraId="3C63ECAB">
      <w:pPr>
        <w:spacing w:before="182" w:line="221" w:lineRule="auto"/>
        <w:ind w:left="487"/>
        <w:rPr>
          <w:rFonts w:ascii="宋体" w:hAnsi="宋体" w:eastAsia="宋体" w:cs="宋体"/>
          <w:sz w:val="24"/>
          <w:szCs w:val="24"/>
        </w:rPr>
      </w:pPr>
      <w:r>
        <w:rPr>
          <w:rFonts w:ascii="宋体" w:hAnsi="宋体" w:eastAsia="宋体" w:cs="宋体"/>
          <w:b/>
          <w:bCs/>
          <w:spacing w:val="-5"/>
          <w:sz w:val="24"/>
          <w:szCs w:val="24"/>
        </w:rPr>
        <w:t>4.4</w:t>
      </w:r>
      <w:r>
        <w:rPr>
          <w:rFonts w:ascii="宋体" w:hAnsi="宋体" w:eastAsia="宋体" w:cs="宋体"/>
          <w:spacing w:val="-50"/>
          <w:sz w:val="24"/>
          <w:szCs w:val="24"/>
        </w:rPr>
        <w:t xml:space="preserve"> </w:t>
      </w:r>
      <w:r>
        <w:rPr>
          <w:rFonts w:ascii="宋体" w:hAnsi="宋体" w:eastAsia="宋体" w:cs="宋体"/>
          <w:b/>
          <w:bCs/>
          <w:spacing w:val="-5"/>
          <w:sz w:val="24"/>
          <w:szCs w:val="24"/>
        </w:rPr>
        <w:t>联合体</w:t>
      </w:r>
    </w:p>
    <w:p w14:paraId="3FC2FAA0">
      <w:pPr>
        <w:spacing w:before="179" w:line="219" w:lineRule="auto"/>
        <w:ind w:left="491"/>
        <w:rPr>
          <w:rFonts w:ascii="宋体" w:hAnsi="宋体" w:eastAsia="宋体" w:cs="宋体"/>
          <w:sz w:val="24"/>
          <w:szCs w:val="24"/>
        </w:rPr>
      </w:pPr>
      <w:r>
        <w:rPr>
          <w:rFonts w:ascii="宋体" w:hAnsi="宋体" w:eastAsia="宋体" w:cs="宋体"/>
          <w:spacing w:val="-4"/>
          <w:sz w:val="24"/>
          <w:szCs w:val="24"/>
        </w:rPr>
        <w:t>详见投标人须知</w:t>
      </w:r>
      <w:r>
        <w:rPr>
          <w:rFonts w:ascii="宋体" w:hAnsi="宋体" w:eastAsia="宋体" w:cs="宋体"/>
          <w:spacing w:val="-28"/>
          <w:sz w:val="24"/>
          <w:szCs w:val="24"/>
        </w:rPr>
        <w:t xml:space="preserve"> </w:t>
      </w:r>
      <w:r>
        <w:rPr>
          <w:rFonts w:ascii="宋体" w:hAnsi="宋体" w:eastAsia="宋体" w:cs="宋体"/>
          <w:spacing w:val="-4"/>
          <w:sz w:val="24"/>
          <w:szCs w:val="24"/>
        </w:rPr>
        <w:t>1.4.2</w:t>
      </w:r>
      <w:r>
        <w:rPr>
          <w:rFonts w:ascii="宋体" w:hAnsi="宋体" w:eastAsia="宋体" w:cs="宋体"/>
          <w:spacing w:val="-50"/>
          <w:sz w:val="24"/>
          <w:szCs w:val="24"/>
        </w:rPr>
        <w:t xml:space="preserve"> </w:t>
      </w:r>
      <w:r>
        <w:rPr>
          <w:rFonts w:ascii="宋体" w:hAnsi="宋体" w:eastAsia="宋体" w:cs="宋体"/>
          <w:spacing w:val="-4"/>
          <w:sz w:val="24"/>
          <w:szCs w:val="24"/>
        </w:rPr>
        <w:t>款。</w:t>
      </w:r>
    </w:p>
    <w:p w14:paraId="6DDF7D28">
      <w:pPr>
        <w:spacing w:before="184" w:line="219" w:lineRule="auto"/>
        <w:ind w:left="487"/>
        <w:rPr>
          <w:rFonts w:ascii="宋体" w:hAnsi="宋体" w:eastAsia="宋体" w:cs="宋体"/>
          <w:sz w:val="24"/>
          <w:szCs w:val="24"/>
        </w:rPr>
      </w:pPr>
      <w:r>
        <w:rPr>
          <w:rFonts w:ascii="宋体" w:hAnsi="宋体" w:eastAsia="宋体" w:cs="宋体"/>
          <w:b/>
          <w:bCs/>
          <w:spacing w:val="-2"/>
          <w:sz w:val="24"/>
          <w:szCs w:val="24"/>
        </w:rPr>
        <w:t>4.5</w:t>
      </w:r>
      <w:r>
        <w:rPr>
          <w:rFonts w:ascii="宋体" w:hAnsi="宋体" w:eastAsia="宋体" w:cs="宋体"/>
          <w:spacing w:val="-2"/>
          <w:sz w:val="24"/>
          <w:szCs w:val="24"/>
        </w:rPr>
        <w:t xml:space="preserve"> </w:t>
      </w:r>
      <w:r>
        <w:rPr>
          <w:rFonts w:ascii="宋体" w:hAnsi="宋体" w:eastAsia="宋体" w:cs="宋体"/>
          <w:b/>
          <w:bCs/>
          <w:spacing w:val="-2"/>
          <w:sz w:val="24"/>
          <w:szCs w:val="24"/>
        </w:rPr>
        <w:t>承包人项目负责人及项目技术负责人</w:t>
      </w:r>
    </w:p>
    <w:p w14:paraId="696D21FC">
      <w:pPr>
        <w:spacing w:before="183" w:line="219" w:lineRule="auto"/>
        <w:ind w:left="487"/>
        <w:rPr>
          <w:rFonts w:ascii="宋体" w:hAnsi="宋体" w:eastAsia="宋体" w:cs="宋体"/>
          <w:sz w:val="24"/>
          <w:szCs w:val="24"/>
        </w:rPr>
      </w:pPr>
      <w:r>
        <w:rPr>
          <w:rFonts w:ascii="宋体" w:hAnsi="宋体" w:eastAsia="宋体" w:cs="宋体"/>
          <w:sz w:val="24"/>
          <w:szCs w:val="24"/>
        </w:rPr>
        <w:t>4.5.1 承包人项目负责人及项目技术负责人人选</w:t>
      </w:r>
      <w:r>
        <w:rPr>
          <w:rFonts w:ascii="宋体" w:hAnsi="宋体" w:eastAsia="宋体" w:cs="宋体"/>
          <w:spacing w:val="-1"/>
          <w:sz w:val="24"/>
          <w:szCs w:val="24"/>
        </w:rPr>
        <w:t>及到职期限约定如下：</w:t>
      </w:r>
    </w:p>
    <w:p w14:paraId="6C63D233">
      <w:pPr>
        <w:spacing w:before="183" w:line="359" w:lineRule="auto"/>
        <w:ind w:left="7" w:firstLine="372"/>
        <w:rPr>
          <w:rFonts w:ascii="宋体" w:hAnsi="宋体" w:eastAsia="宋体" w:cs="宋体"/>
          <w:sz w:val="24"/>
          <w:szCs w:val="24"/>
        </w:rPr>
      </w:pPr>
      <w:r>
        <w:rPr>
          <w:rFonts w:ascii="宋体" w:hAnsi="宋体" w:eastAsia="宋体" w:cs="宋体"/>
          <w:spacing w:val="-2"/>
          <w:sz w:val="24"/>
          <w:szCs w:val="24"/>
        </w:rPr>
        <w:t>（1）人选的约定：承包人应按投标文件中所报名单委派项目负责人及项目技术负责人，项目负责人和项目技术负责人不能为同一人，承包人应保证及时到位并保持其岗位的相对稳定，常驻现场实施本合同工程管理。未经监理人批准，上述人员不应无故不到位或被替换。若确实无法到位或需替换，或监理人认为已委派的项目负责人或项目技术负责人的工作能力和业务水平不称职，需经监理人审核并报发包人批准后，用同等资质和经历的人员替换，同时须按以下标准向发包人提交违约金：项目负责人、项目技术负责人</w:t>
      </w:r>
      <w:r>
        <w:rPr>
          <w:rFonts w:ascii="宋体" w:hAnsi="宋体" w:eastAsia="宋体" w:cs="宋体"/>
          <w:spacing w:val="-2"/>
          <w:sz w:val="24"/>
          <w:szCs w:val="24"/>
          <w:u w:val="single" w:color="auto"/>
        </w:rPr>
        <w:t>（用备选人替换首选人的调整不受此限）</w:t>
      </w:r>
      <w:r>
        <w:rPr>
          <w:rFonts w:ascii="宋体" w:hAnsi="宋体" w:eastAsia="宋体" w:cs="宋体"/>
          <w:spacing w:val="-2"/>
          <w:sz w:val="24"/>
          <w:szCs w:val="24"/>
        </w:rPr>
        <w:t>需缴纳违约金金额详见《承包人违约金一览表》，其他主要技术人员</w:t>
      </w:r>
      <w:r>
        <w:rPr>
          <w:rFonts w:ascii="宋体" w:hAnsi="宋体" w:eastAsia="宋体" w:cs="宋体"/>
          <w:spacing w:val="-2"/>
          <w:sz w:val="24"/>
          <w:szCs w:val="24"/>
          <w:u w:val="single" w:color="auto"/>
        </w:rPr>
        <w:t>（</w:t>
      </w:r>
      <w:r>
        <w:rPr>
          <w:rFonts w:ascii="宋体" w:hAnsi="宋体" w:eastAsia="宋体" w:cs="宋体"/>
          <w:spacing w:val="-2"/>
          <w:sz w:val="24"/>
          <w:szCs w:val="24"/>
        </w:rPr>
        <w:t>港口与航道工程师</w:t>
      </w:r>
      <w:r>
        <w:rPr>
          <w:rFonts w:ascii="宋体" w:hAnsi="宋体" w:eastAsia="宋体" w:cs="宋体"/>
          <w:spacing w:val="-2"/>
          <w:sz w:val="24"/>
          <w:szCs w:val="24"/>
          <w:u w:val="single" w:color="auto"/>
        </w:rPr>
        <w:t>、</w:t>
      </w:r>
      <w:r>
        <w:rPr>
          <w:rFonts w:ascii="宋体" w:hAnsi="宋体" w:eastAsia="宋体" w:cs="宋体"/>
          <w:spacing w:val="-2"/>
          <w:sz w:val="24"/>
          <w:szCs w:val="24"/>
        </w:rPr>
        <w:t>造价工程师</w:t>
      </w:r>
      <w:r>
        <w:rPr>
          <w:rFonts w:ascii="宋体" w:hAnsi="宋体" w:eastAsia="宋体" w:cs="宋体"/>
          <w:spacing w:val="-2"/>
          <w:sz w:val="24"/>
          <w:szCs w:val="24"/>
          <w:u w:val="single" w:color="auto"/>
        </w:rPr>
        <w:t>、</w:t>
      </w:r>
      <w:r>
        <w:rPr>
          <w:rFonts w:ascii="宋体" w:hAnsi="宋体" w:eastAsia="宋体" w:cs="宋体"/>
          <w:spacing w:val="-2"/>
          <w:sz w:val="24"/>
          <w:szCs w:val="24"/>
        </w:rPr>
        <w:t>测量工程师</w:t>
      </w:r>
      <w:r>
        <w:rPr>
          <w:rFonts w:ascii="宋体" w:hAnsi="宋体" w:eastAsia="宋体" w:cs="宋体"/>
          <w:spacing w:val="-2"/>
          <w:sz w:val="24"/>
          <w:szCs w:val="24"/>
          <w:u w:val="single" w:color="auto"/>
        </w:rPr>
        <w:t>、</w:t>
      </w:r>
      <w:r>
        <w:rPr>
          <w:rFonts w:ascii="宋体" w:hAnsi="宋体" w:eastAsia="宋体" w:cs="宋体"/>
          <w:spacing w:val="-2"/>
          <w:sz w:val="24"/>
          <w:szCs w:val="24"/>
        </w:rPr>
        <w:t>质检负责人</w:t>
      </w:r>
      <w:r>
        <w:rPr>
          <w:rFonts w:ascii="宋体" w:hAnsi="宋体" w:eastAsia="宋体" w:cs="宋体"/>
          <w:spacing w:val="-2"/>
          <w:sz w:val="24"/>
          <w:szCs w:val="24"/>
          <w:u w:val="single" w:color="auto"/>
        </w:rPr>
        <w:t>、专职安全生产管理人员等）</w:t>
      </w:r>
      <w:r>
        <w:rPr>
          <w:rFonts w:ascii="宋体" w:hAnsi="宋体" w:eastAsia="宋体" w:cs="宋体"/>
          <w:spacing w:val="-2"/>
          <w:sz w:val="24"/>
          <w:szCs w:val="24"/>
        </w:rPr>
        <w:t>的调整部分需缴纳违约金金额详见《承包人违约金一览表》。因不可抗力、退休、职务晋升或离职等（需提供相关证明材料）无法继续履行合同责任和义务，承包人报监理人审核并报发包人批准后可进行替换，替换人员的资质和经历不得低于原批复人员，承包人无须承担违约责任。发包人可随着工程的进度情况，</w:t>
      </w:r>
      <w:r>
        <w:rPr>
          <w:rFonts w:ascii="宋体" w:hAnsi="宋体" w:eastAsia="宋体" w:cs="宋体"/>
          <w:spacing w:val="-1"/>
          <w:sz w:val="24"/>
          <w:szCs w:val="24"/>
        </w:rPr>
        <w:t>动态增减管理人员要求。</w:t>
      </w:r>
    </w:p>
    <w:p w14:paraId="5E3906DE">
      <w:pPr>
        <w:spacing w:before="2" w:line="360" w:lineRule="auto"/>
        <w:ind w:left="11" w:firstLine="368"/>
        <w:rPr>
          <w:rFonts w:ascii="宋体" w:hAnsi="宋体" w:eastAsia="宋体" w:cs="宋体"/>
          <w:sz w:val="24"/>
          <w:szCs w:val="24"/>
        </w:rPr>
      </w:pPr>
      <w:r>
        <w:rPr>
          <w:rFonts w:ascii="宋体" w:hAnsi="宋体" w:eastAsia="宋体" w:cs="宋体"/>
          <w:spacing w:val="-2"/>
          <w:sz w:val="24"/>
          <w:szCs w:val="24"/>
        </w:rPr>
        <w:t>（2）到岗履职的约定：承包人在投标中承诺投入本工程的项目负责人及项目技术负</w:t>
      </w:r>
      <w:r>
        <w:rPr>
          <w:rFonts w:ascii="宋体" w:hAnsi="宋体" w:eastAsia="宋体" w:cs="宋体"/>
          <w:spacing w:val="-3"/>
          <w:sz w:val="24"/>
          <w:szCs w:val="24"/>
        </w:rPr>
        <w:t>责人必须在签定合同后的</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46"/>
          <w:sz w:val="24"/>
          <w:szCs w:val="24"/>
        </w:rPr>
        <w:t xml:space="preserve"> </w:t>
      </w:r>
      <w:r>
        <w:rPr>
          <w:rFonts w:ascii="宋体" w:hAnsi="宋体" w:eastAsia="宋体" w:cs="宋体"/>
          <w:spacing w:val="-3"/>
          <w:sz w:val="24"/>
          <w:szCs w:val="24"/>
        </w:rPr>
        <w:t>天内进场，在现场的时间不得低于</w:t>
      </w:r>
      <w:r>
        <w:rPr>
          <w:rFonts w:ascii="宋体" w:hAnsi="宋体" w:eastAsia="宋体" w:cs="宋体"/>
          <w:spacing w:val="-48"/>
          <w:sz w:val="24"/>
          <w:szCs w:val="24"/>
        </w:rPr>
        <w:t xml:space="preserve"> </w:t>
      </w:r>
      <w:r>
        <w:rPr>
          <w:rFonts w:ascii="宋体" w:hAnsi="宋体" w:eastAsia="宋体" w:cs="宋体"/>
          <w:spacing w:val="-3"/>
          <w:sz w:val="24"/>
          <w:szCs w:val="24"/>
        </w:rPr>
        <w:t>22</w:t>
      </w:r>
      <w:r>
        <w:rPr>
          <w:rFonts w:ascii="宋体" w:hAnsi="宋体" w:eastAsia="宋体" w:cs="宋体"/>
          <w:spacing w:val="-46"/>
          <w:sz w:val="24"/>
          <w:szCs w:val="24"/>
        </w:rPr>
        <w:t xml:space="preserve"> </w:t>
      </w:r>
      <w:r>
        <w:rPr>
          <w:rFonts w:ascii="宋体" w:hAnsi="宋体" w:eastAsia="宋体" w:cs="宋体"/>
          <w:spacing w:val="-3"/>
          <w:sz w:val="24"/>
          <w:szCs w:val="24"/>
        </w:rPr>
        <w:t>天/月，到期</w:t>
      </w:r>
      <w:r>
        <w:rPr>
          <w:rFonts w:ascii="宋体" w:hAnsi="宋体" w:eastAsia="宋体" w:cs="宋体"/>
          <w:spacing w:val="-4"/>
          <w:sz w:val="24"/>
          <w:szCs w:val="24"/>
        </w:rPr>
        <w:t>未到现场</w:t>
      </w:r>
      <w:r>
        <w:rPr>
          <w:rFonts w:ascii="宋体" w:hAnsi="宋体" w:eastAsia="宋体" w:cs="宋体"/>
          <w:spacing w:val="1"/>
          <w:sz w:val="24"/>
          <w:szCs w:val="24"/>
        </w:rPr>
        <w:t xml:space="preserve">或在现场的时间不足的，承包人应按 </w:t>
      </w:r>
      <w:r>
        <w:rPr>
          <w:rFonts w:ascii="宋体" w:hAnsi="宋体" w:eastAsia="宋体" w:cs="宋体"/>
          <w:spacing w:val="1"/>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1"/>
          <w:sz w:val="24"/>
          <w:szCs w:val="24"/>
        </w:rPr>
        <w:t>元/人/月标准向发包人支付违约金；到期后</w:t>
      </w:r>
      <w:r>
        <w:rPr>
          <w:rFonts w:ascii="宋体" w:hAnsi="宋体" w:eastAsia="宋体" w:cs="宋体"/>
          <w:spacing w:val="-1"/>
          <w:sz w:val="24"/>
          <w:szCs w:val="24"/>
        </w:rPr>
        <w:t>超过</w:t>
      </w:r>
      <w:r>
        <w:rPr>
          <w:rFonts w:ascii="宋体" w:hAnsi="宋体" w:eastAsia="宋体" w:cs="宋体"/>
          <w:spacing w:val="-1"/>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1"/>
          <w:sz w:val="24"/>
          <w:szCs w:val="24"/>
        </w:rPr>
        <w:t>天仍未能到现场，或在现场的时间不足情形发生</w:t>
      </w:r>
      <w:r>
        <w:rPr>
          <w:rFonts w:ascii="宋体" w:hAnsi="宋体" w:eastAsia="宋体" w:cs="宋体"/>
          <w:spacing w:val="-1"/>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1"/>
          <w:sz w:val="24"/>
          <w:szCs w:val="24"/>
        </w:rPr>
        <w:t>次及以上，又或项目负</w:t>
      </w:r>
      <w:r>
        <w:rPr>
          <w:rFonts w:ascii="宋体" w:hAnsi="宋体" w:eastAsia="宋体" w:cs="宋体"/>
          <w:spacing w:val="-4"/>
          <w:sz w:val="24"/>
          <w:szCs w:val="24"/>
        </w:rPr>
        <w:t>责人或项目技术负责人超过</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1"/>
          <w:sz w:val="24"/>
          <w:szCs w:val="24"/>
        </w:rPr>
        <w:t xml:space="preserve"> </w:t>
      </w:r>
      <w:r>
        <w:rPr>
          <w:rFonts w:ascii="宋体" w:hAnsi="宋体" w:eastAsia="宋体" w:cs="宋体"/>
          <w:spacing w:val="-4"/>
          <w:sz w:val="24"/>
          <w:szCs w:val="24"/>
        </w:rPr>
        <w:t>个月未到岗，发包人有权解除合同，并按</w:t>
      </w:r>
      <w:r>
        <w:rPr>
          <w:rFonts w:ascii="宋体" w:hAnsi="宋体" w:eastAsia="宋体" w:cs="宋体"/>
          <w:spacing w:val="-5"/>
          <w:sz w:val="24"/>
          <w:szCs w:val="24"/>
        </w:rPr>
        <w:t>本合同第</w:t>
      </w:r>
      <w:r>
        <w:rPr>
          <w:rFonts w:ascii="宋体" w:hAnsi="宋体" w:eastAsia="宋体" w:cs="宋体"/>
          <w:spacing w:val="-48"/>
          <w:sz w:val="24"/>
          <w:szCs w:val="24"/>
        </w:rPr>
        <w:t xml:space="preserve"> </w:t>
      </w:r>
      <w:r>
        <w:rPr>
          <w:rFonts w:ascii="宋体" w:hAnsi="宋体" w:eastAsia="宋体" w:cs="宋体"/>
          <w:spacing w:val="-5"/>
          <w:sz w:val="24"/>
          <w:szCs w:val="24"/>
        </w:rPr>
        <w:t>22.1.2</w:t>
      </w:r>
      <w:r>
        <w:rPr>
          <w:rFonts w:ascii="宋体" w:hAnsi="宋体" w:eastAsia="宋体" w:cs="宋体"/>
          <w:spacing w:val="-3"/>
          <w:sz w:val="24"/>
          <w:szCs w:val="24"/>
        </w:rPr>
        <w:t>项、22.1.3</w:t>
      </w:r>
      <w:r>
        <w:rPr>
          <w:rFonts w:ascii="宋体" w:hAnsi="宋体" w:eastAsia="宋体" w:cs="宋体"/>
          <w:spacing w:val="-47"/>
          <w:sz w:val="24"/>
          <w:szCs w:val="24"/>
        </w:rPr>
        <w:t xml:space="preserve"> </w:t>
      </w:r>
      <w:r>
        <w:rPr>
          <w:rFonts w:ascii="宋体" w:hAnsi="宋体" w:eastAsia="宋体" w:cs="宋体"/>
          <w:spacing w:val="-3"/>
          <w:sz w:val="24"/>
          <w:szCs w:val="24"/>
        </w:rPr>
        <w:t>项处理。同时投入本工程的项目负责人</w:t>
      </w:r>
      <w:r>
        <w:rPr>
          <w:rFonts w:ascii="宋体" w:hAnsi="宋体" w:eastAsia="宋体" w:cs="宋体"/>
          <w:spacing w:val="-4"/>
          <w:sz w:val="24"/>
          <w:szCs w:val="24"/>
        </w:rPr>
        <w:t>、项目技术负责人在本工程开工至全</w:t>
      </w:r>
      <w:r>
        <w:rPr>
          <w:rFonts w:ascii="宋体" w:hAnsi="宋体" w:eastAsia="宋体" w:cs="宋体"/>
          <w:spacing w:val="-1"/>
          <w:sz w:val="24"/>
          <w:szCs w:val="24"/>
        </w:rPr>
        <w:t>部内容完工前，不得兼任其他工程的项目管理职责，若经发现核实，处以每人次</w:t>
      </w:r>
      <w:r>
        <w:rPr>
          <w:rFonts w:ascii="宋体" w:hAnsi="宋体" w:eastAsia="宋体" w:cs="宋体"/>
          <w:spacing w:val="-1"/>
          <w:sz w:val="24"/>
          <w:szCs w:val="24"/>
          <w:u w:val="single" w:color="auto"/>
        </w:rPr>
        <w:t xml:space="preserve">   </w:t>
      </w:r>
      <w:r>
        <w:rPr>
          <w:rFonts w:ascii="宋体" w:hAnsi="宋体" w:eastAsia="宋体" w:cs="宋体"/>
          <w:spacing w:val="-94"/>
          <w:sz w:val="24"/>
          <w:szCs w:val="24"/>
        </w:rPr>
        <w:t xml:space="preserve"> </w:t>
      </w:r>
      <w:r>
        <w:rPr>
          <w:rFonts w:ascii="宋体" w:hAnsi="宋体" w:eastAsia="宋体" w:cs="宋体"/>
          <w:spacing w:val="-1"/>
          <w:sz w:val="24"/>
          <w:szCs w:val="24"/>
        </w:rPr>
        <w:t>万</w:t>
      </w:r>
      <w:r>
        <w:rPr>
          <w:rFonts w:ascii="宋体" w:hAnsi="宋体" w:eastAsia="宋体" w:cs="宋体"/>
          <w:sz w:val="24"/>
          <w:szCs w:val="24"/>
        </w:rPr>
        <w:t>元违约金。若有继续违反的，可视为承包人</w:t>
      </w:r>
      <w:r>
        <w:rPr>
          <w:rFonts w:ascii="宋体" w:hAnsi="宋体" w:eastAsia="宋体" w:cs="宋体"/>
          <w:spacing w:val="-1"/>
          <w:sz w:val="24"/>
          <w:szCs w:val="24"/>
        </w:rPr>
        <w:t>违约，发包人有权解除合同。</w:t>
      </w:r>
    </w:p>
    <w:p w14:paraId="3AE4E788">
      <w:pPr>
        <w:spacing w:line="359" w:lineRule="auto"/>
        <w:ind w:left="6" w:right="80" w:firstLine="373"/>
        <w:rPr>
          <w:rFonts w:ascii="宋体" w:hAnsi="宋体" w:eastAsia="宋体" w:cs="宋体"/>
          <w:sz w:val="24"/>
          <w:szCs w:val="24"/>
        </w:rPr>
      </w:pPr>
      <w:r>
        <w:rPr>
          <w:rFonts w:ascii="宋体" w:hAnsi="宋体" w:eastAsia="宋体" w:cs="宋体"/>
          <w:spacing w:val="-2"/>
          <w:sz w:val="24"/>
          <w:szCs w:val="24"/>
        </w:rPr>
        <w:t>（3）考勤：承包人按照发包人要求考勤，进场后，由监理人对承包人主要人员每天进行考勤。</w:t>
      </w:r>
    </w:p>
    <w:p w14:paraId="3B4A4FCD">
      <w:pPr>
        <w:spacing w:line="359" w:lineRule="auto"/>
        <w:ind w:left="14" w:right="147" w:firstLine="473"/>
        <w:rPr>
          <w:rFonts w:ascii="宋体" w:hAnsi="宋体" w:eastAsia="宋体" w:cs="宋体"/>
          <w:sz w:val="24"/>
          <w:szCs w:val="24"/>
        </w:rPr>
      </w:pPr>
      <w:r>
        <w:rPr>
          <w:rFonts w:ascii="宋体" w:hAnsi="宋体" w:eastAsia="宋体" w:cs="宋体"/>
          <w:sz w:val="24"/>
          <w:szCs w:val="24"/>
        </w:rPr>
        <w:t>4.5.4 通用合同条款本条不适用，代之以:承包人项目负责</w:t>
      </w:r>
      <w:r>
        <w:rPr>
          <w:rFonts w:ascii="宋体" w:hAnsi="宋体" w:eastAsia="宋体" w:cs="宋体"/>
          <w:spacing w:val="-1"/>
          <w:sz w:val="24"/>
          <w:szCs w:val="24"/>
        </w:rPr>
        <w:t>人应亲自履行本合同约</w:t>
      </w:r>
      <w:r>
        <w:rPr>
          <w:rFonts w:ascii="宋体" w:hAnsi="宋体" w:eastAsia="宋体" w:cs="宋体"/>
          <w:spacing w:val="-4"/>
          <w:sz w:val="24"/>
          <w:szCs w:val="24"/>
        </w:rPr>
        <w:t>定职责。</w:t>
      </w:r>
    </w:p>
    <w:p w14:paraId="1B7DEE39">
      <w:pPr>
        <w:spacing w:line="219" w:lineRule="auto"/>
        <w:ind w:left="487"/>
        <w:rPr>
          <w:rFonts w:ascii="宋体" w:hAnsi="宋体" w:eastAsia="宋体" w:cs="宋体"/>
          <w:sz w:val="24"/>
          <w:szCs w:val="24"/>
        </w:rPr>
      </w:pPr>
      <w:r>
        <w:rPr>
          <w:rFonts w:ascii="宋体" w:hAnsi="宋体" w:eastAsia="宋体" w:cs="宋体"/>
          <w:b/>
          <w:bCs/>
          <w:spacing w:val="-3"/>
          <w:sz w:val="24"/>
          <w:szCs w:val="24"/>
        </w:rPr>
        <w:t>4.6</w:t>
      </w:r>
      <w:r>
        <w:rPr>
          <w:rFonts w:ascii="宋体" w:hAnsi="宋体" w:eastAsia="宋体" w:cs="宋体"/>
          <w:spacing w:val="-3"/>
          <w:sz w:val="24"/>
          <w:szCs w:val="24"/>
        </w:rPr>
        <w:t xml:space="preserve"> </w:t>
      </w:r>
      <w:r>
        <w:rPr>
          <w:rFonts w:ascii="宋体" w:hAnsi="宋体" w:eastAsia="宋体" w:cs="宋体"/>
          <w:b/>
          <w:bCs/>
          <w:spacing w:val="-3"/>
          <w:sz w:val="24"/>
          <w:szCs w:val="24"/>
        </w:rPr>
        <w:t>承包人人员的管理</w:t>
      </w:r>
    </w:p>
    <w:p w14:paraId="0EB7699A">
      <w:pPr>
        <w:spacing w:before="184" w:line="359" w:lineRule="auto"/>
        <w:ind w:left="10" w:right="18" w:firstLine="477"/>
        <w:jc w:val="both"/>
        <w:rPr>
          <w:rFonts w:ascii="宋体" w:hAnsi="宋体" w:eastAsia="宋体" w:cs="宋体"/>
          <w:sz w:val="24"/>
          <w:szCs w:val="24"/>
        </w:rPr>
      </w:pPr>
      <w:r>
        <w:rPr>
          <w:rFonts w:ascii="宋体" w:hAnsi="宋体" w:eastAsia="宋体" w:cs="宋体"/>
          <w:spacing w:val="-1"/>
          <w:sz w:val="24"/>
          <w:szCs w:val="24"/>
        </w:rPr>
        <w:t>4.6.2</w:t>
      </w:r>
      <w:r>
        <w:rPr>
          <w:rFonts w:ascii="宋体" w:hAnsi="宋体" w:eastAsia="宋体" w:cs="宋体"/>
          <w:spacing w:val="-32"/>
          <w:sz w:val="24"/>
          <w:szCs w:val="24"/>
        </w:rPr>
        <w:t xml:space="preserve"> </w:t>
      </w:r>
      <w:r>
        <w:rPr>
          <w:rFonts w:ascii="宋体" w:hAnsi="宋体" w:eastAsia="宋体" w:cs="宋体"/>
          <w:spacing w:val="-1"/>
          <w:sz w:val="24"/>
          <w:szCs w:val="24"/>
        </w:rPr>
        <w:t>主要技术人员和管理人员最低要求见本合同条款附件四《其他管理人员和技</w:t>
      </w:r>
      <w:r>
        <w:rPr>
          <w:rFonts w:ascii="宋体" w:hAnsi="宋体" w:eastAsia="宋体" w:cs="宋体"/>
          <w:spacing w:val="-2"/>
          <w:sz w:val="24"/>
          <w:szCs w:val="24"/>
        </w:rPr>
        <w:t>术人员最低要求》。在合同履约过程中，承包人按照该表的最低要求填报派驻本标段的主要人员，在经发包人审批后作为派驻本标段的主要人员且不允许无故更换。如果承包</w:t>
      </w:r>
      <w:r>
        <w:rPr>
          <w:rFonts w:ascii="宋体" w:hAnsi="宋体" w:eastAsia="宋体" w:cs="宋体"/>
          <w:spacing w:val="-3"/>
          <w:sz w:val="24"/>
          <w:szCs w:val="24"/>
        </w:rPr>
        <w:t>人不能在本项目签定合同后的3天内，委派主要技术人员和管理人员全部</w:t>
      </w:r>
      <w:r>
        <w:rPr>
          <w:rFonts w:ascii="宋体" w:hAnsi="宋体" w:eastAsia="宋体" w:cs="宋体"/>
          <w:spacing w:val="-4"/>
          <w:sz w:val="24"/>
          <w:szCs w:val="24"/>
        </w:rPr>
        <w:t>到位开展工作，</w:t>
      </w:r>
      <w:r>
        <w:rPr>
          <w:rFonts w:ascii="宋体" w:hAnsi="宋体" w:eastAsia="宋体" w:cs="宋体"/>
          <w:spacing w:val="-1"/>
          <w:sz w:val="24"/>
          <w:szCs w:val="24"/>
        </w:rPr>
        <w:t>则视为相应岗位空缺，将严格按照合同条款的规定承担违约责任。</w:t>
      </w:r>
    </w:p>
    <w:p w14:paraId="637C9165">
      <w:pPr>
        <w:spacing w:before="2" w:line="358" w:lineRule="auto"/>
        <w:ind w:left="8" w:firstLine="486"/>
        <w:jc w:val="both"/>
        <w:rPr>
          <w:rFonts w:ascii="宋体" w:hAnsi="宋体" w:eastAsia="宋体" w:cs="宋体"/>
          <w:sz w:val="24"/>
          <w:szCs w:val="24"/>
        </w:rPr>
      </w:pPr>
      <w:r>
        <w:rPr>
          <w:rFonts w:ascii="宋体" w:hAnsi="宋体" w:eastAsia="宋体" w:cs="宋体"/>
          <w:spacing w:val="-2"/>
          <w:sz w:val="24"/>
          <w:szCs w:val="24"/>
        </w:rPr>
        <w:t>到岗履职的约定：承包人承诺投入本工程的其他管理人员，在现场的时间不得低于22</w:t>
      </w:r>
      <w:r>
        <w:rPr>
          <w:rFonts w:ascii="宋体" w:hAnsi="宋体" w:eastAsia="宋体" w:cs="宋体"/>
          <w:spacing w:val="-31"/>
          <w:sz w:val="24"/>
          <w:szCs w:val="24"/>
        </w:rPr>
        <w:t xml:space="preserve"> </w:t>
      </w:r>
      <w:r>
        <w:rPr>
          <w:rFonts w:ascii="宋体" w:hAnsi="宋体" w:eastAsia="宋体" w:cs="宋体"/>
          <w:spacing w:val="-2"/>
          <w:sz w:val="24"/>
          <w:szCs w:val="24"/>
        </w:rPr>
        <w:t>天/月，若在现场的时间不足的，承包人应按</w:t>
      </w:r>
      <w:r>
        <w:rPr>
          <w:rFonts w:ascii="宋体" w:hAnsi="宋体" w:eastAsia="宋体" w:cs="宋体"/>
          <w:spacing w:val="-2"/>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2"/>
          <w:sz w:val="24"/>
          <w:szCs w:val="24"/>
        </w:rPr>
        <w:t>元/人/月标准向发包人支付违约金。</w:t>
      </w:r>
      <w:r>
        <w:rPr>
          <w:rFonts w:ascii="宋体" w:hAnsi="宋体" w:eastAsia="宋体" w:cs="宋体"/>
          <w:sz w:val="24"/>
          <w:szCs w:val="24"/>
        </w:rPr>
        <w:t>承包人承诺派驻现场的所有管理人员均要接受智能</w:t>
      </w:r>
      <w:r>
        <w:rPr>
          <w:rFonts w:ascii="宋体" w:hAnsi="宋体" w:eastAsia="宋体" w:cs="宋体"/>
          <w:spacing w:val="-1"/>
          <w:sz w:val="24"/>
          <w:szCs w:val="24"/>
        </w:rPr>
        <w:t>人脸识别考勤机的考勤。</w:t>
      </w:r>
    </w:p>
    <w:p w14:paraId="1FD1C2BD">
      <w:pPr>
        <w:spacing w:before="2" w:line="360" w:lineRule="auto"/>
        <w:ind w:left="11" w:right="80" w:firstLine="476"/>
        <w:jc w:val="both"/>
        <w:rPr>
          <w:rFonts w:ascii="宋体" w:hAnsi="宋体" w:eastAsia="宋体" w:cs="宋体"/>
          <w:sz w:val="24"/>
          <w:szCs w:val="24"/>
        </w:rPr>
      </w:pPr>
      <w:r>
        <w:rPr>
          <w:rFonts w:ascii="宋体" w:hAnsi="宋体" w:eastAsia="宋体" w:cs="宋体"/>
          <w:spacing w:val="-1"/>
          <w:sz w:val="24"/>
          <w:szCs w:val="24"/>
        </w:rPr>
        <w:t>4.6.5</w:t>
      </w:r>
      <w:r>
        <w:rPr>
          <w:rFonts w:ascii="宋体" w:hAnsi="宋体" w:eastAsia="宋体" w:cs="宋体"/>
          <w:spacing w:val="-32"/>
          <w:sz w:val="24"/>
          <w:szCs w:val="24"/>
        </w:rPr>
        <w:t xml:space="preserve"> </w:t>
      </w:r>
      <w:r>
        <w:rPr>
          <w:rFonts w:ascii="宋体" w:hAnsi="宋体" w:eastAsia="宋体" w:cs="宋体"/>
          <w:spacing w:val="-1"/>
          <w:sz w:val="24"/>
          <w:szCs w:val="24"/>
        </w:rPr>
        <w:t>投入本工程的安全负责人为项目现场的安全直接责任人，不能与项目负责人</w:t>
      </w:r>
      <w:r>
        <w:rPr>
          <w:rFonts w:ascii="宋体" w:hAnsi="宋体" w:eastAsia="宋体" w:cs="宋体"/>
          <w:spacing w:val="-2"/>
          <w:sz w:val="24"/>
          <w:szCs w:val="24"/>
        </w:rPr>
        <w:t>或项目技术负责人为同一个人，在本工程开工至全部内容完工前，不得兼任其他工程的</w:t>
      </w:r>
      <w:r>
        <w:rPr>
          <w:rFonts w:ascii="宋体" w:hAnsi="宋体" w:eastAsia="宋体" w:cs="宋体"/>
          <w:spacing w:val="-1"/>
          <w:sz w:val="24"/>
          <w:szCs w:val="24"/>
        </w:rPr>
        <w:t>项目管理职责，若经发现核实，处以每次</w:t>
      </w:r>
      <w:r>
        <w:rPr>
          <w:rFonts w:ascii="宋体" w:hAnsi="宋体" w:eastAsia="宋体" w:cs="宋体"/>
          <w:spacing w:val="-1"/>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1"/>
          <w:sz w:val="24"/>
          <w:szCs w:val="24"/>
        </w:rPr>
        <w:t>万元的违约金。</w:t>
      </w:r>
    </w:p>
    <w:p w14:paraId="74EDECBD">
      <w:pPr>
        <w:spacing w:line="329" w:lineRule="auto"/>
        <w:rPr>
          <w:rFonts w:ascii="Arial"/>
          <w:sz w:val="21"/>
        </w:rPr>
      </w:pPr>
    </w:p>
    <w:p w14:paraId="7B980F0C">
      <w:pPr>
        <w:spacing w:before="78" w:line="219" w:lineRule="auto"/>
        <w:ind w:left="487"/>
        <w:rPr>
          <w:rFonts w:ascii="宋体" w:hAnsi="宋体" w:eastAsia="宋体" w:cs="宋体"/>
          <w:sz w:val="24"/>
          <w:szCs w:val="24"/>
        </w:rPr>
      </w:pPr>
      <w:r>
        <w:rPr>
          <w:rFonts w:ascii="宋体" w:hAnsi="宋体" w:eastAsia="宋体" w:cs="宋体"/>
          <w:b/>
          <w:bCs/>
          <w:spacing w:val="-2"/>
          <w:sz w:val="24"/>
          <w:szCs w:val="24"/>
        </w:rPr>
        <w:t>4.7</w:t>
      </w:r>
      <w:r>
        <w:rPr>
          <w:rFonts w:ascii="宋体" w:hAnsi="宋体" w:eastAsia="宋体" w:cs="宋体"/>
          <w:spacing w:val="-2"/>
          <w:sz w:val="24"/>
          <w:szCs w:val="24"/>
        </w:rPr>
        <w:t xml:space="preserve"> </w:t>
      </w:r>
      <w:r>
        <w:rPr>
          <w:rFonts w:ascii="宋体" w:hAnsi="宋体" w:eastAsia="宋体" w:cs="宋体"/>
          <w:b/>
          <w:bCs/>
          <w:spacing w:val="-2"/>
          <w:sz w:val="24"/>
          <w:szCs w:val="24"/>
        </w:rPr>
        <w:t>撤换承包人项目负责人和其他人员</w:t>
      </w:r>
    </w:p>
    <w:p w14:paraId="087C4497">
      <w:pPr>
        <w:spacing w:before="182" w:line="219" w:lineRule="auto"/>
        <w:ind w:left="488"/>
        <w:rPr>
          <w:rFonts w:ascii="宋体" w:hAnsi="宋体" w:eastAsia="宋体" w:cs="宋体"/>
          <w:sz w:val="24"/>
          <w:szCs w:val="24"/>
        </w:rPr>
      </w:pPr>
      <w:r>
        <w:rPr>
          <w:rFonts w:ascii="宋体" w:hAnsi="宋体" w:eastAsia="宋体" w:cs="宋体"/>
          <w:spacing w:val="-1"/>
          <w:sz w:val="24"/>
          <w:szCs w:val="24"/>
        </w:rPr>
        <w:t>通用合同条款本款补充以下内容：</w:t>
      </w:r>
    </w:p>
    <w:p w14:paraId="0708FD33">
      <w:pPr>
        <w:spacing w:before="184" w:line="359" w:lineRule="auto"/>
        <w:ind w:left="7" w:right="67" w:firstLine="484"/>
        <w:jc w:val="both"/>
        <w:rPr>
          <w:rFonts w:ascii="宋体" w:hAnsi="宋体" w:eastAsia="宋体" w:cs="宋体"/>
          <w:sz w:val="24"/>
          <w:szCs w:val="24"/>
        </w:rPr>
      </w:pPr>
      <w:r>
        <w:rPr>
          <w:rFonts w:ascii="宋体" w:hAnsi="宋体" w:eastAsia="宋体" w:cs="宋体"/>
          <w:spacing w:val="-2"/>
          <w:sz w:val="24"/>
          <w:szCs w:val="24"/>
        </w:rPr>
        <w:t>如果监理工程师或发包人现场负责人认为已委派的项目负责人、项目技术负责人或安全负责人的工作能力和业务水平不称职，经发包人同意而作出撤换要求的，承包人应</w:t>
      </w:r>
      <w:r>
        <w:rPr>
          <w:rFonts w:ascii="宋体" w:hAnsi="宋体" w:eastAsia="宋体" w:cs="宋体"/>
          <w:spacing w:val="-1"/>
          <w:sz w:val="24"/>
          <w:szCs w:val="24"/>
        </w:rPr>
        <w:t>在接到通知后，尽快撤回相应人员，同时委派经发包人与监</w:t>
      </w:r>
      <w:r>
        <w:rPr>
          <w:rFonts w:ascii="宋体" w:hAnsi="宋体" w:eastAsia="宋体" w:cs="宋体"/>
          <w:spacing w:val="-2"/>
          <w:sz w:val="24"/>
          <w:szCs w:val="24"/>
        </w:rPr>
        <w:t>理工程师同意的新的人选。否则将视为承包人违约，发包人有权按相关条款约定处以违约金，且发包人有权没收履约保证金。</w:t>
      </w:r>
    </w:p>
    <w:p w14:paraId="4740CC20">
      <w:pPr>
        <w:spacing w:before="311" w:line="219" w:lineRule="auto"/>
        <w:ind w:left="488"/>
        <w:rPr>
          <w:rFonts w:ascii="宋体" w:hAnsi="宋体" w:eastAsia="宋体" w:cs="宋体"/>
          <w:b/>
          <w:bCs/>
          <w:spacing w:val="-3"/>
          <w:sz w:val="24"/>
          <w:szCs w:val="24"/>
        </w:rPr>
      </w:pPr>
      <w:r>
        <w:rPr>
          <w:rFonts w:ascii="宋体" w:hAnsi="宋体" w:eastAsia="宋体" w:cs="宋体"/>
          <w:b/>
          <w:bCs/>
          <w:spacing w:val="-3"/>
          <w:sz w:val="24"/>
          <w:szCs w:val="24"/>
        </w:rPr>
        <w:t>4.</w:t>
      </w:r>
      <w:r>
        <w:rPr>
          <w:rFonts w:hint="eastAsia" w:ascii="宋体" w:hAnsi="宋体" w:eastAsia="宋体" w:cs="宋体"/>
          <w:b/>
          <w:bCs/>
          <w:spacing w:val="-3"/>
          <w:sz w:val="24"/>
          <w:szCs w:val="24"/>
          <w:lang w:val="en-US" w:eastAsia="zh-CN"/>
        </w:rPr>
        <w:t xml:space="preserve">8 </w:t>
      </w:r>
      <w:r>
        <w:rPr>
          <w:rFonts w:ascii="宋体" w:hAnsi="宋体" w:eastAsia="宋体" w:cs="宋体"/>
          <w:b/>
          <w:bCs/>
          <w:spacing w:val="-3"/>
          <w:sz w:val="24"/>
          <w:szCs w:val="24"/>
        </w:rPr>
        <w:t>工程价款应专款专用</w:t>
      </w:r>
    </w:p>
    <w:p w14:paraId="61752324">
      <w:pPr>
        <w:spacing w:before="311" w:line="219" w:lineRule="auto"/>
        <w:ind w:left="488"/>
        <w:rPr>
          <w:rFonts w:ascii="宋体" w:hAnsi="宋体" w:eastAsia="宋体" w:cs="宋体"/>
          <w:sz w:val="24"/>
          <w:szCs w:val="24"/>
        </w:rPr>
      </w:pPr>
      <w:r>
        <w:rPr>
          <w:rFonts w:ascii="宋体" w:hAnsi="宋体" w:eastAsia="宋体" w:cs="宋体"/>
          <w:spacing w:val="-1"/>
          <w:sz w:val="24"/>
          <w:szCs w:val="24"/>
        </w:rPr>
        <w:t>通用合同条款本款补充以下内容：</w:t>
      </w:r>
    </w:p>
    <w:p w14:paraId="5CDFF69E">
      <w:pPr>
        <w:spacing w:before="183" w:line="359" w:lineRule="auto"/>
        <w:ind w:left="6" w:firstLine="485"/>
        <w:jc w:val="both"/>
        <w:rPr>
          <w:rFonts w:ascii="宋体" w:hAnsi="宋体" w:eastAsia="宋体" w:cs="宋体"/>
          <w:sz w:val="24"/>
          <w:szCs w:val="24"/>
        </w:rPr>
      </w:pPr>
      <w:r>
        <w:rPr>
          <w:rFonts w:ascii="宋体" w:hAnsi="宋体" w:eastAsia="宋体" w:cs="宋体"/>
          <w:spacing w:val="-2"/>
          <w:sz w:val="24"/>
          <w:szCs w:val="24"/>
        </w:rPr>
        <w:t>发包人支付的预付款、工程进度款应为本工程的专款专用资金，不得转移或用于其他工程。为保障项目建设资金专款专用，发包人委托国有商业银行或股份制商业银行的地市级支行或以上级别的银行对建设专项资金进行第三方资金监管，所有预付款、工程进度款均转入所签订的监管账户中，承包人使用工程款应报经发包人及监理机构审核同意。发包人及其派出机构有权不定期对承包人工程资金使用情况进行检查，发现问题及时责令承包人限期改正，否则，将终止月支付，直至承包人改正为止。承包人应按不低于发包人工程款支付的比例支付相应的材料费、租赁费等工程款项。承包人所有在本工程发生的应付账款付清并提供相应资料给发包人核实后，监管账户余下的款项才能转回</w:t>
      </w:r>
      <w:r>
        <w:rPr>
          <w:rFonts w:ascii="宋体" w:hAnsi="宋体" w:eastAsia="宋体" w:cs="宋体"/>
          <w:spacing w:val="-6"/>
          <w:sz w:val="24"/>
          <w:szCs w:val="24"/>
        </w:rPr>
        <w:t>承包人的基本账户。本项目要求承包人签订《工程资金监管协议》，并按协议接受监管。</w:t>
      </w:r>
    </w:p>
    <w:p w14:paraId="247C8622">
      <w:pPr>
        <w:spacing w:line="219" w:lineRule="auto"/>
        <w:ind w:left="487"/>
        <w:rPr>
          <w:rFonts w:ascii="宋体" w:hAnsi="宋体" w:eastAsia="宋体" w:cs="宋体"/>
          <w:sz w:val="24"/>
          <w:szCs w:val="24"/>
        </w:rPr>
      </w:pPr>
      <w:r>
        <w:rPr>
          <w:rFonts w:ascii="宋体" w:hAnsi="宋体" w:eastAsia="宋体" w:cs="宋体"/>
          <w:b/>
          <w:bCs/>
          <w:spacing w:val="-4"/>
          <w:sz w:val="24"/>
          <w:szCs w:val="24"/>
        </w:rPr>
        <w:t>4.</w:t>
      </w:r>
      <w:r>
        <w:rPr>
          <w:rFonts w:hint="eastAsia" w:ascii="宋体" w:hAnsi="宋体" w:eastAsia="宋体" w:cs="宋体"/>
          <w:b/>
          <w:bCs/>
          <w:spacing w:val="-4"/>
          <w:sz w:val="24"/>
          <w:szCs w:val="24"/>
          <w:lang w:val="en-US" w:eastAsia="zh-CN"/>
        </w:rPr>
        <w:t>9</w:t>
      </w:r>
      <w:r>
        <w:rPr>
          <w:rFonts w:ascii="宋体" w:hAnsi="宋体" w:eastAsia="宋体" w:cs="宋体"/>
          <w:spacing w:val="-46"/>
          <w:sz w:val="24"/>
          <w:szCs w:val="24"/>
        </w:rPr>
        <w:t xml:space="preserve"> </w:t>
      </w:r>
      <w:r>
        <w:rPr>
          <w:rFonts w:ascii="宋体" w:hAnsi="宋体" w:eastAsia="宋体" w:cs="宋体"/>
          <w:b/>
          <w:bCs/>
          <w:spacing w:val="-4"/>
          <w:sz w:val="24"/>
          <w:szCs w:val="24"/>
        </w:rPr>
        <w:t>不利物质条件</w:t>
      </w:r>
    </w:p>
    <w:p w14:paraId="32A02CD6">
      <w:pPr>
        <w:spacing w:before="179" w:line="219" w:lineRule="auto"/>
        <w:ind w:left="488"/>
        <w:rPr>
          <w:rFonts w:ascii="宋体" w:hAnsi="宋体" w:eastAsia="宋体" w:cs="宋体"/>
          <w:sz w:val="24"/>
          <w:szCs w:val="24"/>
        </w:rPr>
      </w:pPr>
      <w:r>
        <w:rPr>
          <w:rFonts w:ascii="宋体" w:hAnsi="宋体" w:eastAsia="宋体" w:cs="宋体"/>
          <w:b/>
          <w:bCs/>
          <w:sz w:val="24"/>
          <w:szCs w:val="24"/>
        </w:rPr>
        <w:t>通用合同条款本款增加4.11.3</w:t>
      </w:r>
      <w:r>
        <w:rPr>
          <w:rFonts w:ascii="宋体" w:hAnsi="宋体" w:eastAsia="宋体" w:cs="宋体"/>
          <w:spacing w:val="-45"/>
          <w:sz w:val="24"/>
          <w:szCs w:val="24"/>
        </w:rPr>
        <w:t xml:space="preserve"> </w:t>
      </w:r>
      <w:r>
        <w:rPr>
          <w:rFonts w:ascii="宋体" w:hAnsi="宋体" w:eastAsia="宋体" w:cs="宋体"/>
          <w:b/>
          <w:bCs/>
          <w:sz w:val="24"/>
          <w:szCs w:val="24"/>
        </w:rPr>
        <w:t>项的内容：</w:t>
      </w:r>
    </w:p>
    <w:p w14:paraId="1E601FC3">
      <w:pPr>
        <w:spacing w:before="184" w:line="219" w:lineRule="auto"/>
        <w:ind w:left="487"/>
        <w:rPr>
          <w:rFonts w:ascii="宋体" w:hAnsi="宋体" w:eastAsia="宋体" w:cs="宋体"/>
          <w:sz w:val="24"/>
          <w:szCs w:val="24"/>
        </w:rPr>
      </w:pPr>
      <w:r>
        <w:rPr>
          <w:rFonts w:ascii="宋体" w:hAnsi="宋体" w:eastAsia="宋体" w:cs="宋体"/>
          <w:spacing w:val="-2"/>
          <w:sz w:val="24"/>
          <w:szCs w:val="24"/>
        </w:rPr>
        <w:t>4.</w:t>
      </w:r>
      <w:r>
        <w:rPr>
          <w:rFonts w:hint="eastAsia" w:ascii="宋体" w:hAnsi="宋体" w:eastAsia="宋体" w:cs="宋体"/>
          <w:spacing w:val="-2"/>
          <w:sz w:val="24"/>
          <w:szCs w:val="24"/>
          <w:lang w:val="en-US" w:eastAsia="zh-CN"/>
        </w:rPr>
        <w:t>9</w:t>
      </w:r>
      <w:r>
        <w:rPr>
          <w:rFonts w:ascii="宋体" w:hAnsi="宋体" w:eastAsia="宋体" w:cs="宋体"/>
          <w:spacing w:val="-2"/>
          <w:sz w:val="24"/>
          <w:szCs w:val="24"/>
        </w:rPr>
        <w:t>.3</w:t>
      </w:r>
      <w:r>
        <w:rPr>
          <w:rFonts w:ascii="宋体" w:hAnsi="宋体" w:eastAsia="宋体" w:cs="宋体"/>
          <w:spacing w:val="-38"/>
          <w:sz w:val="24"/>
          <w:szCs w:val="24"/>
        </w:rPr>
        <w:t xml:space="preserve"> </w:t>
      </w:r>
      <w:r>
        <w:rPr>
          <w:rFonts w:ascii="宋体" w:hAnsi="宋体" w:eastAsia="宋体" w:cs="宋体"/>
          <w:spacing w:val="-2"/>
          <w:sz w:val="24"/>
          <w:szCs w:val="24"/>
        </w:rPr>
        <w:t>可预见的不利物质条件</w:t>
      </w:r>
    </w:p>
    <w:p w14:paraId="3BEE67C5">
      <w:pPr>
        <w:spacing w:before="182" w:line="359" w:lineRule="auto"/>
        <w:ind w:left="8" w:right="80" w:firstLine="491"/>
        <w:rPr>
          <w:rFonts w:ascii="宋体" w:hAnsi="宋体" w:eastAsia="宋体" w:cs="宋体"/>
          <w:sz w:val="24"/>
          <w:szCs w:val="24"/>
        </w:rPr>
      </w:pPr>
      <w:r>
        <w:rPr>
          <w:rFonts w:ascii="宋体" w:hAnsi="宋体" w:eastAsia="宋体" w:cs="宋体"/>
          <w:spacing w:val="-1"/>
          <w:sz w:val="24"/>
          <w:szCs w:val="24"/>
        </w:rPr>
        <w:t>（1）对于已经明确指出的不利物质条件无论承包人是否有其经历和经验均视为承</w:t>
      </w:r>
      <w:r>
        <w:rPr>
          <w:rFonts w:ascii="宋体" w:hAnsi="宋体" w:eastAsia="宋体" w:cs="宋体"/>
          <w:spacing w:val="-2"/>
          <w:sz w:val="24"/>
          <w:szCs w:val="24"/>
        </w:rPr>
        <w:t>包人在接受合同时已预见其影响，并已在签约合同价中计入因其影响而可能发生的一切</w:t>
      </w:r>
      <w:r>
        <w:rPr>
          <w:rFonts w:ascii="宋体" w:hAnsi="宋体" w:eastAsia="宋体" w:cs="宋体"/>
          <w:spacing w:val="-4"/>
          <w:sz w:val="24"/>
          <w:szCs w:val="24"/>
        </w:rPr>
        <w:t>费用。</w:t>
      </w:r>
    </w:p>
    <w:p w14:paraId="282D24E1">
      <w:pPr>
        <w:spacing w:line="359" w:lineRule="auto"/>
        <w:ind w:left="10" w:right="147" w:firstLine="489"/>
        <w:rPr>
          <w:rFonts w:ascii="宋体" w:hAnsi="宋体" w:eastAsia="宋体" w:cs="宋体"/>
          <w:sz w:val="24"/>
          <w:szCs w:val="24"/>
        </w:rPr>
      </w:pPr>
      <w:r>
        <w:rPr>
          <w:rFonts w:ascii="宋体" w:hAnsi="宋体" w:eastAsia="宋体" w:cs="宋体"/>
          <w:spacing w:val="-1"/>
          <w:sz w:val="24"/>
          <w:szCs w:val="24"/>
        </w:rPr>
        <w:t>（2）对于未明确指出，但是在不利物质条件发生之前，监理人已经指示承包人有</w:t>
      </w:r>
      <w:r>
        <w:rPr>
          <w:rFonts w:ascii="宋体" w:hAnsi="宋体" w:eastAsia="宋体" w:cs="宋体"/>
          <w:sz w:val="24"/>
          <w:szCs w:val="24"/>
        </w:rPr>
        <w:t>可能发生，但承包人未能及时采取有效措施，而导致的</w:t>
      </w:r>
      <w:r>
        <w:rPr>
          <w:rFonts w:ascii="宋体" w:hAnsi="宋体" w:eastAsia="宋体" w:cs="宋体"/>
          <w:spacing w:val="-1"/>
          <w:sz w:val="24"/>
          <w:szCs w:val="24"/>
        </w:rPr>
        <w:t>损失和后果均由承包人承担。</w:t>
      </w:r>
    </w:p>
    <w:p w14:paraId="4F292D17">
      <w:pPr>
        <w:spacing w:before="1" w:line="218" w:lineRule="auto"/>
        <w:ind w:left="13"/>
        <w:rPr>
          <w:rFonts w:ascii="宋体" w:hAnsi="宋体" w:eastAsia="宋体" w:cs="宋体"/>
          <w:sz w:val="24"/>
          <w:szCs w:val="24"/>
        </w:rPr>
      </w:pPr>
      <w:r>
        <w:rPr>
          <w:rFonts w:ascii="宋体" w:hAnsi="宋体" w:eastAsia="宋体" w:cs="宋体"/>
          <w:b/>
          <w:bCs/>
          <w:spacing w:val="-4"/>
          <w:sz w:val="24"/>
          <w:szCs w:val="24"/>
        </w:rPr>
        <w:t>5．材料和工程设备</w:t>
      </w:r>
    </w:p>
    <w:p w14:paraId="1ECB9031">
      <w:pPr>
        <w:spacing w:before="183" w:line="219" w:lineRule="auto"/>
        <w:ind w:left="493"/>
        <w:rPr>
          <w:rFonts w:ascii="宋体" w:hAnsi="宋体" w:eastAsia="宋体" w:cs="宋体"/>
          <w:sz w:val="24"/>
          <w:szCs w:val="24"/>
        </w:rPr>
      </w:pPr>
      <w:r>
        <w:rPr>
          <w:rFonts w:ascii="宋体" w:hAnsi="宋体" w:eastAsia="宋体" w:cs="宋体"/>
          <w:b/>
          <w:bCs/>
          <w:spacing w:val="-3"/>
          <w:sz w:val="24"/>
          <w:szCs w:val="24"/>
        </w:rPr>
        <w:t>5.1</w:t>
      </w:r>
      <w:r>
        <w:rPr>
          <w:rFonts w:ascii="宋体" w:hAnsi="宋体" w:eastAsia="宋体" w:cs="宋体"/>
          <w:spacing w:val="-3"/>
          <w:sz w:val="24"/>
          <w:szCs w:val="24"/>
        </w:rPr>
        <w:t xml:space="preserve"> </w:t>
      </w:r>
      <w:r>
        <w:rPr>
          <w:rFonts w:ascii="宋体" w:hAnsi="宋体" w:eastAsia="宋体" w:cs="宋体"/>
          <w:b/>
          <w:bCs/>
          <w:spacing w:val="-3"/>
          <w:sz w:val="24"/>
          <w:szCs w:val="24"/>
        </w:rPr>
        <w:t>承包人提供的材料和工程设备</w:t>
      </w:r>
    </w:p>
    <w:p w14:paraId="30B054FA">
      <w:pPr>
        <w:spacing w:before="179" w:line="360" w:lineRule="auto"/>
        <w:ind w:left="8" w:right="80" w:firstLine="484"/>
        <w:jc w:val="both"/>
        <w:rPr>
          <w:rFonts w:ascii="宋体" w:hAnsi="宋体" w:eastAsia="宋体" w:cs="宋体"/>
          <w:sz w:val="24"/>
          <w:szCs w:val="24"/>
        </w:rPr>
      </w:pPr>
      <w:r>
        <w:rPr>
          <w:rFonts w:ascii="宋体" w:hAnsi="宋体" w:eastAsia="宋体" w:cs="宋体"/>
          <w:spacing w:val="-1"/>
          <w:sz w:val="24"/>
          <w:szCs w:val="24"/>
        </w:rPr>
        <w:t>5.1.2</w:t>
      </w:r>
      <w:r>
        <w:rPr>
          <w:rFonts w:ascii="宋体" w:hAnsi="宋体" w:eastAsia="宋体" w:cs="宋体"/>
          <w:spacing w:val="-30"/>
          <w:sz w:val="24"/>
          <w:szCs w:val="24"/>
        </w:rPr>
        <w:t xml:space="preserve"> </w:t>
      </w:r>
      <w:r>
        <w:rPr>
          <w:rFonts w:ascii="宋体" w:hAnsi="宋体" w:eastAsia="宋体" w:cs="宋体"/>
          <w:spacing w:val="-1"/>
          <w:sz w:val="24"/>
          <w:szCs w:val="24"/>
        </w:rPr>
        <w:t>承包人应报送各项材料和工程设备的供货人及品种、规格、数量和供货时间</w:t>
      </w:r>
      <w:r>
        <w:rPr>
          <w:rFonts w:ascii="宋体" w:hAnsi="宋体" w:eastAsia="宋体" w:cs="宋体"/>
          <w:spacing w:val="-2"/>
          <w:sz w:val="24"/>
          <w:szCs w:val="24"/>
        </w:rPr>
        <w:t>的约定：承包人应在订货或采购前，将各项材料和工程设备的供货人及品种、规格、数量和供货时间等报送监理人审批、发包人审定，只有在发包人审定后，承包人方可根据</w:t>
      </w:r>
      <w:r>
        <w:rPr>
          <w:rFonts w:ascii="宋体" w:hAnsi="宋体" w:eastAsia="宋体" w:cs="宋体"/>
          <w:spacing w:val="-1"/>
          <w:sz w:val="24"/>
          <w:szCs w:val="24"/>
        </w:rPr>
        <w:t>发包人的审定意见采购材料和设备。</w:t>
      </w:r>
    </w:p>
    <w:p w14:paraId="2FA5EED6">
      <w:pPr>
        <w:spacing w:before="1" w:line="218" w:lineRule="auto"/>
        <w:ind w:left="493"/>
        <w:rPr>
          <w:rFonts w:ascii="宋体" w:hAnsi="宋体" w:eastAsia="宋体" w:cs="宋体"/>
          <w:sz w:val="24"/>
          <w:szCs w:val="24"/>
        </w:rPr>
      </w:pPr>
      <w:r>
        <w:rPr>
          <w:rFonts w:ascii="宋体" w:hAnsi="宋体" w:eastAsia="宋体" w:cs="宋体"/>
          <w:b/>
          <w:bCs/>
          <w:spacing w:val="-3"/>
          <w:sz w:val="24"/>
          <w:szCs w:val="24"/>
        </w:rPr>
        <w:t>5.2</w:t>
      </w:r>
      <w:r>
        <w:rPr>
          <w:rFonts w:ascii="宋体" w:hAnsi="宋体" w:eastAsia="宋体" w:cs="宋体"/>
          <w:spacing w:val="-3"/>
          <w:sz w:val="24"/>
          <w:szCs w:val="24"/>
        </w:rPr>
        <w:t xml:space="preserve"> </w:t>
      </w:r>
      <w:r>
        <w:rPr>
          <w:rFonts w:ascii="宋体" w:hAnsi="宋体" w:eastAsia="宋体" w:cs="宋体"/>
          <w:b/>
          <w:bCs/>
          <w:spacing w:val="-3"/>
          <w:sz w:val="24"/>
          <w:szCs w:val="24"/>
        </w:rPr>
        <w:t>发包人提供的材料和工程设备</w:t>
      </w:r>
    </w:p>
    <w:p w14:paraId="2413993C">
      <w:pPr>
        <w:spacing w:before="181" w:line="219" w:lineRule="auto"/>
        <w:ind w:right="27"/>
        <w:jc w:val="right"/>
        <w:rPr>
          <w:rFonts w:ascii="宋体" w:hAnsi="宋体" w:eastAsia="宋体" w:cs="宋体"/>
          <w:sz w:val="24"/>
          <w:szCs w:val="24"/>
        </w:rPr>
      </w:pPr>
      <w:r>
        <w:rPr>
          <w:rFonts w:ascii="宋体" w:hAnsi="宋体" w:eastAsia="宋体" w:cs="宋体"/>
          <w:sz w:val="24"/>
          <w:szCs w:val="24"/>
        </w:rPr>
        <w:t>5.2.1 本合同发包人</w:t>
      </w:r>
      <w:r>
        <w:rPr>
          <w:rFonts w:ascii="宋体" w:hAnsi="宋体" w:eastAsia="宋体" w:cs="宋体"/>
          <w:sz w:val="24"/>
          <w:szCs w:val="24"/>
          <w:u w:val="single" w:color="auto"/>
        </w:rPr>
        <w:t>提供/不提供</w:t>
      </w:r>
      <w:r>
        <w:rPr>
          <w:rFonts w:ascii="宋体" w:hAnsi="宋体" w:eastAsia="宋体" w:cs="宋体"/>
          <w:sz w:val="24"/>
          <w:szCs w:val="24"/>
        </w:rPr>
        <w:t>材料和工程设备。</w:t>
      </w:r>
      <w:r>
        <w:rPr>
          <w:rFonts w:ascii="宋体" w:hAnsi="宋体" w:eastAsia="宋体" w:cs="宋体"/>
          <w:spacing w:val="-1"/>
          <w:sz w:val="24"/>
          <w:szCs w:val="24"/>
        </w:rPr>
        <w:t>提供材料或工程设备为</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6F53025">
      <w:pPr>
        <w:spacing w:before="182" w:line="219" w:lineRule="auto"/>
        <w:ind w:left="10"/>
        <w:rPr>
          <w:rFonts w:ascii="宋体" w:hAnsi="宋体" w:eastAsia="宋体" w:cs="宋体"/>
          <w:sz w:val="24"/>
          <w:szCs w:val="24"/>
        </w:rPr>
      </w:pPr>
      <w:r>
        <w:rPr>
          <w:rFonts w:ascii="宋体" w:hAnsi="宋体" w:eastAsia="宋体" w:cs="宋体"/>
          <w:b/>
          <w:bCs/>
          <w:spacing w:val="-3"/>
          <w:sz w:val="24"/>
          <w:szCs w:val="24"/>
        </w:rPr>
        <w:t>6．施工设备和临时设施</w:t>
      </w:r>
    </w:p>
    <w:p w14:paraId="010BA834">
      <w:pPr>
        <w:spacing w:before="182" w:line="219" w:lineRule="auto"/>
        <w:ind w:left="490"/>
        <w:rPr>
          <w:rFonts w:ascii="宋体" w:hAnsi="宋体" w:eastAsia="宋体" w:cs="宋体"/>
          <w:sz w:val="24"/>
          <w:szCs w:val="24"/>
        </w:rPr>
      </w:pPr>
      <w:r>
        <w:rPr>
          <w:rFonts w:ascii="宋体" w:hAnsi="宋体" w:eastAsia="宋体" w:cs="宋体"/>
          <w:b/>
          <w:bCs/>
          <w:spacing w:val="-3"/>
          <w:sz w:val="24"/>
          <w:szCs w:val="24"/>
        </w:rPr>
        <w:t>6.1</w:t>
      </w:r>
      <w:r>
        <w:rPr>
          <w:rFonts w:ascii="宋体" w:hAnsi="宋体" w:eastAsia="宋体" w:cs="宋体"/>
          <w:spacing w:val="-3"/>
          <w:sz w:val="24"/>
          <w:szCs w:val="24"/>
        </w:rPr>
        <w:t xml:space="preserve"> </w:t>
      </w:r>
      <w:r>
        <w:rPr>
          <w:rFonts w:ascii="宋体" w:hAnsi="宋体" w:eastAsia="宋体" w:cs="宋体"/>
          <w:b/>
          <w:bCs/>
          <w:spacing w:val="-3"/>
          <w:sz w:val="24"/>
          <w:szCs w:val="24"/>
        </w:rPr>
        <w:t>承包人提供的施工设备和临时设施</w:t>
      </w:r>
    </w:p>
    <w:p w14:paraId="7AB2DBC4">
      <w:pPr>
        <w:spacing w:before="181" w:line="359" w:lineRule="auto"/>
        <w:ind w:left="10" w:right="61" w:firstLine="478"/>
        <w:jc w:val="both"/>
        <w:rPr>
          <w:rFonts w:ascii="宋体" w:hAnsi="宋体" w:eastAsia="宋体" w:cs="宋体"/>
          <w:spacing w:val="-2"/>
          <w:sz w:val="24"/>
          <w:szCs w:val="24"/>
        </w:rPr>
      </w:pPr>
      <w:r>
        <w:rPr>
          <w:rFonts w:ascii="宋体" w:hAnsi="宋体" w:eastAsia="宋体" w:cs="宋体"/>
          <w:spacing w:val="-2"/>
          <w:sz w:val="24"/>
          <w:szCs w:val="24"/>
        </w:rPr>
        <w:t>6.1.1 承包人应按合同进度计划的要求，及时配置施工设备和修建临时设施。进入施工场地的承包人设备需经监理人核查批准后才能投入使用。承包人若不按要求投入设备的则视为违约，发包人有权解除合同。</w:t>
      </w:r>
    </w:p>
    <w:p w14:paraId="24597FA6">
      <w:pPr>
        <w:spacing w:before="181" w:line="359" w:lineRule="auto"/>
        <w:ind w:left="10" w:right="61" w:firstLine="478"/>
        <w:jc w:val="both"/>
        <w:rPr>
          <w:rFonts w:ascii="宋体" w:hAnsi="宋体" w:eastAsia="宋体" w:cs="宋体"/>
          <w:sz w:val="24"/>
          <w:szCs w:val="24"/>
        </w:rPr>
      </w:pPr>
      <w:r>
        <w:rPr>
          <w:rFonts w:ascii="宋体" w:hAnsi="宋体" w:eastAsia="宋体" w:cs="宋体"/>
          <w:spacing w:val="-2"/>
          <w:sz w:val="24"/>
          <w:szCs w:val="24"/>
        </w:rPr>
        <w:t>承包人非特殊原因不得更换现有设备，若因特殊情况需更换现有的设备，替换的设备也须满足招标文件对船机设备的要求，所有施工船机设备更换均应报监理人审核，并经发包人批准。</w:t>
      </w:r>
    </w:p>
    <w:p w14:paraId="601F6BC5">
      <w:pPr>
        <w:spacing w:before="2" w:line="358" w:lineRule="auto"/>
        <w:ind w:left="10" w:right="61" w:firstLine="479"/>
        <w:jc w:val="both"/>
        <w:rPr>
          <w:rFonts w:ascii="宋体" w:hAnsi="宋体" w:eastAsia="宋体" w:cs="宋体"/>
          <w:sz w:val="24"/>
          <w:szCs w:val="24"/>
        </w:rPr>
      </w:pPr>
      <w:r>
        <w:rPr>
          <w:rFonts w:ascii="宋体" w:hAnsi="宋体" w:eastAsia="宋体" w:cs="宋体"/>
          <w:spacing w:val="-2"/>
          <w:sz w:val="24"/>
          <w:szCs w:val="24"/>
        </w:rPr>
        <w:t>若承包人投入的施工船舶不足以保证计划工期实现的，在施工过程中，承包人须按发包人要求增加符合设计施工工艺对应的船机设备进场，船舶的型号规格、进退场时间</w:t>
      </w:r>
      <w:r>
        <w:rPr>
          <w:rFonts w:ascii="宋体" w:hAnsi="宋体" w:eastAsia="宋体" w:cs="宋体"/>
          <w:sz w:val="24"/>
          <w:szCs w:val="24"/>
        </w:rPr>
        <w:t>等均按发包人要求，有关所有费用全部包含</w:t>
      </w:r>
      <w:r>
        <w:rPr>
          <w:rFonts w:ascii="宋体" w:hAnsi="宋体" w:eastAsia="宋体" w:cs="宋体"/>
          <w:spacing w:val="-1"/>
          <w:sz w:val="24"/>
          <w:szCs w:val="24"/>
        </w:rPr>
        <w:t>在承包人的投标总报价之内。</w:t>
      </w:r>
    </w:p>
    <w:p w14:paraId="4938B87D">
      <w:pPr>
        <w:spacing w:before="1" w:line="359" w:lineRule="auto"/>
        <w:ind w:left="10" w:right="61" w:firstLine="479"/>
        <w:jc w:val="both"/>
        <w:rPr>
          <w:rFonts w:ascii="宋体" w:hAnsi="宋体" w:eastAsia="宋体" w:cs="宋体"/>
          <w:sz w:val="24"/>
          <w:szCs w:val="24"/>
        </w:rPr>
      </w:pPr>
      <w:r>
        <w:rPr>
          <w:rFonts w:ascii="宋体" w:hAnsi="宋体" w:eastAsia="宋体" w:cs="宋体"/>
          <w:spacing w:val="-2"/>
          <w:sz w:val="24"/>
          <w:szCs w:val="24"/>
        </w:rPr>
        <w:t>若承包人在投入自有施工设备外，所投入的设备为采用租赁方式的，租赁的船舶必</w:t>
      </w:r>
      <w:r>
        <w:rPr>
          <w:rFonts w:ascii="宋体" w:hAnsi="宋体" w:eastAsia="宋体" w:cs="宋体"/>
          <w:spacing w:val="-1"/>
          <w:sz w:val="24"/>
          <w:szCs w:val="24"/>
        </w:rPr>
        <w:t>须为租赁协议的出租方所有（船舶有效证件的所有人的名字需与出租方</w:t>
      </w:r>
      <w:r>
        <w:rPr>
          <w:rFonts w:ascii="宋体" w:hAnsi="宋体" w:eastAsia="宋体" w:cs="宋体"/>
          <w:spacing w:val="-2"/>
          <w:sz w:val="24"/>
          <w:szCs w:val="24"/>
        </w:rPr>
        <w:t>一致</w:t>
      </w:r>
      <w:r>
        <w:rPr>
          <w:rFonts w:ascii="宋体" w:hAnsi="宋体" w:eastAsia="宋体" w:cs="宋体"/>
          <w:spacing w:val="-13"/>
          <w:sz w:val="24"/>
          <w:szCs w:val="24"/>
        </w:rPr>
        <w:t>），</w:t>
      </w:r>
      <w:r>
        <w:rPr>
          <w:rFonts w:ascii="宋体" w:hAnsi="宋体" w:eastAsia="宋体" w:cs="宋体"/>
          <w:spacing w:val="-2"/>
          <w:sz w:val="24"/>
          <w:szCs w:val="24"/>
        </w:rPr>
        <w:t>租赁协</w:t>
      </w:r>
      <w:r>
        <w:rPr>
          <w:rFonts w:ascii="宋体" w:hAnsi="宋体" w:eastAsia="宋体" w:cs="宋体"/>
          <w:spacing w:val="-1"/>
          <w:sz w:val="24"/>
          <w:szCs w:val="24"/>
        </w:rPr>
        <w:t>议必须经监理人审核并报发包人批准，设备方可投入使用。</w:t>
      </w:r>
    </w:p>
    <w:p w14:paraId="6DE0751B">
      <w:pPr>
        <w:spacing w:before="2" w:line="359" w:lineRule="auto"/>
        <w:ind w:left="11" w:firstLine="477"/>
        <w:jc w:val="both"/>
        <w:rPr>
          <w:rFonts w:ascii="宋体" w:hAnsi="宋体" w:eastAsia="宋体" w:cs="宋体"/>
          <w:sz w:val="24"/>
          <w:szCs w:val="24"/>
        </w:rPr>
      </w:pPr>
      <w:r>
        <w:rPr>
          <w:rFonts w:ascii="宋体" w:hAnsi="宋体" w:eastAsia="宋体" w:cs="宋体"/>
          <w:spacing w:val="-2"/>
          <w:sz w:val="24"/>
          <w:szCs w:val="24"/>
        </w:rPr>
        <w:t>承包人的进场设备（含船舶）必须满足安全生产相关要求，在设备进场前需报监理</w:t>
      </w:r>
      <w:r>
        <w:rPr>
          <w:rFonts w:ascii="宋体" w:hAnsi="宋体" w:eastAsia="宋体" w:cs="宋体"/>
          <w:spacing w:val="-6"/>
          <w:sz w:val="24"/>
          <w:szCs w:val="24"/>
        </w:rPr>
        <w:t>核查同意批准后才能投入，并服从发包人、监理人的监督、管理</w:t>
      </w:r>
      <w:r>
        <w:rPr>
          <w:rFonts w:ascii="宋体" w:hAnsi="宋体" w:eastAsia="宋体" w:cs="宋体"/>
          <w:spacing w:val="-7"/>
          <w:sz w:val="24"/>
          <w:szCs w:val="24"/>
        </w:rPr>
        <w:t>，若违反相关管理制度，</w:t>
      </w:r>
      <w:r>
        <w:rPr>
          <w:rFonts w:ascii="宋体" w:hAnsi="宋体" w:eastAsia="宋体" w:cs="宋体"/>
          <w:spacing w:val="-1"/>
          <w:sz w:val="24"/>
          <w:szCs w:val="24"/>
        </w:rPr>
        <w:t>则承包人承担全部责任并接受发包人、监理人依规进行处理。</w:t>
      </w:r>
    </w:p>
    <w:p w14:paraId="492A2B60">
      <w:pPr>
        <w:spacing w:line="359" w:lineRule="auto"/>
        <w:ind w:left="13" w:right="61" w:firstLine="477"/>
        <w:rPr>
          <w:rFonts w:ascii="宋体" w:hAnsi="宋体" w:eastAsia="宋体" w:cs="宋体"/>
          <w:sz w:val="24"/>
          <w:szCs w:val="24"/>
        </w:rPr>
      </w:pPr>
      <w:r>
        <w:rPr>
          <w:rFonts w:ascii="宋体" w:hAnsi="宋体" w:eastAsia="宋体" w:cs="宋体"/>
          <w:spacing w:val="-1"/>
          <w:sz w:val="24"/>
          <w:szCs w:val="24"/>
        </w:rPr>
        <w:t>6.1.2</w:t>
      </w:r>
      <w:r>
        <w:rPr>
          <w:rFonts w:ascii="宋体" w:hAnsi="宋体" w:eastAsia="宋体" w:cs="宋体"/>
          <w:spacing w:val="-28"/>
          <w:sz w:val="24"/>
          <w:szCs w:val="24"/>
        </w:rPr>
        <w:t xml:space="preserve"> </w:t>
      </w:r>
      <w:r>
        <w:rPr>
          <w:rFonts w:ascii="宋体" w:hAnsi="宋体" w:eastAsia="宋体" w:cs="宋体"/>
          <w:spacing w:val="-1"/>
          <w:sz w:val="24"/>
          <w:szCs w:val="24"/>
        </w:rPr>
        <w:t>承包人应自行承担修建临时设施的费用，需要临时占地的，应由承包人自行</w:t>
      </w:r>
      <w:r>
        <w:rPr>
          <w:rFonts w:ascii="宋体" w:hAnsi="宋体" w:eastAsia="宋体" w:cs="宋体"/>
          <w:spacing w:val="-2"/>
          <w:sz w:val="24"/>
          <w:szCs w:val="24"/>
        </w:rPr>
        <w:t>办理申请手续并承担相应费用。</w:t>
      </w:r>
    </w:p>
    <w:p w14:paraId="5453B1D5">
      <w:pPr>
        <w:spacing w:before="1" w:line="359" w:lineRule="auto"/>
        <w:ind w:left="7" w:firstLine="480"/>
        <w:jc w:val="both"/>
        <w:rPr>
          <w:rFonts w:ascii="宋体" w:hAnsi="宋体" w:eastAsia="宋体" w:cs="宋体"/>
          <w:sz w:val="24"/>
          <w:szCs w:val="24"/>
        </w:rPr>
      </w:pPr>
      <w:r>
        <w:rPr>
          <w:rFonts w:ascii="宋体" w:hAnsi="宋体" w:eastAsia="宋体" w:cs="宋体"/>
          <w:sz w:val="24"/>
          <w:szCs w:val="24"/>
        </w:rPr>
        <w:t>通用合同条款本款增加6.1.3</w:t>
      </w:r>
      <w:r>
        <w:rPr>
          <w:rFonts w:ascii="宋体" w:hAnsi="宋体" w:eastAsia="宋体" w:cs="宋体"/>
          <w:spacing w:val="-47"/>
          <w:sz w:val="24"/>
          <w:szCs w:val="24"/>
        </w:rPr>
        <w:t xml:space="preserve"> </w:t>
      </w:r>
      <w:r>
        <w:rPr>
          <w:rFonts w:ascii="宋体" w:hAnsi="宋体" w:eastAsia="宋体" w:cs="宋体"/>
          <w:sz w:val="24"/>
          <w:szCs w:val="24"/>
        </w:rPr>
        <w:t>项的内容：承</w:t>
      </w:r>
      <w:r>
        <w:rPr>
          <w:rFonts w:ascii="宋体" w:hAnsi="宋体" w:eastAsia="宋体" w:cs="宋体"/>
          <w:spacing w:val="-1"/>
          <w:sz w:val="24"/>
          <w:szCs w:val="24"/>
        </w:rPr>
        <w:t>包人投入的施工船舶如未按时到位，发</w:t>
      </w:r>
      <w:r>
        <w:rPr>
          <w:rFonts w:ascii="宋体" w:hAnsi="宋体" w:eastAsia="宋体" w:cs="宋体"/>
          <w:sz w:val="24"/>
          <w:szCs w:val="24"/>
        </w:rPr>
        <w:t>包人有权对承包人处以违约金人民币</w:t>
      </w:r>
      <w:r>
        <w:rPr>
          <w:rFonts w:ascii="宋体" w:hAnsi="宋体" w:eastAsia="宋体" w:cs="宋体"/>
          <w:sz w:val="24"/>
          <w:szCs w:val="24"/>
          <w:u w:val="single" w:color="auto"/>
        </w:rPr>
        <w:t xml:space="preserve">    万元/天</w:t>
      </w:r>
      <w:r>
        <w:rPr>
          <w:rFonts w:ascii="宋体" w:hAnsi="宋体" w:eastAsia="宋体" w:cs="宋体"/>
          <w:sz w:val="24"/>
          <w:szCs w:val="24"/>
        </w:rPr>
        <w:t>。同时，视为</w:t>
      </w:r>
      <w:r>
        <w:rPr>
          <w:rFonts w:ascii="宋体" w:hAnsi="宋体" w:eastAsia="宋体" w:cs="宋体"/>
          <w:spacing w:val="-1"/>
          <w:sz w:val="24"/>
          <w:szCs w:val="24"/>
        </w:rPr>
        <w:t>承包人违约，发包人有</w:t>
      </w:r>
      <w:r>
        <w:rPr>
          <w:rFonts w:ascii="宋体" w:hAnsi="宋体" w:eastAsia="宋体" w:cs="宋体"/>
          <w:spacing w:val="-4"/>
          <w:sz w:val="24"/>
          <w:szCs w:val="24"/>
        </w:rPr>
        <w:t>权按专用条款</w:t>
      </w:r>
      <w:r>
        <w:rPr>
          <w:rFonts w:ascii="宋体" w:hAnsi="宋体" w:eastAsia="宋体" w:cs="宋体"/>
          <w:spacing w:val="-34"/>
          <w:sz w:val="24"/>
          <w:szCs w:val="24"/>
        </w:rPr>
        <w:t xml:space="preserve"> </w:t>
      </w:r>
      <w:r>
        <w:rPr>
          <w:rFonts w:ascii="宋体" w:hAnsi="宋体" w:eastAsia="宋体" w:cs="宋体"/>
          <w:spacing w:val="-4"/>
          <w:sz w:val="24"/>
          <w:szCs w:val="24"/>
        </w:rPr>
        <w:t>22.1</w:t>
      </w:r>
      <w:r>
        <w:rPr>
          <w:rFonts w:ascii="宋体" w:hAnsi="宋体" w:eastAsia="宋体" w:cs="宋体"/>
          <w:spacing w:val="-47"/>
          <w:sz w:val="24"/>
          <w:szCs w:val="24"/>
        </w:rPr>
        <w:t xml:space="preserve"> </w:t>
      </w:r>
      <w:r>
        <w:rPr>
          <w:rFonts w:ascii="宋体" w:hAnsi="宋体" w:eastAsia="宋体" w:cs="宋体"/>
          <w:spacing w:val="-4"/>
          <w:sz w:val="24"/>
          <w:szCs w:val="24"/>
        </w:rPr>
        <w:t>项约定处以违约金，承包人应赔偿发包人因该事项造成的所有损失，</w:t>
      </w:r>
      <w:r>
        <w:rPr>
          <w:rFonts w:ascii="宋体" w:hAnsi="宋体" w:eastAsia="宋体" w:cs="宋体"/>
          <w:spacing w:val="-1"/>
          <w:sz w:val="24"/>
          <w:szCs w:val="24"/>
        </w:rPr>
        <w:t>且发包人有权没收履约保证金。</w:t>
      </w:r>
    </w:p>
    <w:p w14:paraId="6E70FB90">
      <w:pPr>
        <w:spacing w:line="218" w:lineRule="auto"/>
        <w:ind w:left="490"/>
        <w:rPr>
          <w:rFonts w:ascii="宋体" w:hAnsi="宋体" w:eastAsia="宋体" w:cs="宋体"/>
          <w:sz w:val="24"/>
          <w:szCs w:val="24"/>
        </w:rPr>
      </w:pPr>
      <w:r>
        <w:rPr>
          <w:rFonts w:ascii="宋体" w:hAnsi="宋体" w:eastAsia="宋体" w:cs="宋体"/>
          <w:b/>
          <w:bCs/>
          <w:spacing w:val="-3"/>
          <w:sz w:val="24"/>
          <w:szCs w:val="24"/>
        </w:rPr>
        <w:t>6.2</w:t>
      </w:r>
      <w:r>
        <w:rPr>
          <w:rFonts w:ascii="宋体" w:hAnsi="宋体" w:eastAsia="宋体" w:cs="宋体"/>
          <w:spacing w:val="-3"/>
          <w:sz w:val="24"/>
          <w:szCs w:val="24"/>
        </w:rPr>
        <w:t xml:space="preserve"> </w:t>
      </w:r>
      <w:r>
        <w:rPr>
          <w:rFonts w:ascii="宋体" w:hAnsi="宋体" w:eastAsia="宋体" w:cs="宋体"/>
          <w:b/>
          <w:bCs/>
          <w:spacing w:val="-3"/>
          <w:sz w:val="24"/>
          <w:szCs w:val="24"/>
        </w:rPr>
        <w:t>发包人提供的施工设备和临时设施</w:t>
      </w:r>
    </w:p>
    <w:p w14:paraId="54EE5BCF">
      <w:pPr>
        <w:spacing w:before="181" w:line="219" w:lineRule="auto"/>
        <w:ind w:left="489"/>
        <w:rPr>
          <w:rFonts w:ascii="宋体" w:hAnsi="宋体" w:eastAsia="宋体" w:cs="宋体"/>
          <w:sz w:val="24"/>
          <w:szCs w:val="24"/>
        </w:rPr>
      </w:pPr>
      <w:r>
        <w:rPr>
          <w:rFonts w:ascii="宋体" w:hAnsi="宋体" w:eastAsia="宋体" w:cs="宋体"/>
          <w:spacing w:val="1"/>
          <w:sz w:val="24"/>
          <w:szCs w:val="24"/>
          <w:u w:val="single" w:color="auto"/>
        </w:rPr>
        <w:t>本合同发包人不提供施工设备和临时设施。</w:t>
      </w:r>
    </w:p>
    <w:p w14:paraId="717E4587">
      <w:pPr>
        <w:spacing w:before="185" w:line="219" w:lineRule="auto"/>
        <w:ind w:left="14"/>
        <w:rPr>
          <w:rFonts w:ascii="宋体" w:hAnsi="宋体" w:eastAsia="宋体" w:cs="宋体"/>
          <w:sz w:val="24"/>
          <w:szCs w:val="24"/>
        </w:rPr>
      </w:pPr>
      <w:r>
        <w:rPr>
          <w:rFonts w:ascii="宋体" w:hAnsi="宋体" w:eastAsia="宋体" w:cs="宋体"/>
          <w:b/>
          <w:bCs/>
          <w:spacing w:val="-5"/>
          <w:sz w:val="24"/>
          <w:szCs w:val="24"/>
        </w:rPr>
        <w:t>7．交通运输</w:t>
      </w:r>
    </w:p>
    <w:p w14:paraId="2BBE6584">
      <w:pPr>
        <w:spacing w:before="180" w:line="219" w:lineRule="auto"/>
        <w:ind w:left="494"/>
        <w:rPr>
          <w:rFonts w:ascii="宋体" w:hAnsi="宋体" w:eastAsia="宋体" w:cs="宋体"/>
          <w:sz w:val="24"/>
          <w:szCs w:val="24"/>
        </w:rPr>
      </w:pPr>
      <w:r>
        <w:rPr>
          <w:rFonts w:ascii="宋体" w:hAnsi="宋体" w:eastAsia="宋体" w:cs="宋体"/>
          <w:b/>
          <w:bCs/>
          <w:spacing w:val="-3"/>
          <w:sz w:val="24"/>
          <w:szCs w:val="24"/>
        </w:rPr>
        <w:t>7.1</w:t>
      </w:r>
      <w:r>
        <w:rPr>
          <w:rFonts w:ascii="宋体" w:hAnsi="宋体" w:eastAsia="宋体" w:cs="宋体"/>
          <w:spacing w:val="-3"/>
          <w:sz w:val="24"/>
          <w:szCs w:val="24"/>
        </w:rPr>
        <w:t xml:space="preserve"> </w:t>
      </w:r>
      <w:r>
        <w:rPr>
          <w:rFonts w:ascii="宋体" w:hAnsi="宋体" w:eastAsia="宋体" w:cs="宋体"/>
          <w:b/>
          <w:bCs/>
          <w:spacing w:val="-3"/>
          <w:sz w:val="24"/>
          <w:szCs w:val="24"/>
        </w:rPr>
        <w:t>道路通行权和场外设施</w:t>
      </w:r>
    </w:p>
    <w:p w14:paraId="4600FE87">
      <w:pPr>
        <w:spacing w:before="182" w:line="359" w:lineRule="auto"/>
        <w:ind w:left="9" w:right="61" w:firstLine="480"/>
        <w:jc w:val="both"/>
        <w:rPr>
          <w:rFonts w:ascii="宋体" w:hAnsi="宋体" w:eastAsia="宋体" w:cs="宋体"/>
          <w:sz w:val="24"/>
          <w:szCs w:val="24"/>
        </w:rPr>
      </w:pPr>
      <w:r>
        <w:rPr>
          <w:rFonts w:ascii="宋体" w:hAnsi="宋体" w:eastAsia="宋体" w:cs="宋体"/>
          <w:spacing w:val="-2"/>
          <w:sz w:val="24"/>
          <w:szCs w:val="24"/>
        </w:rPr>
        <w:t>本合同约定为：承包人应根据合同工程的施工需要，负责办理取得出入施工场地的专用和临时道路的通行权，以及取得为工程建设所需修建场外设施的权利，并承担有关</w:t>
      </w:r>
      <w:r>
        <w:rPr>
          <w:rFonts w:ascii="宋体" w:hAnsi="宋体" w:eastAsia="宋体" w:cs="宋体"/>
          <w:spacing w:val="-1"/>
          <w:sz w:val="24"/>
          <w:szCs w:val="24"/>
        </w:rPr>
        <w:t>费用。需要发包人协调时，发包人应协助承包人办理相关手续。</w:t>
      </w:r>
    </w:p>
    <w:p w14:paraId="732F2A2F">
      <w:pPr>
        <w:spacing w:before="1" w:line="219" w:lineRule="auto"/>
        <w:ind w:left="494"/>
        <w:rPr>
          <w:rFonts w:ascii="宋体" w:hAnsi="宋体" w:eastAsia="宋体" w:cs="宋体"/>
          <w:sz w:val="24"/>
          <w:szCs w:val="24"/>
        </w:rPr>
      </w:pPr>
      <w:r>
        <w:rPr>
          <w:rFonts w:ascii="宋体" w:hAnsi="宋体" w:eastAsia="宋体" w:cs="宋体"/>
          <w:b/>
          <w:bCs/>
          <w:spacing w:val="-4"/>
          <w:sz w:val="24"/>
          <w:szCs w:val="24"/>
        </w:rPr>
        <w:t>7.4</w:t>
      </w:r>
      <w:r>
        <w:rPr>
          <w:rFonts w:ascii="宋体" w:hAnsi="宋体" w:eastAsia="宋体" w:cs="宋体"/>
          <w:spacing w:val="-45"/>
          <w:sz w:val="24"/>
          <w:szCs w:val="24"/>
        </w:rPr>
        <w:t xml:space="preserve"> </w:t>
      </w:r>
      <w:r>
        <w:rPr>
          <w:rFonts w:ascii="宋体" w:hAnsi="宋体" w:eastAsia="宋体" w:cs="宋体"/>
          <w:b/>
          <w:bCs/>
          <w:spacing w:val="-4"/>
          <w:sz w:val="24"/>
          <w:szCs w:val="24"/>
        </w:rPr>
        <w:t>超大件和超重件的运输</w:t>
      </w:r>
    </w:p>
    <w:p w14:paraId="3216A0EB">
      <w:pPr>
        <w:spacing w:before="183" w:line="219" w:lineRule="auto"/>
        <w:ind w:left="494"/>
        <w:rPr>
          <w:rFonts w:ascii="宋体" w:hAnsi="宋体" w:eastAsia="宋体" w:cs="宋体"/>
          <w:sz w:val="24"/>
          <w:szCs w:val="24"/>
        </w:rPr>
      </w:pPr>
      <w:r>
        <w:rPr>
          <w:rFonts w:ascii="宋体" w:hAnsi="宋体" w:eastAsia="宋体" w:cs="宋体"/>
          <w:spacing w:val="-1"/>
          <w:sz w:val="24"/>
          <w:szCs w:val="24"/>
        </w:rPr>
        <w:t>7.4.1</w:t>
      </w:r>
      <w:r>
        <w:rPr>
          <w:rFonts w:ascii="宋体" w:hAnsi="宋体" w:eastAsia="宋体" w:cs="宋体"/>
          <w:spacing w:val="-36"/>
          <w:sz w:val="24"/>
          <w:szCs w:val="24"/>
        </w:rPr>
        <w:t xml:space="preserve"> </w:t>
      </w:r>
      <w:r>
        <w:rPr>
          <w:rFonts w:ascii="宋体" w:hAnsi="宋体" w:eastAsia="宋体" w:cs="宋体"/>
          <w:spacing w:val="-1"/>
          <w:sz w:val="24"/>
          <w:szCs w:val="24"/>
        </w:rPr>
        <w:t>超大、超宽、超重物件的运输：</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5EE3E1C4">
      <w:pPr>
        <w:spacing w:before="181" w:line="220" w:lineRule="auto"/>
        <w:ind w:left="9"/>
        <w:rPr>
          <w:rFonts w:ascii="宋体" w:hAnsi="宋体" w:eastAsia="宋体" w:cs="宋体"/>
          <w:sz w:val="24"/>
          <w:szCs w:val="24"/>
        </w:rPr>
      </w:pPr>
      <w:r>
        <w:rPr>
          <w:rFonts w:ascii="宋体" w:hAnsi="宋体" w:eastAsia="宋体" w:cs="宋体"/>
          <w:b/>
          <w:bCs/>
          <w:spacing w:val="-4"/>
          <w:sz w:val="24"/>
          <w:szCs w:val="24"/>
        </w:rPr>
        <w:t>8．测量放线</w:t>
      </w:r>
    </w:p>
    <w:p w14:paraId="56F32880">
      <w:pPr>
        <w:spacing w:before="312" w:line="359" w:lineRule="auto"/>
        <w:ind w:left="18" w:right="61" w:firstLine="470"/>
        <w:rPr>
          <w:rFonts w:ascii="宋体" w:hAnsi="宋体" w:eastAsia="宋体" w:cs="宋体"/>
          <w:b/>
          <w:bCs/>
          <w:spacing w:val="-3"/>
          <w:sz w:val="24"/>
          <w:szCs w:val="24"/>
        </w:rPr>
      </w:pPr>
      <w:r>
        <w:rPr>
          <w:rFonts w:ascii="宋体" w:hAnsi="宋体" w:eastAsia="宋体" w:cs="宋体"/>
          <w:b/>
          <w:bCs/>
          <w:spacing w:val="-3"/>
          <w:sz w:val="24"/>
          <w:szCs w:val="24"/>
        </w:rPr>
        <w:t>8.1</w:t>
      </w:r>
      <w:r>
        <w:rPr>
          <w:rFonts w:ascii="宋体" w:hAnsi="宋体" w:eastAsia="宋体" w:cs="宋体"/>
          <w:spacing w:val="-3"/>
          <w:sz w:val="24"/>
          <w:szCs w:val="24"/>
        </w:rPr>
        <w:t xml:space="preserve"> </w:t>
      </w:r>
      <w:r>
        <w:rPr>
          <w:rFonts w:ascii="宋体" w:hAnsi="宋体" w:eastAsia="宋体" w:cs="宋体"/>
          <w:b/>
          <w:bCs/>
          <w:spacing w:val="-3"/>
          <w:sz w:val="24"/>
          <w:szCs w:val="24"/>
        </w:rPr>
        <w:t>施工控制网</w:t>
      </w:r>
    </w:p>
    <w:p w14:paraId="3E477A7A">
      <w:pPr>
        <w:spacing w:before="312" w:line="359" w:lineRule="auto"/>
        <w:ind w:left="18" w:right="61" w:firstLine="470"/>
        <w:rPr>
          <w:rFonts w:ascii="宋体" w:hAnsi="宋体" w:eastAsia="宋体" w:cs="宋体"/>
          <w:sz w:val="24"/>
          <w:szCs w:val="24"/>
        </w:rPr>
      </w:pPr>
      <w:r>
        <w:rPr>
          <w:rFonts w:ascii="宋体" w:hAnsi="宋体" w:eastAsia="宋体" w:cs="宋体"/>
          <w:spacing w:val="-1"/>
          <w:sz w:val="24"/>
          <w:szCs w:val="24"/>
        </w:rPr>
        <w:t>8.1.1</w:t>
      </w:r>
      <w:r>
        <w:rPr>
          <w:rFonts w:ascii="宋体" w:hAnsi="宋体" w:eastAsia="宋体" w:cs="宋体"/>
          <w:spacing w:val="-27"/>
          <w:sz w:val="24"/>
          <w:szCs w:val="24"/>
        </w:rPr>
        <w:t xml:space="preserve"> </w:t>
      </w:r>
      <w:r>
        <w:rPr>
          <w:rFonts w:ascii="宋体" w:hAnsi="宋体" w:eastAsia="宋体" w:cs="宋体"/>
          <w:spacing w:val="-1"/>
          <w:sz w:val="24"/>
          <w:szCs w:val="24"/>
        </w:rPr>
        <w:t>发包人通过监理人通知设计单位提供测量基准点、基准线和水准点及其书面</w:t>
      </w:r>
      <w:r>
        <w:rPr>
          <w:rFonts w:ascii="宋体" w:hAnsi="宋体" w:eastAsia="宋体" w:cs="宋体"/>
          <w:spacing w:val="-2"/>
          <w:sz w:val="24"/>
          <w:szCs w:val="24"/>
        </w:rPr>
        <w:t>资料的期限：计划开工日期</w:t>
      </w:r>
      <w:r>
        <w:rPr>
          <w:rFonts w:ascii="宋体" w:hAnsi="宋体" w:eastAsia="宋体" w:cs="宋体"/>
          <w:spacing w:val="-2"/>
          <w:sz w:val="24"/>
          <w:szCs w:val="24"/>
          <w:u w:val="single" w:color="auto"/>
        </w:rPr>
        <w:t xml:space="preserve">  14  </w:t>
      </w:r>
      <w:r>
        <w:rPr>
          <w:rFonts w:ascii="宋体" w:hAnsi="宋体" w:eastAsia="宋体" w:cs="宋体"/>
          <w:spacing w:val="-99"/>
          <w:sz w:val="24"/>
          <w:szCs w:val="24"/>
        </w:rPr>
        <w:t xml:space="preserve"> </w:t>
      </w:r>
      <w:r>
        <w:rPr>
          <w:rFonts w:ascii="宋体" w:hAnsi="宋体" w:eastAsia="宋体" w:cs="宋体"/>
          <w:spacing w:val="-2"/>
          <w:sz w:val="24"/>
          <w:szCs w:val="24"/>
        </w:rPr>
        <w:t>天前；</w:t>
      </w:r>
    </w:p>
    <w:p w14:paraId="2FF5D77E">
      <w:pPr>
        <w:spacing w:line="219" w:lineRule="auto"/>
        <w:ind w:left="488"/>
        <w:rPr>
          <w:rFonts w:ascii="宋体" w:hAnsi="宋体" w:eastAsia="宋体" w:cs="宋体"/>
          <w:sz w:val="24"/>
          <w:szCs w:val="24"/>
        </w:rPr>
      </w:pPr>
      <w:r>
        <w:rPr>
          <w:rFonts w:ascii="宋体" w:hAnsi="宋体" w:eastAsia="宋体" w:cs="宋体"/>
          <w:spacing w:val="-1"/>
          <w:sz w:val="24"/>
          <w:szCs w:val="24"/>
        </w:rPr>
        <w:t>承包人报送施工控制网资料的期限：计划开工日期</w:t>
      </w:r>
      <w:r>
        <w:rPr>
          <w:rFonts w:ascii="宋体" w:hAnsi="宋体" w:eastAsia="宋体" w:cs="宋体"/>
          <w:spacing w:val="-1"/>
          <w:sz w:val="24"/>
          <w:szCs w:val="24"/>
          <w:u w:val="single" w:color="auto"/>
        </w:rPr>
        <w:t xml:space="preserve">  7  </w:t>
      </w:r>
      <w:r>
        <w:rPr>
          <w:rFonts w:ascii="宋体" w:hAnsi="宋体" w:eastAsia="宋体" w:cs="宋体"/>
          <w:spacing w:val="-101"/>
          <w:sz w:val="24"/>
          <w:szCs w:val="24"/>
        </w:rPr>
        <w:t xml:space="preserve"> </w:t>
      </w:r>
      <w:r>
        <w:rPr>
          <w:rFonts w:ascii="宋体" w:hAnsi="宋体" w:eastAsia="宋体" w:cs="宋体"/>
          <w:spacing w:val="-1"/>
          <w:sz w:val="24"/>
          <w:szCs w:val="24"/>
        </w:rPr>
        <w:t>天前。</w:t>
      </w:r>
    </w:p>
    <w:p w14:paraId="1C59BD76">
      <w:pPr>
        <w:spacing w:before="180" w:line="220" w:lineRule="auto"/>
        <w:ind w:left="9"/>
        <w:rPr>
          <w:rFonts w:ascii="宋体" w:hAnsi="宋体" w:eastAsia="宋体" w:cs="宋体"/>
          <w:b/>
          <w:bCs/>
          <w:spacing w:val="-3"/>
          <w:sz w:val="24"/>
          <w:szCs w:val="24"/>
        </w:rPr>
      </w:pPr>
    </w:p>
    <w:p w14:paraId="3332B9E9">
      <w:pPr>
        <w:spacing w:before="180" w:line="220" w:lineRule="auto"/>
        <w:ind w:left="9"/>
        <w:rPr>
          <w:rFonts w:ascii="宋体" w:hAnsi="宋体" w:eastAsia="宋体" w:cs="宋体"/>
          <w:sz w:val="24"/>
          <w:szCs w:val="24"/>
        </w:rPr>
      </w:pPr>
      <w:r>
        <w:rPr>
          <w:rFonts w:ascii="宋体" w:hAnsi="宋体" w:eastAsia="宋体" w:cs="宋体"/>
          <w:b/>
          <w:bCs/>
          <w:spacing w:val="-3"/>
          <w:sz w:val="24"/>
          <w:szCs w:val="24"/>
        </w:rPr>
        <w:t>9．施工安全、治安保卫和环境保护</w:t>
      </w:r>
    </w:p>
    <w:p w14:paraId="5BAA9B4C">
      <w:pPr>
        <w:spacing w:before="182" w:line="219" w:lineRule="auto"/>
        <w:ind w:left="489"/>
        <w:rPr>
          <w:rFonts w:ascii="宋体" w:hAnsi="宋体" w:eastAsia="宋体" w:cs="宋体"/>
          <w:sz w:val="24"/>
          <w:szCs w:val="24"/>
        </w:rPr>
      </w:pPr>
      <w:r>
        <w:rPr>
          <w:rFonts w:ascii="宋体" w:hAnsi="宋体" w:eastAsia="宋体" w:cs="宋体"/>
          <w:b/>
          <w:bCs/>
          <w:spacing w:val="-3"/>
          <w:sz w:val="24"/>
          <w:szCs w:val="24"/>
        </w:rPr>
        <w:t>9.1</w:t>
      </w:r>
      <w:r>
        <w:rPr>
          <w:rFonts w:ascii="宋体" w:hAnsi="宋体" w:eastAsia="宋体" w:cs="宋体"/>
          <w:spacing w:val="-3"/>
          <w:sz w:val="24"/>
          <w:szCs w:val="24"/>
        </w:rPr>
        <w:t xml:space="preserve"> </w:t>
      </w:r>
      <w:r>
        <w:rPr>
          <w:rFonts w:ascii="宋体" w:hAnsi="宋体" w:eastAsia="宋体" w:cs="宋体"/>
          <w:b/>
          <w:bCs/>
          <w:spacing w:val="-3"/>
          <w:sz w:val="24"/>
          <w:szCs w:val="24"/>
        </w:rPr>
        <w:t>发包人的施工安全责任</w:t>
      </w:r>
    </w:p>
    <w:p w14:paraId="65762D41">
      <w:pPr>
        <w:spacing w:before="181" w:line="359" w:lineRule="auto"/>
        <w:ind w:left="8" w:right="61" w:firstLine="480"/>
        <w:jc w:val="both"/>
        <w:rPr>
          <w:rFonts w:ascii="宋体" w:hAnsi="宋体" w:eastAsia="宋体" w:cs="宋体"/>
          <w:sz w:val="24"/>
          <w:szCs w:val="24"/>
        </w:rPr>
      </w:pPr>
      <w:r>
        <w:rPr>
          <w:rFonts w:ascii="宋体" w:hAnsi="宋体" w:eastAsia="宋体" w:cs="宋体"/>
          <w:spacing w:val="-1"/>
          <w:sz w:val="24"/>
          <w:szCs w:val="24"/>
        </w:rPr>
        <w:t>9.1.1</w:t>
      </w:r>
      <w:r>
        <w:rPr>
          <w:rFonts w:ascii="宋体" w:hAnsi="宋体" w:eastAsia="宋体" w:cs="宋体"/>
          <w:spacing w:val="-27"/>
          <w:sz w:val="24"/>
          <w:szCs w:val="24"/>
        </w:rPr>
        <w:t xml:space="preserve"> </w:t>
      </w:r>
      <w:r>
        <w:rPr>
          <w:rFonts w:ascii="宋体" w:hAnsi="宋体" w:eastAsia="宋体" w:cs="宋体"/>
          <w:spacing w:val="-1"/>
          <w:sz w:val="24"/>
          <w:szCs w:val="24"/>
        </w:rPr>
        <w:t>发包人的安全职责：按《公路水运工程安全生产监督管理办法》《广东省交</w:t>
      </w:r>
      <w:r>
        <w:rPr>
          <w:rFonts w:ascii="宋体" w:hAnsi="宋体" w:eastAsia="宋体" w:cs="宋体"/>
          <w:spacing w:val="-2"/>
          <w:sz w:val="24"/>
          <w:szCs w:val="24"/>
        </w:rPr>
        <w:t>通运输厅关于公路水运建设工程安全生产费用的管理办法》（或更新修订后的最新文件</w:t>
      </w:r>
      <w:r>
        <w:rPr>
          <w:rFonts w:ascii="宋体" w:hAnsi="宋体" w:eastAsia="宋体" w:cs="宋体"/>
          <w:spacing w:val="-1"/>
          <w:sz w:val="24"/>
          <w:szCs w:val="24"/>
        </w:rPr>
        <w:t>或有关通知的）规定执行。</w:t>
      </w:r>
    </w:p>
    <w:p w14:paraId="68FA411E">
      <w:pPr>
        <w:spacing w:before="1" w:line="219" w:lineRule="auto"/>
        <w:ind w:left="489"/>
        <w:rPr>
          <w:rFonts w:ascii="宋体" w:hAnsi="宋体" w:eastAsia="宋体" w:cs="宋体"/>
          <w:sz w:val="24"/>
          <w:szCs w:val="24"/>
        </w:rPr>
      </w:pPr>
      <w:r>
        <w:rPr>
          <w:rFonts w:ascii="宋体" w:hAnsi="宋体" w:eastAsia="宋体" w:cs="宋体"/>
          <w:b/>
          <w:bCs/>
          <w:spacing w:val="-3"/>
          <w:sz w:val="24"/>
          <w:szCs w:val="24"/>
        </w:rPr>
        <w:t>9.2</w:t>
      </w:r>
      <w:r>
        <w:rPr>
          <w:rFonts w:ascii="宋体" w:hAnsi="宋体" w:eastAsia="宋体" w:cs="宋体"/>
          <w:spacing w:val="-3"/>
          <w:sz w:val="24"/>
          <w:szCs w:val="24"/>
        </w:rPr>
        <w:t xml:space="preserve"> </w:t>
      </w:r>
      <w:r>
        <w:rPr>
          <w:rFonts w:ascii="宋体" w:hAnsi="宋体" w:eastAsia="宋体" w:cs="宋体"/>
          <w:b/>
          <w:bCs/>
          <w:spacing w:val="-3"/>
          <w:sz w:val="24"/>
          <w:szCs w:val="24"/>
        </w:rPr>
        <w:t>承包人的施工安全责任</w:t>
      </w:r>
    </w:p>
    <w:p w14:paraId="5599F8FF">
      <w:pPr>
        <w:spacing w:before="182" w:line="359" w:lineRule="auto"/>
        <w:ind w:left="7" w:right="61" w:firstLine="481"/>
        <w:jc w:val="both"/>
        <w:rPr>
          <w:rFonts w:ascii="宋体" w:hAnsi="宋体" w:eastAsia="宋体" w:cs="宋体"/>
          <w:sz w:val="24"/>
          <w:szCs w:val="24"/>
        </w:rPr>
      </w:pPr>
      <w:r>
        <w:rPr>
          <w:rFonts w:ascii="宋体" w:hAnsi="宋体" w:eastAsia="宋体" w:cs="宋体"/>
          <w:spacing w:val="-1"/>
          <w:sz w:val="24"/>
          <w:szCs w:val="24"/>
        </w:rPr>
        <w:t>9.2.1</w:t>
      </w:r>
      <w:r>
        <w:rPr>
          <w:rFonts w:ascii="宋体" w:hAnsi="宋体" w:eastAsia="宋体" w:cs="宋体"/>
          <w:spacing w:val="-27"/>
          <w:sz w:val="24"/>
          <w:szCs w:val="24"/>
        </w:rPr>
        <w:t xml:space="preserve"> </w:t>
      </w:r>
      <w:r>
        <w:rPr>
          <w:rFonts w:ascii="宋体" w:hAnsi="宋体" w:eastAsia="宋体" w:cs="宋体"/>
          <w:spacing w:val="-1"/>
          <w:sz w:val="24"/>
          <w:szCs w:val="24"/>
        </w:rPr>
        <w:t>承包人的安全职责：按《公路水运工程安全生产监督管理办法》《广东省交</w:t>
      </w:r>
      <w:r>
        <w:rPr>
          <w:rFonts w:ascii="宋体" w:hAnsi="宋体" w:eastAsia="宋体" w:cs="宋体"/>
          <w:spacing w:val="-2"/>
          <w:sz w:val="24"/>
          <w:szCs w:val="24"/>
        </w:rPr>
        <w:t>通运输厅关于公路水运建设工程安全生产费用的管理办法》规定执行。承包人应按《公路水运工程安全生产监督管理办法》的要求，设立安全生产管理机构，配备专职安全生产管理人员。承包人应当根据工程施工作业特点、安全风险以及施工组织难度，按照年</w:t>
      </w:r>
      <w:r>
        <w:rPr>
          <w:rFonts w:ascii="宋体" w:hAnsi="宋体" w:eastAsia="宋体" w:cs="宋体"/>
          <w:spacing w:val="-1"/>
          <w:sz w:val="24"/>
          <w:szCs w:val="24"/>
        </w:rPr>
        <w:t>度施工产值配备专职安全生产管理人员。</w:t>
      </w:r>
    </w:p>
    <w:p w14:paraId="52F98808">
      <w:pPr>
        <w:spacing w:line="219" w:lineRule="auto"/>
        <w:ind w:left="488"/>
        <w:rPr>
          <w:rFonts w:ascii="宋体" w:hAnsi="宋体" w:eastAsia="宋体" w:cs="宋体"/>
          <w:sz w:val="24"/>
          <w:szCs w:val="24"/>
        </w:rPr>
      </w:pPr>
      <w:r>
        <w:rPr>
          <w:rFonts w:ascii="宋体" w:hAnsi="宋体" w:eastAsia="宋体" w:cs="宋体"/>
          <w:spacing w:val="-1"/>
          <w:sz w:val="24"/>
          <w:szCs w:val="24"/>
        </w:rPr>
        <w:t>承包人报送施工安全措施计划的期限：计划开工日期</w:t>
      </w:r>
      <w:r>
        <w:rPr>
          <w:rFonts w:ascii="宋体" w:hAnsi="宋体" w:eastAsia="宋体" w:cs="宋体"/>
          <w:spacing w:val="-1"/>
          <w:sz w:val="24"/>
          <w:szCs w:val="24"/>
          <w:u w:val="single" w:color="auto"/>
        </w:rPr>
        <w:t xml:space="preserve">    </w:t>
      </w:r>
      <w:r>
        <w:rPr>
          <w:rFonts w:ascii="宋体" w:hAnsi="宋体" w:eastAsia="宋体" w:cs="宋体"/>
          <w:spacing w:val="-101"/>
          <w:sz w:val="24"/>
          <w:szCs w:val="24"/>
        </w:rPr>
        <w:t xml:space="preserve"> </w:t>
      </w:r>
      <w:r>
        <w:rPr>
          <w:rFonts w:ascii="宋体" w:hAnsi="宋体" w:eastAsia="宋体" w:cs="宋体"/>
          <w:spacing w:val="-1"/>
          <w:sz w:val="24"/>
          <w:szCs w:val="24"/>
        </w:rPr>
        <w:t>天前；</w:t>
      </w:r>
    </w:p>
    <w:p w14:paraId="7C66040C">
      <w:pPr>
        <w:spacing w:before="184" w:line="359" w:lineRule="auto"/>
        <w:ind w:left="8" w:firstLine="480"/>
        <w:jc w:val="both"/>
        <w:rPr>
          <w:rFonts w:ascii="宋体" w:hAnsi="宋体" w:eastAsia="宋体" w:cs="宋体"/>
          <w:sz w:val="24"/>
          <w:szCs w:val="24"/>
        </w:rPr>
      </w:pPr>
      <w:r>
        <w:rPr>
          <w:rFonts w:ascii="宋体" w:hAnsi="宋体" w:eastAsia="宋体" w:cs="宋体"/>
          <w:spacing w:val="-2"/>
          <w:sz w:val="24"/>
          <w:szCs w:val="24"/>
        </w:rPr>
        <w:t>承包人报送的施工安全措施计划的安全工作内容要求：除满足《公路水运工程安全生产监督管理办法》（或更新修订后的最新文件或有关通知的）规定外，承包人应根据本工程的实际安全施工要求，编制本工程的实施性施工安全组织设计。该实施性施工安</w:t>
      </w:r>
      <w:r>
        <w:rPr>
          <w:rFonts w:ascii="宋体" w:hAnsi="宋体" w:eastAsia="宋体" w:cs="宋体"/>
          <w:spacing w:val="-6"/>
          <w:sz w:val="24"/>
          <w:szCs w:val="24"/>
        </w:rPr>
        <w:t>全组织设计包括但不限于施工安全保障体系，安全生产责任制，安全生</w:t>
      </w:r>
      <w:r>
        <w:rPr>
          <w:rFonts w:ascii="宋体" w:hAnsi="宋体" w:eastAsia="宋体" w:cs="宋体"/>
          <w:spacing w:val="-7"/>
          <w:sz w:val="24"/>
          <w:szCs w:val="24"/>
        </w:rPr>
        <w:t>产管理规章制度，</w:t>
      </w:r>
      <w:r>
        <w:rPr>
          <w:rFonts w:ascii="宋体" w:hAnsi="宋体" w:eastAsia="宋体" w:cs="宋体"/>
          <w:spacing w:val="-6"/>
          <w:sz w:val="24"/>
          <w:szCs w:val="24"/>
        </w:rPr>
        <w:t>安全防护施工方案，施工现场临时用电方案，施工安全评估，安全预控</w:t>
      </w:r>
      <w:r>
        <w:rPr>
          <w:rFonts w:ascii="宋体" w:hAnsi="宋体" w:eastAsia="宋体" w:cs="宋体"/>
          <w:spacing w:val="-7"/>
          <w:sz w:val="24"/>
          <w:szCs w:val="24"/>
        </w:rPr>
        <w:t>及保证措施方案，</w:t>
      </w:r>
      <w:r>
        <w:rPr>
          <w:rFonts w:ascii="宋体" w:hAnsi="宋体" w:eastAsia="宋体" w:cs="宋体"/>
          <w:spacing w:val="-2"/>
          <w:sz w:val="24"/>
          <w:szCs w:val="24"/>
        </w:rPr>
        <w:t>紧急应变措施，安全标识、警示和围护方案等。对影响安全的重要工序和危险性较大的工程应编制专项施工方案，并附安全验算结果，经承包人项目技术负责人签字并报监理</w:t>
      </w:r>
      <w:r>
        <w:rPr>
          <w:rFonts w:ascii="宋体" w:hAnsi="宋体" w:eastAsia="宋体" w:cs="宋体"/>
          <w:spacing w:val="-1"/>
          <w:sz w:val="24"/>
          <w:szCs w:val="24"/>
        </w:rPr>
        <w:t>人和发包人批准后实施，由专职安全生产管理人员进行现场监督。</w:t>
      </w:r>
    </w:p>
    <w:p w14:paraId="6FA6BAE4">
      <w:pPr>
        <w:spacing w:line="219" w:lineRule="auto"/>
        <w:ind w:left="508"/>
        <w:rPr>
          <w:rFonts w:ascii="宋体" w:hAnsi="宋体" w:eastAsia="宋体" w:cs="宋体"/>
          <w:sz w:val="24"/>
          <w:szCs w:val="24"/>
        </w:rPr>
      </w:pPr>
      <w:r>
        <w:rPr>
          <w:rFonts w:ascii="宋体" w:hAnsi="宋体" w:eastAsia="宋体" w:cs="宋体"/>
          <w:spacing w:val="-2"/>
          <w:sz w:val="24"/>
          <w:szCs w:val="24"/>
        </w:rPr>
        <w:t>出现以下情形之一的，需要编制专项施工方案：</w:t>
      </w:r>
    </w:p>
    <w:p w14:paraId="487CD737">
      <w:pPr>
        <w:spacing w:before="184" w:line="219" w:lineRule="auto"/>
        <w:ind w:left="499"/>
        <w:rPr>
          <w:rFonts w:ascii="宋体" w:hAnsi="宋体" w:eastAsia="宋体" w:cs="宋体"/>
          <w:sz w:val="24"/>
          <w:szCs w:val="24"/>
        </w:rPr>
      </w:pPr>
      <w:r>
        <w:rPr>
          <w:rFonts w:ascii="宋体" w:hAnsi="宋体" w:eastAsia="宋体" w:cs="宋体"/>
          <w:spacing w:val="-1"/>
          <w:sz w:val="24"/>
          <w:szCs w:val="24"/>
        </w:rPr>
        <w:t>（1） 不良地质条件下有潜在危险性的土方、石方开挖：</w:t>
      </w:r>
    </w:p>
    <w:p w14:paraId="666040D4">
      <w:pPr>
        <w:spacing w:before="180" w:line="219" w:lineRule="auto"/>
        <w:ind w:left="499"/>
        <w:rPr>
          <w:rFonts w:ascii="宋体" w:hAnsi="宋体" w:eastAsia="宋体" w:cs="宋体"/>
          <w:sz w:val="24"/>
          <w:szCs w:val="24"/>
        </w:rPr>
      </w:pPr>
      <w:r>
        <w:rPr>
          <w:rFonts w:ascii="宋体" w:hAnsi="宋体" w:eastAsia="宋体" w:cs="宋体"/>
          <w:spacing w:val="-2"/>
          <w:sz w:val="24"/>
          <w:szCs w:val="24"/>
        </w:rPr>
        <w:t>（2） 滑坡和高边坡处理：</w:t>
      </w:r>
    </w:p>
    <w:p w14:paraId="721C4070">
      <w:pPr>
        <w:spacing w:before="181" w:line="219" w:lineRule="auto"/>
        <w:ind w:left="499"/>
        <w:rPr>
          <w:rFonts w:ascii="宋体" w:hAnsi="宋体" w:eastAsia="宋体" w:cs="宋体"/>
          <w:sz w:val="24"/>
          <w:szCs w:val="24"/>
        </w:rPr>
      </w:pPr>
      <w:r>
        <w:rPr>
          <w:rFonts w:ascii="宋体" w:hAnsi="宋体" w:eastAsia="宋体" w:cs="宋体"/>
          <w:spacing w:val="-1"/>
          <w:sz w:val="24"/>
          <w:szCs w:val="24"/>
        </w:rPr>
        <w:t>（3） 桩基础、挡墙基础、深水基础及围堰工程；</w:t>
      </w:r>
    </w:p>
    <w:p w14:paraId="33D05E6A">
      <w:pPr>
        <w:spacing w:before="183" w:line="359" w:lineRule="auto"/>
        <w:ind w:left="7" w:right="61" w:firstLine="492"/>
        <w:rPr>
          <w:rFonts w:ascii="宋体" w:hAnsi="宋体" w:eastAsia="宋体" w:cs="宋体"/>
          <w:sz w:val="24"/>
          <w:szCs w:val="24"/>
        </w:rPr>
      </w:pPr>
      <w:r>
        <w:rPr>
          <w:rFonts w:ascii="宋体" w:hAnsi="宋体" w:eastAsia="宋体" w:cs="宋体"/>
          <w:spacing w:val="-2"/>
          <w:sz w:val="24"/>
          <w:szCs w:val="24"/>
        </w:rPr>
        <w:t>（4） 水上工程中的沉排船、抛枕船、抛石船、挖泥船等施工船作业，外海孤岛作</w:t>
      </w:r>
      <w:r>
        <w:rPr>
          <w:rFonts w:ascii="宋体" w:hAnsi="宋体" w:eastAsia="宋体" w:cs="宋体"/>
          <w:spacing w:val="-1"/>
          <w:sz w:val="24"/>
          <w:szCs w:val="24"/>
        </w:rPr>
        <w:t>业，边通航边施工作业等；</w:t>
      </w:r>
    </w:p>
    <w:p w14:paraId="10CAEDD7">
      <w:pPr>
        <w:spacing w:before="312" w:line="219" w:lineRule="auto"/>
        <w:ind w:left="499"/>
        <w:rPr>
          <w:rFonts w:ascii="宋体" w:hAnsi="宋体" w:eastAsia="宋体" w:cs="宋体"/>
          <w:spacing w:val="-1"/>
          <w:sz w:val="24"/>
          <w:szCs w:val="24"/>
        </w:rPr>
      </w:pPr>
      <w:r>
        <w:rPr>
          <w:rFonts w:ascii="宋体" w:hAnsi="宋体" w:eastAsia="宋体" w:cs="宋体"/>
          <w:spacing w:val="-1"/>
          <w:sz w:val="24"/>
          <w:szCs w:val="24"/>
        </w:rPr>
        <w:t>（5） 水下工程中的水下焊接、混凝土浇注、爆破工程等；</w:t>
      </w:r>
    </w:p>
    <w:p w14:paraId="56DDDD62">
      <w:pPr>
        <w:spacing w:before="312" w:line="219" w:lineRule="auto"/>
        <w:ind w:left="499"/>
        <w:rPr>
          <w:rFonts w:ascii="宋体" w:hAnsi="宋体" w:eastAsia="宋体" w:cs="宋体"/>
          <w:sz w:val="24"/>
          <w:szCs w:val="24"/>
        </w:rPr>
      </w:pPr>
      <w:r>
        <w:rPr>
          <w:rFonts w:ascii="宋体" w:hAnsi="宋体" w:eastAsia="宋体" w:cs="宋体"/>
          <w:spacing w:val="-2"/>
          <w:sz w:val="24"/>
          <w:szCs w:val="24"/>
        </w:rPr>
        <w:t>（6） 炸礁、清礁工程；</w:t>
      </w:r>
    </w:p>
    <w:p w14:paraId="3866D94F">
      <w:pPr>
        <w:spacing w:before="180" w:line="359" w:lineRule="auto"/>
        <w:ind w:left="13" w:firstLine="486"/>
        <w:rPr>
          <w:rFonts w:ascii="宋体" w:hAnsi="宋体" w:eastAsia="宋体" w:cs="宋体"/>
          <w:sz w:val="24"/>
          <w:szCs w:val="24"/>
        </w:rPr>
      </w:pPr>
      <w:r>
        <w:rPr>
          <w:rFonts w:ascii="宋体" w:hAnsi="宋体" w:eastAsia="宋体" w:cs="宋体"/>
          <w:spacing w:val="-2"/>
          <w:sz w:val="24"/>
          <w:szCs w:val="24"/>
        </w:rPr>
        <w:t>（7） 大型临时工程中的大型支架、模板、便桥的架设与拆除，桥梁、码头的加固</w:t>
      </w:r>
      <w:r>
        <w:rPr>
          <w:rFonts w:ascii="宋体" w:hAnsi="宋体" w:eastAsia="宋体" w:cs="宋体"/>
          <w:spacing w:val="-4"/>
          <w:sz w:val="24"/>
          <w:szCs w:val="24"/>
        </w:rPr>
        <w:t>与拆除；</w:t>
      </w:r>
    </w:p>
    <w:p w14:paraId="5F4D64E8">
      <w:pPr>
        <w:spacing w:line="219" w:lineRule="auto"/>
        <w:ind w:left="499"/>
        <w:rPr>
          <w:rFonts w:ascii="宋体" w:hAnsi="宋体" w:eastAsia="宋体" w:cs="宋体"/>
          <w:sz w:val="24"/>
          <w:szCs w:val="24"/>
        </w:rPr>
      </w:pPr>
      <w:r>
        <w:rPr>
          <w:rFonts w:ascii="宋体" w:hAnsi="宋体" w:eastAsia="宋体" w:cs="宋体"/>
          <w:spacing w:val="-3"/>
          <w:sz w:val="24"/>
          <w:szCs w:val="24"/>
        </w:rPr>
        <w:t>（8） 潜水作业；</w:t>
      </w:r>
    </w:p>
    <w:p w14:paraId="186D0A38">
      <w:pPr>
        <w:spacing w:before="182" w:line="220" w:lineRule="auto"/>
        <w:ind w:left="499"/>
        <w:rPr>
          <w:rFonts w:ascii="宋体" w:hAnsi="宋体" w:eastAsia="宋体" w:cs="宋体"/>
          <w:sz w:val="24"/>
          <w:szCs w:val="24"/>
        </w:rPr>
      </w:pPr>
      <w:r>
        <w:rPr>
          <w:rFonts w:ascii="宋体" w:hAnsi="宋体" w:eastAsia="宋体" w:cs="宋体"/>
          <w:spacing w:val="-2"/>
          <w:sz w:val="24"/>
          <w:szCs w:val="24"/>
        </w:rPr>
        <w:t>（9） 其他危险性较大的工程。</w:t>
      </w:r>
    </w:p>
    <w:p w14:paraId="25C6C0E9">
      <w:pPr>
        <w:spacing w:before="181" w:line="359" w:lineRule="auto"/>
        <w:ind w:left="7" w:firstLine="481"/>
        <w:jc w:val="both"/>
        <w:rPr>
          <w:rFonts w:ascii="宋体" w:hAnsi="宋体" w:eastAsia="宋体" w:cs="宋体"/>
          <w:sz w:val="24"/>
          <w:szCs w:val="24"/>
        </w:rPr>
      </w:pPr>
      <w:r>
        <w:rPr>
          <w:rFonts w:ascii="宋体" w:hAnsi="宋体" w:eastAsia="宋体" w:cs="宋体"/>
          <w:spacing w:val="-2"/>
          <w:sz w:val="24"/>
          <w:szCs w:val="24"/>
        </w:rPr>
        <w:t>监理人和发包人在检查中发现有安全问题或有违反安全管理规章制度的情况时，可视其情节轻重，分别给予承包人通报批评、警告、撤换责任人、责令停工整改等处罚，</w:t>
      </w:r>
      <w:r>
        <w:rPr>
          <w:rFonts w:ascii="宋体" w:hAnsi="宋体" w:eastAsia="宋体" w:cs="宋体"/>
          <w:spacing w:val="-1"/>
          <w:sz w:val="24"/>
          <w:szCs w:val="24"/>
        </w:rPr>
        <w:t>由此增加的工程费用和工期延误由承包人承担。</w:t>
      </w:r>
    </w:p>
    <w:p w14:paraId="03B380F8">
      <w:pPr>
        <w:spacing w:before="1" w:line="218" w:lineRule="auto"/>
        <w:ind w:left="489"/>
        <w:rPr>
          <w:rFonts w:ascii="宋体" w:hAnsi="宋体" w:eastAsia="宋体" w:cs="宋体"/>
          <w:sz w:val="24"/>
          <w:szCs w:val="24"/>
        </w:rPr>
      </w:pPr>
      <w:r>
        <w:rPr>
          <w:rFonts w:ascii="宋体" w:hAnsi="宋体" w:eastAsia="宋体" w:cs="宋体"/>
          <w:spacing w:val="-1"/>
          <w:sz w:val="24"/>
          <w:szCs w:val="24"/>
        </w:rPr>
        <w:t>9.2.5 本合同约定的安全作业环境：确保安全生产。</w:t>
      </w:r>
    </w:p>
    <w:p w14:paraId="3A4F832C">
      <w:pPr>
        <w:spacing w:before="184" w:line="359" w:lineRule="auto"/>
        <w:ind w:left="8" w:firstLine="480"/>
        <w:rPr>
          <w:rFonts w:ascii="宋体" w:hAnsi="宋体" w:eastAsia="宋体" w:cs="宋体"/>
          <w:sz w:val="24"/>
          <w:szCs w:val="24"/>
        </w:rPr>
      </w:pPr>
      <w:r>
        <w:rPr>
          <w:rFonts w:ascii="宋体" w:hAnsi="宋体" w:eastAsia="宋体" w:cs="宋体"/>
          <w:spacing w:val="-2"/>
          <w:sz w:val="24"/>
          <w:szCs w:val="24"/>
        </w:rPr>
        <w:t>有关安全施工措施所需费用即安全生产费用，已包含在合同一般项目清单的安全生产费中。开工时，承包人应做好安全保障措施，并获得发包人代表和监理同意。在施工过程中，监理发现存在安全事故隐患的，应当要求承包人整改。若施工过程中承包人对发包人、监理发现的安全隐患拒不及时整改，发包人有权代购安全生产物资并委托第三方落实安全措施，所发生费用从合同总价中扣除，且不能免除承包人的责任。若安全生</w:t>
      </w:r>
      <w:r>
        <w:rPr>
          <w:rFonts w:ascii="宋体" w:hAnsi="宋体" w:eastAsia="宋体" w:cs="宋体"/>
          <w:sz w:val="24"/>
          <w:szCs w:val="24"/>
        </w:rPr>
        <w:t>产费使用完毕，承包人仍然需要采取安全生</w:t>
      </w:r>
      <w:r>
        <w:rPr>
          <w:rFonts w:ascii="宋体" w:hAnsi="宋体" w:eastAsia="宋体" w:cs="宋体"/>
          <w:spacing w:val="-1"/>
          <w:sz w:val="24"/>
          <w:szCs w:val="24"/>
        </w:rPr>
        <w:t>产措施并承担安全责任。</w:t>
      </w:r>
    </w:p>
    <w:p w14:paraId="21A66ABA">
      <w:pPr>
        <w:spacing w:before="2" w:line="359" w:lineRule="auto"/>
        <w:ind w:left="7" w:firstLine="485"/>
        <w:jc w:val="both"/>
        <w:rPr>
          <w:rFonts w:ascii="宋体" w:hAnsi="宋体" w:eastAsia="宋体" w:cs="宋体"/>
          <w:sz w:val="24"/>
          <w:szCs w:val="24"/>
        </w:rPr>
      </w:pPr>
      <w:r>
        <w:rPr>
          <w:rFonts w:ascii="宋体" w:hAnsi="宋体" w:eastAsia="宋体" w:cs="宋体"/>
          <w:spacing w:val="-2"/>
          <w:sz w:val="24"/>
          <w:szCs w:val="24"/>
        </w:rPr>
        <w:t>安全生产费用为固定报价，应根据《广东省交通运输厅关于公路水运建设工程安全生产费用的管理办法》的要求，按照“企业</w:t>
      </w:r>
      <w:r>
        <w:rPr>
          <w:rFonts w:ascii="宋体" w:hAnsi="宋体" w:eastAsia="宋体" w:cs="宋体"/>
          <w:spacing w:val="-3"/>
          <w:sz w:val="24"/>
          <w:szCs w:val="24"/>
        </w:rPr>
        <w:t>提取，政府监督，确保需要，规范使用</w:t>
      </w:r>
      <w:r>
        <w:rPr>
          <w:rFonts w:ascii="宋体" w:hAnsi="宋体" w:eastAsia="宋体" w:cs="宋体"/>
          <w:spacing w:val="-88"/>
          <w:sz w:val="24"/>
          <w:szCs w:val="24"/>
        </w:rPr>
        <w:t xml:space="preserve"> </w:t>
      </w:r>
      <w:r>
        <w:rPr>
          <w:rFonts w:ascii="宋体" w:hAnsi="宋体" w:eastAsia="宋体" w:cs="宋体"/>
          <w:spacing w:val="-3"/>
          <w:sz w:val="24"/>
          <w:szCs w:val="24"/>
        </w:rPr>
        <w:t>”的</w:t>
      </w:r>
      <w:r>
        <w:rPr>
          <w:rFonts w:ascii="宋体" w:hAnsi="宋体" w:eastAsia="宋体" w:cs="宋体"/>
          <w:spacing w:val="-2"/>
          <w:sz w:val="24"/>
          <w:szCs w:val="24"/>
        </w:rPr>
        <w:t>原则和细化费用清单进行管理。安全生产费用用于施工安全防护用具及设施的采购和更新、安全施工措施的落实、安全生产条件的改善，安全生产检查、评价、咨询和标准化建设的支出，安全生产宣传、教育培训的支出，安全生产适用的新技术、新标准、新工艺、新装备的推广应用支出，安全设施及特种设备检测检验支出，其他与安全生产直接相关的支出等。安全生产费用来源于承包人，也用于承包人，不得挪作他用。如承包人在此基础上增加安全生产费用以满足项目施工需要，则承包人应在本项目工程量清单其</w:t>
      </w:r>
      <w:r>
        <w:rPr>
          <w:rFonts w:ascii="宋体" w:hAnsi="宋体" w:eastAsia="宋体" w:cs="宋体"/>
          <w:spacing w:val="-1"/>
          <w:sz w:val="24"/>
          <w:szCs w:val="24"/>
        </w:rPr>
        <w:t>他相关子目的单价或总额价中予以考虑，发包人不再另行支付。</w:t>
      </w:r>
    </w:p>
    <w:p w14:paraId="47E72164">
      <w:pPr>
        <w:spacing w:before="3" w:line="358" w:lineRule="auto"/>
        <w:ind w:left="8" w:firstLine="479"/>
        <w:jc w:val="both"/>
        <w:rPr>
          <w:rFonts w:ascii="宋体" w:hAnsi="宋体" w:eastAsia="宋体" w:cs="宋体"/>
          <w:sz w:val="24"/>
          <w:szCs w:val="24"/>
        </w:rPr>
      </w:pPr>
      <w:r>
        <w:rPr>
          <w:rFonts w:ascii="宋体" w:hAnsi="宋体" w:eastAsia="宋体" w:cs="宋体"/>
          <w:spacing w:val="-2"/>
          <w:sz w:val="24"/>
          <w:szCs w:val="24"/>
        </w:rPr>
        <w:t>在项目开工前或施工过程中，发包人及上级主管单位对承包人的安全生产情况进行检查，发现隐患而承包人未能在限期内完成整改的，由发包人代为整改，所需费用在计</w:t>
      </w:r>
      <w:r>
        <w:rPr>
          <w:rFonts w:ascii="宋体" w:hAnsi="宋体" w:eastAsia="宋体" w:cs="宋体"/>
          <w:spacing w:val="-1"/>
          <w:sz w:val="24"/>
          <w:szCs w:val="24"/>
        </w:rPr>
        <w:t>提的安全生产经费中支付。</w:t>
      </w:r>
    </w:p>
    <w:p w14:paraId="180F51ED">
      <w:pPr>
        <w:spacing w:before="2" w:line="359" w:lineRule="auto"/>
        <w:ind w:left="7" w:firstLine="485"/>
        <w:jc w:val="both"/>
        <w:rPr>
          <w:rFonts w:ascii="宋体" w:hAnsi="宋体" w:eastAsia="宋体" w:cs="宋体"/>
          <w:spacing w:val="-1"/>
          <w:sz w:val="24"/>
          <w:szCs w:val="24"/>
        </w:rPr>
      </w:pPr>
      <w:r>
        <w:rPr>
          <w:rFonts w:ascii="宋体" w:hAnsi="宋体" w:eastAsia="宋体" w:cs="宋体"/>
          <w:spacing w:val="-1"/>
          <w:sz w:val="24"/>
          <w:szCs w:val="24"/>
        </w:rPr>
        <w:t>安全生产费实行专款专用、专户核算，任何单位或个人不得挤占或挪用。承包人应当建立健全工程项目安全生产费用计取、使用等制度，明确安全生产费用计取和使用的程序、职责及权限、规范安全生产费用的使用；设立安全生产费用使用台帐，健全安全生产费用痕迹管理资料台帐，包含安全生产费用使用环节的监控和有关票据凭证资料。</w:t>
      </w:r>
    </w:p>
    <w:p w14:paraId="3D14AB0A">
      <w:pPr>
        <w:spacing w:before="180" w:line="359" w:lineRule="auto"/>
        <w:ind w:left="9" w:right="61" w:firstLine="480"/>
        <w:rPr>
          <w:rFonts w:ascii="宋体" w:hAnsi="宋体" w:eastAsia="宋体" w:cs="宋体"/>
          <w:sz w:val="24"/>
          <w:szCs w:val="24"/>
        </w:rPr>
      </w:pPr>
      <w:r>
        <w:rPr>
          <w:rFonts w:ascii="宋体" w:hAnsi="宋体" w:eastAsia="宋体" w:cs="宋体"/>
          <w:spacing w:val="-1"/>
          <w:sz w:val="24"/>
          <w:szCs w:val="24"/>
        </w:rPr>
        <w:t>9.2.8</w:t>
      </w:r>
      <w:r>
        <w:rPr>
          <w:rFonts w:ascii="宋体" w:hAnsi="宋体" w:eastAsia="宋体" w:cs="宋体"/>
          <w:spacing w:val="-27"/>
          <w:sz w:val="24"/>
          <w:szCs w:val="24"/>
        </w:rPr>
        <w:t xml:space="preserve"> </w:t>
      </w:r>
      <w:r>
        <w:rPr>
          <w:rFonts w:ascii="宋体" w:hAnsi="宋体" w:eastAsia="宋体" w:cs="宋体"/>
          <w:spacing w:val="-1"/>
          <w:sz w:val="24"/>
          <w:szCs w:val="24"/>
        </w:rPr>
        <w:t>承包人应对施工船舶机械、设备、仪器等进行定期检查，消除隐患，并取得有关部门的检验许可证明。</w:t>
      </w:r>
    </w:p>
    <w:p w14:paraId="044A5297">
      <w:pPr>
        <w:spacing w:line="219" w:lineRule="auto"/>
        <w:ind w:right="8"/>
        <w:jc w:val="right"/>
        <w:rPr>
          <w:rFonts w:ascii="宋体" w:hAnsi="宋体" w:eastAsia="宋体" w:cs="宋体"/>
          <w:sz w:val="24"/>
          <w:szCs w:val="24"/>
        </w:rPr>
      </w:pPr>
      <w:r>
        <w:rPr>
          <w:rFonts w:ascii="宋体" w:hAnsi="宋体" w:eastAsia="宋体" w:cs="宋体"/>
          <w:sz w:val="24"/>
          <w:szCs w:val="24"/>
        </w:rPr>
        <w:t>9.2.9 承包人应按有关要求，设置施工水域的警示标志</w:t>
      </w:r>
      <w:r>
        <w:rPr>
          <w:rFonts w:ascii="宋体" w:hAnsi="宋体" w:eastAsia="宋体" w:cs="宋体"/>
          <w:spacing w:val="-1"/>
          <w:sz w:val="24"/>
          <w:szCs w:val="24"/>
        </w:rPr>
        <w:t>和施工船舶夜间警示标志。</w:t>
      </w:r>
    </w:p>
    <w:p w14:paraId="25808280">
      <w:pPr>
        <w:spacing w:before="181" w:line="359" w:lineRule="auto"/>
        <w:ind w:left="8" w:right="61" w:firstLine="480"/>
        <w:rPr>
          <w:rFonts w:ascii="宋体" w:hAnsi="宋体" w:eastAsia="宋体" w:cs="宋体"/>
          <w:sz w:val="24"/>
          <w:szCs w:val="24"/>
        </w:rPr>
      </w:pPr>
      <w:r>
        <w:rPr>
          <w:rFonts w:ascii="宋体" w:hAnsi="宋体" w:eastAsia="宋体" w:cs="宋体"/>
          <w:spacing w:val="-3"/>
          <w:sz w:val="24"/>
          <w:szCs w:val="24"/>
        </w:rPr>
        <w:t>9.2.10</w:t>
      </w:r>
      <w:r>
        <w:rPr>
          <w:rFonts w:ascii="宋体" w:hAnsi="宋体" w:eastAsia="宋体" w:cs="宋体"/>
          <w:spacing w:val="-51"/>
          <w:sz w:val="24"/>
          <w:szCs w:val="24"/>
        </w:rPr>
        <w:t xml:space="preserve"> </w:t>
      </w:r>
      <w:r>
        <w:rPr>
          <w:rFonts w:ascii="宋体" w:hAnsi="宋体" w:eastAsia="宋体" w:cs="宋体"/>
          <w:spacing w:val="-3"/>
          <w:sz w:val="24"/>
          <w:szCs w:val="24"/>
        </w:rPr>
        <w:t>承包人应对施工现场的供电、消防、</w:t>
      </w:r>
      <w:r>
        <w:rPr>
          <w:rFonts w:ascii="宋体" w:hAnsi="宋体" w:eastAsia="宋体" w:cs="宋体"/>
          <w:spacing w:val="-4"/>
          <w:sz w:val="24"/>
          <w:szCs w:val="24"/>
        </w:rPr>
        <w:t>基坑开挖、水下作业、爆破、不良工程</w:t>
      </w:r>
      <w:r>
        <w:rPr>
          <w:rFonts w:ascii="宋体" w:hAnsi="宋体" w:eastAsia="宋体" w:cs="宋体"/>
          <w:spacing w:val="-2"/>
          <w:sz w:val="24"/>
          <w:szCs w:val="24"/>
        </w:rPr>
        <w:t>地质以及施工通航等制定专项的措施及应急预案，并报监理人审查同意。发包人或监理</w:t>
      </w:r>
      <w:r>
        <w:rPr>
          <w:rFonts w:ascii="宋体" w:hAnsi="宋体" w:eastAsia="宋体" w:cs="宋体"/>
          <w:spacing w:val="-1"/>
          <w:sz w:val="24"/>
          <w:szCs w:val="24"/>
        </w:rPr>
        <w:t>人的认可不能免除承包人所应承担的责任。</w:t>
      </w:r>
    </w:p>
    <w:p w14:paraId="70037000">
      <w:pPr>
        <w:spacing w:before="1" w:line="219" w:lineRule="auto"/>
        <w:ind w:left="489"/>
        <w:rPr>
          <w:rFonts w:ascii="宋体" w:hAnsi="宋体" w:eastAsia="宋体" w:cs="宋体"/>
          <w:sz w:val="24"/>
          <w:szCs w:val="24"/>
        </w:rPr>
      </w:pPr>
      <w:r>
        <w:rPr>
          <w:rFonts w:ascii="宋体" w:hAnsi="宋体" w:eastAsia="宋体" w:cs="宋体"/>
          <w:b/>
          <w:bCs/>
          <w:spacing w:val="-3"/>
          <w:sz w:val="24"/>
          <w:szCs w:val="24"/>
        </w:rPr>
        <w:t>增加第</w:t>
      </w:r>
      <w:r>
        <w:rPr>
          <w:rFonts w:ascii="宋体" w:hAnsi="宋体" w:eastAsia="宋体" w:cs="宋体"/>
          <w:spacing w:val="-49"/>
          <w:sz w:val="24"/>
          <w:szCs w:val="24"/>
        </w:rPr>
        <w:t xml:space="preserve"> </w:t>
      </w:r>
      <w:r>
        <w:rPr>
          <w:rFonts w:ascii="宋体" w:hAnsi="宋体" w:eastAsia="宋体" w:cs="宋体"/>
          <w:b/>
          <w:bCs/>
          <w:spacing w:val="-3"/>
          <w:sz w:val="24"/>
          <w:szCs w:val="24"/>
        </w:rPr>
        <w:t>9.2.11</w:t>
      </w:r>
      <w:r>
        <w:rPr>
          <w:rFonts w:ascii="宋体" w:hAnsi="宋体" w:eastAsia="宋体" w:cs="宋体"/>
          <w:spacing w:val="-47"/>
          <w:sz w:val="24"/>
          <w:szCs w:val="24"/>
        </w:rPr>
        <w:t xml:space="preserve"> </w:t>
      </w:r>
      <w:r>
        <w:rPr>
          <w:rFonts w:ascii="宋体" w:hAnsi="宋体" w:eastAsia="宋体" w:cs="宋体"/>
          <w:b/>
          <w:bCs/>
          <w:spacing w:val="-3"/>
          <w:sz w:val="24"/>
          <w:szCs w:val="24"/>
        </w:rPr>
        <w:t>至</w:t>
      </w:r>
      <w:r>
        <w:rPr>
          <w:rFonts w:ascii="宋体" w:hAnsi="宋体" w:eastAsia="宋体" w:cs="宋体"/>
          <w:spacing w:val="-49"/>
          <w:sz w:val="24"/>
          <w:szCs w:val="24"/>
        </w:rPr>
        <w:t xml:space="preserve"> </w:t>
      </w:r>
      <w:r>
        <w:rPr>
          <w:rFonts w:ascii="宋体" w:hAnsi="宋体" w:eastAsia="宋体" w:cs="宋体"/>
          <w:b/>
          <w:bCs/>
          <w:spacing w:val="-3"/>
          <w:sz w:val="24"/>
          <w:szCs w:val="24"/>
        </w:rPr>
        <w:t>9.2.13</w:t>
      </w:r>
      <w:r>
        <w:rPr>
          <w:rFonts w:ascii="宋体" w:hAnsi="宋体" w:eastAsia="宋体" w:cs="宋体"/>
          <w:spacing w:val="-45"/>
          <w:sz w:val="24"/>
          <w:szCs w:val="24"/>
        </w:rPr>
        <w:t xml:space="preserve"> </w:t>
      </w:r>
      <w:r>
        <w:rPr>
          <w:rFonts w:ascii="宋体" w:hAnsi="宋体" w:eastAsia="宋体" w:cs="宋体"/>
          <w:b/>
          <w:bCs/>
          <w:spacing w:val="-3"/>
          <w:sz w:val="24"/>
          <w:szCs w:val="24"/>
        </w:rPr>
        <w:t>项的内容，下述内容所产生的费</w:t>
      </w:r>
      <w:r>
        <w:rPr>
          <w:rFonts w:ascii="宋体" w:hAnsi="宋体" w:eastAsia="宋体" w:cs="宋体"/>
          <w:b/>
          <w:bCs/>
          <w:spacing w:val="-4"/>
          <w:sz w:val="24"/>
          <w:szCs w:val="24"/>
        </w:rPr>
        <w:t>用由承包人承担：</w:t>
      </w:r>
    </w:p>
    <w:p w14:paraId="71C7663B">
      <w:pPr>
        <w:spacing w:before="182" w:line="219" w:lineRule="auto"/>
        <w:ind w:left="489"/>
        <w:rPr>
          <w:rFonts w:ascii="宋体" w:hAnsi="宋体" w:eastAsia="宋体" w:cs="宋体"/>
          <w:sz w:val="24"/>
          <w:szCs w:val="24"/>
        </w:rPr>
      </w:pPr>
      <w:r>
        <w:rPr>
          <w:rFonts w:ascii="宋体" w:hAnsi="宋体" w:eastAsia="宋体" w:cs="宋体"/>
          <w:sz w:val="24"/>
          <w:szCs w:val="24"/>
        </w:rPr>
        <w:t>9.2.11 承包人应按政府和有关部门的规定，对施工现</w:t>
      </w:r>
      <w:r>
        <w:rPr>
          <w:rFonts w:ascii="宋体" w:hAnsi="宋体" w:eastAsia="宋体" w:cs="宋体"/>
          <w:spacing w:val="-1"/>
          <w:sz w:val="24"/>
          <w:szCs w:val="24"/>
        </w:rPr>
        <w:t>场人员和施工船舶、机械、</w:t>
      </w:r>
    </w:p>
    <w:p w14:paraId="2D576CE8">
      <w:pPr>
        <w:spacing w:before="181" w:line="359" w:lineRule="auto"/>
        <w:ind w:left="12" w:right="48"/>
        <w:rPr>
          <w:rFonts w:ascii="宋体" w:hAnsi="宋体" w:eastAsia="宋体" w:cs="宋体"/>
          <w:sz w:val="24"/>
          <w:szCs w:val="24"/>
        </w:rPr>
      </w:pPr>
      <w:r>
        <w:rPr>
          <w:rFonts w:ascii="宋体" w:hAnsi="宋体" w:eastAsia="宋体" w:cs="宋体"/>
          <w:spacing w:val="-2"/>
          <w:sz w:val="24"/>
          <w:szCs w:val="24"/>
        </w:rPr>
        <w:t>设备的防台风、防突风、防风暴潮、防汛、防雷击等进行安全管理，对施工现场加强治</w:t>
      </w:r>
      <w:r>
        <w:rPr>
          <w:rFonts w:ascii="宋体" w:hAnsi="宋体" w:eastAsia="宋体" w:cs="宋体"/>
          <w:spacing w:val="-1"/>
          <w:sz w:val="24"/>
          <w:szCs w:val="24"/>
        </w:rPr>
        <w:t>安防范和消防安全防护措施，并承担由于措施不</w:t>
      </w:r>
      <w:r>
        <w:rPr>
          <w:rFonts w:ascii="宋体" w:hAnsi="宋体" w:eastAsia="宋体" w:cs="宋体"/>
          <w:spacing w:val="-2"/>
          <w:sz w:val="24"/>
          <w:szCs w:val="24"/>
        </w:rPr>
        <w:t>力造成的事故责任和由此发生的费用。</w:t>
      </w:r>
    </w:p>
    <w:p w14:paraId="36255B04">
      <w:pPr>
        <w:spacing w:before="2" w:line="359" w:lineRule="auto"/>
        <w:ind w:left="9" w:right="48" w:firstLine="480"/>
        <w:rPr>
          <w:rFonts w:ascii="宋体" w:hAnsi="宋体" w:eastAsia="宋体" w:cs="宋体"/>
          <w:sz w:val="24"/>
          <w:szCs w:val="24"/>
        </w:rPr>
      </w:pPr>
      <w:r>
        <w:rPr>
          <w:rFonts w:ascii="宋体" w:hAnsi="宋体" w:eastAsia="宋体" w:cs="宋体"/>
          <w:sz w:val="24"/>
          <w:szCs w:val="24"/>
        </w:rPr>
        <w:t>9.2.12 承包人在高压线、水上、水下及地下管线、易</w:t>
      </w:r>
      <w:r>
        <w:rPr>
          <w:rFonts w:ascii="宋体" w:hAnsi="宋体" w:eastAsia="宋体" w:cs="宋体"/>
          <w:spacing w:val="-1"/>
          <w:sz w:val="24"/>
          <w:szCs w:val="24"/>
        </w:rPr>
        <w:t>燃、易爆地段或其他有害环境下施工时，施工前应提交安全保护措施及应急救援预</w:t>
      </w:r>
      <w:r>
        <w:rPr>
          <w:rFonts w:ascii="宋体" w:hAnsi="宋体" w:eastAsia="宋体" w:cs="宋体"/>
          <w:spacing w:val="-2"/>
          <w:sz w:val="24"/>
          <w:szCs w:val="24"/>
        </w:rPr>
        <w:t>案，经监理人审查同意后实施。</w:t>
      </w:r>
      <w:r>
        <w:rPr>
          <w:rFonts w:ascii="宋体" w:hAnsi="宋体" w:eastAsia="宋体" w:cs="宋体"/>
          <w:sz w:val="24"/>
          <w:szCs w:val="24"/>
        </w:rPr>
        <w:t>监理人的同意不能免除承包人应承担的责任。防</w:t>
      </w:r>
      <w:r>
        <w:rPr>
          <w:rFonts w:ascii="宋体" w:hAnsi="宋体" w:eastAsia="宋体" w:cs="宋体"/>
          <w:spacing w:val="-1"/>
          <w:sz w:val="24"/>
          <w:szCs w:val="24"/>
        </w:rPr>
        <w:t>护措施费用由承包人承担。</w:t>
      </w:r>
    </w:p>
    <w:p w14:paraId="5AD0A5D4">
      <w:pPr>
        <w:spacing w:line="359" w:lineRule="auto"/>
        <w:ind w:left="9" w:right="128" w:firstLine="480"/>
        <w:rPr>
          <w:rFonts w:ascii="宋体" w:hAnsi="宋体" w:eastAsia="宋体" w:cs="宋体"/>
          <w:sz w:val="24"/>
          <w:szCs w:val="24"/>
        </w:rPr>
      </w:pPr>
      <w:r>
        <w:rPr>
          <w:rFonts w:ascii="宋体" w:hAnsi="宋体" w:eastAsia="宋体" w:cs="宋体"/>
          <w:sz w:val="24"/>
          <w:szCs w:val="24"/>
        </w:rPr>
        <w:t>9.2.13 施工现场发生安全事故时，承包人应立即采取</w:t>
      </w:r>
      <w:r>
        <w:rPr>
          <w:rFonts w:ascii="宋体" w:hAnsi="宋体" w:eastAsia="宋体" w:cs="宋体"/>
          <w:spacing w:val="-1"/>
          <w:sz w:val="24"/>
          <w:szCs w:val="24"/>
        </w:rPr>
        <w:t>有效措施，并将事故情况按规定上报有关部门并报告发包人与监理人。</w:t>
      </w:r>
    </w:p>
    <w:p w14:paraId="2FC4306C">
      <w:pPr>
        <w:spacing w:line="220" w:lineRule="auto"/>
        <w:ind w:left="489"/>
        <w:rPr>
          <w:rFonts w:ascii="宋体" w:hAnsi="宋体" w:eastAsia="宋体" w:cs="宋体"/>
          <w:sz w:val="24"/>
          <w:szCs w:val="24"/>
        </w:rPr>
      </w:pPr>
      <w:r>
        <w:rPr>
          <w:rFonts w:ascii="宋体" w:hAnsi="宋体" w:eastAsia="宋体" w:cs="宋体"/>
          <w:b/>
          <w:bCs/>
          <w:spacing w:val="-6"/>
          <w:sz w:val="24"/>
          <w:szCs w:val="24"/>
        </w:rPr>
        <w:t>9.3</w:t>
      </w:r>
      <w:r>
        <w:rPr>
          <w:rFonts w:ascii="宋体" w:hAnsi="宋体" w:eastAsia="宋体" w:cs="宋体"/>
          <w:spacing w:val="20"/>
          <w:sz w:val="24"/>
          <w:szCs w:val="24"/>
        </w:rPr>
        <w:t xml:space="preserve"> </w:t>
      </w:r>
      <w:r>
        <w:rPr>
          <w:rFonts w:ascii="宋体" w:hAnsi="宋体" w:eastAsia="宋体" w:cs="宋体"/>
          <w:b/>
          <w:bCs/>
          <w:spacing w:val="-6"/>
          <w:sz w:val="24"/>
          <w:szCs w:val="24"/>
        </w:rPr>
        <w:t>治安保卫</w:t>
      </w:r>
    </w:p>
    <w:p w14:paraId="52B123ED">
      <w:pPr>
        <w:spacing w:before="180" w:line="360" w:lineRule="auto"/>
        <w:ind w:left="7" w:right="67" w:firstLine="481"/>
        <w:rPr>
          <w:rFonts w:ascii="宋体" w:hAnsi="宋体" w:eastAsia="宋体" w:cs="宋体"/>
          <w:sz w:val="24"/>
          <w:szCs w:val="24"/>
        </w:rPr>
      </w:pPr>
      <w:r>
        <w:rPr>
          <w:rFonts w:ascii="宋体" w:hAnsi="宋体" w:eastAsia="宋体" w:cs="宋体"/>
          <w:spacing w:val="-2"/>
          <w:sz w:val="24"/>
          <w:szCs w:val="24"/>
        </w:rPr>
        <w:t>9.3.1 关于治安保卫职责的约定：承包人负责统一管理施工场地的治安保卫事项，</w:t>
      </w:r>
      <w:r>
        <w:rPr>
          <w:rFonts w:ascii="宋体" w:hAnsi="宋体" w:eastAsia="宋体" w:cs="宋体"/>
          <w:sz w:val="24"/>
          <w:szCs w:val="24"/>
        </w:rPr>
        <w:t>在现场建立治安管理机构或联防组织，履行合同</w:t>
      </w:r>
      <w:r>
        <w:rPr>
          <w:rFonts w:ascii="宋体" w:hAnsi="宋体" w:eastAsia="宋体" w:cs="宋体"/>
          <w:spacing w:val="-1"/>
          <w:sz w:val="24"/>
          <w:szCs w:val="24"/>
        </w:rPr>
        <w:t>工程的治安保卫职责。</w:t>
      </w:r>
    </w:p>
    <w:p w14:paraId="74D1340C">
      <w:pPr>
        <w:spacing w:before="1" w:line="359" w:lineRule="auto"/>
        <w:ind w:left="7" w:firstLine="481"/>
        <w:rPr>
          <w:rFonts w:ascii="宋体" w:hAnsi="宋体" w:eastAsia="宋体" w:cs="宋体"/>
          <w:sz w:val="24"/>
          <w:szCs w:val="24"/>
        </w:rPr>
      </w:pPr>
      <w:r>
        <w:rPr>
          <w:rFonts w:ascii="宋体" w:hAnsi="宋体" w:eastAsia="宋体" w:cs="宋体"/>
          <w:spacing w:val="-5"/>
          <w:sz w:val="24"/>
          <w:szCs w:val="24"/>
        </w:rPr>
        <w:t>9.3.3</w:t>
      </w:r>
      <w:r>
        <w:rPr>
          <w:rFonts w:ascii="宋体" w:hAnsi="宋体" w:eastAsia="宋体" w:cs="宋体"/>
          <w:spacing w:val="-47"/>
          <w:sz w:val="24"/>
          <w:szCs w:val="24"/>
        </w:rPr>
        <w:t xml:space="preserve"> </w:t>
      </w:r>
      <w:r>
        <w:rPr>
          <w:rFonts w:ascii="宋体" w:hAnsi="宋体" w:eastAsia="宋体" w:cs="宋体"/>
          <w:spacing w:val="-5"/>
          <w:sz w:val="24"/>
          <w:szCs w:val="24"/>
        </w:rPr>
        <w:t>关于施工场地治安管理计划和紧急预案编制的约定：承包人应在工程开工后，</w:t>
      </w:r>
      <w:r>
        <w:rPr>
          <w:rFonts w:ascii="宋体" w:hAnsi="宋体" w:eastAsia="宋体" w:cs="宋体"/>
          <w:spacing w:val="-2"/>
          <w:sz w:val="24"/>
          <w:szCs w:val="24"/>
        </w:rPr>
        <w:t>编制施工场地治安管理计划，并制定应对突发治安事件的紧急预案报发包人备案。在工</w:t>
      </w:r>
      <w:r>
        <w:rPr>
          <w:rFonts w:ascii="宋体" w:hAnsi="宋体" w:eastAsia="宋体" w:cs="宋体"/>
          <w:spacing w:val="-6"/>
          <w:sz w:val="24"/>
          <w:szCs w:val="24"/>
        </w:rPr>
        <w:t>程施工过程中，发生暴乱、爆炸等恐怖事件，以及群殴、械斗等群体性突</w:t>
      </w:r>
      <w:r>
        <w:rPr>
          <w:rFonts w:ascii="宋体" w:hAnsi="宋体" w:eastAsia="宋体" w:cs="宋体"/>
          <w:spacing w:val="-7"/>
          <w:sz w:val="24"/>
          <w:szCs w:val="24"/>
        </w:rPr>
        <w:t>发治安事件的，</w:t>
      </w:r>
      <w:r>
        <w:rPr>
          <w:rFonts w:ascii="宋体" w:hAnsi="宋体" w:eastAsia="宋体" w:cs="宋体"/>
          <w:spacing w:val="-2"/>
          <w:sz w:val="24"/>
          <w:szCs w:val="24"/>
        </w:rPr>
        <w:t>承包人应立即向当地政府报告，积极协助当地有关部门采取措施平息事态，防止事态扩</w:t>
      </w:r>
      <w:r>
        <w:rPr>
          <w:rFonts w:ascii="宋体" w:hAnsi="宋体" w:eastAsia="宋体" w:cs="宋体"/>
          <w:sz w:val="24"/>
          <w:szCs w:val="24"/>
        </w:rPr>
        <w:t>大，尽量减少财产损失和避免人员伤亡。必要</w:t>
      </w:r>
      <w:r>
        <w:rPr>
          <w:rFonts w:ascii="宋体" w:hAnsi="宋体" w:eastAsia="宋体" w:cs="宋体"/>
          <w:spacing w:val="-1"/>
          <w:sz w:val="24"/>
          <w:szCs w:val="24"/>
        </w:rPr>
        <w:t>时，发包人给予协助。</w:t>
      </w:r>
    </w:p>
    <w:p w14:paraId="4435DE24">
      <w:pPr>
        <w:spacing w:before="1" w:line="220" w:lineRule="auto"/>
        <w:ind w:left="489"/>
        <w:rPr>
          <w:rFonts w:ascii="宋体" w:hAnsi="宋体" w:eastAsia="宋体" w:cs="宋体"/>
          <w:sz w:val="24"/>
          <w:szCs w:val="24"/>
        </w:rPr>
      </w:pPr>
      <w:r>
        <w:rPr>
          <w:rFonts w:ascii="宋体" w:hAnsi="宋体" w:eastAsia="宋体" w:cs="宋体"/>
          <w:b/>
          <w:bCs/>
          <w:spacing w:val="-5"/>
          <w:sz w:val="24"/>
          <w:szCs w:val="24"/>
        </w:rPr>
        <w:t>9.4</w:t>
      </w:r>
      <w:r>
        <w:rPr>
          <w:rFonts w:ascii="宋体" w:hAnsi="宋体" w:eastAsia="宋体" w:cs="宋体"/>
          <w:spacing w:val="13"/>
          <w:sz w:val="24"/>
          <w:szCs w:val="24"/>
        </w:rPr>
        <w:t xml:space="preserve"> </w:t>
      </w:r>
      <w:r>
        <w:rPr>
          <w:rFonts w:ascii="宋体" w:hAnsi="宋体" w:eastAsia="宋体" w:cs="宋体"/>
          <w:b/>
          <w:bCs/>
          <w:spacing w:val="-5"/>
          <w:sz w:val="24"/>
          <w:szCs w:val="24"/>
        </w:rPr>
        <w:t>环境保护</w:t>
      </w:r>
    </w:p>
    <w:p w14:paraId="6B8484CD">
      <w:pPr>
        <w:spacing w:before="179" w:line="219" w:lineRule="auto"/>
        <w:ind w:left="489"/>
        <w:rPr>
          <w:rFonts w:ascii="宋体" w:hAnsi="宋体" w:eastAsia="宋体" w:cs="宋体"/>
          <w:sz w:val="24"/>
          <w:szCs w:val="24"/>
        </w:rPr>
      </w:pPr>
      <w:r>
        <w:rPr>
          <w:rFonts w:ascii="宋体" w:hAnsi="宋体" w:eastAsia="宋体" w:cs="宋体"/>
          <w:spacing w:val="-1"/>
          <w:sz w:val="24"/>
          <w:szCs w:val="24"/>
        </w:rPr>
        <w:t>9.4.1 承包人的环境保护义务：遵循政府及地方相关规定。</w:t>
      </w:r>
    </w:p>
    <w:p w14:paraId="6004418B">
      <w:pPr>
        <w:spacing w:before="1" w:line="359" w:lineRule="auto"/>
        <w:ind w:left="7" w:firstLine="481"/>
        <w:rPr>
          <w:rFonts w:ascii="宋体" w:hAnsi="宋体" w:eastAsia="宋体" w:cs="宋体"/>
          <w:spacing w:val="-2"/>
          <w:sz w:val="24"/>
          <w:szCs w:val="24"/>
        </w:rPr>
      </w:pPr>
      <w:r>
        <w:rPr>
          <w:rFonts w:ascii="宋体" w:hAnsi="宋体" w:eastAsia="宋体" w:cs="宋体"/>
          <w:spacing w:val="-2"/>
          <w:sz w:val="24"/>
          <w:szCs w:val="24"/>
        </w:rPr>
        <w:t>9.4.2 承包人的环保工作内容：遵循政府及地方对于环保工作的相关规定，并应采取所有合理的措施来保护现场内外的环境，并避免由于其操作方法所造成的污染、噪声或其他问题而对人员或公私财产造成的损失或损害。承包人还应严格执行政府有关水域环境生态保护的规定，合理选择施工船机和施工工艺，采取有效措施，减少施工对周边水域的影响，如对周边环境造成影响的应承担相应责任并按要求采取补救措施。</w:t>
      </w:r>
    </w:p>
    <w:p w14:paraId="3956BED4">
      <w:pPr>
        <w:spacing w:before="181" w:line="219" w:lineRule="auto"/>
        <w:ind w:left="489"/>
        <w:rPr>
          <w:rFonts w:ascii="宋体" w:hAnsi="宋体" w:eastAsia="宋体" w:cs="宋体"/>
          <w:sz w:val="24"/>
          <w:szCs w:val="24"/>
        </w:rPr>
      </w:pPr>
      <w:r>
        <w:rPr>
          <w:rFonts w:ascii="宋体" w:hAnsi="宋体" w:eastAsia="宋体" w:cs="宋体"/>
          <w:spacing w:val="-1"/>
          <w:sz w:val="24"/>
          <w:szCs w:val="24"/>
        </w:rPr>
        <w:t>9.4.6 项目施工过程中应特别加强以下环保和水保工作：</w:t>
      </w:r>
    </w:p>
    <w:p w14:paraId="2E2F5DB7">
      <w:pPr>
        <w:spacing w:before="183" w:line="359" w:lineRule="auto"/>
        <w:ind w:left="9" w:right="181" w:firstLine="480"/>
        <w:rPr>
          <w:rFonts w:ascii="宋体" w:hAnsi="宋体" w:eastAsia="宋体" w:cs="宋体"/>
          <w:sz w:val="24"/>
          <w:szCs w:val="24"/>
        </w:rPr>
      </w:pPr>
      <w:r>
        <w:rPr>
          <w:rFonts w:ascii="宋体" w:hAnsi="宋体" w:eastAsia="宋体" w:cs="宋体"/>
          <w:spacing w:val="-1"/>
          <w:sz w:val="24"/>
          <w:szCs w:val="24"/>
        </w:rPr>
        <w:t>9.4.6.1</w:t>
      </w:r>
      <w:r>
        <w:rPr>
          <w:rFonts w:ascii="宋体" w:hAnsi="宋体" w:eastAsia="宋体" w:cs="宋体"/>
          <w:spacing w:val="-33"/>
          <w:sz w:val="24"/>
          <w:szCs w:val="24"/>
        </w:rPr>
        <w:t xml:space="preserve"> </w:t>
      </w:r>
      <w:r>
        <w:rPr>
          <w:rFonts w:ascii="宋体" w:hAnsi="宋体" w:eastAsia="宋体" w:cs="宋体"/>
          <w:spacing w:val="-1"/>
          <w:sz w:val="24"/>
          <w:szCs w:val="24"/>
        </w:rPr>
        <w:t>项目沿线涉及水生生物保护区和水产种质资源保护区的，工程施工应遵守</w:t>
      </w:r>
      <w:r>
        <w:rPr>
          <w:rFonts w:ascii="宋体" w:hAnsi="宋体" w:eastAsia="宋体" w:cs="宋体"/>
          <w:spacing w:val="-2"/>
          <w:sz w:val="24"/>
          <w:szCs w:val="24"/>
        </w:rPr>
        <w:t>《自然保护区条例》等有关环境保护的法律、法规，减轻工程施工对沿线鱼类索饵、产卵、栖息场所的影响，避开鱼类洄游产卵高峰期，加强对保护动物及其他珍稀鱼类的保</w:t>
      </w:r>
      <w:r>
        <w:rPr>
          <w:rFonts w:ascii="宋体" w:hAnsi="宋体" w:eastAsia="宋体" w:cs="宋体"/>
          <w:spacing w:val="-6"/>
          <w:sz w:val="24"/>
          <w:szCs w:val="24"/>
        </w:rPr>
        <w:t>护。</w:t>
      </w:r>
    </w:p>
    <w:p w14:paraId="1C5CCB6A">
      <w:pPr>
        <w:spacing w:before="1" w:line="359" w:lineRule="auto"/>
        <w:ind w:left="8" w:right="101" w:firstLine="480"/>
        <w:rPr>
          <w:rFonts w:ascii="宋体" w:hAnsi="宋体" w:eastAsia="宋体" w:cs="宋体"/>
          <w:sz w:val="24"/>
          <w:szCs w:val="24"/>
        </w:rPr>
      </w:pPr>
      <w:r>
        <w:rPr>
          <w:rFonts w:ascii="宋体" w:hAnsi="宋体" w:eastAsia="宋体" w:cs="宋体"/>
          <w:spacing w:val="-1"/>
          <w:sz w:val="24"/>
          <w:szCs w:val="24"/>
        </w:rPr>
        <w:t>9.4.6.2</w:t>
      </w:r>
      <w:r>
        <w:rPr>
          <w:rFonts w:ascii="宋体" w:hAnsi="宋体" w:eastAsia="宋体" w:cs="宋体"/>
          <w:spacing w:val="-33"/>
          <w:sz w:val="24"/>
          <w:szCs w:val="24"/>
        </w:rPr>
        <w:t xml:space="preserve"> </w:t>
      </w:r>
      <w:r>
        <w:rPr>
          <w:rFonts w:ascii="宋体" w:hAnsi="宋体" w:eastAsia="宋体" w:cs="宋体"/>
          <w:spacing w:val="-1"/>
          <w:sz w:val="24"/>
          <w:szCs w:val="24"/>
        </w:rPr>
        <w:t>依据《中华人民共和国环境保护法》《中华人民共和国固体废物污染环境</w:t>
      </w:r>
      <w:r>
        <w:rPr>
          <w:rFonts w:ascii="宋体" w:hAnsi="宋体" w:eastAsia="宋体" w:cs="宋体"/>
          <w:spacing w:val="-2"/>
          <w:sz w:val="24"/>
          <w:szCs w:val="24"/>
        </w:rPr>
        <w:t>防治法》和《广东省固体废物污染环境防治条例》等环境保护法律、法规的规定，承包人在生产过程中所产生的危险废物，不可随意排放、弃置或者转移。需委托有从事工业危险废物处理的专业机构，负责处理施工期间产生的危险废物。施工期船舶含油污水收集后必须送交有资质的单位处理，生活污水交污水处理厂处理，船舶垃圾、施工垃圾经收集后交环卫部门统一处理，禁止排入水域。同时，船舶含油污水、生活污水、船舶垃</w:t>
      </w:r>
      <w:r>
        <w:rPr>
          <w:rFonts w:ascii="宋体" w:hAnsi="宋体" w:eastAsia="宋体" w:cs="宋体"/>
          <w:spacing w:val="-6"/>
          <w:sz w:val="24"/>
          <w:szCs w:val="24"/>
        </w:rPr>
        <w:t>圾、施工垃圾处理措施应自觉接受发包人和监理的监督管理，并将相关资料报备发包人。</w:t>
      </w:r>
    </w:p>
    <w:p w14:paraId="54274B55">
      <w:pPr>
        <w:spacing w:before="3" w:line="358" w:lineRule="auto"/>
        <w:ind w:left="8" w:right="101" w:firstLine="480"/>
        <w:rPr>
          <w:rFonts w:ascii="宋体" w:hAnsi="宋体" w:eastAsia="宋体" w:cs="宋体"/>
          <w:sz w:val="24"/>
          <w:szCs w:val="24"/>
        </w:rPr>
      </w:pPr>
      <w:r>
        <w:rPr>
          <w:rFonts w:ascii="宋体" w:hAnsi="宋体" w:eastAsia="宋体" w:cs="宋体"/>
          <w:spacing w:val="-4"/>
          <w:sz w:val="24"/>
          <w:szCs w:val="24"/>
        </w:rPr>
        <w:t>9.4.6.3</w:t>
      </w:r>
      <w:r>
        <w:rPr>
          <w:rFonts w:ascii="宋体" w:hAnsi="宋体" w:eastAsia="宋体" w:cs="宋体"/>
          <w:spacing w:val="-50"/>
          <w:sz w:val="24"/>
          <w:szCs w:val="24"/>
        </w:rPr>
        <w:t xml:space="preserve"> </w:t>
      </w:r>
      <w:r>
        <w:rPr>
          <w:rFonts w:ascii="宋体" w:hAnsi="宋体" w:eastAsia="宋体" w:cs="宋体"/>
          <w:spacing w:val="-4"/>
          <w:sz w:val="24"/>
          <w:szCs w:val="24"/>
        </w:rPr>
        <w:t>承包人施工前，应与有资质的单位签订危废</w:t>
      </w:r>
      <w:r>
        <w:rPr>
          <w:rFonts w:ascii="宋体" w:hAnsi="宋体" w:eastAsia="宋体" w:cs="宋体"/>
          <w:spacing w:val="-5"/>
          <w:sz w:val="24"/>
          <w:szCs w:val="24"/>
        </w:rPr>
        <w:t>处理协议，按照要求合理配布、</w:t>
      </w:r>
      <w:r>
        <w:rPr>
          <w:rFonts w:ascii="宋体" w:hAnsi="宋体" w:eastAsia="宋体" w:cs="宋体"/>
          <w:spacing w:val="-2"/>
          <w:sz w:val="24"/>
          <w:szCs w:val="24"/>
        </w:rPr>
        <w:t>设置危废堆放点，及时转移、处理危废。相关资料在有关环保部门备案后，同时提交发</w:t>
      </w:r>
      <w:r>
        <w:rPr>
          <w:rFonts w:ascii="宋体" w:hAnsi="宋体" w:eastAsia="宋体" w:cs="宋体"/>
          <w:sz w:val="24"/>
          <w:szCs w:val="24"/>
        </w:rPr>
        <w:t>包方归档、备查。资料需满足项目竣工环保专项验收要求</w:t>
      </w:r>
      <w:r>
        <w:rPr>
          <w:rFonts w:ascii="宋体" w:hAnsi="宋体" w:eastAsia="宋体" w:cs="宋体"/>
          <w:spacing w:val="-1"/>
          <w:sz w:val="24"/>
          <w:szCs w:val="24"/>
        </w:rPr>
        <w:t>，并自行承担有关费用。</w:t>
      </w:r>
    </w:p>
    <w:p w14:paraId="69484AD0">
      <w:pPr>
        <w:spacing w:before="2" w:line="359" w:lineRule="auto"/>
        <w:ind w:left="8" w:right="187" w:firstLine="480"/>
        <w:rPr>
          <w:rFonts w:ascii="宋体" w:hAnsi="宋体" w:eastAsia="宋体" w:cs="宋体"/>
          <w:sz w:val="24"/>
          <w:szCs w:val="24"/>
        </w:rPr>
      </w:pPr>
      <w:r>
        <w:rPr>
          <w:rFonts w:ascii="宋体" w:hAnsi="宋体" w:eastAsia="宋体" w:cs="宋体"/>
          <w:spacing w:val="-1"/>
          <w:sz w:val="24"/>
          <w:szCs w:val="24"/>
        </w:rPr>
        <w:t>9.4.6.4</w:t>
      </w:r>
      <w:r>
        <w:rPr>
          <w:rFonts w:ascii="宋体" w:hAnsi="宋体" w:eastAsia="宋体" w:cs="宋体"/>
          <w:spacing w:val="-33"/>
          <w:sz w:val="24"/>
          <w:szCs w:val="24"/>
        </w:rPr>
        <w:t xml:space="preserve"> </w:t>
      </w:r>
      <w:r>
        <w:rPr>
          <w:rFonts w:ascii="宋体" w:hAnsi="宋体" w:eastAsia="宋体" w:cs="宋体"/>
          <w:spacing w:val="-1"/>
          <w:sz w:val="24"/>
          <w:szCs w:val="24"/>
        </w:rPr>
        <w:t>承包人须制定环境风险事故防范及应急预案，落实有效的事故防范和应急</w:t>
      </w:r>
      <w:r>
        <w:rPr>
          <w:rFonts w:ascii="宋体" w:hAnsi="宋体" w:eastAsia="宋体" w:cs="宋体"/>
          <w:spacing w:val="-2"/>
          <w:sz w:val="24"/>
          <w:szCs w:val="24"/>
        </w:rPr>
        <w:t>措施，加强演练，防止因船舶相撞、管道破损泥浆外泄及溢油事故等造成水环境污染，确保水环境安全。</w:t>
      </w:r>
    </w:p>
    <w:p w14:paraId="26C7268D">
      <w:pPr>
        <w:spacing w:before="1" w:line="359" w:lineRule="auto"/>
        <w:ind w:left="9" w:right="168" w:firstLine="480"/>
        <w:rPr>
          <w:rFonts w:ascii="宋体" w:hAnsi="宋体" w:eastAsia="宋体" w:cs="宋体"/>
          <w:sz w:val="24"/>
          <w:szCs w:val="24"/>
        </w:rPr>
      </w:pPr>
      <w:r>
        <w:rPr>
          <w:rFonts w:ascii="宋体" w:hAnsi="宋体" w:eastAsia="宋体" w:cs="宋体"/>
          <w:spacing w:val="-1"/>
          <w:sz w:val="24"/>
          <w:szCs w:val="24"/>
        </w:rPr>
        <w:t>9.4.7</w:t>
      </w:r>
      <w:r>
        <w:rPr>
          <w:rFonts w:ascii="宋体" w:hAnsi="宋体" w:eastAsia="宋体" w:cs="宋体"/>
          <w:spacing w:val="-27"/>
          <w:sz w:val="24"/>
          <w:szCs w:val="24"/>
        </w:rPr>
        <w:t xml:space="preserve"> </w:t>
      </w:r>
      <w:r>
        <w:rPr>
          <w:rFonts w:ascii="宋体" w:hAnsi="宋体" w:eastAsia="宋体" w:cs="宋体"/>
          <w:spacing w:val="-1"/>
          <w:sz w:val="24"/>
          <w:szCs w:val="24"/>
        </w:rPr>
        <w:t>施工船舶产生的含油污水委托有资质的单位接收后上岸送污水处理厂达标处</w:t>
      </w:r>
      <w:r>
        <w:rPr>
          <w:rFonts w:ascii="宋体" w:hAnsi="宋体" w:eastAsia="宋体" w:cs="宋体"/>
          <w:spacing w:val="-2"/>
          <w:sz w:val="24"/>
          <w:szCs w:val="24"/>
        </w:rPr>
        <w:t>理，严禁直接外排；施工船舶产生的污油属危险废物，不得擅自处置及排放，应交有资</w:t>
      </w:r>
      <w:r>
        <w:rPr>
          <w:rFonts w:ascii="宋体" w:hAnsi="宋体" w:eastAsia="宋体" w:cs="宋体"/>
          <w:spacing w:val="-1"/>
          <w:sz w:val="24"/>
          <w:szCs w:val="24"/>
        </w:rPr>
        <w:t>质的单位处理。上述费用承包人应在投标时在综合单价</w:t>
      </w:r>
      <w:r>
        <w:rPr>
          <w:rFonts w:ascii="宋体" w:hAnsi="宋体" w:eastAsia="宋体" w:cs="宋体"/>
          <w:spacing w:val="-2"/>
          <w:sz w:val="24"/>
          <w:szCs w:val="24"/>
        </w:rPr>
        <w:t>中考虑，发包人不再另行支付。如果发生上述擅自处理或偷排的现象，发包人将按照有关的规定进行严肃处理，有关的</w:t>
      </w:r>
      <w:r>
        <w:rPr>
          <w:rFonts w:ascii="宋体" w:hAnsi="宋体" w:eastAsia="宋体" w:cs="宋体"/>
          <w:spacing w:val="-1"/>
          <w:sz w:val="24"/>
          <w:szCs w:val="24"/>
        </w:rPr>
        <w:t>一切损失全部由承包人承担，同时发包人有权对承包人课以</w:t>
      </w:r>
      <w:r>
        <w:rPr>
          <w:rFonts w:ascii="宋体" w:hAnsi="宋体" w:eastAsia="宋体" w:cs="宋体"/>
          <w:spacing w:val="-1"/>
          <w:sz w:val="24"/>
          <w:szCs w:val="24"/>
          <w:u w:val="single" w:color="auto"/>
        </w:rPr>
        <w:t xml:space="preserve">    </w:t>
      </w:r>
      <w:r>
        <w:rPr>
          <w:rFonts w:ascii="宋体" w:hAnsi="宋体" w:eastAsia="宋体" w:cs="宋体"/>
          <w:spacing w:val="-92"/>
          <w:sz w:val="24"/>
          <w:szCs w:val="24"/>
        </w:rPr>
        <w:t xml:space="preserve"> </w:t>
      </w:r>
      <w:r>
        <w:rPr>
          <w:rFonts w:ascii="宋体" w:hAnsi="宋体" w:eastAsia="宋体" w:cs="宋体"/>
          <w:spacing w:val="-1"/>
          <w:sz w:val="24"/>
          <w:szCs w:val="24"/>
        </w:rPr>
        <w:t>元/次的违约金处罚。</w:t>
      </w:r>
    </w:p>
    <w:p w14:paraId="59C68DF4">
      <w:pPr>
        <w:spacing w:before="6" w:line="358" w:lineRule="auto"/>
        <w:ind w:left="7" w:firstLine="481"/>
        <w:rPr>
          <w:rFonts w:ascii="宋体" w:hAnsi="宋体" w:eastAsia="宋体" w:cs="宋体"/>
          <w:sz w:val="24"/>
          <w:szCs w:val="24"/>
        </w:rPr>
      </w:pPr>
      <w:r>
        <w:rPr>
          <w:rFonts w:ascii="宋体" w:hAnsi="宋体" w:eastAsia="宋体" w:cs="宋体"/>
          <w:spacing w:val="-1"/>
          <w:sz w:val="24"/>
          <w:szCs w:val="24"/>
        </w:rPr>
        <w:t>9.4.8</w:t>
      </w:r>
      <w:r>
        <w:rPr>
          <w:rFonts w:ascii="宋体" w:hAnsi="宋体" w:eastAsia="宋体" w:cs="宋体"/>
          <w:spacing w:val="-34"/>
          <w:sz w:val="24"/>
          <w:szCs w:val="24"/>
        </w:rPr>
        <w:t xml:space="preserve"> </w:t>
      </w:r>
      <w:r>
        <w:rPr>
          <w:rFonts w:ascii="宋体" w:hAnsi="宋体" w:eastAsia="宋体" w:cs="宋体"/>
          <w:spacing w:val="-1"/>
          <w:sz w:val="24"/>
          <w:szCs w:val="24"/>
        </w:rPr>
        <w:t>施工期船舶污水环保处理、固体废物环保处理、弃土区吹填后场地绿化以及</w:t>
      </w:r>
      <w:r>
        <w:rPr>
          <w:rFonts w:ascii="宋体" w:hAnsi="宋体" w:eastAsia="宋体" w:cs="宋体"/>
          <w:spacing w:val="-2"/>
          <w:sz w:val="24"/>
          <w:szCs w:val="24"/>
        </w:rPr>
        <w:t>施工过程采取其他环保措施应满足环保监测要求，如承包人采取的环保措施不能达到环</w:t>
      </w:r>
      <w:r>
        <w:rPr>
          <w:rFonts w:ascii="宋体" w:hAnsi="宋体" w:eastAsia="宋体" w:cs="宋体"/>
          <w:spacing w:val="-1"/>
          <w:sz w:val="24"/>
          <w:szCs w:val="24"/>
        </w:rPr>
        <w:t>保监测要求时或造成周边影响的，应按要求整改，所增加的费用（含环保部门的罚款）</w:t>
      </w:r>
      <w:r>
        <w:rPr>
          <w:rFonts w:ascii="宋体" w:hAnsi="宋体" w:eastAsia="宋体" w:cs="宋体"/>
          <w:spacing w:val="-3"/>
          <w:sz w:val="24"/>
          <w:szCs w:val="24"/>
        </w:rPr>
        <w:t>由承包人自行解决。拒不整改的或整改不到位的由发包人在工程计量款中扣除相</w:t>
      </w:r>
      <w:r>
        <w:rPr>
          <w:rFonts w:ascii="宋体" w:hAnsi="宋体" w:eastAsia="宋体" w:cs="宋体"/>
          <w:spacing w:val="-4"/>
          <w:sz w:val="24"/>
          <w:szCs w:val="24"/>
        </w:rPr>
        <w:t>应费用，</w:t>
      </w:r>
      <w:r>
        <w:rPr>
          <w:rFonts w:ascii="宋体" w:hAnsi="宋体" w:eastAsia="宋体" w:cs="宋体"/>
          <w:spacing w:val="-1"/>
          <w:sz w:val="24"/>
          <w:szCs w:val="24"/>
        </w:rPr>
        <w:t>并有权对承包人课以</w:t>
      </w:r>
      <w:r>
        <w:rPr>
          <w:rFonts w:ascii="宋体" w:hAnsi="宋体" w:eastAsia="宋体" w:cs="宋体"/>
          <w:spacing w:val="-1"/>
          <w:sz w:val="24"/>
          <w:szCs w:val="24"/>
          <w:u w:val="single" w:color="auto"/>
        </w:rPr>
        <w:t xml:space="preserve">    </w:t>
      </w:r>
      <w:r>
        <w:rPr>
          <w:rFonts w:ascii="宋体" w:hAnsi="宋体" w:eastAsia="宋体" w:cs="宋体"/>
          <w:spacing w:val="-95"/>
          <w:sz w:val="24"/>
          <w:szCs w:val="24"/>
        </w:rPr>
        <w:t xml:space="preserve"> </w:t>
      </w:r>
      <w:r>
        <w:rPr>
          <w:rFonts w:ascii="宋体" w:hAnsi="宋体" w:eastAsia="宋体" w:cs="宋体"/>
          <w:spacing w:val="-1"/>
          <w:sz w:val="24"/>
          <w:szCs w:val="24"/>
        </w:rPr>
        <w:t>元/次的违约金处罚，必要时发包人可解除合同。</w:t>
      </w:r>
    </w:p>
    <w:p w14:paraId="44065BAA">
      <w:pPr>
        <w:spacing w:before="1" w:line="217" w:lineRule="auto"/>
        <w:ind w:left="489"/>
        <w:rPr>
          <w:rFonts w:ascii="宋体" w:hAnsi="宋体" w:eastAsia="宋体" w:cs="宋体"/>
          <w:b/>
          <w:bCs/>
          <w:spacing w:val="-3"/>
          <w:sz w:val="24"/>
          <w:szCs w:val="24"/>
        </w:rPr>
      </w:pPr>
    </w:p>
    <w:p w14:paraId="26F239CD">
      <w:pPr>
        <w:spacing w:before="1" w:line="217" w:lineRule="auto"/>
        <w:ind w:left="489"/>
        <w:rPr>
          <w:rFonts w:ascii="宋体" w:hAnsi="宋体" w:eastAsia="宋体" w:cs="宋体"/>
          <w:b/>
          <w:bCs/>
          <w:spacing w:val="-3"/>
          <w:sz w:val="24"/>
          <w:szCs w:val="24"/>
        </w:rPr>
      </w:pPr>
    </w:p>
    <w:p w14:paraId="34E32508">
      <w:pPr>
        <w:spacing w:before="312" w:line="219" w:lineRule="auto"/>
        <w:ind w:left="499"/>
        <w:rPr>
          <w:rFonts w:ascii="宋体" w:hAnsi="宋体" w:eastAsia="宋体" w:cs="宋体"/>
          <w:b/>
          <w:bCs/>
          <w:spacing w:val="-3"/>
          <w:sz w:val="24"/>
          <w:szCs w:val="24"/>
        </w:rPr>
      </w:pPr>
      <w:r>
        <w:rPr>
          <w:rFonts w:ascii="宋体" w:hAnsi="宋体" w:eastAsia="宋体" w:cs="宋体"/>
          <w:b/>
          <w:bCs/>
          <w:spacing w:val="-3"/>
          <w:sz w:val="24"/>
          <w:szCs w:val="24"/>
        </w:rPr>
        <w:t>9.5</w:t>
      </w:r>
      <w:r>
        <w:rPr>
          <w:rFonts w:ascii="宋体" w:hAnsi="宋体" w:eastAsia="宋体" w:cs="宋体"/>
          <w:spacing w:val="-43"/>
          <w:sz w:val="24"/>
          <w:szCs w:val="24"/>
        </w:rPr>
        <w:t xml:space="preserve"> </w:t>
      </w:r>
      <w:r>
        <w:rPr>
          <w:rFonts w:ascii="宋体" w:hAnsi="宋体" w:eastAsia="宋体" w:cs="宋体"/>
          <w:b/>
          <w:bCs/>
          <w:spacing w:val="-3"/>
          <w:sz w:val="24"/>
          <w:szCs w:val="24"/>
        </w:rPr>
        <w:t>统一维权信息告示牌设立主体和设立内容</w:t>
      </w:r>
    </w:p>
    <w:p w14:paraId="17F95683">
      <w:pPr>
        <w:spacing w:before="312" w:line="219" w:lineRule="auto"/>
        <w:ind w:left="499"/>
        <w:rPr>
          <w:rFonts w:ascii="宋体" w:hAnsi="宋体" w:eastAsia="宋体" w:cs="宋体"/>
          <w:sz w:val="24"/>
          <w:szCs w:val="24"/>
        </w:rPr>
      </w:pPr>
      <w:r>
        <w:rPr>
          <w:rFonts w:ascii="宋体" w:hAnsi="宋体" w:eastAsia="宋体" w:cs="宋体"/>
          <w:spacing w:val="-2"/>
          <w:sz w:val="24"/>
          <w:szCs w:val="24"/>
        </w:rPr>
        <w:t>（一）设立主体：施工总承包单位。</w:t>
      </w:r>
    </w:p>
    <w:p w14:paraId="27A799CF">
      <w:pPr>
        <w:spacing w:before="180" w:line="359" w:lineRule="auto"/>
        <w:ind w:left="7" w:right="61" w:firstLine="492"/>
        <w:rPr>
          <w:rFonts w:ascii="宋体" w:hAnsi="宋体" w:eastAsia="宋体" w:cs="宋体"/>
          <w:sz w:val="24"/>
          <w:szCs w:val="24"/>
        </w:rPr>
      </w:pPr>
      <w:r>
        <w:rPr>
          <w:rFonts w:ascii="宋体" w:hAnsi="宋体" w:eastAsia="宋体" w:cs="宋体"/>
          <w:spacing w:val="-2"/>
          <w:sz w:val="24"/>
          <w:szCs w:val="24"/>
        </w:rPr>
        <w:t>（二）设立内容：1.建设单位、施工总承包单位及所在项目部、分包单位、相关行业工程建设主管部门、劳资专管员等基本信息；2.当地最低工资标准、工资支付日期等基本信息；3.相关行业工程建设主管部门和劳动保障监察投诉举报电话、劳动争议调解</w:t>
      </w:r>
      <w:r>
        <w:rPr>
          <w:rFonts w:ascii="宋体" w:hAnsi="宋体" w:eastAsia="宋体" w:cs="宋体"/>
          <w:spacing w:val="-1"/>
          <w:sz w:val="24"/>
          <w:szCs w:val="24"/>
        </w:rPr>
        <w:t>仲裁申请渠道、法律援助申请渠道、公共法律服务热线等信息。</w:t>
      </w:r>
    </w:p>
    <w:p w14:paraId="0DB4ABCC">
      <w:pPr>
        <w:spacing w:line="220" w:lineRule="auto"/>
        <w:ind w:left="26"/>
        <w:rPr>
          <w:rFonts w:ascii="宋体" w:hAnsi="宋体" w:eastAsia="宋体" w:cs="宋体"/>
          <w:sz w:val="24"/>
          <w:szCs w:val="24"/>
        </w:rPr>
      </w:pPr>
      <w:r>
        <w:rPr>
          <w:rFonts w:ascii="宋体" w:hAnsi="宋体" w:eastAsia="宋体" w:cs="宋体"/>
          <w:b/>
          <w:bCs/>
          <w:spacing w:val="-6"/>
          <w:sz w:val="24"/>
          <w:szCs w:val="24"/>
        </w:rPr>
        <w:t>10．进度计划</w:t>
      </w:r>
    </w:p>
    <w:p w14:paraId="3D5F74EF">
      <w:pPr>
        <w:spacing w:before="182" w:line="220" w:lineRule="auto"/>
        <w:ind w:left="506"/>
        <w:rPr>
          <w:rFonts w:ascii="宋体" w:hAnsi="宋体" w:eastAsia="宋体" w:cs="宋体"/>
          <w:sz w:val="24"/>
          <w:szCs w:val="24"/>
        </w:rPr>
      </w:pPr>
      <w:r>
        <w:rPr>
          <w:rFonts w:ascii="宋体" w:hAnsi="宋体" w:eastAsia="宋体" w:cs="宋体"/>
          <w:b/>
          <w:bCs/>
          <w:spacing w:val="-4"/>
          <w:sz w:val="24"/>
          <w:szCs w:val="24"/>
        </w:rPr>
        <w:t>10.1</w:t>
      </w:r>
      <w:r>
        <w:rPr>
          <w:rFonts w:ascii="宋体" w:hAnsi="宋体" w:eastAsia="宋体" w:cs="宋体"/>
          <w:spacing w:val="-4"/>
          <w:sz w:val="24"/>
          <w:szCs w:val="24"/>
        </w:rPr>
        <w:t xml:space="preserve"> </w:t>
      </w:r>
      <w:r>
        <w:rPr>
          <w:rFonts w:ascii="宋体" w:hAnsi="宋体" w:eastAsia="宋体" w:cs="宋体"/>
          <w:b/>
          <w:bCs/>
          <w:spacing w:val="-4"/>
          <w:sz w:val="24"/>
          <w:szCs w:val="24"/>
        </w:rPr>
        <w:t>合同进度计划</w:t>
      </w:r>
    </w:p>
    <w:p w14:paraId="2F3C01BD">
      <w:pPr>
        <w:spacing w:before="179" w:line="359" w:lineRule="auto"/>
        <w:ind w:left="7" w:firstLine="481"/>
        <w:jc w:val="both"/>
        <w:rPr>
          <w:rFonts w:ascii="宋体" w:hAnsi="宋体" w:eastAsia="宋体" w:cs="宋体"/>
          <w:sz w:val="24"/>
          <w:szCs w:val="24"/>
        </w:rPr>
      </w:pPr>
      <w:r>
        <w:rPr>
          <w:rFonts w:ascii="宋体" w:hAnsi="宋体" w:eastAsia="宋体" w:cs="宋体"/>
          <w:spacing w:val="-2"/>
          <w:sz w:val="24"/>
          <w:szCs w:val="24"/>
        </w:rPr>
        <w:t>合同进度计划的内容：满足施工需要的详细的施工组织设计，其中包括总体进度计</w:t>
      </w:r>
      <w:r>
        <w:rPr>
          <w:rFonts w:ascii="宋体" w:hAnsi="宋体" w:eastAsia="宋体" w:cs="宋体"/>
          <w:spacing w:val="-6"/>
          <w:sz w:val="24"/>
          <w:szCs w:val="24"/>
        </w:rPr>
        <w:t>划及节点进度计划等及为实施此计划将采取的措施，在施工过程须如实执</w:t>
      </w:r>
      <w:r>
        <w:rPr>
          <w:rFonts w:ascii="宋体" w:hAnsi="宋体" w:eastAsia="宋体" w:cs="宋体"/>
          <w:spacing w:val="-7"/>
          <w:sz w:val="24"/>
          <w:szCs w:val="24"/>
        </w:rPr>
        <w:t>行，若有改变，</w:t>
      </w:r>
      <w:r>
        <w:rPr>
          <w:rFonts w:ascii="宋体" w:hAnsi="宋体" w:eastAsia="宋体" w:cs="宋体"/>
          <w:spacing w:val="-2"/>
          <w:sz w:val="24"/>
          <w:szCs w:val="24"/>
        </w:rPr>
        <w:t>须取得发包人同意，否则将视为承包人违约，发包人保留取消或中止本合同的权力，造</w:t>
      </w:r>
      <w:r>
        <w:rPr>
          <w:rFonts w:ascii="宋体" w:hAnsi="宋体" w:eastAsia="宋体" w:cs="宋体"/>
          <w:spacing w:val="-1"/>
          <w:sz w:val="24"/>
          <w:szCs w:val="24"/>
        </w:rPr>
        <w:t>成的损失由承包人承担。</w:t>
      </w:r>
    </w:p>
    <w:p w14:paraId="7A7F2984">
      <w:pPr>
        <w:spacing w:before="3" w:line="359" w:lineRule="auto"/>
        <w:ind w:left="12" w:right="61" w:firstLine="476"/>
        <w:jc w:val="both"/>
        <w:rPr>
          <w:rFonts w:ascii="宋体" w:hAnsi="宋体" w:eastAsia="宋体" w:cs="宋体"/>
          <w:sz w:val="24"/>
          <w:szCs w:val="24"/>
        </w:rPr>
      </w:pPr>
      <w:r>
        <w:rPr>
          <w:rFonts w:ascii="宋体" w:hAnsi="宋体" w:eastAsia="宋体" w:cs="宋体"/>
          <w:spacing w:val="-1"/>
          <w:sz w:val="24"/>
          <w:szCs w:val="24"/>
        </w:rPr>
        <w:t>承包人报送合同进度计划的期限：计划开工日期</w:t>
      </w:r>
      <w:r>
        <w:rPr>
          <w:rFonts w:ascii="宋体" w:hAnsi="宋体" w:eastAsia="宋体" w:cs="宋体"/>
          <w:spacing w:val="-1"/>
          <w:sz w:val="24"/>
          <w:szCs w:val="24"/>
          <w:u w:val="single" w:color="auto"/>
        </w:rPr>
        <w:t xml:space="preserve">  7  </w:t>
      </w:r>
      <w:r>
        <w:rPr>
          <w:rFonts w:ascii="宋体" w:hAnsi="宋体" w:eastAsia="宋体" w:cs="宋体"/>
          <w:spacing w:val="-93"/>
          <w:sz w:val="24"/>
          <w:szCs w:val="24"/>
        </w:rPr>
        <w:t xml:space="preserve"> </w:t>
      </w:r>
      <w:r>
        <w:rPr>
          <w:rFonts w:ascii="宋体" w:hAnsi="宋体" w:eastAsia="宋体" w:cs="宋体"/>
          <w:spacing w:val="-1"/>
          <w:sz w:val="24"/>
          <w:szCs w:val="24"/>
        </w:rPr>
        <w:t>天前报送总体进度计划及节</w:t>
      </w:r>
      <w:r>
        <w:rPr>
          <w:rFonts w:ascii="宋体" w:hAnsi="宋体" w:eastAsia="宋体" w:cs="宋体"/>
          <w:spacing w:val="-5"/>
          <w:sz w:val="24"/>
          <w:szCs w:val="24"/>
        </w:rPr>
        <w:t>点进度计划</w:t>
      </w:r>
      <w:r>
        <w:rPr>
          <w:rFonts w:ascii="宋体" w:hAnsi="宋体" w:eastAsia="宋体" w:cs="宋体"/>
          <w:spacing w:val="-5"/>
          <w:sz w:val="24"/>
          <w:szCs w:val="24"/>
          <w:u w:val="single" w:color="auto"/>
        </w:rPr>
        <w:t>一式</w:t>
      </w:r>
      <w:r>
        <w:rPr>
          <w:rFonts w:ascii="宋体" w:hAnsi="宋体" w:eastAsia="宋体" w:cs="宋体"/>
          <w:spacing w:val="27"/>
          <w:sz w:val="24"/>
          <w:szCs w:val="24"/>
          <w:u w:val="single" w:color="auto"/>
        </w:rPr>
        <w:t xml:space="preserve">   </w:t>
      </w:r>
      <w:r>
        <w:rPr>
          <w:rFonts w:ascii="宋体" w:hAnsi="宋体" w:eastAsia="宋体" w:cs="宋体"/>
          <w:spacing w:val="-5"/>
          <w:sz w:val="24"/>
          <w:szCs w:val="24"/>
          <w:u w:val="single" w:color="auto"/>
        </w:rPr>
        <w:t>份</w:t>
      </w:r>
      <w:r>
        <w:rPr>
          <w:rFonts w:ascii="宋体" w:hAnsi="宋体" w:eastAsia="宋体" w:cs="宋体"/>
          <w:spacing w:val="-5"/>
          <w:sz w:val="24"/>
          <w:szCs w:val="24"/>
        </w:rPr>
        <w:t>；每月</w:t>
      </w:r>
      <w:r>
        <w:rPr>
          <w:rFonts w:ascii="宋体" w:hAnsi="宋体" w:eastAsia="宋体" w:cs="宋体"/>
          <w:spacing w:val="-46"/>
          <w:sz w:val="24"/>
          <w:szCs w:val="24"/>
        </w:rPr>
        <w:t xml:space="preserve"> </w:t>
      </w:r>
      <w:r>
        <w:rPr>
          <w:rFonts w:ascii="宋体" w:hAnsi="宋体" w:eastAsia="宋体" w:cs="宋体"/>
          <w:spacing w:val="-5"/>
          <w:sz w:val="24"/>
          <w:szCs w:val="24"/>
          <w:u w:val="single" w:color="auto"/>
        </w:rPr>
        <w:t>28</w:t>
      </w:r>
      <w:r>
        <w:rPr>
          <w:rFonts w:ascii="宋体" w:hAnsi="宋体" w:eastAsia="宋体" w:cs="宋体"/>
          <w:spacing w:val="-61"/>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5"/>
          <w:sz w:val="24"/>
          <w:szCs w:val="24"/>
        </w:rPr>
        <w:t>日前报送下月进度计划</w:t>
      </w:r>
      <w:r>
        <w:rPr>
          <w:rFonts w:ascii="宋体" w:hAnsi="宋体" w:eastAsia="宋体" w:cs="宋体"/>
          <w:spacing w:val="-5"/>
          <w:sz w:val="24"/>
          <w:szCs w:val="24"/>
          <w:u w:val="single" w:color="auto"/>
        </w:rPr>
        <w:t>一式</w:t>
      </w:r>
      <w:r>
        <w:rPr>
          <w:rFonts w:ascii="宋体" w:hAnsi="宋体" w:eastAsia="宋体" w:cs="宋体"/>
          <w:spacing w:val="24"/>
          <w:sz w:val="24"/>
          <w:szCs w:val="24"/>
          <w:u w:val="single" w:color="auto"/>
        </w:rPr>
        <w:t xml:space="preserve">   </w:t>
      </w:r>
      <w:r>
        <w:rPr>
          <w:rFonts w:ascii="宋体" w:hAnsi="宋体" w:eastAsia="宋体" w:cs="宋体"/>
          <w:spacing w:val="-5"/>
          <w:sz w:val="24"/>
          <w:szCs w:val="24"/>
          <w:u w:val="single" w:color="auto"/>
        </w:rPr>
        <w:t>份</w:t>
      </w:r>
      <w:r>
        <w:rPr>
          <w:rFonts w:ascii="宋体" w:hAnsi="宋体" w:eastAsia="宋体" w:cs="宋体"/>
          <w:spacing w:val="-5"/>
          <w:sz w:val="24"/>
          <w:szCs w:val="24"/>
        </w:rPr>
        <w:t>；每季度末</w:t>
      </w:r>
      <w:r>
        <w:rPr>
          <w:rFonts w:ascii="宋体" w:hAnsi="宋体" w:eastAsia="宋体" w:cs="宋体"/>
          <w:spacing w:val="91"/>
          <w:sz w:val="24"/>
          <w:szCs w:val="24"/>
        </w:rPr>
        <w:t xml:space="preserve"> </w:t>
      </w:r>
      <w:r>
        <w:rPr>
          <w:rFonts w:ascii="宋体" w:hAnsi="宋体" w:eastAsia="宋体" w:cs="宋体"/>
          <w:spacing w:val="-107"/>
          <w:sz w:val="24"/>
          <w:szCs w:val="24"/>
          <w:u w:val="single" w:color="auto"/>
        </w:rPr>
        <w:t xml:space="preserve"> </w:t>
      </w:r>
      <w:r>
        <w:rPr>
          <w:rFonts w:ascii="宋体" w:hAnsi="宋体" w:eastAsia="宋体" w:cs="宋体"/>
          <w:spacing w:val="-5"/>
          <w:sz w:val="24"/>
          <w:szCs w:val="24"/>
          <w:u w:val="single" w:color="auto"/>
        </w:rPr>
        <w:t>25</w:t>
      </w:r>
      <w:r>
        <w:rPr>
          <w:rFonts w:ascii="宋体" w:hAnsi="宋体" w:eastAsia="宋体" w:cs="宋体"/>
          <w:spacing w:val="91"/>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5"/>
          <w:sz w:val="24"/>
          <w:szCs w:val="24"/>
        </w:rPr>
        <w:t>日</w:t>
      </w:r>
      <w:r>
        <w:rPr>
          <w:rFonts w:ascii="宋体" w:hAnsi="宋体" w:eastAsia="宋体" w:cs="宋体"/>
          <w:spacing w:val="-1"/>
          <w:sz w:val="24"/>
          <w:szCs w:val="24"/>
        </w:rPr>
        <w:t>前报送下季度进度计划</w:t>
      </w:r>
      <w:r>
        <w:rPr>
          <w:rFonts w:ascii="宋体" w:hAnsi="宋体" w:eastAsia="宋体" w:cs="宋体"/>
          <w:spacing w:val="-1"/>
          <w:sz w:val="24"/>
          <w:szCs w:val="24"/>
          <w:u w:val="single" w:color="auto"/>
        </w:rPr>
        <w:t>一式    份</w:t>
      </w:r>
      <w:r>
        <w:rPr>
          <w:rFonts w:ascii="宋体" w:hAnsi="宋体" w:eastAsia="宋体" w:cs="宋体"/>
          <w:spacing w:val="-1"/>
          <w:sz w:val="24"/>
          <w:szCs w:val="24"/>
        </w:rPr>
        <w:t>；每年</w:t>
      </w:r>
      <w:r>
        <w:rPr>
          <w:rFonts w:ascii="宋体" w:hAnsi="宋体" w:eastAsia="宋体" w:cs="宋体"/>
          <w:spacing w:val="-33"/>
          <w:sz w:val="24"/>
          <w:szCs w:val="24"/>
        </w:rPr>
        <w:t xml:space="preserve"> </w:t>
      </w:r>
      <w:r>
        <w:rPr>
          <w:rFonts w:ascii="宋体" w:hAnsi="宋体" w:eastAsia="宋体" w:cs="宋体"/>
          <w:spacing w:val="-1"/>
          <w:sz w:val="24"/>
          <w:szCs w:val="24"/>
        </w:rPr>
        <w:t>12</w:t>
      </w:r>
      <w:r>
        <w:rPr>
          <w:rFonts w:ascii="宋体" w:hAnsi="宋体" w:eastAsia="宋体" w:cs="宋体"/>
          <w:spacing w:val="-45"/>
          <w:sz w:val="24"/>
          <w:szCs w:val="24"/>
        </w:rPr>
        <w:t xml:space="preserve"> </w:t>
      </w:r>
      <w:r>
        <w:rPr>
          <w:rFonts w:ascii="宋体" w:hAnsi="宋体" w:eastAsia="宋体" w:cs="宋体"/>
          <w:spacing w:val="-1"/>
          <w:sz w:val="24"/>
          <w:szCs w:val="24"/>
        </w:rPr>
        <w:t>月</w:t>
      </w:r>
      <w:r>
        <w:rPr>
          <w:rFonts w:ascii="宋体" w:hAnsi="宋体" w:eastAsia="宋体" w:cs="宋体"/>
          <w:spacing w:val="-2"/>
          <w:sz w:val="24"/>
          <w:szCs w:val="24"/>
        </w:rPr>
        <w:t>底前报送次年进度计划（如果需要）</w:t>
      </w:r>
      <w:r>
        <w:rPr>
          <w:rFonts w:ascii="宋体" w:hAnsi="宋体" w:eastAsia="宋体" w:cs="宋体"/>
          <w:spacing w:val="-2"/>
          <w:sz w:val="24"/>
          <w:szCs w:val="24"/>
          <w:u w:val="single" w:color="auto"/>
        </w:rPr>
        <w:t>一</w:t>
      </w:r>
      <w:r>
        <w:rPr>
          <w:rFonts w:ascii="宋体" w:hAnsi="宋体" w:eastAsia="宋体" w:cs="宋体"/>
          <w:spacing w:val="-8"/>
          <w:sz w:val="24"/>
          <w:szCs w:val="24"/>
          <w:u w:val="single" w:color="auto"/>
        </w:rPr>
        <w:t>式</w:t>
      </w:r>
      <w:r>
        <w:rPr>
          <w:rFonts w:ascii="宋体" w:hAnsi="宋体" w:eastAsia="宋体" w:cs="宋体"/>
          <w:spacing w:val="2"/>
          <w:sz w:val="24"/>
          <w:szCs w:val="24"/>
          <w:u w:val="single" w:color="auto"/>
        </w:rPr>
        <w:t xml:space="preserve">    </w:t>
      </w:r>
      <w:r>
        <w:rPr>
          <w:rFonts w:ascii="宋体" w:hAnsi="宋体" w:eastAsia="宋体" w:cs="宋体"/>
          <w:spacing w:val="-8"/>
          <w:sz w:val="24"/>
          <w:szCs w:val="24"/>
          <w:u w:val="single" w:color="auto"/>
        </w:rPr>
        <w:t>份</w:t>
      </w:r>
      <w:r>
        <w:rPr>
          <w:rFonts w:ascii="宋体" w:hAnsi="宋体" w:eastAsia="宋体" w:cs="宋体"/>
          <w:spacing w:val="-8"/>
          <w:sz w:val="24"/>
          <w:szCs w:val="24"/>
        </w:rPr>
        <w:t>。</w:t>
      </w:r>
    </w:p>
    <w:p w14:paraId="49A1406F">
      <w:pPr>
        <w:spacing w:line="358" w:lineRule="auto"/>
        <w:ind w:left="14" w:right="61" w:firstLine="475"/>
        <w:rPr>
          <w:rFonts w:ascii="宋体" w:hAnsi="宋体" w:eastAsia="宋体" w:cs="宋体"/>
          <w:sz w:val="24"/>
          <w:szCs w:val="24"/>
        </w:rPr>
      </w:pPr>
      <w:r>
        <w:rPr>
          <w:rFonts w:ascii="宋体" w:hAnsi="宋体" w:eastAsia="宋体" w:cs="宋体"/>
          <w:spacing w:val="-2"/>
          <w:sz w:val="24"/>
          <w:szCs w:val="24"/>
        </w:rPr>
        <w:t>监理人对合同进度计划的批复或提出修改意见的期限：监理人收到合同进度计划后</w:t>
      </w:r>
      <w:r>
        <w:rPr>
          <w:rFonts w:ascii="宋体" w:hAnsi="宋体" w:eastAsia="宋体" w:cs="宋体"/>
          <w:spacing w:val="-2"/>
          <w:sz w:val="24"/>
          <w:szCs w:val="24"/>
          <w:u w:val="single" w:color="auto"/>
        </w:rPr>
        <w:t xml:space="preserve">7  </w:t>
      </w:r>
      <w:r>
        <w:rPr>
          <w:rFonts w:ascii="宋体" w:hAnsi="宋体" w:eastAsia="宋体" w:cs="宋体"/>
          <w:spacing w:val="-105"/>
          <w:sz w:val="24"/>
          <w:szCs w:val="24"/>
        </w:rPr>
        <w:t xml:space="preserve"> </w:t>
      </w:r>
      <w:r>
        <w:rPr>
          <w:rFonts w:ascii="宋体" w:hAnsi="宋体" w:eastAsia="宋体" w:cs="宋体"/>
          <w:spacing w:val="-2"/>
          <w:sz w:val="24"/>
          <w:szCs w:val="24"/>
        </w:rPr>
        <w:t>天内,否则视为已得到批准。</w:t>
      </w:r>
    </w:p>
    <w:p w14:paraId="6CD9B71A">
      <w:pPr>
        <w:spacing w:before="1" w:line="219" w:lineRule="auto"/>
        <w:ind w:left="506"/>
        <w:rPr>
          <w:rFonts w:ascii="宋体" w:hAnsi="宋体" w:eastAsia="宋体" w:cs="宋体"/>
          <w:sz w:val="24"/>
          <w:szCs w:val="24"/>
        </w:rPr>
      </w:pPr>
      <w:r>
        <w:rPr>
          <w:rFonts w:ascii="宋体" w:hAnsi="宋体" w:eastAsia="宋体" w:cs="宋体"/>
          <w:b/>
          <w:bCs/>
          <w:spacing w:val="-4"/>
          <w:sz w:val="24"/>
          <w:szCs w:val="24"/>
        </w:rPr>
        <w:t>10.2</w:t>
      </w:r>
      <w:r>
        <w:rPr>
          <w:rFonts w:ascii="宋体" w:hAnsi="宋体" w:eastAsia="宋体" w:cs="宋体"/>
          <w:spacing w:val="-4"/>
          <w:sz w:val="24"/>
          <w:szCs w:val="24"/>
        </w:rPr>
        <w:t xml:space="preserve"> </w:t>
      </w:r>
      <w:r>
        <w:rPr>
          <w:rFonts w:ascii="宋体" w:hAnsi="宋体" w:eastAsia="宋体" w:cs="宋体"/>
          <w:b/>
          <w:bCs/>
          <w:spacing w:val="-4"/>
          <w:sz w:val="24"/>
          <w:szCs w:val="24"/>
        </w:rPr>
        <w:t>合同进度计划的修订</w:t>
      </w:r>
    </w:p>
    <w:p w14:paraId="2CDDE730">
      <w:pPr>
        <w:spacing w:before="183" w:line="359" w:lineRule="auto"/>
        <w:ind w:left="8" w:right="61" w:firstLine="497"/>
        <w:rPr>
          <w:rFonts w:ascii="宋体" w:hAnsi="宋体" w:eastAsia="宋体" w:cs="宋体"/>
          <w:sz w:val="24"/>
          <w:szCs w:val="24"/>
        </w:rPr>
      </w:pPr>
      <w:r>
        <w:rPr>
          <w:rFonts w:ascii="宋体" w:hAnsi="宋体" w:eastAsia="宋体" w:cs="宋体"/>
          <w:sz w:val="24"/>
          <w:szCs w:val="24"/>
        </w:rPr>
        <w:t>10.2.1</w:t>
      </w:r>
      <w:r>
        <w:rPr>
          <w:rFonts w:ascii="宋体" w:hAnsi="宋体" w:eastAsia="宋体" w:cs="宋体"/>
          <w:spacing w:val="-37"/>
          <w:sz w:val="24"/>
          <w:szCs w:val="24"/>
        </w:rPr>
        <w:t xml:space="preserve"> </w:t>
      </w:r>
      <w:r>
        <w:rPr>
          <w:rFonts w:ascii="宋体" w:hAnsi="宋体" w:eastAsia="宋体" w:cs="宋体"/>
          <w:sz w:val="24"/>
          <w:szCs w:val="24"/>
        </w:rPr>
        <w:t>承包人应在</w:t>
      </w:r>
      <w:r>
        <w:rPr>
          <w:rFonts w:ascii="宋体" w:hAnsi="宋体" w:eastAsia="宋体" w:cs="宋体"/>
          <w:sz w:val="24"/>
          <w:szCs w:val="24"/>
          <w:u w:val="single" w:color="auto"/>
        </w:rPr>
        <w:t>48</w:t>
      </w:r>
      <w:r>
        <w:rPr>
          <w:rFonts w:ascii="宋体" w:hAnsi="宋体" w:eastAsia="宋体" w:cs="宋体"/>
          <w:spacing w:val="-44"/>
          <w:sz w:val="24"/>
          <w:szCs w:val="24"/>
          <w:u w:val="single" w:color="auto"/>
        </w:rPr>
        <w:t xml:space="preserve"> </w:t>
      </w:r>
      <w:r>
        <w:rPr>
          <w:rFonts w:ascii="宋体" w:hAnsi="宋体" w:eastAsia="宋体" w:cs="宋体"/>
          <w:sz w:val="24"/>
          <w:szCs w:val="24"/>
          <w:u w:val="single" w:color="auto"/>
        </w:rPr>
        <w:t>小时前</w:t>
      </w:r>
      <w:r>
        <w:rPr>
          <w:rFonts w:ascii="宋体" w:hAnsi="宋体" w:eastAsia="宋体" w:cs="宋体"/>
          <w:sz w:val="24"/>
          <w:szCs w:val="24"/>
        </w:rPr>
        <w:t>向监理人提交修订合同进度计划的申请报告；监理人</w:t>
      </w:r>
      <w:r>
        <w:rPr>
          <w:rFonts w:ascii="宋体" w:hAnsi="宋体" w:eastAsia="宋体" w:cs="宋体"/>
          <w:spacing w:val="1"/>
          <w:sz w:val="24"/>
          <w:szCs w:val="24"/>
        </w:rPr>
        <w:t>应在</w:t>
      </w:r>
      <w:r>
        <w:rPr>
          <w:rFonts w:ascii="宋体" w:hAnsi="宋体" w:eastAsia="宋体" w:cs="宋体"/>
          <w:spacing w:val="1"/>
          <w:sz w:val="24"/>
          <w:szCs w:val="24"/>
          <w:u w:val="single" w:color="auto"/>
        </w:rPr>
        <w:t>48</w:t>
      </w:r>
      <w:r>
        <w:rPr>
          <w:rFonts w:ascii="宋体" w:hAnsi="宋体" w:eastAsia="宋体" w:cs="宋体"/>
          <w:spacing w:val="-42"/>
          <w:sz w:val="24"/>
          <w:szCs w:val="24"/>
          <w:u w:val="single" w:color="auto"/>
        </w:rPr>
        <w:t xml:space="preserve"> </w:t>
      </w:r>
      <w:r>
        <w:rPr>
          <w:rFonts w:ascii="宋体" w:hAnsi="宋体" w:eastAsia="宋体" w:cs="宋体"/>
          <w:spacing w:val="1"/>
          <w:sz w:val="24"/>
          <w:szCs w:val="24"/>
          <w:u w:val="single" w:color="auto"/>
        </w:rPr>
        <w:t>小时内</w:t>
      </w:r>
      <w:r>
        <w:rPr>
          <w:rFonts w:ascii="宋体" w:hAnsi="宋体" w:eastAsia="宋体" w:cs="宋体"/>
          <w:spacing w:val="1"/>
          <w:sz w:val="24"/>
          <w:szCs w:val="24"/>
        </w:rPr>
        <w:t>对承包人提交的申请报告批复，否则视为已得到批准。</w:t>
      </w:r>
    </w:p>
    <w:p w14:paraId="04FBEBB3">
      <w:pPr>
        <w:spacing w:line="359" w:lineRule="auto"/>
        <w:ind w:left="12" w:right="61" w:firstLine="493"/>
        <w:rPr>
          <w:rFonts w:ascii="宋体" w:hAnsi="宋体" w:eastAsia="宋体" w:cs="宋体"/>
          <w:sz w:val="24"/>
          <w:szCs w:val="24"/>
        </w:rPr>
      </w:pPr>
      <w:r>
        <w:rPr>
          <w:rFonts w:ascii="宋体" w:hAnsi="宋体" w:eastAsia="宋体" w:cs="宋体"/>
          <w:sz w:val="24"/>
          <w:szCs w:val="24"/>
        </w:rPr>
        <w:t>10.2.2</w:t>
      </w:r>
      <w:r>
        <w:rPr>
          <w:rFonts w:ascii="宋体" w:hAnsi="宋体" w:eastAsia="宋体" w:cs="宋体"/>
          <w:spacing w:val="-37"/>
          <w:sz w:val="24"/>
          <w:szCs w:val="24"/>
        </w:rPr>
        <w:t xml:space="preserve"> </w:t>
      </w:r>
      <w:r>
        <w:rPr>
          <w:rFonts w:ascii="宋体" w:hAnsi="宋体" w:eastAsia="宋体" w:cs="宋体"/>
          <w:sz w:val="24"/>
          <w:szCs w:val="24"/>
        </w:rPr>
        <w:t>对非承包人自身原因每月累计停水或停电不超过48</w:t>
      </w:r>
      <w:r>
        <w:rPr>
          <w:rFonts w:ascii="宋体" w:hAnsi="宋体" w:eastAsia="宋体" w:cs="宋体"/>
          <w:spacing w:val="-44"/>
          <w:sz w:val="24"/>
          <w:szCs w:val="24"/>
        </w:rPr>
        <w:t xml:space="preserve"> </w:t>
      </w:r>
      <w:r>
        <w:rPr>
          <w:rFonts w:ascii="宋体" w:hAnsi="宋体" w:eastAsia="宋体" w:cs="宋体"/>
          <w:sz w:val="24"/>
          <w:szCs w:val="24"/>
        </w:rPr>
        <w:t>小时的情况，施工组织</w:t>
      </w:r>
      <w:r>
        <w:rPr>
          <w:rFonts w:ascii="宋体" w:hAnsi="宋体" w:eastAsia="宋体" w:cs="宋体"/>
          <w:spacing w:val="-1"/>
          <w:sz w:val="24"/>
          <w:szCs w:val="24"/>
        </w:rPr>
        <w:t>设计中应有相应的保证措施。承包人不得因此顺延工期。</w:t>
      </w:r>
    </w:p>
    <w:p w14:paraId="1119A4A1">
      <w:pPr>
        <w:spacing w:before="1" w:line="218" w:lineRule="auto"/>
        <w:ind w:left="488"/>
        <w:rPr>
          <w:rFonts w:ascii="宋体" w:hAnsi="宋体" w:eastAsia="宋体" w:cs="宋体"/>
          <w:sz w:val="24"/>
          <w:szCs w:val="24"/>
        </w:rPr>
      </w:pPr>
      <w:r>
        <w:rPr>
          <w:rFonts w:ascii="宋体" w:hAnsi="宋体" w:eastAsia="宋体" w:cs="宋体"/>
          <w:b/>
          <w:bCs/>
          <w:spacing w:val="-5"/>
          <w:sz w:val="24"/>
          <w:szCs w:val="24"/>
        </w:rPr>
        <w:t>通用合同条款本条增加</w:t>
      </w:r>
      <w:r>
        <w:rPr>
          <w:rFonts w:ascii="宋体" w:hAnsi="宋体" w:eastAsia="宋体" w:cs="宋体"/>
          <w:spacing w:val="-17"/>
          <w:sz w:val="24"/>
          <w:szCs w:val="24"/>
        </w:rPr>
        <w:t xml:space="preserve"> </w:t>
      </w:r>
      <w:r>
        <w:rPr>
          <w:rFonts w:ascii="宋体" w:hAnsi="宋体" w:eastAsia="宋体" w:cs="宋体"/>
          <w:b/>
          <w:bCs/>
          <w:spacing w:val="-5"/>
          <w:sz w:val="24"/>
          <w:szCs w:val="24"/>
        </w:rPr>
        <w:t>10.3</w:t>
      </w:r>
      <w:r>
        <w:rPr>
          <w:rFonts w:ascii="宋体" w:hAnsi="宋体" w:eastAsia="宋体" w:cs="宋体"/>
          <w:spacing w:val="-50"/>
          <w:sz w:val="24"/>
          <w:szCs w:val="24"/>
        </w:rPr>
        <w:t xml:space="preserve"> </w:t>
      </w:r>
      <w:r>
        <w:rPr>
          <w:rFonts w:ascii="宋体" w:hAnsi="宋体" w:eastAsia="宋体" w:cs="宋体"/>
          <w:b/>
          <w:bCs/>
          <w:spacing w:val="-5"/>
          <w:sz w:val="24"/>
          <w:szCs w:val="24"/>
        </w:rPr>
        <w:t>款的内容：</w:t>
      </w:r>
    </w:p>
    <w:p w14:paraId="67834CB4">
      <w:pPr>
        <w:spacing w:before="183" w:line="221" w:lineRule="auto"/>
        <w:ind w:left="506"/>
        <w:rPr>
          <w:rFonts w:ascii="宋体" w:hAnsi="宋体" w:eastAsia="宋体" w:cs="宋体"/>
          <w:sz w:val="24"/>
          <w:szCs w:val="24"/>
        </w:rPr>
      </w:pPr>
      <w:r>
        <w:rPr>
          <w:rFonts w:ascii="宋体" w:hAnsi="宋体" w:eastAsia="宋体" w:cs="宋体"/>
          <w:b/>
          <w:bCs/>
          <w:spacing w:val="-4"/>
          <w:sz w:val="24"/>
          <w:szCs w:val="24"/>
        </w:rPr>
        <w:t>10.3</w:t>
      </w:r>
      <w:r>
        <w:rPr>
          <w:rFonts w:ascii="宋体" w:hAnsi="宋体" w:eastAsia="宋体" w:cs="宋体"/>
          <w:spacing w:val="-4"/>
          <w:sz w:val="24"/>
          <w:szCs w:val="24"/>
        </w:rPr>
        <w:t xml:space="preserve"> </w:t>
      </w:r>
      <w:r>
        <w:rPr>
          <w:rFonts w:ascii="宋体" w:hAnsi="宋体" w:eastAsia="宋体" w:cs="宋体"/>
          <w:b/>
          <w:bCs/>
          <w:spacing w:val="-4"/>
          <w:sz w:val="24"/>
          <w:szCs w:val="24"/>
        </w:rPr>
        <w:t>合同用款计划</w:t>
      </w:r>
    </w:p>
    <w:p w14:paraId="11A1ED04">
      <w:pPr>
        <w:spacing w:before="180" w:line="359" w:lineRule="auto"/>
        <w:ind w:left="7" w:right="61" w:firstLine="480"/>
        <w:jc w:val="both"/>
        <w:rPr>
          <w:rFonts w:ascii="宋体" w:hAnsi="宋体" w:eastAsia="宋体" w:cs="宋体"/>
          <w:sz w:val="24"/>
          <w:szCs w:val="24"/>
        </w:rPr>
      </w:pPr>
      <w:r>
        <w:rPr>
          <w:rFonts w:ascii="宋体" w:hAnsi="宋体" w:eastAsia="宋体" w:cs="宋体"/>
          <w:spacing w:val="-2"/>
          <w:sz w:val="24"/>
          <w:szCs w:val="24"/>
        </w:rPr>
        <w:t>承包人应在签订本合同协议书后</w:t>
      </w:r>
      <w:r>
        <w:rPr>
          <w:rFonts w:ascii="宋体" w:hAnsi="宋体" w:eastAsia="宋体" w:cs="宋体"/>
          <w:spacing w:val="66"/>
          <w:sz w:val="24"/>
          <w:szCs w:val="24"/>
          <w:u w:val="single" w:color="auto"/>
        </w:rPr>
        <w:t xml:space="preserve">  </w:t>
      </w:r>
      <w:r>
        <w:rPr>
          <w:rFonts w:ascii="宋体" w:hAnsi="宋体" w:eastAsia="宋体" w:cs="宋体"/>
          <w:spacing w:val="-2"/>
          <w:sz w:val="24"/>
          <w:szCs w:val="24"/>
          <w:u w:val="single" w:color="auto"/>
        </w:rPr>
        <w:t>28</w:t>
      </w:r>
      <w:r>
        <w:rPr>
          <w:rFonts w:ascii="宋体" w:hAnsi="宋体" w:eastAsia="宋体" w:cs="宋体"/>
          <w:spacing w:val="53"/>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2"/>
          <w:sz w:val="24"/>
          <w:szCs w:val="24"/>
        </w:rPr>
        <w:t>天之内，向监理人提交</w:t>
      </w:r>
      <w:r>
        <w:rPr>
          <w:rFonts w:ascii="宋体" w:hAnsi="宋体" w:eastAsia="宋体" w:cs="宋体"/>
          <w:spacing w:val="-2"/>
          <w:sz w:val="24"/>
          <w:szCs w:val="24"/>
          <w:u w:val="single" w:color="auto"/>
        </w:rPr>
        <w:t>一式</w:t>
      </w:r>
      <w:r>
        <w:rPr>
          <w:rFonts w:ascii="宋体" w:hAnsi="宋体" w:eastAsia="宋体" w:cs="宋体"/>
          <w:spacing w:val="35"/>
          <w:sz w:val="24"/>
          <w:szCs w:val="24"/>
          <w:u w:val="single" w:color="auto"/>
        </w:rPr>
        <w:t xml:space="preserve">   </w:t>
      </w:r>
      <w:r>
        <w:rPr>
          <w:rFonts w:ascii="宋体" w:hAnsi="宋体" w:eastAsia="宋体" w:cs="宋体"/>
          <w:spacing w:val="-2"/>
          <w:sz w:val="24"/>
          <w:szCs w:val="24"/>
          <w:u w:val="single" w:color="auto"/>
        </w:rPr>
        <w:t>份</w:t>
      </w:r>
      <w:r>
        <w:rPr>
          <w:rFonts w:ascii="宋体" w:hAnsi="宋体" w:eastAsia="宋体" w:cs="宋体"/>
          <w:spacing w:val="-2"/>
          <w:sz w:val="24"/>
          <w:szCs w:val="24"/>
        </w:rPr>
        <w:t>详细的</w:t>
      </w:r>
      <w:r>
        <w:rPr>
          <w:rFonts w:ascii="宋体" w:hAnsi="宋体" w:eastAsia="宋体" w:cs="宋体"/>
          <w:spacing w:val="-2"/>
          <w:sz w:val="24"/>
          <w:szCs w:val="24"/>
          <w:u w:val="single" w:color="auto"/>
        </w:rPr>
        <w:t>季度</w:t>
      </w:r>
      <w:r>
        <w:rPr>
          <w:rFonts w:ascii="宋体" w:hAnsi="宋体" w:eastAsia="宋体" w:cs="宋体"/>
          <w:spacing w:val="-2"/>
          <w:sz w:val="24"/>
          <w:szCs w:val="24"/>
        </w:rPr>
        <w:t>合同用款计划，以备发包人和监理人查阅。如果发包人和监理人提出要求，承包人</w:t>
      </w:r>
      <w:r>
        <w:rPr>
          <w:rFonts w:ascii="宋体" w:hAnsi="宋体" w:eastAsia="宋体" w:cs="宋体"/>
          <w:spacing w:val="-1"/>
          <w:sz w:val="24"/>
          <w:szCs w:val="24"/>
        </w:rPr>
        <w:t>还应按</w:t>
      </w:r>
      <w:r>
        <w:rPr>
          <w:rFonts w:ascii="宋体" w:hAnsi="宋体" w:eastAsia="宋体" w:cs="宋体"/>
          <w:spacing w:val="-1"/>
          <w:sz w:val="24"/>
          <w:szCs w:val="24"/>
          <w:u w:val="single" w:color="auto"/>
        </w:rPr>
        <w:t>季度</w:t>
      </w:r>
      <w:r>
        <w:rPr>
          <w:rFonts w:ascii="宋体" w:hAnsi="宋体" w:eastAsia="宋体" w:cs="宋体"/>
          <w:spacing w:val="-1"/>
          <w:sz w:val="24"/>
          <w:szCs w:val="24"/>
        </w:rPr>
        <w:t>提交修订的合同用款计划。</w:t>
      </w:r>
    </w:p>
    <w:p w14:paraId="5FA7F2DB">
      <w:pPr>
        <w:numPr>
          <w:ilvl w:val="0"/>
          <w:numId w:val="7"/>
        </w:numPr>
        <w:spacing w:before="1" w:line="219" w:lineRule="auto"/>
        <w:ind w:left="26"/>
        <w:rPr>
          <w:rFonts w:ascii="宋体" w:hAnsi="宋体" w:eastAsia="宋体" w:cs="宋体"/>
          <w:b/>
          <w:bCs/>
          <w:spacing w:val="-6"/>
          <w:sz w:val="24"/>
          <w:szCs w:val="24"/>
        </w:rPr>
      </w:pPr>
      <w:r>
        <w:rPr>
          <w:rFonts w:ascii="宋体" w:hAnsi="宋体" w:eastAsia="宋体" w:cs="宋体"/>
          <w:b/>
          <w:bCs/>
          <w:spacing w:val="-6"/>
          <w:sz w:val="24"/>
          <w:szCs w:val="24"/>
        </w:rPr>
        <w:t>开工和竣工</w:t>
      </w:r>
    </w:p>
    <w:p w14:paraId="50FDBFA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 w:line="360" w:lineRule="auto"/>
        <w:ind w:firstLine="480" w:firstLineChars="200"/>
        <w:textAlignment w:val="baseline"/>
        <w:rPr>
          <w:rFonts w:ascii="宋体" w:hAnsi="宋体" w:eastAsia="宋体" w:cs="宋体"/>
          <w:sz w:val="24"/>
          <w:szCs w:val="24"/>
        </w:rPr>
      </w:pPr>
      <w:r>
        <w:rPr>
          <w:rFonts w:ascii="宋体" w:hAnsi="宋体" w:eastAsia="宋体" w:cs="宋体"/>
          <w:sz w:val="24"/>
          <w:szCs w:val="24"/>
        </w:rPr>
        <w:t>11.1.3</w:t>
      </w:r>
      <w:r>
        <w:rPr>
          <w:rFonts w:ascii="宋体" w:hAnsi="宋体" w:eastAsia="宋体" w:cs="宋体"/>
          <w:spacing w:val="-37"/>
          <w:sz w:val="24"/>
          <w:szCs w:val="24"/>
        </w:rPr>
        <w:t xml:space="preserve"> </w:t>
      </w:r>
      <w:r>
        <w:rPr>
          <w:rFonts w:ascii="宋体" w:hAnsi="宋体" w:eastAsia="宋体" w:cs="宋体"/>
          <w:sz w:val="24"/>
          <w:szCs w:val="24"/>
        </w:rPr>
        <w:t>分项工程的开工应事先得到监理人的书面同意，承包人应提前48</w:t>
      </w:r>
      <w:r>
        <w:rPr>
          <w:rFonts w:ascii="宋体" w:hAnsi="宋体" w:eastAsia="宋体" w:cs="宋体"/>
          <w:spacing w:val="-44"/>
          <w:sz w:val="24"/>
          <w:szCs w:val="24"/>
        </w:rPr>
        <w:t xml:space="preserve"> </w:t>
      </w:r>
      <w:r>
        <w:rPr>
          <w:rFonts w:ascii="宋体" w:hAnsi="宋体" w:eastAsia="宋体" w:cs="宋体"/>
          <w:sz w:val="24"/>
          <w:szCs w:val="24"/>
        </w:rPr>
        <w:t>小时将申</w:t>
      </w:r>
      <w:r>
        <w:rPr>
          <w:rFonts w:ascii="宋体" w:hAnsi="宋体" w:eastAsia="宋体" w:cs="宋体"/>
          <w:spacing w:val="1"/>
          <w:sz w:val="24"/>
          <w:szCs w:val="24"/>
        </w:rPr>
        <w:t>请开工的书面通知报送监理人，监理人应在收到通知48</w:t>
      </w:r>
      <w:r>
        <w:rPr>
          <w:rFonts w:ascii="宋体" w:hAnsi="宋体" w:eastAsia="宋体" w:cs="宋体"/>
          <w:spacing w:val="-44"/>
          <w:sz w:val="24"/>
          <w:szCs w:val="24"/>
        </w:rPr>
        <w:t xml:space="preserve"> </w:t>
      </w:r>
      <w:r>
        <w:rPr>
          <w:rFonts w:ascii="宋体" w:hAnsi="宋体" w:eastAsia="宋体" w:cs="宋体"/>
          <w:spacing w:val="1"/>
          <w:sz w:val="24"/>
          <w:szCs w:val="24"/>
        </w:rPr>
        <w:t>小时内予以书面答复，</w:t>
      </w:r>
      <w:r>
        <w:rPr>
          <w:rFonts w:ascii="宋体" w:hAnsi="宋体" w:eastAsia="宋体" w:cs="宋体"/>
          <w:sz w:val="24"/>
          <w:szCs w:val="24"/>
        </w:rPr>
        <w:t>否则视</w:t>
      </w:r>
    </w:p>
    <w:p w14:paraId="40734147">
      <w:pPr>
        <w:keepNext w:val="0"/>
        <w:keepLines w:val="0"/>
        <w:pageBreakBefore w:val="0"/>
        <w:widowControl/>
        <w:kinsoku w:val="0"/>
        <w:wordWrap/>
        <w:overflowPunct/>
        <w:topLinePunct w:val="0"/>
        <w:autoSpaceDE w:val="0"/>
        <w:autoSpaceDN w:val="0"/>
        <w:bidi w:val="0"/>
        <w:adjustRightInd w:val="0"/>
        <w:snapToGrid w:val="0"/>
        <w:spacing w:before="311" w:line="360" w:lineRule="auto"/>
        <w:ind w:left="11"/>
        <w:textAlignment w:val="baseline"/>
        <w:rPr>
          <w:rFonts w:ascii="宋体" w:hAnsi="宋体" w:eastAsia="宋体" w:cs="宋体"/>
          <w:sz w:val="24"/>
          <w:szCs w:val="24"/>
        </w:rPr>
      </w:pPr>
      <w:r>
        <w:rPr>
          <w:rFonts w:ascii="宋体" w:hAnsi="宋体" w:eastAsia="宋体" w:cs="宋体"/>
          <w:spacing w:val="-4"/>
          <w:sz w:val="24"/>
          <w:szCs w:val="24"/>
        </w:rPr>
        <w:br w:type="page"/>
      </w:r>
      <w:r>
        <w:rPr>
          <w:rFonts w:ascii="宋体" w:hAnsi="宋体" w:eastAsia="宋体" w:cs="宋体"/>
          <w:spacing w:val="-4"/>
          <w:sz w:val="24"/>
          <w:szCs w:val="24"/>
        </w:rPr>
        <w:t>为同意。</w:t>
      </w:r>
    </w:p>
    <w:p w14:paraId="24747571">
      <w:pPr>
        <w:spacing w:before="180" w:line="359" w:lineRule="auto"/>
        <w:ind w:left="8" w:firstLine="497"/>
        <w:jc w:val="both"/>
        <w:rPr>
          <w:rFonts w:ascii="宋体" w:hAnsi="宋体" w:eastAsia="宋体" w:cs="宋体"/>
          <w:sz w:val="24"/>
          <w:szCs w:val="24"/>
        </w:rPr>
      </w:pPr>
      <w:r>
        <w:rPr>
          <w:rFonts w:ascii="宋体" w:hAnsi="宋体" w:eastAsia="宋体" w:cs="宋体"/>
          <w:spacing w:val="-2"/>
          <w:sz w:val="24"/>
          <w:szCs w:val="24"/>
        </w:rPr>
        <w:t>11.1.4</w:t>
      </w:r>
      <w:r>
        <w:rPr>
          <w:rFonts w:ascii="宋体" w:hAnsi="宋体" w:eastAsia="宋体" w:cs="宋体"/>
          <w:spacing w:val="-32"/>
          <w:sz w:val="24"/>
          <w:szCs w:val="24"/>
        </w:rPr>
        <w:t xml:space="preserve"> </w:t>
      </w:r>
      <w:r>
        <w:rPr>
          <w:rFonts w:ascii="宋体" w:hAnsi="宋体" w:eastAsia="宋体" w:cs="宋体"/>
          <w:spacing w:val="-2"/>
          <w:sz w:val="24"/>
          <w:szCs w:val="24"/>
        </w:rPr>
        <w:t>承包人不能按期开工时，应在接到开工令</w:t>
      </w:r>
      <w:r>
        <w:rPr>
          <w:rFonts w:ascii="宋体" w:hAnsi="宋体" w:eastAsia="宋体" w:cs="宋体"/>
          <w:spacing w:val="-47"/>
          <w:sz w:val="24"/>
          <w:szCs w:val="24"/>
        </w:rPr>
        <w:t xml:space="preserve"> </w:t>
      </w:r>
      <w:r>
        <w:rPr>
          <w:rFonts w:ascii="宋体" w:hAnsi="宋体" w:eastAsia="宋体" w:cs="宋体"/>
          <w:spacing w:val="-2"/>
          <w:sz w:val="24"/>
          <w:szCs w:val="24"/>
        </w:rPr>
        <w:t>24</w:t>
      </w:r>
      <w:r>
        <w:rPr>
          <w:rFonts w:ascii="宋体" w:hAnsi="宋体" w:eastAsia="宋体" w:cs="宋体"/>
          <w:spacing w:val="-44"/>
          <w:sz w:val="24"/>
          <w:szCs w:val="24"/>
        </w:rPr>
        <w:t xml:space="preserve"> </w:t>
      </w:r>
      <w:r>
        <w:rPr>
          <w:rFonts w:ascii="宋体" w:hAnsi="宋体" w:eastAsia="宋体" w:cs="宋体"/>
          <w:spacing w:val="-2"/>
          <w:sz w:val="24"/>
          <w:szCs w:val="24"/>
        </w:rPr>
        <w:t>小时内向监理人提出延期开工</w:t>
      </w:r>
      <w:r>
        <w:rPr>
          <w:rFonts w:ascii="宋体" w:hAnsi="宋体" w:eastAsia="宋体" w:cs="宋体"/>
          <w:spacing w:val="-3"/>
          <w:sz w:val="24"/>
          <w:szCs w:val="24"/>
        </w:rPr>
        <w:t>申请报告，监理人应在接到报告</w:t>
      </w:r>
      <w:r>
        <w:rPr>
          <w:rFonts w:ascii="宋体" w:hAnsi="宋体" w:eastAsia="宋体" w:cs="宋体"/>
          <w:spacing w:val="-48"/>
          <w:sz w:val="24"/>
          <w:szCs w:val="24"/>
        </w:rPr>
        <w:t xml:space="preserve"> </w:t>
      </w:r>
      <w:r>
        <w:rPr>
          <w:rFonts w:ascii="宋体" w:hAnsi="宋体" w:eastAsia="宋体" w:cs="宋体"/>
          <w:spacing w:val="-3"/>
          <w:sz w:val="24"/>
          <w:szCs w:val="24"/>
        </w:rPr>
        <w:t>24</w:t>
      </w:r>
      <w:r>
        <w:rPr>
          <w:rFonts w:ascii="宋体" w:hAnsi="宋体" w:eastAsia="宋体" w:cs="宋体"/>
          <w:spacing w:val="-44"/>
          <w:sz w:val="24"/>
          <w:szCs w:val="24"/>
        </w:rPr>
        <w:t xml:space="preserve"> </w:t>
      </w:r>
      <w:r>
        <w:rPr>
          <w:rFonts w:ascii="宋体" w:hAnsi="宋体" w:eastAsia="宋体" w:cs="宋体"/>
          <w:spacing w:val="-3"/>
          <w:sz w:val="24"/>
          <w:szCs w:val="24"/>
        </w:rPr>
        <w:t>小时内作出答复。若监理人在</w:t>
      </w:r>
      <w:r>
        <w:rPr>
          <w:rFonts w:ascii="宋体" w:hAnsi="宋体" w:eastAsia="宋体" w:cs="宋体"/>
          <w:spacing w:val="-48"/>
          <w:sz w:val="24"/>
          <w:szCs w:val="24"/>
        </w:rPr>
        <w:t xml:space="preserve"> </w:t>
      </w:r>
      <w:r>
        <w:rPr>
          <w:rFonts w:ascii="宋体" w:hAnsi="宋体" w:eastAsia="宋体" w:cs="宋体"/>
          <w:spacing w:val="-3"/>
          <w:sz w:val="24"/>
          <w:szCs w:val="24"/>
        </w:rPr>
        <w:t>24</w:t>
      </w:r>
      <w:r>
        <w:rPr>
          <w:rFonts w:ascii="宋体" w:hAnsi="宋体" w:eastAsia="宋体" w:cs="宋体"/>
          <w:spacing w:val="-44"/>
          <w:sz w:val="24"/>
          <w:szCs w:val="24"/>
        </w:rPr>
        <w:t xml:space="preserve"> </w:t>
      </w:r>
      <w:r>
        <w:rPr>
          <w:rFonts w:ascii="宋体" w:hAnsi="宋体" w:eastAsia="宋体" w:cs="宋体"/>
          <w:spacing w:val="-3"/>
          <w:sz w:val="24"/>
          <w:szCs w:val="24"/>
        </w:rPr>
        <w:t>小时内同意</w:t>
      </w:r>
      <w:r>
        <w:rPr>
          <w:rFonts w:ascii="宋体" w:hAnsi="宋体" w:eastAsia="宋体" w:cs="宋体"/>
          <w:spacing w:val="-4"/>
          <w:sz w:val="24"/>
          <w:szCs w:val="24"/>
        </w:rPr>
        <w:t>或未予</w:t>
      </w:r>
      <w:r>
        <w:rPr>
          <w:rFonts w:ascii="宋体" w:hAnsi="宋体" w:eastAsia="宋体" w:cs="宋体"/>
          <w:sz w:val="24"/>
          <w:szCs w:val="24"/>
        </w:rPr>
        <w:t>答复，工期相应顺延；若监理人不同意延期</w:t>
      </w:r>
      <w:r>
        <w:rPr>
          <w:rFonts w:ascii="宋体" w:hAnsi="宋体" w:eastAsia="宋体" w:cs="宋体"/>
          <w:spacing w:val="-1"/>
          <w:sz w:val="24"/>
          <w:szCs w:val="24"/>
        </w:rPr>
        <w:t>要求，则工期不予顺延。</w:t>
      </w:r>
    </w:p>
    <w:p w14:paraId="73516F2D">
      <w:pPr>
        <w:spacing w:line="219" w:lineRule="auto"/>
        <w:ind w:left="506"/>
        <w:rPr>
          <w:rFonts w:ascii="宋体" w:hAnsi="宋体" w:eastAsia="宋体" w:cs="宋体"/>
          <w:sz w:val="24"/>
          <w:szCs w:val="24"/>
        </w:rPr>
      </w:pPr>
      <w:r>
        <w:rPr>
          <w:rFonts w:ascii="宋体" w:hAnsi="宋体" w:eastAsia="宋体" w:cs="宋体"/>
          <w:b/>
          <w:bCs/>
          <w:spacing w:val="-8"/>
          <w:sz w:val="24"/>
          <w:szCs w:val="24"/>
        </w:rPr>
        <w:t>11.2</w:t>
      </w:r>
      <w:r>
        <w:rPr>
          <w:rFonts w:ascii="宋体" w:hAnsi="宋体" w:eastAsia="宋体" w:cs="宋体"/>
          <w:spacing w:val="10"/>
          <w:sz w:val="24"/>
          <w:szCs w:val="24"/>
        </w:rPr>
        <w:t xml:space="preserve"> </w:t>
      </w:r>
      <w:r>
        <w:rPr>
          <w:rFonts w:ascii="宋体" w:hAnsi="宋体" w:eastAsia="宋体" w:cs="宋体"/>
          <w:b/>
          <w:bCs/>
          <w:spacing w:val="-8"/>
          <w:sz w:val="24"/>
          <w:szCs w:val="24"/>
        </w:rPr>
        <w:t>竣工</w:t>
      </w:r>
    </w:p>
    <w:p w14:paraId="7753A5C3">
      <w:pPr>
        <w:spacing w:before="180" w:line="220" w:lineRule="auto"/>
        <w:ind w:left="506"/>
        <w:rPr>
          <w:rFonts w:ascii="宋体" w:hAnsi="宋体" w:eastAsia="宋体" w:cs="宋体"/>
          <w:sz w:val="24"/>
          <w:szCs w:val="24"/>
        </w:rPr>
      </w:pPr>
      <w:r>
        <w:rPr>
          <w:rFonts w:ascii="宋体" w:hAnsi="宋体" w:eastAsia="宋体" w:cs="宋体"/>
          <w:spacing w:val="-1"/>
          <w:sz w:val="24"/>
          <w:szCs w:val="24"/>
        </w:rPr>
        <w:t>11.2.1 重要节点工期：</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D21C093">
      <w:pPr>
        <w:spacing w:before="182" w:line="220" w:lineRule="auto"/>
        <w:ind w:left="506"/>
        <w:rPr>
          <w:rFonts w:ascii="宋体" w:hAnsi="宋体" w:eastAsia="宋体" w:cs="宋体"/>
          <w:sz w:val="24"/>
          <w:szCs w:val="24"/>
        </w:rPr>
      </w:pPr>
      <w:r>
        <w:rPr>
          <w:rFonts w:ascii="宋体" w:hAnsi="宋体" w:eastAsia="宋体" w:cs="宋体"/>
          <w:b/>
          <w:bCs/>
          <w:spacing w:val="-4"/>
          <w:sz w:val="24"/>
          <w:szCs w:val="24"/>
        </w:rPr>
        <w:t>11.3</w:t>
      </w:r>
      <w:r>
        <w:rPr>
          <w:rFonts w:ascii="宋体" w:hAnsi="宋体" w:eastAsia="宋体" w:cs="宋体"/>
          <w:spacing w:val="-4"/>
          <w:sz w:val="24"/>
          <w:szCs w:val="24"/>
        </w:rPr>
        <w:t xml:space="preserve"> </w:t>
      </w:r>
      <w:r>
        <w:rPr>
          <w:rFonts w:ascii="宋体" w:hAnsi="宋体" w:eastAsia="宋体" w:cs="宋体"/>
          <w:b/>
          <w:bCs/>
          <w:spacing w:val="-4"/>
          <w:sz w:val="24"/>
          <w:szCs w:val="24"/>
        </w:rPr>
        <w:t>发包人的工期延误</w:t>
      </w:r>
    </w:p>
    <w:p w14:paraId="3A78DBFA">
      <w:pPr>
        <w:spacing w:before="181" w:line="359" w:lineRule="auto"/>
        <w:ind w:left="15" w:firstLine="471"/>
        <w:jc w:val="both"/>
        <w:rPr>
          <w:rFonts w:ascii="宋体" w:hAnsi="宋体" w:eastAsia="宋体" w:cs="宋体"/>
          <w:sz w:val="24"/>
          <w:szCs w:val="24"/>
        </w:rPr>
      </w:pPr>
      <w:r>
        <w:rPr>
          <w:rFonts w:ascii="宋体" w:hAnsi="宋体" w:eastAsia="宋体" w:cs="宋体"/>
          <w:spacing w:val="-2"/>
          <w:sz w:val="24"/>
          <w:szCs w:val="24"/>
        </w:rPr>
        <w:t>在履行合同过程中，由于发包人的下列原因造成工期延误的，承包人在满足发包人的项目总体工期目标前提下，有权要求发包人顺延工期，需要修订合同进度计划的，按</w:t>
      </w:r>
      <w:r>
        <w:rPr>
          <w:rFonts w:ascii="宋体" w:hAnsi="宋体" w:eastAsia="宋体" w:cs="宋体"/>
          <w:spacing w:val="-5"/>
          <w:sz w:val="24"/>
          <w:szCs w:val="24"/>
        </w:rPr>
        <w:t>照第</w:t>
      </w:r>
      <w:r>
        <w:rPr>
          <w:rFonts w:ascii="宋体" w:hAnsi="宋体" w:eastAsia="宋体" w:cs="宋体"/>
          <w:spacing w:val="-24"/>
          <w:sz w:val="24"/>
          <w:szCs w:val="24"/>
        </w:rPr>
        <w:t xml:space="preserve"> </w:t>
      </w:r>
      <w:r>
        <w:rPr>
          <w:rFonts w:ascii="宋体" w:hAnsi="宋体" w:eastAsia="宋体" w:cs="宋体"/>
          <w:spacing w:val="-5"/>
          <w:sz w:val="24"/>
          <w:szCs w:val="24"/>
        </w:rPr>
        <w:t>10.2</w:t>
      </w:r>
      <w:r>
        <w:rPr>
          <w:rFonts w:ascii="宋体" w:hAnsi="宋体" w:eastAsia="宋体" w:cs="宋体"/>
          <w:spacing w:val="-49"/>
          <w:sz w:val="24"/>
          <w:szCs w:val="24"/>
        </w:rPr>
        <w:t xml:space="preserve"> </w:t>
      </w:r>
      <w:r>
        <w:rPr>
          <w:rFonts w:ascii="宋体" w:hAnsi="宋体" w:eastAsia="宋体" w:cs="宋体"/>
          <w:spacing w:val="-5"/>
          <w:sz w:val="24"/>
          <w:szCs w:val="24"/>
        </w:rPr>
        <w:t>款的约定办理。</w:t>
      </w:r>
    </w:p>
    <w:p w14:paraId="78C71D8C">
      <w:pPr>
        <w:spacing w:line="219" w:lineRule="auto"/>
        <w:ind w:left="499"/>
        <w:rPr>
          <w:rFonts w:ascii="宋体" w:hAnsi="宋体" w:eastAsia="宋体" w:cs="宋体"/>
          <w:sz w:val="24"/>
          <w:szCs w:val="24"/>
        </w:rPr>
      </w:pPr>
      <w:r>
        <w:rPr>
          <w:rFonts w:ascii="宋体" w:hAnsi="宋体" w:eastAsia="宋体" w:cs="宋体"/>
          <w:spacing w:val="-1"/>
          <w:sz w:val="24"/>
          <w:szCs w:val="24"/>
        </w:rPr>
        <w:t>（1）由于征地拆迁的原因造成关键线路上的工程暂停施工；</w:t>
      </w:r>
    </w:p>
    <w:p w14:paraId="31BEAA83">
      <w:pPr>
        <w:spacing w:before="181" w:line="219" w:lineRule="auto"/>
        <w:ind w:left="499"/>
        <w:rPr>
          <w:rFonts w:ascii="宋体" w:hAnsi="宋体" w:eastAsia="宋体" w:cs="宋体"/>
          <w:sz w:val="24"/>
          <w:szCs w:val="24"/>
        </w:rPr>
      </w:pPr>
      <w:r>
        <w:rPr>
          <w:rFonts w:ascii="宋体" w:hAnsi="宋体" w:eastAsia="宋体" w:cs="宋体"/>
          <w:spacing w:val="-1"/>
          <w:sz w:val="24"/>
          <w:szCs w:val="24"/>
        </w:rPr>
        <w:t>（2）未按合同约定及时支付预付款、进度款，造成暂停施工的；</w:t>
      </w:r>
    </w:p>
    <w:p w14:paraId="3A43988C">
      <w:pPr>
        <w:spacing w:before="183" w:line="219" w:lineRule="auto"/>
        <w:ind w:left="499"/>
        <w:rPr>
          <w:rFonts w:ascii="宋体" w:hAnsi="宋体" w:eastAsia="宋体" w:cs="宋体"/>
          <w:sz w:val="24"/>
          <w:szCs w:val="24"/>
        </w:rPr>
      </w:pPr>
      <w:r>
        <w:rPr>
          <w:rFonts w:ascii="宋体" w:hAnsi="宋体" w:eastAsia="宋体" w:cs="宋体"/>
          <w:spacing w:val="-1"/>
          <w:sz w:val="24"/>
          <w:szCs w:val="24"/>
        </w:rPr>
        <w:t>（3）由于重大设计方案调整造成关键线路上的工程暂停施工；</w:t>
      </w:r>
    </w:p>
    <w:p w14:paraId="082E90D2">
      <w:pPr>
        <w:spacing w:before="182" w:line="219" w:lineRule="auto"/>
        <w:ind w:left="499"/>
        <w:rPr>
          <w:rFonts w:ascii="宋体" w:hAnsi="宋体" w:eastAsia="宋体" w:cs="宋体"/>
          <w:sz w:val="24"/>
          <w:szCs w:val="24"/>
        </w:rPr>
      </w:pPr>
      <w:r>
        <w:rPr>
          <w:rFonts w:ascii="宋体" w:hAnsi="宋体" w:eastAsia="宋体" w:cs="宋体"/>
          <w:spacing w:val="-1"/>
          <w:sz w:val="24"/>
          <w:szCs w:val="24"/>
        </w:rPr>
        <w:t>（4）甲供材料断供或供应不及时，造成暂停施工的。</w:t>
      </w:r>
    </w:p>
    <w:p w14:paraId="621F0D06">
      <w:pPr>
        <w:spacing w:before="182" w:line="359" w:lineRule="auto"/>
        <w:ind w:left="11" w:firstLine="479"/>
        <w:rPr>
          <w:rFonts w:ascii="宋体" w:hAnsi="宋体" w:eastAsia="宋体" w:cs="宋体"/>
          <w:sz w:val="24"/>
          <w:szCs w:val="24"/>
        </w:rPr>
      </w:pPr>
      <w:r>
        <w:rPr>
          <w:rFonts w:ascii="宋体" w:hAnsi="宋体" w:eastAsia="宋体" w:cs="宋体"/>
          <w:spacing w:val="-1"/>
          <w:sz w:val="24"/>
          <w:szCs w:val="24"/>
        </w:rPr>
        <w:t>上述原因如顺延合同工期在</w:t>
      </w:r>
      <w:r>
        <w:rPr>
          <w:rFonts w:ascii="宋体" w:hAnsi="宋体" w:eastAsia="宋体" w:cs="宋体"/>
          <w:spacing w:val="-108"/>
          <w:sz w:val="24"/>
          <w:szCs w:val="24"/>
        </w:rPr>
        <w:t xml:space="preserve"> </w:t>
      </w:r>
      <w:r>
        <w:rPr>
          <w:rFonts w:ascii="宋体" w:hAnsi="宋体" w:eastAsia="宋体" w:cs="宋体"/>
          <w:spacing w:val="22"/>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
          <w:sz w:val="24"/>
          <w:szCs w:val="24"/>
        </w:rPr>
        <w:t>个月以内的，发包人将不予增加费用；如顺延合同工期在</w:t>
      </w:r>
      <w:r>
        <w:rPr>
          <w:rFonts w:ascii="宋体" w:hAnsi="宋体" w:eastAsia="宋体" w:cs="宋体"/>
          <w:spacing w:val="-1"/>
          <w:sz w:val="24"/>
          <w:szCs w:val="24"/>
          <w:u w:val="single" w:color="auto"/>
        </w:rPr>
        <w:t xml:space="preserve">    </w:t>
      </w:r>
      <w:r>
        <w:rPr>
          <w:rFonts w:ascii="宋体" w:hAnsi="宋体" w:eastAsia="宋体" w:cs="宋体"/>
          <w:spacing w:val="-107"/>
          <w:sz w:val="24"/>
          <w:szCs w:val="24"/>
        </w:rPr>
        <w:t xml:space="preserve"> </w:t>
      </w:r>
      <w:r>
        <w:rPr>
          <w:rFonts w:ascii="宋体" w:hAnsi="宋体" w:eastAsia="宋体" w:cs="宋体"/>
          <w:spacing w:val="-1"/>
          <w:sz w:val="24"/>
          <w:szCs w:val="24"/>
        </w:rPr>
        <w:t>个月以上的，发包人将按如下原则给予补偿：</w:t>
      </w:r>
    </w:p>
    <w:p w14:paraId="572FFDC8">
      <w:pPr>
        <w:spacing w:line="220" w:lineRule="auto"/>
        <w:ind w:left="506"/>
        <w:rPr>
          <w:rFonts w:ascii="宋体" w:hAnsi="宋体" w:eastAsia="宋体" w:cs="宋体"/>
          <w:sz w:val="24"/>
          <w:szCs w:val="24"/>
        </w:rPr>
      </w:pPr>
      <w:r>
        <w:rPr>
          <w:rFonts w:ascii="宋体" w:hAnsi="宋体" w:eastAsia="宋体" w:cs="宋体"/>
          <w:spacing w:val="-3"/>
          <w:sz w:val="24"/>
          <w:szCs w:val="24"/>
        </w:rPr>
        <w:t>1）驻地建设场地租金；</w:t>
      </w:r>
    </w:p>
    <w:p w14:paraId="00C1798A">
      <w:pPr>
        <w:spacing w:before="180" w:line="360" w:lineRule="auto"/>
        <w:ind w:left="13" w:firstLine="478"/>
        <w:rPr>
          <w:rFonts w:ascii="宋体" w:hAnsi="宋体" w:eastAsia="宋体" w:cs="宋体"/>
          <w:sz w:val="24"/>
          <w:szCs w:val="24"/>
        </w:rPr>
      </w:pPr>
      <w:r>
        <w:rPr>
          <w:rFonts w:ascii="宋体" w:hAnsi="宋体" w:eastAsia="宋体" w:cs="宋体"/>
          <w:spacing w:val="-1"/>
          <w:sz w:val="24"/>
          <w:szCs w:val="24"/>
        </w:rPr>
        <w:t>2）合同承诺投入且已进场的机械设备停置费，停置数量不得超过第二章</w:t>
      </w:r>
      <w:r>
        <w:rPr>
          <w:rFonts w:ascii="宋体" w:hAnsi="宋体" w:eastAsia="宋体" w:cs="宋体"/>
          <w:spacing w:val="-31"/>
          <w:sz w:val="24"/>
          <w:szCs w:val="24"/>
        </w:rPr>
        <w:t xml:space="preserve"> </w:t>
      </w:r>
      <w:r>
        <w:rPr>
          <w:rFonts w:ascii="宋体" w:hAnsi="宋体" w:eastAsia="宋体" w:cs="宋体"/>
          <w:spacing w:val="-1"/>
          <w:sz w:val="24"/>
          <w:szCs w:val="24"/>
        </w:rPr>
        <w:t>投标人须知附录</w:t>
      </w:r>
      <w:r>
        <w:rPr>
          <w:rFonts w:ascii="宋体" w:hAnsi="宋体" w:eastAsia="宋体" w:cs="宋体"/>
          <w:spacing w:val="-44"/>
          <w:sz w:val="24"/>
          <w:szCs w:val="24"/>
        </w:rPr>
        <w:t xml:space="preserve"> </w:t>
      </w:r>
      <w:r>
        <w:rPr>
          <w:rFonts w:ascii="宋体" w:hAnsi="宋体" w:eastAsia="宋体" w:cs="宋体"/>
          <w:spacing w:val="-1"/>
          <w:sz w:val="24"/>
          <w:szCs w:val="24"/>
        </w:rPr>
        <w:t>7 资格审查条件(主要设备最低要求)，按以下两种情况计算：</w:t>
      </w:r>
    </w:p>
    <w:p w14:paraId="2F28685E">
      <w:pPr>
        <w:spacing w:line="359" w:lineRule="auto"/>
        <w:ind w:left="28" w:right="187" w:firstLine="461"/>
        <w:rPr>
          <w:rFonts w:ascii="宋体" w:hAnsi="宋体" w:eastAsia="宋体" w:cs="宋体"/>
          <w:sz w:val="24"/>
          <w:szCs w:val="24"/>
        </w:rPr>
      </w:pPr>
      <w:r>
        <w:rPr>
          <w:rFonts w:ascii="宋体" w:hAnsi="宋体" w:eastAsia="宋体" w:cs="宋体"/>
          <w:sz w:val="24"/>
          <w:szCs w:val="24"/>
        </w:rPr>
        <w:t>a.机械设备停置费参照招标人公布的最高投标限价编</w:t>
      </w:r>
      <w:r>
        <w:rPr>
          <w:rFonts w:ascii="宋体" w:hAnsi="宋体" w:eastAsia="宋体" w:cs="宋体"/>
          <w:spacing w:val="-1"/>
          <w:sz w:val="24"/>
          <w:szCs w:val="24"/>
        </w:rPr>
        <w:t>制时选用的有关定额及补充</w:t>
      </w:r>
      <w:r>
        <w:rPr>
          <w:rFonts w:ascii="宋体" w:hAnsi="宋体" w:eastAsia="宋体" w:cs="宋体"/>
          <w:spacing w:val="-3"/>
          <w:sz w:val="24"/>
          <w:szCs w:val="24"/>
        </w:rPr>
        <w:t>的定额按如下公式计算：</w:t>
      </w:r>
    </w:p>
    <w:p w14:paraId="743925FD">
      <w:pPr>
        <w:spacing w:line="359" w:lineRule="auto"/>
        <w:ind w:left="10" w:firstLine="479"/>
        <w:rPr>
          <w:rFonts w:ascii="宋体" w:hAnsi="宋体" w:eastAsia="宋体" w:cs="宋体"/>
          <w:sz w:val="24"/>
          <w:szCs w:val="24"/>
        </w:rPr>
      </w:pPr>
      <w:r>
        <w:rPr>
          <w:rFonts w:ascii="宋体" w:hAnsi="宋体" w:eastAsia="宋体" w:cs="宋体"/>
          <w:spacing w:val="-2"/>
          <w:sz w:val="24"/>
          <w:szCs w:val="24"/>
        </w:rPr>
        <w:t>停置费=（折旧费+检修费+维护费）*50%+人工费+机上人员管理费+养路费及车船使</w:t>
      </w:r>
      <w:r>
        <w:rPr>
          <w:rFonts w:ascii="宋体" w:hAnsi="宋体" w:eastAsia="宋体" w:cs="宋体"/>
          <w:spacing w:val="-6"/>
          <w:sz w:val="24"/>
          <w:szCs w:val="24"/>
        </w:rPr>
        <w:t>用税</w:t>
      </w:r>
    </w:p>
    <w:p w14:paraId="5CD5A0D5">
      <w:pPr>
        <w:spacing w:line="359" w:lineRule="auto"/>
        <w:ind w:left="7" w:right="7" w:firstLine="481"/>
        <w:rPr>
          <w:rFonts w:ascii="宋体" w:hAnsi="宋体" w:eastAsia="宋体" w:cs="宋体"/>
          <w:sz w:val="24"/>
          <w:szCs w:val="24"/>
        </w:rPr>
      </w:pPr>
      <w:r>
        <w:rPr>
          <w:rFonts w:ascii="宋体" w:hAnsi="宋体" w:eastAsia="宋体" w:cs="宋体"/>
          <w:spacing w:val="-1"/>
          <w:sz w:val="24"/>
          <w:szCs w:val="24"/>
        </w:rPr>
        <w:t>其中：机上人员管理费按人工费的</w:t>
      </w:r>
      <w:r>
        <w:rPr>
          <w:rFonts w:ascii="宋体" w:hAnsi="宋体" w:eastAsia="宋体" w:cs="宋体"/>
          <w:spacing w:val="-33"/>
          <w:sz w:val="24"/>
          <w:szCs w:val="24"/>
        </w:rPr>
        <w:t xml:space="preserve"> </w:t>
      </w:r>
      <w:r>
        <w:rPr>
          <w:rFonts w:ascii="宋体" w:hAnsi="宋体" w:eastAsia="宋体" w:cs="宋体"/>
          <w:spacing w:val="-1"/>
          <w:sz w:val="24"/>
          <w:szCs w:val="24"/>
        </w:rPr>
        <w:t>10%计算；车船使用税按规定的广东省车船</w:t>
      </w:r>
      <w:r>
        <w:rPr>
          <w:rFonts w:ascii="宋体" w:hAnsi="宋体" w:eastAsia="宋体" w:cs="宋体"/>
          <w:spacing w:val="-2"/>
          <w:sz w:val="24"/>
          <w:szCs w:val="24"/>
        </w:rPr>
        <w:t>使用税标准计算。</w:t>
      </w:r>
    </w:p>
    <w:p w14:paraId="1D3F809B">
      <w:pPr>
        <w:spacing w:before="3" w:line="358" w:lineRule="auto"/>
        <w:ind w:left="10" w:right="7" w:firstLine="474"/>
        <w:rPr>
          <w:rFonts w:ascii="宋体" w:hAnsi="宋体" w:eastAsia="宋体" w:cs="宋体"/>
          <w:sz w:val="24"/>
          <w:szCs w:val="24"/>
        </w:rPr>
      </w:pPr>
      <w:r>
        <w:rPr>
          <w:rFonts w:ascii="宋体" w:hAnsi="宋体" w:eastAsia="宋体" w:cs="宋体"/>
          <w:sz w:val="24"/>
          <w:szCs w:val="24"/>
        </w:rPr>
        <w:t>b. 未包含的机械设备停置费按如下公式计算：按照年限平均法直</w:t>
      </w:r>
      <w:r>
        <w:rPr>
          <w:rFonts w:ascii="宋体" w:hAnsi="宋体" w:eastAsia="宋体" w:cs="宋体"/>
          <w:spacing w:val="-1"/>
          <w:sz w:val="24"/>
          <w:szCs w:val="24"/>
        </w:rPr>
        <w:t>线计提折旧，折</w:t>
      </w:r>
      <w:r>
        <w:rPr>
          <w:rFonts w:ascii="宋体" w:hAnsi="宋体" w:eastAsia="宋体" w:cs="宋体"/>
          <w:sz w:val="24"/>
          <w:szCs w:val="24"/>
        </w:rPr>
        <w:t>旧年限为</w:t>
      </w:r>
      <w:r>
        <w:rPr>
          <w:rFonts w:ascii="宋体" w:hAnsi="宋体" w:eastAsia="宋体" w:cs="宋体"/>
          <w:spacing w:val="-23"/>
          <w:sz w:val="24"/>
          <w:szCs w:val="24"/>
        </w:rPr>
        <w:t xml:space="preserve"> </w:t>
      </w:r>
      <w:r>
        <w:rPr>
          <w:rFonts w:ascii="宋体" w:hAnsi="宋体" w:eastAsia="宋体" w:cs="宋体"/>
          <w:sz w:val="24"/>
          <w:szCs w:val="24"/>
        </w:rPr>
        <w:t>10</w:t>
      </w:r>
      <w:r>
        <w:rPr>
          <w:rFonts w:ascii="宋体" w:hAnsi="宋体" w:eastAsia="宋体" w:cs="宋体"/>
          <w:spacing w:val="-50"/>
          <w:sz w:val="24"/>
          <w:szCs w:val="24"/>
        </w:rPr>
        <w:t xml:space="preserve"> </w:t>
      </w:r>
      <w:r>
        <w:rPr>
          <w:rFonts w:ascii="宋体" w:hAnsi="宋体" w:eastAsia="宋体" w:cs="宋体"/>
          <w:sz w:val="24"/>
          <w:szCs w:val="24"/>
        </w:rPr>
        <w:t>年，年折旧额=固定资产原值×（1-残值率）/折旧年限，残值率为4%；月</w:t>
      </w:r>
      <w:r>
        <w:rPr>
          <w:rFonts w:ascii="宋体" w:hAnsi="宋体" w:eastAsia="宋体" w:cs="宋体"/>
          <w:spacing w:val="-2"/>
          <w:sz w:val="24"/>
          <w:szCs w:val="24"/>
        </w:rPr>
        <w:t>折旧额=年折旧额/12，末月的天数≥16</w:t>
      </w:r>
      <w:r>
        <w:rPr>
          <w:rFonts w:ascii="宋体" w:hAnsi="宋体" w:eastAsia="宋体" w:cs="宋体"/>
          <w:spacing w:val="-37"/>
          <w:sz w:val="24"/>
          <w:szCs w:val="24"/>
        </w:rPr>
        <w:t xml:space="preserve"> </w:t>
      </w:r>
      <w:r>
        <w:rPr>
          <w:rFonts w:ascii="宋体" w:hAnsi="宋体" w:eastAsia="宋体" w:cs="宋体"/>
          <w:spacing w:val="-2"/>
          <w:sz w:val="24"/>
          <w:szCs w:val="24"/>
        </w:rPr>
        <w:t>时，按</w:t>
      </w:r>
      <w:r>
        <w:rPr>
          <w:rFonts w:ascii="宋体" w:hAnsi="宋体" w:eastAsia="宋体" w:cs="宋体"/>
          <w:spacing w:val="-33"/>
          <w:sz w:val="24"/>
          <w:szCs w:val="24"/>
        </w:rPr>
        <w:t xml:space="preserve"> </w:t>
      </w:r>
      <w:r>
        <w:rPr>
          <w:rFonts w:ascii="宋体" w:hAnsi="宋体" w:eastAsia="宋体" w:cs="宋体"/>
          <w:spacing w:val="-2"/>
          <w:sz w:val="24"/>
          <w:szCs w:val="24"/>
        </w:rPr>
        <w:t>1</w:t>
      </w:r>
      <w:r>
        <w:rPr>
          <w:rFonts w:ascii="宋体" w:hAnsi="宋体" w:eastAsia="宋体" w:cs="宋体"/>
          <w:spacing w:val="-51"/>
          <w:sz w:val="24"/>
          <w:szCs w:val="24"/>
        </w:rPr>
        <w:t xml:space="preserve"> </w:t>
      </w:r>
      <w:r>
        <w:rPr>
          <w:rFonts w:ascii="宋体" w:hAnsi="宋体" w:eastAsia="宋体" w:cs="宋体"/>
          <w:spacing w:val="-2"/>
          <w:sz w:val="24"/>
          <w:szCs w:val="24"/>
        </w:rPr>
        <w:t>个月计算，否则末月不计。</w:t>
      </w:r>
    </w:p>
    <w:p w14:paraId="582CBDA9">
      <w:pPr>
        <w:spacing w:before="2" w:line="361" w:lineRule="auto"/>
        <w:ind w:left="8" w:right="67" w:firstLine="484"/>
        <w:rPr>
          <w:rFonts w:ascii="宋体" w:hAnsi="宋体" w:eastAsia="宋体" w:cs="宋体"/>
          <w:sz w:val="24"/>
          <w:szCs w:val="24"/>
        </w:rPr>
      </w:pPr>
      <w:r>
        <w:rPr>
          <w:rFonts w:ascii="宋体" w:hAnsi="宋体" w:eastAsia="宋体" w:cs="宋体"/>
          <w:sz w:val="24"/>
          <w:szCs w:val="24"/>
        </w:rPr>
        <w:t>3）已进场的主要管理人员的工资费用。补偿</w:t>
      </w:r>
      <w:r>
        <w:rPr>
          <w:rFonts w:ascii="宋体" w:hAnsi="宋体" w:eastAsia="宋体" w:cs="宋体"/>
          <w:spacing w:val="-1"/>
          <w:sz w:val="24"/>
          <w:szCs w:val="24"/>
        </w:rPr>
        <w:t>的人员数量不得超过合同承诺投入的</w:t>
      </w:r>
      <w:r>
        <w:rPr>
          <w:rFonts w:ascii="宋体" w:hAnsi="宋体" w:eastAsia="宋体" w:cs="宋体"/>
          <w:spacing w:val="1"/>
          <w:sz w:val="24"/>
          <w:szCs w:val="24"/>
        </w:rPr>
        <w:t>相应数量（第二章 投标人须知附录6 资格审查条件(其他管理人员和技术人员最低要</w:t>
      </w:r>
    </w:p>
    <w:p w14:paraId="08C13DA6">
      <w:pPr>
        <w:spacing w:before="311" w:line="359" w:lineRule="auto"/>
        <w:ind w:left="7" w:right="80" w:firstLine="2"/>
        <w:jc w:val="both"/>
        <w:rPr>
          <w:rFonts w:ascii="宋体" w:hAnsi="宋体" w:eastAsia="宋体" w:cs="宋体"/>
          <w:sz w:val="24"/>
          <w:szCs w:val="24"/>
        </w:rPr>
      </w:pPr>
      <w:r>
        <w:rPr>
          <w:rFonts w:ascii="宋体" w:hAnsi="宋体" w:eastAsia="宋体" w:cs="宋体"/>
          <w:spacing w:val="-1"/>
          <w:sz w:val="24"/>
          <w:szCs w:val="24"/>
        </w:rPr>
        <w:br w:type="page"/>
      </w:r>
      <w:r>
        <w:rPr>
          <w:rFonts w:ascii="宋体" w:hAnsi="宋体" w:eastAsia="宋体" w:cs="宋体"/>
          <w:spacing w:val="-1"/>
          <w:sz w:val="24"/>
          <w:szCs w:val="24"/>
        </w:rPr>
        <w:t>求)</w:t>
      </w:r>
      <w:r>
        <w:rPr>
          <w:rFonts w:ascii="宋体" w:hAnsi="宋体" w:eastAsia="宋体" w:cs="宋体"/>
          <w:spacing w:val="11"/>
          <w:sz w:val="24"/>
          <w:szCs w:val="24"/>
        </w:rPr>
        <w:t>）；</w:t>
      </w:r>
      <w:r>
        <w:rPr>
          <w:rFonts w:ascii="宋体" w:hAnsi="宋体" w:eastAsia="宋体" w:cs="宋体"/>
          <w:spacing w:val="-1"/>
          <w:sz w:val="24"/>
          <w:szCs w:val="24"/>
        </w:rPr>
        <w:t>补偿单价以统计局公布的项目所在地上一年度平均月收入为基数，具有高级职</w:t>
      </w:r>
      <w:r>
        <w:rPr>
          <w:rFonts w:ascii="宋体" w:hAnsi="宋体" w:eastAsia="宋体" w:cs="宋体"/>
          <w:spacing w:val="-3"/>
          <w:sz w:val="24"/>
          <w:szCs w:val="24"/>
        </w:rPr>
        <w:t>称的人员工资按</w:t>
      </w:r>
      <w:r>
        <w:rPr>
          <w:rFonts w:ascii="宋体" w:hAnsi="宋体" w:eastAsia="宋体" w:cs="宋体"/>
          <w:spacing w:val="-40"/>
          <w:sz w:val="24"/>
          <w:szCs w:val="24"/>
        </w:rPr>
        <w:t xml:space="preserve"> </w:t>
      </w:r>
      <w:r>
        <w:rPr>
          <w:rFonts w:ascii="宋体" w:hAnsi="宋体" w:eastAsia="宋体" w:cs="宋体"/>
          <w:spacing w:val="-3"/>
          <w:sz w:val="24"/>
          <w:szCs w:val="24"/>
        </w:rPr>
        <w:t>3</w:t>
      </w:r>
      <w:r>
        <w:rPr>
          <w:rFonts w:ascii="宋体" w:hAnsi="宋体" w:eastAsia="宋体" w:cs="宋体"/>
          <w:spacing w:val="-50"/>
          <w:sz w:val="24"/>
          <w:szCs w:val="24"/>
        </w:rPr>
        <w:t xml:space="preserve"> </w:t>
      </w:r>
      <w:r>
        <w:rPr>
          <w:rFonts w:ascii="宋体" w:hAnsi="宋体" w:eastAsia="宋体" w:cs="宋体"/>
          <w:spacing w:val="-3"/>
          <w:sz w:val="24"/>
          <w:szCs w:val="24"/>
        </w:rPr>
        <w:t>倍计算，具有中级职称的人员工资按</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51"/>
          <w:sz w:val="24"/>
          <w:szCs w:val="24"/>
        </w:rPr>
        <w:t xml:space="preserve"> </w:t>
      </w:r>
      <w:r>
        <w:rPr>
          <w:rFonts w:ascii="宋体" w:hAnsi="宋体" w:eastAsia="宋体" w:cs="宋体"/>
          <w:spacing w:val="-3"/>
          <w:sz w:val="24"/>
          <w:szCs w:val="24"/>
        </w:rPr>
        <w:t>倍计算，其他管理人员工资按</w:t>
      </w:r>
      <w:r>
        <w:rPr>
          <w:rFonts w:ascii="宋体" w:hAnsi="宋体" w:eastAsia="宋体" w:cs="宋体"/>
          <w:spacing w:val="-4"/>
          <w:sz w:val="24"/>
          <w:szCs w:val="24"/>
        </w:rPr>
        <w:t>1</w:t>
      </w:r>
      <w:r>
        <w:rPr>
          <w:rFonts w:ascii="宋体" w:hAnsi="宋体" w:eastAsia="宋体" w:cs="宋体"/>
          <w:spacing w:val="-50"/>
          <w:sz w:val="24"/>
          <w:szCs w:val="24"/>
        </w:rPr>
        <w:t xml:space="preserve"> </w:t>
      </w:r>
      <w:r>
        <w:rPr>
          <w:rFonts w:ascii="宋体" w:hAnsi="宋体" w:eastAsia="宋体" w:cs="宋体"/>
          <w:spacing w:val="-4"/>
          <w:sz w:val="24"/>
          <w:szCs w:val="24"/>
        </w:rPr>
        <w:t>倍计算；</w:t>
      </w:r>
    </w:p>
    <w:p w14:paraId="6CDEFEB0">
      <w:pPr>
        <w:spacing w:line="219" w:lineRule="auto"/>
        <w:ind w:left="487"/>
        <w:rPr>
          <w:rFonts w:ascii="宋体" w:hAnsi="宋体" w:eastAsia="宋体" w:cs="宋体"/>
          <w:sz w:val="24"/>
          <w:szCs w:val="24"/>
        </w:rPr>
      </w:pPr>
      <w:r>
        <w:rPr>
          <w:rFonts w:ascii="宋体" w:hAnsi="宋体" w:eastAsia="宋体" w:cs="宋体"/>
          <w:spacing w:val="-1"/>
          <w:sz w:val="24"/>
          <w:szCs w:val="24"/>
        </w:rPr>
        <w:t>4)仅对超出</w:t>
      </w:r>
      <w:r>
        <w:rPr>
          <w:rFonts w:ascii="宋体" w:hAnsi="宋体" w:eastAsia="宋体" w:cs="宋体"/>
          <w:spacing w:val="-1"/>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1"/>
          <w:sz w:val="24"/>
          <w:szCs w:val="24"/>
        </w:rPr>
        <w:t>个月以上部分进行补偿；</w:t>
      </w:r>
    </w:p>
    <w:p w14:paraId="6AE58670">
      <w:pPr>
        <w:spacing w:before="183" w:line="219" w:lineRule="auto"/>
        <w:ind w:left="493"/>
        <w:rPr>
          <w:rFonts w:ascii="宋体" w:hAnsi="宋体" w:eastAsia="宋体" w:cs="宋体"/>
          <w:sz w:val="24"/>
          <w:szCs w:val="24"/>
        </w:rPr>
      </w:pPr>
      <w:r>
        <w:rPr>
          <w:rFonts w:ascii="宋体" w:hAnsi="宋体" w:eastAsia="宋体" w:cs="宋体"/>
          <w:sz w:val="24"/>
          <w:szCs w:val="24"/>
        </w:rPr>
        <w:t>5）除上述规定的补偿项目之外，其余由于</w:t>
      </w:r>
      <w:r>
        <w:rPr>
          <w:rFonts w:ascii="宋体" w:hAnsi="宋体" w:eastAsia="宋体" w:cs="宋体"/>
          <w:spacing w:val="-1"/>
          <w:sz w:val="24"/>
          <w:szCs w:val="24"/>
        </w:rPr>
        <w:t>工期顺延增加的费用由承包人承担。</w:t>
      </w:r>
    </w:p>
    <w:p w14:paraId="3EC421C0">
      <w:pPr>
        <w:spacing w:before="181" w:line="359" w:lineRule="auto"/>
        <w:ind w:left="8" w:right="80" w:firstLine="483"/>
        <w:rPr>
          <w:rFonts w:ascii="宋体" w:hAnsi="宋体" w:eastAsia="宋体" w:cs="宋体"/>
          <w:sz w:val="24"/>
          <w:szCs w:val="24"/>
        </w:rPr>
      </w:pPr>
      <w:r>
        <w:rPr>
          <w:rFonts w:ascii="宋体" w:hAnsi="宋体" w:eastAsia="宋体" w:cs="宋体"/>
          <w:sz w:val="24"/>
          <w:szCs w:val="24"/>
        </w:rPr>
        <w:t>如因非承包人责任造成工期拖延或其他非承包</w:t>
      </w:r>
      <w:r>
        <w:rPr>
          <w:rFonts w:ascii="宋体" w:hAnsi="宋体" w:eastAsia="宋体" w:cs="宋体"/>
          <w:spacing w:val="-1"/>
          <w:sz w:val="24"/>
          <w:szCs w:val="24"/>
        </w:rPr>
        <w:t>人自身原因需要加快工程进度的情</w:t>
      </w:r>
      <w:r>
        <w:rPr>
          <w:rFonts w:ascii="宋体" w:hAnsi="宋体" w:eastAsia="宋体" w:cs="宋体"/>
          <w:spacing w:val="-2"/>
          <w:sz w:val="24"/>
          <w:szCs w:val="24"/>
        </w:rPr>
        <w:t>况，承包人应发包人的要求而采取加快工程进度措施的，按预算法或实际费用法测算发</w:t>
      </w:r>
      <w:r>
        <w:rPr>
          <w:rFonts w:ascii="宋体" w:hAnsi="宋体" w:eastAsia="宋体" w:cs="宋体"/>
          <w:spacing w:val="-1"/>
          <w:sz w:val="24"/>
          <w:szCs w:val="24"/>
        </w:rPr>
        <w:t>计算加速施工费用给予补偿：</w:t>
      </w:r>
    </w:p>
    <w:p w14:paraId="1F5535B0">
      <w:pPr>
        <w:spacing w:line="359" w:lineRule="auto"/>
        <w:ind w:left="28" w:right="147" w:firstLine="478"/>
        <w:rPr>
          <w:rFonts w:ascii="宋体" w:hAnsi="宋体" w:eastAsia="宋体" w:cs="宋体"/>
          <w:sz w:val="24"/>
          <w:szCs w:val="24"/>
        </w:rPr>
      </w:pPr>
      <w:r>
        <w:rPr>
          <w:rFonts w:ascii="宋体" w:hAnsi="宋体" w:eastAsia="宋体" w:cs="宋体"/>
          <w:spacing w:val="-1"/>
          <w:sz w:val="24"/>
          <w:szCs w:val="24"/>
        </w:rPr>
        <w:t>1）承包人应编制加速施工措施方案，并经监理和发包人审批同意后实施，经审批</w:t>
      </w:r>
      <w:r>
        <w:rPr>
          <w:rFonts w:ascii="宋体" w:hAnsi="宋体" w:eastAsia="宋体" w:cs="宋体"/>
          <w:spacing w:val="-2"/>
          <w:sz w:val="24"/>
          <w:szCs w:val="24"/>
        </w:rPr>
        <w:t>的加速施工方案将作为加速施工费用计算的依据。</w:t>
      </w:r>
    </w:p>
    <w:p w14:paraId="0B2B3C15">
      <w:pPr>
        <w:spacing w:before="1" w:line="359" w:lineRule="auto"/>
        <w:ind w:left="9" w:firstLine="481"/>
        <w:rPr>
          <w:rFonts w:ascii="宋体" w:hAnsi="宋体" w:eastAsia="宋体" w:cs="宋体"/>
          <w:sz w:val="24"/>
          <w:szCs w:val="24"/>
        </w:rPr>
      </w:pPr>
      <w:r>
        <w:rPr>
          <w:rFonts w:ascii="宋体" w:hAnsi="宋体" w:eastAsia="宋体" w:cs="宋体"/>
          <w:spacing w:val="-3"/>
          <w:sz w:val="24"/>
          <w:szCs w:val="24"/>
        </w:rPr>
        <w:t>2）加速施工费用按预算法或实际费用法测算进行计算，包括人工机械施工降效费、</w:t>
      </w:r>
      <w:r>
        <w:rPr>
          <w:rFonts w:ascii="宋体" w:hAnsi="宋体" w:eastAsia="宋体" w:cs="宋体"/>
          <w:spacing w:val="-2"/>
          <w:sz w:val="24"/>
          <w:szCs w:val="24"/>
        </w:rPr>
        <w:t>夜间施工增加费、新增人员机械进出场费、新增措施费等以及相应的企业管理费、利润</w:t>
      </w:r>
      <w:r>
        <w:rPr>
          <w:rFonts w:ascii="宋体" w:hAnsi="宋体" w:eastAsia="宋体" w:cs="宋体"/>
          <w:spacing w:val="-3"/>
          <w:sz w:val="24"/>
          <w:szCs w:val="24"/>
        </w:rPr>
        <w:t>和税金。</w:t>
      </w:r>
    </w:p>
    <w:p w14:paraId="3C48991A">
      <w:pPr>
        <w:spacing w:before="6" w:line="358" w:lineRule="auto"/>
        <w:ind w:left="8" w:right="80" w:firstLine="484"/>
        <w:rPr>
          <w:rFonts w:ascii="宋体" w:hAnsi="宋体" w:eastAsia="宋体" w:cs="宋体"/>
          <w:sz w:val="24"/>
          <w:szCs w:val="24"/>
        </w:rPr>
      </w:pPr>
      <w:r>
        <w:rPr>
          <w:rFonts w:ascii="宋体" w:hAnsi="宋体" w:eastAsia="宋体" w:cs="宋体"/>
          <w:sz w:val="24"/>
          <w:szCs w:val="24"/>
        </w:rPr>
        <w:t>3）人工机械施工降效费为完成加速施工工程</w:t>
      </w:r>
      <w:r>
        <w:rPr>
          <w:rFonts w:ascii="宋体" w:hAnsi="宋体" w:eastAsia="宋体" w:cs="宋体"/>
          <w:spacing w:val="-1"/>
          <w:sz w:val="24"/>
          <w:szCs w:val="24"/>
        </w:rPr>
        <w:t>所需人工机械费用与完成同样工程量</w:t>
      </w:r>
      <w:r>
        <w:rPr>
          <w:rFonts w:ascii="宋体" w:hAnsi="宋体" w:eastAsia="宋体" w:cs="宋体"/>
          <w:spacing w:val="-2"/>
          <w:sz w:val="24"/>
          <w:szCs w:val="24"/>
        </w:rPr>
        <w:t>的正常施工所需人工机械费用之差。即人工机械降效费=</w:t>
      </w:r>
      <w:r>
        <w:rPr>
          <w:rFonts w:ascii="宋体" w:hAnsi="宋体" w:eastAsia="宋体" w:cs="宋体"/>
          <w:spacing w:val="-55"/>
          <w:sz w:val="24"/>
          <w:szCs w:val="24"/>
        </w:rPr>
        <w:t xml:space="preserve"> </w:t>
      </w:r>
      <w:r>
        <w:rPr>
          <w:rFonts w:ascii="宋体" w:hAnsi="宋体" w:eastAsia="宋体" w:cs="宋体"/>
          <w:spacing w:val="-2"/>
          <w:sz w:val="24"/>
          <w:szCs w:val="24"/>
        </w:rPr>
        <w:t>Σ（单位清单子目加速施工的人工机械费用-单位清单子目正常施工所需人工机械费用）*加速施工工程量。单位清单子目加速施工的人工机械费用按照现行《水运工程定额编制规定》的有关规定测定，单</w:t>
      </w:r>
      <w:r>
        <w:rPr>
          <w:rFonts w:ascii="宋体" w:hAnsi="宋体" w:eastAsia="宋体" w:cs="宋体"/>
          <w:sz w:val="24"/>
          <w:szCs w:val="24"/>
        </w:rPr>
        <w:t>位清单子目正常施工所需要的人工机械费用按相应水运工</w:t>
      </w:r>
      <w:r>
        <w:rPr>
          <w:rFonts w:ascii="宋体" w:hAnsi="宋体" w:eastAsia="宋体" w:cs="宋体"/>
          <w:spacing w:val="-1"/>
          <w:sz w:val="24"/>
          <w:szCs w:val="24"/>
        </w:rPr>
        <w:t>程预算定额的规定计算。</w:t>
      </w:r>
    </w:p>
    <w:p w14:paraId="2E599E50">
      <w:pPr>
        <w:spacing w:before="2" w:line="359" w:lineRule="auto"/>
        <w:ind w:left="6" w:right="80" w:firstLine="480"/>
        <w:rPr>
          <w:rFonts w:ascii="宋体" w:hAnsi="宋体" w:eastAsia="宋体" w:cs="宋体"/>
          <w:sz w:val="24"/>
          <w:szCs w:val="24"/>
        </w:rPr>
      </w:pPr>
      <w:r>
        <w:rPr>
          <w:rFonts w:ascii="宋体" w:hAnsi="宋体" w:eastAsia="宋体" w:cs="宋体"/>
          <w:sz w:val="24"/>
          <w:szCs w:val="24"/>
        </w:rPr>
        <w:t>4）夜间施工增加费包括人工机械降效费、照明设施费和加</w:t>
      </w:r>
      <w:r>
        <w:rPr>
          <w:rFonts w:ascii="宋体" w:hAnsi="宋体" w:eastAsia="宋体" w:cs="宋体"/>
          <w:spacing w:val="-1"/>
          <w:sz w:val="24"/>
          <w:szCs w:val="24"/>
        </w:rPr>
        <w:t>班费，夜间施工人工机</w:t>
      </w:r>
      <w:r>
        <w:rPr>
          <w:rFonts w:ascii="宋体" w:hAnsi="宋体" w:eastAsia="宋体" w:cs="宋体"/>
          <w:sz w:val="24"/>
          <w:szCs w:val="24"/>
        </w:rPr>
        <w:t>械降效费应为夜间施工所需人工机械费用与完成同样工程量的日</w:t>
      </w:r>
      <w:r>
        <w:rPr>
          <w:rFonts w:ascii="宋体" w:hAnsi="宋体" w:eastAsia="宋体" w:cs="宋体"/>
          <w:spacing w:val="-1"/>
          <w:sz w:val="24"/>
          <w:szCs w:val="24"/>
        </w:rPr>
        <w:t>间正常施工所需人工机械费用之差，计算方法同第</w:t>
      </w:r>
      <w:r>
        <w:rPr>
          <w:rFonts w:ascii="宋体" w:hAnsi="宋体" w:eastAsia="宋体" w:cs="宋体"/>
          <w:spacing w:val="-31"/>
          <w:sz w:val="24"/>
          <w:szCs w:val="24"/>
        </w:rPr>
        <w:t xml:space="preserve"> </w:t>
      </w:r>
      <w:r>
        <w:rPr>
          <w:rFonts w:ascii="宋体" w:hAnsi="宋体" w:eastAsia="宋体" w:cs="宋体"/>
          <w:spacing w:val="-1"/>
          <w:sz w:val="24"/>
          <w:szCs w:val="24"/>
        </w:rPr>
        <w:t>3）项，照明设施费包括灯具、照明用电或发电机等照明</w:t>
      </w:r>
      <w:r>
        <w:rPr>
          <w:rFonts w:ascii="宋体" w:hAnsi="宋体" w:eastAsia="宋体" w:cs="宋体"/>
          <w:spacing w:val="-2"/>
          <w:sz w:val="24"/>
          <w:szCs w:val="24"/>
        </w:rPr>
        <w:t>相关费用，加班费应按国家有关规定计算。实施性施工组织设计或开工报告已安排夜间施工的工程，加速施工费不得计算该工程夜间施工增加费，实施性施工组织设计或开工报告未明确夜间施工的工程，如果工程量清单预算已计取夜间施工增加费的，加速施工</w:t>
      </w:r>
      <w:r>
        <w:rPr>
          <w:rFonts w:ascii="宋体" w:hAnsi="宋体" w:eastAsia="宋体" w:cs="宋体"/>
          <w:spacing w:val="-1"/>
          <w:sz w:val="24"/>
          <w:szCs w:val="24"/>
        </w:rPr>
        <w:t>费不得计算该工程夜间施工增加费。</w:t>
      </w:r>
    </w:p>
    <w:p w14:paraId="5E0CD07B">
      <w:pPr>
        <w:spacing w:line="359" w:lineRule="auto"/>
        <w:ind w:left="11" w:right="80" w:firstLine="481"/>
        <w:rPr>
          <w:rFonts w:ascii="宋体" w:hAnsi="宋体" w:eastAsia="宋体" w:cs="宋体"/>
          <w:sz w:val="24"/>
          <w:szCs w:val="24"/>
        </w:rPr>
      </w:pPr>
      <w:r>
        <w:rPr>
          <w:rFonts w:ascii="宋体" w:hAnsi="宋体" w:eastAsia="宋体" w:cs="宋体"/>
          <w:spacing w:val="1"/>
          <w:sz w:val="24"/>
          <w:szCs w:val="24"/>
        </w:rPr>
        <w:t>5）新增人员进退场费用按</w:t>
      </w:r>
      <w:r>
        <w:rPr>
          <w:rFonts w:ascii="宋体" w:hAnsi="宋体" w:eastAsia="宋体" w:cs="宋体"/>
          <w:spacing w:val="1"/>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1"/>
          <w:sz w:val="24"/>
          <w:szCs w:val="24"/>
        </w:rPr>
        <w:t>元/人计算，此费用包含人员从出发地至施工现场及</w:t>
      </w:r>
      <w:r>
        <w:rPr>
          <w:rFonts w:ascii="宋体" w:hAnsi="宋体" w:eastAsia="宋体" w:cs="宋体"/>
          <w:spacing w:val="-1"/>
          <w:sz w:val="24"/>
          <w:szCs w:val="24"/>
        </w:rPr>
        <w:t>从施工现场返回出发地的交通、食宿等相关费用；</w:t>
      </w:r>
    </w:p>
    <w:p w14:paraId="6A63B713">
      <w:pPr>
        <w:spacing w:line="359" w:lineRule="auto"/>
        <w:ind w:left="9" w:right="18" w:firstLine="484"/>
        <w:rPr>
          <w:rFonts w:ascii="宋体" w:hAnsi="宋体" w:eastAsia="宋体" w:cs="宋体"/>
          <w:sz w:val="24"/>
          <w:szCs w:val="24"/>
        </w:rPr>
      </w:pPr>
      <w:r>
        <w:rPr>
          <w:rFonts w:ascii="宋体" w:hAnsi="宋体" w:eastAsia="宋体" w:cs="宋体"/>
          <w:spacing w:val="-3"/>
          <w:sz w:val="24"/>
          <w:szCs w:val="24"/>
        </w:rPr>
        <w:t>7）新增自走式机械的进退场费用按</w:t>
      </w:r>
      <w:r>
        <w:rPr>
          <w:rFonts w:ascii="宋体" w:hAnsi="宋体" w:eastAsia="宋体" w:cs="宋体"/>
          <w:spacing w:val="31"/>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3"/>
          <w:sz w:val="24"/>
          <w:szCs w:val="24"/>
        </w:rPr>
        <w:t>个台班计算，非自走式机械按</w:t>
      </w:r>
      <w:r>
        <w:rPr>
          <w:rFonts w:ascii="宋体" w:hAnsi="宋体" w:eastAsia="宋体" w:cs="宋体"/>
          <w:spacing w:val="31"/>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3"/>
          <w:sz w:val="24"/>
          <w:szCs w:val="24"/>
        </w:rPr>
        <w:t>天计算，</w:t>
      </w:r>
      <w:r>
        <w:rPr>
          <w:rFonts w:ascii="宋体" w:hAnsi="宋体" w:eastAsia="宋体" w:cs="宋体"/>
          <w:spacing w:val="-1"/>
          <w:sz w:val="24"/>
          <w:szCs w:val="24"/>
        </w:rPr>
        <w:t>停置费再加上</w:t>
      </w:r>
      <w:r>
        <w:rPr>
          <w:rFonts w:ascii="宋体" w:hAnsi="宋体" w:eastAsia="宋体" w:cs="宋体"/>
          <w:spacing w:val="-1"/>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
          <w:sz w:val="24"/>
          <w:szCs w:val="24"/>
        </w:rPr>
        <w:t>个台班的运输机械台班费；</w:t>
      </w:r>
    </w:p>
    <w:p w14:paraId="651C981D">
      <w:pPr>
        <w:spacing w:before="1" w:line="218" w:lineRule="auto"/>
        <w:ind w:left="489"/>
        <w:rPr>
          <w:rFonts w:ascii="宋体" w:hAnsi="宋体" w:eastAsia="宋体" w:cs="宋体"/>
          <w:sz w:val="24"/>
          <w:szCs w:val="24"/>
        </w:rPr>
      </w:pPr>
      <w:r>
        <w:rPr>
          <w:rFonts w:ascii="宋体" w:hAnsi="宋体" w:eastAsia="宋体" w:cs="宋体"/>
          <w:sz w:val="24"/>
          <w:szCs w:val="24"/>
        </w:rPr>
        <w:t>8）新增措施费按措施方案及现场实际投入计算，其中</w:t>
      </w:r>
      <w:r>
        <w:rPr>
          <w:rFonts w:ascii="宋体" w:hAnsi="宋体" w:eastAsia="宋体" w:cs="宋体"/>
          <w:spacing w:val="-1"/>
          <w:sz w:val="24"/>
          <w:szCs w:val="24"/>
        </w:rPr>
        <w:t>自有周转性材料和设备应只</w:t>
      </w:r>
    </w:p>
    <w:p w14:paraId="646C1541">
      <w:pPr>
        <w:spacing w:before="312" w:line="359" w:lineRule="auto"/>
        <w:ind w:left="27" w:right="13" w:hanging="19"/>
        <w:rPr>
          <w:rFonts w:ascii="宋体" w:hAnsi="宋体" w:eastAsia="宋体" w:cs="宋体"/>
          <w:sz w:val="24"/>
          <w:szCs w:val="24"/>
        </w:rPr>
      </w:pPr>
      <w:r>
        <w:rPr>
          <w:rFonts w:ascii="宋体" w:hAnsi="宋体" w:eastAsia="宋体" w:cs="宋体"/>
          <w:spacing w:val="-2"/>
          <w:sz w:val="24"/>
          <w:szCs w:val="24"/>
        </w:rPr>
        <w:br w:type="page"/>
      </w:r>
      <w:r>
        <w:rPr>
          <w:rFonts w:ascii="宋体" w:hAnsi="宋体" w:eastAsia="宋体" w:cs="宋体"/>
          <w:spacing w:val="-2"/>
          <w:sz w:val="24"/>
          <w:szCs w:val="24"/>
        </w:rPr>
        <w:t>计新增数量的进出场费，租赁的机械设备及周转性材料可按租赁价格与经定额计算价格</w:t>
      </w:r>
      <w:r>
        <w:rPr>
          <w:rFonts w:ascii="宋体" w:hAnsi="宋体" w:eastAsia="宋体" w:cs="宋体"/>
          <w:spacing w:val="-3"/>
          <w:sz w:val="24"/>
          <w:szCs w:val="24"/>
        </w:rPr>
        <w:t>的差额测算增加费用。</w:t>
      </w:r>
    </w:p>
    <w:p w14:paraId="3F3F9D22">
      <w:pPr>
        <w:spacing w:line="219" w:lineRule="auto"/>
        <w:ind w:left="489"/>
        <w:rPr>
          <w:rFonts w:ascii="宋体" w:hAnsi="宋体" w:eastAsia="宋体" w:cs="宋体"/>
          <w:sz w:val="24"/>
          <w:szCs w:val="24"/>
        </w:rPr>
      </w:pPr>
      <w:r>
        <w:rPr>
          <w:rFonts w:ascii="宋体" w:hAnsi="宋体" w:eastAsia="宋体" w:cs="宋体"/>
          <w:spacing w:val="-1"/>
          <w:sz w:val="24"/>
          <w:szCs w:val="24"/>
        </w:rPr>
        <w:t>9）如因承包人自身原因导致的加速施工，不予调整费用。</w:t>
      </w:r>
    </w:p>
    <w:p w14:paraId="436C1BB9">
      <w:pPr>
        <w:spacing w:before="180" w:line="359" w:lineRule="auto"/>
        <w:ind w:left="28" w:right="13" w:firstLine="460"/>
        <w:rPr>
          <w:rFonts w:ascii="宋体" w:hAnsi="宋体" w:eastAsia="宋体" w:cs="宋体"/>
          <w:sz w:val="24"/>
          <w:szCs w:val="24"/>
        </w:rPr>
      </w:pPr>
      <w:r>
        <w:rPr>
          <w:rFonts w:ascii="宋体" w:hAnsi="宋体" w:eastAsia="宋体" w:cs="宋体"/>
          <w:spacing w:val="-2"/>
          <w:sz w:val="24"/>
          <w:szCs w:val="24"/>
        </w:rPr>
        <w:t>加速施工的工程内容和工程量，增加投入的人员、机械和措施等均以监理和发包人</w:t>
      </w:r>
      <w:r>
        <w:rPr>
          <w:rFonts w:ascii="宋体" w:hAnsi="宋体" w:eastAsia="宋体" w:cs="宋体"/>
          <w:spacing w:val="-4"/>
          <w:sz w:val="24"/>
          <w:szCs w:val="24"/>
        </w:rPr>
        <w:t>的确认记录为准。</w:t>
      </w:r>
    </w:p>
    <w:p w14:paraId="1426D5C5">
      <w:pPr>
        <w:spacing w:line="219" w:lineRule="auto"/>
        <w:ind w:left="506"/>
        <w:rPr>
          <w:rFonts w:ascii="宋体" w:hAnsi="宋体" w:eastAsia="宋体" w:cs="宋体"/>
          <w:sz w:val="24"/>
          <w:szCs w:val="24"/>
        </w:rPr>
      </w:pPr>
      <w:r>
        <w:rPr>
          <w:rFonts w:ascii="宋体" w:hAnsi="宋体" w:eastAsia="宋体" w:cs="宋体"/>
          <w:b/>
          <w:bCs/>
          <w:spacing w:val="-4"/>
          <w:sz w:val="24"/>
          <w:szCs w:val="24"/>
        </w:rPr>
        <w:t>11.4</w:t>
      </w:r>
      <w:r>
        <w:rPr>
          <w:rFonts w:ascii="宋体" w:hAnsi="宋体" w:eastAsia="宋体" w:cs="宋体"/>
          <w:spacing w:val="-4"/>
          <w:sz w:val="24"/>
          <w:szCs w:val="24"/>
        </w:rPr>
        <w:t xml:space="preserve"> </w:t>
      </w:r>
      <w:r>
        <w:rPr>
          <w:rFonts w:ascii="宋体" w:hAnsi="宋体" w:eastAsia="宋体" w:cs="宋体"/>
          <w:b/>
          <w:bCs/>
          <w:spacing w:val="-4"/>
          <w:sz w:val="24"/>
          <w:szCs w:val="24"/>
        </w:rPr>
        <w:t>异常恶劣的气候条件</w:t>
      </w:r>
    </w:p>
    <w:p w14:paraId="4D0D7238">
      <w:pPr>
        <w:spacing w:before="183" w:line="359" w:lineRule="auto"/>
        <w:ind w:left="8" w:right="140" w:firstLine="497"/>
        <w:rPr>
          <w:rFonts w:ascii="宋体" w:hAnsi="宋体" w:eastAsia="宋体" w:cs="宋体"/>
          <w:sz w:val="24"/>
          <w:szCs w:val="24"/>
        </w:rPr>
      </w:pPr>
      <w:r>
        <w:rPr>
          <w:rFonts w:ascii="宋体" w:hAnsi="宋体" w:eastAsia="宋体" w:cs="宋体"/>
          <w:spacing w:val="-1"/>
          <w:sz w:val="24"/>
          <w:szCs w:val="24"/>
        </w:rPr>
        <w:t>11.4.1</w:t>
      </w:r>
      <w:r>
        <w:rPr>
          <w:rFonts w:ascii="宋体" w:hAnsi="宋体" w:eastAsia="宋体" w:cs="宋体"/>
          <w:spacing w:val="-48"/>
          <w:sz w:val="24"/>
          <w:szCs w:val="24"/>
        </w:rPr>
        <w:t xml:space="preserve"> </w:t>
      </w:r>
      <w:r>
        <w:rPr>
          <w:rFonts w:ascii="宋体" w:hAnsi="宋体" w:eastAsia="宋体" w:cs="宋体"/>
          <w:spacing w:val="-1"/>
          <w:sz w:val="24"/>
          <w:szCs w:val="24"/>
        </w:rPr>
        <w:t>异常恶劣的气候条件是指水运工程水域施工作业难以正常进行或须</w:t>
      </w:r>
      <w:r>
        <w:rPr>
          <w:rFonts w:ascii="宋体" w:hAnsi="宋体" w:eastAsia="宋体" w:cs="宋体"/>
          <w:spacing w:val="-2"/>
          <w:sz w:val="24"/>
          <w:szCs w:val="24"/>
        </w:rPr>
        <w:t>采取其</w:t>
      </w:r>
      <w:r>
        <w:rPr>
          <w:rFonts w:ascii="宋体" w:hAnsi="宋体" w:eastAsia="宋体" w:cs="宋体"/>
          <w:spacing w:val="-1"/>
          <w:sz w:val="24"/>
          <w:szCs w:val="24"/>
        </w:rPr>
        <w:t>他补救措施才能进行的气候条件，一般包括：</w:t>
      </w:r>
    </w:p>
    <w:p w14:paraId="2CE7D76F">
      <w:pPr>
        <w:spacing w:line="219" w:lineRule="auto"/>
        <w:ind w:left="530"/>
        <w:rPr>
          <w:rFonts w:ascii="宋体" w:hAnsi="宋体" w:eastAsia="宋体" w:cs="宋体"/>
          <w:sz w:val="24"/>
          <w:szCs w:val="24"/>
        </w:rPr>
      </w:pPr>
      <w:r>
        <w:rPr>
          <w:rFonts w:ascii="宋体" w:hAnsi="宋体" w:eastAsia="宋体" w:cs="宋体"/>
          <w:spacing w:val="-3"/>
          <w:sz w:val="24"/>
          <w:szCs w:val="24"/>
        </w:rPr>
        <w:t>(1)持续高温：连续三日日最高气温</w:t>
      </w:r>
      <w:r>
        <w:rPr>
          <w:rFonts w:ascii="宋体" w:hAnsi="宋体" w:eastAsia="宋体" w:cs="宋体"/>
          <w:spacing w:val="-44"/>
          <w:sz w:val="24"/>
          <w:szCs w:val="24"/>
        </w:rPr>
        <w:t xml:space="preserve"> </w:t>
      </w:r>
      <w:r>
        <w:rPr>
          <w:rFonts w:ascii="宋体" w:hAnsi="宋体" w:eastAsia="宋体" w:cs="宋体"/>
          <w:spacing w:val="-3"/>
          <w:sz w:val="24"/>
          <w:szCs w:val="24"/>
        </w:rPr>
        <w:t>38℃以上；</w:t>
      </w:r>
    </w:p>
    <w:p w14:paraId="578D2A67">
      <w:pPr>
        <w:spacing w:before="181" w:line="219" w:lineRule="auto"/>
        <w:ind w:left="530"/>
        <w:rPr>
          <w:rFonts w:ascii="宋体" w:hAnsi="宋体" w:eastAsia="宋体" w:cs="宋体"/>
          <w:sz w:val="24"/>
          <w:szCs w:val="24"/>
        </w:rPr>
      </w:pPr>
      <w:r>
        <w:rPr>
          <w:rFonts w:ascii="宋体" w:hAnsi="宋体" w:eastAsia="宋体" w:cs="宋体"/>
          <w:spacing w:val="-2"/>
          <w:sz w:val="24"/>
          <w:szCs w:val="24"/>
        </w:rPr>
        <w:t>(2)持续低温：连续三日日最低气温-2</w:t>
      </w:r>
      <w:r>
        <w:rPr>
          <w:rFonts w:ascii="宋体" w:hAnsi="宋体" w:eastAsia="宋体" w:cs="宋体"/>
          <w:spacing w:val="-3"/>
          <w:sz w:val="24"/>
          <w:szCs w:val="24"/>
        </w:rPr>
        <w:t>0℃以下；</w:t>
      </w:r>
    </w:p>
    <w:p w14:paraId="6AEFBF4A">
      <w:pPr>
        <w:spacing w:before="183" w:line="359" w:lineRule="auto"/>
        <w:ind w:left="12" w:right="13" w:firstLine="518"/>
        <w:rPr>
          <w:rFonts w:ascii="宋体" w:hAnsi="宋体" w:eastAsia="宋体" w:cs="宋体"/>
          <w:sz w:val="24"/>
          <w:szCs w:val="24"/>
        </w:rPr>
      </w:pPr>
      <w:r>
        <w:rPr>
          <w:rFonts w:ascii="宋体" w:hAnsi="宋体" w:eastAsia="宋体" w:cs="宋体"/>
          <w:spacing w:val="-4"/>
          <w:sz w:val="24"/>
          <w:szCs w:val="24"/>
        </w:rPr>
        <w:t>(3)大风天气：施工水域日风力在</w:t>
      </w:r>
      <w:r>
        <w:rPr>
          <w:rFonts w:ascii="宋体" w:hAnsi="宋体" w:eastAsia="宋体" w:cs="宋体"/>
          <w:spacing w:val="-48"/>
          <w:sz w:val="24"/>
          <w:szCs w:val="24"/>
        </w:rPr>
        <w:t xml:space="preserve"> </w:t>
      </w:r>
      <w:r>
        <w:rPr>
          <w:rFonts w:ascii="宋体" w:hAnsi="宋体" w:eastAsia="宋体" w:cs="宋体"/>
          <w:spacing w:val="-4"/>
          <w:sz w:val="24"/>
          <w:szCs w:val="24"/>
        </w:rPr>
        <w:t>6</w:t>
      </w:r>
      <w:r>
        <w:rPr>
          <w:rFonts w:ascii="宋体" w:hAnsi="宋体" w:eastAsia="宋体" w:cs="宋体"/>
          <w:spacing w:val="-47"/>
          <w:sz w:val="24"/>
          <w:szCs w:val="24"/>
        </w:rPr>
        <w:t xml:space="preserve"> </w:t>
      </w:r>
      <w:r>
        <w:rPr>
          <w:rFonts w:ascii="宋体" w:hAnsi="宋体" w:eastAsia="宋体" w:cs="宋体"/>
          <w:spacing w:val="-4"/>
          <w:sz w:val="24"/>
          <w:szCs w:val="24"/>
        </w:rPr>
        <w:t>级以上且持续时间不少于</w:t>
      </w:r>
      <w:r>
        <w:rPr>
          <w:rFonts w:ascii="宋体" w:hAnsi="宋体" w:eastAsia="宋体" w:cs="宋体"/>
          <w:spacing w:val="-52"/>
          <w:sz w:val="24"/>
          <w:szCs w:val="24"/>
        </w:rPr>
        <w:t xml:space="preserve"> </w:t>
      </w:r>
      <w:r>
        <w:rPr>
          <w:rFonts w:ascii="宋体" w:hAnsi="宋体" w:eastAsia="宋体" w:cs="宋体"/>
          <w:spacing w:val="-4"/>
          <w:sz w:val="24"/>
          <w:szCs w:val="24"/>
        </w:rPr>
        <w:t>4</w:t>
      </w:r>
      <w:r>
        <w:rPr>
          <w:rFonts w:ascii="宋体" w:hAnsi="宋体" w:eastAsia="宋体" w:cs="宋体"/>
          <w:spacing w:val="-44"/>
          <w:sz w:val="24"/>
          <w:szCs w:val="24"/>
        </w:rPr>
        <w:t xml:space="preserve"> </w:t>
      </w:r>
      <w:r>
        <w:rPr>
          <w:rFonts w:ascii="宋体" w:hAnsi="宋体" w:eastAsia="宋体" w:cs="宋体"/>
          <w:spacing w:val="-4"/>
          <w:sz w:val="24"/>
          <w:szCs w:val="24"/>
        </w:rPr>
        <w:t>小时，或阵风</w:t>
      </w:r>
      <w:r>
        <w:rPr>
          <w:rFonts w:ascii="宋体" w:hAnsi="宋体" w:eastAsia="宋体" w:cs="宋体"/>
          <w:spacing w:val="-5"/>
          <w:sz w:val="24"/>
          <w:szCs w:val="24"/>
        </w:rPr>
        <w:t>大于8</w:t>
      </w:r>
      <w:r>
        <w:rPr>
          <w:rFonts w:ascii="宋体" w:hAnsi="宋体" w:eastAsia="宋体" w:cs="宋体"/>
          <w:spacing w:val="-7"/>
          <w:sz w:val="24"/>
          <w:szCs w:val="24"/>
        </w:rPr>
        <w:t>级；</w:t>
      </w:r>
    </w:p>
    <w:p w14:paraId="23A8F6C1">
      <w:pPr>
        <w:spacing w:before="1" w:line="218" w:lineRule="auto"/>
        <w:ind w:left="530"/>
        <w:rPr>
          <w:rFonts w:ascii="宋体" w:hAnsi="宋体" w:eastAsia="宋体" w:cs="宋体"/>
          <w:sz w:val="24"/>
          <w:szCs w:val="24"/>
        </w:rPr>
      </w:pPr>
      <w:r>
        <w:rPr>
          <w:rFonts w:ascii="宋体" w:hAnsi="宋体" w:eastAsia="宋体" w:cs="宋体"/>
          <w:spacing w:val="-4"/>
          <w:sz w:val="24"/>
          <w:szCs w:val="24"/>
        </w:rPr>
        <w:t>(4)暴雨天气：</w:t>
      </w:r>
      <w:r>
        <w:rPr>
          <w:rFonts w:ascii="宋体" w:hAnsi="宋体" w:eastAsia="宋体" w:cs="宋体"/>
          <w:spacing w:val="-69"/>
          <w:sz w:val="24"/>
          <w:szCs w:val="24"/>
        </w:rPr>
        <w:t xml:space="preserve"> </w:t>
      </w:r>
      <w:r>
        <w:rPr>
          <w:rFonts w:ascii="宋体" w:hAnsi="宋体" w:eastAsia="宋体" w:cs="宋体"/>
          <w:spacing w:val="-4"/>
          <w:sz w:val="24"/>
          <w:szCs w:val="24"/>
        </w:rPr>
        <w:t>日降雨量</w:t>
      </w:r>
      <w:r>
        <w:rPr>
          <w:rFonts w:ascii="宋体" w:hAnsi="宋体" w:eastAsia="宋体" w:cs="宋体"/>
          <w:spacing w:val="-46"/>
          <w:sz w:val="24"/>
          <w:szCs w:val="24"/>
        </w:rPr>
        <w:t xml:space="preserve"> </w:t>
      </w:r>
      <w:r>
        <w:rPr>
          <w:rFonts w:ascii="宋体" w:hAnsi="宋体" w:eastAsia="宋体" w:cs="宋体"/>
          <w:spacing w:val="-4"/>
          <w:sz w:val="24"/>
          <w:szCs w:val="24"/>
        </w:rPr>
        <w:t>50mm</w:t>
      </w:r>
      <w:r>
        <w:rPr>
          <w:rFonts w:ascii="宋体" w:hAnsi="宋体" w:eastAsia="宋体" w:cs="宋体"/>
          <w:spacing w:val="-51"/>
          <w:sz w:val="24"/>
          <w:szCs w:val="24"/>
        </w:rPr>
        <w:t xml:space="preserve"> </w:t>
      </w:r>
      <w:r>
        <w:rPr>
          <w:rFonts w:ascii="宋体" w:hAnsi="宋体" w:eastAsia="宋体" w:cs="宋体"/>
          <w:spacing w:val="-4"/>
          <w:sz w:val="24"/>
          <w:szCs w:val="24"/>
        </w:rPr>
        <w:t>及以上，或降雨强度大于</w:t>
      </w:r>
      <w:r>
        <w:rPr>
          <w:rFonts w:ascii="宋体" w:hAnsi="宋体" w:eastAsia="宋体" w:cs="宋体"/>
          <w:spacing w:val="-48"/>
          <w:sz w:val="24"/>
          <w:szCs w:val="24"/>
        </w:rPr>
        <w:t xml:space="preserve"> </w:t>
      </w:r>
      <w:r>
        <w:rPr>
          <w:rFonts w:ascii="宋体" w:hAnsi="宋体" w:eastAsia="宋体" w:cs="宋体"/>
          <w:spacing w:val="-4"/>
          <w:sz w:val="24"/>
          <w:szCs w:val="24"/>
        </w:rPr>
        <w:t>20mm</w:t>
      </w:r>
      <w:r>
        <w:rPr>
          <w:rFonts w:ascii="宋体" w:hAnsi="宋体" w:eastAsia="宋体" w:cs="宋体"/>
          <w:spacing w:val="-5"/>
          <w:sz w:val="24"/>
          <w:szCs w:val="24"/>
        </w:rPr>
        <w:t>/h；</w:t>
      </w:r>
    </w:p>
    <w:p w14:paraId="74D8EC99">
      <w:pPr>
        <w:spacing w:before="183" w:line="219" w:lineRule="auto"/>
        <w:ind w:left="530"/>
        <w:rPr>
          <w:rFonts w:ascii="宋体" w:hAnsi="宋体" w:eastAsia="宋体" w:cs="宋体"/>
          <w:sz w:val="24"/>
          <w:szCs w:val="24"/>
        </w:rPr>
      </w:pPr>
      <w:r>
        <w:rPr>
          <w:rFonts w:ascii="宋体" w:hAnsi="宋体" w:eastAsia="宋体" w:cs="宋体"/>
          <w:spacing w:val="-7"/>
          <w:sz w:val="24"/>
          <w:szCs w:val="24"/>
        </w:rPr>
        <w:t>(5)暴雪天气：</w:t>
      </w:r>
      <w:r>
        <w:rPr>
          <w:rFonts w:ascii="宋体" w:hAnsi="宋体" w:eastAsia="宋体" w:cs="宋体"/>
          <w:spacing w:val="-69"/>
          <w:sz w:val="24"/>
          <w:szCs w:val="24"/>
        </w:rPr>
        <w:t xml:space="preserve"> </w:t>
      </w:r>
      <w:r>
        <w:rPr>
          <w:rFonts w:ascii="宋体" w:hAnsi="宋体" w:eastAsia="宋体" w:cs="宋体"/>
          <w:spacing w:val="-7"/>
          <w:sz w:val="24"/>
          <w:szCs w:val="24"/>
        </w:rPr>
        <w:t>日降雪量</w:t>
      </w:r>
      <w:r>
        <w:rPr>
          <w:rFonts w:ascii="宋体" w:hAnsi="宋体" w:eastAsia="宋体" w:cs="宋体"/>
          <w:spacing w:val="-33"/>
          <w:sz w:val="24"/>
          <w:szCs w:val="24"/>
        </w:rPr>
        <w:t xml:space="preserve"> </w:t>
      </w:r>
      <w:r>
        <w:rPr>
          <w:rFonts w:ascii="宋体" w:hAnsi="宋体" w:eastAsia="宋体" w:cs="宋体"/>
          <w:spacing w:val="-7"/>
          <w:sz w:val="24"/>
          <w:szCs w:val="24"/>
        </w:rPr>
        <w:t>10mm</w:t>
      </w:r>
      <w:r>
        <w:rPr>
          <w:rFonts w:ascii="宋体" w:hAnsi="宋体" w:eastAsia="宋体" w:cs="宋体"/>
          <w:spacing w:val="-51"/>
          <w:sz w:val="24"/>
          <w:szCs w:val="24"/>
        </w:rPr>
        <w:t xml:space="preserve"> </w:t>
      </w:r>
      <w:r>
        <w:rPr>
          <w:rFonts w:ascii="宋体" w:hAnsi="宋体" w:eastAsia="宋体" w:cs="宋体"/>
          <w:spacing w:val="-7"/>
          <w:sz w:val="24"/>
          <w:szCs w:val="24"/>
        </w:rPr>
        <w:t>及以上；</w:t>
      </w:r>
    </w:p>
    <w:p w14:paraId="3592A659">
      <w:pPr>
        <w:spacing w:before="182" w:line="219" w:lineRule="auto"/>
        <w:ind w:left="530"/>
        <w:rPr>
          <w:rFonts w:ascii="宋体" w:hAnsi="宋体" w:eastAsia="宋体" w:cs="宋体"/>
          <w:sz w:val="24"/>
          <w:szCs w:val="24"/>
        </w:rPr>
      </w:pPr>
      <w:r>
        <w:rPr>
          <w:rFonts w:ascii="宋体" w:hAnsi="宋体" w:eastAsia="宋体" w:cs="宋体"/>
          <w:spacing w:val="-3"/>
          <w:sz w:val="24"/>
          <w:szCs w:val="24"/>
        </w:rPr>
        <w:t>(6)流速或波浪：内河</w:t>
      </w:r>
      <w:r>
        <w:rPr>
          <w:rFonts w:ascii="宋体" w:hAnsi="宋体" w:eastAsia="宋体" w:cs="宋体"/>
          <w:spacing w:val="-33"/>
          <w:sz w:val="24"/>
          <w:szCs w:val="24"/>
        </w:rPr>
        <w:t xml:space="preserve"> </w:t>
      </w:r>
      <w:r>
        <w:rPr>
          <w:rFonts w:ascii="宋体" w:hAnsi="宋体" w:eastAsia="宋体" w:cs="宋体"/>
          <w:spacing w:val="-3"/>
          <w:sz w:val="24"/>
          <w:szCs w:val="24"/>
        </w:rPr>
        <w:t>3.5</w:t>
      </w:r>
      <w:r>
        <w:rPr>
          <w:rFonts w:ascii="宋体" w:hAnsi="宋体" w:eastAsia="宋体" w:cs="宋体"/>
          <w:spacing w:val="-51"/>
          <w:sz w:val="24"/>
          <w:szCs w:val="24"/>
        </w:rPr>
        <w:t xml:space="preserve"> </w:t>
      </w:r>
      <w:r>
        <w:rPr>
          <w:rFonts w:ascii="宋体" w:hAnsi="宋体" w:eastAsia="宋体" w:cs="宋体"/>
          <w:spacing w:val="-3"/>
          <w:sz w:val="24"/>
          <w:szCs w:val="24"/>
        </w:rPr>
        <w:t>米/秒及以上流速，海上</w:t>
      </w:r>
      <w:r>
        <w:rPr>
          <w:rFonts w:ascii="宋体" w:hAnsi="宋体" w:eastAsia="宋体" w:cs="宋体"/>
          <w:spacing w:val="-47"/>
          <w:sz w:val="24"/>
          <w:szCs w:val="24"/>
        </w:rPr>
        <w:t xml:space="preserve"> </w:t>
      </w:r>
      <w:r>
        <w:rPr>
          <w:rFonts w:ascii="宋体" w:hAnsi="宋体" w:eastAsia="宋体" w:cs="宋体"/>
          <w:spacing w:val="-3"/>
          <w:sz w:val="24"/>
          <w:szCs w:val="24"/>
        </w:rPr>
        <w:t>2</w:t>
      </w:r>
      <w:r>
        <w:rPr>
          <w:rFonts w:ascii="宋体" w:hAnsi="宋体" w:eastAsia="宋体" w:cs="宋体"/>
          <w:spacing w:val="-51"/>
          <w:sz w:val="24"/>
          <w:szCs w:val="24"/>
        </w:rPr>
        <w:t xml:space="preserve"> </w:t>
      </w:r>
      <w:r>
        <w:rPr>
          <w:rFonts w:ascii="宋体" w:hAnsi="宋体" w:eastAsia="宋体" w:cs="宋体"/>
          <w:spacing w:val="-3"/>
          <w:sz w:val="24"/>
          <w:szCs w:val="24"/>
        </w:rPr>
        <w:t>米及以上的大浪和强浪；</w:t>
      </w:r>
    </w:p>
    <w:p w14:paraId="4D3DF8F5">
      <w:pPr>
        <w:spacing w:before="183" w:line="219" w:lineRule="auto"/>
        <w:ind w:left="530"/>
        <w:rPr>
          <w:rFonts w:ascii="宋体" w:hAnsi="宋体" w:eastAsia="宋体" w:cs="宋体"/>
          <w:sz w:val="24"/>
          <w:szCs w:val="24"/>
        </w:rPr>
      </w:pPr>
      <w:r>
        <w:rPr>
          <w:rFonts w:ascii="宋体" w:hAnsi="宋体" w:eastAsia="宋体" w:cs="宋体"/>
          <w:spacing w:val="-3"/>
          <w:sz w:val="24"/>
          <w:szCs w:val="24"/>
        </w:rPr>
        <w:t>(7)水淹：施工场地大部或全部被潮水、洪水或雨水淹没超过</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46"/>
          <w:sz w:val="24"/>
          <w:szCs w:val="24"/>
        </w:rPr>
        <w:t xml:space="preserve"> </w:t>
      </w:r>
      <w:r>
        <w:rPr>
          <w:rFonts w:ascii="宋体" w:hAnsi="宋体" w:eastAsia="宋体" w:cs="宋体"/>
          <w:spacing w:val="-3"/>
          <w:sz w:val="24"/>
          <w:szCs w:val="24"/>
        </w:rPr>
        <w:t>天；</w:t>
      </w:r>
    </w:p>
    <w:p w14:paraId="2585007F">
      <w:pPr>
        <w:spacing w:before="181" w:line="359" w:lineRule="auto"/>
        <w:ind w:left="530"/>
        <w:rPr>
          <w:rFonts w:ascii="宋体" w:hAnsi="宋体" w:eastAsia="宋体" w:cs="宋体"/>
          <w:sz w:val="24"/>
          <w:szCs w:val="24"/>
        </w:rPr>
      </w:pPr>
      <w:r>
        <w:rPr>
          <w:rFonts w:ascii="宋体" w:hAnsi="宋体" w:eastAsia="宋体" w:cs="宋体"/>
          <w:spacing w:val="-4"/>
          <w:sz w:val="24"/>
          <w:szCs w:val="24"/>
        </w:rPr>
        <w:t>(8)大雾：定点施工船舶能见度小于</w:t>
      </w:r>
      <w:r>
        <w:rPr>
          <w:rFonts w:ascii="宋体" w:hAnsi="宋体" w:eastAsia="宋体" w:cs="宋体"/>
          <w:spacing w:val="-46"/>
          <w:sz w:val="24"/>
          <w:szCs w:val="24"/>
        </w:rPr>
        <w:t xml:space="preserve"> </w:t>
      </w:r>
      <w:r>
        <w:rPr>
          <w:rFonts w:ascii="宋体" w:hAnsi="宋体" w:eastAsia="宋体" w:cs="宋体"/>
          <w:spacing w:val="-4"/>
          <w:sz w:val="24"/>
          <w:szCs w:val="24"/>
        </w:rPr>
        <w:t>50</w:t>
      </w:r>
      <w:r>
        <w:rPr>
          <w:rFonts w:ascii="宋体" w:hAnsi="宋体" w:eastAsia="宋体" w:cs="宋体"/>
          <w:spacing w:val="-50"/>
          <w:sz w:val="24"/>
          <w:szCs w:val="24"/>
        </w:rPr>
        <w:t xml:space="preserve"> </w:t>
      </w:r>
      <w:r>
        <w:rPr>
          <w:rFonts w:ascii="宋体" w:hAnsi="宋体" w:eastAsia="宋体" w:cs="宋体"/>
          <w:spacing w:val="-4"/>
          <w:sz w:val="24"/>
          <w:szCs w:val="24"/>
        </w:rPr>
        <w:t>米的雾天超过</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46"/>
          <w:sz w:val="24"/>
          <w:szCs w:val="24"/>
        </w:rPr>
        <w:t xml:space="preserve"> </w:t>
      </w:r>
      <w:r>
        <w:rPr>
          <w:rFonts w:ascii="宋体" w:hAnsi="宋体" w:eastAsia="宋体" w:cs="宋体"/>
          <w:spacing w:val="-4"/>
          <w:sz w:val="24"/>
          <w:szCs w:val="24"/>
        </w:rPr>
        <w:t>天；运动船舶</w:t>
      </w:r>
      <w:r>
        <w:rPr>
          <w:rFonts w:ascii="宋体" w:hAnsi="宋体" w:eastAsia="宋体" w:cs="宋体"/>
          <w:spacing w:val="-5"/>
          <w:sz w:val="24"/>
          <w:szCs w:val="24"/>
        </w:rPr>
        <w:t>按有关规定。</w:t>
      </w:r>
      <w:r>
        <w:rPr>
          <w:rFonts w:ascii="宋体" w:hAnsi="宋体" w:eastAsia="宋体" w:cs="宋体"/>
          <w:sz w:val="24"/>
          <w:szCs w:val="24"/>
        </w:rPr>
        <w:t xml:space="preserve"> </w:t>
      </w:r>
      <w:r>
        <w:rPr>
          <w:rFonts w:ascii="宋体" w:hAnsi="宋体" w:eastAsia="宋体" w:cs="宋体"/>
          <w:spacing w:val="-13"/>
          <w:sz w:val="24"/>
          <w:szCs w:val="24"/>
        </w:rPr>
        <w:t>(9)</w:t>
      </w:r>
      <w:r>
        <w:rPr>
          <w:rFonts w:ascii="宋体" w:hAnsi="宋体" w:eastAsia="宋体" w:cs="宋体"/>
          <w:spacing w:val="2"/>
          <w:sz w:val="24"/>
          <w:szCs w:val="24"/>
          <w:u w:val="single" w:color="auto"/>
        </w:rPr>
        <w:t xml:space="preserve">             </w:t>
      </w:r>
      <w:r>
        <w:rPr>
          <w:rFonts w:ascii="宋体" w:hAnsi="宋体" w:eastAsia="宋体" w:cs="宋体"/>
          <w:spacing w:val="-13"/>
          <w:sz w:val="24"/>
          <w:szCs w:val="24"/>
          <w:u w:val="single" w:color="auto"/>
        </w:rPr>
        <w:t>。</w:t>
      </w:r>
    </w:p>
    <w:p w14:paraId="05EF0BE0">
      <w:pPr>
        <w:spacing w:line="219" w:lineRule="auto"/>
        <w:ind w:left="506"/>
        <w:rPr>
          <w:rFonts w:ascii="宋体" w:hAnsi="宋体" w:eastAsia="宋体" w:cs="宋体"/>
          <w:sz w:val="24"/>
          <w:szCs w:val="24"/>
        </w:rPr>
      </w:pPr>
      <w:r>
        <w:rPr>
          <w:rFonts w:ascii="宋体" w:hAnsi="宋体" w:eastAsia="宋体" w:cs="宋体"/>
          <w:b/>
          <w:bCs/>
          <w:spacing w:val="-4"/>
          <w:sz w:val="24"/>
          <w:szCs w:val="24"/>
        </w:rPr>
        <w:t>11.5</w:t>
      </w:r>
      <w:r>
        <w:rPr>
          <w:rFonts w:ascii="宋体" w:hAnsi="宋体" w:eastAsia="宋体" w:cs="宋体"/>
          <w:spacing w:val="-4"/>
          <w:sz w:val="24"/>
          <w:szCs w:val="24"/>
        </w:rPr>
        <w:t xml:space="preserve"> </w:t>
      </w:r>
      <w:r>
        <w:rPr>
          <w:rFonts w:ascii="宋体" w:hAnsi="宋体" w:eastAsia="宋体" w:cs="宋体"/>
          <w:b/>
          <w:bCs/>
          <w:spacing w:val="-4"/>
          <w:sz w:val="24"/>
          <w:szCs w:val="24"/>
        </w:rPr>
        <w:t>承包人的工期延误</w:t>
      </w:r>
    </w:p>
    <w:p w14:paraId="7CA8697E">
      <w:pPr>
        <w:spacing w:before="182" w:line="359" w:lineRule="auto"/>
        <w:ind w:left="8" w:right="13" w:firstLine="478"/>
        <w:jc w:val="both"/>
        <w:rPr>
          <w:rFonts w:ascii="宋体" w:hAnsi="宋体" w:eastAsia="宋体" w:cs="宋体"/>
          <w:sz w:val="24"/>
          <w:szCs w:val="24"/>
        </w:rPr>
      </w:pPr>
      <w:r>
        <w:rPr>
          <w:rFonts w:ascii="宋体" w:hAnsi="宋体" w:eastAsia="宋体" w:cs="宋体"/>
          <w:spacing w:val="-2"/>
          <w:sz w:val="24"/>
          <w:szCs w:val="24"/>
        </w:rPr>
        <w:t>逾期竣工违约金的计算方法：在合同实际工期超过原定工期（包括经批准的延期后</w:t>
      </w:r>
      <w:r>
        <w:rPr>
          <w:rFonts w:ascii="宋体" w:hAnsi="宋体" w:eastAsia="宋体" w:cs="宋体"/>
          <w:spacing w:val="1"/>
          <w:sz w:val="24"/>
          <w:szCs w:val="24"/>
        </w:rPr>
        <w:t>工期）的情况下，工期延误天数×P1，其中P1：</w:t>
      </w:r>
      <w:r>
        <w:rPr>
          <w:rFonts w:ascii="宋体" w:hAnsi="宋体" w:eastAsia="宋体" w:cs="宋体"/>
          <w:sz w:val="24"/>
          <w:szCs w:val="24"/>
          <w:u w:val="single" w:color="auto"/>
        </w:rPr>
        <w:t xml:space="preserve">               </w:t>
      </w:r>
      <w:r>
        <w:rPr>
          <w:rFonts w:ascii="宋体" w:hAnsi="宋体" w:eastAsia="宋体" w:cs="宋体"/>
          <w:spacing w:val="-87"/>
          <w:sz w:val="24"/>
          <w:szCs w:val="24"/>
        </w:rPr>
        <w:t xml:space="preserve"> </w:t>
      </w:r>
      <w:r>
        <w:rPr>
          <w:rFonts w:ascii="宋体" w:hAnsi="宋体" w:eastAsia="宋体" w:cs="宋体"/>
          <w:sz w:val="24"/>
          <w:szCs w:val="24"/>
        </w:rPr>
        <w:t>。逾期竣工违约金累计最高不得超过合同总价的</w:t>
      </w:r>
      <w:r>
        <w:rPr>
          <w:rFonts w:ascii="宋体" w:hAnsi="宋体" w:eastAsia="宋体" w:cs="宋体"/>
          <w:sz w:val="24"/>
          <w:szCs w:val="24"/>
          <w:u w:val="single" w:color="auto"/>
        </w:rPr>
        <w:t xml:space="preserve">  5  </w:t>
      </w:r>
      <w:r>
        <w:rPr>
          <w:rFonts w:ascii="宋体" w:hAnsi="宋体" w:eastAsia="宋体" w:cs="宋体"/>
          <w:sz w:val="24"/>
          <w:szCs w:val="24"/>
        </w:rPr>
        <w:t>%。超过合同总价</w:t>
      </w:r>
      <w:r>
        <w:rPr>
          <w:rFonts w:ascii="宋体" w:hAnsi="宋体" w:eastAsia="宋体" w:cs="宋体"/>
          <w:sz w:val="24"/>
          <w:szCs w:val="24"/>
          <w:u w:val="single" w:color="auto"/>
        </w:rPr>
        <w:t xml:space="preserve">  5  </w:t>
      </w:r>
      <w:r>
        <w:rPr>
          <w:rFonts w:ascii="宋体" w:hAnsi="宋体" w:eastAsia="宋体" w:cs="宋体"/>
          <w:sz w:val="24"/>
          <w:szCs w:val="24"/>
        </w:rPr>
        <w:t>%的</w:t>
      </w:r>
      <w:r>
        <w:rPr>
          <w:rFonts w:ascii="宋体" w:hAnsi="宋体" w:eastAsia="宋体" w:cs="宋体"/>
          <w:spacing w:val="-1"/>
          <w:sz w:val="24"/>
          <w:szCs w:val="24"/>
        </w:rPr>
        <w:t>，发包人有权解除合同。</w:t>
      </w:r>
    </w:p>
    <w:p w14:paraId="1B15EDD0">
      <w:pPr>
        <w:spacing w:line="220" w:lineRule="auto"/>
        <w:ind w:left="506"/>
        <w:rPr>
          <w:rFonts w:ascii="宋体" w:hAnsi="宋体" w:eastAsia="宋体" w:cs="宋体"/>
          <w:sz w:val="24"/>
          <w:szCs w:val="24"/>
        </w:rPr>
      </w:pPr>
      <w:r>
        <w:rPr>
          <w:rFonts w:ascii="宋体" w:hAnsi="宋体" w:eastAsia="宋体" w:cs="宋体"/>
          <w:b/>
          <w:bCs/>
          <w:spacing w:val="-7"/>
          <w:sz w:val="24"/>
          <w:szCs w:val="24"/>
        </w:rPr>
        <w:t>11.6</w:t>
      </w:r>
      <w:r>
        <w:rPr>
          <w:rFonts w:ascii="宋体" w:hAnsi="宋体" w:eastAsia="宋体" w:cs="宋体"/>
          <w:spacing w:val="14"/>
          <w:sz w:val="24"/>
          <w:szCs w:val="24"/>
        </w:rPr>
        <w:t xml:space="preserve"> </w:t>
      </w:r>
      <w:r>
        <w:rPr>
          <w:rFonts w:ascii="宋体" w:hAnsi="宋体" w:eastAsia="宋体" w:cs="宋体"/>
          <w:b/>
          <w:bCs/>
          <w:spacing w:val="-7"/>
          <w:sz w:val="24"/>
          <w:szCs w:val="24"/>
        </w:rPr>
        <w:t>工期提前</w:t>
      </w:r>
    </w:p>
    <w:p w14:paraId="1DD4DDEC">
      <w:pPr>
        <w:spacing w:before="146" w:line="388" w:lineRule="auto"/>
        <w:ind w:left="506"/>
        <w:rPr>
          <w:rFonts w:ascii="宋体" w:hAnsi="宋体" w:eastAsia="宋体" w:cs="宋体"/>
          <w:sz w:val="24"/>
          <w:szCs w:val="24"/>
        </w:rPr>
      </w:pPr>
      <w:r>
        <w:rPr>
          <w:rFonts w:ascii="宋体" w:hAnsi="宋体" w:eastAsia="宋体" w:cs="宋体"/>
          <w:spacing w:val="-3"/>
          <w:sz w:val="24"/>
          <w:szCs w:val="24"/>
        </w:rPr>
        <w:t>11.6.1 发包人</w:t>
      </w:r>
      <w:r>
        <w:rPr>
          <w:rFonts w:ascii="宋体" w:hAnsi="宋体" w:eastAsia="宋体" w:cs="宋体"/>
          <w:spacing w:val="33"/>
          <w:sz w:val="24"/>
          <w:szCs w:val="24"/>
          <w:u w:val="single" w:color="auto"/>
        </w:rPr>
        <w:t xml:space="preserve"> </w:t>
      </w:r>
      <w:r>
        <w:rPr>
          <w:rFonts w:ascii="宋体" w:hAnsi="宋体" w:eastAsia="宋体" w:cs="宋体"/>
          <w:spacing w:val="-3"/>
          <w:sz w:val="24"/>
          <w:szCs w:val="24"/>
          <w:u w:val="single" w:color="auto"/>
        </w:rPr>
        <w:t xml:space="preserve">同意/不同意  </w:t>
      </w:r>
      <w:r>
        <w:rPr>
          <w:rFonts w:ascii="宋体" w:hAnsi="宋体" w:eastAsia="宋体" w:cs="宋体"/>
          <w:spacing w:val="-87"/>
          <w:sz w:val="24"/>
          <w:szCs w:val="24"/>
        </w:rPr>
        <w:t xml:space="preserve"> </w:t>
      </w:r>
      <w:r>
        <w:rPr>
          <w:rFonts w:ascii="宋体" w:hAnsi="宋体" w:eastAsia="宋体" w:cs="宋体"/>
          <w:spacing w:val="-3"/>
          <w:sz w:val="24"/>
          <w:szCs w:val="24"/>
        </w:rPr>
        <w:t>向承包人支付提前工期奖</w:t>
      </w:r>
      <w:r>
        <w:fldChar w:fldCharType="begin"/>
      </w:r>
      <w:r>
        <w:instrText xml:space="preserve"> HYPERLINK \l "bookmark199" </w:instrText>
      </w:r>
      <w:r>
        <w:fldChar w:fldCharType="separate"/>
      </w:r>
      <w:r>
        <w:rPr>
          <w:rFonts w:ascii="宋体" w:hAnsi="宋体" w:eastAsia="宋体" w:cs="宋体"/>
          <w:spacing w:val="-4"/>
          <w:position w:val="12"/>
          <w:sz w:val="12"/>
          <w:szCs w:val="12"/>
        </w:rPr>
        <w:t>①</w:t>
      </w:r>
      <w:r>
        <w:rPr>
          <w:rFonts w:ascii="宋体" w:hAnsi="宋体" w:eastAsia="宋体" w:cs="宋体"/>
          <w:spacing w:val="-4"/>
          <w:position w:val="12"/>
          <w:sz w:val="12"/>
          <w:szCs w:val="12"/>
        </w:rPr>
        <w:fldChar w:fldCharType="end"/>
      </w:r>
      <w:r>
        <w:rPr>
          <w:rFonts w:ascii="宋体" w:hAnsi="宋体" w:eastAsia="宋体" w:cs="宋体"/>
          <w:spacing w:val="-4"/>
          <w:sz w:val="24"/>
          <w:szCs w:val="24"/>
        </w:rPr>
        <w:t>。</w:t>
      </w:r>
    </w:p>
    <w:p w14:paraId="646323F2">
      <w:pPr>
        <w:spacing w:line="219" w:lineRule="auto"/>
        <w:ind w:left="492"/>
        <w:rPr>
          <w:rFonts w:ascii="宋体" w:hAnsi="宋体" w:eastAsia="宋体" w:cs="宋体"/>
          <w:sz w:val="24"/>
          <w:szCs w:val="24"/>
        </w:rPr>
      </w:pPr>
      <w:r>
        <w:rPr>
          <w:rFonts w:ascii="宋体" w:hAnsi="宋体" w:eastAsia="宋体" w:cs="宋体"/>
          <w:spacing w:val="-1"/>
          <w:sz w:val="24"/>
          <w:szCs w:val="24"/>
        </w:rPr>
        <w:t>如同意，提前工期奖金的计算方法为：</w:t>
      </w:r>
      <w:r>
        <w:rPr>
          <w:rFonts w:ascii="宋体" w:hAnsi="宋体" w:eastAsia="宋体" w:cs="宋体"/>
          <w:sz w:val="24"/>
          <w:szCs w:val="24"/>
          <w:u w:val="single" w:color="auto"/>
        </w:rPr>
        <w:t xml:space="preserve">             </w:t>
      </w:r>
    </w:p>
    <w:p w14:paraId="1A94B358">
      <w:pPr>
        <w:spacing w:before="181" w:line="229" w:lineRule="auto"/>
        <w:ind w:left="491"/>
        <w:rPr>
          <w:rFonts w:ascii="宋体" w:hAnsi="宋体" w:eastAsia="宋体" w:cs="宋体"/>
          <w:sz w:val="24"/>
          <w:szCs w:val="24"/>
        </w:rPr>
      </w:pPr>
      <w:r>
        <w:rPr>
          <w:rFonts w:ascii="宋体" w:hAnsi="宋体" w:eastAsia="宋体" w:cs="宋体"/>
          <w:spacing w:val="-5"/>
          <w:sz w:val="24"/>
          <w:szCs w:val="24"/>
        </w:rPr>
        <w:t>工期提前天数</w:t>
      </w:r>
      <w:r>
        <w:rPr>
          <w:rFonts w:ascii="Arial" w:hAnsi="Arial" w:eastAsia="Arial" w:cs="Arial"/>
          <w:spacing w:val="-5"/>
          <w:sz w:val="24"/>
          <w:szCs w:val="24"/>
        </w:rPr>
        <w:t>×</w:t>
      </w:r>
      <w:r>
        <w:rPr>
          <w:rFonts w:ascii="宋体" w:hAnsi="宋体" w:eastAsia="宋体" w:cs="宋体"/>
          <w:spacing w:val="-5"/>
          <w:sz w:val="24"/>
          <w:szCs w:val="24"/>
        </w:rPr>
        <w:t>P</w:t>
      </w:r>
      <w:r>
        <w:rPr>
          <w:rFonts w:ascii="宋体" w:hAnsi="宋体" w:eastAsia="宋体" w:cs="宋体"/>
          <w:spacing w:val="-5"/>
          <w:position w:val="-3"/>
          <w:sz w:val="12"/>
          <w:szCs w:val="12"/>
        </w:rPr>
        <w:t>2</w:t>
      </w:r>
      <w:r>
        <w:rPr>
          <w:rFonts w:ascii="宋体" w:hAnsi="宋体" w:eastAsia="宋体" w:cs="宋体"/>
          <w:spacing w:val="-28"/>
          <w:position w:val="-3"/>
          <w:sz w:val="12"/>
          <w:szCs w:val="12"/>
        </w:rPr>
        <w:t xml:space="preserve"> </w:t>
      </w:r>
      <w:r>
        <w:rPr>
          <w:rFonts w:ascii="宋体" w:hAnsi="宋体" w:eastAsia="宋体" w:cs="宋体"/>
          <w:spacing w:val="-5"/>
          <w:sz w:val="24"/>
          <w:szCs w:val="24"/>
        </w:rPr>
        <w:t>，其中</w:t>
      </w:r>
      <w:r>
        <w:rPr>
          <w:rFonts w:ascii="宋体" w:hAnsi="宋体" w:eastAsia="宋体" w:cs="宋体"/>
          <w:spacing w:val="-55"/>
          <w:sz w:val="24"/>
          <w:szCs w:val="24"/>
        </w:rPr>
        <w:t xml:space="preserve"> </w:t>
      </w:r>
      <w:r>
        <w:rPr>
          <w:rFonts w:ascii="宋体" w:hAnsi="宋体" w:eastAsia="宋体" w:cs="宋体"/>
          <w:spacing w:val="-5"/>
          <w:sz w:val="24"/>
          <w:szCs w:val="24"/>
        </w:rPr>
        <w:t>P</w:t>
      </w:r>
      <w:r>
        <w:rPr>
          <w:rFonts w:ascii="宋体" w:hAnsi="宋体" w:eastAsia="宋体" w:cs="宋体"/>
          <w:spacing w:val="-5"/>
          <w:position w:val="-3"/>
          <w:sz w:val="12"/>
          <w:szCs w:val="12"/>
        </w:rPr>
        <w:t>2</w:t>
      </w:r>
      <w:r>
        <w:rPr>
          <w:rFonts w:ascii="宋体" w:hAnsi="宋体" w:eastAsia="宋体" w:cs="宋体"/>
          <w:spacing w:val="-30"/>
          <w:position w:val="-3"/>
          <w:sz w:val="12"/>
          <w:szCs w:val="12"/>
        </w:rPr>
        <w:t xml:space="preserve"> </w:t>
      </w:r>
      <w:r>
        <w:rPr>
          <w:rFonts w:ascii="宋体" w:hAnsi="宋体" w:eastAsia="宋体" w:cs="宋体"/>
          <w:spacing w:val="-5"/>
          <w:sz w:val="24"/>
          <w:szCs w:val="24"/>
        </w:rPr>
        <w:t>：</w:t>
      </w:r>
      <w:r>
        <w:rPr>
          <w:rFonts w:ascii="宋体" w:hAnsi="宋体" w:eastAsia="宋体" w:cs="宋体"/>
          <w:spacing w:val="8"/>
          <w:sz w:val="24"/>
          <w:szCs w:val="24"/>
          <w:u w:val="single" w:color="auto"/>
        </w:rPr>
        <w:t xml:space="preserve">               </w:t>
      </w:r>
      <w:r>
        <w:rPr>
          <w:rFonts w:ascii="宋体" w:hAnsi="宋体" w:eastAsia="宋体" w:cs="宋体"/>
          <w:spacing w:val="-5"/>
          <w:sz w:val="24"/>
          <w:szCs w:val="24"/>
        </w:rPr>
        <w:t>。</w:t>
      </w:r>
    </w:p>
    <w:p w14:paraId="36412D8A">
      <w:pPr>
        <w:spacing w:before="132" w:line="466" w:lineRule="exact"/>
        <w:ind w:left="489"/>
        <w:rPr>
          <w:rFonts w:ascii="宋体" w:hAnsi="宋体" w:eastAsia="宋体" w:cs="宋体"/>
          <w:sz w:val="12"/>
          <w:szCs w:val="12"/>
        </w:rPr>
      </w:pPr>
      <w:r>
        <w:rPr>
          <w:rFonts w:ascii="宋体" w:hAnsi="宋体" w:eastAsia="宋体" w:cs="宋体"/>
          <w:spacing w:val="-1"/>
          <w:position w:val="4"/>
          <w:sz w:val="24"/>
          <w:szCs w:val="24"/>
        </w:rPr>
        <w:t>提前工期奖金累计最高不得超过总合同价款的</w:t>
      </w:r>
      <w:r>
        <w:rPr>
          <w:rFonts w:ascii="宋体" w:hAnsi="宋体" w:eastAsia="宋体" w:cs="宋体"/>
          <w:spacing w:val="-46"/>
          <w:position w:val="4"/>
          <w:sz w:val="24"/>
          <w:szCs w:val="24"/>
        </w:rPr>
        <w:t xml:space="preserve"> </w:t>
      </w:r>
      <w:r>
        <w:rPr>
          <w:rFonts w:ascii="宋体" w:hAnsi="宋体" w:eastAsia="宋体" w:cs="宋体"/>
          <w:spacing w:val="-1"/>
          <w:position w:val="4"/>
          <w:sz w:val="24"/>
          <w:szCs w:val="24"/>
        </w:rPr>
        <w:t>5%。</w:t>
      </w:r>
      <w:r>
        <w:fldChar w:fldCharType="begin"/>
      </w:r>
      <w:r>
        <w:instrText xml:space="preserve"> HYPERLINK \l "bookmark200" </w:instrText>
      </w:r>
      <w:r>
        <w:fldChar w:fldCharType="separate"/>
      </w:r>
      <w:r>
        <w:rPr>
          <w:rFonts w:ascii="宋体" w:hAnsi="宋体" w:eastAsia="宋体" w:cs="宋体"/>
          <w:spacing w:val="-1"/>
          <w:position w:val="16"/>
          <w:sz w:val="12"/>
          <w:szCs w:val="12"/>
        </w:rPr>
        <w:t>②</w:t>
      </w:r>
      <w:r>
        <w:rPr>
          <w:rFonts w:ascii="宋体" w:hAnsi="宋体" w:eastAsia="宋体" w:cs="宋体"/>
          <w:spacing w:val="-1"/>
          <w:position w:val="16"/>
          <w:sz w:val="12"/>
          <w:szCs w:val="12"/>
        </w:rPr>
        <w:fldChar w:fldCharType="end"/>
      </w:r>
    </w:p>
    <w:p w14:paraId="645220E1">
      <w:pPr>
        <w:rPr>
          <w:rFonts w:ascii="宋体" w:hAnsi="宋体" w:eastAsia="宋体" w:cs="宋体"/>
          <w:b/>
          <w:bCs/>
          <w:spacing w:val="-6"/>
          <w:sz w:val="24"/>
          <w:szCs w:val="24"/>
        </w:rPr>
      </w:pPr>
      <w:bookmarkStart w:id="54" w:name="bookmark200"/>
      <w:bookmarkEnd w:id="54"/>
      <w:bookmarkStart w:id="55" w:name="bookmark199"/>
      <w:bookmarkEnd w:id="55"/>
      <w:r>
        <w:rPr>
          <w:rFonts w:ascii="宋体" w:hAnsi="宋体" w:eastAsia="宋体" w:cs="宋体"/>
          <w:b/>
          <w:bCs/>
          <w:spacing w:val="-6"/>
          <w:sz w:val="24"/>
          <w:szCs w:val="24"/>
        </w:rPr>
        <w:br w:type="page"/>
      </w:r>
    </w:p>
    <w:p w14:paraId="11872549">
      <w:pPr>
        <w:spacing w:before="38" w:line="220" w:lineRule="auto"/>
        <w:ind w:left="26"/>
        <w:rPr>
          <w:rFonts w:ascii="宋体" w:hAnsi="宋体" w:eastAsia="宋体" w:cs="宋体"/>
          <w:sz w:val="24"/>
          <w:szCs w:val="24"/>
        </w:rPr>
      </w:pPr>
      <w:r>
        <w:rPr>
          <w:rFonts w:ascii="宋体" w:hAnsi="宋体" w:eastAsia="宋体" w:cs="宋体"/>
          <w:b/>
          <w:bCs/>
          <w:spacing w:val="-6"/>
          <w:sz w:val="24"/>
          <w:szCs w:val="24"/>
        </w:rPr>
        <w:t>12.暂停施工</w:t>
      </w:r>
    </w:p>
    <w:p w14:paraId="27ED9433">
      <w:pPr>
        <w:spacing w:before="312" w:line="219" w:lineRule="auto"/>
        <w:rPr>
          <w:rFonts w:ascii="宋体" w:hAnsi="宋体" w:eastAsia="宋体" w:cs="宋体"/>
          <w:sz w:val="24"/>
          <w:szCs w:val="24"/>
        </w:rPr>
      </w:pPr>
      <w:r>
        <w:rPr>
          <w:rFonts w:ascii="宋体" w:hAnsi="宋体" w:eastAsia="宋体" w:cs="宋体"/>
          <w:b/>
          <w:bCs/>
          <w:spacing w:val="-5"/>
          <w:sz w:val="24"/>
          <w:szCs w:val="24"/>
        </w:rPr>
        <w:t>12.1</w:t>
      </w:r>
      <w:r>
        <w:rPr>
          <w:rFonts w:ascii="宋体" w:hAnsi="宋体" w:eastAsia="宋体" w:cs="宋体"/>
          <w:spacing w:val="-40"/>
          <w:sz w:val="24"/>
          <w:szCs w:val="24"/>
        </w:rPr>
        <w:t xml:space="preserve"> </w:t>
      </w:r>
      <w:r>
        <w:rPr>
          <w:rFonts w:ascii="宋体" w:hAnsi="宋体" w:eastAsia="宋体" w:cs="宋体"/>
          <w:b/>
          <w:bCs/>
          <w:spacing w:val="-5"/>
          <w:sz w:val="24"/>
          <w:szCs w:val="24"/>
        </w:rPr>
        <w:t>承包人暂停施工的责任</w:t>
      </w:r>
    </w:p>
    <w:p w14:paraId="666F9BE9">
      <w:pPr>
        <w:spacing w:before="180" w:line="219" w:lineRule="auto"/>
        <w:ind w:left="506"/>
        <w:rPr>
          <w:rFonts w:ascii="宋体" w:hAnsi="宋体" w:eastAsia="宋体" w:cs="宋体"/>
          <w:sz w:val="24"/>
          <w:szCs w:val="24"/>
        </w:rPr>
      </w:pPr>
      <w:r>
        <w:rPr>
          <w:rFonts w:ascii="宋体" w:hAnsi="宋体" w:eastAsia="宋体" w:cs="宋体"/>
          <w:spacing w:val="-1"/>
          <w:sz w:val="24"/>
          <w:szCs w:val="24"/>
        </w:rPr>
        <w:t>12.1.1</w:t>
      </w:r>
      <w:r>
        <w:rPr>
          <w:rFonts w:ascii="宋体" w:hAnsi="宋体" w:eastAsia="宋体" w:cs="宋体"/>
          <w:spacing w:val="-38"/>
          <w:sz w:val="24"/>
          <w:szCs w:val="24"/>
        </w:rPr>
        <w:t xml:space="preserve"> </w:t>
      </w:r>
      <w:r>
        <w:rPr>
          <w:rFonts w:ascii="宋体" w:hAnsi="宋体" w:eastAsia="宋体" w:cs="宋体"/>
          <w:spacing w:val="-1"/>
          <w:sz w:val="24"/>
          <w:szCs w:val="24"/>
        </w:rPr>
        <w:t>承包人承担的其他暂停施工：</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87FCF50">
      <w:pPr>
        <w:spacing w:before="183" w:line="219" w:lineRule="auto"/>
        <w:ind w:left="506"/>
        <w:rPr>
          <w:rFonts w:ascii="宋体" w:hAnsi="宋体" w:eastAsia="宋体" w:cs="宋体"/>
          <w:sz w:val="24"/>
          <w:szCs w:val="24"/>
        </w:rPr>
      </w:pPr>
      <w:r>
        <w:rPr>
          <w:rFonts w:ascii="宋体" w:hAnsi="宋体" w:eastAsia="宋体" w:cs="宋体"/>
          <w:b/>
          <w:bCs/>
          <w:spacing w:val="-4"/>
          <w:sz w:val="24"/>
          <w:szCs w:val="24"/>
        </w:rPr>
        <w:t>12.2</w:t>
      </w:r>
      <w:r>
        <w:rPr>
          <w:rFonts w:ascii="宋体" w:hAnsi="宋体" w:eastAsia="宋体" w:cs="宋体"/>
          <w:spacing w:val="-4"/>
          <w:sz w:val="24"/>
          <w:szCs w:val="24"/>
        </w:rPr>
        <w:t xml:space="preserve"> </w:t>
      </w:r>
      <w:r>
        <w:rPr>
          <w:rFonts w:ascii="宋体" w:hAnsi="宋体" w:eastAsia="宋体" w:cs="宋体"/>
          <w:b/>
          <w:bCs/>
          <w:spacing w:val="-4"/>
          <w:sz w:val="24"/>
          <w:szCs w:val="24"/>
        </w:rPr>
        <w:t>发包人暂停施工的责任</w:t>
      </w:r>
    </w:p>
    <w:p w14:paraId="06D88E40">
      <w:pPr>
        <w:spacing w:before="179" w:line="219" w:lineRule="auto"/>
        <w:ind w:left="488"/>
        <w:rPr>
          <w:rFonts w:ascii="宋体" w:hAnsi="宋体" w:eastAsia="宋体" w:cs="宋体"/>
          <w:sz w:val="24"/>
          <w:szCs w:val="24"/>
        </w:rPr>
      </w:pPr>
      <w:r>
        <w:rPr>
          <w:rFonts w:ascii="宋体" w:hAnsi="宋体" w:eastAsia="宋体" w:cs="宋体"/>
          <w:spacing w:val="-1"/>
          <w:sz w:val="24"/>
          <w:szCs w:val="24"/>
        </w:rPr>
        <w:t>通用合同条款本款修改为：</w:t>
      </w:r>
    </w:p>
    <w:p w14:paraId="3A2C1DC6">
      <w:pPr>
        <w:spacing w:before="184" w:line="359" w:lineRule="auto"/>
        <w:ind w:left="12" w:right="8" w:firstLine="505"/>
        <w:rPr>
          <w:rFonts w:ascii="宋体" w:hAnsi="宋体" w:eastAsia="宋体" w:cs="宋体"/>
          <w:sz w:val="24"/>
          <w:szCs w:val="24"/>
        </w:rPr>
      </w:pPr>
      <w:r>
        <w:rPr>
          <w:rFonts w:ascii="宋体" w:hAnsi="宋体" w:eastAsia="宋体" w:cs="宋体"/>
          <w:spacing w:val="-3"/>
          <w:sz w:val="24"/>
          <w:szCs w:val="24"/>
        </w:rPr>
        <w:t>由于发包人原因引起的暂停施工造成工期延误的，承包人可获得适当的工期延长；</w:t>
      </w:r>
      <w:r>
        <w:rPr>
          <w:rFonts w:ascii="宋体" w:hAnsi="宋体" w:eastAsia="宋体" w:cs="宋体"/>
          <w:spacing w:val="-1"/>
          <w:sz w:val="24"/>
          <w:szCs w:val="24"/>
        </w:rPr>
        <w:t>如果因此导致承包人费用增加的，可获得直接成本费用补偿（不含利润）。</w:t>
      </w:r>
    </w:p>
    <w:p w14:paraId="0C9E6FBB">
      <w:pPr>
        <w:spacing w:before="3" w:line="358" w:lineRule="auto"/>
        <w:ind w:left="10" w:firstLine="478"/>
        <w:jc w:val="both"/>
        <w:rPr>
          <w:rFonts w:ascii="宋体" w:hAnsi="宋体" w:eastAsia="宋体" w:cs="宋体"/>
          <w:sz w:val="24"/>
          <w:szCs w:val="24"/>
        </w:rPr>
      </w:pPr>
      <w:r>
        <w:rPr>
          <w:rFonts w:ascii="宋体" w:hAnsi="宋体" w:eastAsia="宋体" w:cs="宋体"/>
          <w:spacing w:val="-2"/>
          <w:sz w:val="24"/>
          <w:szCs w:val="24"/>
        </w:rPr>
        <w:t>承包人要求发包人延长工期或补偿直接成本费用的，必须举证证明延误工期的因素符合合同约定，并证明这个因素确实导致工期延误的具体天数以及延误工期的因素和延</w:t>
      </w:r>
      <w:r>
        <w:rPr>
          <w:rFonts w:ascii="宋体" w:hAnsi="宋体" w:eastAsia="宋体" w:cs="宋体"/>
          <w:spacing w:val="-1"/>
          <w:sz w:val="24"/>
          <w:szCs w:val="24"/>
        </w:rPr>
        <w:t>误的天数之间具有因果关系、工期延误导致的直接成本费用增加额。</w:t>
      </w:r>
    </w:p>
    <w:p w14:paraId="7DBCD0EB">
      <w:pPr>
        <w:spacing w:line="220" w:lineRule="auto"/>
        <w:ind w:left="506"/>
        <w:rPr>
          <w:rFonts w:ascii="宋体" w:hAnsi="宋体" w:eastAsia="宋体" w:cs="宋体"/>
          <w:sz w:val="24"/>
          <w:szCs w:val="24"/>
        </w:rPr>
      </w:pPr>
      <w:r>
        <w:rPr>
          <w:rFonts w:ascii="宋体" w:hAnsi="宋体" w:eastAsia="宋体" w:cs="宋体"/>
          <w:b/>
          <w:bCs/>
          <w:spacing w:val="-4"/>
          <w:sz w:val="24"/>
          <w:szCs w:val="24"/>
        </w:rPr>
        <w:t>12.4</w:t>
      </w:r>
      <w:r>
        <w:rPr>
          <w:rFonts w:ascii="宋体" w:hAnsi="宋体" w:eastAsia="宋体" w:cs="宋体"/>
          <w:spacing w:val="-4"/>
          <w:sz w:val="24"/>
          <w:szCs w:val="24"/>
        </w:rPr>
        <w:t xml:space="preserve"> </w:t>
      </w:r>
      <w:r>
        <w:rPr>
          <w:rFonts w:ascii="宋体" w:hAnsi="宋体" w:eastAsia="宋体" w:cs="宋体"/>
          <w:b/>
          <w:bCs/>
          <w:spacing w:val="-4"/>
          <w:sz w:val="24"/>
          <w:szCs w:val="24"/>
        </w:rPr>
        <w:t>暂停施工后的复工</w:t>
      </w:r>
    </w:p>
    <w:p w14:paraId="36ECFD0E">
      <w:pPr>
        <w:spacing w:before="182" w:line="219" w:lineRule="auto"/>
        <w:ind w:left="488"/>
        <w:rPr>
          <w:rFonts w:ascii="宋体" w:hAnsi="宋体" w:eastAsia="宋体" w:cs="宋体"/>
          <w:sz w:val="24"/>
          <w:szCs w:val="24"/>
        </w:rPr>
      </w:pPr>
      <w:r>
        <w:rPr>
          <w:rFonts w:ascii="宋体" w:hAnsi="宋体" w:eastAsia="宋体" w:cs="宋体"/>
          <w:spacing w:val="-3"/>
          <w:sz w:val="24"/>
          <w:szCs w:val="24"/>
        </w:rPr>
        <w:t>通用合同条款本款第</w:t>
      </w:r>
      <w:r>
        <w:rPr>
          <w:rFonts w:ascii="宋体" w:hAnsi="宋体" w:eastAsia="宋体" w:cs="宋体"/>
          <w:spacing w:val="-24"/>
          <w:sz w:val="24"/>
          <w:szCs w:val="24"/>
        </w:rPr>
        <w:t xml:space="preserve"> </w:t>
      </w:r>
      <w:r>
        <w:rPr>
          <w:rFonts w:ascii="宋体" w:hAnsi="宋体" w:eastAsia="宋体" w:cs="宋体"/>
          <w:spacing w:val="-3"/>
          <w:sz w:val="24"/>
          <w:szCs w:val="24"/>
        </w:rPr>
        <w:t>12.4.2</w:t>
      </w:r>
      <w:r>
        <w:rPr>
          <w:rFonts w:ascii="宋体" w:hAnsi="宋体" w:eastAsia="宋体" w:cs="宋体"/>
          <w:spacing w:val="-47"/>
          <w:sz w:val="24"/>
          <w:szCs w:val="24"/>
        </w:rPr>
        <w:t xml:space="preserve"> </w:t>
      </w:r>
      <w:r>
        <w:rPr>
          <w:rFonts w:ascii="宋体" w:hAnsi="宋体" w:eastAsia="宋体" w:cs="宋体"/>
          <w:spacing w:val="-3"/>
          <w:sz w:val="24"/>
          <w:szCs w:val="24"/>
        </w:rPr>
        <w:t>项修改为：</w:t>
      </w:r>
    </w:p>
    <w:p w14:paraId="5EB98DB5">
      <w:pPr>
        <w:spacing w:before="183" w:line="359" w:lineRule="auto"/>
        <w:ind w:left="10" w:firstLine="478"/>
        <w:jc w:val="both"/>
        <w:rPr>
          <w:rFonts w:ascii="宋体" w:hAnsi="宋体" w:eastAsia="宋体" w:cs="宋体"/>
          <w:sz w:val="24"/>
          <w:szCs w:val="24"/>
        </w:rPr>
      </w:pPr>
      <w:r>
        <w:rPr>
          <w:rFonts w:ascii="宋体" w:hAnsi="宋体" w:eastAsia="宋体" w:cs="宋体"/>
          <w:spacing w:val="-2"/>
          <w:sz w:val="24"/>
          <w:szCs w:val="24"/>
        </w:rPr>
        <w:t>承包人无故拖延和拒绝复工的，由此增加的费用和工期延误由承包人承担；因发包人原因无法按时复工的，承包人可获得适当的工期延长，如果因此导致承包人费用增加</w:t>
      </w:r>
      <w:r>
        <w:rPr>
          <w:rFonts w:ascii="宋体" w:hAnsi="宋体" w:eastAsia="宋体" w:cs="宋体"/>
          <w:spacing w:val="-1"/>
          <w:sz w:val="24"/>
          <w:szCs w:val="24"/>
        </w:rPr>
        <w:t>的，可获得直接成本费用补偿（不含利润）。</w:t>
      </w:r>
    </w:p>
    <w:p w14:paraId="55EFEA2B">
      <w:pPr>
        <w:spacing w:before="3" w:line="358" w:lineRule="auto"/>
        <w:ind w:left="10" w:firstLine="478"/>
        <w:jc w:val="both"/>
        <w:rPr>
          <w:rFonts w:ascii="宋体" w:hAnsi="宋体" w:eastAsia="宋体" w:cs="宋体"/>
          <w:sz w:val="24"/>
          <w:szCs w:val="24"/>
        </w:rPr>
      </w:pPr>
      <w:r>
        <w:rPr>
          <w:rFonts w:ascii="宋体" w:hAnsi="宋体" w:eastAsia="宋体" w:cs="宋体"/>
          <w:spacing w:val="-2"/>
          <w:sz w:val="24"/>
          <w:szCs w:val="24"/>
        </w:rPr>
        <w:t>承包人要求发包人延长工期或补偿直接成本费用的，必须举证证明延误工期的因素符合合同约定，并证明这个因素确实导致工期延误的具体天数以及延误工期的因素和延</w:t>
      </w:r>
      <w:r>
        <w:rPr>
          <w:rFonts w:ascii="宋体" w:hAnsi="宋体" w:eastAsia="宋体" w:cs="宋体"/>
          <w:spacing w:val="-1"/>
          <w:sz w:val="24"/>
          <w:szCs w:val="24"/>
        </w:rPr>
        <w:t>误的天数之间具有因果关系、工期延误导致的直接成本费用增加额。</w:t>
      </w:r>
    </w:p>
    <w:p w14:paraId="538379FB">
      <w:pPr>
        <w:spacing w:line="220" w:lineRule="auto"/>
        <w:ind w:left="26"/>
        <w:rPr>
          <w:rFonts w:ascii="宋体" w:hAnsi="宋体" w:eastAsia="宋体" w:cs="宋体"/>
          <w:sz w:val="24"/>
          <w:szCs w:val="24"/>
        </w:rPr>
      </w:pPr>
      <w:r>
        <w:rPr>
          <w:rFonts w:ascii="宋体" w:hAnsi="宋体" w:eastAsia="宋体" w:cs="宋体"/>
          <w:b/>
          <w:bCs/>
          <w:spacing w:val="-6"/>
          <w:sz w:val="24"/>
          <w:szCs w:val="24"/>
        </w:rPr>
        <w:t>13．工程质量</w:t>
      </w:r>
    </w:p>
    <w:p w14:paraId="75C9C8CE">
      <w:pPr>
        <w:spacing w:before="182" w:line="220" w:lineRule="auto"/>
        <w:ind w:left="506"/>
        <w:rPr>
          <w:rFonts w:ascii="宋体" w:hAnsi="宋体" w:eastAsia="宋体" w:cs="宋体"/>
          <w:sz w:val="24"/>
          <w:szCs w:val="24"/>
        </w:rPr>
      </w:pPr>
      <w:r>
        <w:rPr>
          <w:rFonts w:ascii="宋体" w:hAnsi="宋体" w:eastAsia="宋体" w:cs="宋体"/>
          <w:b/>
          <w:bCs/>
          <w:spacing w:val="-4"/>
          <w:sz w:val="24"/>
          <w:szCs w:val="24"/>
        </w:rPr>
        <w:t>13.1</w:t>
      </w:r>
      <w:r>
        <w:rPr>
          <w:rFonts w:ascii="宋体" w:hAnsi="宋体" w:eastAsia="宋体" w:cs="宋体"/>
          <w:spacing w:val="-4"/>
          <w:sz w:val="24"/>
          <w:szCs w:val="24"/>
        </w:rPr>
        <w:t xml:space="preserve"> </w:t>
      </w:r>
      <w:r>
        <w:rPr>
          <w:rFonts w:ascii="宋体" w:hAnsi="宋体" w:eastAsia="宋体" w:cs="宋体"/>
          <w:b/>
          <w:bCs/>
          <w:spacing w:val="-4"/>
          <w:sz w:val="24"/>
          <w:szCs w:val="24"/>
        </w:rPr>
        <w:t>工程质量要求</w:t>
      </w:r>
    </w:p>
    <w:p w14:paraId="06BFE56C">
      <w:pPr>
        <w:spacing w:before="182" w:line="359" w:lineRule="auto"/>
        <w:ind w:left="11" w:right="67" w:firstLine="494"/>
        <w:rPr>
          <w:rFonts w:ascii="宋体" w:hAnsi="宋体" w:eastAsia="宋体" w:cs="宋体"/>
          <w:sz w:val="24"/>
          <w:szCs w:val="24"/>
        </w:rPr>
      </w:pPr>
      <w:r>
        <w:rPr>
          <w:rFonts w:ascii="宋体" w:hAnsi="宋体" w:eastAsia="宋体" w:cs="宋体"/>
          <w:spacing w:val="-1"/>
          <w:sz w:val="24"/>
          <w:szCs w:val="24"/>
        </w:rPr>
        <w:t>13.1.1 工程质量验收按现行水运工程质量检验标准执行，若标准有修订，按新修</w:t>
      </w:r>
      <w:r>
        <w:rPr>
          <w:rFonts w:ascii="宋体" w:hAnsi="宋体" w:eastAsia="宋体" w:cs="宋体"/>
          <w:sz w:val="24"/>
          <w:szCs w:val="24"/>
        </w:rPr>
        <w:t>订的标准执行，其中疏浚工程验收以发包人委托第</w:t>
      </w:r>
      <w:r>
        <w:rPr>
          <w:rFonts w:ascii="宋体" w:hAnsi="宋体" w:eastAsia="宋体" w:cs="宋体"/>
          <w:spacing w:val="-1"/>
          <w:sz w:val="24"/>
          <w:szCs w:val="24"/>
        </w:rPr>
        <w:t>三方采取多波束扫测方式验收。</w:t>
      </w:r>
    </w:p>
    <w:p w14:paraId="08A09474">
      <w:pPr>
        <w:spacing w:before="1" w:line="218" w:lineRule="auto"/>
        <w:ind w:left="506"/>
        <w:rPr>
          <w:rFonts w:ascii="宋体" w:hAnsi="宋体" w:eastAsia="宋体" w:cs="宋体"/>
          <w:sz w:val="24"/>
          <w:szCs w:val="24"/>
        </w:rPr>
      </w:pPr>
      <w:r>
        <w:rPr>
          <w:rFonts w:ascii="宋体" w:hAnsi="宋体" w:eastAsia="宋体" w:cs="宋体"/>
          <w:spacing w:val="-3"/>
          <w:sz w:val="24"/>
          <w:szCs w:val="24"/>
        </w:rPr>
        <w:t>13.1.3</w:t>
      </w:r>
      <w:r>
        <w:rPr>
          <w:rFonts w:ascii="宋体" w:hAnsi="宋体" w:eastAsia="宋体" w:cs="宋体"/>
          <w:spacing w:val="-35"/>
          <w:sz w:val="24"/>
          <w:szCs w:val="24"/>
        </w:rPr>
        <w:t xml:space="preserve"> </w:t>
      </w:r>
      <w:r>
        <w:rPr>
          <w:rFonts w:ascii="宋体" w:hAnsi="宋体" w:eastAsia="宋体" w:cs="宋体"/>
          <w:spacing w:val="-3"/>
          <w:sz w:val="24"/>
          <w:szCs w:val="24"/>
        </w:rPr>
        <w:t>通用合同条款本款修改为：</w:t>
      </w:r>
    </w:p>
    <w:p w14:paraId="51249E36">
      <w:pPr>
        <w:spacing w:before="181" w:line="360" w:lineRule="auto"/>
        <w:ind w:left="9" w:firstLine="497"/>
        <w:rPr>
          <w:rFonts w:ascii="宋体" w:hAnsi="宋体" w:eastAsia="宋体" w:cs="宋体"/>
          <w:sz w:val="24"/>
          <w:szCs w:val="24"/>
        </w:rPr>
      </w:pPr>
      <w:r>
        <w:rPr>
          <w:rFonts w:ascii="宋体" w:hAnsi="宋体" w:eastAsia="宋体" w:cs="宋体"/>
          <w:spacing w:val="-2"/>
          <w:sz w:val="24"/>
          <w:szCs w:val="24"/>
        </w:rPr>
        <w:t>因发包人原因造成工程质量达不到合同约定验收标准的，发</w:t>
      </w:r>
      <w:r>
        <w:rPr>
          <w:rFonts w:ascii="宋体" w:hAnsi="宋体" w:eastAsia="宋体" w:cs="宋体"/>
          <w:spacing w:val="-3"/>
          <w:sz w:val="24"/>
          <w:szCs w:val="24"/>
        </w:rPr>
        <w:t>包人应承担由于承包人</w:t>
      </w:r>
      <w:r>
        <w:rPr>
          <w:rFonts w:ascii="宋体" w:hAnsi="宋体" w:eastAsia="宋体" w:cs="宋体"/>
          <w:spacing w:val="-1"/>
          <w:sz w:val="24"/>
          <w:szCs w:val="24"/>
        </w:rPr>
        <w:t>返工造成的直接成本费用补偿（不含利润）和适当的工期延误。</w:t>
      </w:r>
    </w:p>
    <w:p w14:paraId="6E2455D3">
      <w:pPr>
        <w:spacing w:line="220" w:lineRule="auto"/>
        <w:ind w:left="506"/>
        <w:rPr>
          <w:rFonts w:ascii="宋体" w:hAnsi="宋体" w:eastAsia="宋体" w:cs="宋体"/>
          <w:sz w:val="24"/>
          <w:szCs w:val="24"/>
        </w:rPr>
      </w:pPr>
      <w:r>
        <w:rPr>
          <w:rFonts w:ascii="宋体" w:hAnsi="宋体" w:eastAsia="宋体" w:cs="宋体"/>
          <w:spacing w:val="-3"/>
          <w:sz w:val="24"/>
          <w:szCs w:val="24"/>
        </w:rPr>
        <w:t>13.1.4  质量标准</w:t>
      </w:r>
    </w:p>
    <w:p w14:paraId="0368F514">
      <w:pPr>
        <w:spacing w:before="180" w:line="219" w:lineRule="auto"/>
        <w:ind w:left="530"/>
        <w:rPr>
          <w:rFonts w:ascii="宋体" w:hAnsi="宋体" w:eastAsia="宋体" w:cs="宋体"/>
          <w:sz w:val="24"/>
          <w:szCs w:val="24"/>
        </w:rPr>
      </w:pPr>
      <w:r>
        <w:rPr>
          <w:rFonts w:ascii="宋体" w:hAnsi="宋体" w:eastAsia="宋体" w:cs="宋体"/>
          <w:spacing w:val="-4"/>
          <w:sz w:val="24"/>
          <w:szCs w:val="24"/>
        </w:rPr>
        <w:t>(1)现行水运工程质量检验标准；</w:t>
      </w:r>
    </w:p>
    <w:p w14:paraId="154366FA">
      <w:pPr>
        <w:spacing w:before="181" w:line="219" w:lineRule="auto"/>
        <w:ind w:left="530"/>
        <w:rPr>
          <w:rFonts w:ascii="宋体" w:hAnsi="宋体" w:eastAsia="宋体" w:cs="宋体"/>
          <w:sz w:val="24"/>
          <w:szCs w:val="24"/>
        </w:rPr>
      </w:pPr>
      <w:r>
        <w:rPr>
          <w:rFonts w:ascii="宋体" w:hAnsi="宋体" w:eastAsia="宋体" w:cs="宋体"/>
          <w:spacing w:val="-4"/>
          <w:sz w:val="24"/>
          <w:szCs w:val="24"/>
        </w:rPr>
        <w:t>(2)其他现行工程质量检验标准；</w:t>
      </w:r>
    </w:p>
    <w:p w14:paraId="23F05BD2">
      <w:pPr>
        <w:spacing w:before="183" w:line="219" w:lineRule="auto"/>
        <w:ind w:left="530"/>
        <w:rPr>
          <w:rFonts w:ascii="宋体" w:hAnsi="宋体" w:eastAsia="宋体" w:cs="宋体"/>
          <w:sz w:val="24"/>
          <w:szCs w:val="24"/>
        </w:rPr>
      </w:pPr>
      <w:r>
        <w:rPr>
          <w:rFonts w:ascii="宋体" w:hAnsi="宋体" w:eastAsia="宋体" w:cs="宋体"/>
          <w:spacing w:val="-3"/>
          <w:sz w:val="24"/>
          <w:szCs w:val="24"/>
        </w:rPr>
        <w:t>(3)以上标准如有修订，按新修订的标准执行。</w:t>
      </w:r>
    </w:p>
    <w:p w14:paraId="37B56C4A">
      <w:pPr>
        <w:spacing w:before="181" w:line="220" w:lineRule="auto"/>
        <w:ind w:left="506"/>
        <w:rPr>
          <w:rFonts w:ascii="宋体" w:hAnsi="宋体" w:eastAsia="宋体" w:cs="宋体"/>
          <w:sz w:val="24"/>
          <w:szCs w:val="24"/>
        </w:rPr>
      </w:pPr>
      <w:r>
        <w:rPr>
          <w:rFonts w:ascii="宋体" w:hAnsi="宋体" w:eastAsia="宋体" w:cs="宋体"/>
          <w:spacing w:val="-3"/>
          <w:sz w:val="24"/>
          <w:szCs w:val="24"/>
        </w:rPr>
        <w:t>13.1.5  质量目标</w:t>
      </w:r>
    </w:p>
    <w:p w14:paraId="72857DE2">
      <w:pPr>
        <w:spacing w:before="181" w:line="219" w:lineRule="auto"/>
        <w:ind w:left="489"/>
        <w:rPr>
          <w:rFonts w:ascii="宋体" w:hAnsi="宋体" w:eastAsia="宋体" w:cs="宋体"/>
          <w:sz w:val="24"/>
          <w:szCs w:val="24"/>
        </w:rPr>
      </w:pPr>
      <w:r>
        <w:rPr>
          <w:rFonts w:ascii="宋体" w:hAnsi="宋体" w:eastAsia="宋体" w:cs="宋体"/>
          <w:sz w:val="24"/>
          <w:szCs w:val="24"/>
        </w:rPr>
        <w:t>本工程质量目标：</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7ECFCE9">
      <w:pPr>
        <w:spacing w:before="312" w:line="219" w:lineRule="auto"/>
        <w:ind w:left="506"/>
        <w:rPr>
          <w:rFonts w:ascii="宋体" w:hAnsi="宋体" w:eastAsia="宋体" w:cs="宋体"/>
          <w:sz w:val="24"/>
          <w:szCs w:val="24"/>
        </w:rPr>
      </w:pPr>
      <w:r>
        <w:rPr>
          <w:rFonts w:ascii="宋体" w:hAnsi="宋体" w:eastAsia="宋体" w:cs="宋体"/>
          <w:b/>
          <w:bCs/>
          <w:spacing w:val="-4"/>
          <w:sz w:val="24"/>
          <w:szCs w:val="24"/>
        </w:rPr>
        <w:br w:type="page"/>
      </w:r>
      <w:r>
        <w:rPr>
          <w:rFonts w:ascii="宋体" w:hAnsi="宋体" w:eastAsia="宋体" w:cs="宋体"/>
          <w:b/>
          <w:bCs/>
          <w:spacing w:val="-4"/>
          <w:sz w:val="24"/>
          <w:szCs w:val="24"/>
        </w:rPr>
        <w:t>13.5</w:t>
      </w:r>
      <w:r>
        <w:rPr>
          <w:rFonts w:ascii="宋体" w:hAnsi="宋体" w:eastAsia="宋体" w:cs="宋体"/>
          <w:spacing w:val="-4"/>
          <w:sz w:val="24"/>
          <w:szCs w:val="24"/>
        </w:rPr>
        <w:t xml:space="preserve"> </w:t>
      </w:r>
      <w:r>
        <w:rPr>
          <w:rFonts w:ascii="宋体" w:hAnsi="宋体" w:eastAsia="宋体" w:cs="宋体"/>
          <w:b/>
          <w:bCs/>
          <w:spacing w:val="-4"/>
          <w:sz w:val="24"/>
          <w:szCs w:val="24"/>
        </w:rPr>
        <w:t>工程隐蔽部位覆盖前的检查</w:t>
      </w:r>
    </w:p>
    <w:p w14:paraId="05484D12">
      <w:pPr>
        <w:spacing w:before="180" w:line="219" w:lineRule="auto"/>
        <w:ind w:left="506"/>
        <w:rPr>
          <w:rFonts w:ascii="宋体" w:hAnsi="宋体" w:eastAsia="宋体" w:cs="宋体"/>
          <w:sz w:val="24"/>
          <w:szCs w:val="24"/>
        </w:rPr>
      </w:pPr>
      <w:r>
        <w:rPr>
          <w:rFonts w:ascii="宋体" w:hAnsi="宋体" w:eastAsia="宋体" w:cs="宋体"/>
          <w:spacing w:val="-2"/>
          <w:sz w:val="24"/>
          <w:szCs w:val="24"/>
        </w:rPr>
        <w:t>13.5.1 通知监理人检查</w:t>
      </w:r>
    </w:p>
    <w:p w14:paraId="5FF0F5A1">
      <w:pPr>
        <w:spacing w:before="183" w:line="359" w:lineRule="auto"/>
        <w:ind w:left="7" w:right="138" w:firstLine="480"/>
        <w:rPr>
          <w:rFonts w:ascii="宋体" w:hAnsi="宋体" w:eastAsia="宋体" w:cs="宋体"/>
          <w:sz w:val="24"/>
          <w:szCs w:val="24"/>
        </w:rPr>
      </w:pPr>
      <w:r>
        <w:rPr>
          <w:rFonts w:ascii="宋体" w:hAnsi="宋体" w:eastAsia="宋体" w:cs="宋体"/>
          <w:sz w:val="24"/>
          <w:szCs w:val="24"/>
        </w:rPr>
        <w:t>承包人通知及监理人检查时限：承包人在自检合格后，填写隐蔽工程验收申请</w:t>
      </w:r>
      <w:r>
        <w:rPr>
          <w:rFonts w:ascii="宋体" w:hAnsi="宋体" w:eastAsia="宋体" w:cs="宋体"/>
          <w:spacing w:val="-1"/>
          <w:sz w:val="24"/>
          <w:szCs w:val="24"/>
        </w:rPr>
        <w:t>单，在覆盖前</w:t>
      </w:r>
      <w:r>
        <w:rPr>
          <w:rFonts w:ascii="宋体" w:hAnsi="宋体" w:eastAsia="宋体" w:cs="宋体"/>
          <w:spacing w:val="-1"/>
          <w:sz w:val="24"/>
          <w:szCs w:val="24"/>
          <w:u w:val="single" w:color="auto"/>
        </w:rPr>
        <w:t xml:space="preserve"> 48 </w:t>
      </w:r>
      <w:r>
        <w:rPr>
          <w:rFonts w:ascii="宋体" w:hAnsi="宋体" w:eastAsia="宋体" w:cs="宋体"/>
          <w:spacing w:val="-1"/>
          <w:sz w:val="24"/>
          <w:szCs w:val="24"/>
        </w:rPr>
        <w:t>小时，通知监理人进行验收；</w:t>
      </w:r>
      <w:r>
        <w:rPr>
          <w:rFonts w:ascii="宋体" w:hAnsi="宋体" w:eastAsia="宋体" w:cs="宋体"/>
          <w:spacing w:val="-2"/>
          <w:sz w:val="24"/>
          <w:szCs w:val="24"/>
        </w:rPr>
        <w:t>监理人在接到通知</w:t>
      </w:r>
      <w:r>
        <w:rPr>
          <w:rFonts w:ascii="宋体" w:hAnsi="宋体" w:eastAsia="宋体" w:cs="宋体"/>
          <w:spacing w:val="-2"/>
          <w:sz w:val="24"/>
          <w:szCs w:val="24"/>
          <w:u w:val="single" w:color="auto"/>
        </w:rPr>
        <w:t xml:space="preserve"> 48 </w:t>
      </w:r>
      <w:r>
        <w:rPr>
          <w:rFonts w:ascii="宋体" w:hAnsi="宋体" w:eastAsia="宋体" w:cs="宋体"/>
          <w:spacing w:val="-2"/>
          <w:sz w:val="24"/>
          <w:szCs w:val="24"/>
        </w:rPr>
        <w:t>小时内进行验收。经</w:t>
      </w:r>
      <w:r>
        <w:rPr>
          <w:rFonts w:ascii="宋体" w:hAnsi="宋体" w:eastAsia="宋体" w:cs="宋体"/>
          <w:spacing w:val="-6"/>
          <w:sz w:val="24"/>
          <w:szCs w:val="24"/>
        </w:rPr>
        <w:t>监理人验收合格并在验收记录上签认后，承包人可进行覆盖和继续施工；</w:t>
      </w:r>
      <w:r>
        <w:rPr>
          <w:rFonts w:ascii="宋体" w:hAnsi="宋体" w:eastAsia="宋体" w:cs="宋体"/>
          <w:spacing w:val="-7"/>
          <w:sz w:val="24"/>
          <w:szCs w:val="24"/>
        </w:rPr>
        <w:t>若验收不合格，</w:t>
      </w:r>
      <w:r>
        <w:rPr>
          <w:rFonts w:ascii="宋体" w:hAnsi="宋体" w:eastAsia="宋体" w:cs="宋体"/>
          <w:spacing w:val="-1"/>
          <w:sz w:val="24"/>
          <w:szCs w:val="24"/>
        </w:rPr>
        <w:t>承包人应按监理人的要求整改并重新申请验收。</w:t>
      </w:r>
    </w:p>
    <w:p w14:paraId="6451A1AD">
      <w:pPr>
        <w:spacing w:line="219" w:lineRule="auto"/>
        <w:ind w:left="506"/>
        <w:rPr>
          <w:rFonts w:ascii="宋体" w:hAnsi="宋体" w:eastAsia="宋体" w:cs="宋体"/>
          <w:sz w:val="24"/>
          <w:szCs w:val="24"/>
        </w:rPr>
      </w:pPr>
      <w:r>
        <w:rPr>
          <w:rFonts w:ascii="宋体" w:hAnsi="宋体" w:eastAsia="宋体" w:cs="宋体"/>
          <w:b/>
          <w:bCs/>
          <w:spacing w:val="-4"/>
          <w:sz w:val="24"/>
          <w:szCs w:val="24"/>
        </w:rPr>
        <w:t>13.6</w:t>
      </w:r>
      <w:r>
        <w:rPr>
          <w:rFonts w:ascii="宋体" w:hAnsi="宋体" w:eastAsia="宋体" w:cs="宋体"/>
          <w:spacing w:val="-4"/>
          <w:sz w:val="24"/>
          <w:szCs w:val="24"/>
        </w:rPr>
        <w:t xml:space="preserve"> </w:t>
      </w:r>
      <w:r>
        <w:rPr>
          <w:rFonts w:ascii="宋体" w:hAnsi="宋体" w:eastAsia="宋体" w:cs="宋体"/>
          <w:b/>
          <w:bCs/>
          <w:spacing w:val="-4"/>
          <w:sz w:val="24"/>
          <w:szCs w:val="24"/>
        </w:rPr>
        <w:t>清除不合格工程</w:t>
      </w:r>
    </w:p>
    <w:p w14:paraId="0152FDD8">
      <w:pPr>
        <w:spacing w:before="180" w:line="219" w:lineRule="auto"/>
        <w:ind w:left="488"/>
        <w:rPr>
          <w:rFonts w:ascii="宋体" w:hAnsi="宋体" w:eastAsia="宋体" w:cs="宋体"/>
          <w:sz w:val="24"/>
          <w:szCs w:val="24"/>
        </w:rPr>
      </w:pPr>
      <w:r>
        <w:rPr>
          <w:rFonts w:ascii="宋体" w:hAnsi="宋体" w:eastAsia="宋体" w:cs="宋体"/>
          <w:spacing w:val="-3"/>
          <w:sz w:val="24"/>
          <w:szCs w:val="24"/>
        </w:rPr>
        <w:t>通用合同条款本款第</w:t>
      </w:r>
      <w:r>
        <w:rPr>
          <w:rFonts w:ascii="宋体" w:hAnsi="宋体" w:eastAsia="宋体" w:cs="宋体"/>
          <w:spacing w:val="-15"/>
          <w:sz w:val="24"/>
          <w:szCs w:val="24"/>
        </w:rPr>
        <w:t xml:space="preserve"> </w:t>
      </w:r>
      <w:r>
        <w:rPr>
          <w:rFonts w:ascii="宋体" w:hAnsi="宋体" w:eastAsia="宋体" w:cs="宋体"/>
          <w:spacing w:val="-3"/>
          <w:sz w:val="24"/>
          <w:szCs w:val="24"/>
        </w:rPr>
        <w:t>13.6.2</w:t>
      </w:r>
      <w:r>
        <w:rPr>
          <w:rFonts w:ascii="宋体" w:hAnsi="宋体" w:eastAsia="宋体" w:cs="宋体"/>
          <w:spacing w:val="-47"/>
          <w:sz w:val="24"/>
          <w:szCs w:val="24"/>
        </w:rPr>
        <w:t xml:space="preserve"> </w:t>
      </w:r>
      <w:r>
        <w:rPr>
          <w:rFonts w:ascii="宋体" w:hAnsi="宋体" w:eastAsia="宋体" w:cs="宋体"/>
          <w:spacing w:val="-3"/>
          <w:sz w:val="24"/>
          <w:szCs w:val="24"/>
        </w:rPr>
        <w:t>项本合同不适用。</w:t>
      </w:r>
    </w:p>
    <w:p w14:paraId="2AAC3B03">
      <w:pPr>
        <w:spacing w:before="183" w:line="219" w:lineRule="auto"/>
        <w:ind w:left="488"/>
        <w:rPr>
          <w:rFonts w:ascii="宋体" w:hAnsi="宋体" w:eastAsia="宋体" w:cs="宋体"/>
          <w:sz w:val="24"/>
          <w:szCs w:val="24"/>
        </w:rPr>
      </w:pPr>
      <w:r>
        <w:rPr>
          <w:rFonts w:ascii="宋体" w:hAnsi="宋体" w:eastAsia="宋体" w:cs="宋体"/>
          <w:b/>
          <w:bCs/>
          <w:spacing w:val="-5"/>
          <w:sz w:val="24"/>
          <w:szCs w:val="24"/>
        </w:rPr>
        <w:t>通用合同条款本条增加第</w:t>
      </w:r>
      <w:r>
        <w:rPr>
          <w:rFonts w:ascii="宋体" w:hAnsi="宋体" w:eastAsia="宋体" w:cs="宋体"/>
          <w:spacing w:val="-15"/>
          <w:sz w:val="24"/>
          <w:szCs w:val="24"/>
        </w:rPr>
        <w:t xml:space="preserve"> </w:t>
      </w:r>
      <w:r>
        <w:rPr>
          <w:rFonts w:ascii="宋体" w:hAnsi="宋体" w:eastAsia="宋体" w:cs="宋体"/>
          <w:b/>
          <w:bCs/>
          <w:spacing w:val="-5"/>
          <w:sz w:val="24"/>
          <w:szCs w:val="24"/>
        </w:rPr>
        <w:t>13.7</w:t>
      </w:r>
      <w:r>
        <w:rPr>
          <w:rFonts w:ascii="宋体" w:hAnsi="宋体" w:eastAsia="宋体" w:cs="宋体"/>
          <w:spacing w:val="-49"/>
          <w:sz w:val="24"/>
          <w:szCs w:val="24"/>
        </w:rPr>
        <w:t xml:space="preserve"> </w:t>
      </w:r>
      <w:r>
        <w:rPr>
          <w:rFonts w:ascii="宋体" w:hAnsi="宋体" w:eastAsia="宋体" w:cs="宋体"/>
          <w:b/>
          <w:bCs/>
          <w:spacing w:val="-5"/>
          <w:sz w:val="24"/>
          <w:szCs w:val="24"/>
        </w:rPr>
        <w:t>款的内容：</w:t>
      </w:r>
    </w:p>
    <w:p w14:paraId="6440FB76">
      <w:pPr>
        <w:spacing w:before="181" w:line="220" w:lineRule="auto"/>
        <w:ind w:left="506"/>
        <w:rPr>
          <w:rFonts w:ascii="宋体" w:hAnsi="宋体" w:eastAsia="宋体" w:cs="宋体"/>
          <w:sz w:val="24"/>
          <w:szCs w:val="24"/>
        </w:rPr>
      </w:pPr>
      <w:r>
        <w:rPr>
          <w:rFonts w:ascii="宋体" w:hAnsi="宋体" w:eastAsia="宋体" w:cs="宋体"/>
          <w:b/>
          <w:bCs/>
          <w:spacing w:val="-4"/>
          <w:sz w:val="24"/>
          <w:szCs w:val="24"/>
        </w:rPr>
        <w:t>13.7</w:t>
      </w:r>
      <w:r>
        <w:rPr>
          <w:rFonts w:ascii="宋体" w:hAnsi="宋体" w:eastAsia="宋体" w:cs="宋体"/>
          <w:spacing w:val="-4"/>
          <w:sz w:val="24"/>
          <w:szCs w:val="24"/>
        </w:rPr>
        <w:t xml:space="preserve"> </w:t>
      </w:r>
      <w:r>
        <w:rPr>
          <w:rFonts w:ascii="宋体" w:hAnsi="宋体" w:eastAsia="宋体" w:cs="宋体"/>
          <w:b/>
          <w:bCs/>
          <w:spacing w:val="-4"/>
          <w:sz w:val="24"/>
          <w:szCs w:val="24"/>
        </w:rPr>
        <w:t>质量监督与处罚</w:t>
      </w:r>
    </w:p>
    <w:p w14:paraId="4602A1AB">
      <w:pPr>
        <w:spacing w:before="183" w:line="359" w:lineRule="auto"/>
        <w:ind w:left="9" w:right="200" w:firstLine="480"/>
        <w:jc w:val="both"/>
        <w:rPr>
          <w:rFonts w:ascii="宋体" w:hAnsi="宋体" w:eastAsia="宋体" w:cs="宋体"/>
          <w:sz w:val="24"/>
          <w:szCs w:val="24"/>
        </w:rPr>
      </w:pPr>
      <w:r>
        <w:rPr>
          <w:rFonts w:ascii="宋体" w:hAnsi="宋体" w:eastAsia="宋体" w:cs="宋体"/>
          <w:spacing w:val="-2"/>
          <w:sz w:val="24"/>
          <w:szCs w:val="24"/>
        </w:rPr>
        <w:t>若质量监督部门有关检查工作中发现有涉及工程质量或安全问题，承包人不按要求</w:t>
      </w:r>
      <w:r>
        <w:rPr>
          <w:rFonts w:ascii="宋体" w:hAnsi="宋体" w:eastAsia="宋体" w:cs="宋体"/>
          <w:spacing w:val="-1"/>
          <w:sz w:val="24"/>
          <w:szCs w:val="24"/>
        </w:rPr>
        <w:t>整改，同一问题再次发生的，发包人有权对承包人处以</w:t>
      </w:r>
      <w:r>
        <w:rPr>
          <w:rFonts w:ascii="宋体" w:hAnsi="宋体" w:eastAsia="宋体" w:cs="宋体"/>
          <w:spacing w:val="-1"/>
          <w:sz w:val="24"/>
          <w:szCs w:val="24"/>
          <w:u w:val="single" w:color="auto"/>
        </w:rPr>
        <w:t xml:space="preserve">    </w:t>
      </w:r>
      <w:r>
        <w:rPr>
          <w:rFonts w:ascii="宋体" w:hAnsi="宋体" w:eastAsia="宋体" w:cs="宋体"/>
          <w:spacing w:val="-92"/>
          <w:sz w:val="24"/>
          <w:szCs w:val="24"/>
        </w:rPr>
        <w:t xml:space="preserve"> </w:t>
      </w:r>
      <w:r>
        <w:rPr>
          <w:rFonts w:ascii="宋体" w:hAnsi="宋体" w:eastAsia="宋体" w:cs="宋体"/>
          <w:spacing w:val="-1"/>
          <w:sz w:val="24"/>
          <w:szCs w:val="24"/>
        </w:rPr>
        <w:t>万元/次违约金。由此而发</w:t>
      </w:r>
      <w:r>
        <w:rPr>
          <w:rFonts w:ascii="宋体" w:hAnsi="宋体" w:eastAsia="宋体" w:cs="宋体"/>
          <w:spacing w:val="-2"/>
          <w:sz w:val="24"/>
          <w:szCs w:val="24"/>
        </w:rPr>
        <w:t>生质量事故、安全生产事故，承包人按照有关规定承担全部责任，同时发包人有权按第22.1.3</w:t>
      </w:r>
      <w:r>
        <w:rPr>
          <w:rFonts w:ascii="宋体" w:hAnsi="宋体" w:eastAsia="宋体" w:cs="宋体"/>
          <w:spacing w:val="-42"/>
          <w:sz w:val="24"/>
          <w:szCs w:val="24"/>
        </w:rPr>
        <w:t xml:space="preserve"> </w:t>
      </w:r>
      <w:r>
        <w:rPr>
          <w:rFonts w:ascii="宋体" w:hAnsi="宋体" w:eastAsia="宋体" w:cs="宋体"/>
          <w:spacing w:val="-2"/>
          <w:sz w:val="24"/>
          <w:szCs w:val="24"/>
        </w:rPr>
        <w:t>项约定解除本合同。</w:t>
      </w:r>
    </w:p>
    <w:p w14:paraId="2DCEE239">
      <w:pPr>
        <w:spacing w:line="219" w:lineRule="auto"/>
        <w:ind w:left="26"/>
        <w:rPr>
          <w:rFonts w:ascii="宋体" w:hAnsi="宋体" w:eastAsia="宋体" w:cs="宋体"/>
          <w:sz w:val="24"/>
          <w:szCs w:val="24"/>
        </w:rPr>
      </w:pPr>
      <w:r>
        <w:rPr>
          <w:rFonts w:ascii="宋体" w:hAnsi="宋体" w:eastAsia="宋体" w:cs="宋体"/>
          <w:b/>
          <w:bCs/>
          <w:spacing w:val="-6"/>
          <w:sz w:val="24"/>
          <w:szCs w:val="24"/>
        </w:rPr>
        <w:t>14．试验和检验</w:t>
      </w:r>
    </w:p>
    <w:p w14:paraId="6F3DE36D">
      <w:pPr>
        <w:spacing w:before="182" w:line="219" w:lineRule="auto"/>
        <w:ind w:left="506"/>
        <w:rPr>
          <w:rFonts w:ascii="宋体" w:hAnsi="宋体" w:eastAsia="宋体" w:cs="宋体"/>
          <w:sz w:val="24"/>
          <w:szCs w:val="24"/>
        </w:rPr>
      </w:pPr>
      <w:r>
        <w:rPr>
          <w:rFonts w:ascii="宋体" w:hAnsi="宋体" w:eastAsia="宋体" w:cs="宋体"/>
          <w:b/>
          <w:bCs/>
          <w:spacing w:val="-3"/>
          <w:sz w:val="24"/>
          <w:szCs w:val="24"/>
        </w:rPr>
        <w:t>14.1</w:t>
      </w:r>
      <w:r>
        <w:rPr>
          <w:rFonts w:ascii="宋体" w:hAnsi="宋体" w:eastAsia="宋体" w:cs="宋体"/>
          <w:spacing w:val="-3"/>
          <w:sz w:val="24"/>
          <w:szCs w:val="24"/>
        </w:rPr>
        <w:t xml:space="preserve"> </w:t>
      </w:r>
      <w:r>
        <w:rPr>
          <w:rFonts w:ascii="宋体" w:hAnsi="宋体" w:eastAsia="宋体" w:cs="宋体"/>
          <w:b/>
          <w:bCs/>
          <w:spacing w:val="-3"/>
          <w:sz w:val="24"/>
          <w:szCs w:val="24"/>
        </w:rPr>
        <w:t>材料、工程设备和工程的试验和检验</w:t>
      </w:r>
    </w:p>
    <w:p w14:paraId="0EE08ED5">
      <w:pPr>
        <w:spacing w:before="181" w:line="219" w:lineRule="auto"/>
        <w:ind w:left="506"/>
        <w:rPr>
          <w:rFonts w:ascii="宋体" w:hAnsi="宋体" w:eastAsia="宋体" w:cs="宋体"/>
          <w:sz w:val="24"/>
          <w:szCs w:val="24"/>
        </w:rPr>
      </w:pPr>
      <w:r>
        <w:rPr>
          <w:rFonts w:ascii="宋体" w:hAnsi="宋体" w:eastAsia="宋体" w:cs="宋体"/>
          <w:spacing w:val="-1"/>
          <w:sz w:val="24"/>
          <w:szCs w:val="24"/>
        </w:rPr>
        <w:t>14.1.1 承包人进行材料、工程设备和工程的试验和检验的规定：</w:t>
      </w:r>
    </w:p>
    <w:p w14:paraId="482F441B">
      <w:pPr>
        <w:spacing w:before="182" w:line="219" w:lineRule="auto"/>
        <w:ind w:left="499"/>
        <w:rPr>
          <w:rFonts w:ascii="宋体" w:hAnsi="宋体" w:eastAsia="宋体" w:cs="宋体"/>
          <w:sz w:val="24"/>
          <w:szCs w:val="24"/>
        </w:rPr>
      </w:pPr>
      <w:r>
        <w:rPr>
          <w:rFonts w:ascii="宋体" w:hAnsi="宋体" w:eastAsia="宋体" w:cs="宋体"/>
          <w:spacing w:val="-1"/>
          <w:sz w:val="24"/>
          <w:szCs w:val="24"/>
        </w:rPr>
        <w:t>（1）有关试验和检验应严格按照相关规范执行；</w:t>
      </w:r>
    </w:p>
    <w:p w14:paraId="3E196822">
      <w:pPr>
        <w:spacing w:before="185" w:line="359" w:lineRule="auto"/>
        <w:ind w:left="8" w:right="200" w:firstLine="491"/>
        <w:rPr>
          <w:rFonts w:ascii="宋体" w:hAnsi="宋体" w:eastAsia="宋体" w:cs="宋体"/>
          <w:sz w:val="24"/>
          <w:szCs w:val="24"/>
        </w:rPr>
      </w:pPr>
      <w:r>
        <w:rPr>
          <w:rFonts w:ascii="宋体" w:hAnsi="宋体" w:eastAsia="宋体" w:cs="宋体"/>
          <w:spacing w:val="-1"/>
          <w:sz w:val="24"/>
          <w:szCs w:val="24"/>
        </w:rPr>
        <w:t>（2）材料、构件、配件和工程设备订货前，承包人应向监理人提供生产厂家的生</w:t>
      </w:r>
      <w:r>
        <w:rPr>
          <w:rFonts w:ascii="宋体" w:hAnsi="宋体" w:eastAsia="宋体" w:cs="宋体"/>
          <w:spacing w:val="-2"/>
          <w:sz w:val="24"/>
          <w:szCs w:val="24"/>
        </w:rPr>
        <w:t>产许可证和相应资质证明文件等材料，对新材料、新产品还应提供鉴定证明和有关确认</w:t>
      </w:r>
      <w:r>
        <w:rPr>
          <w:rFonts w:ascii="宋体" w:hAnsi="宋体" w:eastAsia="宋体" w:cs="宋体"/>
          <w:spacing w:val="-4"/>
          <w:sz w:val="24"/>
          <w:szCs w:val="24"/>
        </w:rPr>
        <w:t>文件。</w:t>
      </w:r>
    </w:p>
    <w:p w14:paraId="3E6F3DDC">
      <w:pPr>
        <w:spacing w:line="219" w:lineRule="auto"/>
        <w:jc w:val="right"/>
        <w:rPr>
          <w:rFonts w:ascii="宋体" w:hAnsi="宋体" w:eastAsia="宋体" w:cs="宋体"/>
          <w:sz w:val="24"/>
          <w:szCs w:val="24"/>
        </w:rPr>
      </w:pPr>
      <w:r>
        <w:rPr>
          <w:rFonts w:ascii="宋体" w:hAnsi="宋体" w:eastAsia="宋体" w:cs="宋体"/>
          <w:spacing w:val="-3"/>
          <w:sz w:val="24"/>
          <w:szCs w:val="24"/>
        </w:rPr>
        <w:t>监理人与承包人应共同进行试验和检验的项目：按最新水运工程施工监理规范执行。</w:t>
      </w:r>
    </w:p>
    <w:p w14:paraId="226C6B73">
      <w:pPr>
        <w:spacing w:before="180" w:line="219" w:lineRule="auto"/>
        <w:ind w:left="488"/>
        <w:rPr>
          <w:rFonts w:ascii="宋体" w:hAnsi="宋体" w:eastAsia="宋体" w:cs="宋体"/>
          <w:sz w:val="24"/>
          <w:szCs w:val="24"/>
        </w:rPr>
      </w:pPr>
      <w:r>
        <w:rPr>
          <w:rFonts w:ascii="宋体" w:hAnsi="宋体" w:eastAsia="宋体" w:cs="宋体"/>
          <w:b/>
          <w:bCs/>
          <w:spacing w:val="-5"/>
          <w:sz w:val="24"/>
          <w:szCs w:val="24"/>
        </w:rPr>
        <w:t>通用合同条款本条增加第</w:t>
      </w:r>
      <w:r>
        <w:rPr>
          <w:rFonts w:ascii="宋体" w:hAnsi="宋体" w:eastAsia="宋体" w:cs="宋体"/>
          <w:spacing w:val="-15"/>
          <w:sz w:val="24"/>
          <w:szCs w:val="24"/>
        </w:rPr>
        <w:t xml:space="preserve"> </w:t>
      </w:r>
      <w:r>
        <w:rPr>
          <w:rFonts w:ascii="宋体" w:hAnsi="宋体" w:eastAsia="宋体" w:cs="宋体"/>
          <w:b/>
          <w:bCs/>
          <w:spacing w:val="-5"/>
          <w:sz w:val="24"/>
          <w:szCs w:val="24"/>
        </w:rPr>
        <w:t>14.4</w:t>
      </w:r>
      <w:r>
        <w:rPr>
          <w:rFonts w:ascii="宋体" w:hAnsi="宋体" w:eastAsia="宋体" w:cs="宋体"/>
          <w:spacing w:val="-49"/>
          <w:sz w:val="24"/>
          <w:szCs w:val="24"/>
        </w:rPr>
        <w:t xml:space="preserve"> </w:t>
      </w:r>
      <w:r>
        <w:rPr>
          <w:rFonts w:ascii="宋体" w:hAnsi="宋体" w:eastAsia="宋体" w:cs="宋体"/>
          <w:b/>
          <w:bCs/>
          <w:spacing w:val="-5"/>
          <w:sz w:val="24"/>
          <w:szCs w:val="24"/>
        </w:rPr>
        <w:t>款的内容：</w:t>
      </w:r>
    </w:p>
    <w:p w14:paraId="0294E782">
      <w:pPr>
        <w:spacing w:before="184" w:line="219" w:lineRule="auto"/>
        <w:ind w:left="506"/>
        <w:rPr>
          <w:rFonts w:ascii="宋体" w:hAnsi="宋体" w:eastAsia="宋体" w:cs="宋体"/>
          <w:sz w:val="24"/>
          <w:szCs w:val="24"/>
        </w:rPr>
      </w:pPr>
      <w:r>
        <w:rPr>
          <w:rFonts w:ascii="宋体" w:hAnsi="宋体" w:eastAsia="宋体" w:cs="宋体"/>
          <w:b/>
          <w:bCs/>
          <w:spacing w:val="-4"/>
          <w:sz w:val="24"/>
          <w:szCs w:val="24"/>
        </w:rPr>
        <w:t>14.4</w:t>
      </w:r>
      <w:r>
        <w:rPr>
          <w:rFonts w:ascii="宋体" w:hAnsi="宋体" w:eastAsia="宋体" w:cs="宋体"/>
          <w:spacing w:val="-4"/>
          <w:sz w:val="24"/>
          <w:szCs w:val="24"/>
        </w:rPr>
        <w:t xml:space="preserve"> </w:t>
      </w:r>
      <w:r>
        <w:rPr>
          <w:rFonts w:ascii="宋体" w:hAnsi="宋体" w:eastAsia="宋体" w:cs="宋体"/>
          <w:b/>
          <w:bCs/>
          <w:spacing w:val="-4"/>
          <w:sz w:val="24"/>
          <w:szCs w:val="24"/>
        </w:rPr>
        <w:t>试验和检验费用</w:t>
      </w:r>
    </w:p>
    <w:p w14:paraId="7350A6FD">
      <w:pPr>
        <w:spacing w:before="184" w:line="219" w:lineRule="auto"/>
        <w:ind w:left="488"/>
        <w:rPr>
          <w:rFonts w:ascii="宋体" w:hAnsi="宋体" w:eastAsia="宋体" w:cs="宋体"/>
          <w:sz w:val="24"/>
          <w:szCs w:val="24"/>
        </w:rPr>
      </w:pPr>
      <w:r>
        <w:rPr>
          <w:rFonts w:ascii="宋体" w:hAnsi="宋体" w:eastAsia="宋体" w:cs="宋体"/>
          <w:spacing w:val="-1"/>
          <w:sz w:val="24"/>
          <w:szCs w:val="24"/>
        </w:rPr>
        <w:t>承包人应负责承担试验和检验所需的相关费用。</w:t>
      </w:r>
    </w:p>
    <w:p w14:paraId="10A272BE">
      <w:pPr>
        <w:spacing w:before="180" w:line="221" w:lineRule="auto"/>
        <w:ind w:left="26"/>
        <w:rPr>
          <w:rFonts w:ascii="宋体" w:hAnsi="宋体" w:eastAsia="宋体" w:cs="宋体"/>
          <w:sz w:val="24"/>
          <w:szCs w:val="24"/>
        </w:rPr>
      </w:pPr>
      <w:r>
        <w:rPr>
          <w:rFonts w:ascii="宋体" w:hAnsi="宋体" w:eastAsia="宋体" w:cs="宋体"/>
          <w:b/>
          <w:bCs/>
          <w:spacing w:val="-7"/>
          <w:sz w:val="24"/>
          <w:szCs w:val="24"/>
        </w:rPr>
        <w:t>15．变更</w:t>
      </w:r>
    </w:p>
    <w:p w14:paraId="0A40192A">
      <w:pPr>
        <w:spacing w:before="179" w:line="219" w:lineRule="auto"/>
        <w:ind w:left="506"/>
        <w:rPr>
          <w:rFonts w:ascii="宋体" w:hAnsi="宋体" w:eastAsia="宋体" w:cs="宋体"/>
          <w:sz w:val="24"/>
          <w:szCs w:val="24"/>
        </w:rPr>
      </w:pPr>
      <w:r>
        <w:rPr>
          <w:rFonts w:ascii="宋体" w:hAnsi="宋体" w:eastAsia="宋体" w:cs="宋体"/>
          <w:b/>
          <w:bCs/>
          <w:spacing w:val="-4"/>
          <w:sz w:val="24"/>
          <w:szCs w:val="24"/>
        </w:rPr>
        <w:t>15.1</w:t>
      </w:r>
      <w:r>
        <w:rPr>
          <w:rFonts w:ascii="宋体" w:hAnsi="宋体" w:eastAsia="宋体" w:cs="宋体"/>
          <w:spacing w:val="-4"/>
          <w:sz w:val="24"/>
          <w:szCs w:val="24"/>
        </w:rPr>
        <w:t xml:space="preserve"> </w:t>
      </w:r>
      <w:r>
        <w:rPr>
          <w:rFonts w:ascii="宋体" w:hAnsi="宋体" w:eastAsia="宋体" w:cs="宋体"/>
          <w:b/>
          <w:bCs/>
          <w:spacing w:val="-4"/>
          <w:sz w:val="24"/>
          <w:szCs w:val="24"/>
        </w:rPr>
        <w:t>变更的范围和内容</w:t>
      </w:r>
    </w:p>
    <w:p w14:paraId="6653DE7C">
      <w:pPr>
        <w:spacing w:before="183" w:line="359" w:lineRule="auto"/>
        <w:ind w:left="9" w:right="200" w:firstLine="521"/>
        <w:rPr>
          <w:rFonts w:ascii="宋体" w:hAnsi="宋体" w:eastAsia="宋体" w:cs="宋体"/>
          <w:sz w:val="24"/>
          <w:szCs w:val="24"/>
        </w:rPr>
      </w:pPr>
      <w:r>
        <w:rPr>
          <w:rFonts w:ascii="宋体" w:hAnsi="宋体" w:eastAsia="宋体" w:cs="宋体"/>
          <w:spacing w:val="-2"/>
          <w:sz w:val="24"/>
          <w:szCs w:val="24"/>
        </w:rPr>
        <w:t>(6)工程量清单中某单项工程量的变化幅度超过</w:t>
      </w:r>
      <w:r>
        <w:rPr>
          <w:rFonts w:ascii="宋体" w:hAnsi="宋体" w:eastAsia="宋体" w:cs="宋体"/>
          <w:spacing w:val="106"/>
          <w:sz w:val="24"/>
          <w:szCs w:val="24"/>
          <w:u w:val="single" w:color="auto"/>
        </w:rPr>
        <w:t xml:space="preserve"> </w:t>
      </w:r>
      <w:r>
        <w:rPr>
          <w:rFonts w:ascii="宋体" w:hAnsi="宋体" w:eastAsia="宋体" w:cs="宋体"/>
          <w:spacing w:val="-2"/>
          <w:sz w:val="24"/>
          <w:szCs w:val="24"/>
          <w:u w:val="single" w:color="auto"/>
        </w:rPr>
        <w:t xml:space="preserve">20 </w:t>
      </w:r>
      <w:r>
        <w:rPr>
          <w:rFonts w:ascii="宋体" w:hAnsi="宋体" w:eastAsia="宋体" w:cs="宋体"/>
          <w:spacing w:val="-3"/>
          <w:sz w:val="24"/>
          <w:szCs w:val="24"/>
        </w:rPr>
        <w:t xml:space="preserve"> %，且对合同总价影响幅度超</w:t>
      </w:r>
      <w:r>
        <w:rPr>
          <w:rFonts w:ascii="宋体" w:hAnsi="宋体" w:eastAsia="宋体" w:cs="宋体"/>
          <w:spacing w:val="-1"/>
          <w:sz w:val="24"/>
          <w:szCs w:val="24"/>
        </w:rPr>
        <w:t>过</w:t>
      </w:r>
      <w:r>
        <w:rPr>
          <w:rFonts w:ascii="宋体" w:hAnsi="宋体" w:eastAsia="宋体" w:cs="宋体"/>
          <w:spacing w:val="-1"/>
          <w:sz w:val="24"/>
          <w:szCs w:val="24"/>
          <w:u w:val="single" w:color="auto"/>
        </w:rPr>
        <w:t xml:space="preserve">  2  </w:t>
      </w:r>
      <w:r>
        <w:rPr>
          <w:rFonts w:ascii="宋体" w:hAnsi="宋体" w:eastAsia="宋体" w:cs="宋体"/>
          <w:spacing w:val="-1"/>
          <w:sz w:val="24"/>
          <w:szCs w:val="24"/>
        </w:rPr>
        <w:t>%时，应调整该工程量清单项目的综合单价。</w:t>
      </w:r>
    </w:p>
    <w:p w14:paraId="169C0E2D">
      <w:pPr>
        <w:spacing w:before="1" w:line="217" w:lineRule="auto"/>
        <w:ind w:left="506"/>
        <w:rPr>
          <w:rFonts w:ascii="宋体" w:hAnsi="宋体" w:eastAsia="宋体" w:cs="宋体"/>
          <w:sz w:val="24"/>
          <w:szCs w:val="24"/>
        </w:rPr>
      </w:pPr>
      <w:r>
        <w:rPr>
          <w:rFonts w:ascii="宋体" w:hAnsi="宋体" w:eastAsia="宋体" w:cs="宋体"/>
          <w:b/>
          <w:bCs/>
          <w:spacing w:val="-4"/>
          <w:sz w:val="24"/>
          <w:szCs w:val="24"/>
        </w:rPr>
        <w:t>15.4</w:t>
      </w:r>
      <w:r>
        <w:rPr>
          <w:rFonts w:ascii="宋体" w:hAnsi="宋体" w:eastAsia="宋体" w:cs="宋体"/>
          <w:spacing w:val="-4"/>
          <w:sz w:val="24"/>
          <w:szCs w:val="24"/>
        </w:rPr>
        <w:t xml:space="preserve"> </w:t>
      </w:r>
      <w:r>
        <w:rPr>
          <w:rFonts w:ascii="宋体" w:hAnsi="宋体" w:eastAsia="宋体" w:cs="宋体"/>
          <w:b/>
          <w:bCs/>
          <w:spacing w:val="-4"/>
          <w:sz w:val="24"/>
          <w:szCs w:val="24"/>
        </w:rPr>
        <w:t>变更的估价原则</w:t>
      </w:r>
    </w:p>
    <w:p w14:paraId="2984BE99">
      <w:pPr>
        <w:spacing w:before="311" w:line="219" w:lineRule="auto"/>
        <w:ind w:left="486"/>
        <w:rPr>
          <w:rFonts w:ascii="宋体" w:hAnsi="宋体" w:eastAsia="宋体" w:cs="宋体"/>
          <w:sz w:val="24"/>
          <w:szCs w:val="24"/>
        </w:rPr>
      </w:pPr>
      <w:r>
        <w:rPr>
          <w:rFonts w:ascii="宋体" w:hAnsi="宋体" w:eastAsia="宋体" w:cs="宋体"/>
          <w:spacing w:val="-2"/>
          <w:sz w:val="24"/>
          <w:szCs w:val="24"/>
        </w:rPr>
        <w:br w:type="page"/>
      </w:r>
      <w:r>
        <w:rPr>
          <w:rFonts w:ascii="宋体" w:hAnsi="宋体" w:eastAsia="宋体" w:cs="宋体"/>
          <w:spacing w:val="-2"/>
          <w:sz w:val="24"/>
          <w:szCs w:val="24"/>
        </w:rPr>
        <w:t>将本款第</w:t>
      </w:r>
      <w:r>
        <w:rPr>
          <w:rFonts w:ascii="宋体" w:hAnsi="宋体" w:eastAsia="宋体" w:cs="宋体"/>
          <w:spacing w:val="-22"/>
          <w:sz w:val="24"/>
          <w:szCs w:val="24"/>
        </w:rPr>
        <w:t xml:space="preserve"> </w:t>
      </w:r>
      <w:r>
        <w:rPr>
          <w:rFonts w:ascii="宋体" w:hAnsi="宋体" w:eastAsia="宋体" w:cs="宋体"/>
          <w:spacing w:val="-2"/>
          <w:sz w:val="24"/>
          <w:szCs w:val="24"/>
        </w:rPr>
        <w:t>15.4.1～15.4.3</w:t>
      </w:r>
      <w:r>
        <w:rPr>
          <w:rFonts w:ascii="宋体" w:hAnsi="宋体" w:eastAsia="宋体" w:cs="宋体"/>
          <w:spacing w:val="-47"/>
          <w:sz w:val="24"/>
          <w:szCs w:val="24"/>
        </w:rPr>
        <w:t xml:space="preserve"> </w:t>
      </w:r>
      <w:r>
        <w:rPr>
          <w:rFonts w:ascii="宋体" w:hAnsi="宋体" w:eastAsia="宋体" w:cs="宋体"/>
          <w:spacing w:val="-2"/>
          <w:sz w:val="24"/>
          <w:szCs w:val="24"/>
        </w:rPr>
        <w:t>项删除，并用以下内容代替：</w:t>
      </w:r>
    </w:p>
    <w:p w14:paraId="66514A93">
      <w:pPr>
        <w:spacing w:before="181" w:line="218" w:lineRule="auto"/>
        <w:ind w:left="507"/>
        <w:rPr>
          <w:rFonts w:ascii="宋体" w:hAnsi="宋体" w:eastAsia="宋体" w:cs="宋体"/>
          <w:sz w:val="24"/>
          <w:szCs w:val="24"/>
        </w:rPr>
      </w:pPr>
      <w:r>
        <w:rPr>
          <w:rFonts w:ascii="宋体" w:hAnsi="宋体" w:eastAsia="宋体" w:cs="宋体"/>
          <w:spacing w:val="-1"/>
          <w:sz w:val="24"/>
          <w:szCs w:val="24"/>
        </w:rPr>
        <w:t>因变更引起的价格调整，应按以下优先顺序所列原则进行处</w:t>
      </w:r>
      <w:r>
        <w:rPr>
          <w:rFonts w:ascii="宋体" w:hAnsi="宋体" w:eastAsia="宋体" w:cs="宋体"/>
          <w:spacing w:val="-2"/>
          <w:sz w:val="24"/>
          <w:szCs w:val="24"/>
        </w:rPr>
        <w:t>理：</w:t>
      </w:r>
    </w:p>
    <w:p w14:paraId="50511241">
      <w:pPr>
        <w:spacing w:before="184" w:line="218" w:lineRule="auto"/>
        <w:ind w:left="506"/>
        <w:rPr>
          <w:rFonts w:ascii="宋体" w:hAnsi="宋体" w:eastAsia="宋体" w:cs="宋体"/>
          <w:sz w:val="24"/>
          <w:szCs w:val="24"/>
        </w:rPr>
      </w:pPr>
      <w:r>
        <w:rPr>
          <w:rFonts w:ascii="宋体" w:hAnsi="宋体" w:eastAsia="宋体" w:cs="宋体"/>
          <w:spacing w:val="-1"/>
          <w:sz w:val="24"/>
          <w:szCs w:val="24"/>
        </w:rPr>
        <w:t>15.4.1 如果取消某项工作，则该项工作的总额价不予支付；</w:t>
      </w:r>
    </w:p>
    <w:p w14:paraId="44F7D8E6">
      <w:pPr>
        <w:spacing w:before="182" w:line="359" w:lineRule="auto"/>
        <w:ind w:left="8" w:right="61" w:firstLine="497"/>
        <w:rPr>
          <w:rFonts w:ascii="宋体" w:hAnsi="宋体" w:eastAsia="宋体" w:cs="宋体"/>
          <w:sz w:val="24"/>
          <w:szCs w:val="24"/>
        </w:rPr>
      </w:pPr>
      <w:r>
        <w:rPr>
          <w:rFonts w:ascii="宋体" w:hAnsi="宋体" w:eastAsia="宋体" w:cs="宋体"/>
          <w:spacing w:val="-1"/>
          <w:sz w:val="24"/>
          <w:szCs w:val="24"/>
        </w:rPr>
        <w:t>15.4.2 本合同段工程量清单中有相同或相似工程细目单价的，经发包人与承包人</w:t>
      </w:r>
      <w:r>
        <w:rPr>
          <w:rFonts w:ascii="宋体" w:hAnsi="宋体" w:eastAsia="宋体" w:cs="宋体"/>
          <w:spacing w:val="-2"/>
          <w:sz w:val="24"/>
          <w:szCs w:val="24"/>
        </w:rPr>
        <w:t>协商一致同意可直接套用该单价。本合同段内没有相同或适用合同单价的，原则上应套</w:t>
      </w:r>
      <w:r>
        <w:rPr>
          <w:rFonts w:ascii="宋体" w:hAnsi="宋体" w:eastAsia="宋体" w:cs="宋体"/>
          <w:sz w:val="24"/>
          <w:szCs w:val="24"/>
        </w:rPr>
        <w:t>用同类合同段相应单价的</w:t>
      </w:r>
      <w:r>
        <w:rPr>
          <w:rFonts w:ascii="宋体" w:hAnsi="宋体" w:eastAsia="宋体" w:cs="宋体"/>
          <w:sz w:val="24"/>
          <w:szCs w:val="24"/>
          <w:u w:val="single" w:color="auto"/>
        </w:rPr>
        <w:t>算术平均值/加权平均值</w:t>
      </w:r>
      <w:r>
        <w:rPr>
          <w:rFonts w:ascii="宋体" w:hAnsi="宋体" w:eastAsia="宋体" w:cs="宋体"/>
          <w:sz w:val="24"/>
          <w:szCs w:val="24"/>
        </w:rPr>
        <w:t>；但监理人</w:t>
      </w:r>
      <w:r>
        <w:rPr>
          <w:rFonts w:ascii="宋体" w:hAnsi="宋体" w:eastAsia="宋体" w:cs="宋体"/>
          <w:spacing w:val="-1"/>
          <w:sz w:val="24"/>
          <w:szCs w:val="24"/>
        </w:rPr>
        <w:t>认为受施工现场自然环境</w:t>
      </w:r>
      <w:r>
        <w:rPr>
          <w:rFonts w:ascii="宋体" w:hAnsi="宋体" w:eastAsia="宋体" w:cs="宋体"/>
          <w:sz w:val="24"/>
          <w:szCs w:val="24"/>
        </w:rPr>
        <w:t>影响大的工程项目单价，报发包人同意后可套用自然环境相</w:t>
      </w:r>
      <w:r>
        <w:rPr>
          <w:rFonts w:ascii="宋体" w:hAnsi="宋体" w:eastAsia="宋体" w:cs="宋体"/>
          <w:spacing w:val="-1"/>
          <w:sz w:val="24"/>
          <w:szCs w:val="24"/>
        </w:rPr>
        <w:t>近似的合同段相应细目；</w:t>
      </w:r>
    </w:p>
    <w:p w14:paraId="71CD0793">
      <w:pPr>
        <w:spacing w:line="359" w:lineRule="auto"/>
        <w:ind w:left="10" w:right="61" w:firstLine="495"/>
        <w:rPr>
          <w:rFonts w:ascii="宋体" w:hAnsi="宋体" w:eastAsia="宋体" w:cs="宋体"/>
          <w:sz w:val="24"/>
          <w:szCs w:val="24"/>
        </w:rPr>
      </w:pPr>
      <w:r>
        <w:rPr>
          <w:rFonts w:ascii="宋体" w:hAnsi="宋体" w:eastAsia="宋体" w:cs="宋体"/>
          <w:spacing w:val="-2"/>
          <w:sz w:val="24"/>
          <w:szCs w:val="24"/>
        </w:rPr>
        <w:t>15.4.3</w:t>
      </w:r>
      <w:r>
        <w:rPr>
          <w:rFonts w:ascii="宋体" w:hAnsi="宋体" w:eastAsia="宋体" w:cs="宋体"/>
          <w:spacing w:val="47"/>
          <w:sz w:val="24"/>
          <w:szCs w:val="24"/>
        </w:rPr>
        <w:t xml:space="preserve"> </w:t>
      </w:r>
      <w:r>
        <w:rPr>
          <w:rFonts w:ascii="宋体" w:hAnsi="宋体" w:eastAsia="宋体" w:cs="宋体"/>
          <w:spacing w:val="-2"/>
          <w:sz w:val="24"/>
          <w:szCs w:val="24"/>
        </w:rPr>
        <w:t>以综合单价报价的计量项目，如果只是由于使用材料或局部尺寸调整，则原支付单价不变，而只在原合同单价基础上，调整相应的材料价差和合理的工效增减费用。对于机电设备和装饰材料，如发包人未提高技术标准或参数指标，任何品牌或型号</w:t>
      </w:r>
      <w:r>
        <w:rPr>
          <w:rFonts w:ascii="宋体" w:hAnsi="宋体" w:eastAsia="宋体" w:cs="宋体"/>
          <w:sz w:val="24"/>
          <w:szCs w:val="24"/>
        </w:rPr>
        <w:t>的调整，其性能指标不得低于技术规范及设计文件要</w:t>
      </w:r>
      <w:r>
        <w:rPr>
          <w:rFonts w:ascii="宋体" w:hAnsi="宋体" w:eastAsia="宋体" w:cs="宋体"/>
          <w:spacing w:val="-1"/>
          <w:sz w:val="24"/>
          <w:szCs w:val="24"/>
        </w:rPr>
        <w:t>求，且发包人不予价格调整。</w:t>
      </w:r>
    </w:p>
    <w:p w14:paraId="1263A4AB">
      <w:pPr>
        <w:spacing w:before="3" w:line="359" w:lineRule="auto"/>
        <w:ind w:left="14" w:right="128" w:firstLine="491"/>
        <w:rPr>
          <w:rFonts w:ascii="宋体" w:hAnsi="宋体" w:eastAsia="宋体" w:cs="宋体"/>
          <w:sz w:val="24"/>
          <w:szCs w:val="24"/>
        </w:rPr>
      </w:pPr>
      <w:r>
        <w:rPr>
          <w:rFonts w:ascii="宋体" w:hAnsi="宋体" w:eastAsia="宋体" w:cs="宋体"/>
          <w:spacing w:val="-1"/>
          <w:sz w:val="24"/>
          <w:szCs w:val="24"/>
        </w:rPr>
        <w:t>15.4.4 如上述价格调整原则不适用或按上述原则计算的单价不合理，经发包人同</w:t>
      </w:r>
      <w:r>
        <w:rPr>
          <w:rFonts w:ascii="宋体" w:hAnsi="宋体" w:eastAsia="宋体" w:cs="宋体"/>
          <w:spacing w:val="-2"/>
          <w:sz w:val="24"/>
          <w:szCs w:val="24"/>
        </w:rPr>
        <w:t>意，按以下原则执行。</w:t>
      </w:r>
    </w:p>
    <w:p w14:paraId="25D91160">
      <w:pPr>
        <w:spacing w:before="1" w:line="217" w:lineRule="auto"/>
        <w:ind w:left="506"/>
        <w:rPr>
          <w:rFonts w:ascii="宋体" w:hAnsi="宋体" w:eastAsia="宋体" w:cs="宋体"/>
          <w:sz w:val="24"/>
          <w:szCs w:val="24"/>
        </w:rPr>
      </w:pPr>
      <w:r>
        <w:rPr>
          <w:rFonts w:ascii="宋体" w:hAnsi="宋体" w:eastAsia="宋体" w:cs="宋体"/>
          <w:spacing w:val="-1"/>
          <w:sz w:val="24"/>
          <w:szCs w:val="24"/>
        </w:rPr>
        <w:t>15.4.4.1 参照招标人公布的最高投标限价编制时选用的有关定额及补充的定额，</w:t>
      </w:r>
    </w:p>
    <w:p w14:paraId="134CE9C2">
      <w:pPr>
        <w:spacing w:before="183" w:line="359" w:lineRule="auto"/>
        <w:ind w:left="8" w:right="61" w:firstLine="1"/>
        <w:rPr>
          <w:rFonts w:ascii="宋体" w:hAnsi="宋体" w:eastAsia="宋体" w:cs="宋体"/>
          <w:sz w:val="24"/>
          <w:szCs w:val="24"/>
        </w:rPr>
      </w:pPr>
      <w:r>
        <w:rPr>
          <w:rFonts w:ascii="宋体" w:hAnsi="宋体" w:eastAsia="宋体" w:cs="宋体"/>
          <w:spacing w:val="-2"/>
          <w:sz w:val="24"/>
          <w:szCs w:val="24"/>
        </w:rPr>
        <w:t>人工、材料、机械单价按最高投标限价采用的月份（**年**月）信息价编制预算，并在</w:t>
      </w:r>
      <w:r>
        <w:rPr>
          <w:rFonts w:ascii="宋体" w:hAnsi="宋体" w:eastAsia="宋体" w:cs="宋体"/>
          <w:sz w:val="24"/>
          <w:szCs w:val="24"/>
        </w:rPr>
        <w:t>上述预算价的基础上按本合同段投标人中标总价较最高投标</w:t>
      </w:r>
      <w:r>
        <w:rPr>
          <w:rFonts w:ascii="宋体" w:hAnsi="宋体" w:eastAsia="宋体" w:cs="宋体"/>
          <w:spacing w:val="-1"/>
          <w:sz w:val="24"/>
          <w:szCs w:val="24"/>
        </w:rPr>
        <w:t>限价之下浮比例下浮确定</w:t>
      </w:r>
      <w:r>
        <w:rPr>
          <w:rFonts w:ascii="宋体" w:hAnsi="宋体" w:eastAsia="宋体" w:cs="宋体"/>
          <w:spacing w:val="-3"/>
          <w:sz w:val="24"/>
          <w:szCs w:val="24"/>
        </w:rPr>
        <w:t>变更工程价格。上述“信息价</w:t>
      </w:r>
      <w:r>
        <w:rPr>
          <w:rFonts w:ascii="宋体" w:hAnsi="宋体" w:eastAsia="宋体" w:cs="宋体"/>
          <w:spacing w:val="-70"/>
          <w:sz w:val="24"/>
          <w:szCs w:val="24"/>
        </w:rPr>
        <w:t xml:space="preserve"> </w:t>
      </w:r>
      <w:r>
        <w:rPr>
          <w:rFonts w:ascii="宋体" w:hAnsi="宋体" w:eastAsia="宋体" w:cs="宋体"/>
          <w:spacing w:val="-3"/>
          <w:sz w:val="24"/>
          <w:szCs w:val="24"/>
        </w:rPr>
        <w:t>”指由项目所在地级市及以上有关造价机构发布的项目施</w:t>
      </w:r>
      <w:r>
        <w:rPr>
          <w:rFonts w:ascii="宋体" w:hAnsi="宋体" w:eastAsia="宋体" w:cs="宋体"/>
          <w:spacing w:val="-1"/>
          <w:sz w:val="24"/>
          <w:szCs w:val="24"/>
        </w:rPr>
        <w:t>工所在地区材料信息价（如无相应信息价，由发包人另行确定）。</w:t>
      </w:r>
    </w:p>
    <w:p w14:paraId="68367523">
      <w:pPr>
        <w:spacing w:line="359" w:lineRule="auto"/>
        <w:ind w:left="8" w:right="2" w:firstLine="487"/>
        <w:rPr>
          <w:rFonts w:ascii="宋体" w:hAnsi="宋体" w:eastAsia="宋体" w:cs="宋体"/>
          <w:sz w:val="24"/>
          <w:szCs w:val="24"/>
        </w:rPr>
      </w:pPr>
      <w:r>
        <w:rPr>
          <w:rFonts w:ascii="宋体" w:hAnsi="宋体" w:eastAsia="宋体" w:cs="宋体"/>
          <w:spacing w:val="-6"/>
          <w:sz w:val="24"/>
          <w:szCs w:val="24"/>
        </w:rPr>
        <w:t>下浮率</w:t>
      </w:r>
      <w:r>
        <w:rPr>
          <w:rFonts w:ascii="宋体" w:hAnsi="宋体" w:eastAsia="宋体" w:cs="宋体"/>
          <w:spacing w:val="-41"/>
          <w:sz w:val="24"/>
          <w:szCs w:val="24"/>
        </w:rPr>
        <w:t xml:space="preserve"> </w:t>
      </w:r>
      <w:r>
        <w:rPr>
          <w:rFonts w:ascii="宋体" w:hAnsi="宋体" w:eastAsia="宋体" w:cs="宋体"/>
          <w:spacing w:val="-6"/>
          <w:sz w:val="24"/>
          <w:szCs w:val="24"/>
        </w:rPr>
        <w:t>=（本合同段最高投标限价</w:t>
      </w:r>
      <w:r>
        <w:rPr>
          <w:rFonts w:ascii="宋体" w:hAnsi="宋体" w:eastAsia="宋体" w:cs="宋体"/>
          <w:spacing w:val="-41"/>
          <w:sz w:val="24"/>
          <w:szCs w:val="24"/>
        </w:rPr>
        <w:t xml:space="preserve"> </w:t>
      </w:r>
      <w:r>
        <w:rPr>
          <w:rFonts w:ascii="宋体" w:hAnsi="宋体" w:eastAsia="宋体" w:cs="宋体"/>
          <w:spacing w:val="-6"/>
          <w:sz w:val="24"/>
          <w:szCs w:val="24"/>
        </w:rPr>
        <w:t>- 中标总价）/</w:t>
      </w:r>
      <w:r>
        <w:rPr>
          <w:rFonts w:ascii="宋体" w:hAnsi="宋体" w:eastAsia="宋体" w:cs="宋体"/>
          <w:spacing w:val="-37"/>
          <w:sz w:val="24"/>
          <w:szCs w:val="24"/>
        </w:rPr>
        <w:t xml:space="preserve"> </w:t>
      </w:r>
      <w:r>
        <w:rPr>
          <w:rFonts w:ascii="宋体" w:hAnsi="宋体" w:eastAsia="宋体" w:cs="宋体"/>
          <w:spacing w:val="-6"/>
          <w:sz w:val="24"/>
          <w:szCs w:val="24"/>
        </w:rPr>
        <w:t xml:space="preserve">本合同段最高投标限价 </w:t>
      </w:r>
      <w:r>
        <w:rPr>
          <w:rFonts w:ascii="宋体" w:hAnsi="宋体" w:eastAsia="宋体" w:cs="宋体"/>
          <w:spacing w:val="-7"/>
          <w:sz w:val="24"/>
          <w:szCs w:val="24"/>
        </w:rPr>
        <w:t>× 100%；</w:t>
      </w:r>
      <w:r>
        <w:rPr>
          <w:rFonts w:ascii="宋体" w:hAnsi="宋体" w:eastAsia="宋体" w:cs="宋体"/>
          <w:spacing w:val="1"/>
          <w:sz w:val="24"/>
          <w:szCs w:val="24"/>
        </w:rPr>
        <w:t>计算时，最高投标限价及中标价均不含</w:t>
      </w:r>
      <w:r>
        <w:rPr>
          <w:rFonts w:ascii="宋体" w:hAnsi="宋体" w:eastAsia="宋体" w:cs="宋体"/>
          <w:spacing w:val="1"/>
          <w:sz w:val="24"/>
          <w:szCs w:val="24"/>
          <w:u w:val="single" w:color="auto"/>
        </w:rPr>
        <w:t>暂估价、暂</w:t>
      </w:r>
      <w:r>
        <w:rPr>
          <w:rFonts w:ascii="宋体" w:hAnsi="宋体" w:eastAsia="宋体" w:cs="宋体"/>
          <w:sz w:val="24"/>
          <w:szCs w:val="24"/>
          <w:u w:val="single" w:color="auto"/>
        </w:rPr>
        <w:t>列金额和安全生费。</w:t>
      </w:r>
    </w:p>
    <w:p w14:paraId="1CAD7B89">
      <w:pPr>
        <w:spacing w:before="1" w:line="359" w:lineRule="auto"/>
        <w:ind w:left="8" w:right="61" w:firstLine="497"/>
        <w:rPr>
          <w:rFonts w:ascii="宋体" w:hAnsi="宋体" w:eastAsia="宋体" w:cs="宋体"/>
          <w:sz w:val="24"/>
          <w:szCs w:val="24"/>
        </w:rPr>
      </w:pPr>
      <w:r>
        <w:rPr>
          <w:rFonts w:ascii="宋体" w:hAnsi="宋体" w:eastAsia="宋体" w:cs="宋体"/>
          <w:spacing w:val="-1"/>
          <w:sz w:val="24"/>
          <w:szCs w:val="24"/>
        </w:rPr>
        <w:t>15.4.4.2 本合同段工程量清单中有相同或类似工程细目单价，但因施工工艺发生</w:t>
      </w:r>
      <w:r>
        <w:rPr>
          <w:rFonts w:ascii="宋体" w:hAnsi="宋体" w:eastAsia="宋体" w:cs="宋体"/>
          <w:spacing w:val="-2"/>
          <w:sz w:val="24"/>
          <w:szCs w:val="24"/>
        </w:rPr>
        <w:t>较大变化，部分措施费用难以一一对应的，可按保持原综合单价不受实质影响，并增加合理差价的原则确定变更单价。即变更工程单价=原合同工程量清单单价+合理定价的差价，其中合理定价的差价为：按第 15.4.4.1 目原则计算的变更前、变更后预算单价下浮后的差价。</w:t>
      </w:r>
    </w:p>
    <w:p w14:paraId="1FB995A7">
      <w:pPr>
        <w:spacing w:before="1" w:line="359" w:lineRule="auto"/>
        <w:ind w:left="10" w:firstLine="495"/>
        <w:rPr>
          <w:rFonts w:ascii="宋体" w:hAnsi="宋体" w:eastAsia="宋体" w:cs="宋体"/>
          <w:sz w:val="24"/>
          <w:szCs w:val="24"/>
        </w:rPr>
      </w:pPr>
      <w:r>
        <w:rPr>
          <w:rFonts w:ascii="宋体" w:hAnsi="宋体" w:eastAsia="宋体" w:cs="宋体"/>
          <w:spacing w:val="-2"/>
          <w:sz w:val="24"/>
          <w:szCs w:val="24"/>
        </w:rPr>
        <w:t>15.4.4.3</w:t>
      </w:r>
      <w:r>
        <w:rPr>
          <w:rFonts w:ascii="宋体" w:hAnsi="宋体" w:eastAsia="宋体" w:cs="宋体"/>
          <w:spacing w:val="-42"/>
          <w:sz w:val="24"/>
          <w:szCs w:val="24"/>
        </w:rPr>
        <w:t xml:space="preserve"> </w:t>
      </w:r>
      <w:r>
        <w:rPr>
          <w:rFonts w:ascii="宋体" w:hAnsi="宋体" w:eastAsia="宋体" w:cs="宋体"/>
          <w:spacing w:val="-2"/>
          <w:sz w:val="24"/>
          <w:szCs w:val="24"/>
        </w:rPr>
        <w:t>按变更程序办理的应急抢险工程</w:t>
      </w:r>
      <w:r>
        <w:rPr>
          <w:rFonts w:ascii="宋体" w:hAnsi="宋体" w:eastAsia="宋体" w:cs="宋体"/>
          <w:spacing w:val="-3"/>
          <w:sz w:val="24"/>
          <w:szCs w:val="24"/>
        </w:rPr>
        <w:t>，经变更预算对应审批权限单位同意后，</w:t>
      </w:r>
      <w:r>
        <w:rPr>
          <w:rFonts w:ascii="宋体" w:hAnsi="宋体" w:eastAsia="宋体" w:cs="宋体"/>
          <w:spacing w:val="-1"/>
          <w:sz w:val="24"/>
          <w:szCs w:val="24"/>
        </w:rPr>
        <w:t>可根据实际情况编制预算，变更金额：</w:t>
      </w:r>
    </w:p>
    <w:p w14:paraId="10A90C82">
      <w:pPr>
        <w:spacing w:line="219" w:lineRule="auto"/>
        <w:ind w:left="512"/>
        <w:rPr>
          <w:rFonts w:ascii="宋体" w:hAnsi="宋体" w:eastAsia="宋体" w:cs="宋体"/>
          <w:sz w:val="24"/>
          <w:szCs w:val="24"/>
        </w:rPr>
      </w:pPr>
      <w:r>
        <w:rPr>
          <w:rFonts w:ascii="宋体" w:hAnsi="宋体" w:eastAsia="宋体" w:cs="宋体"/>
          <w:spacing w:val="-3"/>
          <w:sz w:val="24"/>
          <w:szCs w:val="24"/>
        </w:rPr>
        <w:t>□变更金额=审批的变更预算</w:t>
      </w:r>
    </w:p>
    <w:p w14:paraId="2744266E">
      <w:pPr>
        <w:spacing w:before="181" w:line="219" w:lineRule="auto"/>
        <w:ind w:left="512"/>
        <w:rPr>
          <w:rFonts w:ascii="宋体" w:hAnsi="宋体" w:eastAsia="宋体" w:cs="宋体"/>
          <w:sz w:val="24"/>
          <w:szCs w:val="24"/>
        </w:rPr>
      </w:pPr>
      <w:r>
        <w:rPr>
          <w:rFonts w:ascii="宋体" w:hAnsi="宋体" w:eastAsia="宋体" w:cs="宋体"/>
          <w:spacing w:val="-2"/>
          <w:sz w:val="24"/>
          <w:szCs w:val="24"/>
        </w:rPr>
        <w:t>□变更金额=审批的变更预算×（1-中标下浮率）。</w:t>
      </w:r>
    </w:p>
    <w:p w14:paraId="34E33E4F">
      <w:pPr>
        <w:spacing w:before="312" w:line="359" w:lineRule="auto"/>
        <w:ind w:left="8" w:right="205" w:firstLine="491"/>
        <w:rPr>
          <w:rFonts w:ascii="宋体" w:hAnsi="宋体" w:eastAsia="宋体" w:cs="宋体"/>
          <w:spacing w:val="-1"/>
          <w:sz w:val="24"/>
          <w:szCs w:val="24"/>
        </w:rPr>
      </w:pPr>
      <w:r>
        <w:rPr>
          <w:rFonts w:ascii="宋体" w:hAnsi="宋体" w:eastAsia="宋体" w:cs="宋体"/>
          <w:spacing w:val="-1"/>
          <w:sz w:val="24"/>
          <w:szCs w:val="24"/>
        </w:rPr>
        <w:t>15.4.4.4 新增机电设备的变更作价，按以下所列原则进行处理：</w:t>
      </w:r>
    </w:p>
    <w:p w14:paraId="6C4B2C71">
      <w:pPr>
        <w:spacing w:before="312" w:line="359" w:lineRule="auto"/>
        <w:ind w:left="8" w:right="205" w:firstLine="491"/>
        <w:rPr>
          <w:rFonts w:ascii="宋体" w:hAnsi="宋体" w:eastAsia="宋体" w:cs="宋体"/>
          <w:sz w:val="24"/>
          <w:szCs w:val="24"/>
        </w:rPr>
      </w:pPr>
      <w:r>
        <w:rPr>
          <w:rFonts w:ascii="宋体" w:hAnsi="宋体" w:eastAsia="宋体" w:cs="宋体"/>
          <w:spacing w:val="-2"/>
          <w:sz w:val="24"/>
          <w:szCs w:val="24"/>
        </w:rPr>
        <w:t>（1）变更预算按发包人核定的市场价格加上采保费、税金及</w:t>
      </w:r>
      <w:r>
        <w:rPr>
          <w:rFonts w:ascii="宋体" w:hAnsi="宋体" w:eastAsia="宋体" w:cs="宋体"/>
          <w:spacing w:val="-3"/>
          <w:sz w:val="24"/>
          <w:szCs w:val="24"/>
        </w:rPr>
        <w:t>合理利润进行计算，</w:t>
      </w:r>
      <w:r>
        <w:rPr>
          <w:rFonts w:ascii="宋体" w:hAnsi="宋体" w:eastAsia="宋体" w:cs="宋体"/>
          <w:spacing w:val="-1"/>
          <w:sz w:val="24"/>
          <w:szCs w:val="24"/>
        </w:rPr>
        <w:t>变更单价或费用=变更预算×（1-中标下浮率</w:t>
      </w:r>
      <w:r>
        <w:rPr>
          <w:rFonts w:ascii="宋体" w:hAnsi="宋体" w:eastAsia="宋体" w:cs="宋体"/>
          <w:spacing w:val="5"/>
          <w:sz w:val="24"/>
          <w:szCs w:val="24"/>
        </w:rPr>
        <w:t>）；</w:t>
      </w:r>
    </w:p>
    <w:p w14:paraId="72169ECA">
      <w:pPr>
        <w:spacing w:before="1" w:line="217" w:lineRule="auto"/>
        <w:ind w:left="499"/>
        <w:rPr>
          <w:rFonts w:ascii="宋体" w:hAnsi="宋体" w:eastAsia="宋体" w:cs="宋体"/>
          <w:sz w:val="24"/>
          <w:szCs w:val="24"/>
        </w:rPr>
      </w:pPr>
      <w:r>
        <w:rPr>
          <w:rFonts w:ascii="宋体" w:hAnsi="宋体" w:eastAsia="宋体" w:cs="宋体"/>
          <w:spacing w:val="-1"/>
          <w:sz w:val="24"/>
          <w:szCs w:val="24"/>
        </w:rPr>
        <w:t>（2）参考省内近</w:t>
      </w:r>
      <w:r>
        <w:rPr>
          <w:rFonts w:ascii="宋体" w:hAnsi="宋体" w:eastAsia="宋体" w:cs="宋体"/>
          <w:spacing w:val="-46"/>
          <w:sz w:val="24"/>
          <w:szCs w:val="24"/>
        </w:rPr>
        <w:t xml:space="preserve"> </w:t>
      </w:r>
      <w:r>
        <w:rPr>
          <w:rFonts w:ascii="宋体" w:hAnsi="宋体" w:eastAsia="宋体" w:cs="宋体"/>
          <w:spacing w:val="-1"/>
          <w:sz w:val="24"/>
          <w:szCs w:val="24"/>
        </w:rPr>
        <w:t>3</w:t>
      </w:r>
      <w:r>
        <w:rPr>
          <w:rFonts w:ascii="宋体" w:hAnsi="宋体" w:eastAsia="宋体" w:cs="宋体"/>
          <w:spacing w:val="-49"/>
          <w:sz w:val="24"/>
          <w:szCs w:val="24"/>
        </w:rPr>
        <w:t xml:space="preserve"> </w:t>
      </w:r>
      <w:r>
        <w:rPr>
          <w:rFonts w:ascii="宋体" w:hAnsi="宋体" w:eastAsia="宋体" w:cs="宋体"/>
          <w:spacing w:val="-1"/>
          <w:sz w:val="24"/>
          <w:szCs w:val="24"/>
        </w:rPr>
        <w:t>年内完工的类似项目合</w:t>
      </w:r>
      <w:r>
        <w:rPr>
          <w:rFonts w:ascii="宋体" w:hAnsi="宋体" w:eastAsia="宋体" w:cs="宋体"/>
          <w:spacing w:val="-2"/>
          <w:sz w:val="24"/>
          <w:szCs w:val="24"/>
        </w:rPr>
        <w:t>同单价（或总额价）进行确定。</w:t>
      </w:r>
    </w:p>
    <w:p w14:paraId="35492939">
      <w:pPr>
        <w:spacing w:before="182" w:line="219" w:lineRule="auto"/>
        <w:ind w:left="506"/>
        <w:rPr>
          <w:rFonts w:ascii="宋体" w:hAnsi="宋体" w:eastAsia="宋体" w:cs="宋体"/>
          <w:sz w:val="24"/>
          <w:szCs w:val="24"/>
        </w:rPr>
      </w:pPr>
      <w:r>
        <w:rPr>
          <w:rFonts w:ascii="宋体" w:hAnsi="宋体" w:eastAsia="宋体" w:cs="宋体"/>
          <w:b/>
          <w:bCs/>
          <w:spacing w:val="-4"/>
          <w:sz w:val="24"/>
          <w:szCs w:val="24"/>
        </w:rPr>
        <w:t>15.5</w:t>
      </w:r>
      <w:r>
        <w:rPr>
          <w:rFonts w:ascii="宋体" w:hAnsi="宋体" w:eastAsia="宋体" w:cs="宋体"/>
          <w:spacing w:val="-4"/>
          <w:sz w:val="24"/>
          <w:szCs w:val="24"/>
        </w:rPr>
        <w:t xml:space="preserve"> </w:t>
      </w:r>
      <w:r>
        <w:rPr>
          <w:rFonts w:ascii="宋体" w:hAnsi="宋体" w:eastAsia="宋体" w:cs="宋体"/>
          <w:b/>
          <w:bCs/>
          <w:spacing w:val="-4"/>
          <w:sz w:val="24"/>
          <w:szCs w:val="24"/>
        </w:rPr>
        <w:t>承包人的合理化建议</w:t>
      </w:r>
    </w:p>
    <w:p w14:paraId="62F310BA">
      <w:pPr>
        <w:spacing w:before="183" w:line="219" w:lineRule="auto"/>
        <w:ind w:left="506"/>
        <w:rPr>
          <w:rFonts w:ascii="宋体" w:hAnsi="宋体" w:eastAsia="宋体" w:cs="宋体"/>
          <w:sz w:val="24"/>
          <w:szCs w:val="24"/>
        </w:rPr>
      </w:pPr>
      <w:r>
        <w:rPr>
          <w:rFonts w:ascii="宋体" w:hAnsi="宋体" w:eastAsia="宋体" w:cs="宋体"/>
          <w:spacing w:val="-1"/>
          <w:sz w:val="24"/>
          <w:szCs w:val="24"/>
        </w:rPr>
        <w:t>15.5.2 对承包人合理化建议奖励的标准：</w:t>
      </w:r>
      <w:r>
        <w:rPr>
          <w:rFonts w:ascii="宋体" w:hAnsi="宋体" w:eastAsia="宋体" w:cs="宋体"/>
          <w:spacing w:val="-1"/>
          <w:sz w:val="24"/>
          <w:szCs w:val="24"/>
          <w:u w:val="single" w:color="auto"/>
        </w:rPr>
        <w:t xml:space="preserve">  无  </w:t>
      </w:r>
      <w:r>
        <w:rPr>
          <w:rFonts w:ascii="宋体" w:hAnsi="宋体" w:eastAsia="宋体" w:cs="宋体"/>
          <w:spacing w:val="-1"/>
          <w:sz w:val="24"/>
          <w:szCs w:val="24"/>
        </w:rPr>
        <w:t>。</w:t>
      </w:r>
    </w:p>
    <w:p w14:paraId="2073A202">
      <w:pPr>
        <w:spacing w:before="180" w:line="219" w:lineRule="auto"/>
        <w:ind w:left="506"/>
        <w:rPr>
          <w:rFonts w:ascii="宋体" w:hAnsi="宋体" w:eastAsia="宋体" w:cs="宋体"/>
          <w:sz w:val="24"/>
          <w:szCs w:val="24"/>
        </w:rPr>
      </w:pPr>
      <w:r>
        <w:rPr>
          <w:rFonts w:ascii="宋体" w:hAnsi="宋体" w:eastAsia="宋体" w:cs="宋体"/>
          <w:b/>
          <w:bCs/>
          <w:spacing w:val="-8"/>
          <w:sz w:val="24"/>
          <w:szCs w:val="24"/>
        </w:rPr>
        <w:t>15.6</w:t>
      </w:r>
      <w:r>
        <w:rPr>
          <w:rFonts w:ascii="宋体" w:hAnsi="宋体" w:eastAsia="宋体" w:cs="宋体"/>
          <w:spacing w:val="22"/>
          <w:sz w:val="24"/>
          <w:szCs w:val="24"/>
        </w:rPr>
        <w:t xml:space="preserve"> </w:t>
      </w:r>
      <w:r>
        <w:rPr>
          <w:rFonts w:ascii="宋体" w:hAnsi="宋体" w:eastAsia="宋体" w:cs="宋体"/>
          <w:b/>
          <w:bCs/>
          <w:spacing w:val="-8"/>
          <w:sz w:val="24"/>
          <w:szCs w:val="24"/>
        </w:rPr>
        <w:t>暂列金额</w:t>
      </w:r>
    </w:p>
    <w:p w14:paraId="6FE7EAD6">
      <w:pPr>
        <w:spacing w:before="183" w:line="218" w:lineRule="auto"/>
        <w:ind w:left="489"/>
        <w:rPr>
          <w:rFonts w:ascii="宋体" w:hAnsi="宋体" w:eastAsia="宋体" w:cs="宋体"/>
          <w:sz w:val="24"/>
          <w:szCs w:val="24"/>
        </w:rPr>
      </w:pPr>
      <w:r>
        <w:rPr>
          <w:rFonts w:ascii="宋体" w:hAnsi="宋体" w:eastAsia="宋体" w:cs="宋体"/>
          <w:spacing w:val="-1"/>
          <w:sz w:val="24"/>
          <w:szCs w:val="24"/>
        </w:rPr>
        <w:t>本项目暂列金额包含于投标总价中，具体额度详见工程量清单。</w:t>
      </w:r>
    </w:p>
    <w:p w14:paraId="77CF60F9">
      <w:pPr>
        <w:spacing w:before="181" w:line="219" w:lineRule="auto"/>
        <w:ind w:left="488"/>
        <w:rPr>
          <w:rFonts w:ascii="宋体" w:hAnsi="宋体" w:eastAsia="宋体" w:cs="宋体"/>
          <w:sz w:val="24"/>
          <w:szCs w:val="24"/>
        </w:rPr>
      </w:pPr>
      <w:r>
        <w:rPr>
          <w:rFonts w:ascii="宋体" w:hAnsi="宋体" w:eastAsia="宋体" w:cs="宋体"/>
          <w:b/>
          <w:bCs/>
          <w:spacing w:val="-5"/>
          <w:sz w:val="24"/>
          <w:szCs w:val="24"/>
        </w:rPr>
        <w:t>通用合同条款本条增加</w:t>
      </w:r>
      <w:r>
        <w:rPr>
          <w:rFonts w:ascii="宋体" w:hAnsi="宋体" w:eastAsia="宋体" w:cs="宋体"/>
          <w:spacing w:val="-20"/>
          <w:sz w:val="24"/>
          <w:szCs w:val="24"/>
        </w:rPr>
        <w:t xml:space="preserve"> </w:t>
      </w:r>
      <w:r>
        <w:rPr>
          <w:rFonts w:ascii="宋体" w:hAnsi="宋体" w:eastAsia="宋体" w:cs="宋体"/>
          <w:b/>
          <w:bCs/>
          <w:spacing w:val="-5"/>
          <w:sz w:val="24"/>
          <w:szCs w:val="24"/>
        </w:rPr>
        <w:t>15.9</w:t>
      </w:r>
      <w:r>
        <w:rPr>
          <w:rFonts w:ascii="宋体" w:hAnsi="宋体" w:eastAsia="宋体" w:cs="宋体"/>
          <w:spacing w:val="-49"/>
          <w:sz w:val="24"/>
          <w:szCs w:val="24"/>
        </w:rPr>
        <w:t xml:space="preserve"> </w:t>
      </w:r>
      <w:r>
        <w:rPr>
          <w:rFonts w:ascii="宋体" w:hAnsi="宋体" w:eastAsia="宋体" w:cs="宋体"/>
          <w:b/>
          <w:bCs/>
          <w:spacing w:val="-5"/>
          <w:sz w:val="24"/>
          <w:szCs w:val="24"/>
        </w:rPr>
        <w:t>款内容：</w:t>
      </w:r>
    </w:p>
    <w:p w14:paraId="28D36554">
      <w:pPr>
        <w:spacing w:before="185" w:line="219" w:lineRule="auto"/>
        <w:ind w:left="506"/>
        <w:rPr>
          <w:rFonts w:ascii="宋体" w:hAnsi="宋体" w:eastAsia="宋体" w:cs="宋体"/>
          <w:sz w:val="24"/>
          <w:szCs w:val="24"/>
        </w:rPr>
      </w:pPr>
      <w:r>
        <w:rPr>
          <w:rFonts w:ascii="宋体" w:hAnsi="宋体" w:eastAsia="宋体" w:cs="宋体"/>
          <w:b/>
          <w:bCs/>
          <w:spacing w:val="-5"/>
          <w:sz w:val="24"/>
          <w:szCs w:val="24"/>
        </w:rPr>
        <w:t>15.9</w:t>
      </w:r>
      <w:r>
        <w:rPr>
          <w:rFonts w:ascii="宋体" w:hAnsi="宋体" w:eastAsia="宋体" w:cs="宋体"/>
          <w:spacing w:val="-5"/>
          <w:sz w:val="24"/>
          <w:szCs w:val="24"/>
        </w:rPr>
        <w:t xml:space="preserve"> </w:t>
      </w:r>
      <w:r>
        <w:rPr>
          <w:rFonts w:ascii="宋体" w:hAnsi="宋体" w:eastAsia="宋体" w:cs="宋体"/>
          <w:b/>
          <w:bCs/>
          <w:spacing w:val="-5"/>
          <w:sz w:val="24"/>
          <w:szCs w:val="24"/>
        </w:rPr>
        <w:t>变更管理</w:t>
      </w:r>
    </w:p>
    <w:p w14:paraId="4A504EEB">
      <w:pPr>
        <w:spacing w:before="181" w:line="219" w:lineRule="auto"/>
        <w:jc w:val="right"/>
        <w:rPr>
          <w:rFonts w:ascii="宋体" w:hAnsi="宋体" w:eastAsia="宋体" w:cs="宋体"/>
          <w:sz w:val="24"/>
          <w:szCs w:val="24"/>
        </w:rPr>
      </w:pPr>
      <w:r>
        <w:rPr>
          <w:rFonts w:ascii="宋体" w:hAnsi="宋体" w:eastAsia="宋体" w:cs="宋体"/>
          <w:spacing w:val="-2"/>
          <w:sz w:val="24"/>
          <w:szCs w:val="24"/>
        </w:rPr>
        <w:t>15.9.1</w:t>
      </w:r>
      <w:r>
        <w:rPr>
          <w:rFonts w:ascii="宋体" w:hAnsi="宋体" w:eastAsia="宋体" w:cs="宋体"/>
          <w:spacing w:val="-39"/>
          <w:sz w:val="24"/>
          <w:szCs w:val="24"/>
        </w:rPr>
        <w:t xml:space="preserve"> </w:t>
      </w:r>
      <w:r>
        <w:rPr>
          <w:rFonts w:ascii="宋体" w:hAnsi="宋体" w:eastAsia="宋体" w:cs="宋体"/>
          <w:spacing w:val="-2"/>
          <w:sz w:val="24"/>
          <w:szCs w:val="24"/>
        </w:rPr>
        <w:t>设计变更管理按照交通运输部、广东省交通运输厅有关变更管理规</w:t>
      </w:r>
      <w:r>
        <w:rPr>
          <w:rFonts w:ascii="宋体" w:hAnsi="宋体" w:eastAsia="宋体" w:cs="宋体"/>
          <w:spacing w:val="-3"/>
          <w:sz w:val="24"/>
          <w:szCs w:val="24"/>
        </w:rPr>
        <w:t>定执行。</w:t>
      </w:r>
    </w:p>
    <w:p w14:paraId="153D9D19">
      <w:pPr>
        <w:spacing w:before="184" w:line="359" w:lineRule="auto"/>
        <w:ind w:left="13" w:right="80" w:firstLine="492"/>
        <w:rPr>
          <w:rFonts w:ascii="宋体" w:hAnsi="宋体" w:eastAsia="宋体" w:cs="宋体"/>
          <w:sz w:val="24"/>
          <w:szCs w:val="24"/>
        </w:rPr>
      </w:pPr>
      <w:r>
        <w:rPr>
          <w:rFonts w:ascii="宋体" w:hAnsi="宋体" w:eastAsia="宋体" w:cs="宋体"/>
          <w:spacing w:val="-1"/>
          <w:sz w:val="24"/>
          <w:szCs w:val="24"/>
        </w:rPr>
        <w:t>15.9.2 所有变更必须遵循提出—批复—实施的先后顺序原则进行。承包人必须在实施变更工程</w:t>
      </w:r>
      <w:r>
        <w:rPr>
          <w:rFonts w:ascii="宋体" w:hAnsi="宋体" w:eastAsia="宋体" w:cs="宋体"/>
          <w:spacing w:val="31"/>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
          <w:sz w:val="24"/>
          <w:szCs w:val="24"/>
        </w:rPr>
        <w:t>天（特殊紧急工程不少于</w:t>
      </w:r>
      <w:r>
        <w:rPr>
          <w:rFonts w:ascii="宋体" w:hAnsi="宋体" w:eastAsia="宋体" w:cs="宋体"/>
          <w:spacing w:val="31"/>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
          <w:sz w:val="24"/>
          <w:szCs w:val="24"/>
        </w:rPr>
        <w:t>天）前报送书面</w:t>
      </w:r>
      <w:r>
        <w:rPr>
          <w:rFonts w:ascii="宋体" w:hAnsi="宋体" w:eastAsia="宋体" w:cs="宋体"/>
          <w:spacing w:val="-2"/>
          <w:sz w:val="24"/>
          <w:szCs w:val="24"/>
        </w:rPr>
        <w:t>的变更申请报告及相应的工程预算书，否则发包人有权拒绝支付全部或部分变更工程费用。由于承包人逾期提交变更申请报告及相应的工程预算书导致发包人全部或部分不支付变更工程费用的，不</w:t>
      </w:r>
      <w:r>
        <w:rPr>
          <w:rFonts w:ascii="宋体" w:hAnsi="宋体" w:eastAsia="宋体" w:cs="宋体"/>
          <w:spacing w:val="-1"/>
          <w:sz w:val="24"/>
          <w:szCs w:val="24"/>
        </w:rPr>
        <w:t>免除承包人按合同约定实施变更工程的责任和义务。</w:t>
      </w:r>
    </w:p>
    <w:p w14:paraId="6118E714">
      <w:pPr>
        <w:spacing w:before="1" w:line="217" w:lineRule="auto"/>
        <w:ind w:left="26"/>
        <w:rPr>
          <w:rFonts w:ascii="宋体" w:hAnsi="宋体" w:eastAsia="宋体" w:cs="宋体"/>
          <w:sz w:val="24"/>
          <w:szCs w:val="24"/>
        </w:rPr>
      </w:pPr>
      <w:r>
        <w:rPr>
          <w:rFonts w:ascii="宋体" w:hAnsi="宋体" w:eastAsia="宋体" w:cs="宋体"/>
          <w:b/>
          <w:bCs/>
          <w:spacing w:val="-6"/>
          <w:sz w:val="24"/>
          <w:szCs w:val="24"/>
        </w:rPr>
        <w:t>16．价格调整</w:t>
      </w:r>
    </w:p>
    <w:p w14:paraId="312923AE">
      <w:pPr>
        <w:spacing w:before="183" w:line="218" w:lineRule="auto"/>
        <w:ind w:left="506"/>
        <w:rPr>
          <w:rFonts w:ascii="宋体" w:hAnsi="宋体" w:eastAsia="宋体" w:cs="宋体"/>
          <w:sz w:val="24"/>
          <w:szCs w:val="24"/>
        </w:rPr>
      </w:pPr>
      <w:r>
        <w:rPr>
          <w:rFonts w:ascii="宋体" w:hAnsi="宋体" w:eastAsia="宋体" w:cs="宋体"/>
          <w:b/>
          <w:bCs/>
          <w:spacing w:val="-4"/>
          <w:sz w:val="24"/>
          <w:szCs w:val="24"/>
        </w:rPr>
        <w:t>16.1</w:t>
      </w:r>
      <w:r>
        <w:rPr>
          <w:rFonts w:ascii="宋体" w:hAnsi="宋体" w:eastAsia="宋体" w:cs="宋体"/>
          <w:spacing w:val="-4"/>
          <w:sz w:val="24"/>
          <w:szCs w:val="24"/>
        </w:rPr>
        <w:t xml:space="preserve"> </w:t>
      </w:r>
      <w:r>
        <w:rPr>
          <w:rFonts w:ascii="宋体" w:hAnsi="宋体" w:eastAsia="宋体" w:cs="宋体"/>
          <w:b/>
          <w:bCs/>
          <w:spacing w:val="-4"/>
          <w:sz w:val="24"/>
          <w:szCs w:val="24"/>
        </w:rPr>
        <w:t>物价波动引起的价格调整</w:t>
      </w:r>
    </w:p>
    <w:p w14:paraId="30D535D5">
      <w:pPr>
        <w:spacing w:before="181" w:line="219" w:lineRule="auto"/>
        <w:ind w:left="489"/>
        <w:rPr>
          <w:rFonts w:ascii="宋体" w:hAnsi="宋体" w:eastAsia="宋体" w:cs="宋体"/>
          <w:sz w:val="24"/>
          <w:szCs w:val="24"/>
        </w:rPr>
      </w:pPr>
      <w:r>
        <w:rPr>
          <w:rFonts w:ascii="宋体" w:hAnsi="宋体" w:eastAsia="宋体" w:cs="宋体"/>
          <w:spacing w:val="-2"/>
          <w:sz w:val="24"/>
          <w:szCs w:val="24"/>
        </w:rPr>
        <w:t>本款约定为：</w:t>
      </w:r>
    </w:p>
    <w:p w14:paraId="049A0CDC">
      <w:pPr>
        <w:spacing w:before="186" w:line="359" w:lineRule="auto"/>
        <w:ind w:left="8" w:right="67" w:firstLine="491"/>
        <w:rPr>
          <w:rFonts w:ascii="宋体" w:hAnsi="宋体" w:eastAsia="宋体" w:cs="宋体"/>
          <w:sz w:val="24"/>
          <w:szCs w:val="24"/>
        </w:rPr>
      </w:pPr>
      <w:r>
        <w:rPr>
          <w:rFonts w:ascii="宋体" w:hAnsi="宋体" w:eastAsia="宋体" w:cs="宋体"/>
          <w:spacing w:val="-1"/>
          <w:sz w:val="24"/>
          <w:szCs w:val="24"/>
        </w:rPr>
        <w:t>（1）合同履行期间，发包人参照《广东省交通运输厅关于于印发我省交通建设项目材料价差调整指导性意见的通知》，对项目允许调整价</w:t>
      </w:r>
      <w:r>
        <w:rPr>
          <w:rFonts w:ascii="宋体" w:hAnsi="宋体" w:eastAsia="宋体" w:cs="宋体"/>
          <w:spacing w:val="-2"/>
          <w:sz w:val="24"/>
          <w:szCs w:val="24"/>
        </w:rPr>
        <w:t>格差额的材料进行价差调整，其中材料价格调整的工程范围不包括一般性临时工程、临时设施的用材消耗，或虽属特大桥梁、特大隧道、大型船闸的临时工程但无专项设计的用材消耗。材料价差调整费用</w:t>
      </w:r>
      <w:r>
        <w:rPr>
          <w:rFonts w:ascii="宋体" w:hAnsi="宋体" w:eastAsia="宋体" w:cs="宋体"/>
          <w:spacing w:val="-1"/>
          <w:sz w:val="24"/>
          <w:szCs w:val="24"/>
        </w:rPr>
        <w:t>系指材料价格变化产生的综合调整费用，不再计算材料采</w:t>
      </w:r>
      <w:r>
        <w:rPr>
          <w:rFonts w:ascii="宋体" w:hAnsi="宋体" w:eastAsia="宋体" w:cs="宋体"/>
          <w:spacing w:val="-2"/>
          <w:sz w:val="24"/>
          <w:szCs w:val="24"/>
        </w:rPr>
        <w:t>购及保管费、管理费等费用。除本款约定允许调整价格差额的材料以外，其他材料、设备等不进行价差调整，承包人</w:t>
      </w:r>
      <w:r>
        <w:rPr>
          <w:rFonts w:ascii="宋体" w:hAnsi="宋体" w:eastAsia="宋体" w:cs="宋体"/>
          <w:spacing w:val="-1"/>
          <w:sz w:val="24"/>
          <w:szCs w:val="24"/>
        </w:rPr>
        <w:t>应将上述风险考虑在投标报价中。</w:t>
      </w:r>
    </w:p>
    <w:p w14:paraId="018C9476">
      <w:pPr>
        <w:spacing w:line="359" w:lineRule="auto"/>
        <w:ind w:left="26" w:right="147" w:firstLine="473"/>
        <w:rPr>
          <w:rFonts w:ascii="宋体" w:hAnsi="宋体" w:eastAsia="宋体" w:cs="宋体"/>
          <w:sz w:val="24"/>
          <w:szCs w:val="24"/>
        </w:rPr>
      </w:pPr>
      <w:r>
        <w:rPr>
          <w:rFonts w:ascii="宋体" w:hAnsi="宋体" w:eastAsia="宋体" w:cs="宋体"/>
          <w:spacing w:val="-1"/>
          <w:sz w:val="24"/>
          <w:szCs w:val="24"/>
        </w:rPr>
        <w:t>（2）在合同执行期间（包括工期拖延期间）由于人工、材料和设备价格的上涨而引起工程施工成本增加的风险由承包人自行承担，合同价格不会因此而调整。</w:t>
      </w:r>
    </w:p>
    <w:p w14:paraId="4F8C494B">
      <w:pPr>
        <w:spacing w:before="1" w:line="217" w:lineRule="auto"/>
        <w:ind w:left="506"/>
        <w:rPr>
          <w:rFonts w:ascii="宋体" w:hAnsi="宋体" w:eastAsia="宋体" w:cs="宋体"/>
          <w:sz w:val="24"/>
          <w:szCs w:val="24"/>
        </w:rPr>
      </w:pPr>
      <w:r>
        <w:rPr>
          <w:rFonts w:ascii="宋体" w:hAnsi="宋体" w:eastAsia="宋体" w:cs="宋体"/>
          <w:b/>
          <w:bCs/>
          <w:spacing w:val="-3"/>
          <w:sz w:val="24"/>
          <w:szCs w:val="24"/>
        </w:rPr>
        <w:t>16.1.2.1</w:t>
      </w:r>
      <w:r>
        <w:rPr>
          <w:rFonts w:ascii="宋体" w:hAnsi="宋体" w:eastAsia="宋体" w:cs="宋体"/>
          <w:spacing w:val="-3"/>
          <w:sz w:val="24"/>
          <w:szCs w:val="24"/>
        </w:rPr>
        <w:t xml:space="preserve"> </w:t>
      </w:r>
      <w:r>
        <w:rPr>
          <w:rFonts w:ascii="宋体" w:hAnsi="宋体" w:eastAsia="宋体" w:cs="宋体"/>
          <w:b/>
          <w:bCs/>
          <w:spacing w:val="-3"/>
          <w:sz w:val="24"/>
          <w:szCs w:val="24"/>
        </w:rPr>
        <w:t>统一采购供应材料、甲控乙购材料价差调整</w:t>
      </w:r>
    </w:p>
    <w:p w14:paraId="69537694">
      <w:pPr>
        <w:spacing w:before="186" w:line="359" w:lineRule="auto"/>
        <w:ind w:left="8" w:right="67" w:firstLine="491"/>
        <w:rPr>
          <w:rFonts w:ascii="宋体" w:hAnsi="宋体" w:eastAsia="宋体" w:cs="宋体"/>
          <w:spacing w:val="-2"/>
          <w:sz w:val="24"/>
          <w:szCs w:val="24"/>
        </w:rPr>
      </w:pPr>
      <w:r>
        <w:rPr>
          <w:rFonts w:ascii="宋体" w:hAnsi="宋体" w:eastAsia="宋体" w:cs="宋体"/>
          <w:spacing w:val="-2"/>
          <w:sz w:val="24"/>
          <w:szCs w:val="24"/>
        </w:rPr>
        <w:t>（1）材料范围：详见招标文件中《统一采购供应材料一览表》《甲控乙购材料一览表》。</w:t>
      </w:r>
    </w:p>
    <w:p w14:paraId="3442448D">
      <w:pPr>
        <w:spacing w:before="311" w:line="218" w:lineRule="auto"/>
        <w:ind w:left="612"/>
        <w:rPr>
          <w:rFonts w:ascii="宋体" w:hAnsi="宋体" w:eastAsia="宋体" w:cs="宋体"/>
          <w:sz w:val="24"/>
          <w:szCs w:val="24"/>
        </w:rPr>
      </w:pPr>
      <w:r>
        <w:rPr>
          <w:rFonts w:ascii="宋体" w:hAnsi="宋体" w:eastAsia="宋体" w:cs="宋体"/>
          <w:spacing w:val="-2"/>
          <w:sz w:val="24"/>
          <w:szCs w:val="24"/>
        </w:rPr>
        <w:t>（2）材料价差计算方法：</w:t>
      </w:r>
    </w:p>
    <w:p w14:paraId="7F919EA3">
      <w:pPr>
        <w:spacing w:before="182" w:line="218" w:lineRule="auto"/>
        <w:ind w:left="603"/>
        <w:rPr>
          <w:rFonts w:ascii="宋体" w:hAnsi="宋体" w:eastAsia="宋体" w:cs="宋体"/>
          <w:sz w:val="24"/>
          <w:szCs w:val="24"/>
        </w:rPr>
      </w:pPr>
      <w:r>
        <w:rPr>
          <w:rFonts w:ascii="宋体" w:hAnsi="宋体" w:eastAsia="宋体" w:cs="宋体"/>
          <w:spacing w:val="-1"/>
          <w:sz w:val="24"/>
          <w:szCs w:val="24"/>
        </w:rPr>
        <w:t>按月调整材料价差，具体如下：</w:t>
      </w:r>
    </w:p>
    <w:p w14:paraId="7DE6CC41">
      <w:pPr>
        <w:spacing w:before="164" w:line="364" w:lineRule="auto"/>
        <w:ind w:left="119" w:right="179" w:firstLine="509"/>
        <w:jc w:val="both"/>
        <w:rPr>
          <w:rFonts w:ascii="宋体" w:hAnsi="宋体" w:eastAsia="宋体" w:cs="宋体"/>
          <w:sz w:val="24"/>
          <w:szCs w:val="24"/>
        </w:rPr>
      </w:pPr>
      <w:r>
        <w:rPr>
          <w:rFonts w:ascii="宋体" w:hAnsi="宋体" w:eastAsia="宋体" w:cs="宋体"/>
          <w:spacing w:val="-1"/>
          <w:sz w:val="24"/>
          <w:szCs w:val="24"/>
        </w:rPr>
        <w:t>以建设项目所在地地级市及以上交通运输工程造价专业机构</w:t>
      </w:r>
      <w:r>
        <w:fldChar w:fldCharType="begin"/>
      </w:r>
      <w:r>
        <w:instrText xml:space="preserve"> HYPERLINK \l "bookmark201" </w:instrText>
      </w:r>
      <w:r>
        <w:fldChar w:fldCharType="separate"/>
      </w:r>
      <w:r>
        <w:rPr>
          <w:rFonts w:ascii="宋体" w:hAnsi="宋体" w:eastAsia="宋体" w:cs="宋体"/>
          <w:spacing w:val="-1"/>
          <w:position w:val="12"/>
          <w:sz w:val="12"/>
          <w:szCs w:val="12"/>
        </w:rPr>
        <w:t>①</w:t>
      </w:r>
      <w:r>
        <w:rPr>
          <w:rFonts w:ascii="宋体" w:hAnsi="宋体" w:eastAsia="宋体" w:cs="宋体"/>
          <w:spacing w:val="-1"/>
          <w:position w:val="12"/>
          <w:sz w:val="12"/>
          <w:szCs w:val="12"/>
        </w:rPr>
        <w:fldChar w:fldCharType="end"/>
      </w:r>
      <w:r>
        <w:rPr>
          <w:rFonts w:ascii="宋体" w:hAnsi="宋体" w:eastAsia="宋体" w:cs="宋体"/>
          <w:spacing w:val="-1"/>
          <w:sz w:val="24"/>
          <w:szCs w:val="24"/>
        </w:rPr>
        <w:t>每月公布的交通</w:t>
      </w:r>
      <w:r>
        <w:rPr>
          <w:rFonts w:ascii="宋体" w:hAnsi="宋体" w:eastAsia="宋体" w:cs="宋体"/>
          <w:spacing w:val="-2"/>
          <w:sz w:val="24"/>
          <w:szCs w:val="24"/>
        </w:rPr>
        <w:t>建设工程主要外购材料信息价为依据，每个月</w:t>
      </w:r>
      <w:r>
        <w:rPr>
          <w:rFonts w:ascii="宋体" w:hAnsi="宋体" w:eastAsia="宋体" w:cs="宋体"/>
          <w:spacing w:val="-33"/>
          <w:sz w:val="24"/>
          <w:szCs w:val="24"/>
        </w:rPr>
        <w:t xml:space="preserve"> </w:t>
      </w:r>
      <w:r>
        <w:rPr>
          <w:rFonts w:ascii="宋体" w:hAnsi="宋体" w:eastAsia="宋体" w:cs="宋体"/>
          <w:spacing w:val="-2"/>
          <w:sz w:val="24"/>
          <w:szCs w:val="24"/>
        </w:rPr>
        <w:t xml:space="preserve">15 </w:t>
      </w:r>
      <w:r>
        <w:rPr>
          <w:rFonts w:ascii="宋体" w:hAnsi="宋体" w:eastAsia="宋体" w:cs="宋体"/>
          <w:spacing w:val="-3"/>
          <w:sz w:val="24"/>
          <w:szCs w:val="24"/>
        </w:rPr>
        <w:t>日（不含当天）后供应的货物纳入下个月</w:t>
      </w:r>
      <w:r>
        <w:rPr>
          <w:rFonts w:ascii="宋体" w:hAnsi="宋体" w:eastAsia="宋体" w:cs="宋体"/>
          <w:spacing w:val="-2"/>
          <w:sz w:val="24"/>
          <w:szCs w:val="24"/>
        </w:rPr>
        <w:t>进行价格调整。</w:t>
      </w:r>
    </w:p>
    <w:p w14:paraId="28082679">
      <w:pPr>
        <w:spacing w:line="222" w:lineRule="auto"/>
        <w:ind w:left="593"/>
        <w:rPr>
          <w:rFonts w:ascii="宋体" w:hAnsi="宋体" w:eastAsia="宋体" w:cs="宋体"/>
          <w:sz w:val="24"/>
          <w:szCs w:val="24"/>
        </w:rPr>
      </w:pPr>
      <w:r>
        <w:rPr>
          <w:rFonts w:ascii="宋体" w:hAnsi="宋体" w:eastAsia="宋体" w:cs="宋体"/>
          <w:spacing w:val="-9"/>
          <w:sz w:val="24"/>
          <w:szCs w:val="24"/>
        </w:rPr>
        <w:t>A=</w:t>
      </w:r>
      <w:r>
        <w:rPr>
          <w:rFonts w:ascii="宋体" w:hAnsi="宋体" w:eastAsia="宋体" w:cs="宋体"/>
          <w:spacing w:val="-67"/>
          <w:sz w:val="24"/>
          <w:szCs w:val="24"/>
        </w:rPr>
        <w:t xml:space="preserve"> </w:t>
      </w:r>
      <w:r>
        <w:rPr>
          <w:rFonts w:ascii="宋体" w:hAnsi="宋体" w:eastAsia="宋体" w:cs="宋体"/>
          <w:spacing w:val="-9"/>
          <w:sz w:val="24"/>
          <w:szCs w:val="24"/>
        </w:rPr>
        <w:t>(B-C)</w:t>
      </w:r>
      <w:r>
        <w:rPr>
          <w:rFonts w:ascii="宋体" w:hAnsi="宋体" w:eastAsia="宋体" w:cs="宋体"/>
          <w:spacing w:val="-68"/>
          <w:sz w:val="24"/>
          <w:szCs w:val="24"/>
        </w:rPr>
        <w:t xml:space="preserve"> </w:t>
      </w:r>
      <w:r>
        <w:rPr>
          <w:rFonts w:ascii="宋体" w:hAnsi="宋体" w:eastAsia="宋体" w:cs="宋体"/>
          <w:spacing w:val="-9"/>
          <w:sz w:val="24"/>
          <w:szCs w:val="24"/>
        </w:rPr>
        <w:t>(1+D)</w:t>
      </w:r>
    </w:p>
    <w:p w14:paraId="26104BD8">
      <w:pPr>
        <w:spacing w:before="179" w:line="359" w:lineRule="auto"/>
        <w:ind w:left="123" w:right="179" w:firstLine="470"/>
        <w:rPr>
          <w:rFonts w:ascii="宋体" w:hAnsi="宋体" w:eastAsia="宋体" w:cs="宋体"/>
          <w:sz w:val="24"/>
          <w:szCs w:val="24"/>
        </w:rPr>
      </w:pPr>
      <w:r>
        <w:rPr>
          <w:rFonts w:ascii="宋体" w:hAnsi="宋体" w:eastAsia="宋体" w:cs="宋体"/>
          <w:spacing w:val="-1"/>
          <w:sz w:val="24"/>
          <w:szCs w:val="24"/>
        </w:rPr>
        <w:t>A:实际调整价差，A</w:t>
      </w:r>
      <w:r>
        <w:rPr>
          <w:rFonts w:ascii="宋体" w:hAnsi="宋体" w:eastAsia="宋体" w:cs="宋体"/>
          <w:spacing w:val="-39"/>
          <w:sz w:val="24"/>
          <w:szCs w:val="24"/>
        </w:rPr>
        <w:t xml:space="preserve"> </w:t>
      </w:r>
      <w:r>
        <w:rPr>
          <w:rFonts w:ascii="宋体" w:hAnsi="宋体" w:eastAsia="宋体" w:cs="宋体"/>
          <w:spacing w:val="-1"/>
          <w:sz w:val="24"/>
          <w:szCs w:val="24"/>
        </w:rPr>
        <w:t>为正值时，由发包人补给承包人该价差，A</w:t>
      </w:r>
      <w:r>
        <w:rPr>
          <w:rFonts w:ascii="宋体" w:hAnsi="宋体" w:eastAsia="宋体" w:cs="宋体"/>
          <w:spacing w:val="-47"/>
          <w:sz w:val="24"/>
          <w:szCs w:val="24"/>
        </w:rPr>
        <w:t xml:space="preserve"> </w:t>
      </w:r>
      <w:r>
        <w:rPr>
          <w:rFonts w:ascii="宋体" w:hAnsi="宋体" w:eastAsia="宋体" w:cs="宋体"/>
          <w:spacing w:val="-1"/>
          <w:sz w:val="24"/>
          <w:szCs w:val="24"/>
        </w:rPr>
        <w:t>为负值时，由发包人从承包人承包价中扣回该价差。</w:t>
      </w:r>
    </w:p>
    <w:p w14:paraId="58C42ED5">
      <w:pPr>
        <w:spacing w:line="359" w:lineRule="auto"/>
        <w:ind w:left="123" w:right="112" w:firstLine="472"/>
        <w:rPr>
          <w:rFonts w:ascii="宋体" w:hAnsi="宋体" w:eastAsia="宋体" w:cs="宋体"/>
          <w:sz w:val="24"/>
          <w:szCs w:val="24"/>
        </w:rPr>
      </w:pPr>
      <w:r>
        <w:rPr>
          <w:rFonts w:ascii="宋体" w:hAnsi="宋体" w:eastAsia="宋体" w:cs="宋体"/>
          <w:spacing w:val="-2"/>
          <w:sz w:val="24"/>
          <w:szCs w:val="24"/>
        </w:rPr>
        <w:t>B:实际采购供应价(不含税)，该价格为实际支付给供应商（卖方）的价格，该价格</w:t>
      </w:r>
      <w:r>
        <w:rPr>
          <w:rFonts w:ascii="宋体" w:hAnsi="宋体" w:eastAsia="宋体" w:cs="宋体"/>
          <w:spacing w:val="-1"/>
          <w:sz w:val="24"/>
          <w:szCs w:val="24"/>
        </w:rPr>
        <w:t>按与供应商签定的采购供应合同（含补充合同/协议）确定。</w:t>
      </w:r>
    </w:p>
    <w:p w14:paraId="644E37EE">
      <w:pPr>
        <w:spacing w:before="1" w:line="217" w:lineRule="auto"/>
        <w:ind w:left="599"/>
        <w:rPr>
          <w:rFonts w:ascii="宋体" w:hAnsi="宋体" w:eastAsia="宋体" w:cs="宋体"/>
          <w:sz w:val="24"/>
          <w:szCs w:val="24"/>
        </w:rPr>
      </w:pPr>
      <w:r>
        <w:rPr>
          <w:rFonts w:ascii="宋体" w:hAnsi="宋体" w:eastAsia="宋体" w:cs="宋体"/>
          <w:sz w:val="24"/>
          <w:szCs w:val="24"/>
        </w:rPr>
        <w:t>C:材料基准价格(不含税)，由招标人在招标文件（或补</w:t>
      </w:r>
      <w:r>
        <w:rPr>
          <w:rFonts w:ascii="宋体" w:hAnsi="宋体" w:eastAsia="宋体" w:cs="宋体"/>
          <w:spacing w:val="-1"/>
          <w:sz w:val="24"/>
          <w:szCs w:val="24"/>
        </w:rPr>
        <w:t>遗书）中统一规定。</w:t>
      </w:r>
    </w:p>
    <w:p w14:paraId="3079570F">
      <w:pPr>
        <w:spacing w:before="182" w:line="218" w:lineRule="auto"/>
        <w:ind w:left="596"/>
        <w:rPr>
          <w:rFonts w:ascii="宋体" w:hAnsi="宋体" w:eastAsia="宋体" w:cs="宋体"/>
          <w:sz w:val="24"/>
          <w:szCs w:val="24"/>
        </w:rPr>
      </w:pPr>
      <w:r>
        <w:rPr>
          <w:rFonts w:ascii="宋体" w:hAnsi="宋体" w:eastAsia="宋体" w:cs="宋体"/>
          <w:sz w:val="24"/>
          <w:szCs w:val="24"/>
        </w:rPr>
        <w:t>D:增值税税率，指国家最新规定对应调价材料销售的</w:t>
      </w:r>
      <w:r>
        <w:rPr>
          <w:rFonts w:ascii="宋体" w:hAnsi="宋体" w:eastAsia="宋体" w:cs="宋体"/>
          <w:spacing w:val="-1"/>
          <w:sz w:val="24"/>
          <w:szCs w:val="24"/>
        </w:rPr>
        <w:t>增值税税率。</w:t>
      </w:r>
    </w:p>
    <w:p w14:paraId="31247D9E">
      <w:pPr>
        <w:spacing w:before="185" w:line="218" w:lineRule="auto"/>
        <w:ind w:left="618"/>
        <w:rPr>
          <w:rFonts w:ascii="宋体" w:hAnsi="宋体" w:eastAsia="宋体" w:cs="宋体"/>
          <w:sz w:val="24"/>
          <w:szCs w:val="24"/>
        </w:rPr>
      </w:pPr>
      <w:r>
        <w:rPr>
          <w:rFonts w:ascii="宋体" w:hAnsi="宋体" w:eastAsia="宋体" w:cs="宋体"/>
          <w:spacing w:val="-2"/>
          <w:sz w:val="24"/>
          <w:szCs w:val="24"/>
        </w:rPr>
        <w:t>16.1.2.2 承包人自行采购材料价差调整</w:t>
      </w:r>
    </w:p>
    <w:p w14:paraId="598B3107">
      <w:pPr>
        <w:spacing w:before="185" w:line="220" w:lineRule="auto"/>
        <w:ind w:left="618"/>
        <w:rPr>
          <w:rFonts w:ascii="宋体" w:hAnsi="宋体" w:eastAsia="宋体" w:cs="宋体"/>
          <w:sz w:val="24"/>
          <w:szCs w:val="24"/>
        </w:rPr>
      </w:pPr>
      <w:r>
        <w:rPr>
          <w:rFonts w:ascii="宋体" w:hAnsi="宋体" w:eastAsia="宋体" w:cs="宋体"/>
          <w:spacing w:val="-2"/>
          <w:sz w:val="24"/>
          <w:szCs w:val="24"/>
        </w:rPr>
        <w:t>16.1.2.2.1 工程范围</w:t>
      </w:r>
    </w:p>
    <w:p w14:paraId="3C2A5246">
      <w:pPr>
        <w:spacing w:before="181" w:line="359" w:lineRule="auto"/>
        <w:ind w:left="124" w:right="112" w:firstLine="480"/>
        <w:jc w:val="both"/>
        <w:rPr>
          <w:rFonts w:ascii="宋体" w:hAnsi="宋体" w:eastAsia="宋体" w:cs="宋体"/>
          <w:sz w:val="24"/>
          <w:szCs w:val="24"/>
        </w:rPr>
      </w:pPr>
      <w:r>
        <w:rPr>
          <w:rFonts w:ascii="宋体" w:hAnsi="宋体" w:eastAsia="宋体" w:cs="宋体"/>
          <w:spacing w:val="-2"/>
          <w:sz w:val="24"/>
          <w:szCs w:val="24"/>
        </w:rPr>
        <w:t>指建设项目的实体工程所消耗的主要材料（含构成永久性结构的水中钢护筒、溶洞处理钢护筒等</w:t>
      </w:r>
      <w:r>
        <w:rPr>
          <w:rFonts w:ascii="宋体" w:hAnsi="宋体" w:eastAsia="宋体" w:cs="宋体"/>
          <w:spacing w:val="5"/>
          <w:sz w:val="24"/>
          <w:szCs w:val="24"/>
        </w:rPr>
        <w:t>），</w:t>
      </w:r>
      <w:r>
        <w:rPr>
          <w:rFonts w:ascii="宋体" w:hAnsi="宋体" w:eastAsia="宋体" w:cs="宋体"/>
          <w:spacing w:val="-2"/>
          <w:sz w:val="24"/>
          <w:szCs w:val="24"/>
        </w:rPr>
        <w:t>以及特大桥梁、特长隧道、大型船闸等有专项设计的大型</w:t>
      </w:r>
      <w:r>
        <w:rPr>
          <w:rFonts w:ascii="宋体" w:hAnsi="宋体" w:eastAsia="宋体" w:cs="宋体"/>
          <w:spacing w:val="-3"/>
          <w:sz w:val="24"/>
          <w:szCs w:val="24"/>
        </w:rPr>
        <w:t>临时工程所</w:t>
      </w:r>
      <w:r>
        <w:rPr>
          <w:rFonts w:ascii="宋体" w:hAnsi="宋体" w:eastAsia="宋体" w:cs="宋体"/>
          <w:spacing w:val="-2"/>
          <w:sz w:val="24"/>
          <w:szCs w:val="24"/>
        </w:rPr>
        <w:t>消耗的主要材料纳入材料调差调整范围。一般性临时工程、临时设施所消耗的材料和特</w:t>
      </w:r>
      <w:r>
        <w:rPr>
          <w:rFonts w:ascii="宋体" w:hAnsi="宋体" w:eastAsia="宋体" w:cs="宋体"/>
          <w:spacing w:val="-8"/>
          <w:sz w:val="24"/>
          <w:szCs w:val="24"/>
        </w:rPr>
        <w:t>大桥梁、特大隧道、大型船闸等无专项设计的临时工程用材，以及属于水运工程范围（合</w:t>
      </w:r>
      <w:r>
        <w:rPr>
          <w:rFonts w:ascii="宋体" w:hAnsi="宋体" w:eastAsia="宋体" w:cs="宋体"/>
          <w:spacing w:val="-1"/>
          <w:sz w:val="24"/>
          <w:szCs w:val="24"/>
        </w:rPr>
        <w:t>同中包含水运工程的除外）的材料均不纳入材料调差调整范围。</w:t>
      </w:r>
    </w:p>
    <w:p w14:paraId="6037FC8E">
      <w:pPr>
        <w:spacing w:before="1" w:line="218" w:lineRule="auto"/>
        <w:ind w:left="618"/>
        <w:rPr>
          <w:rFonts w:ascii="宋体" w:hAnsi="宋体" w:eastAsia="宋体" w:cs="宋体"/>
          <w:sz w:val="24"/>
          <w:szCs w:val="24"/>
        </w:rPr>
      </w:pPr>
      <w:r>
        <w:rPr>
          <w:rFonts w:ascii="宋体" w:hAnsi="宋体" w:eastAsia="宋体" w:cs="宋体"/>
          <w:spacing w:val="-3"/>
          <w:sz w:val="24"/>
          <w:szCs w:val="24"/>
        </w:rPr>
        <w:t>16.1.2.2.2</w:t>
      </w:r>
      <w:r>
        <w:rPr>
          <w:rFonts w:ascii="宋体" w:hAnsi="宋体" w:eastAsia="宋体" w:cs="宋体"/>
          <w:spacing w:val="-47"/>
          <w:sz w:val="24"/>
          <w:szCs w:val="24"/>
        </w:rPr>
        <w:t xml:space="preserve"> </w:t>
      </w:r>
      <w:r>
        <w:rPr>
          <w:rFonts w:ascii="宋体" w:hAnsi="宋体" w:eastAsia="宋体" w:cs="宋体"/>
          <w:spacing w:val="-3"/>
          <w:sz w:val="24"/>
          <w:szCs w:val="24"/>
        </w:rPr>
        <w:t>材料范围</w:t>
      </w:r>
    </w:p>
    <w:p w14:paraId="0C476A2F">
      <w:pPr>
        <w:spacing w:before="180" w:line="219" w:lineRule="auto"/>
        <w:ind w:left="603"/>
        <w:rPr>
          <w:rFonts w:ascii="宋体" w:hAnsi="宋体" w:eastAsia="宋体" w:cs="宋体"/>
          <w:sz w:val="24"/>
          <w:szCs w:val="24"/>
        </w:rPr>
      </w:pPr>
      <w:r>
        <w:rPr>
          <w:rFonts w:ascii="宋体" w:hAnsi="宋体" w:eastAsia="宋体" w:cs="宋体"/>
          <w:spacing w:val="-1"/>
          <w:sz w:val="24"/>
          <w:szCs w:val="24"/>
        </w:rPr>
        <w:t>可调差主要材料范围如下：</w:t>
      </w:r>
    </w:p>
    <w:p w14:paraId="5A3FE3D6">
      <w:pPr>
        <w:spacing w:line="275" w:lineRule="auto"/>
        <w:rPr>
          <w:rFonts w:ascii="Arial"/>
          <w:sz w:val="21"/>
        </w:rPr>
      </w:pPr>
    </w:p>
    <w:p w14:paraId="1D284693">
      <w:pPr>
        <w:spacing w:line="276" w:lineRule="auto"/>
        <w:rPr>
          <w:rFonts w:ascii="Arial"/>
          <w:sz w:val="21"/>
        </w:rPr>
      </w:pPr>
    </w:p>
    <w:p w14:paraId="2192A918">
      <w:pPr>
        <w:spacing w:before="79" w:line="226" w:lineRule="auto"/>
        <w:ind w:left="3631"/>
        <w:rPr>
          <w:rFonts w:ascii="宋体" w:hAnsi="宋体" w:eastAsia="宋体" w:cs="宋体"/>
          <w:sz w:val="12"/>
          <w:szCs w:val="12"/>
        </w:rPr>
      </w:pPr>
      <w:r>
        <w:rPr>
          <w:rFonts w:ascii="宋体" w:hAnsi="宋体" w:eastAsia="宋体" w:cs="宋体"/>
          <w:b/>
          <w:bCs/>
          <w:spacing w:val="-3"/>
          <w:sz w:val="24"/>
          <w:szCs w:val="24"/>
        </w:rPr>
        <w:t>可调差材料一览表</w:t>
      </w:r>
    </w:p>
    <w:tbl>
      <w:tblPr>
        <w:tblStyle w:val="13"/>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4"/>
        <w:gridCol w:w="1159"/>
        <w:gridCol w:w="1159"/>
        <w:gridCol w:w="1159"/>
        <w:gridCol w:w="1160"/>
        <w:gridCol w:w="1160"/>
        <w:gridCol w:w="1160"/>
        <w:gridCol w:w="1165"/>
      </w:tblGrid>
      <w:tr w14:paraId="2B829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164" w:type="dxa"/>
            <w:vAlign w:val="top"/>
          </w:tcPr>
          <w:p w14:paraId="19D7AFC4">
            <w:pPr>
              <w:pStyle w:val="14"/>
              <w:spacing w:before="126" w:line="229" w:lineRule="auto"/>
              <w:ind w:left="378"/>
            </w:pPr>
            <w:r>
              <w:rPr>
                <w:spacing w:val="5"/>
              </w:rPr>
              <w:t>序号</w:t>
            </w:r>
          </w:p>
        </w:tc>
        <w:tc>
          <w:tcPr>
            <w:tcW w:w="1159" w:type="dxa"/>
            <w:vAlign w:val="top"/>
          </w:tcPr>
          <w:p w14:paraId="16BEC826">
            <w:pPr>
              <w:pStyle w:val="14"/>
              <w:spacing w:before="125" w:line="227" w:lineRule="auto"/>
              <w:ind w:left="162"/>
            </w:pPr>
            <w:r>
              <w:rPr>
                <w:spacing w:val="7"/>
              </w:rPr>
              <w:t>材料名称</w:t>
            </w:r>
          </w:p>
        </w:tc>
        <w:tc>
          <w:tcPr>
            <w:tcW w:w="1159" w:type="dxa"/>
            <w:vAlign w:val="top"/>
          </w:tcPr>
          <w:p w14:paraId="219B74B8">
            <w:pPr>
              <w:pStyle w:val="14"/>
              <w:spacing w:before="125" w:line="228" w:lineRule="auto"/>
              <w:ind w:left="373"/>
            </w:pPr>
            <w:r>
              <w:rPr>
                <w:spacing w:val="5"/>
              </w:rPr>
              <w:t>代号</w:t>
            </w:r>
          </w:p>
        </w:tc>
        <w:tc>
          <w:tcPr>
            <w:tcW w:w="1159" w:type="dxa"/>
            <w:vAlign w:val="top"/>
          </w:tcPr>
          <w:p w14:paraId="272C7399">
            <w:pPr>
              <w:pStyle w:val="14"/>
              <w:spacing w:before="126" w:line="228" w:lineRule="auto"/>
              <w:ind w:left="378"/>
            </w:pPr>
            <w:r>
              <w:rPr>
                <w:spacing w:val="3"/>
              </w:rPr>
              <w:t>单位</w:t>
            </w:r>
          </w:p>
        </w:tc>
        <w:tc>
          <w:tcPr>
            <w:tcW w:w="1160" w:type="dxa"/>
            <w:vAlign w:val="top"/>
          </w:tcPr>
          <w:p w14:paraId="05B72AE3">
            <w:pPr>
              <w:pStyle w:val="14"/>
              <w:spacing w:before="126" w:line="229" w:lineRule="auto"/>
              <w:ind w:left="376"/>
            </w:pPr>
            <w:r>
              <w:rPr>
                <w:spacing w:val="5"/>
              </w:rPr>
              <w:t>序号</w:t>
            </w:r>
          </w:p>
        </w:tc>
        <w:tc>
          <w:tcPr>
            <w:tcW w:w="1160" w:type="dxa"/>
            <w:vAlign w:val="top"/>
          </w:tcPr>
          <w:p w14:paraId="0D6A8C4E">
            <w:pPr>
              <w:pStyle w:val="14"/>
              <w:spacing w:before="125" w:line="227" w:lineRule="auto"/>
              <w:ind w:left="167"/>
            </w:pPr>
            <w:r>
              <w:rPr>
                <w:spacing w:val="7"/>
              </w:rPr>
              <w:t>材料名称</w:t>
            </w:r>
          </w:p>
        </w:tc>
        <w:tc>
          <w:tcPr>
            <w:tcW w:w="1160" w:type="dxa"/>
            <w:vAlign w:val="top"/>
          </w:tcPr>
          <w:p w14:paraId="71C39D67">
            <w:pPr>
              <w:pStyle w:val="14"/>
              <w:spacing w:before="125" w:line="228" w:lineRule="auto"/>
              <w:ind w:left="377"/>
            </w:pPr>
            <w:r>
              <w:rPr>
                <w:spacing w:val="5"/>
              </w:rPr>
              <w:t>代号</w:t>
            </w:r>
          </w:p>
        </w:tc>
        <w:tc>
          <w:tcPr>
            <w:tcW w:w="1165" w:type="dxa"/>
            <w:vAlign w:val="top"/>
          </w:tcPr>
          <w:p w14:paraId="578F00CB">
            <w:pPr>
              <w:pStyle w:val="14"/>
              <w:spacing w:before="126" w:line="228" w:lineRule="auto"/>
              <w:ind w:left="378"/>
            </w:pPr>
            <w:r>
              <w:rPr>
                <w:spacing w:val="3"/>
              </w:rPr>
              <w:t>单位</w:t>
            </w:r>
          </w:p>
        </w:tc>
      </w:tr>
      <w:tr w14:paraId="7A677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164" w:type="dxa"/>
            <w:vAlign w:val="top"/>
          </w:tcPr>
          <w:p w14:paraId="11C3CD34">
            <w:pPr>
              <w:pStyle w:val="14"/>
              <w:spacing w:before="122" w:line="270" w:lineRule="exact"/>
              <w:ind w:left="550"/>
            </w:pPr>
            <w:r>
              <w:rPr>
                <w:position w:val="1"/>
              </w:rPr>
              <w:t>1</w:t>
            </w:r>
          </w:p>
        </w:tc>
        <w:tc>
          <w:tcPr>
            <w:tcW w:w="1159" w:type="dxa"/>
            <w:vAlign w:val="top"/>
          </w:tcPr>
          <w:p w14:paraId="70B9B777">
            <w:pPr>
              <w:pStyle w:val="14"/>
              <w:spacing w:before="122" w:line="270" w:lineRule="exact"/>
              <w:ind w:left="532"/>
            </w:pPr>
            <w:r>
              <w:rPr>
                <w:position w:val="1"/>
              </w:rPr>
              <w:t>2</w:t>
            </w:r>
          </w:p>
        </w:tc>
        <w:tc>
          <w:tcPr>
            <w:tcW w:w="1159" w:type="dxa"/>
            <w:vAlign w:val="top"/>
          </w:tcPr>
          <w:p w14:paraId="7FF3EF35">
            <w:pPr>
              <w:pStyle w:val="14"/>
              <w:spacing w:before="122" w:line="268" w:lineRule="exact"/>
              <w:ind w:left="536"/>
            </w:pPr>
            <w:r>
              <w:rPr>
                <w:position w:val="1"/>
              </w:rPr>
              <w:t>3</w:t>
            </w:r>
          </w:p>
        </w:tc>
        <w:tc>
          <w:tcPr>
            <w:tcW w:w="1159" w:type="dxa"/>
            <w:vAlign w:val="top"/>
          </w:tcPr>
          <w:p w14:paraId="281E9CEE">
            <w:pPr>
              <w:pStyle w:val="14"/>
              <w:spacing w:before="122" w:line="270" w:lineRule="exact"/>
              <w:ind w:left="532"/>
            </w:pPr>
            <w:r>
              <w:rPr>
                <w:position w:val="1"/>
              </w:rPr>
              <w:t>4</w:t>
            </w:r>
          </w:p>
        </w:tc>
        <w:tc>
          <w:tcPr>
            <w:tcW w:w="1160" w:type="dxa"/>
            <w:vAlign w:val="top"/>
          </w:tcPr>
          <w:p w14:paraId="7AD788AA">
            <w:pPr>
              <w:pStyle w:val="14"/>
              <w:spacing w:before="122" w:line="270" w:lineRule="exact"/>
              <w:ind w:left="548"/>
            </w:pPr>
            <w:r>
              <w:rPr>
                <w:position w:val="1"/>
              </w:rPr>
              <w:t>1</w:t>
            </w:r>
          </w:p>
        </w:tc>
        <w:tc>
          <w:tcPr>
            <w:tcW w:w="1160" w:type="dxa"/>
            <w:vAlign w:val="top"/>
          </w:tcPr>
          <w:p w14:paraId="3DBB753F">
            <w:pPr>
              <w:pStyle w:val="14"/>
              <w:spacing w:before="122" w:line="270" w:lineRule="exact"/>
              <w:ind w:left="537"/>
            </w:pPr>
            <w:r>
              <w:rPr>
                <w:position w:val="1"/>
              </w:rPr>
              <w:t>2</w:t>
            </w:r>
          </w:p>
        </w:tc>
        <w:tc>
          <w:tcPr>
            <w:tcW w:w="1160" w:type="dxa"/>
            <w:vAlign w:val="top"/>
          </w:tcPr>
          <w:p w14:paraId="3C3447B9">
            <w:pPr>
              <w:pStyle w:val="14"/>
              <w:spacing w:before="122" w:line="268" w:lineRule="exact"/>
              <w:ind w:left="538"/>
            </w:pPr>
            <w:r>
              <w:rPr>
                <w:position w:val="1"/>
              </w:rPr>
              <w:t>3</w:t>
            </w:r>
          </w:p>
        </w:tc>
        <w:tc>
          <w:tcPr>
            <w:tcW w:w="1165" w:type="dxa"/>
            <w:vAlign w:val="top"/>
          </w:tcPr>
          <w:p w14:paraId="6FC20F2B">
            <w:pPr>
              <w:pStyle w:val="14"/>
              <w:spacing w:before="122" w:line="270" w:lineRule="exact"/>
              <w:ind w:left="534"/>
            </w:pPr>
            <w:r>
              <w:rPr>
                <w:position w:val="1"/>
              </w:rPr>
              <w:t>4</w:t>
            </w:r>
          </w:p>
        </w:tc>
      </w:tr>
      <w:tr w14:paraId="1B7A5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164" w:type="dxa"/>
            <w:vAlign w:val="top"/>
          </w:tcPr>
          <w:p w14:paraId="1DFF80FC">
            <w:pPr>
              <w:pStyle w:val="14"/>
              <w:spacing w:before="200" w:line="156" w:lineRule="exact"/>
              <w:ind w:left="485"/>
            </w:pPr>
            <w:r>
              <w:rPr>
                <w:position w:val="-4"/>
              </w:rPr>
              <w:t>一</w:t>
            </w:r>
          </w:p>
        </w:tc>
        <w:tc>
          <w:tcPr>
            <w:tcW w:w="1159" w:type="dxa"/>
            <w:vAlign w:val="top"/>
          </w:tcPr>
          <w:p w14:paraId="67EC9963">
            <w:pPr>
              <w:rPr>
                <w:rFonts w:ascii="Arial"/>
                <w:sz w:val="21"/>
              </w:rPr>
            </w:pPr>
          </w:p>
        </w:tc>
        <w:tc>
          <w:tcPr>
            <w:tcW w:w="1159" w:type="dxa"/>
            <w:vAlign w:val="top"/>
          </w:tcPr>
          <w:p w14:paraId="6F0459C7">
            <w:pPr>
              <w:rPr>
                <w:rFonts w:ascii="Arial"/>
                <w:sz w:val="21"/>
              </w:rPr>
            </w:pPr>
          </w:p>
        </w:tc>
        <w:tc>
          <w:tcPr>
            <w:tcW w:w="1159" w:type="dxa"/>
            <w:vAlign w:val="top"/>
          </w:tcPr>
          <w:p w14:paraId="6EC96761">
            <w:pPr>
              <w:rPr>
                <w:rFonts w:ascii="Arial"/>
                <w:sz w:val="21"/>
              </w:rPr>
            </w:pPr>
          </w:p>
        </w:tc>
        <w:tc>
          <w:tcPr>
            <w:tcW w:w="1160" w:type="dxa"/>
            <w:vAlign w:val="top"/>
          </w:tcPr>
          <w:p w14:paraId="3F4C95D0">
            <w:pPr>
              <w:pStyle w:val="14"/>
              <w:spacing w:before="161" w:line="183" w:lineRule="auto"/>
              <w:ind w:left="486"/>
            </w:pPr>
            <w:r>
              <w:t>二</w:t>
            </w:r>
          </w:p>
        </w:tc>
        <w:tc>
          <w:tcPr>
            <w:tcW w:w="1160" w:type="dxa"/>
            <w:vAlign w:val="top"/>
          </w:tcPr>
          <w:p w14:paraId="0CCD7F0A">
            <w:pPr>
              <w:rPr>
                <w:rFonts w:ascii="Arial"/>
                <w:sz w:val="21"/>
              </w:rPr>
            </w:pPr>
          </w:p>
        </w:tc>
        <w:tc>
          <w:tcPr>
            <w:tcW w:w="1160" w:type="dxa"/>
            <w:vAlign w:val="top"/>
          </w:tcPr>
          <w:p w14:paraId="3413210F">
            <w:pPr>
              <w:rPr>
                <w:rFonts w:ascii="Arial"/>
                <w:sz w:val="21"/>
              </w:rPr>
            </w:pPr>
          </w:p>
        </w:tc>
        <w:tc>
          <w:tcPr>
            <w:tcW w:w="1165" w:type="dxa"/>
            <w:vAlign w:val="top"/>
          </w:tcPr>
          <w:p w14:paraId="0199914F">
            <w:pPr>
              <w:rPr>
                <w:rFonts w:ascii="Arial"/>
                <w:sz w:val="21"/>
              </w:rPr>
            </w:pPr>
          </w:p>
        </w:tc>
      </w:tr>
      <w:tr w14:paraId="15935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164" w:type="dxa"/>
            <w:vAlign w:val="top"/>
          </w:tcPr>
          <w:p w14:paraId="3CA3E675">
            <w:pPr>
              <w:rPr>
                <w:rFonts w:ascii="Arial"/>
                <w:sz w:val="21"/>
              </w:rPr>
            </w:pPr>
          </w:p>
        </w:tc>
        <w:tc>
          <w:tcPr>
            <w:tcW w:w="1159" w:type="dxa"/>
            <w:vAlign w:val="top"/>
          </w:tcPr>
          <w:p w14:paraId="473473B1">
            <w:pPr>
              <w:rPr>
                <w:rFonts w:ascii="Arial"/>
                <w:sz w:val="21"/>
              </w:rPr>
            </w:pPr>
          </w:p>
        </w:tc>
        <w:tc>
          <w:tcPr>
            <w:tcW w:w="1159" w:type="dxa"/>
            <w:vAlign w:val="top"/>
          </w:tcPr>
          <w:p w14:paraId="6BDCC1B6">
            <w:pPr>
              <w:rPr>
                <w:rFonts w:ascii="Arial"/>
                <w:sz w:val="21"/>
              </w:rPr>
            </w:pPr>
          </w:p>
        </w:tc>
        <w:tc>
          <w:tcPr>
            <w:tcW w:w="1159" w:type="dxa"/>
            <w:vAlign w:val="top"/>
          </w:tcPr>
          <w:p w14:paraId="66BCEBB3">
            <w:pPr>
              <w:rPr>
                <w:rFonts w:ascii="Arial"/>
                <w:sz w:val="21"/>
              </w:rPr>
            </w:pPr>
          </w:p>
        </w:tc>
        <w:tc>
          <w:tcPr>
            <w:tcW w:w="1160" w:type="dxa"/>
            <w:vAlign w:val="top"/>
          </w:tcPr>
          <w:p w14:paraId="7A84A05E">
            <w:pPr>
              <w:rPr>
                <w:rFonts w:ascii="Arial"/>
                <w:sz w:val="21"/>
              </w:rPr>
            </w:pPr>
          </w:p>
        </w:tc>
        <w:tc>
          <w:tcPr>
            <w:tcW w:w="1160" w:type="dxa"/>
            <w:vAlign w:val="top"/>
          </w:tcPr>
          <w:p w14:paraId="309EF87F">
            <w:pPr>
              <w:rPr>
                <w:rFonts w:ascii="Arial"/>
                <w:sz w:val="21"/>
              </w:rPr>
            </w:pPr>
          </w:p>
        </w:tc>
        <w:tc>
          <w:tcPr>
            <w:tcW w:w="1160" w:type="dxa"/>
            <w:vAlign w:val="top"/>
          </w:tcPr>
          <w:p w14:paraId="7A166496">
            <w:pPr>
              <w:rPr>
                <w:rFonts w:ascii="Arial"/>
                <w:sz w:val="21"/>
              </w:rPr>
            </w:pPr>
          </w:p>
        </w:tc>
        <w:tc>
          <w:tcPr>
            <w:tcW w:w="1165" w:type="dxa"/>
            <w:vAlign w:val="top"/>
          </w:tcPr>
          <w:p w14:paraId="3B3BD84C">
            <w:pPr>
              <w:rPr>
                <w:rFonts w:ascii="Arial"/>
                <w:sz w:val="21"/>
              </w:rPr>
            </w:pPr>
          </w:p>
        </w:tc>
      </w:tr>
      <w:tr w14:paraId="13695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64" w:type="dxa"/>
            <w:vAlign w:val="top"/>
          </w:tcPr>
          <w:p w14:paraId="1A13A084">
            <w:pPr>
              <w:rPr>
                <w:rFonts w:ascii="Arial"/>
                <w:sz w:val="21"/>
              </w:rPr>
            </w:pPr>
          </w:p>
        </w:tc>
        <w:tc>
          <w:tcPr>
            <w:tcW w:w="1159" w:type="dxa"/>
            <w:vAlign w:val="top"/>
          </w:tcPr>
          <w:p w14:paraId="63246FA7">
            <w:pPr>
              <w:rPr>
                <w:rFonts w:ascii="Arial"/>
                <w:sz w:val="21"/>
              </w:rPr>
            </w:pPr>
          </w:p>
        </w:tc>
        <w:tc>
          <w:tcPr>
            <w:tcW w:w="1159" w:type="dxa"/>
            <w:vAlign w:val="top"/>
          </w:tcPr>
          <w:p w14:paraId="249CEE1A">
            <w:pPr>
              <w:rPr>
                <w:rFonts w:ascii="Arial"/>
                <w:sz w:val="21"/>
              </w:rPr>
            </w:pPr>
          </w:p>
        </w:tc>
        <w:tc>
          <w:tcPr>
            <w:tcW w:w="1159" w:type="dxa"/>
            <w:vAlign w:val="top"/>
          </w:tcPr>
          <w:p w14:paraId="6131F24C">
            <w:pPr>
              <w:rPr>
                <w:rFonts w:ascii="Arial"/>
                <w:sz w:val="21"/>
              </w:rPr>
            </w:pPr>
          </w:p>
        </w:tc>
        <w:tc>
          <w:tcPr>
            <w:tcW w:w="1160" w:type="dxa"/>
            <w:vAlign w:val="top"/>
          </w:tcPr>
          <w:p w14:paraId="4ADF659E">
            <w:pPr>
              <w:rPr>
                <w:rFonts w:ascii="Arial"/>
                <w:sz w:val="21"/>
              </w:rPr>
            </w:pPr>
          </w:p>
        </w:tc>
        <w:tc>
          <w:tcPr>
            <w:tcW w:w="1160" w:type="dxa"/>
            <w:vAlign w:val="top"/>
          </w:tcPr>
          <w:p w14:paraId="049E9A81">
            <w:pPr>
              <w:rPr>
                <w:rFonts w:ascii="Arial"/>
                <w:sz w:val="21"/>
              </w:rPr>
            </w:pPr>
          </w:p>
        </w:tc>
        <w:tc>
          <w:tcPr>
            <w:tcW w:w="1160" w:type="dxa"/>
            <w:vAlign w:val="top"/>
          </w:tcPr>
          <w:p w14:paraId="4D9185C6">
            <w:pPr>
              <w:rPr>
                <w:rFonts w:ascii="Arial"/>
                <w:sz w:val="21"/>
              </w:rPr>
            </w:pPr>
          </w:p>
        </w:tc>
        <w:tc>
          <w:tcPr>
            <w:tcW w:w="1165" w:type="dxa"/>
            <w:vAlign w:val="top"/>
          </w:tcPr>
          <w:p w14:paraId="5A35F75E">
            <w:pPr>
              <w:rPr>
                <w:rFonts w:ascii="Arial"/>
                <w:sz w:val="21"/>
              </w:rPr>
            </w:pPr>
          </w:p>
        </w:tc>
      </w:tr>
    </w:tbl>
    <w:p w14:paraId="6C819448">
      <w:pPr>
        <w:spacing w:before="34"/>
        <w:rPr>
          <w:rFonts w:hint="eastAsia" w:eastAsia="宋体"/>
          <w:lang w:eastAsia="zh-CN"/>
        </w:rPr>
      </w:pPr>
      <w:r>
        <w:rPr>
          <w:rFonts w:hint="eastAsia" w:eastAsia="宋体"/>
          <w:lang w:eastAsia="zh-CN"/>
        </w:rPr>
        <w:br w:type="page"/>
      </w:r>
    </w:p>
    <w:tbl>
      <w:tblPr>
        <w:tblStyle w:val="13"/>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4"/>
        <w:gridCol w:w="1159"/>
        <w:gridCol w:w="1159"/>
        <w:gridCol w:w="1159"/>
        <w:gridCol w:w="1160"/>
        <w:gridCol w:w="1160"/>
        <w:gridCol w:w="1160"/>
        <w:gridCol w:w="1165"/>
      </w:tblGrid>
      <w:tr w14:paraId="4D60B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164" w:type="dxa"/>
            <w:vAlign w:val="top"/>
          </w:tcPr>
          <w:p w14:paraId="16A30B8A">
            <w:pPr>
              <w:rPr>
                <w:rFonts w:ascii="Arial"/>
                <w:sz w:val="21"/>
              </w:rPr>
            </w:pPr>
          </w:p>
        </w:tc>
        <w:tc>
          <w:tcPr>
            <w:tcW w:w="1159" w:type="dxa"/>
            <w:vAlign w:val="top"/>
          </w:tcPr>
          <w:p w14:paraId="536CDCFA">
            <w:pPr>
              <w:rPr>
                <w:rFonts w:ascii="Arial"/>
                <w:sz w:val="21"/>
              </w:rPr>
            </w:pPr>
          </w:p>
        </w:tc>
        <w:tc>
          <w:tcPr>
            <w:tcW w:w="1159" w:type="dxa"/>
            <w:vAlign w:val="top"/>
          </w:tcPr>
          <w:p w14:paraId="74099108">
            <w:pPr>
              <w:rPr>
                <w:rFonts w:ascii="Arial"/>
                <w:sz w:val="21"/>
              </w:rPr>
            </w:pPr>
          </w:p>
        </w:tc>
        <w:tc>
          <w:tcPr>
            <w:tcW w:w="1159" w:type="dxa"/>
            <w:vAlign w:val="top"/>
          </w:tcPr>
          <w:p w14:paraId="0C21FF46">
            <w:pPr>
              <w:rPr>
                <w:rFonts w:ascii="Arial"/>
                <w:sz w:val="21"/>
              </w:rPr>
            </w:pPr>
          </w:p>
        </w:tc>
        <w:tc>
          <w:tcPr>
            <w:tcW w:w="1160" w:type="dxa"/>
            <w:vAlign w:val="top"/>
          </w:tcPr>
          <w:p w14:paraId="2C762497">
            <w:pPr>
              <w:rPr>
                <w:rFonts w:ascii="Arial"/>
                <w:sz w:val="21"/>
              </w:rPr>
            </w:pPr>
          </w:p>
        </w:tc>
        <w:tc>
          <w:tcPr>
            <w:tcW w:w="1160" w:type="dxa"/>
            <w:vAlign w:val="top"/>
          </w:tcPr>
          <w:p w14:paraId="393978B7">
            <w:pPr>
              <w:rPr>
                <w:rFonts w:ascii="Arial"/>
                <w:sz w:val="21"/>
              </w:rPr>
            </w:pPr>
          </w:p>
        </w:tc>
        <w:tc>
          <w:tcPr>
            <w:tcW w:w="1160" w:type="dxa"/>
            <w:vAlign w:val="top"/>
          </w:tcPr>
          <w:p w14:paraId="18E23B1D">
            <w:pPr>
              <w:rPr>
                <w:rFonts w:ascii="Arial"/>
                <w:sz w:val="21"/>
              </w:rPr>
            </w:pPr>
          </w:p>
        </w:tc>
        <w:tc>
          <w:tcPr>
            <w:tcW w:w="1165" w:type="dxa"/>
            <w:vAlign w:val="top"/>
          </w:tcPr>
          <w:p w14:paraId="6CDA7DB8">
            <w:pPr>
              <w:rPr>
                <w:rFonts w:ascii="Arial"/>
                <w:sz w:val="21"/>
              </w:rPr>
            </w:pPr>
          </w:p>
        </w:tc>
      </w:tr>
      <w:tr w14:paraId="6379DF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164" w:type="dxa"/>
            <w:vAlign w:val="top"/>
          </w:tcPr>
          <w:p w14:paraId="0260BC66">
            <w:pPr>
              <w:rPr>
                <w:rFonts w:ascii="Arial"/>
                <w:sz w:val="21"/>
              </w:rPr>
            </w:pPr>
          </w:p>
        </w:tc>
        <w:tc>
          <w:tcPr>
            <w:tcW w:w="1159" w:type="dxa"/>
            <w:vAlign w:val="top"/>
          </w:tcPr>
          <w:p w14:paraId="7CE64CE8">
            <w:pPr>
              <w:rPr>
                <w:rFonts w:ascii="Arial"/>
                <w:sz w:val="21"/>
              </w:rPr>
            </w:pPr>
          </w:p>
        </w:tc>
        <w:tc>
          <w:tcPr>
            <w:tcW w:w="1159" w:type="dxa"/>
            <w:vAlign w:val="top"/>
          </w:tcPr>
          <w:p w14:paraId="6FDD5E50">
            <w:pPr>
              <w:rPr>
                <w:rFonts w:ascii="Arial"/>
                <w:sz w:val="21"/>
              </w:rPr>
            </w:pPr>
          </w:p>
        </w:tc>
        <w:tc>
          <w:tcPr>
            <w:tcW w:w="1159" w:type="dxa"/>
            <w:vAlign w:val="top"/>
          </w:tcPr>
          <w:p w14:paraId="178CD362">
            <w:pPr>
              <w:rPr>
                <w:rFonts w:ascii="Arial"/>
                <w:sz w:val="21"/>
              </w:rPr>
            </w:pPr>
          </w:p>
        </w:tc>
        <w:tc>
          <w:tcPr>
            <w:tcW w:w="1160" w:type="dxa"/>
            <w:vAlign w:val="top"/>
          </w:tcPr>
          <w:p w14:paraId="28EE0EC3">
            <w:pPr>
              <w:rPr>
                <w:rFonts w:ascii="Arial"/>
                <w:sz w:val="21"/>
              </w:rPr>
            </w:pPr>
          </w:p>
        </w:tc>
        <w:tc>
          <w:tcPr>
            <w:tcW w:w="1160" w:type="dxa"/>
            <w:vAlign w:val="top"/>
          </w:tcPr>
          <w:p w14:paraId="6FA6F172">
            <w:pPr>
              <w:rPr>
                <w:rFonts w:ascii="Arial"/>
                <w:sz w:val="21"/>
              </w:rPr>
            </w:pPr>
          </w:p>
        </w:tc>
        <w:tc>
          <w:tcPr>
            <w:tcW w:w="1160" w:type="dxa"/>
            <w:vAlign w:val="top"/>
          </w:tcPr>
          <w:p w14:paraId="03BC2866">
            <w:pPr>
              <w:rPr>
                <w:rFonts w:ascii="Arial"/>
                <w:sz w:val="21"/>
              </w:rPr>
            </w:pPr>
          </w:p>
        </w:tc>
        <w:tc>
          <w:tcPr>
            <w:tcW w:w="1165" w:type="dxa"/>
            <w:vAlign w:val="top"/>
          </w:tcPr>
          <w:p w14:paraId="360E96EB">
            <w:pPr>
              <w:rPr>
                <w:rFonts w:ascii="Arial"/>
                <w:sz w:val="21"/>
              </w:rPr>
            </w:pPr>
          </w:p>
        </w:tc>
      </w:tr>
      <w:tr w14:paraId="2087E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164" w:type="dxa"/>
            <w:vAlign w:val="top"/>
          </w:tcPr>
          <w:p w14:paraId="49C03267">
            <w:pPr>
              <w:pStyle w:val="14"/>
              <w:spacing w:before="122" w:line="266" w:lineRule="exact"/>
              <w:ind w:left="482"/>
            </w:pPr>
            <w:r>
              <w:rPr>
                <w:position w:val="1"/>
              </w:rPr>
              <w:t>三</w:t>
            </w:r>
          </w:p>
        </w:tc>
        <w:tc>
          <w:tcPr>
            <w:tcW w:w="1159" w:type="dxa"/>
            <w:vAlign w:val="top"/>
          </w:tcPr>
          <w:p w14:paraId="3A59A525">
            <w:pPr>
              <w:rPr>
                <w:rFonts w:ascii="Arial"/>
                <w:sz w:val="21"/>
              </w:rPr>
            </w:pPr>
          </w:p>
        </w:tc>
        <w:tc>
          <w:tcPr>
            <w:tcW w:w="1159" w:type="dxa"/>
            <w:vAlign w:val="top"/>
          </w:tcPr>
          <w:p w14:paraId="60BF09EB">
            <w:pPr>
              <w:rPr>
                <w:rFonts w:ascii="Arial"/>
                <w:sz w:val="21"/>
              </w:rPr>
            </w:pPr>
          </w:p>
        </w:tc>
        <w:tc>
          <w:tcPr>
            <w:tcW w:w="1159" w:type="dxa"/>
            <w:vAlign w:val="top"/>
          </w:tcPr>
          <w:p w14:paraId="54691B24">
            <w:pPr>
              <w:rPr>
                <w:rFonts w:ascii="Arial"/>
                <w:sz w:val="21"/>
              </w:rPr>
            </w:pPr>
          </w:p>
        </w:tc>
        <w:tc>
          <w:tcPr>
            <w:tcW w:w="1160" w:type="dxa"/>
            <w:vAlign w:val="top"/>
          </w:tcPr>
          <w:p w14:paraId="744D1FC3">
            <w:pPr>
              <w:pStyle w:val="14"/>
              <w:spacing w:before="122" w:line="231" w:lineRule="auto"/>
              <w:ind w:left="502"/>
            </w:pPr>
            <w:r>
              <w:t>四</w:t>
            </w:r>
          </w:p>
        </w:tc>
        <w:tc>
          <w:tcPr>
            <w:tcW w:w="1160" w:type="dxa"/>
            <w:vAlign w:val="top"/>
          </w:tcPr>
          <w:p w14:paraId="0DFAD69F">
            <w:pPr>
              <w:rPr>
                <w:rFonts w:ascii="Arial"/>
                <w:sz w:val="21"/>
              </w:rPr>
            </w:pPr>
          </w:p>
        </w:tc>
        <w:tc>
          <w:tcPr>
            <w:tcW w:w="1160" w:type="dxa"/>
            <w:vAlign w:val="top"/>
          </w:tcPr>
          <w:p w14:paraId="44B19069">
            <w:pPr>
              <w:rPr>
                <w:rFonts w:ascii="Arial"/>
                <w:sz w:val="21"/>
              </w:rPr>
            </w:pPr>
          </w:p>
        </w:tc>
        <w:tc>
          <w:tcPr>
            <w:tcW w:w="1165" w:type="dxa"/>
            <w:vAlign w:val="top"/>
          </w:tcPr>
          <w:p w14:paraId="2A7FC200">
            <w:pPr>
              <w:rPr>
                <w:rFonts w:ascii="Arial"/>
                <w:sz w:val="21"/>
              </w:rPr>
            </w:pPr>
          </w:p>
        </w:tc>
      </w:tr>
      <w:tr w14:paraId="4EFDC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164" w:type="dxa"/>
            <w:vAlign w:val="top"/>
          </w:tcPr>
          <w:p w14:paraId="4C16185D">
            <w:pPr>
              <w:rPr>
                <w:rFonts w:ascii="Arial"/>
                <w:sz w:val="21"/>
              </w:rPr>
            </w:pPr>
          </w:p>
        </w:tc>
        <w:tc>
          <w:tcPr>
            <w:tcW w:w="1159" w:type="dxa"/>
            <w:vAlign w:val="top"/>
          </w:tcPr>
          <w:p w14:paraId="3CFB0FFF">
            <w:pPr>
              <w:rPr>
                <w:rFonts w:ascii="Arial"/>
                <w:sz w:val="21"/>
              </w:rPr>
            </w:pPr>
          </w:p>
        </w:tc>
        <w:tc>
          <w:tcPr>
            <w:tcW w:w="1159" w:type="dxa"/>
            <w:vAlign w:val="top"/>
          </w:tcPr>
          <w:p w14:paraId="3314EF41">
            <w:pPr>
              <w:rPr>
                <w:rFonts w:ascii="Arial"/>
                <w:sz w:val="21"/>
              </w:rPr>
            </w:pPr>
          </w:p>
        </w:tc>
        <w:tc>
          <w:tcPr>
            <w:tcW w:w="1159" w:type="dxa"/>
            <w:vAlign w:val="top"/>
          </w:tcPr>
          <w:p w14:paraId="582E0DDA">
            <w:pPr>
              <w:rPr>
                <w:rFonts w:ascii="Arial"/>
                <w:sz w:val="21"/>
              </w:rPr>
            </w:pPr>
          </w:p>
        </w:tc>
        <w:tc>
          <w:tcPr>
            <w:tcW w:w="1160" w:type="dxa"/>
            <w:vAlign w:val="top"/>
          </w:tcPr>
          <w:p w14:paraId="7CD8E250">
            <w:pPr>
              <w:rPr>
                <w:rFonts w:ascii="Arial"/>
                <w:sz w:val="21"/>
              </w:rPr>
            </w:pPr>
          </w:p>
        </w:tc>
        <w:tc>
          <w:tcPr>
            <w:tcW w:w="1160" w:type="dxa"/>
            <w:vAlign w:val="top"/>
          </w:tcPr>
          <w:p w14:paraId="6BDDB1B2">
            <w:pPr>
              <w:rPr>
                <w:rFonts w:ascii="Arial"/>
                <w:sz w:val="21"/>
              </w:rPr>
            </w:pPr>
          </w:p>
        </w:tc>
        <w:tc>
          <w:tcPr>
            <w:tcW w:w="1160" w:type="dxa"/>
            <w:vAlign w:val="top"/>
          </w:tcPr>
          <w:p w14:paraId="01BF39B9">
            <w:pPr>
              <w:rPr>
                <w:rFonts w:ascii="Arial"/>
                <w:sz w:val="21"/>
              </w:rPr>
            </w:pPr>
          </w:p>
        </w:tc>
        <w:tc>
          <w:tcPr>
            <w:tcW w:w="1165" w:type="dxa"/>
            <w:vAlign w:val="top"/>
          </w:tcPr>
          <w:p w14:paraId="18AFE91A">
            <w:pPr>
              <w:rPr>
                <w:rFonts w:ascii="Arial"/>
                <w:sz w:val="21"/>
              </w:rPr>
            </w:pPr>
          </w:p>
        </w:tc>
      </w:tr>
      <w:tr w14:paraId="38C8A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164" w:type="dxa"/>
            <w:vAlign w:val="top"/>
          </w:tcPr>
          <w:p w14:paraId="5584D823">
            <w:pPr>
              <w:rPr>
                <w:rFonts w:ascii="Arial"/>
                <w:sz w:val="21"/>
              </w:rPr>
            </w:pPr>
          </w:p>
        </w:tc>
        <w:tc>
          <w:tcPr>
            <w:tcW w:w="1159" w:type="dxa"/>
            <w:vAlign w:val="top"/>
          </w:tcPr>
          <w:p w14:paraId="3094B22A">
            <w:pPr>
              <w:rPr>
                <w:rFonts w:ascii="Arial"/>
                <w:sz w:val="21"/>
              </w:rPr>
            </w:pPr>
          </w:p>
        </w:tc>
        <w:tc>
          <w:tcPr>
            <w:tcW w:w="1159" w:type="dxa"/>
            <w:vAlign w:val="top"/>
          </w:tcPr>
          <w:p w14:paraId="1F148C58">
            <w:pPr>
              <w:rPr>
                <w:rFonts w:ascii="Arial"/>
                <w:sz w:val="21"/>
              </w:rPr>
            </w:pPr>
          </w:p>
        </w:tc>
        <w:tc>
          <w:tcPr>
            <w:tcW w:w="1159" w:type="dxa"/>
            <w:vAlign w:val="top"/>
          </w:tcPr>
          <w:p w14:paraId="6D127A61">
            <w:pPr>
              <w:rPr>
                <w:rFonts w:ascii="Arial"/>
                <w:sz w:val="21"/>
              </w:rPr>
            </w:pPr>
          </w:p>
        </w:tc>
        <w:tc>
          <w:tcPr>
            <w:tcW w:w="1160" w:type="dxa"/>
            <w:vAlign w:val="top"/>
          </w:tcPr>
          <w:p w14:paraId="693D9777">
            <w:pPr>
              <w:rPr>
                <w:rFonts w:ascii="Arial"/>
                <w:sz w:val="21"/>
              </w:rPr>
            </w:pPr>
          </w:p>
        </w:tc>
        <w:tc>
          <w:tcPr>
            <w:tcW w:w="1160" w:type="dxa"/>
            <w:vAlign w:val="top"/>
          </w:tcPr>
          <w:p w14:paraId="6EEC1D74">
            <w:pPr>
              <w:rPr>
                <w:rFonts w:ascii="Arial"/>
                <w:sz w:val="21"/>
              </w:rPr>
            </w:pPr>
          </w:p>
        </w:tc>
        <w:tc>
          <w:tcPr>
            <w:tcW w:w="1160" w:type="dxa"/>
            <w:vAlign w:val="top"/>
          </w:tcPr>
          <w:p w14:paraId="1EF238C6">
            <w:pPr>
              <w:rPr>
                <w:rFonts w:ascii="Arial"/>
                <w:sz w:val="21"/>
              </w:rPr>
            </w:pPr>
          </w:p>
        </w:tc>
        <w:tc>
          <w:tcPr>
            <w:tcW w:w="1165" w:type="dxa"/>
            <w:vAlign w:val="top"/>
          </w:tcPr>
          <w:p w14:paraId="6CB3CCC5">
            <w:pPr>
              <w:rPr>
                <w:rFonts w:ascii="Arial"/>
                <w:sz w:val="21"/>
              </w:rPr>
            </w:pPr>
          </w:p>
        </w:tc>
      </w:tr>
      <w:tr w14:paraId="08D53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164" w:type="dxa"/>
            <w:vAlign w:val="top"/>
          </w:tcPr>
          <w:p w14:paraId="26F95FC2">
            <w:pPr>
              <w:pStyle w:val="14"/>
              <w:spacing w:before="124" w:line="238" w:lineRule="auto"/>
              <w:ind w:left="485"/>
            </w:pPr>
            <w:r>
              <w:t>五</w:t>
            </w:r>
          </w:p>
        </w:tc>
        <w:tc>
          <w:tcPr>
            <w:tcW w:w="1159" w:type="dxa"/>
            <w:vAlign w:val="top"/>
          </w:tcPr>
          <w:p w14:paraId="3CAB4E36">
            <w:pPr>
              <w:rPr>
                <w:rFonts w:ascii="Arial"/>
                <w:sz w:val="21"/>
              </w:rPr>
            </w:pPr>
          </w:p>
        </w:tc>
        <w:tc>
          <w:tcPr>
            <w:tcW w:w="1159" w:type="dxa"/>
            <w:vAlign w:val="top"/>
          </w:tcPr>
          <w:p w14:paraId="39B67FF6">
            <w:pPr>
              <w:rPr>
                <w:rFonts w:ascii="Arial"/>
                <w:sz w:val="21"/>
              </w:rPr>
            </w:pPr>
          </w:p>
        </w:tc>
        <w:tc>
          <w:tcPr>
            <w:tcW w:w="1159" w:type="dxa"/>
            <w:vAlign w:val="top"/>
          </w:tcPr>
          <w:p w14:paraId="01AFD64D">
            <w:pPr>
              <w:rPr>
                <w:rFonts w:ascii="Arial"/>
                <w:sz w:val="21"/>
              </w:rPr>
            </w:pPr>
          </w:p>
        </w:tc>
        <w:tc>
          <w:tcPr>
            <w:tcW w:w="1160" w:type="dxa"/>
            <w:vAlign w:val="top"/>
          </w:tcPr>
          <w:p w14:paraId="4540A05E">
            <w:pPr>
              <w:rPr>
                <w:rFonts w:ascii="Arial"/>
                <w:sz w:val="21"/>
              </w:rPr>
            </w:pPr>
          </w:p>
        </w:tc>
        <w:tc>
          <w:tcPr>
            <w:tcW w:w="1160" w:type="dxa"/>
            <w:vAlign w:val="top"/>
          </w:tcPr>
          <w:p w14:paraId="14977CF8">
            <w:pPr>
              <w:rPr>
                <w:rFonts w:ascii="Arial"/>
                <w:sz w:val="21"/>
              </w:rPr>
            </w:pPr>
          </w:p>
        </w:tc>
        <w:tc>
          <w:tcPr>
            <w:tcW w:w="1160" w:type="dxa"/>
            <w:vAlign w:val="top"/>
          </w:tcPr>
          <w:p w14:paraId="697376A1">
            <w:pPr>
              <w:rPr>
                <w:rFonts w:ascii="Arial"/>
                <w:sz w:val="21"/>
              </w:rPr>
            </w:pPr>
          </w:p>
        </w:tc>
        <w:tc>
          <w:tcPr>
            <w:tcW w:w="1165" w:type="dxa"/>
            <w:vAlign w:val="top"/>
          </w:tcPr>
          <w:p w14:paraId="6579B132">
            <w:pPr>
              <w:rPr>
                <w:rFonts w:ascii="Arial"/>
                <w:sz w:val="21"/>
              </w:rPr>
            </w:pPr>
          </w:p>
        </w:tc>
      </w:tr>
      <w:tr w14:paraId="7ED2E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164" w:type="dxa"/>
            <w:vAlign w:val="top"/>
          </w:tcPr>
          <w:p w14:paraId="7AC2F08A">
            <w:pPr>
              <w:rPr>
                <w:rFonts w:ascii="Arial"/>
                <w:sz w:val="21"/>
              </w:rPr>
            </w:pPr>
          </w:p>
        </w:tc>
        <w:tc>
          <w:tcPr>
            <w:tcW w:w="1159" w:type="dxa"/>
            <w:vAlign w:val="top"/>
          </w:tcPr>
          <w:p w14:paraId="21C367D5">
            <w:pPr>
              <w:rPr>
                <w:rFonts w:ascii="Arial"/>
                <w:sz w:val="21"/>
              </w:rPr>
            </w:pPr>
          </w:p>
        </w:tc>
        <w:tc>
          <w:tcPr>
            <w:tcW w:w="1159" w:type="dxa"/>
            <w:vAlign w:val="top"/>
          </w:tcPr>
          <w:p w14:paraId="7759C17F">
            <w:pPr>
              <w:rPr>
                <w:rFonts w:ascii="Arial"/>
                <w:sz w:val="21"/>
              </w:rPr>
            </w:pPr>
          </w:p>
        </w:tc>
        <w:tc>
          <w:tcPr>
            <w:tcW w:w="1159" w:type="dxa"/>
            <w:vAlign w:val="top"/>
          </w:tcPr>
          <w:p w14:paraId="3D401351">
            <w:pPr>
              <w:rPr>
                <w:rFonts w:ascii="Arial"/>
                <w:sz w:val="21"/>
              </w:rPr>
            </w:pPr>
          </w:p>
        </w:tc>
        <w:tc>
          <w:tcPr>
            <w:tcW w:w="1160" w:type="dxa"/>
            <w:vAlign w:val="top"/>
          </w:tcPr>
          <w:p w14:paraId="15204D85">
            <w:pPr>
              <w:rPr>
                <w:rFonts w:ascii="Arial"/>
                <w:sz w:val="21"/>
              </w:rPr>
            </w:pPr>
          </w:p>
        </w:tc>
        <w:tc>
          <w:tcPr>
            <w:tcW w:w="1160" w:type="dxa"/>
            <w:vAlign w:val="top"/>
          </w:tcPr>
          <w:p w14:paraId="41EDD194">
            <w:pPr>
              <w:rPr>
                <w:rFonts w:ascii="Arial"/>
                <w:sz w:val="21"/>
              </w:rPr>
            </w:pPr>
          </w:p>
        </w:tc>
        <w:tc>
          <w:tcPr>
            <w:tcW w:w="1160" w:type="dxa"/>
            <w:vAlign w:val="top"/>
          </w:tcPr>
          <w:p w14:paraId="0CCB25D4">
            <w:pPr>
              <w:rPr>
                <w:rFonts w:ascii="Arial"/>
                <w:sz w:val="21"/>
              </w:rPr>
            </w:pPr>
          </w:p>
        </w:tc>
        <w:tc>
          <w:tcPr>
            <w:tcW w:w="1165" w:type="dxa"/>
            <w:vAlign w:val="top"/>
          </w:tcPr>
          <w:p w14:paraId="3CD07FA4">
            <w:pPr>
              <w:rPr>
                <w:rFonts w:ascii="Arial"/>
                <w:sz w:val="21"/>
              </w:rPr>
            </w:pPr>
          </w:p>
        </w:tc>
      </w:tr>
      <w:tr w14:paraId="3E7EE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7" w:hRule="atLeast"/>
        </w:trPr>
        <w:tc>
          <w:tcPr>
            <w:tcW w:w="9286" w:type="dxa"/>
            <w:gridSpan w:val="8"/>
            <w:vAlign w:val="top"/>
          </w:tcPr>
          <w:p w14:paraId="2E1F5EF6">
            <w:pPr>
              <w:rPr>
                <w:rFonts w:ascii="Arial"/>
                <w:sz w:val="21"/>
              </w:rPr>
            </w:pPr>
          </w:p>
        </w:tc>
      </w:tr>
    </w:tbl>
    <w:p w14:paraId="159CC599">
      <w:pPr>
        <w:spacing w:line="422" w:lineRule="auto"/>
        <w:rPr>
          <w:rFonts w:ascii="Arial"/>
          <w:sz w:val="21"/>
        </w:rPr>
      </w:pPr>
    </w:p>
    <w:p w14:paraId="15E4BE7B">
      <w:pPr>
        <w:spacing w:before="78" w:line="218" w:lineRule="auto"/>
        <w:ind w:left="618"/>
        <w:rPr>
          <w:rFonts w:ascii="宋体" w:hAnsi="宋体" w:eastAsia="宋体" w:cs="宋体"/>
          <w:sz w:val="24"/>
          <w:szCs w:val="24"/>
        </w:rPr>
      </w:pPr>
      <w:r>
        <w:rPr>
          <w:rFonts w:ascii="宋体" w:hAnsi="宋体" w:eastAsia="宋体" w:cs="宋体"/>
          <w:spacing w:val="-3"/>
          <w:sz w:val="24"/>
          <w:szCs w:val="24"/>
        </w:rPr>
        <w:t>16.1.2.2.3</w:t>
      </w:r>
      <w:r>
        <w:rPr>
          <w:rFonts w:ascii="宋体" w:hAnsi="宋体" w:eastAsia="宋体" w:cs="宋体"/>
          <w:spacing w:val="-38"/>
          <w:sz w:val="24"/>
          <w:szCs w:val="24"/>
        </w:rPr>
        <w:t xml:space="preserve"> </w:t>
      </w:r>
      <w:r>
        <w:rPr>
          <w:rFonts w:ascii="宋体" w:hAnsi="宋体" w:eastAsia="宋体" w:cs="宋体"/>
          <w:spacing w:val="-3"/>
          <w:sz w:val="24"/>
          <w:szCs w:val="24"/>
        </w:rPr>
        <w:t>风险幅度（r）</w:t>
      </w:r>
    </w:p>
    <w:p w14:paraId="3CA9549D">
      <w:pPr>
        <w:spacing w:before="183" w:line="358" w:lineRule="auto"/>
        <w:ind w:left="123" w:right="112" w:firstLine="479"/>
        <w:rPr>
          <w:rFonts w:ascii="宋体" w:hAnsi="宋体" w:eastAsia="宋体" w:cs="宋体"/>
          <w:sz w:val="24"/>
          <w:szCs w:val="24"/>
        </w:rPr>
      </w:pPr>
      <w:r>
        <w:rPr>
          <w:rFonts w:ascii="宋体" w:hAnsi="宋体" w:eastAsia="宋体" w:cs="宋体"/>
          <w:spacing w:val="-2"/>
          <w:sz w:val="24"/>
          <w:szCs w:val="24"/>
        </w:rPr>
        <w:t>风险幅度是指项目合同双方各自应承担的材料价格涨跌风险比例大小。风险幅度范围内的价差应作为建设单位（项目法人）、承包人的风险，不予调差。各类材料幅度系</w:t>
      </w:r>
      <w:r>
        <w:rPr>
          <w:rFonts w:ascii="宋体" w:hAnsi="宋体" w:eastAsia="宋体" w:cs="宋体"/>
          <w:spacing w:val="-3"/>
          <w:sz w:val="24"/>
          <w:szCs w:val="24"/>
        </w:rPr>
        <w:t>数如下</w:t>
      </w:r>
      <w:r>
        <w:fldChar w:fldCharType="begin"/>
      </w:r>
      <w:r>
        <w:instrText xml:space="preserve"> HYPERLINK \l "bookmark204" </w:instrText>
      </w:r>
      <w:r>
        <w:fldChar w:fldCharType="separate"/>
      </w:r>
      <w:r>
        <w:rPr>
          <w:rFonts w:ascii="宋体" w:hAnsi="宋体" w:eastAsia="宋体" w:cs="宋体"/>
          <w:spacing w:val="-3"/>
          <w:position w:val="11"/>
          <w:sz w:val="12"/>
          <w:szCs w:val="12"/>
        </w:rPr>
        <w:t>①</w:t>
      </w:r>
      <w:r>
        <w:rPr>
          <w:rFonts w:ascii="宋体" w:hAnsi="宋体" w:eastAsia="宋体" w:cs="宋体"/>
          <w:spacing w:val="-3"/>
          <w:position w:val="11"/>
          <w:sz w:val="12"/>
          <w:szCs w:val="12"/>
        </w:rPr>
        <w:fldChar w:fldCharType="end"/>
      </w:r>
      <w:r>
        <w:rPr>
          <w:rFonts w:ascii="宋体" w:hAnsi="宋体" w:eastAsia="宋体" w:cs="宋体"/>
          <w:spacing w:val="-3"/>
          <w:sz w:val="24"/>
          <w:szCs w:val="24"/>
        </w:rPr>
        <w:t>:</w:t>
      </w:r>
    </w:p>
    <w:p w14:paraId="4D317802">
      <w:pPr>
        <w:spacing w:before="4" w:line="218" w:lineRule="auto"/>
        <w:ind w:left="600"/>
        <w:rPr>
          <w:rFonts w:ascii="宋体" w:hAnsi="宋体" w:eastAsia="宋体" w:cs="宋体"/>
          <w:sz w:val="24"/>
          <w:szCs w:val="24"/>
        </w:rPr>
      </w:pPr>
      <w:r>
        <w:rPr>
          <w:rFonts w:ascii="宋体" w:hAnsi="宋体" w:eastAsia="宋体" w:cs="宋体"/>
          <w:spacing w:val="-2"/>
          <w:sz w:val="24"/>
          <w:szCs w:val="24"/>
          <w:u w:val="single" w:color="auto"/>
        </w:rPr>
        <w:t>砂石料</w:t>
      </w:r>
      <w:r>
        <w:rPr>
          <w:rFonts w:ascii="宋体" w:hAnsi="宋体" w:eastAsia="宋体" w:cs="宋体"/>
          <w:spacing w:val="-2"/>
          <w:sz w:val="24"/>
          <w:szCs w:val="24"/>
        </w:rPr>
        <w:t>，r＝</w:t>
      </w:r>
      <w:r>
        <w:rPr>
          <w:rFonts w:ascii="宋体" w:hAnsi="宋体" w:eastAsia="宋体" w:cs="宋体"/>
          <w:spacing w:val="-2"/>
          <w:sz w:val="24"/>
          <w:szCs w:val="24"/>
          <w:u w:val="single" w:color="auto"/>
        </w:rPr>
        <w:t xml:space="preserve">         </w:t>
      </w:r>
      <w:r>
        <w:rPr>
          <w:rFonts w:ascii="宋体" w:hAnsi="宋体" w:eastAsia="宋体" w:cs="宋体"/>
          <w:spacing w:val="-114"/>
          <w:sz w:val="24"/>
          <w:szCs w:val="24"/>
        </w:rPr>
        <w:t xml:space="preserve"> </w:t>
      </w:r>
      <w:r>
        <w:rPr>
          <w:rFonts w:ascii="宋体" w:hAnsi="宋体" w:eastAsia="宋体" w:cs="宋体"/>
          <w:spacing w:val="-2"/>
          <w:sz w:val="24"/>
          <w:szCs w:val="24"/>
        </w:rPr>
        <w:t>%；</w:t>
      </w:r>
      <w:r>
        <w:rPr>
          <w:rFonts w:ascii="宋体" w:hAnsi="宋体" w:eastAsia="宋体" w:cs="宋体"/>
          <w:spacing w:val="-68"/>
          <w:sz w:val="24"/>
          <w:szCs w:val="24"/>
        </w:rPr>
        <w:t xml:space="preserve"> </w:t>
      </w:r>
      <w:r>
        <w:rPr>
          <w:rFonts w:ascii="宋体" w:hAnsi="宋体" w:eastAsia="宋体" w:cs="宋体"/>
          <w:spacing w:val="-2"/>
          <w:sz w:val="24"/>
          <w:szCs w:val="24"/>
        </w:rPr>
        <w:t>(幅度系数范围为（</w:t>
      </w:r>
      <w:r>
        <w:rPr>
          <w:rFonts w:ascii="宋体" w:hAnsi="宋体" w:eastAsia="宋体" w:cs="宋体"/>
          <w:spacing w:val="-2"/>
          <w:sz w:val="24"/>
          <w:szCs w:val="24"/>
          <w:u w:val="single" w:color="auto"/>
        </w:rPr>
        <w:t>-5～+5</w:t>
      </w:r>
      <w:r>
        <w:rPr>
          <w:rFonts w:ascii="宋体" w:hAnsi="宋体" w:eastAsia="宋体" w:cs="宋体"/>
          <w:spacing w:val="-2"/>
          <w:sz w:val="24"/>
          <w:szCs w:val="24"/>
        </w:rPr>
        <w:t>）%)</w:t>
      </w:r>
    </w:p>
    <w:p w14:paraId="144B961F">
      <w:pPr>
        <w:spacing w:before="184" w:line="218" w:lineRule="auto"/>
        <w:ind w:left="604"/>
        <w:rPr>
          <w:rFonts w:ascii="宋体" w:hAnsi="宋体" w:eastAsia="宋体" w:cs="宋体"/>
          <w:sz w:val="24"/>
          <w:szCs w:val="24"/>
        </w:rPr>
      </w:pPr>
      <w:r>
        <w:rPr>
          <w:rFonts w:ascii="宋体" w:hAnsi="宋体" w:eastAsia="宋体" w:cs="宋体"/>
          <w:spacing w:val="-2"/>
          <w:sz w:val="24"/>
          <w:szCs w:val="24"/>
          <w:u w:val="single" w:color="auto"/>
        </w:rPr>
        <w:t>水泥、半成品</w:t>
      </w:r>
      <w:r>
        <w:rPr>
          <w:rFonts w:ascii="宋体" w:hAnsi="宋体" w:eastAsia="宋体" w:cs="宋体"/>
          <w:spacing w:val="-2"/>
          <w:sz w:val="24"/>
          <w:szCs w:val="24"/>
        </w:rPr>
        <w:t>，r＝</w:t>
      </w:r>
      <w:r>
        <w:rPr>
          <w:rFonts w:ascii="宋体" w:hAnsi="宋体" w:eastAsia="宋体" w:cs="宋体"/>
          <w:spacing w:val="-2"/>
          <w:sz w:val="24"/>
          <w:szCs w:val="24"/>
          <w:u w:val="single" w:color="auto"/>
        </w:rPr>
        <w:t xml:space="preserve">     </w:t>
      </w:r>
      <w:r>
        <w:rPr>
          <w:rFonts w:ascii="宋体" w:hAnsi="宋体" w:eastAsia="宋体" w:cs="宋体"/>
          <w:spacing w:val="-117"/>
          <w:sz w:val="24"/>
          <w:szCs w:val="24"/>
        </w:rPr>
        <w:t xml:space="preserve"> </w:t>
      </w:r>
      <w:r>
        <w:rPr>
          <w:rFonts w:ascii="宋体" w:hAnsi="宋体" w:eastAsia="宋体" w:cs="宋体"/>
          <w:spacing w:val="-2"/>
          <w:sz w:val="24"/>
          <w:szCs w:val="24"/>
        </w:rPr>
        <w:t>%；</w:t>
      </w:r>
      <w:r>
        <w:rPr>
          <w:rFonts w:ascii="宋体" w:hAnsi="宋体" w:eastAsia="宋体" w:cs="宋体"/>
          <w:spacing w:val="-69"/>
          <w:sz w:val="24"/>
          <w:szCs w:val="24"/>
        </w:rPr>
        <w:t xml:space="preserve"> </w:t>
      </w:r>
      <w:r>
        <w:rPr>
          <w:rFonts w:ascii="宋体" w:hAnsi="宋体" w:eastAsia="宋体" w:cs="宋体"/>
          <w:spacing w:val="-2"/>
          <w:sz w:val="24"/>
          <w:szCs w:val="24"/>
        </w:rPr>
        <w:t>(幅度系数范围为（</w:t>
      </w:r>
      <w:r>
        <w:rPr>
          <w:rFonts w:ascii="宋体" w:hAnsi="宋体" w:eastAsia="宋体" w:cs="宋体"/>
          <w:spacing w:val="-2"/>
          <w:sz w:val="24"/>
          <w:szCs w:val="24"/>
          <w:u w:val="single" w:color="auto"/>
        </w:rPr>
        <w:t>-4～+4</w:t>
      </w:r>
      <w:r>
        <w:rPr>
          <w:rFonts w:ascii="宋体" w:hAnsi="宋体" w:eastAsia="宋体" w:cs="宋体"/>
          <w:spacing w:val="-2"/>
          <w:sz w:val="24"/>
          <w:szCs w:val="24"/>
        </w:rPr>
        <w:t>）</w:t>
      </w:r>
      <w:r>
        <w:rPr>
          <w:rFonts w:ascii="宋体" w:hAnsi="宋体" w:eastAsia="宋体" w:cs="宋体"/>
          <w:spacing w:val="-3"/>
          <w:sz w:val="24"/>
          <w:szCs w:val="24"/>
        </w:rPr>
        <w:t>%)</w:t>
      </w:r>
    </w:p>
    <w:p w14:paraId="2D182A57">
      <w:pPr>
        <w:spacing w:before="182" w:line="218" w:lineRule="auto"/>
        <w:ind w:left="599"/>
        <w:rPr>
          <w:rFonts w:ascii="宋体" w:hAnsi="宋体" w:eastAsia="宋体" w:cs="宋体"/>
          <w:sz w:val="24"/>
          <w:szCs w:val="24"/>
        </w:rPr>
      </w:pPr>
      <w:r>
        <w:rPr>
          <w:rFonts w:ascii="宋体" w:hAnsi="宋体" w:eastAsia="宋体" w:cs="宋体"/>
          <w:spacing w:val="-2"/>
          <w:sz w:val="24"/>
          <w:szCs w:val="24"/>
          <w:u w:val="single" w:color="auto"/>
        </w:rPr>
        <w:t>钢材、油料</w:t>
      </w:r>
      <w:r>
        <w:rPr>
          <w:rFonts w:ascii="宋体" w:hAnsi="宋体" w:eastAsia="宋体" w:cs="宋体"/>
          <w:spacing w:val="-2"/>
          <w:sz w:val="24"/>
          <w:szCs w:val="24"/>
        </w:rPr>
        <w:t>及其他，r＝</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 xml:space="preserve"> %；</w:t>
      </w:r>
      <w:r>
        <w:rPr>
          <w:rFonts w:ascii="宋体" w:hAnsi="宋体" w:eastAsia="宋体" w:cs="宋体"/>
          <w:spacing w:val="-57"/>
          <w:sz w:val="24"/>
          <w:szCs w:val="24"/>
        </w:rPr>
        <w:t xml:space="preserve"> </w:t>
      </w:r>
      <w:r>
        <w:rPr>
          <w:rFonts w:ascii="宋体" w:hAnsi="宋体" w:eastAsia="宋体" w:cs="宋体"/>
          <w:spacing w:val="-2"/>
          <w:sz w:val="24"/>
          <w:szCs w:val="24"/>
        </w:rPr>
        <w:t>(幅度系数范围为（</w:t>
      </w:r>
      <w:r>
        <w:rPr>
          <w:rFonts w:ascii="宋体" w:hAnsi="宋体" w:eastAsia="宋体" w:cs="宋体"/>
          <w:spacing w:val="-2"/>
          <w:sz w:val="24"/>
          <w:szCs w:val="24"/>
          <w:u w:val="single" w:color="auto"/>
        </w:rPr>
        <w:t>-3～+3</w:t>
      </w:r>
      <w:r>
        <w:rPr>
          <w:rFonts w:ascii="宋体" w:hAnsi="宋体" w:eastAsia="宋体" w:cs="宋体"/>
          <w:spacing w:val="-2"/>
          <w:sz w:val="24"/>
          <w:szCs w:val="24"/>
        </w:rPr>
        <w:t>）%)</w:t>
      </w:r>
    </w:p>
    <w:p w14:paraId="772E04A2">
      <w:pPr>
        <w:spacing w:line="284" w:lineRule="auto"/>
        <w:rPr>
          <w:rFonts w:ascii="Arial"/>
          <w:sz w:val="21"/>
        </w:rPr>
      </w:pPr>
    </w:p>
    <w:p w14:paraId="7B3CAFA9">
      <w:pPr>
        <w:spacing w:line="285" w:lineRule="auto"/>
        <w:rPr>
          <w:rFonts w:ascii="Arial"/>
          <w:sz w:val="21"/>
        </w:rPr>
      </w:pPr>
    </w:p>
    <w:p w14:paraId="0C273FDA">
      <w:pPr>
        <w:spacing w:before="78" w:line="219" w:lineRule="auto"/>
        <w:ind w:left="618"/>
        <w:rPr>
          <w:rFonts w:ascii="宋体" w:hAnsi="宋体" w:eastAsia="宋体" w:cs="宋体"/>
          <w:sz w:val="24"/>
          <w:szCs w:val="24"/>
        </w:rPr>
      </w:pPr>
      <w:r>
        <w:rPr>
          <w:rFonts w:ascii="宋体" w:hAnsi="宋体" w:eastAsia="宋体" w:cs="宋体"/>
          <w:spacing w:val="-3"/>
          <w:sz w:val="24"/>
          <w:szCs w:val="24"/>
        </w:rPr>
        <w:t>16.1.2.2.4</w:t>
      </w:r>
      <w:r>
        <w:rPr>
          <w:rFonts w:ascii="宋体" w:hAnsi="宋体" w:eastAsia="宋体" w:cs="宋体"/>
          <w:spacing w:val="-47"/>
          <w:sz w:val="24"/>
          <w:szCs w:val="24"/>
        </w:rPr>
        <w:t xml:space="preserve"> </w:t>
      </w:r>
      <w:r>
        <w:rPr>
          <w:rFonts w:ascii="宋体" w:hAnsi="宋体" w:eastAsia="宋体" w:cs="宋体"/>
          <w:spacing w:val="-3"/>
          <w:sz w:val="24"/>
          <w:szCs w:val="24"/>
        </w:rPr>
        <w:t>计算方法</w:t>
      </w:r>
    </w:p>
    <w:p w14:paraId="39D7B0D0">
      <w:pPr>
        <w:spacing w:before="180" w:line="220" w:lineRule="auto"/>
        <w:ind w:left="648"/>
        <w:rPr>
          <w:rFonts w:ascii="宋体" w:hAnsi="宋体" w:eastAsia="宋体" w:cs="宋体"/>
          <w:sz w:val="24"/>
          <w:szCs w:val="24"/>
        </w:rPr>
      </w:pPr>
      <w:r>
        <w:rPr>
          <w:rFonts w:ascii="宋体" w:hAnsi="宋体" w:eastAsia="宋体" w:cs="宋体"/>
          <w:spacing w:val="-9"/>
          <w:sz w:val="24"/>
          <w:szCs w:val="24"/>
        </w:rPr>
        <w:t>ΔC= (</w:t>
      </w:r>
      <w:r>
        <w:rPr>
          <w:rFonts w:ascii="宋体" w:hAnsi="宋体" w:eastAsia="宋体" w:cs="宋体"/>
          <w:spacing w:val="-27"/>
          <w:sz w:val="24"/>
          <w:szCs w:val="24"/>
        </w:rPr>
        <w:t xml:space="preserve"> </w:t>
      </w:r>
      <w:r>
        <w:rPr>
          <w:rFonts w:ascii="宋体" w:hAnsi="宋体" w:eastAsia="宋体" w:cs="宋体"/>
          <w:spacing w:val="-9"/>
          <w:sz w:val="24"/>
          <w:szCs w:val="24"/>
        </w:rPr>
        <w:t>ΔP-Po×r）</w:t>
      </w:r>
      <w:r>
        <w:rPr>
          <w:rFonts w:ascii="宋体" w:hAnsi="宋体" w:eastAsia="宋体" w:cs="宋体"/>
          <w:spacing w:val="-77"/>
          <w:sz w:val="24"/>
          <w:szCs w:val="24"/>
        </w:rPr>
        <w:t xml:space="preserve"> </w:t>
      </w:r>
      <w:r>
        <w:rPr>
          <w:rFonts w:ascii="宋体" w:hAnsi="宋体" w:eastAsia="宋体" w:cs="宋体"/>
          <w:spacing w:val="-9"/>
          <w:sz w:val="24"/>
          <w:szCs w:val="24"/>
        </w:rPr>
        <w:t>×Q×（1+D</w:t>
      </w:r>
      <w:r>
        <w:rPr>
          <w:rFonts w:ascii="宋体" w:hAnsi="宋体" w:eastAsia="宋体" w:cs="宋体"/>
          <w:spacing w:val="6"/>
          <w:sz w:val="24"/>
          <w:szCs w:val="24"/>
        </w:rPr>
        <w:t>），</w:t>
      </w:r>
      <w:r>
        <w:rPr>
          <w:rFonts w:ascii="宋体" w:hAnsi="宋体" w:eastAsia="宋体" w:cs="宋体"/>
          <w:spacing w:val="-9"/>
          <w:sz w:val="24"/>
          <w:szCs w:val="24"/>
        </w:rPr>
        <w:t>其中：</w:t>
      </w:r>
    </w:p>
    <w:p w14:paraId="012B1960">
      <w:pPr>
        <w:spacing w:before="182" w:line="213" w:lineRule="auto"/>
        <w:ind w:left="705"/>
        <w:rPr>
          <w:rFonts w:ascii="宋体" w:hAnsi="宋体" w:eastAsia="宋体" w:cs="宋体"/>
          <w:sz w:val="24"/>
          <w:szCs w:val="24"/>
        </w:rPr>
      </w:pPr>
      <w:r>
        <w:rPr>
          <w:rFonts w:ascii="宋体" w:hAnsi="宋体" w:eastAsia="宋体" w:cs="宋体"/>
          <w:spacing w:val="-10"/>
          <w:sz w:val="24"/>
          <w:szCs w:val="24"/>
        </w:rPr>
        <w:t>|</w:t>
      </w:r>
      <w:r>
        <w:rPr>
          <w:rFonts w:ascii="宋体" w:hAnsi="宋体" w:eastAsia="宋体" w:cs="宋体"/>
          <w:spacing w:val="51"/>
          <w:sz w:val="24"/>
          <w:szCs w:val="24"/>
        </w:rPr>
        <w:t xml:space="preserve"> </w:t>
      </w:r>
      <w:r>
        <w:rPr>
          <w:rFonts w:ascii="宋体" w:hAnsi="宋体" w:eastAsia="宋体" w:cs="宋体"/>
          <w:spacing w:val="-10"/>
          <w:sz w:val="24"/>
          <w:szCs w:val="24"/>
        </w:rPr>
        <w:t>ΔP</w:t>
      </w:r>
      <w:r>
        <w:rPr>
          <w:rFonts w:ascii="宋体" w:hAnsi="宋体" w:eastAsia="宋体" w:cs="宋体"/>
          <w:spacing w:val="-2"/>
          <w:sz w:val="24"/>
          <w:szCs w:val="24"/>
        </w:rPr>
        <w:t>｜＞｜</w:t>
      </w:r>
      <w:r>
        <w:rPr>
          <w:rFonts w:ascii="宋体" w:hAnsi="宋体" w:eastAsia="宋体" w:cs="宋体"/>
          <w:spacing w:val="-10"/>
          <w:sz w:val="24"/>
          <w:szCs w:val="24"/>
        </w:rPr>
        <w:t>Po×r |</w:t>
      </w:r>
      <w:r>
        <w:rPr>
          <w:rFonts w:ascii="宋体" w:hAnsi="宋体" w:eastAsia="宋体" w:cs="宋体"/>
          <w:spacing w:val="26"/>
          <w:sz w:val="24"/>
          <w:szCs w:val="24"/>
        </w:rPr>
        <w:t xml:space="preserve">  </w:t>
      </w:r>
      <w:r>
        <w:rPr>
          <w:rFonts w:ascii="宋体" w:hAnsi="宋体" w:eastAsia="宋体" w:cs="宋体"/>
          <w:spacing w:val="-10"/>
          <w:sz w:val="24"/>
          <w:szCs w:val="24"/>
        </w:rPr>
        <w:t>ΔP＝Pi（i=1,…,n</w:t>
      </w:r>
      <w:r>
        <w:rPr>
          <w:rFonts w:ascii="宋体" w:hAnsi="宋体" w:eastAsia="宋体" w:cs="宋体"/>
          <w:spacing w:val="-2"/>
          <w:sz w:val="24"/>
          <w:szCs w:val="24"/>
        </w:rPr>
        <w:t>）－</w:t>
      </w:r>
      <w:r>
        <w:rPr>
          <w:rFonts w:ascii="宋体" w:hAnsi="宋体" w:eastAsia="宋体" w:cs="宋体"/>
          <w:spacing w:val="-10"/>
          <w:sz w:val="24"/>
          <w:szCs w:val="24"/>
        </w:rPr>
        <w:t>Po，i</w:t>
      </w:r>
      <w:r>
        <w:rPr>
          <w:rFonts w:ascii="宋体" w:hAnsi="宋体" w:eastAsia="宋体" w:cs="宋体"/>
          <w:spacing w:val="-48"/>
          <w:sz w:val="24"/>
          <w:szCs w:val="24"/>
        </w:rPr>
        <w:t xml:space="preserve"> </w:t>
      </w:r>
      <w:r>
        <w:rPr>
          <w:rFonts w:ascii="宋体" w:hAnsi="宋体" w:eastAsia="宋体" w:cs="宋体"/>
          <w:spacing w:val="-10"/>
          <w:sz w:val="24"/>
          <w:szCs w:val="24"/>
        </w:rPr>
        <w:t>指计量申报时间。</w:t>
      </w:r>
    </w:p>
    <w:p w14:paraId="65BB0DEC">
      <w:pPr>
        <w:spacing w:before="191" w:line="220" w:lineRule="auto"/>
        <w:ind w:left="605"/>
        <w:rPr>
          <w:rFonts w:ascii="宋体" w:hAnsi="宋体" w:eastAsia="宋体" w:cs="宋体"/>
          <w:sz w:val="24"/>
          <w:szCs w:val="24"/>
        </w:rPr>
      </w:pPr>
      <w:r>
        <w:rPr>
          <w:rFonts w:ascii="宋体" w:hAnsi="宋体" w:eastAsia="宋体" w:cs="宋体"/>
          <w:spacing w:val="-5"/>
          <w:sz w:val="24"/>
          <w:szCs w:val="24"/>
        </w:rPr>
        <w:t>式中：</w:t>
      </w:r>
    </w:p>
    <w:p w14:paraId="31AE0C90">
      <w:pPr>
        <w:spacing w:before="180" w:line="218" w:lineRule="auto"/>
        <w:ind w:left="648"/>
        <w:rPr>
          <w:rFonts w:ascii="宋体" w:hAnsi="宋体" w:eastAsia="宋体" w:cs="宋体"/>
          <w:sz w:val="24"/>
          <w:szCs w:val="24"/>
        </w:rPr>
      </w:pPr>
      <w:r>
        <w:rPr>
          <w:rFonts w:ascii="宋体" w:hAnsi="宋体" w:eastAsia="宋体" w:cs="宋体"/>
          <w:spacing w:val="-3"/>
          <w:sz w:val="24"/>
          <w:szCs w:val="24"/>
        </w:rPr>
        <w:t>ΔC—价差调整费用，系按调价周期计算的当次费用。</w:t>
      </w:r>
    </w:p>
    <w:p w14:paraId="324140A4">
      <w:pPr>
        <w:spacing w:before="184" w:line="218" w:lineRule="auto"/>
        <w:ind w:left="648"/>
        <w:rPr>
          <w:rFonts w:ascii="宋体" w:hAnsi="宋体" w:eastAsia="宋体" w:cs="宋体"/>
          <w:sz w:val="24"/>
          <w:szCs w:val="24"/>
        </w:rPr>
      </w:pPr>
      <w:r>
        <w:rPr>
          <w:rFonts w:ascii="宋体" w:hAnsi="宋体" w:eastAsia="宋体" w:cs="宋体"/>
          <w:spacing w:val="-7"/>
          <w:sz w:val="24"/>
          <w:szCs w:val="24"/>
        </w:rPr>
        <w:t>ΔP—材料价格差。</w:t>
      </w:r>
    </w:p>
    <w:p w14:paraId="05D73799">
      <w:pPr>
        <w:spacing w:before="184" w:line="359" w:lineRule="auto"/>
        <w:ind w:left="121" w:right="112" w:firstLine="476"/>
        <w:rPr>
          <w:rFonts w:ascii="宋体" w:hAnsi="宋体" w:eastAsia="宋体" w:cs="宋体"/>
          <w:sz w:val="24"/>
          <w:szCs w:val="24"/>
        </w:rPr>
      </w:pPr>
      <w:r>
        <w:rPr>
          <w:rFonts w:ascii="宋体" w:hAnsi="宋体" w:eastAsia="宋体" w:cs="宋体"/>
          <w:spacing w:val="-1"/>
          <w:sz w:val="24"/>
          <w:szCs w:val="24"/>
        </w:rPr>
        <w:t>Po—基准价（不含税</w:t>
      </w:r>
      <w:r>
        <w:rPr>
          <w:rFonts w:ascii="宋体" w:hAnsi="宋体" w:eastAsia="宋体" w:cs="宋体"/>
          <w:spacing w:val="-5"/>
          <w:sz w:val="24"/>
          <w:szCs w:val="24"/>
        </w:rPr>
        <w:t>），</w:t>
      </w:r>
      <w:r>
        <w:rPr>
          <w:rFonts w:ascii="宋体" w:hAnsi="宋体" w:eastAsia="宋体" w:cs="宋体"/>
          <w:spacing w:val="-1"/>
          <w:sz w:val="24"/>
          <w:szCs w:val="24"/>
        </w:rPr>
        <w:t>指建设单位（项目法人</w:t>
      </w:r>
      <w:r>
        <w:rPr>
          <w:rFonts w:ascii="宋体" w:hAnsi="宋体" w:eastAsia="宋体" w:cs="宋体"/>
          <w:spacing w:val="-2"/>
          <w:sz w:val="24"/>
          <w:szCs w:val="24"/>
        </w:rPr>
        <w:t>）确定最高投标限价时所采用的交通建设项目所在地地级市及以上交通运输工程造价专业机构发布的年月（或季度）信息</w:t>
      </w:r>
      <w:r>
        <w:rPr>
          <w:rFonts w:ascii="宋体" w:hAnsi="宋体" w:eastAsia="宋体" w:cs="宋体"/>
          <w:spacing w:val="-1"/>
          <w:sz w:val="24"/>
          <w:szCs w:val="24"/>
        </w:rPr>
        <w:t>价，如项目或合同段跨两个以上地级市的，按权重取平均值计算。</w:t>
      </w:r>
    </w:p>
    <w:p w14:paraId="24D4A554">
      <w:pPr>
        <w:spacing w:before="1" w:line="217" w:lineRule="auto"/>
        <w:ind w:left="597"/>
        <w:rPr>
          <w:rFonts w:ascii="宋体" w:hAnsi="宋体" w:eastAsia="宋体" w:cs="宋体"/>
          <w:sz w:val="24"/>
          <w:szCs w:val="24"/>
        </w:rPr>
      </w:pPr>
      <w:bookmarkStart w:id="56" w:name="bookmark204"/>
      <w:bookmarkEnd w:id="56"/>
      <w:r>
        <w:rPr>
          <w:rFonts w:ascii="宋体" w:hAnsi="宋体" w:eastAsia="宋体" w:cs="宋体"/>
          <w:spacing w:val="-1"/>
          <w:sz w:val="24"/>
          <w:szCs w:val="24"/>
        </w:rPr>
        <w:t>Pi—信息价（不含税</w:t>
      </w:r>
      <w:r>
        <w:rPr>
          <w:rFonts w:ascii="宋体" w:hAnsi="宋体" w:eastAsia="宋体" w:cs="宋体"/>
          <w:spacing w:val="-12"/>
          <w:sz w:val="24"/>
          <w:szCs w:val="24"/>
        </w:rPr>
        <w:t>），</w:t>
      </w:r>
      <w:r>
        <w:rPr>
          <w:rFonts w:ascii="宋体" w:hAnsi="宋体" w:eastAsia="宋体" w:cs="宋体"/>
          <w:spacing w:val="-1"/>
          <w:sz w:val="24"/>
          <w:szCs w:val="24"/>
        </w:rPr>
        <w:t>指采购材料时交通建设项目所在地级市及以上工程造价专</w:t>
      </w:r>
    </w:p>
    <w:p w14:paraId="35349F58">
      <w:pPr>
        <w:spacing w:before="312" w:line="359" w:lineRule="auto"/>
        <w:ind w:left="121" w:right="112" w:hanging="1"/>
        <w:rPr>
          <w:rFonts w:ascii="宋体" w:hAnsi="宋体" w:eastAsia="宋体" w:cs="宋体"/>
          <w:sz w:val="24"/>
          <w:szCs w:val="24"/>
        </w:rPr>
      </w:pPr>
      <w:r>
        <w:rPr>
          <w:rFonts w:ascii="宋体" w:hAnsi="宋体" w:eastAsia="宋体" w:cs="宋体"/>
          <w:spacing w:val="-2"/>
          <w:sz w:val="24"/>
          <w:szCs w:val="24"/>
        </w:rPr>
        <w:br w:type="page"/>
      </w:r>
      <w:r>
        <w:rPr>
          <w:rFonts w:ascii="宋体" w:hAnsi="宋体" w:eastAsia="宋体" w:cs="宋体"/>
          <w:spacing w:val="-2"/>
          <w:sz w:val="24"/>
          <w:szCs w:val="24"/>
        </w:rPr>
        <w:t>业机构发布的上季（月）度信息价，如项目或合同段跨两个以上地级市的，按权重取平</w:t>
      </w:r>
      <w:r>
        <w:rPr>
          <w:rFonts w:ascii="宋体" w:hAnsi="宋体" w:eastAsia="宋体" w:cs="宋体"/>
          <w:spacing w:val="-3"/>
          <w:sz w:val="24"/>
          <w:szCs w:val="24"/>
        </w:rPr>
        <w:t>均值计算。</w:t>
      </w:r>
    </w:p>
    <w:p w14:paraId="5BB304D3">
      <w:pPr>
        <w:spacing w:before="2" w:line="358" w:lineRule="auto"/>
        <w:ind w:left="122" w:right="112" w:firstLine="477"/>
        <w:jc w:val="both"/>
        <w:rPr>
          <w:rFonts w:ascii="宋体" w:hAnsi="宋体" w:eastAsia="宋体" w:cs="宋体"/>
          <w:sz w:val="24"/>
          <w:szCs w:val="24"/>
        </w:rPr>
      </w:pPr>
      <w:r>
        <w:rPr>
          <w:rFonts w:ascii="宋体" w:hAnsi="宋体" w:eastAsia="宋体" w:cs="宋体"/>
          <w:sz w:val="24"/>
          <w:szCs w:val="24"/>
        </w:rPr>
        <w:t>Q—调整材料数量，指工程实际使用的可调差的材料数量。《</w:t>
      </w:r>
      <w:r>
        <w:rPr>
          <w:rFonts w:ascii="宋体" w:hAnsi="宋体" w:eastAsia="宋体" w:cs="宋体"/>
          <w:spacing w:val="-1"/>
          <w:sz w:val="24"/>
          <w:szCs w:val="24"/>
        </w:rPr>
        <w:t>调价材料单位用量指</w:t>
      </w:r>
      <w:r>
        <w:rPr>
          <w:rFonts w:ascii="宋体" w:hAnsi="宋体" w:eastAsia="宋体" w:cs="宋体"/>
          <w:spacing w:val="-2"/>
          <w:sz w:val="24"/>
          <w:szCs w:val="24"/>
        </w:rPr>
        <w:t>标表》中所列材料以承包人当月计量的实体工程量为基础，按照表中的单位用量指标计</w:t>
      </w:r>
      <w:r>
        <w:rPr>
          <w:rFonts w:ascii="宋体" w:hAnsi="宋体" w:eastAsia="宋体" w:cs="宋体"/>
          <w:sz w:val="24"/>
          <w:szCs w:val="24"/>
        </w:rPr>
        <w:t>算调整材料数量。项目完工后计量的调差工程</w:t>
      </w:r>
      <w:r>
        <w:rPr>
          <w:rFonts w:ascii="宋体" w:hAnsi="宋体" w:eastAsia="宋体" w:cs="宋体"/>
          <w:spacing w:val="-1"/>
          <w:sz w:val="24"/>
          <w:szCs w:val="24"/>
        </w:rPr>
        <w:t>量统一纳入完工当期计算。</w:t>
      </w:r>
    </w:p>
    <w:p w14:paraId="2FAC9AF1">
      <w:pPr>
        <w:spacing w:before="1" w:line="217" w:lineRule="auto"/>
        <w:ind w:left="599"/>
        <w:rPr>
          <w:rFonts w:ascii="宋体" w:hAnsi="宋体" w:eastAsia="宋体" w:cs="宋体"/>
          <w:sz w:val="24"/>
          <w:szCs w:val="24"/>
        </w:rPr>
      </w:pPr>
      <w:r>
        <w:rPr>
          <w:rFonts w:ascii="宋体" w:hAnsi="宋体" w:eastAsia="宋体" w:cs="宋体"/>
          <w:spacing w:val="-6"/>
          <w:sz w:val="24"/>
          <w:szCs w:val="24"/>
        </w:rPr>
        <w:t>r—风险幅度系数，当</w:t>
      </w:r>
      <w:r>
        <w:rPr>
          <w:rFonts w:ascii="宋体" w:hAnsi="宋体" w:eastAsia="宋体" w:cs="宋体"/>
          <w:spacing w:val="-54"/>
          <w:sz w:val="24"/>
          <w:szCs w:val="24"/>
        </w:rPr>
        <w:t xml:space="preserve"> </w:t>
      </w:r>
      <w:r>
        <w:rPr>
          <w:rFonts w:ascii="宋体" w:hAnsi="宋体" w:eastAsia="宋体" w:cs="宋体"/>
          <w:spacing w:val="-6"/>
          <w:sz w:val="24"/>
          <w:szCs w:val="24"/>
        </w:rPr>
        <w:t>ΔP&gt;0</w:t>
      </w:r>
      <w:r>
        <w:rPr>
          <w:rFonts w:ascii="宋体" w:hAnsi="宋体" w:eastAsia="宋体" w:cs="宋体"/>
          <w:spacing w:val="-39"/>
          <w:sz w:val="24"/>
          <w:szCs w:val="24"/>
        </w:rPr>
        <w:t xml:space="preserve"> </w:t>
      </w:r>
      <w:r>
        <w:rPr>
          <w:rFonts w:ascii="宋体" w:hAnsi="宋体" w:eastAsia="宋体" w:cs="宋体"/>
          <w:spacing w:val="-6"/>
          <w:sz w:val="24"/>
          <w:szCs w:val="24"/>
        </w:rPr>
        <w:t>时，r</w:t>
      </w:r>
      <w:r>
        <w:rPr>
          <w:rFonts w:ascii="宋体" w:hAnsi="宋体" w:eastAsia="宋体" w:cs="宋体"/>
          <w:spacing w:val="-48"/>
          <w:sz w:val="24"/>
          <w:szCs w:val="24"/>
        </w:rPr>
        <w:t xml:space="preserve"> </w:t>
      </w:r>
      <w:r>
        <w:rPr>
          <w:rFonts w:ascii="宋体" w:hAnsi="宋体" w:eastAsia="宋体" w:cs="宋体"/>
          <w:spacing w:val="-6"/>
          <w:sz w:val="24"/>
          <w:szCs w:val="24"/>
        </w:rPr>
        <w:t>为正值，当</w:t>
      </w:r>
      <w:r>
        <w:rPr>
          <w:rFonts w:ascii="宋体" w:hAnsi="宋体" w:eastAsia="宋体" w:cs="宋体"/>
          <w:spacing w:val="-63"/>
          <w:sz w:val="24"/>
          <w:szCs w:val="24"/>
        </w:rPr>
        <w:t xml:space="preserve"> </w:t>
      </w:r>
      <w:r>
        <w:rPr>
          <w:rFonts w:ascii="宋体" w:hAnsi="宋体" w:eastAsia="宋体" w:cs="宋体"/>
          <w:spacing w:val="-6"/>
          <w:sz w:val="24"/>
          <w:szCs w:val="24"/>
        </w:rPr>
        <w:t>ΔP&lt;0</w:t>
      </w:r>
      <w:r>
        <w:rPr>
          <w:rFonts w:ascii="宋体" w:hAnsi="宋体" w:eastAsia="宋体" w:cs="宋体"/>
          <w:spacing w:val="-39"/>
          <w:sz w:val="24"/>
          <w:szCs w:val="24"/>
        </w:rPr>
        <w:t xml:space="preserve"> </w:t>
      </w:r>
      <w:r>
        <w:rPr>
          <w:rFonts w:ascii="宋体" w:hAnsi="宋体" w:eastAsia="宋体" w:cs="宋体"/>
          <w:spacing w:val="-6"/>
          <w:sz w:val="24"/>
          <w:szCs w:val="24"/>
        </w:rPr>
        <w:t>时，r</w:t>
      </w:r>
      <w:r>
        <w:rPr>
          <w:rFonts w:ascii="宋体" w:hAnsi="宋体" w:eastAsia="宋体" w:cs="宋体"/>
          <w:spacing w:val="-48"/>
          <w:sz w:val="24"/>
          <w:szCs w:val="24"/>
        </w:rPr>
        <w:t xml:space="preserve"> </w:t>
      </w:r>
      <w:r>
        <w:rPr>
          <w:rFonts w:ascii="宋体" w:hAnsi="宋体" w:eastAsia="宋体" w:cs="宋体"/>
          <w:spacing w:val="-6"/>
          <w:sz w:val="24"/>
          <w:szCs w:val="24"/>
        </w:rPr>
        <w:t>为负值。</w:t>
      </w:r>
    </w:p>
    <w:p w14:paraId="37B5EE34">
      <w:pPr>
        <w:spacing w:before="185" w:line="219" w:lineRule="auto"/>
        <w:ind w:left="596"/>
        <w:rPr>
          <w:rFonts w:ascii="宋体" w:hAnsi="宋体" w:eastAsia="宋体" w:cs="宋体"/>
          <w:sz w:val="24"/>
          <w:szCs w:val="24"/>
        </w:rPr>
      </w:pPr>
      <w:r>
        <w:rPr>
          <w:rFonts w:ascii="宋体" w:hAnsi="宋体" w:eastAsia="宋体" w:cs="宋体"/>
          <w:sz w:val="24"/>
          <w:szCs w:val="24"/>
        </w:rPr>
        <w:t>D—增值税税率，指国家最新规定对应建筑业</w:t>
      </w:r>
      <w:r>
        <w:rPr>
          <w:rFonts w:ascii="宋体" w:hAnsi="宋体" w:eastAsia="宋体" w:cs="宋体"/>
          <w:spacing w:val="-1"/>
          <w:sz w:val="24"/>
          <w:szCs w:val="24"/>
        </w:rPr>
        <w:t>增值税税率。</w:t>
      </w:r>
    </w:p>
    <w:p w14:paraId="0547D4E8">
      <w:pPr>
        <w:spacing w:before="180" w:line="218" w:lineRule="auto"/>
        <w:ind w:left="3331"/>
        <w:rPr>
          <w:rFonts w:ascii="宋体" w:hAnsi="宋体" w:eastAsia="宋体" w:cs="宋体"/>
          <w:sz w:val="24"/>
          <w:szCs w:val="24"/>
        </w:rPr>
      </w:pPr>
      <w:r>
        <w:rPr>
          <w:rFonts w:ascii="宋体" w:hAnsi="宋体" w:eastAsia="宋体" w:cs="宋体"/>
          <w:b/>
          <w:bCs/>
          <w:spacing w:val="-3"/>
          <w:sz w:val="24"/>
          <w:szCs w:val="24"/>
        </w:rPr>
        <w:t>调价材料单位用量指标表</w:t>
      </w:r>
    </w:p>
    <w:p w14:paraId="6DAD7174">
      <w:pPr>
        <w:spacing w:line="149" w:lineRule="exact"/>
      </w:pPr>
    </w:p>
    <w:tbl>
      <w:tblPr>
        <w:tblStyle w:val="13"/>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0"/>
        <w:gridCol w:w="2703"/>
        <w:gridCol w:w="2001"/>
        <w:gridCol w:w="2642"/>
      </w:tblGrid>
      <w:tr w14:paraId="46357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940" w:type="dxa"/>
            <w:vAlign w:val="top"/>
          </w:tcPr>
          <w:p w14:paraId="5A687523">
            <w:pPr>
              <w:pStyle w:val="14"/>
              <w:spacing w:before="48" w:line="239" w:lineRule="auto"/>
              <w:ind w:left="556" w:right="548" w:firstLine="104"/>
            </w:pPr>
            <w:r>
              <w:rPr>
                <w:spacing w:val="6"/>
              </w:rPr>
              <w:t>调价的</w:t>
            </w:r>
            <w:r>
              <w:rPr>
                <w:spacing w:val="7"/>
              </w:rPr>
              <w:t>材料名称</w:t>
            </w:r>
          </w:p>
        </w:tc>
        <w:tc>
          <w:tcPr>
            <w:tcW w:w="2703" w:type="dxa"/>
            <w:vAlign w:val="top"/>
          </w:tcPr>
          <w:p w14:paraId="4FA550D7">
            <w:pPr>
              <w:pStyle w:val="14"/>
              <w:spacing w:before="184" w:line="226" w:lineRule="auto"/>
              <w:ind w:left="413"/>
            </w:pPr>
            <w:r>
              <w:rPr>
                <w:spacing w:val="8"/>
              </w:rPr>
              <w:t>调价的清单子目编号</w:t>
            </w:r>
          </w:p>
        </w:tc>
        <w:tc>
          <w:tcPr>
            <w:tcW w:w="2001" w:type="dxa"/>
            <w:vAlign w:val="top"/>
          </w:tcPr>
          <w:p w14:paraId="689B839E">
            <w:pPr>
              <w:pStyle w:val="14"/>
              <w:spacing w:before="184" w:line="226" w:lineRule="auto"/>
              <w:ind w:left="273"/>
            </w:pPr>
            <w:r>
              <w:rPr>
                <w:spacing w:val="8"/>
              </w:rPr>
              <w:t>调价的项目名称</w:t>
            </w:r>
          </w:p>
        </w:tc>
        <w:tc>
          <w:tcPr>
            <w:tcW w:w="2642" w:type="dxa"/>
            <w:vAlign w:val="top"/>
          </w:tcPr>
          <w:p w14:paraId="73A6647A">
            <w:pPr>
              <w:pStyle w:val="14"/>
              <w:spacing w:before="48" w:line="239" w:lineRule="auto"/>
              <w:ind w:left="645" w:right="375" w:hanging="265"/>
              <w:rPr>
                <w:sz w:val="10"/>
                <w:szCs w:val="10"/>
              </w:rPr>
            </w:pPr>
            <w:r>
              <w:rPr>
                <w:spacing w:val="8"/>
              </w:rPr>
              <w:t>计算调价材料数量的单位用量指标</w:t>
            </w:r>
            <w:r>
              <w:fldChar w:fldCharType="begin"/>
            </w:r>
            <w:r>
              <w:instrText xml:space="preserve"> HYPERLINK \l "bookmark206" </w:instrText>
            </w:r>
            <w:r>
              <w:fldChar w:fldCharType="separate"/>
            </w:r>
            <w:r>
              <w:rPr>
                <w:spacing w:val="8"/>
                <w:position w:val="10"/>
                <w:sz w:val="10"/>
                <w:szCs w:val="10"/>
              </w:rPr>
              <w:t>①</w:t>
            </w:r>
            <w:r>
              <w:rPr>
                <w:spacing w:val="8"/>
                <w:position w:val="10"/>
                <w:sz w:val="10"/>
                <w:szCs w:val="10"/>
              </w:rPr>
              <w:fldChar w:fldCharType="end"/>
            </w:r>
          </w:p>
        </w:tc>
      </w:tr>
      <w:tr w14:paraId="07164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40" w:type="dxa"/>
            <w:vAlign w:val="top"/>
          </w:tcPr>
          <w:p w14:paraId="17695A45">
            <w:pPr>
              <w:pStyle w:val="14"/>
              <w:spacing w:before="179" w:line="228" w:lineRule="auto"/>
              <w:ind w:left="764"/>
            </w:pPr>
            <w:r>
              <w:rPr>
                <w:spacing w:val="5"/>
              </w:rPr>
              <w:t>碎石</w:t>
            </w:r>
          </w:p>
        </w:tc>
        <w:tc>
          <w:tcPr>
            <w:tcW w:w="2703" w:type="dxa"/>
            <w:vAlign w:val="top"/>
          </w:tcPr>
          <w:p w14:paraId="12A37C19">
            <w:pPr>
              <w:pStyle w:val="14"/>
              <w:spacing w:before="179" w:line="228" w:lineRule="auto"/>
              <w:ind w:left="519"/>
            </w:pPr>
            <w:r>
              <w:rPr>
                <w:spacing w:val="8"/>
              </w:rPr>
              <w:t>具体清单子目编号</w:t>
            </w:r>
          </w:p>
        </w:tc>
        <w:tc>
          <w:tcPr>
            <w:tcW w:w="2001" w:type="dxa"/>
            <w:vAlign w:val="top"/>
          </w:tcPr>
          <w:p w14:paraId="4387A186">
            <w:pPr>
              <w:pStyle w:val="14"/>
              <w:spacing w:before="179" w:line="228" w:lineRule="auto"/>
              <w:ind w:left="170"/>
            </w:pPr>
            <w:r>
              <w:rPr>
                <w:spacing w:val="8"/>
              </w:rPr>
              <w:t>具体清单项目名称</w:t>
            </w:r>
          </w:p>
        </w:tc>
        <w:tc>
          <w:tcPr>
            <w:tcW w:w="2642" w:type="dxa"/>
            <w:vAlign w:val="top"/>
          </w:tcPr>
          <w:p w14:paraId="00DEC308">
            <w:pPr>
              <w:pStyle w:val="14"/>
              <w:tabs>
                <w:tab w:val="left" w:pos="1316"/>
              </w:tabs>
              <w:spacing w:before="161" w:line="249" w:lineRule="auto"/>
              <w:ind w:left="897"/>
              <w:rPr>
                <w:sz w:val="10"/>
                <w:szCs w:val="10"/>
              </w:rPr>
            </w:pPr>
            <w:r>
              <w:rPr>
                <w:position w:val="-1"/>
                <w:u w:val="single" w:color="auto"/>
              </w:rPr>
              <w:tab/>
            </w:r>
            <w:r>
              <w:rPr>
                <w:spacing w:val="-95"/>
                <w:position w:val="-1"/>
              </w:rPr>
              <w:t xml:space="preserve"> </w:t>
            </w:r>
            <w:r>
              <w:rPr>
                <w:spacing w:val="3"/>
                <w:position w:val="-1"/>
              </w:rPr>
              <w:t>m</w:t>
            </w:r>
            <w:r>
              <w:rPr>
                <w:spacing w:val="3"/>
                <w:position w:val="9"/>
                <w:sz w:val="10"/>
                <w:szCs w:val="10"/>
              </w:rPr>
              <w:t>3</w:t>
            </w:r>
            <w:r>
              <w:rPr>
                <w:spacing w:val="3"/>
                <w:position w:val="-1"/>
              </w:rPr>
              <w:t>/m</w:t>
            </w:r>
            <w:r>
              <w:rPr>
                <w:spacing w:val="3"/>
                <w:position w:val="9"/>
                <w:sz w:val="10"/>
                <w:szCs w:val="10"/>
              </w:rPr>
              <w:t>3</w:t>
            </w:r>
          </w:p>
        </w:tc>
      </w:tr>
      <w:tr w14:paraId="6B84AB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940" w:type="dxa"/>
            <w:vAlign w:val="top"/>
          </w:tcPr>
          <w:p w14:paraId="0DF0DA87">
            <w:pPr>
              <w:pStyle w:val="14"/>
              <w:spacing w:before="178" w:line="228" w:lineRule="auto"/>
              <w:ind w:left="470"/>
            </w:pPr>
            <w:r>
              <w:rPr>
                <w:spacing w:val="4"/>
              </w:rPr>
              <w:t>中（粗）砂</w:t>
            </w:r>
          </w:p>
        </w:tc>
        <w:tc>
          <w:tcPr>
            <w:tcW w:w="2703" w:type="dxa"/>
            <w:vAlign w:val="top"/>
          </w:tcPr>
          <w:p w14:paraId="2DED5CAB">
            <w:pPr>
              <w:pStyle w:val="14"/>
              <w:spacing w:before="178" w:line="228" w:lineRule="auto"/>
              <w:ind w:left="519"/>
            </w:pPr>
            <w:r>
              <w:rPr>
                <w:spacing w:val="8"/>
              </w:rPr>
              <w:t>具体清单子目编号</w:t>
            </w:r>
          </w:p>
        </w:tc>
        <w:tc>
          <w:tcPr>
            <w:tcW w:w="2001" w:type="dxa"/>
            <w:vAlign w:val="top"/>
          </w:tcPr>
          <w:p w14:paraId="38FE8590">
            <w:pPr>
              <w:pStyle w:val="14"/>
              <w:spacing w:before="178" w:line="228" w:lineRule="auto"/>
              <w:ind w:left="170"/>
            </w:pPr>
            <w:r>
              <w:rPr>
                <w:spacing w:val="8"/>
              </w:rPr>
              <w:t>具体清单项目名称</w:t>
            </w:r>
          </w:p>
        </w:tc>
        <w:tc>
          <w:tcPr>
            <w:tcW w:w="2642" w:type="dxa"/>
            <w:vAlign w:val="top"/>
          </w:tcPr>
          <w:p w14:paraId="2B9F4416">
            <w:pPr>
              <w:pStyle w:val="14"/>
              <w:tabs>
                <w:tab w:val="left" w:pos="1316"/>
              </w:tabs>
              <w:spacing w:before="164" w:line="246" w:lineRule="auto"/>
              <w:ind w:left="897"/>
              <w:rPr>
                <w:sz w:val="10"/>
                <w:szCs w:val="10"/>
              </w:rPr>
            </w:pPr>
            <w:r>
              <w:rPr>
                <w:position w:val="-1"/>
                <w:u w:val="single" w:color="auto"/>
              </w:rPr>
              <w:tab/>
            </w:r>
            <w:r>
              <w:rPr>
                <w:spacing w:val="-95"/>
                <w:position w:val="-1"/>
              </w:rPr>
              <w:t xml:space="preserve"> </w:t>
            </w:r>
            <w:r>
              <w:rPr>
                <w:spacing w:val="3"/>
                <w:position w:val="-1"/>
              </w:rPr>
              <w:t>m</w:t>
            </w:r>
            <w:r>
              <w:rPr>
                <w:spacing w:val="3"/>
                <w:position w:val="8"/>
                <w:sz w:val="10"/>
                <w:szCs w:val="10"/>
              </w:rPr>
              <w:t>3</w:t>
            </w:r>
            <w:r>
              <w:rPr>
                <w:spacing w:val="3"/>
                <w:position w:val="-1"/>
              </w:rPr>
              <w:t>/m</w:t>
            </w:r>
            <w:r>
              <w:rPr>
                <w:spacing w:val="3"/>
                <w:position w:val="8"/>
                <w:sz w:val="10"/>
                <w:szCs w:val="10"/>
              </w:rPr>
              <w:t>3</w:t>
            </w:r>
          </w:p>
        </w:tc>
      </w:tr>
      <w:tr w14:paraId="558097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4" w:hRule="atLeast"/>
        </w:trPr>
        <w:tc>
          <w:tcPr>
            <w:tcW w:w="1940" w:type="dxa"/>
            <w:vAlign w:val="top"/>
          </w:tcPr>
          <w:p w14:paraId="53D0E3F8">
            <w:pPr>
              <w:spacing w:line="262" w:lineRule="auto"/>
              <w:rPr>
                <w:rFonts w:ascii="Arial"/>
                <w:sz w:val="21"/>
              </w:rPr>
            </w:pPr>
          </w:p>
          <w:p w14:paraId="36BC179F">
            <w:pPr>
              <w:spacing w:line="262" w:lineRule="auto"/>
              <w:rPr>
                <w:rFonts w:ascii="Arial"/>
                <w:sz w:val="21"/>
              </w:rPr>
            </w:pPr>
          </w:p>
          <w:p w14:paraId="30B94BF3">
            <w:pPr>
              <w:spacing w:line="262" w:lineRule="auto"/>
              <w:rPr>
                <w:rFonts w:ascii="Arial"/>
                <w:sz w:val="21"/>
              </w:rPr>
            </w:pPr>
          </w:p>
          <w:p w14:paraId="695A6097">
            <w:pPr>
              <w:spacing w:line="263" w:lineRule="auto"/>
              <w:rPr>
                <w:rFonts w:ascii="Arial"/>
                <w:sz w:val="21"/>
              </w:rPr>
            </w:pPr>
          </w:p>
          <w:p w14:paraId="5CF8B2D7">
            <w:pPr>
              <w:pStyle w:val="14"/>
              <w:spacing w:before="65" w:line="228" w:lineRule="auto"/>
              <w:ind w:left="767"/>
            </w:pPr>
            <w:r>
              <w:rPr>
                <w:spacing w:val="3"/>
              </w:rPr>
              <w:t>水泥</w:t>
            </w:r>
          </w:p>
        </w:tc>
        <w:tc>
          <w:tcPr>
            <w:tcW w:w="2703" w:type="dxa"/>
            <w:vAlign w:val="top"/>
          </w:tcPr>
          <w:p w14:paraId="63ACA875">
            <w:pPr>
              <w:spacing w:line="262" w:lineRule="auto"/>
              <w:rPr>
                <w:rFonts w:ascii="Arial"/>
                <w:sz w:val="21"/>
              </w:rPr>
            </w:pPr>
          </w:p>
          <w:p w14:paraId="3C6CADD1">
            <w:pPr>
              <w:spacing w:line="262" w:lineRule="auto"/>
              <w:rPr>
                <w:rFonts w:ascii="Arial"/>
                <w:sz w:val="21"/>
              </w:rPr>
            </w:pPr>
          </w:p>
          <w:p w14:paraId="590FB512">
            <w:pPr>
              <w:spacing w:line="262" w:lineRule="auto"/>
              <w:rPr>
                <w:rFonts w:ascii="Arial"/>
                <w:sz w:val="21"/>
              </w:rPr>
            </w:pPr>
          </w:p>
          <w:p w14:paraId="316751F0">
            <w:pPr>
              <w:spacing w:line="263" w:lineRule="auto"/>
              <w:rPr>
                <w:rFonts w:ascii="Arial"/>
                <w:sz w:val="21"/>
              </w:rPr>
            </w:pPr>
          </w:p>
          <w:p w14:paraId="205639BF">
            <w:pPr>
              <w:pStyle w:val="14"/>
              <w:spacing w:before="65" w:line="228" w:lineRule="auto"/>
              <w:ind w:left="308"/>
            </w:pPr>
            <w:r>
              <w:rPr>
                <w:spacing w:val="8"/>
              </w:rPr>
              <w:t>水泥混凝土的清单子目</w:t>
            </w:r>
          </w:p>
        </w:tc>
        <w:tc>
          <w:tcPr>
            <w:tcW w:w="2001" w:type="dxa"/>
            <w:vAlign w:val="top"/>
          </w:tcPr>
          <w:p w14:paraId="3DB6913D">
            <w:pPr>
              <w:spacing w:line="305" w:lineRule="auto"/>
              <w:rPr>
                <w:rFonts w:ascii="Arial"/>
                <w:sz w:val="21"/>
              </w:rPr>
            </w:pPr>
          </w:p>
          <w:p w14:paraId="1F14ABF5">
            <w:pPr>
              <w:spacing w:line="305" w:lineRule="auto"/>
              <w:rPr>
                <w:rFonts w:ascii="Arial"/>
                <w:sz w:val="21"/>
              </w:rPr>
            </w:pPr>
          </w:p>
          <w:p w14:paraId="469EDF48">
            <w:pPr>
              <w:spacing w:line="306" w:lineRule="auto"/>
              <w:rPr>
                <w:rFonts w:ascii="Arial"/>
                <w:sz w:val="21"/>
              </w:rPr>
            </w:pPr>
          </w:p>
          <w:p w14:paraId="74A8F47C">
            <w:pPr>
              <w:pStyle w:val="14"/>
              <w:spacing w:before="65" w:line="228" w:lineRule="auto"/>
              <w:ind w:left="168"/>
            </w:pPr>
            <w:r>
              <w:rPr>
                <w:spacing w:val="8"/>
              </w:rPr>
              <w:t>水泥混凝土中的水</w:t>
            </w:r>
          </w:p>
          <w:p w14:paraId="39A31697">
            <w:pPr>
              <w:pStyle w:val="14"/>
              <w:spacing w:before="24" w:line="230" w:lineRule="auto"/>
              <w:ind w:left="902"/>
            </w:pPr>
            <w:r>
              <w:t>泥</w:t>
            </w:r>
          </w:p>
        </w:tc>
        <w:tc>
          <w:tcPr>
            <w:tcW w:w="2642" w:type="dxa"/>
            <w:vAlign w:val="top"/>
          </w:tcPr>
          <w:p w14:paraId="1E7A526C">
            <w:pPr>
              <w:pStyle w:val="14"/>
              <w:spacing w:before="34" w:line="237" w:lineRule="auto"/>
              <w:ind w:left="114" w:right="116" w:firstLine="15"/>
            </w:pPr>
            <w:r>
              <w:rPr>
                <w:spacing w:val="6"/>
              </w:rPr>
              <w:t>1、桩基础混凝土（按</w:t>
            </w:r>
            <w:r>
              <w:rPr>
                <w:spacing w:val="-45"/>
              </w:rPr>
              <w:t xml:space="preserve"> </w:t>
            </w:r>
            <w:r>
              <w:rPr>
                <w:spacing w:val="6"/>
              </w:rPr>
              <w:t>m</w:t>
            </w:r>
            <w:r>
              <w:rPr>
                <w:spacing w:val="-37"/>
              </w:rPr>
              <w:t xml:space="preserve"> </w:t>
            </w:r>
            <w:r>
              <w:rPr>
                <w:spacing w:val="6"/>
              </w:rPr>
              <w:t>计量的须换算为</w:t>
            </w:r>
            <w:r>
              <w:rPr>
                <w:spacing w:val="-42"/>
              </w:rPr>
              <w:t xml:space="preserve"> </w:t>
            </w:r>
            <w:r>
              <w:rPr>
                <w:spacing w:val="6"/>
              </w:rPr>
              <w:t>m</w:t>
            </w:r>
            <w:r>
              <w:rPr>
                <w:spacing w:val="6"/>
                <w:position w:val="1"/>
                <w:sz w:val="10"/>
                <w:szCs w:val="10"/>
              </w:rPr>
              <w:t>3</w:t>
            </w:r>
            <w:r>
              <w:rPr>
                <w:spacing w:val="3"/>
                <w:position w:val="1"/>
              </w:rPr>
              <w:t>）</w:t>
            </w:r>
            <w:r>
              <w:rPr>
                <w:spacing w:val="3"/>
              </w:rPr>
              <w:t>：</w:t>
            </w:r>
          </w:p>
          <w:p w14:paraId="0E9021D8">
            <w:pPr>
              <w:pStyle w:val="14"/>
              <w:tabs>
                <w:tab w:val="left" w:pos="525"/>
              </w:tabs>
              <w:spacing w:before="2" w:line="259" w:lineRule="auto"/>
              <w:ind w:left="118" w:right="274" w:hanging="13"/>
            </w:pPr>
            <w:r>
              <w:rPr>
                <w:u w:val="single" w:color="auto"/>
              </w:rPr>
              <w:tab/>
            </w:r>
            <w:r>
              <w:rPr>
                <w:u w:val="single" w:color="auto"/>
              </w:rPr>
              <w:tab/>
            </w:r>
            <w:r>
              <w:rPr>
                <w:spacing w:val="-80"/>
              </w:rPr>
              <w:t xml:space="preserve"> </w:t>
            </w:r>
            <w:r>
              <w:rPr>
                <w:spacing w:val="6"/>
              </w:rPr>
              <w:t>t/m</w:t>
            </w:r>
            <w:r>
              <w:rPr>
                <w:spacing w:val="6"/>
                <w:position w:val="10"/>
                <w:sz w:val="10"/>
                <w:szCs w:val="10"/>
              </w:rPr>
              <w:t>3</w:t>
            </w:r>
            <w:r>
              <w:rPr>
                <w:spacing w:val="6"/>
              </w:rPr>
              <w:t>（不分混凝土标</w:t>
            </w:r>
            <w:r>
              <w:rPr>
                <w:spacing w:val="1"/>
              </w:rPr>
              <w:t>号)</w:t>
            </w:r>
          </w:p>
          <w:p w14:paraId="63218B38">
            <w:pPr>
              <w:pStyle w:val="14"/>
              <w:tabs>
                <w:tab w:val="left" w:pos="525"/>
              </w:tabs>
              <w:spacing w:before="1" w:line="244" w:lineRule="auto"/>
              <w:ind w:left="105" w:right="169" w:firstLine="10"/>
            </w:pPr>
            <w:r>
              <w:rPr>
                <w:spacing w:val="4"/>
              </w:rPr>
              <w:t>2、其他实体工程混凝土：</w:t>
            </w:r>
            <w:r>
              <w:rPr>
                <w:u w:val="single" w:color="auto"/>
              </w:rPr>
              <w:tab/>
            </w:r>
            <w:r>
              <w:rPr>
                <w:spacing w:val="-83"/>
              </w:rPr>
              <w:t xml:space="preserve"> </w:t>
            </w:r>
            <w:r>
              <w:rPr>
                <w:spacing w:val="4"/>
              </w:rPr>
              <w:t>t/m</w:t>
            </w:r>
            <w:r>
              <w:rPr>
                <w:spacing w:val="4"/>
                <w:position w:val="10"/>
                <w:sz w:val="10"/>
                <w:szCs w:val="10"/>
              </w:rPr>
              <w:t>3</w:t>
            </w:r>
            <w:r>
              <w:rPr>
                <w:spacing w:val="4"/>
              </w:rPr>
              <w:t>（C20</w:t>
            </w:r>
            <w:r>
              <w:rPr>
                <w:spacing w:val="-41"/>
              </w:rPr>
              <w:t xml:space="preserve"> </w:t>
            </w:r>
            <w:r>
              <w:rPr>
                <w:spacing w:val="4"/>
              </w:rPr>
              <w:t>及以下）</w:t>
            </w:r>
          </w:p>
          <w:p w14:paraId="480B31E0">
            <w:pPr>
              <w:pStyle w:val="14"/>
              <w:tabs>
                <w:tab w:val="left" w:pos="525"/>
              </w:tabs>
              <w:spacing w:before="1" w:line="250" w:lineRule="auto"/>
              <w:ind w:left="105" w:right="21"/>
            </w:pPr>
            <w:r>
              <w:rPr>
                <w:u w:val="single" w:color="auto"/>
              </w:rPr>
              <w:tab/>
            </w:r>
            <w:r>
              <w:rPr>
                <w:spacing w:val="-78"/>
              </w:rPr>
              <w:t xml:space="preserve"> </w:t>
            </w:r>
            <w:r>
              <w:rPr>
                <w:spacing w:val="1"/>
              </w:rPr>
              <w:t>t/m</w:t>
            </w:r>
            <w:r>
              <w:rPr>
                <w:spacing w:val="1"/>
                <w:position w:val="10"/>
                <w:sz w:val="10"/>
                <w:szCs w:val="10"/>
              </w:rPr>
              <w:t>3</w:t>
            </w:r>
            <w:r>
              <w:rPr>
                <w:spacing w:val="1"/>
              </w:rPr>
              <w:t>（C25、C30、C35）</w:t>
            </w:r>
            <w:r>
              <w:rPr>
                <w:u w:val="single" w:color="auto"/>
              </w:rPr>
              <w:tab/>
            </w:r>
            <w:r>
              <w:rPr>
                <w:spacing w:val="-83"/>
              </w:rPr>
              <w:t xml:space="preserve"> </w:t>
            </w:r>
            <w:r>
              <w:rPr>
                <w:spacing w:val="3"/>
              </w:rPr>
              <w:t>t/m</w:t>
            </w:r>
            <w:r>
              <w:rPr>
                <w:spacing w:val="3"/>
                <w:position w:val="10"/>
                <w:sz w:val="10"/>
                <w:szCs w:val="10"/>
              </w:rPr>
              <w:t>3</w:t>
            </w:r>
            <w:r>
              <w:rPr>
                <w:spacing w:val="3"/>
              </w:rPr>
              <w:t>（C40）</w:t>
            </w:r>
          </w:p>
          <w:p w14:paraId="3004297A">
            <w:pPr>
              <w:pStyle w:val="14"/>
              <w:tabs>
                <w:tab w:val="left" w:pos="525"/>
              </w:tabs>
              <w:spacing w:line="230" w:lineRule="auto"/>
              <w:ind w:left="105"/>
            </w:pPr>
            <w:r>
              <w:rPr>
                <w:u w:val="single" w:color="auto"/>
              </w:rPr>
              <w:tab/>
            </w:r>
            <w:r>
              <w:rPr>
                <w:spacing w:val="-83"/>
              </w:rPr>
              <w:t xml:space="preserve"> </w:t>
            </w:r>
            <w:r>
              <w:rPr>
                <w:spacing w:val="4"/>
              </w:rPr>
              <w:t>t/m</w:t>
            </w:r>
            <w:r>
              <w:rPr>
                <w:spacing w:val="4"/>
                <w:position w:val="10"/>
                <w:sz w:val="10"/>
                <w:szCs w:val="10"/>
              </w:rPr>
              <w:t>3</w:t>
            </w:r>
            <w:r>
              <w:rPr>
                <w:spacing w:val="4"/>
              </w:rPr>
              <w:t>（C50</w:t>
            </w:r>
            <w:r>
              <w:rPr>
                <w:spacing w:val="-41"/>
              </w:rPr>
              <w:t xml:space="preserve"> </w:t>
            </w:r>
            <w:r>
              <w:rPr>
                <w:spacing w:val="4"/>
              </w:rPr>
              <w:t>及以上）</w:t>
            </w:r>
          </w:p>
        </w:tc>
      </w:tr>
      <w:tr w14:paraId="05584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40" w:type="dxa"/>
            <w:vAlign w:val="top"/>
          </w:tcPr>
          <w:p w14:paraId="31BA2574">
            <w:pPr>
              <w:pStyle w:val="14"/>
              <w:spacing w:before="181" w:line="228" w:lineRule="auto"/>
              <w:ind w:left="763"/>
            </w:pPr>
            <w:r>
              <w:rPr>
                <w:spacing w:val="5"/>
              </w:rPr>
              <w:t>钢筋</w:t>
            </w:r>
          </w:p>
        </w:tc>
        <w:tc>
          <w:tcPr>
            <w:tcW w:w="2703" w:type="dxa"/>
            <w:vAlign w:val="top"/>
          </w:tcPr>
          <w:p w14:paraId="3A4FA241">
            <w:pPr>
              <w:pStyle w:val="14"/>
              <w:spacing w:before="47" w:line="228" w:lineRule="auto"/>
              <w:ind w:left="205"/>
            </w:pPr>
            <w:r>
              <w:rPr>
                <w:spacing w:val="8"/>
              </w:rPr>
              <w:t>实体工程中所有钢筋的清</w:t>
            </w:r>
          </w:p>
          <w:p w14:paraId="25D7080A">
            <w:pPr>
              <w:pStyle w:val="14"/>
              <w:spacing w:before="24" w:line="225" w:lineRule="auto"/>
              <w:ind w:left="1042"/>
            </w:pPr>
            <w:r>
              <w:rPr>
                <w:spacing w:val="6"/>
              </w:rPr>
              <w:t>单子目</w:t>
            </w:r>
          </w:p>
        </w:tc>
        <w:tc>
          <w:tcPr>
            <w:tcW w:w="2001" w:type="dxa"/>
            <w:vAlign w:val="top"/>
          </w:tcPr>
          <w:p w14:paraId="6B81656F">
            <w:pPr>
              <w:pStyle w:val="14"/>
              <w:spacing w:before="181" w:line="228" w:lineRule="auto"/>
              <w:ind w:left="795"/>
            </w:pPr>
            <w:r>
              <w:rPr>
                <w:spacing w:val="5"/>
              </w:rPr>
              <w:t>钢筋</w:t>
            </w:r>
          </w:p>
        </w:tc>
        <w:tc>
          <w:tcPr>
            <w:tcW w:w="2642" w:type="dxa"/>
            <w:vAlign w:val="top"/>
          </w:tcPr>
          <w:p w14:paraId="2503A884">
            <w:pPr>
              <w:pStyle w:val="14"/>
              <w:tabs>
                <w:tab w:val="left" w:pos="525"/>
              </w:tabs>
              <w:spacing w:before="48" w:line="237" w:lineRule="auto"/>
              <w:ind w:left="115" w:right="116" w:hanging="10"/>
            </w:pPr>
            <w:r>
              <w:rPr>
                <w:u w:val="single" w:color="auto"/>
              </w:rPr>
              <w:tab/>
            </w:r>
            <w:r>
              <w:rPr>
                <w:u w:val="single" w:color="auto"/>
              </w:rPr>
              <w:tab/>
            </w:r>
            <w:r>
              <w:rPr>
                <w:spacing w:val="-83"/>
              </w:rPr>
              <w:t xml:space="preserve"> </w:t>
            </w:r>
            <w:r>
              <w:rPr>
                <w:spacing w:val="7"/>
              </w:rPr>
              <w:t>t/t（各钢筋清单子目取此同一单位用量）</w:t>
            </w:r>
          </w:p>
        </w:tc>
      </w:tr>
      <w:tr w14:paraId="6D0A8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940" w:type="dxa"/>
            <w:vAlign w:val="top"/>
          </w:tcPr>
          <w:p w14:paraId="49C0F9C0">
            <w:pPr>
              <w:pStyle w:val="14"/>
              <w:spacing w:before="183" w:line="228" w:lineRule="auto"/>
              <w:ind w:left="658"/>
            </w:pPr>
            <w:r>
              <w:rPr>
                <w:spacing w:val="7"/>
              </w:rPr>
              <w:t>钢绞线</w:t>
            </w:r>
          </w:p>
        </w:tc>
        <w:tc>
          <w:tcPr>
            <w:tcW w:w="2703" w:type="dxa"/>
            <w:vAlign w:val="top"/>
          </w:tcPr>
          <w:p w14:paraId="20D1B626">
            <w:pPr>
              <w:pStyle w:val="14"/>
              <w:spacing w:before="47" w:line="237" w:lineRule="auto"/>
              <w:ind w:left="934" w:right="196" w:hanging="729"/>
            </w:pPr>
            <w:r>
              <w:rPr>
                <w:spacing w:val="8"/>
              </w:rPr>
              <w:t>实体工程中所有钢绞线的</w:t>
            </w:r>
            <w:r>
              <w:rPr>
                <w:spacing w:val="7"/>
              </w:rPr>
              <w:t>清单子目</w:t>
            </w:r>
          </w:p>
        </w:tc>
        <w:tc>
          <w:tcPr>
            <w:tcW w:w="2001" w:type="dxa"/>
            <w:vAlign w:val="top"/>
          </w:tcPr>
          <w:p w14:paraId="746A315A">
            <w:pPr>
              <w:pStyle w:val="14"/>
              <w:spacing w:before="183" w:line="228" w:lineRule="auto"/>
              <w:ind w:left="690"/>
            </w:pPr>
            <w:r>
              <w:rPr>
                <w:spacing w:val="7"/>
              </w:rPr>
              <w:t>钢绞线</w:t>
            </w:r>
          </w:p>
        </w:tc>
        <w:tc>
          <w:tcPr>
            <w:tcW w:w="2642" w:type="dxa"/>
            <w:vAlign w:val="top"/>
          </w:tcPr>
          <w:p w14:paraId="0106CF92">
            <w:pPr>
              <w:pStyle w:val="14"/>
              <w:tabs>
                <w:tab w:val="left" w:pos="525"/>
              </w:tabs>
              <w:spacing w:before="47" w:line="237" w:lineRule="auto"/>
              <w:ind w:left="153" w:right="116" w:hanging="48"/>
            </w:pPr>
            <w:r>
              <w:rPr>
                <w:u w:val="single" w:color="auto"/>
              </w:rPr>
              <w:tab/>
            </w:r>
            <w:r>
              <w:rPr>
                <w:u w:val="single" w:color="auto"/>
              </w:rPr>
              <w:tab/>
            </w:r>
            <w:r>
              <w:rPr>
                <w:spacing w:val="-83"/>
              </w:rPr>
              <w:t xml:space="preserve"> </w:t>
            </w:r>
            <w:r>
              <w:rPr>
                <w:spacing w:val="7"/>
              </w:rPr>
              <w:t>t/t（各钢绞线清单子</w:t>
            </w:r>
            <w:r>
              <w:rPr>
                <w:spacing w:val="4"/>
              </w:rPr>
              <w:t>目取此同一单位用量）</w:t>
            </w:r>
          </w:p>
        </w:tc>
      </w:tr>
      <w:tr w14:paraId="44A73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940" w:type="dxa"/>
            <w:vAlign w:val="top"/>
          </w:tcPr>
          <w:p w14:paraId="27D42A05">
            <w:pPr>
              <w:pStyle w:val="14"/>
              <w:spacing w:before="183" w:line="228" w:lineRule="auto"/>
              <w:ind w:left="765"/>
            </w:pPr>
            <w:r>
              <w:rPr>
                <w:spacing w:val="4"/>
              </w:rPr>
              <w:t>柴油</w:t>
            </w:r>
          </w:p>
        </w:tc>
        <w:tc>
          <w:tcPr>
            <w:tcW w:w="2703" w:type="dxa"/>
            <w:vAlign w:val="top"/>
          </w:tcPr>
          <w:p w14:paraId="3FE6CBC6">
            <w:pPr>
              <w:pStyle w:val="14"/>
              <w:spacing w:before="182" w:line="228" w:lineRule="auto"/>
              <w:ind w:left="519"/>
            </w:pPr>
            <w:r>
              <w:rPr>
                <w:spacing w:val="8"/>
              </w:rPr>
              <w:t>具体清单子目编号</w:t>
            </w:r>
          </w:p>
        </w:tc>
        <w:tc>
          <w:tcPr>
            <w:tcW w:w="2001" w:type="dxa"/>
            <w:vAlign w:val="top"/>
          </w:tcPr>
          <w:p w14:paraId="5799F866">
            <w:pPr>
              <w:pStyle w:val="14"/>
              <w:spacing w:before="183" w:line="228" w:lineRule="auto"/>
              <w:ind w:left="170"/>
            </w:pPr>
            <w:r>
              <w:rPr>
                <w:spacing w:val="8"/>
              </w:rPr>
              <w:t>具体清单项目名称</w:t>
            </w:r>
          </w:p>
        </w:tc>
        <w:tc>
          <w:tcPr>
            <w:tcW w:w="2642" w:type="dxa"/>
            <w:vAlign w:val="top"/>
          </w:tcPr>
          <w:p w14:paraId="53AA71ED">
            <w:pPr>
              <w:pStyle w:val="14"/>
              <w:spacing w:before="183" w:line="222" w:lineRule="auto"/>
              <w:ind w:left="112"/>
            </w:pPr>
            <w:r>
              <w:t>kg</w:t>
            </w:r>
            <w:r>
              <w:rPr>
                <w:spacing w:val="5"/>
              </w:rPr>
              <w:t>/m3</w:t>
            </w:r>
          </w:p>
        </w:tc>
      </w:tr>
      <w:tr w14:paraId="11182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940" w:type="dxa"/>
            <w:vAlign w:val="top"/>
          </w:tcPr>
          <w:p w14:paraId="6FCA2317">
            <w:pPr>
              <w:spacing w:line="269" w:lineRule="auto"/>
              <w:rPr>
                <w:rFonts w:ascii="Arial"/>
                <w:sz w:val="21"/>
              </w:rPr>
            </w:pPr>
          </w:p>
          <w:p w14:paraId="3D2B5EE0">
            <w:pPr>
              <w:pStyle w:val="14"/>
              <w:spacing w:before="65" w:line="84" w:lineRule="exact"/>
              <w:ind w:left="823"/>
            </w:pPr>
            <w:r>
              <w:rPr>
                <w:spacing w:val="3"/>
                <w:position w:val="1"/>
              </w:rPr>
              <w:t>...</w:t>
            </w:r>
          </w:p>
        </w:tc>
        <w:tc>
          <w:tcPr>
            <w:tcW w:w="2703" w:type="dxa"/>
            <w:vAlign w:val="top"/>
          </w:tcPr>
          <w:p w14:paraId="39B24DCE">
            <w:pPr>
              <w:rPr>
                <w:rFonts w:ascii="Arial"/>
                <w:sz w:val="21"/>
              </w:rPr>
            </w:pPr>
          </w:p>
        </w:tc>
        <w:tc>
          <w:tcPr>
            <w:tcW w:w="2001" w:type="dxa"/>
            <w:vAlign w:val="top"/>
          </w:tcPr>
          <w:p w14:paraId="66D4F694">
            <w:pPr>
              <w:rPr>
                <w:rFonts w:ascii="Arial"/>
                <w:sz w:val="21"/>
              </w:rPr>
            </w:pPr>
          </w:p>
        </w:tc>
        <w:tc>
          <w:tcPr>
            <w:tcW w:w="2642" w:type="dxa"/>
            <w:vAlign w:val="top"/>
          </w:tcPr>
          <w:p w14:paraId="0F253C0E">
            <w:pPr>
              <w:rPr>
                <w:rFonts w:ascii="Arial"/>
                <w:sz w:val="21"/>
              </w:rPr>
            </w:pPr>
          </w:p>
        </w:tc>
      </w:tr>
    </w:tbl>
    <w:p w14:paraId="6B4D8A65">
      <w:pPr>
        <w:spacing w:line="422" w:lineRule="auto"/>
        <w:rPr>
          <w:rFonts w:ascii="Arial"/>
          <w:sz w:val="21"/>
        </w:rPr>
      </w:pPr>
    </w:p>
    <w:p w14:paraId="28C2350A">
      <w:pPr>
        <w:spacing w:before="78" w:line="218" w:lineRule="auto"/>
        <w:ind w:left="618"/>
        <w:rPr>
          <w:rFonts w:ascii="宋体" w:hAnsi="宋体" w:eastAsia="宋体" w:cs="宋体"/>
          <w:sz w:val="24"/>
          <w:szCs w:val="24"/>
        </w:rPr>
      </w:pPr>
      <w:r>
        <w:rPr>
          <w:rFonts w:ascii="宋体" w:hAnsi="宋体" w:eastAsia="宋体" w:cs="宋体"/>
          <w:spacing w:val="-2"/>
          <w:sz w:val="24"/>
          <w:szCs w:val="24"/>
        </w:rPr>
        <w:t>16.1.3 实际采购价格法</w:t>
      </w:r>
    </w:p>
    <w:p w14:paraId="11C34C66">
      <w:pPr>
        <w:spacing w:before="182" w:line="359" w:lineRule="auto"/>
        <w:ind w:left="168" w:right="52" w:firstLine="480"/>
        <w:rPr>
          <w:rFonts w:ascii="宋体" w:hAnsi="宋体" w:eastAsia="宋体" w:cs="宋体"/>
          <w:sz w:val="24"/>
          <w:szCs w:val="24"/>
        </w:rPr>
      </w:pPr>
      <w:r>
        <w:rPr>
          <w:rFonts w:ascii="宋体" w:hAnsi="宋体" w:eastAsia="宋体" w:cs="宋体"/>
          <w:spacing w:val="-14"/>
          <w:sz w:val="24"/>
          <w:szCs w:val="24"/>
        </w:rPr>
        <w:t>ΔC= ( ΔP-Po×r）</w:t>
      </w:r>
      <w:r>
        <w:rPr>
          <w:rFonts w:ascii="宋体" w:hAnsi="宋体" w:eastAsia="宋体" w:cs="宋体"/>
          <w:spacing w:val="-75"/>
          <w:sz w:val="24"/>
          <w:szCs w:val="24"/>
        </w:rPr>
        <w:t xml:space="preserve"> </w:t>
      </w:r>
      <w:r>
        <w:rPr>
          <w:rFonts w:ascii="宋体" w:hAnsi="宋体" w:eastAsia="宋体" w:cs="宋体"/>
          <w:spacing w:val="-14"/>
          <w:sz w:val="24"/>
          <w:szCs w:val="24"/>
        </w:rPr>
        <w:t>×Q×（1+D</w:t>
      </w:r>
      <w:r>
        <w:rPr>
          <w:rFonts w:ascii="宋体" w:hAnsi="宋体" w:eastAsia="宋体" w:cs="宋体"/>
          <w:spacing w:val="6"/>
          <w:sz w:val="24"/>
          <w:szCs w:val="24"/>
        </w:rPr>
        <w:t>），</w:t>
      </w:r>
      <w:r>
        <w:rPr>
          <w:rFonts w:ascii="宋体" w:hAnsi="宋体" w:eastAsia="宋体" w:cs="宋体"/>
          <w:spacing w:val="-14"/>
          <w:sz w:val="24"/>
          <w:szCs w:val="24"/>
        </w:rPr>
        <w:t>其中 |</w:t>
      </w:r>
      <w:r>
        <w:rPr>
          <w:rFonts w:ascii="宋体" w:hAnsi="宋体" w:eastAsia="宋体" w:cs="宋体"/>
          <w:spacing w:val="51"/>
          <w:sz w:val="24"/>
          <w:szCs w:val="24"/>
        </w:rPr>
        <w:t xml:space="preserve"> </w:t>
      </w:r>
      <w:r>
        <w:rPr>
          <w:rFonts w:ascii="宋体" w:hAnsi="宋体" w:eastAsia="宋体" w:cs="宋体"/>
          <w:spacing w:val="-14"/>
          <w:sz w:val="24"/>
          <w:szCs w:val="24"/>
        </w:rPr>
        <w:t>ΔP</w:t>
      </w:r>
      <w:r>
        <w:rPr>
          <w:rFonts w:ascii="宋体" w:hAnsi="宋体" w:eastAsia="宋体" w:cs="宋体"/>
          <w:spacing w:val="6"/>
          <w:sz w:val="24"/>
          <w:szCs w:val="24"/>
        </w:rPr>
        <w:t>｜＞｜</w:t>
      </w:r>
      <w:r>
        <w:rPr>
          <w:rFonts w:ascii="宋体" w:hAnsi="宋体" w:eastAsia="宋体" w:cs="宋体"/>
          <w:spacing w:val="-14"/>
          <w:sz w:val="24"/>
          <w:szCs w:val="24"/>
        </w:rPr>
        <w:t>Po×r |  ΔP＝Pa－Po，式中：</w:t>
      </w:r>
      <w:r>
        <w:rPr>
          <w:rFonts w:ascii="宋体" w:hAnsi="宋体" w:eastAsia="宋体" w:cs="宋体"/>
          <w:sz w:val="24"/>
          <w:szCs w:val="24"/>
        </w:rPr>
        <w:t xml:space="preserve"> </w:t>
      </w:r>
      <w:r>
        <w:rPr>
          <w:rFonts w:ascii="宋体" w:hAnsi="宋体" w:eastAsia="宋体" w:cs="宋体"/>
          <w:spacing w:val="-10"/>
          <w:sz w:val="24"/>
          <w:szCs w:val="24"/>
        </w:rPr>
        <w:t>ΔC、</w:t>
      </w:r>
      <w:r>
        <w:rPr>
          <w:rFonts w:ascii="宋体" w:hAnsi="宋体" w:eastAsia="宋体" w:cs="宋体"/>
          <w:spacing w:val="-49"/>
          <w:sz w:val="24"/>
          <w:szCs w:val="24"/>
        </w:rPr>
        <w:t xml:space="preserve"> </w:t>
      </w:r>
      <w:r>
        <w:rPr>
          <w:rFonts w:ascii="宋体" w:hAnsi="宋体" w:eastAsia="宋体" w:cs="宋体"/>
          <w:spacing w:val="-10"/>
          <w:sz w:val="24"/>
          <w:szCs w:val="24"/>
        </w:rPr>
        <w:t>ΔP、Q、r、D</w:t>
      </w:r>
      <w:r>
        <w:rPr>
          <w:rFonts w:ascii="宋体" w:hAnsi="宋体" w:eastAsia="宋体" w:cs="宋体"/>
          <w:spacing w:val="-27"/>
          <w:sz w:val="24"/>
          <w:szCs w:val="24"/>
        </w:rPr>
        <w:t xml:space="preserve"> </w:t>
      </w:r>
      <w:r>
        <w:rPr>
          <w:rFonts w:ascii="宋体" w:hAnsi="宋体" w:eastAsia="宋体" w:cs="宋体"/>
          <w:spacing w:val="-10"/>
          <w:sz w:val="24"/>
          <w:szCs w:val="24"/>
        </w:rPr>
        <w:t>同</w:t>
      </w:r>
      <w:r>
        <w:rPr>
          <w:rFonts w:ascii="宋体" w:hAnsi="宋体" w:eastAsia="宋体" w:cs="宋体"/>
          <w:spacing w:val="-33"/>
          <w:sz w:val="24"/>
          <w:szCs w:val="24"/>
        </w:rPr>
        <w:t xml:space="preserve"> </w:t>
      </w:r>
      <w:r>
        <w:rPr>
          <w:rFonts w:ascii="宋体" w:hAnsi="宋体" w:eastAsia="宋体" w:cs="宋体"/>
          <w:spacing w:val="-10"/>
          <w:sz w:val="24"/>
          <w:szCs w:val="24"/>
        </w:rPr>
        <w:t>16.1.2</w:t>
      </w:r>
      <w:r>
        <w:rPr>
          <w:rFonts w:ascii="宋体" w:hAnsi="宋体" w:eastAsia="宋体" w:cs="宋体"/>
          <w:spacing w:val="-50"/>
          <w:sz w:val="24"/>
          <w:szCs w:val="24"/>
        </w:rPr>
        <w:t xml:space="preserve"> </w:t>
      </w:r>
      <w:r>
        <w:rPr>
          <w:rFonts w:ascii="宋体" w:hAnsi="宋体" w:eastAsia="宋体" w:cs="宋体"/>
          <w:spacing w:val="-10"/>
          <w:sz w:val="24"/>
          <w:szCs w:val="24"/>
        </w:rPr>
        <w:t>款。</w:t>
      </w:r>
    </w:p>
    <w:p w14:paraId="79CF24F8">
      <w:pPr>
        <w:spacing w:before="1" w:line="361" w:lineRule="auto"/>
        <w:ind w:left="132" w:right="99" w:firstLine="464"/>
        <w:rPr>
          <w:rFonts w:ascii="宋体" w:hAnsi="宋体" w:eastAsia="宋体" w:cs="宋体"/>
          <w:sz w:val="24"/>
          <w:szCs w:val="24"/>
        </w:rPr>
      </w:pPr>
      <w:r>
        <w:pict>
          <v:shape id="_x0000_s1102" o:spid="_x0000_s1102" style="position:absolute;left:0pt;margin-left:5.6pt;margin-top:51.8pt;height:0pt;width:144pt;z-index:251668480;mso-width-relative:page;mso-height-relative:page;" filled="f" stroked="t" coordsize="2880,0" path="m0,0l2880,0e">
            <v:fill on="f" focussize="0,0"/>
            <v:stroke weight="0pt" color="#000000" miterlimit="0" joinstyle="bevel" endcap="square"/>
            <v:imagedata o:title=""/>
            <o:lock v:ext="edit"/>
          </v:shape>
        </w:pict>
      </w:r>
      <w:r>
        <w:rPr>
          <w:rFonts w:ascii="宋体" w:hAnsi="宋体" w:eastAsia="宋体" w:cs="宋体"/>
          <w:spacing w:val="-2"/>
          <w:sz w:val="24"/>
          <w:szCs w:val="24"/>
        </w:rPr>
        <w:t>Po—基准价（不含税</w:t>
      </w:r>
      <w:r>
        <w:rPr>
          <w:rFonts w:ascii="宋体" w:hAnsi="宋体" w:eastAsia="宋体" w:cs="宋体"/>
          <w:spacing w:val="5"/>
          <w:sz w:val="24"/>
          <w:szCs w:val="24"/>
        </w:rPr>
        <w:t>），</w:t>
      </w:r>
      <w:r>
        <w:rPr>
          <w:rFonts w:ascii="宋体" w:hAnsi="宋体" w:eastAsia="宋体" w:cs="宋体"/>
          <w:spacing w:val="-2"/>
          <w:sz w:val="24"/>
          <w:szCs w:val="24"/>
        </w:rPr>
        <w:t>指项目招标时，建设单位（项目法人）确定最高投标限价</w:t>
      </w:r>
      <w:bookmarkStart w:id="57" w:name="bookmark206"/>
      <w:bookmarkEnd w:id="57"/>
      <w:r>
        <w:rPr>
          <w:rFonts w:ascii="宋体" w:hAnsi="宋体" w:eastAsia="宋体" w:cs="宋体"/>
          <w:spacing w:val="-2"/>
          <w:sz w:val="24"/>
          <w:szCs w:val="24"/>
        </w:rPr>
        <w:t>时采用的材料单价。建设单位（项目法人）应在招标文件中明确基准价（Po）的价格。</w:t>
      </w:r>
    </w:p>
    <w:p w14:paraId="5A71FFD9">
      <w:pPr>
        <w:spacing w:before="312" w:line="359" w:lineRule="auto"/>
        <w:ind w:left="10" w:right="61" w:firstLine="474"/>
        <w:rPr>
          <w:rFonts w:ascii="宋体" w:hAnsi="宋体" w:eastAsia="宋体" w:cs="宋体"/>
          <w:sz w:val="24"/>
          <w:szCs w:val="24"/>
        </w:rPr>
      </w:pPr>
      <w:bookmarkStart w:id="58" w:name="bookmark207"/>
      <w:bookmarkEnd w:id="58"/>
      <w:r>
        <w:rPr>
          <w:rFonts w:ascii="宋体" w:hAnsi="宋体" w:eastAsia="宋体" w:cs="宋体"/>
          <w:spacing w:val="-2"/>
          <w:sz w:val="24"/>
          <w:szCs w:val="24"/>
        </w:rPr>
        <w:br w:type="page"/>
      </w:r>
      <w:r>
        <w:rPr>
          <w:rFonts w:ascii="宋体" w:hAnsi="宋体" w:eastAsia="宋体" w:cs="宋体"/>
          <w:spacing w:val="-2"/>
          <w:sz w:val="24"/>
          <w:szCs w:val="24"/>
        </w:rPr>
        <w:t>Pa—采购价(不含税)，经建设单位（项目法人）、监理核实的，有相应的合法支撑</w:t>
      </w:r>
      <w:r>
        <w:rPr>
          <w:rFonts w:ascii="宋体" w:hAnsi="宋体" w:eastAsia="宋体" w:cs="宋体"/>
          <w:spacing w:val="-4"/>
          <w:sz w:val="24"/>
          <w:szCs w:val="24"/>
        </w:rPr>
        <w:t>依据的实际采购材料价格</w:t>
      </w:r>
      <w:r>
        <w:fldChar w:fldCharType="begin"/>
      </w:r>
      <w:r>
        <w:instrText xml:space="preserve"> HYPERLINK \l "bookmark208" </w:instrText>
      </w:r>
      <w:r>
        <w:fldChar w:fldCharType="separate"/>
      </w:r>
      <w:r>
        <w:rPr>
          <w:rFonts w:ascii="宋体" w:hAnsi="宋体" w:eastAsia="宋体" w:cs="宋体"/>
          <w:spacing w:val="-4"/>
          <w:position w:val="12"/>
          <w:sz w:val="12"/>
          <w:szCs w:val="12"/>
        </w:rPr>
        <w:t>①</w:t>
      </w:r>
      <w:r>
        <w:rPr>
          <w:rFonts w:ascii="宋体" w:hAnsi="宋体" w:eastAsia="宋体" w:cs="宋体"/>
          <w:spacing w:val="-4"/>
          <w:position w:val="12"/>
          <w:sz w:val="12"/>
          <w:szCs w:val="12"/>
        </w:rPr>
        <w:fldChar w:fldCharType="end"/>
      </w:r>
      <w:r>
        <w:rPr>
          <w:rFonts w:ascii="宋体" w:hAnsi="宋体" w:eastAsia="宋体" w:cs="宋体"/>
          <w:spacing w:val="-27"/>
          <w:position w:val="12"/>
          <w:sz w:val="12"/>
          <w:szCs w:val="12"/>
        </w:rPr>
        <w:t xml:space="preserve"> </w:t>
      </w:r>
      <w:r>
        <w:rPr>
          <w:rFonts w:ascii="宋体" w:hAnsi="宋体" w:eastAsia="宋体" w:cs="宋体"/>
          <w:spacing w:val="-4"/>
          <w:sz w:val="24"/>
          <w:szCs w:val="24"/>
        </w:rPr>
        <w:t>,</w:t>
      </w:r>
      <w:r>
        <w:rPr>
          <w:rFonts w:ascii="宋体" w:hAnsi="宋体" w:eastAsia="宋体" w:cs="宋体"/>
          <w:spacing w:val="66"/>
          <w:sz w:val="24"/>
          <w:szCs w:val="24"/>
        </w:rPr>
        <w:t xml:space="preserve"> </w:t>
      </w:r>
      <w:r>
        <w:rPr>
          <w:rFonts w:ascii="宋体" w:hAnsi="宋体" w:eastAsia="宋体" w:cs="宋体"/>
          <w:spacing w:val="-4"/>
          <w:sz w:val="24"/>
          <w:szCs w:val="24"/>
        </w:rPr>
        <w:t>分批采购时按权重取平均值计算。</w:t>
      </w:r>
    </w:p>
    <w:p w14:paraId="2AEE7CB0">
      <w:pPr>
        <w:spacing w:before="1" w:line="217" w:lineRule="auto"/>
        <w:ind w:left="487"/>
        <w:rPr>
          <w:rFonts w:ascii="宋体" w:hAnsi="宋体" w:eastAsia="宋体" w:cs="宋体"/>
          <w:sz w:val="24"/>
          <w:szCs w:val="24"/>
        </w:rPr>
      </w:pPr>
      <w:r>
        <w:rPr>
          <w:rFonts w:ascii="宋体" w:hAnsi="宋体" w:eastAsia="宋体" w:cs="宋体"/>
          <w:spacing w:val="-3"/>
          <w:sz w:val="24"/>
          <w:szCs w:val="24"/>
        </w:rPr>
        <w:t>采用实际采购价格法调整材料价差的其他约定，同</w:t>
      </w:r>
      <w:r>
        <w:rPr>
          <w:rFonts w:ascii="宋体" w:hAnsi="宋体" w:eastAsia="宋体" w:cs="宋体"/>
          <w:spacing w:val="-31"/>
          <w:sz w:val="24"/>
          <w:szCs w:val="24"/>
        </w:rPr>
        <w:t xml:space="preserve"> </w:t>
      </w:r>
      <w:r>
        <w:rPr>
          <w:rFonts w:ascii="宋体" w:hAnsi="宋体" w:eastAsia="宋体" w:cs="宋体"/>
          <w:spacing w:val="-3"/>
          <w:sz w:val="24"/>
          <w:szCs w:val="24"/>
        </w:rPr>
        <w:t>16.1.2.2 目。</w:t>
      </w:r>
    </w:p>
    <w:p w14:paraId="2F48C35E">
      <w:pPr>
        <w:spacing w:before="182" w:line="220" w:lineRule="auto"/>
        <w:ind w:left="506"/>
        <w:rPr>
          <w:rFonts w:ascii="宋体" w:hAnsi="宋体" w:eastAsia="宋体" w:cs="宋体"/>
          <w:sz w:val="24"/>
          <w:szCs w:val="24"/>
        </w:rPr>
      </w:pPr>
      <w:r>
        <w:rPr>
          <w:rFonts w:ascii="宋体" w:hAnsi="宋体" w:eastAsia="宋体" w:cs="宋体"/>
          <w:spacing w:val="-4"/>
          <w:sz w:val="24"/>
          <w:szCs w:val="24"/>
        </w:rPr>
        <w:t>16.1.4</w:t>
      </w:r>
      <w:r>
        <w:rPr>
          <w:rFonts w:ascii="宋体" w:hAnsi="宋体" w:eastAsia="宋体" w:cs="宋体"/>
          <w:spacing w:val="-49"/>
          <w:sz w:val="24"/>
          <w:szCs w:val="24"/>
        </w:rPr>
        <w:t xml:space="preserve"> </w:t>
      </w:r>
      <w:r>
        <w:rPr>
          <w:rFonts w:ascii="宋体" w:hAnsi="宋体" w:eastAsia="宋体" w:cs="宋体"/>
          <w:spacing w:val="-4"/>
          <w:sz w:val="24"/>
          <w:szCs w:val="24"/>
        </w:rPr>
        <w:t>税费增减</w:t>
      </w:r>
    </w:p>
    <w:p w14:paraId="41C3D7C8">
      <w:pPr>
        <w:spacing w:before="182" w:line="359" w:lineRule="auto"/>
        <w:ind w:left="8" w:right="61" w:firstLine="509"/>
        <w:rPr>
          <w:rFonts w:ascii="宋体" w:hAnsi="宋体" w:eastAsia="宋体" w:cs="宋体"/>
          <w:sz w:val="24"/>
          <w:szCs w:val="24"/>
        </w:rPr>
      </w:pPr>
      <w:r>
        <w:rPr>
          <w:rFonts w:ascii="宋体" w:hAnsi="宋体" w:eastAsia="宋体" w:cs="宋体"/>
          <w:spacing w:val="-3"/>
          <w:sz w:val="24"/>
          <w:szCs w:val="24"/>
        </w:rPr>
        <w:t>由材料价差调整所产生的材料采购增值税增减额由发包人承担，其他税费由承包人</w:t>
      </w:r>
      <w:r>
        <w:rPr>
          <w:rFonts w:ascii="宋体" w:hAnsi="宋体" w:eastAsia="宋体" w:cs="宋体"/>
          <w:spacing w:val="-4"/>
          <w:sz w:val="24"/>
          <w:szCs w:val="24"/>
        </w:rPr>
        <w:t>承担。</w:t>
      </w:r>
    </w:p>
    <w:p w14:paraId="4DCFDD05">
      <w:pPr>
        <w:spacing w:before="1" w:line="217" w:lineRule="auto"/>
        <w:ind w:left="506"/>
        <w:rPr>
          <w:rFonts w:ascii="宋体" w:hAnsi="宋体" w:eastAsia="宋体" w:cs="宋体"/>
          <w:sz w:val="24"/>
          <w:szCs w:val="24"/>
        </w:rPr>
      </w:pPr>
      <w:r>
        <w:rPr>
          <w:rFonts w:ascii="宋体" w:hAnsi="宋体" w:eastAsia="宋体" w:cs="宋体"/>
          <w:b/>
          <w:bCs/>
          <w:spacing w:val="-4"/>
          <w:sz w:val="24"/>
          <w:szCs w:val="24"/>
        </w:rPr>
        <w:t>16.2</w:t>
      </w:r>
      <w:r>
        <w:rPr>
          <w:rFonts w:ascii="宋体" w:hAnsi="宋体" w:eastAsia="宋体" w:cs="宋体"/>
          <w:spacing w:val="-4"/>
          <w:sz w:val="24"/>
          <w:szCs w:val="24"/>
        </w:rPr>
        <w:t xml:space="preserve"> </w:t>
      </w:r>
      <w:r>
        <w:rPr>
          <w:rFonts w:ascii="宋体" w:hAnsi="宋体" w:eastAsia="宋体" w:cs="宋体"/>
          <w:b/>
          <w:bCs/>
          <w:spacing w:val="-4"/>
          <w:sz w:val="24"/>
          <w:szCs w:val="24"/>
        </w:rPr>
        <w:t>法律变化引起的价格调整</w:t>
      </w:r>
    </w:p>
    <w:p w14:paraId="7DACD461">
      <w:pPr>
        <w:spacing w:before="181" w:line="219" w:lineRule="auto"/>
        <w:ind w:left="489"/>
        <w:rPr>
          <w:rFonts w:ascii="宋体" w:hAnsi="宋体" w:eastAsia="宋体" w:cs="宋体"/>
          <w:sz w:val="24"/>
          <w:szCs w:val="24"/>
        </w:rPr>
      </w:pPr>
      <w:r>
        <w:rPr>
          <w:rFonts w:ascii="宋体" w:hAnsi="宋体" w:eastAsia="宋体" w:cs="宋体"/>
          <w:spacing w:val="-2"/>
          <w:sz w:val="24"/>
          <w:szCs w:val="24"/>
        </w:rPr>
        <w:t>本款细化为：</w:t>
      </w:r>
    </w:p>
    <w:p w14:paraId="3F1BEB8D">
      <w:pPr>
        <w:spacing w:before="184" w:line="359" w:lineRule="auto"/>
        <w:ind w:left="6" w:right="61" w:firstLine="493"/>
        <w:rPr>
          <w:rFonts w:ascii="宋体" w:hAnsi="宋体" w:eastAsia="宋体" w:cs="宋体"/>
          <w:sz w:val="24"/>
          <w:szCs w:val="24"/>
        </w:rPr>
      </w:pPr>
      <w:r>
        <w:rPr>
          <w:rFonts w:ascii="宋体" w:hAnsi="宋体" w:eastAsia="宋体" w:cs="宋体"/>
          <w:spacing w:val="-3"/>
          <w:sz w:val="24"/>
          <w:szCs w:val="24"/>
        </w:rPr>
        <w:t>（1）除合同另有约定外，如果在投标文件递交截止日</w:t>
      </w:r>
      <w:r>
        <w:rPr>
          <w:rFonts w:ascii="宋体" w:hAnsi="宋体" w:eastAsia="宋体" w:cs="宋体"/>
          <w:spacing w:val="-38"/>
          <w:sz w:val="24"/>
          <w:szCs w:val="24"/>
        </w:rPr>
        <w:t xml:space="preserve"> </w:t>
      </w:r>
      <w:r>
        <w:rPr>
          <w:rFonts w:ascii="宋体" w:hAnsi="宋体" w:eastAsia="宋体" w:cs="宋体"/>
          <w:spacing w:val="-3"/>
          <w:sz w:val="24"/>
          <w:szCs w:val="24"/>
        </w:rPr>
        <w:t>28</w:t>
      </w:r>
      <w:r>
        <w:rPr>
          <w:rFonts w:ascii="宋体" w:hAnsi="宋体" w:eastAsia="宋体" w:cs="宋体"/>
          <w:spacing w:val="-46"/>
          <w:sz w:val="24"/>
          <w:szCs w:val="24"/>
        </w:rPr>
        <w:t xml:space="preserve"> </w:t>
      </w:r>
      <w:r>
        <w:rPr>
          <w:rFonts w:ascii="宋体" w:hAnsi="宋体" w:eastAsia="宋体" w:cs="宋体"/>
          <w:spacing w:val="-3"/>
          <w:sz w:val="24"/>
          <w:szCs w:val="24"/>
        </w:rPr>
        <w:t>天之后，国家或省颁布的</w:t>
      </w:r>
      <w:r>
        <w:rPr>
          <w:rFonts w:ascii="宋体" w:hAnsi="宋体" w:eastAsia="宋体" w:cs="宋体"/>
          <w:spacing w:val="-4"/>
          <w:sz w:val="24"/>
          <w:szCs w:val="24"/>
        </w:rPr>
        <w:t>法律、法规出现修改或变更，因采用上述法律、法规使承包人在履行合同中发生第</w:t>
      </w:r>
      <w:r>
        <w:rPr>
          <w:rFonts w:ascii="宋体" w:hAnsi="宋体" w:eastAsia="宋体" w:cs="宋体"/>
          <w:spacing w:val="-22"/>
          <w:sz w:val="24"/>
          <w:szCs w:val="24"/>
        </w:rPr>
        <w:t xml:space="preserve"> </w:t>
      </w:r>
      <w:r>
        <w:rPr>
          <w:rFonts w:ascii="宋体" w:hAnsi="宋体" w:eastAsia="宋体" w:cs="宋体"/>
          <w:spacing w:val="-4"/>
          <w:sz w:val="24"/>
          <w:szCs w:val="24"/>
        </w:rPr>
        <w:t>16.1</w:t>
      </w:r>
      <w:r>
        <w:rPr>
          <w:rFonts w:ascii="宋体" w:hAnsi="宋体" w:eastAsia="宋体" w:cs="宋体"/>
          <w:spacing w:val="-2"/>
          <w:sz w:val="24"/>
          <w:szCs w:val="24"/>
        </w:rPr>
        <w:t>款规定的价格调整以外的费用增加或减少的，相关增减费用由监理人与承包人协商后，</w:t>
      </w:r>
      <w:r>
        <w:rPr>
          <w:rFonts w:ascii="宋体" w:hAnsi="宋体" w:eastAsia="宋体" w:cs="宋体"/>
          <w:spacing w:val="-1"/>
          <w:sz w:val="24"/>
          <w:szCs w:val="24"/>
        </w:rPr>
        <w:t>报发包人审核审批。</w:t>
      </w:r>
    </w:p>
    <w:p w14:paraId="2D325D04">
      <w:pPr>
        <w:spacing w:before="1" w:line="359" w:lineRule="auto"/>
        <w:ind w:left="10" w:right="61" w:firstLine="489"/>
        <w:rPr>
          <w:rFonts w:ascii="宋体" w:hAnsi="宋体" w:eastAsia="宋体" w:cs="宋体"/>
          <w:sz w:val="24"/>
          <w:szCs w:val="24"/>
        </w:rPr>
      </w:pPr>
      <w:r>
        <w:rPr>
          <w:rFonts w:ascii="宋体" w:hAnsi="宋体" w:eastAsia="宋体" w:cs="宋体"/>
          <w:spacing w:val="-1"/>
          <w:sz w:val="24"/>
          <w:szCs w:val="24"/>
        </w:rPr>
        <w:t>（2）在工程实施过程中，所引用的国家标准和规范如果有修改或新颁，应由发包</w:t>
      </w:r>
      <w:r>
        <w:rPr>
          <w:rFonts w:ascii="宋体" w:hAnsi="宋体" w:eastAsia="宋体" w:cs="宋体"/>
          <w:spacing w:val="-2"/>
          <w:sz w:val="24"/>
          <w:szCs w:val="24"/>
        </w:rPr>
        <w:t>人决定是否采用新标准或新规范，承包人应在监理人的监督下按发包人的决定执行。采</w:t>
      </w:r>
      <w:r>
        <w:rPr>
          <w:rFonts w:ascii="宋体" w:hAnsi="宋体" w:eastAsia="宋体" w:cs="宋体"/>
          <w:sz w:val="24"/>
          <w:szCs w:val="24"/>
        </w:rPr>
        <w:t>用新标准、新规范（相对于招标文件）所增</w:t>
      </w:r>
      <w:r>
        <w:rPr>
          <w:rFonts w:ascii="宋体" w:hAnsi="宋体" w:eastAsia="宋体" w:cs="宋体"/>
          <w:spacing w:val="-1"/>
          <w:sz w:val="24"/>
          <w:szCs w:val="24"/>
        </w:rPr>
        <w:t>加的相应费用由发包人承担。</w:t>
      </w:r>
    </w:p>
    <w:p w14:paraId="22D90A27">
      <w:pPr>
        <w:spacing w:before="3" w:line="358" w:lineRule="auto"/>
        <w:ind w:left="9" w:firstLine="490"/>
        <w:rPr>
          <w:rFonts w:ascii="宋体" w:hAnsi="宋体" w:eastAsia="宋体" w:cs="宋体"/>
          <w:sz w:val="24"/>
          <w:szCs w:val="24"/>
        </w:rPr>
      </w:pPr>
      <w:r>
        <w:rPr>
          <w:rFonts w:ascii="宋体" w:hAnsi="宋体" w:eastAsia="宋体" w:cs="宋体"/>
          <w:spacing w:val="-1"/>
          <w:sz w:val="24"/>
          <w:szCs w:val="24"/>
        </w:rPr>
        <w:t>（3）合同执行期间，如发生税务政策调整，则执行新的税务政策，按以下公式调</w:t>
      </w:r>
      <w:r>
        <w:rPr>
          <w:rFonts w:ascii="宋体" w:hAnsi="宋体" w:eastAsia="宋体" w:cs="宋体"/>
          <w:spacing w:val="-7"/>
          <w:sz w:val="24"/>
          <w:szCs w:val="24"/>
        </w:rPr>
        <w:t>整剩余合同价款，并签订补充协议。调整后合同价=原合同价/(1+</w:t>
      </w:r>
      <w:r>
        <w:rPr>
          <w:rFonts w:ascii="宋体" w:hAnsi="宋体" w:eastAsia="宋体" w:cs="宋体"/>
          <w:spacing w:val="-8"/>
          <w:sz w:val="24"/>
          <w:szCs w:val="24"/>
        </w:rPr>
        <w:t>原税率）*（1+新税率</w:t>
      </w:r>
      <w:r>
        <w:rPr>
          <w:rFonts w:ascii="宋体" w:hAnsi="宋体" w:eastAsia="宋体" w:cs="宋体"/>
          <w:spacing w:val="-53"/>
          <w:w w:val="85"/>
          <w:sz w:val="24"/>
          <w:szCs w:val="24"/>
        </w:rPr>
        <w:t>），</w:t>
      </w:r>
      <w:r>
        <w:rPr>
          <w:rFonts w:ascii="宋体" w:hAnsi="宋体" w:eastAsia="宋体" w:cs="宋体"/>
          <w:sz w:val="24"/>
          <w:szCs w:val="24"/>
        </w:rPr>
        <w:t>因承包人提供发票不及时或有误导致工程款不能</w:t>
      </w:r>
      <w:r>
        <w:rPr>
          <w:rFonts w:ascii="宋体" w:hAnsi="宋体" w:eastAsia="宋体" w:cs="宋体"/>
          <w:spacing w:val="-1"/>
          <w:sz w:val="24"/>
          <w:szCs w:val="24"/>
        </w:rPr>
        <w:t>支付的责任由承包人承担。</w:t>
      </w:r>
    </w:p>
    <w:p w14:paraId="16AFEDAD">
      <w:pPr>
        <w:spacing w:before="1" w:line="218" w:lineRule="auto"/>
        <w:ind w:left="489"/>
        <w:rPr>
          <w:rFonts w:ascii="宋体" w:hAnsi="宋体" w:eastAsia="宋体" w:cs="宋体"/>
          <w:sz w:val="24"/>
          <w:szCs w:val="24"/>
        </w:rPr>
      </w:pPr>
      <w:r>
        <w:rPr>
          <w:rFonts w:ascii="宋体" w:hAnsi="宋体" w:eastAsia="宋体" w:cs="宋体"/>
          <w:spacing w:val="-5"/>
          <w:sz w:val="24"/>
          <w:szCs w:val="24"/>
        </w:rPr>
        <w:t>本条补充第</w:t>
      </w:r>
      <w:r>
        <w:rPr>
          <w:rFonts w:ascii="宋体" w:hAnsi="宋体" w:eastAsia="宋体" w:cs="宋体"/>
          <w:spacing w:val="-32"/>
          <w:sz w:val="24"/>
          <w:szCs w:val="24"/>
        </w:rPr>
        <w:t xml:space="preserve"> </w:t>
      </w:r>
      <w:r>
        <w:rPr>
          <w:rFonts w:ascii="宋体" w:hAnsi="宋体" w:eastAsia="宋体" w:cs="宋体"/>
          <w:spacing w:val="-5"/>
          <w:sz w:val="24"/>
          <w:szCs w:val="24"/>
        </w:rPr>
        <w:t>16.3</w:t>
      </w:r>
      <w:r>
        <w:rPr>
          <w:rFonts w:ascii="宋体" w:hAnsi="宋体" w:eastAsia="宋体" w:cs="宋体"/>
          <w:spacing w:val="-50"/>
          <w:sz w:val="24"/>
          <w:szCs w:val="24"/>
        </w:rPr>
        <w:t xml:space="preserve"> </w:t>
      </w:r>
      <w:r>
        <w:rPr>
          <w:rFonts w:ascii="宋体" w:hAnsi="宋体" w:eastAsia="宋体" w:cs="宋体"/>
          <w:spacing w:val="-5"/>
          <w:sz w:val="24"/>
          <w:szCs w:val="24"/>
        </w:rPr>
        <w:t>款、第</w:t>
      </w:r>
      <w:r>
        <w:rPr>
          <w:rFonts w:ascii="宋体" w:hAnsi="宋体" w:eastAsia="宋体" w:cs="宋体"/>
          <w:spacing w:val="-33"/>
          <w:sz w:val="24"/>
          <w:szCs w:val="24"/>
        </w:rPr>
        <w:t xml:space="preserve"> </w:t>
      </w:r>
      <w:r>
        <w:rPr>
          <w:rFonts w:ascii="宋体" w:hAnsi="宋体" w:eastAsia="宋体" w:cs="宋体"/>
          <w:spacing w:val="-5"/>
          <w:sz w:val="24"/>
          <w:szCs w:val="24"/>
        </w:rPr>
        <w:t>16.4</w:t>
      </w:r>
      <w:r>
        <w:rPr>
          <w:rFonts w:ascii="宋体" w:hAnsi="宋体" w:eastAsia="宋体" w:cs="宋体"/>
          <w:spacing w:val="-49"/>
          <w:sz w:val="24"/>
          <w:szCs w:val="24"/>
        </w:rPr>
        <w:t xml:space="preserve"> </w:t>
      </w:r>
      <w:r>
        <w:rPr>
          <w:rFonts w:ascii="宋体" w:hAnsi="宋体" w:eastAsia="宋体" w:cs="宋体"/>
          <w:spacing w:val="-5"/>
          <w:sz w:val="24"/>
          <w:szCs w:val="24"/>
        </w:rPr>
        <w:t>款、第</w:t>
      </w:r>
      <w:r>
        <w:rPr>
          <w:rFonts w:ascii="宋体" w:hAnsi="宋体" w:eastAsia="宋体" w:cs="宋体"/>
          <w:spacing w:val="-33"/>
          <w:sz w:val="24"/>
          <w:szCs w:val="24"/>
        </w:rPr>
        <w:t xml:space="preserve"> </w:t>
      </w:r>
      <w:r>
        <w:rPr>
          <w:rFonts w:ascii="宋体" w:hAnsi="宋体" w:eastAsia="宋体" w:cs="宋体"/>
          <w:spacing w:val="-5"/>
          <w:sz w:val="24"/>
          <w:szCs w:val="24"/>
        </w:rPr>
        <w:t>16.5</w:t>
      </w:r>
      <w:r>
        <w:rPr>
          <w:rFonts w:ascii="宋体" w:hAnsi="宋体" w:eastAsia="宋体" w:cs="宋体"/>
          <w:spacing w:val="-50"/>
          <w:sz w:val="24"/>
          <w:szCs w:val="24"/>
        </w:rPr>
        <w:t xml:space="preserve"> </w:t>
      </w:r>
      <w:r>
        <w:rPr>
          <w:rFonts w:ascii="宋体" w:hAnsi="宋体" w:eastAsia="宋体" w:cs="宋体"/>
          <w:spacing w:val="-5"/>
          <w:sz w:val="24"/>
          <w:szCs w:val="24"/>
        </w:rPr>
        <w:t>款：</w:t>
      </w:r>
    </w:p>
    <w:p w14:paraId="46E4DAB4">
      <w:pPr>
        <w:spacing w:before="184" w:line="219" w:lineRule="auto"/>
        <w:ind w:left="506"/>
        <w:rPr>
          <w:rFonts w:ascii="宋体" w:hAnsi="宋体" w:eastAsia="宋体" w:cs="宋体"/>
          <w:sz w:val="24"/>
          <w:szCs w:val="24"/>
        </w:rPr>
      </w:pPr>
      <w:r>
        <w:rPr>
          <w:rFonts w:ascii="宋体" w:hAnsi="宋体" w:eastAsia="宋体" w:cs="宋体"/>
          <w:spacing w:val="-2"/>
          <w:sz w:val="24"/>
          <w:szCs w:val="24"/>
        </w:rPr>
        <w:t>16.3 执行国家和行业标准</w:t>
      </w:r>
    </w:p>
    <w:p w14:paraId="6D0DB4D4">
      <w:pPr>
        <w:spacing w:before="181" w:line="359" w:lineRule="auto"/>
        <w:ind w:left="10" w:right="61" w:firstLine="492"/>
        <w:rPr>
          <w:rFonts w:ascii="宋体" w:hAnsi="宋体" w:eastAsia="宋体" w:cs="宋体"/>
          <w:sz w:val="24"/>
          <w:szCs w:val="24"/>
        </w:rPr>
      </w:pPr>
      <w:r>
        <w:rPr>
          <w:rFonts w:ascii="宋体" w:hAnsi="宋体" w:eastAsia="宋体" w:cs="宋体"/>
          <w:spacing w:val="-2"/>
          <w:sz w:val="24"/>
          <w:szCs w:val="24"/>
        </w:rPr>
        <w:t>除非发包人和监理人专门批准，如果本工程技术规范和图纸标准低于</w:t>
      </w:r>
      <w:r>
        <w:rPr>
          <w:rFonts w:ascii="宋体" w:hAnsi="宋体" w:eastAsia="宋体" w:cs="宋体"/>
          <w:spacing w:val="-3"/>
          <w:sz w:val="24"/>
          <w:szCs w:val="24"/>
        </w:rPr>
        <w:t>国家和行业标</w:t>
      </w:r>
      <w:r>
        <w:rPr>
          <w:rFonts w:ascii="宋体" w:hAnsi="宋体" w:eastAsia="宋体" w:cs="宋体"/>
          <w:sz w:val="24"/>
          <w:szCs w:val="24"/>
        </w:rPr>
        <w:t>准，则应按国家和行业标准执行，承包人不能因此</w:t>
      </w:r>
      <w:r>
        <w:rPr>
          <w:rFonts w:ascii="宋体" w:hAnsi="宋体" w:eastAsia="宋体" w:cs="宋体"/>
          <w:spacing w:val="-1"/>
          <w:sz w:val="24"/>
          <w:szCs w:val="24"/>
        </w:rPr>
        <w:t>提出增加费用的要求和索赔。</w:t>
      </w:r>
    </w:p>
    <w:p w14:paraId="29C9193A">
      <w:pPr>
        <w:spacing w:before="1" w:line="217" w:lineRule="auto"/>
        <w:ind w:left="506"/>
        <w:rPr>
          <w:rFonts w:ascii="宋体" w:hAnsi="宋体" w:eastAsia="宋体" w:cs="宋体"/>
          <w:sz w:val="24"/>
          <w:szCs w:val="24"/>
        </w:rPr>
      </w:pPr>
      <w:r>
        <w:rPr>
          <w:rFonts w:ascii="宋体" w:hAnsi="宋体" w:eastAsia="宋体" w:cs="宋体"/>
          <w:spacing w:val="-2"/>
          <w:sz w:val="24"/>
          <w:szCs w:val="24"/>
        </w:rPr>
        <w:t>16.4 工期拖期的价格调整</w:t>
      </w:r>
    </w:p>
    <w:p w14:paraId="1EEF04E8">
      <w:pPr>
        <w:spacing w:before="187" w:line="359" w:lineRule="auto"/>
        <w:ind w:left="8" w:right="61" w:firstLine="509"/>
        <w:rPr>
          <w:rFonts w:ascii="Arial"/>
          <w:sz w:val="21"/>
        </w:rPr>
      </w:pPr>
      <w:r>
        <w:rPr>
          <w:rFonts w:ascii="宋体" w:hAnsi="宋体" w:eastAsia="宋体" w:cs="宋体"/>
          <w:spacing w:val="-3"/>
          <w:sz w:val="24"/>
          <w:szCs w:val="24"/>
        </w:rPr>
        <w:t>由于承包人原因未能在投标函中写明的工期内完成本合同工程，在超出合同工期以</w:t>
      </w:r>
      <w:r>
        <w:rPr>
          <w:rFonts w:ascii="宋体" w:hAnsi="宋体" w:eastAsia="宋体" w:cs="宋体"/>
          <w:spacing w:val="-2"/>
          <w:sz w:val="24"/>
          <w:szCs w:val="24"/>
        </w:rPr>
        <w:t>后施工的工程，承包人不能因此提出调整合同单价（总额价）要求。即使某种延期符合</w:t>
      </w:r>
      <w:r>
        <w:rPr>
          <w:rFonts w:ascii="宋体" w:hAnsi="宋体" w:eastAsia="宋体" w:cs="宋体"/>
          <w:spacing w:val="-1"/>
          <w:sz w:val="24"/>
          <w:szCs w:val="24"/>
        </w:rPr>
        <w:t>第</w:t>
      </w:r>
      <w:r>
        <w:rPr>
          <w:rFonts w:ascii="宋体" w:hAnsi="宋体" w:eastAsia="宋体" w:cs="宋体"/>
          <w:spacing w:val="-33"/>
          <w:sz w:val="24"/>
          <w:szCs w:val="24"/>
        </w:rPr>
        <w:t xml:space="preserve"> </w:t>
      </w:r>
      <w:r>
        <w:rPr>
          <w:rFonts w:ascii="宋体" w:hAnsi="宋体" w:eastAsia="宋体" w:cs="宋体"/>
          <w:spacing w:val="-1"/>
          <w:sz w:val="24"/>
          <w:szCs w:val="24"/>
        </w:rPr>
        <w:t>11.4</w:t>
      </w:r>
      <w:r>
        <w:rPr>
          <w:rFonts w:ascii="宋体" w:hAnsi="宋体" w:eastAsia="宋体" w:cs="宋体"/>
          <w:spacing w:val="-49"/>
          <w:sz w:val="24"/>
          <w:szCs w:val="24"/>
        </w:rPr>
        <w:t xml:space="preserve"> </w:t>
      </w:r>
      <w:r>
        <w:rPr>
          <w:rFonts w:ascii="宋体" w:hAnsi="宋体" w:eastAsia="宋体" w:cs="宋体"/>
          <w:spacing w:val="-1"/>
          <w:sz w:val="24"/>
          <w:szCs w:val="24"/>
        </w:rPr>
        <w:t>条及本合同条款相关规定，在该延长的合同工期到期以</w:t>
      </w:r>
      <w:r>
        <w:rPr>
          <w:rFonts w:ascii="宋体" w:hAnsi="宋体" w:eastAsia="宋体" w:cs="宋体"/>
          <w:spacing w:val="-2"/>
          <w:sz w:val="24"/>
          <w:szCs w:val="24"/>
        </w:rPr>
        <w:t>后施工的工程，承包人</w:t>
      </w:r>
      <w:r>
        <w:rPr>
          <w:rFonts w:ascii="宋体" w:hAnsi="宋体" w:eastAsia="宋体" w:cs="宋体"/>
          <w:spacing w:val="-1"/>
          <w:sz w:val="24"/>
          <w:szCs w:val="24"/>
        </w:rPr>
        <w:t>也不能因此提出调整合同单价（总额价）要求。</w:t>
      </w:r>
    </w:p>
    <w:p w14:paraId="696E0973">
      <w:pPr>
        <w:spacing w:before="79" w:line="219" w:lineRule="auto"/>
        <w:ind w:left="26"/>
        <w:rPr>
          <w:rFonts w:ascii="宋体" w:hAnsi="宋体" w:eastAsia="宋体" w:cs="宋体"/>
          <w:sz w:val="24"/>
          <w:szCs w:val="24"/>
        </w:rPr>
      </w:pPr>
      <w:bookmarkStart w:id="59" w:name="bookmark208"/>
      <w:bookmarkEnd w:id="59"/>
      <w:r>
        <w:rPr>
          <w:rFonts w:ascii="宋体" w:hAnsi="宋体" w:eastAsia="宋体" w:cs="宋体"/>
          <w:b/>
          <w:bCs/>
          <w:spacing w:val="-6"/>
          <w:sz w:val="24"/>
          <w:szCs w:val="24"/>
        </w:rPr>
        <w:t>17．计量与支付</w:t>
      </w:r>
    </w:p>
    <w:p w14:paraId="05293E0A">
      <w:pPr>
        <w:spacing w:before="311" w:line="221" w:lineRule="auto"/>
        <w:ind w:left="506"/>
        <w:rPr>
          <w:rFonts w:ascii="宋体" w:hAnsi="宋体" w:eastAsia="宋体" w:cs="宋体"/>
          <w:sz w:val="24"/>
          <w:szCs w:val="24"/>
        </w:rPr>
      </w:pPr>
      <w:r>
        <w:rPr>
          <w:rFonts w:ascii="宋体" w:hAnsi="宋体" w:eastAsia="宋体" w:cs="宋体"/>
          <w:b/>
          <w:bCs/>
          <w:spacing w:val="-8"/>
          <w:sz w:val="24"/>
          <w:szCs w:val="24"/>
        </w:rPr>
        <w:t>17.1</w:t>
      </w:r>
      <w:r>
        <w:rPr>
          <w:rFonts w:ascii="宋体" w:hAnsi="宋体" w:eastAsia="宋体" w:cs="宋体"/>
          <w:spacing w:val="9"/>
          <w:sz w:val="24"/>
          <w:szCs w:val="24"/>
        </w:rPr>
        <w:t xml:space="preserve"> </w:t>
      </w:r>
      <w:r>
        <w:rPr>
          <w:rFonts w:ascii="宋体" w:hAnsi="宋体" w:eastAsia="宋体" w:cs="宋体"/>
          <w:b/>
          <w:bCs/>
          <w:spacing w:val="-8"/>
          <w:sz w:val="24"/>
          <w:szCs w:val="24"/>
        </w:rPr>
        <w:t>计量</w:t>
      </w:r>
    </w:p>
    <w:p w14:paraId="59019343">
      <w:pPr>
        <w:spacing w:before="178" w:line="221" w:lineRule="auto"/>
        <w:ind w:left="506"/>
        <w:rPr>
          <w:rFonts w:ascii="宋体" w:hAnsi="宋体" w:eastAsia="宋体" w:cs="宋体"/>
          <w:sz w:val="24"/>
          <w:szCs w:val="24"/>
        </w:rPr>
      </w:pPr>
      <w:r>
        <w:rPr>
          <w:rFonts w:ascii="宋体" w:hAnsi="宋体" w:eastAsia="宋体" w:cs="宋体"/>
          <w:b/>
          <w:bCs/>
          <w:spacing w:val="-4"/>
          <w:sz w:val="24"/>
          <w:szCs w:val="24"/>
        </w:rPr>
        <w:t>17.1.2</w:t>
      </w:r>
      <w:r>
        <w:rPr>
          <w:rFonts w:ascii="宋体" w:hAnsi="宋体" w:eastAsia="宋体" w:cs="宋体"/>
          <w:spacing w:val="-4"/>
          <w:sz w:val="24"/>
          <w:szCs w:val="24"/>
        </w:rPr>
        <w:t xml:space="preserve"> </w:t>
      </w:r>
      <w:r>
        <w:rPr>
          <w:rFonts w:ascii="宋体" w:hAnsi="宋体" w:eastAsia="宋体" w:cs="宋体"/>
          <w:b/>
          <w:bCs/>
          <w:spacing w:val="-4"/>
          <w:sz w:val="24"/>
          <w:szCs w:val="24"/>
        </w:rPr>
        <w:t>计量方法</w:t>
      </w:r>
    </w:p>
    <w:p w14:paraId="19620217">
      <w:pPr>
        <w:spacing w:before="180" w:line="219" w:lineRule="auto"/>
        <w:ind w:left="488"/>
        <w:rPr>
          <w:rFonts w:ascii="宋体" w:hAnsi="宋体" w:eastAsia="宋体" w:cs="宋体"/>
          <w:sz w:val="24"/>
          <w:szCs w:val="24"/>
        </w:rPr>
      </w:pPr>
      <w:r>
        <w:rPr>
          <w:rFonts w:ascii="宋体" w:hAnsi="宋体" w:eastAsia="宋体" w:cs="宋体"/>
          <w:b/>
          <w:bCs/>
          <w:spacing w:val="-3"/>
          <w:sz w:val="24"/>
          <w:szCs w:val="24"/>
        </w:rPr>
        <w:t>通用合同条款本款增加以下内容：</w:t>
      </w:r>
    </w:p>
    <w:p w14:paraId="0A9FB076">
      <w:pPr>
        <w:spacing w:before="182" w:line="359" w:lineRule="auto"/>
        <w:ind w:left="8" w:firstLine="482"/>
        <w:jc w:val="both"/>
        <w:rPr>
          <w:rFonts w:ascii="宋体" w:hAnsi="宋体" w:eastAsia="宋体" w:cs="宋体"/>
          <w:sz w:val="24"/>
          <w:szCs w:val="24"/>
        </w:rPr>
      </w:pPr>
      <w:r>
        <w:rPr>
          <w:rFonts w:ascii="宋体" w:hAnsi="宋体" w:eastAsia="宋体" w:cs="宋体"/>
          <w:spacing w:val="-2"/>
          <w:sz w:val="24"/>
          <w:szCs w:val="24"/>
        </w:rPr>
        <w:t>工程量计量方法执行《水运工程工程量清单计价规范》</w:t>
      </w:r>
      <w:r>
        <w:rPr>
          <w:rFonts w:ascii="宋体" w:hAnsi="宋体" w:eastAsia="宋体" w:cs="宋体"/>
          <w:spacing w:val="-64"/>
          <w:sz w:val="24"/>
          <w:szCs w:val="24"/>
        </w:rPr>
        <w:t xml:space="preserve"> </w:t>
      </w:r>
      <w:r>
        <w:rPr>
          <w:rFonts w:ascii="宋体" w:hAnsi="宋体" w:eastAsia="宋体" w:cs="宋体"/>
          <w:spacing w:val="-2"/>
          <w:sz w:val="24"/>
          <w:szCs w:val="24"/>
        </w:rPr>
        <w:t>(JTS/T271-2020)附录</w:t>
      </w:r>
      <w:r>
        <w:rPr>
          <w:rFonts w:ascii="宋体" w:hAnsi="宋体" w:eastAsia="宋体" w:cs="宋体"/>
          <w:spacing w:val="-56"/>
          <w:sz w:val="24"/>
          <w:szCs w:val="24"/>
        </w:rPr>
        <w:t xml:space="preserve"> </w:t>
      </w:r>
      <w:r>
        <w:rPr>
          <w:rFonts w:ascii="宋体" w:hAnsi="宋体" w:eastAsia="宋体" w:cs="宋体"/>
          <w:spacing w:val="-2"/>
          <w:sz w:val="24"/>
          <w:szCs w:val="24"/>
        </w:rPr>
        <w:t>B</w:t>
      </w:r>
      <w:r>
        <w:rPr>
          <w:rFonts w:ascii="宋体" w:hAnsi="宋体" w:eastAsia="宋体" w:cs="宋体"/>
          <w:spacing w:val="-48"/>
          <w:sz w:val="24"/>
          <w:szCs w:val="24"/>
        </w:rPr>
        <w:t xml:space="preserve"> </w:t>
      </w:r>
      <w:r>
        <w:rPr>
          <w:rFonts w:ascii="宋体" w:hAnsi="宋体" w:eastAsia="宋体" w:cs="宋体"/>
          <w:spacing w:val="-2"/>
          <w:sz w:val="24"/>
          <w:szCs w:val="24"/>
        </w:rPr>
        <w:t>水运工程工程量计算规则。涉及安全生产费用的计量支付执行《广东省交通运输厅关于公</w:t>
      </w:r>
      <w:r>
        <w:rPr>
          <w:rFonts w:ascii="宋体" w:hAnsi="宋体" w:eastAsia="宋体" w:cs="宋体"/>
          <w:spacing w:val="-1"/>
          <w:sz w:val="24"/>
          <w:szCs w:val="24"/>
        </w:rPr>
        <w:t>路水运建设工程安全生产费用的管理办法》。</w:t>
      </w:r>
    </w:p>
    <w:p w14:paraId="2652DA05">
      <w:pPr>
        <w:spacing w:before="3" w:line="358" w:lineRule="auto"/>
        <w:ind w:left="12" w:firstLine="477"/>
        <w:jc w:val="both"/>
        <w:rPr>
          <w:rFonts w:ascii="宋体" w:hAnsi="宋体" w:eastAsia="宋体" w:cs="宋体"/>
          <w:sz w:val="24"/>
          <w:szCs w:val="24"/>
        </w:rPr>
      </w:pPr>
      <w:r>
        <w:rPr>
          <w:rFonts w:ascii="宋体" w:hAnsi="宋体" w:eastAsia="宋体" w:cs="宋体"/>
          <w:spacing w:val="-2"/>
          <w:sz w:val="24"/>
          <w:szCs w:val="24"/>
        </w:rPr>
        <w:t>其中，维护性疏浚工程的工程量计量方法为：若设计断面工程量（即净量）少于原设计估算量的，以设计断面工程量（即净量）计量；若设计断面工程量（即净量）大于</w:t>
      </w:r>
      <w:r>
        <w:rPr>
          <w:rFonts w:ascii="宋体" w:hAnsi="宋体" w:eastAsia="宋体" w:cs="宋体"/>
          <w:spacing w:val="-1"/>
          <w:sz w:val="24"/>
          <w:szCs w:val="24"/>
        </w:rPr>
        <w:t>原设计估算量的，以原设计估算量计量。</w:t>
      </w:r>
    </w:p>
    <w:p w14:paraId="6A599858">
      <w:pPr>
        <w:spacing w:before="1" w:line="218" w:lineRule="auto"/>
        <w:ind w:left="488"/>
        <w:rPr>
          <w:rFonts w:ascii="宋体" w:hAnsi="宋体" w:eastAsia="宋体" w:cs="宋体"/>
          <w:sz w:val="24"/>
          <w:szCs w:val="24"/>
        </w:rPr>
      </w:pPr>
      <w:r>
        <w:rPr>
          <w:rFonts w:ascii="宋体" w:hAnsi="宋体" w:eastAsia="宋体" w:cs="宋体"/>
          <w:b/>
          <w:bCs/>
          <w:spacing w:val="-5"/>
          <w:sz w:val="24"/>
          <w:szCs w:val="24"/>
        </w:rPr>
        <w:t>通用合同条款本款增加</w:t>
      </w:r>
      <w:r>
        <w:rPr>
          <w:rFonts w:ascii="宋体" w:hAnsi="宋体" w:eastAsia="宋体" w:cs="宋体"/>
          <w:spacing w:val="-15"/>
          <w:sz w:val="24"/>
          <w:szCs w:val="24"/>
        </w:rPr>
        <w:t xml:space="preserve"> </w:t>
      </w:r>
      <w:r>
        <w:rPr>
          <w:rFonts w:ascii="宋体" w:hAnsi="宋体" w:eastAsia="宋体" w:cs="宋体"/>
          <w:b/>
          <w:bCs/>
          <w:spacing w:val="-5"/>
          <w:sz w:val="24"/>
          <w:szCs w:val="24"/>
        </w:rPr>
        <w:t>17.1.6</w:t>
      </w:r>
      <w:r>
        <w:rPr>
          <w:rFonts w:ascii="宋体" w:hAnsi="宋体" w:eastAsia="宋体" w:cs="宋体"/>
          <w:spacing w:val="-45"/>
          <w:sz w:val="24"/>
          <w:szCs w:val="24"/>
        </w:rPr>
        <w:t xml:space="preserve"> </w:t>
      </w:r>
      <w:r>
        <w:rPr>
          <w:rFonts w:ascii="宋体" w:hAnsi="宋体" w:eastAsia="宋体" w:cs="宋体"/>
          <w:b/>
          <w:bCs/>
          <w:spacing w:val="-5"/>
          <w:sz w:val="24"/>
          <w:szCs w:val="24"/>
        </w:rPr>
        <w:t>项的内容：</w:t>
      </w:r>
    </w:p>
    <w:p w14:paraId="64C928E6">
      <w:pPr>
        <w:spacing w:before="184" w:line="359" w:lineRule="auto"/>
        <w:ind w:left="8" w:firstLine="497"/>
        <w:jc w:val="both"/>
        <w:rPr>
          <w:rFonts w:ascii="宋体" w:hAnsi="宋体" w:eastAsia="宋体" w:cs="宋体"/>
          <w:sz w:val="24"/>
          <w:szCs w:val="24"/>
        </w:rPr>
      </w:pPr>
      <w:r>
        <w:rPr>
          <w:rFonts w:ascii="宋体" w:hAnsi="宋体" w:eastAsia="宋体" w:cs="宋体"/>
          <w:spacing w:val="-4"/>
          <w:sz w:val="24"/>
          <w:szCs w:val="24"/>
        </w:rPr>
        <w:t>17.1.6</w:t>
      </w:r>
      <w:r>
        <w:rPr>
          <w:rFonts w:ascii="宋体" w:hAnsi="宋体" w:eastAsia="宋体" w:cs="宋体"/>
          <w:spacing w:val="-45"/>
          <w:sz w:val="24"/>
          <w:szCs w:val="24"/>
        </w:rPr>
        <w:t xml:space="preserve"> </w:t>
      </w:r>
      <w:r>
        <w:rPr>
          <w:rFonts w:ascii="宋体" w:hAnsi="宋体" w:eastAsia="宋体" w:cs="宋体"/>
          <w:spacing w:val="-4"/>
          <w:sz w:val="24"/>
          <w:szCs w:val="24"/>
        </w:rPr>
        <w:t>如招标项目由政府投资建设，项目款项的具体支付情况还应按照财政资金预</w:t>
      </w:r>
      <w:r>
        <w:rPr>
          <w:rFonts w:ascii="宋体" w:hAnsi="宋体" w:eastAsia="宋体" w:cs="宋体"/>
          <w:spacing w:val="-2"/>
          <w:sz w:val="24"/>
          <w:szCs w:val="24"/>
        </w:rPr>
        <w:t>算安排和支付规定及国库集中支付等国家相关规定办理。发包人原则上根据专用合同条</w:t>
      </w:r>
      <w:r>
        <w:rPr>
          <w:rFonts w:ascii="宋体" w:hAnsi="宋体" w:eastAsia="宋体" w:cs="宋体"/>
          <w:spacing w:val="-1"/>
          <w:sz w:val="24"/>
          <w:szCs w:val="24"/>
        </w:rPr>
        <w:t>款第</w:t>
      </w:r>
      <w:r>
        <w:rPr>
          <w:rFonts w:ascii="宋体" w:hAnsi="宋体" w:eastAsia="宋体" w:cs="宋体"/>
          <w:spacing w:val="-33"/>
          <w:sz w:val="24"/>
          <w:szCs w:val="24"/>
        </w:rPr>
        <w:t xml:space="preserve"> </w:t>
      </w:r>
      <w:r>
        <w:rPr>
          <w:rFonts w:ascii="宋体" w:hAnsi="宋体" w:eastAsia="宋体" w:cs="宋体"/>
          <w:spacing w:val="-1"/>
          <w:sz w:val="24"/>
          <w:szCs w:val="24"/>
        </w:rPr>
        <w:t>17.3</w:t>
      </w:r>
      <w:r>
        <w:rPr>
          <w:rFonts w:ascii="宋体" w:hAnsi="宋体" w:eastAsia="宋体" w:cs="宋体"/>
          <w:spacing w:val="-49"/>
          <w:sz w:val="24"/>
          <w:szCs w:val="24"/>
        </w:rPr>
        <w:t xml:space="preserve"> </w:t>
      </w:r>
      <w:r>
        <w:rPr>
          <w:rFonts w:ascii="宋体" w:hAnsi="宋体" w:eastAsia="宋体" w:cs="宋体"/>
          <w:spacing w:val="-1"/>
          <w:sz w:val="24"/>
          <w:szCs w:val="24"/>
        </w:rPr>
        <w:t>条规定的支付条件和比例向承包人支付合同费用。发</w:t>
      </w:r>
      <w:r>
        <w:rPr>
          <w:rFonts w:ascii="宋体" w:hAnsi="宋体" w:eastAsia="宋体" w:cs="宋体"/>
          <w:spacing w:val="-2"/>
          <w:sz w:val="24"/>
          <w:szCs w:val="24"/>
        </w:rPr>
        <w:t>包人只负责办理相关付款手续，若因财政资金不到位引起合同款不能按合同要求或有关规定拨付的，发包人不承担因合同款延期拨付给承包人造成的各类损失，如利息、连带责任等；承包人也不能</w:t>
      </w:r>
      <w:r>
        <w:rPr>
          <w:rFonts w:ascii="宋体" w:hAnsi="宋体" w:eastAsia="宋体" w:cs="宋体"/>
          <w:spacing w:val="-1"/>
          <w:sz w:val="24"/>
          <w:szCs w:val="24"/>
        </w:rPr>
        <w:t>因此为由而拖延工期。</w:t>
      </w:r>
    </w:p>
    <w:p w14:paraId="0475636B">
      <w:pPr>
        <w:spacing w:before="1" w:line="219" w:lineRule="auto"/>
        <w:ind w:left="488"/>
        <w:rPr>
          <w:rFonts w:ascii="宋体" w:hAnsi="宋体" w:eastAsia="宋体" w:cs="宋体"/>
          <w:sz w:val="24"/>
          <w:szCs w:val="24"/>
        </w:rPr>
      </w:pPr>
      <w:r>
        <w:rPr>
          <w:rFonts w:ascii="宋体" w:hAnsi="宋体" w:eastAsia="宋体" w:cs="宋体"/>
          <w:spacing w:val="-2"/>
          <w:sz w:val="24"/>
          <w:szCs w:val="24"/>
        </w:rPr>
        <w:t>承包人应于每月</w:t>
      </w:r>
      <w:r>
        <w:rPr>
          <w:rFonts w:ascii="宋体" w:hAnsi="宋体" w:eastAsia="宋体" w:cs="宋体"/>
          <w:spacing w:val="-2"/>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2"/>
          <w:sz w:val="24"/>
          <w:szCs w:val="24"/>
        </w:rPr>
        <w:t>日前将月度计量报表一式</w:t>
      </w:r>
      <w:r>
        <w:rPr>
          <w:rFonts w:ascii="宋体" w:hAnsi="宋体" w:eastAsia="宋体" w:cs="宋体"/>
          <w:spacing w:val="-2"/>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2"/>
          <w:sz w:val="24"/>
          <w:szCs w:val="24"/>
        </w:rPr>
        <w:t>份报</w:t>
      </w:r>
      <w:r>
        <w:rPr>
          <w:rFonts w:ascii="宋体" w:hAnsi="宋体" w:eastAsia="宋体" w:cs="宋体"/>
          <w:spacing w:val="-3"/>
          <w:sz w:val="24"/>
          <w:szCs w:val="24"/>
        </w:rPr>
        <w:t>给监理人。</w:t>
      </w:r>
    </w:p>
    <w:p w14:paraId="1F3E03F9">
      <w:pPr>
        <w:spacing w:before="181" w:line="219" w:lineRule="auto"/>
        <w:ind w:left="506"/>
        <w:rPr>
          <w:rFonts w:ascii="宋体" w:hAnsi="宋体" w:eastAsia="宋体" w:cs="宋体"/>
          <w:sz w:val="24"/>
          <w:szCs w:val="24"/>
        </w:rPr>
      </w:pPr>
      <w:r>
        <w:rPr>
          <w:rFonts w:ascii="宋体" w:hAnsi="宋体" w:eastAsia="宋体" w:cs="宋体"/>
          <w:b/>
          <w:bCs/>
          <w:spacing w:val="-7"/>
          <w:sz w:val="24"/>
          <w:szCs w:val="24"/>
        </w:rPr>
        <w:t>17.2</w:t>
      </w:r>
      <w:r>
        <w:rPr>
          <w:rFonts w:ascii="宋体" w:hAnsi="宋体" w:eastAsia="宋体" w:cs="宋体"/>
          <w:spacing w:val="11"/>
          <w:sz w:val="24"/>
          <w:szCs w:val="24"/>
        </w:rPr>
        <w:t xml:space="preserve"> </w:t>
      </w:r>
      <w:r>
        <w:rPr>
          <w:rFonts w:ascii="宋体" w:hAnsi="宋体" w:eastAsia="宋体" w:cs="宋体"/>
          <w:b/>
          <w:bCs/>
          <w:spacing w:val="-7"/>
          <w:sz w:val="24"/>
          <w:szCs w:val="24"/>
        </w:rPr>
        <w:t>预付款</w:t>
      </w:r>
    </w:p>
    <w:p w14:paraId="2716F81F">
      <w:pPr>
        <w:spacing w:before="183" w:line="219" w:lineRule="auto"/>
        <w:ind w:left="506"/>
        <w:rPr>
          <w:rFonts w:ascii="宋体" w:hAnsi="宋体" w:eastAsia="宋体" w:cs="宋体"/>
          <w:sz w:val="24"/>
          <w:szCs w:val="24"/>
        </w:rPr>
      </w:pPr>
      <w:r>
        <w:rPr>
          <w:rFonts w:ascii="宋体" w:hAnsi="宋体" w:eastAsia="宋体" w:cs="宋体"/>
          <w:spacing w:val="-5"/>
          <w:sz w:val="24"/>
          <w:szCs w:val="24"/>
        </w:rPr>
        <w:t>17.2.1</w:t>
      </w:r>
      <w:r>
        <w:rPr>
          <w:rFonts w:ascii="宋体" w:hAnsi="宋体" w:eastAsia="宋体" w:cs="宋体"/>
          <w:spacing w:val="16"/>
          <w:sz w:val="24"/>
          <w:szCs w:val="24"/>
        </w:rPr>
        <w:t xml:space="preserve"> </w:t>
      </w:r>
      <w:r>
        <w:rPr>
          <w:rFonts w:ascii="宋体" w:hAnsi="宋体" w:eastAsia="宋体" w:cs="宋体"/>
          <w:spacing w:val="-5"/>
          <w:sz w:val="24"/>
          <w:szCs w:val="24"/>
        </w:rPr>
        <w:t>预付款</w:t>
      </w:r>
    </w:p>
    <w:p w14:paraId="0C17A661">
      <w:pPr>
        <w:spacing w:before="164" w:line="227" w:lineRule="auto"/>
        <w:ind w:left="490"/>
        <w:rPr>
          <w:rFonts w:ascii="宋体" w:hAnsi="宋体" w:eastAsia="宋体" w:cs="宋体"/>
          <w:sz w:val="24"/>
          <w:szCs w:val="24"/>
        </w:rPr>
      </w:pPr>
      <w:r>
        <w:rPr>
          <w:rFonts w:ascii="宋体" w:hAnsi="宋体" w:eastAsia="宋体" w:cs="宋体"/>
          <w:sz w:val="24"/>
          <w:szCs w:val="24"/>
        </w:rPr>
        <w:t>预付款的额度：签约合同价</w:t>
      </w:r>
      <w:r>
        <w:rPr>
          <w:rFonts w:ascii="宋体" w:hAnsi="宋体" w:eastAsia="宋体" w:cs="宋体"/>
          <w:sz w:val="24"/>
          <w:szCs w:val="24"/>
          <w:u w:val="single" w:color="auto"/>
        </w:rPr>
        <w:t>（扣除暂列金、暂估价、</w:t>
      </w:r>
      <w:r>
        <w:rPr>
          <w:rFonts w:ascii="宋体" w:hAnsi="宋体" w:eastAsia="宋体" w:cs="宋体"/>
          <w:spacing w:val="-1"/>
          <w:sz w:val="24"/>
          <w:szCs w:val="24"/>
          <w:u w:val="single" w:color="auto"/>
        </w:rPr>
        <w:t>安全生产费）</w:t>
      </w:r>
      <w:r>
        <w:rPr>
          <w:rFonts w:ascii="宋体" w:hAnsi="宋体" w:eastAsia="宋体" w:cs="宋体"/>
          <w:spacing w:val="-1"/>
          <w:sz w:val="24"/>
          <w:szCs w:val="24"/>
        </w:rPr>
        <w:t>的</w:t>
      </w:r>
      <w:r>
        <w:rPr>
          <w:rFonts w:hint="eastAsia" w:ascii="宋体" w:hAnsi="宋体" w:eastAsia="宋体" w:cs="宋体"/>
          <w:spacing w:val="-1"/>
          <w:sz w:val="24"/>
          <w:szCs w:val="24"/>
          <w:u w:val="single" w:color="auto"/>
          <w:lang w:val="en-US" w:eastAsia="zh-CN"/>
        </w:rPr>
        <w:t>30</w:t>
      </w:r>
      <w:r>
        <w:rPr>
          <w:rFonts w:ascii="宋体" w:hAnsi="宋体" w:eastAsia="宋体" w:cs="宋体"/>
          <w:spacing w:val="-1"/>
          <w:sz w:val="24"/>
          <w:szCs w:val="24"/>
        </w:rPr>
        <w:t>%;</w:t>
      </w:r>
    </w:p>
    <w:p w14:paraId="4BDF8172">
      <w:pPr>
        <w:spacing w:before="190" w:line="219" w:lineRule="auto"/>
        <w:ind w:left="490"/>
        <w:rPr>
          <w:rFonts w:ascii="宋体" w:hAnsi="宋体" w:eastAsia="宋体" w:cs="宋体"/>
          <w:sz w:val="24"/>
          <w:szCs w:val="24"/>
        </w:rPr>
      </w:pPr>
      <w:r>
        <w:rPr>
          <w:rFonts w:ascii="宋体" w:hAnsi="宋体" w:eastAsia="宋体" w:cs="宋体"/>
          <w:spacing w:val="-1"/>
          <w:sz w:val="24"/>
          <w:szCs w:val="24"/>
        </w:rPr>
        <w:t>预付款的预付办法：在承包人提交了履约保证金后一次性支付。</w:t>
      </w:r>
    </w:p>
    <w:p w14:paraId="6E2B545E">
      <w:pPr>
        <w:spacing w:before="183" w:line="219" w:lineRule="auto"/>
        <w:ind w:left="506"/>
        <w:rPr>
          <w:rFonts w:ascii="宋体" w:hAnsi="宋体" w:eastAsia="宋体" w:cs="宋体"/>
          <w:sz w:val="24"/>
          <w:szCs w:val="24"/>
        </w:rPr>
      </w:pPr>
      <w:r>
        <w:rPr>
          <w:rFonts w:ascii="宋体" w:hAnsi="宋体" w:eastAsia="宋体" w:cs="宋体"/>
          <w:spacing w:val="-3"/>
          <w:sz w:val="24"/>
          <w:szCs w:val="24"/>
        </w:rPr>
        <w:t>17.2.2 预付款保函</w:t>
      </w:r>
    </w:p>
    <w:p w14:paraId="2113A73C">
      <w:pPr>
        <w:spacing w:before="180" w:line="219" w:lineRule="auto"/>
        <w:ind w:left="489"/>
        <w:rPr>
          <w:rFonts w:ascii="宋体" w:hAnsi="宋体" w:eastAsia="宋体" w:cs="宋体"/>
          <w:sz w:val="24"/>
          <w:szCs w:val="24"/>
        </w:rPr>
      </w:pPr>
      <w:r>
        <w:rPr>
          <w:rFonts w:ascii="宋体" w:hAnsi="宋体" w:eastAsia="宋体" w:cs="宋体"/>
          <w:sz w:val="24"/>
          <w:szCs w:val="24"/>
        </w:rPr>
        <w:t>本项目不需要提交预付款保函，投标人提交的履</w:t>
      </w:r>
      <w:r>
        <w:rPr>
          <w:rFonts w:ascii="宋体" w:hAnsi="宋体" w:eastAsia="宋体" w:cs="宋体"/>
          <w:spacing w:val="-1"/>
          <w:sz w:val="24"/>
          <w:szCs w:val="24"/>
        </w:rPr>
        <w:t>约保函对预付款提供担保。</w:t>
      </w:r>
    </w:p>
    <w:p w14:paraId="26AF6AAB">
      <w:pPr>
        <w:spacing w:before="184" w:line="219" w:lineRule="auto"/>
        <w:ind w:left="506"/>
        <w:rPr>
          <w:rFonts w:ascii="宋体" w:hAnsi="宋体" w:eastAsia="宋体" w:cs="宋体"/>
          <w:sz w:val="24"/>
          <w:szCs w:val="24"/>
        </w:rPr>
      </w:pPr>
      <w:r>
        <w:rPr>
          <w:rFonts w:ascii="宋体" w:hAnsi="宋体" w:eastAsia="宋体" w:cs="宋体"/>
          <w:spacing w:val="-2"/>
          <w:sz w:val="24"/>
          <w:szCs w:val="24"/>
        </w:rPr>
        <w:t>17.2.3 预付款的扣回与还清</w:t>
      </w:r>
    </w:p>
    <w:p w14:paraId="17FC2B9B">
      <w:pPr>
        <w:spacing w:before="162" w:line="364" w:lineRule="auto"/>
        <w:ind w:left="31" w:firstLine="471"/>
        <w:rPr>
          <w:rFonts w:ascii="宋体" w:hAnsi="宋体" w:eastAsia="宋体" w:cs="宋体"/>
          <w:sz w:val="24"/>
          <w:szCs w:val="24"/>
        </w:rPr>
      </w:pPr>
      <w:r>
        <w:rPr>
          <w:rFonts w:ascii="宋体" w:hAnsi="宋体" w:eastAsia="宋体" w:cs="宋体"/>
          <w:spacing w:val="-1"/>
          <w:sz w:val="24"/>
          <w:szCs w:val="24"/>
        </w:rPr>
        <w:t>当工程进度款累计支付比例达到合同总价的</w:t>
      </w:r>
      <w:r>
        <w:rPr>
          <w:rFonts w:ascii="宋体" w:hAnsi="宋体" w:eastAsia="宋体" w:cs="宋体"/>
          <w:spacing w:val="108"/>
          <w:sz w:val="24"/>
          <w:szCs w:val="24"/>
          <w:u w:val="single" w:color="auto"/>
        </w:rPr>
        <w:t xml:space="preserve"> </w:t>
      </w:r>
      <w:r>
        <w:rPr>
          <w:rFonts w:ascii="宋体" w:hAnsi="宋体" w:eastAsia="宋体" w:cs="宋体"/>
          <w:spacing w:val="-1"/>
          <w:sz w:val="24"/>
          <w:szCs w:val="24"/>
          <w:u w:val="single" w:color="auto"/>
        </w:rPr>
        <w:t>30</w:t>
      </w:r>
      <w:r>
        <w:rPr>
          <w:rFonts w:ascii="宋体" w:hAnsi="宋体" w:eastAsia="宋体" w:cs="宋体"/>
          <w:spacing w:val="96"/>
          <w:sz w:val="24"/>
          <w:szCs w:val="24"/>
          <w:u w:val="single" w:color="auto"/>
        </w:rPr>
        <w:t xml:space="preserve"> </w:t>
      </w:r>
      <w:r>
        <w:rPr>
          <w:rFonts w:ascii="宋体" w:hAnsi="宋体" w:eastAsia="宋体" w:cs="宋体"/>
          <w:spacing w:val="-1"/>
          <w:sz w:val="24"/>
          <w:szCs w:val="24"/>
          <w:u w:val="single" w:color="auto"/>
        </w:rPr>
        <w:t>%</w:t>
      </w:r>
      <w:r>
        <w:rPr>
          <w:rFonts w:ascii="宋体" w:hAnsi="宋体" w:eastAsia="宋体" w:cs="宋体"/>
          <w:spacing w:val="-1"/>
          <w:sz w:val="24"/>
          <w:szCs w:val="24"/>
        </w:rPr>
        <w:t>后，开始按工</w:t>
      </w:r>
      <w:r>
        <w:rPr>
          <w:rFonts w:ascii="宋体" w:hAnsi="宋体" w:eastAsia="宋体" w:cs="宋体"/>
          <w:spacing w:val="-2"/>
          <w:sz w:val="24"/>
          <w:szCs w:val="24"/>
        </w:rPr>
        <w:t>程进度，以固定比例（按每完成合同价格的</w:t>
      </w:r>
      <w:r>
        <w:rPr>
          <w:rFonts w:ascii="宋体" w:hAnsi="宋体" w:eastAsia="宋体" w:cs="宋体"/>
          <w:spacing w:val="-29"/>
          <w:sz w:val="24"/>
          <w:szCs w:val="24"/>
        </w:rPr>
        <w:t xml:space="preserve"> </w:t>
      </w:r>
      <w:r>
        <w:rPr>
          <w:rFonts w:ascii="宋体" w:hAnsi="宋体" w:eastAsia="宋体" w:cs="宋体"/>
          <w:spacing w:val="-2"/>
          <w:sz w:val="24"/>
          <w:szCs w:val="24"/>
        </w:rPr>
        <w:t>1%，扣回开工预付款的</w:t>
      </w:r>
      <w:r>
        <w:rPr>
          <w:rFonts w:ascii="宋体" w:hAnsi="宋体" w:eastAsia="宋体" w:cs="宋体"/>
          <w:spacing w:val="-47"/>
          <w:sz w:val="24"/>
          <w:szCs w:val="24"/>
        </w:rPr>
        <w:t xml:space="preserve"> </w:t>
      </w:r>
      <w:r>
        <w:rPr>
          <w:rFonts w:ascii="宋体" w:hAnsi="宋体" w:eastAsia="宋体" w:cs="宋体"/>
          <w:spacing w:val="-2"/>
          <w:sz w:val="24"/>
          <w:szCs w:val="24"/>
        </w:rPr>
        <w:t>2%）分期从各月中期支付证书中扣回，工程进度款累计支付至</w:t>
      </w:r>
      <w:r>
        <w:rPr>
          <w:rFonts w:ascii="宋体" w:hAnsi="宋体" w:eastAsia="宋体" w:cs="宋体"/>
          <w:spacing w:val="-2"/>
          <w:sz w:val="24"/>
          <w:szCs w:val="24"/>
          <w:u w:val="single" w:color="auto"/>
        </w:rPr>
        <w:t xml:space="preserve">  80  </w:t>
      </w:r>
      <w:r>
        <w:rPr>
          <w:rFonts w:ascii="宋体" w:hAnsi="宋体" w:eastAsia="宋体" w:cs="宋体"/>
          <w:spacing w:val="-2"/>
          <w:sz w:val="24"/>
          <w:szCs w:val="24"/>
        </w:rPr>
        <w:t>%时扣清。</w:t>
      </w:r>
    </w:p>
    <w:p w14:paraId="08E38B6F">
      <w:pPr>
        <w:spacing w:before="1" w:line="219" w:lineRule="auto"/>
        <w:ind w:left="506"/>
        <w:rPr>
          <w:rFonts w:ascii="宋体" w:hAnsi="宋体" w:eastAsia="宋体" w:cs="宋体"/>
          <w:sz w:val="24"/>
          <w:szCs w:val="24"/>
        </w:rPr>
      </w:pPr>
      <w:bookmarkStart w:id="60" w:name="bookmark210"/>
      <w:bookmarkEnd w:id="60"/>
      <w:bookmarkStart w:id="61" w:name="bookmark211"/>
      <w:bookmarkEnd w:id="61"/>
      <w:r>
        <w:rPr>
          <w:rFonts w:ascii="宋体" w:hAnsi="宋体" w:eastAsia="宋体" w:cs="宋体"/>
          <w:b/>
          <w:bCs/>
          <w:spacing w:val="-4"/>
          <w:sz w:val="24"/>
          <w:szCs w:val="24"/>
        </w:rPr>
        <w:t>17.3</w:t>
      </w:r>
      <w:r>
        <w:rPr>
          <w:rFonts w:ascii="宋体" w:hAnsi="宋体" w:eastAsia="宋体" w:cs="宋体"/>
          <w:spacing w:val="-4"/>
          <w:sz w:val="24"/>
          <w:szCs w:val="24"/>
        </w:rPr>
        <w:t xml:space="preserve"> </w:t>
      </w:r>
      <w:r>
        <w:rPr>
          <w:rFonts w:ascii="宋体" w:hAnsi="宋体" w:eastAsia="宋体" w:cs="宋体"/>
          <w:b/>
          <w:bCs/>
          <w:spacing w:val="-4"/>
          <w:sz w:val="24"/>
          <w:szCs w:val="24"/>
        </w:rPr>
        <w:t>工程进度付款</w:t>
      </w:r>
    </w:p>
    <w:p w14:paraId="2C8914BC">
      <w:pPr>
        <w:spacing w:before="312" w:line="219" w:lineRule="auto"/>
        <w:ind w:left="506"/>
        <w:rPr>
          <w:rFonts w:ascii="宋体" w:hAnsi="宋体" w:eastAsia="宋体" w:cs="宋体"/>
          <w:sz w:val="24"/>
          <w:szCs w:val="24"/>
        </w:rPr>
      </w:pPr>
      <w:r>
        <w:rPr>
          <w:rFonts w:ascii="宋体" w:hAnsi="宋体" w:eastAsia="宋体" w:cs="宋体"/>
          <w:spacing w:val="-2"/>
          <w:sz w:val="24"/>
          <w:szCs w:val="24"/>
        </w:rPr>
        <w:t>17.3.2 进度付款申请单</w:t>
      </w:r>
    </w:p>
    <w:p w14:paraId="3B47F9C3">
      <w:pPr>
        <w:spacing w:before="180" w:line="219" w:lineRule="auto"/>
        <w:ind w:left="489"/>
        <w:rPr>
          <w:rFonts w:ascii="宋体" w:hAnsi="宋体" w:eastAsia="宋体" w:cs="宋体"/>
          <w:sz w:val="24"/>
          <w:szCs w:val="24"/>
        </w:rPr>
      </w:pPr>
      <w:r>
        <w:rPr>
          <w:rFonts w:ascii="宋体" w:hAnsi="宋体" w:eastAsia="宋体" w:cs="宋体"/>
          <w:spacing w:val="-2"/>
          <w:sz w:val="24"/>
          <w:szCs w:val="24"/>
          <w:u w:val="single" w:color="auto"/>
        </w:rPr>
        <w:t>a.进度付款申请单</w:t>
      </w:r>
      <w:r>
        <w:rPr>
          <w:rFonts w:ascii="宋体" w:hAnsi="宋体" w:eastAsia="宋体" w:cs="宋体"/>
          <w:spacing w:val="-50"/>
          <w:sz w:val="24"/>
          <w:szCs w:val="24"/>
          <w:u w:val="single" w:color="auto"/>
        </w:rPr>
        <w:t xml:space="preserve"> </w:t>
      </w:r>
      <w:r>
        <w:rPr>
          <w:rFonts w:ascii="宋体" w:hAnsi="宋体" w:eastAsia="宋体" w:cs="宋体"/>
          <w:spacing w:val="-2"/>
          <w:sz w:val="24"/>
          <w:szCs w:val="24"/>
          <w:u w:val="single" w:color="auto"/>
        </w:rPr>
        <w:t>8</w:t>
      </w:r>
      <w:r>
        <w:rPr>
          <w:rFonts w:ascii="宋体" w:hAnsi="宋体" w:eastAsia="宋体" w:cs="宋体"/>
          <w:spacing w:val="-50"/>
          <w:sz w:val="24"/>
          <w:szCs w:val="24"/>
          <w:u w:val="single" w:color="auto"/>
        </w:rPr>
        <w:t xml:space="preserve"> </w:t>
      </w:r>
      <w:r>
        <w:rPr>
          <w:rFonts w:ascii="宋体" w:hAnsi="宋体" w:eastAsia="宋体" w:cs="宋体"/>
          <w:spacing w:val="-2"/>
          <w:sz w:val="24"/>
          <w:szCs w:val="24"/>
          <w:u w:val="single" w:color="auto"/>
        </w:rPr>
        <w:t>份</w:t>
      </w:r>
    </w:p>
    <w:p w14:paraId="3165DED6">
      <w:pPr>
        <w:spacing w:before="183" w:line="219" w:lineRule="auto"/>
        <w:ind w:left="484"/>
        <w:rPr>
          <w:rFonts w:ascii="宋体" w:hAnsi="宋体" w:eastAsia="宋体" w:cs="宋体"/>
          <w:sz w:val="24"/>
          <w:szCs w:val="24"/>
        </w:rPr>
      </w:pPr>
      <w:r>
        <w:rPr>
          <w:rFonts w:ascii="宋体" w:hAnsi="宋体" w:eastAsia="宋体" w:cs="宋体"/>
          <w:spacing w:val="-2"/>
          <w:sz w:val="24"/>
          <w:szCs w:val="24"/>
          <w:u w:val="single" w:color="auto"/>
        </w:rPr>
        <w:t>b.工程款支付报审表</w:t>
      </w:r>
      <w:r>
        <w:rPr>
          <w:rFonts w:ascii="宋体" w:hAnsi="宋体" w:eastAsia="宋体" w:cs="宋体"/>
          <w:spacing w:val="-43"/>
          <w:sz w:val="24"/>
          <w:szCs w:val="24"/>
          <w:u w:val="single" w:color="auto"/>
        </w:rPr>
        <w:t xml:space="preserve"> </w:t>
      </w:r>
      <w:r>
        <w:rPr>
          <w:rFonts w:ascii="宋体" w:hAnsi="宋体" w:eastAsia="宋体" w:cs="宋体"/>
          <w:spacing w:val="-2"/>
          <w:sz w:val="24"/>
          <w:szCs w:val="24"/>
          <w:u w:val="single" w:color="auto"/>
        </w:rPr>
        <w:t>3</w:t>
      </w:r>
      <w:r>
        <w:rPr>
          <w:rFonts w:ascii="宋体" w:hAnsi="宋体" w:eastAsia="宋体" w:cs="宋体"/>
          <w:spacing w:val="-51"/>
          <w:sz w:val="24"/>
          <w:szCs w:val="24"/>
          <w:u w:val="single" w:color="auto"/>
        </w:rPr>
        <w:t xml:space="preserve"> </w:t>
      </w:r>
      <w:r>
        <w:rPr>
          <w:rFonts w:ascii="宋体" w:hAnsi="宋体" w:eastAsia="宋体" w:cs="宋体"/>
          <w:spacing w:val="-2"/>
          <w:sz w:val="24"/>
          <w:szCs w:val="24"/>
          <w:u w:val="single" w:color="auto"/>
        </w:rPr>
        <w:t>份</w:t>
      </w:r>
    </w:p>
    <w:p w14:paraId="144B5A67">
      <w:pPr>
        <w:spacing w:before="180" w:line="219" w:lineRule="auto"/>
        <w:ind w:left="493"/>
        <w:rPr>
          <w:rFonts w:ascii="宋体" w:hAnsi="宋体" w:eastAsia="宋体" w:cs="宋体"/>
          <w:sz w:val="24"/>
          <w:szCs w:val="24"/>
        </w:rPr>
      </w:pPr>
      <w:r>
        <w:rPr>
          <w:rFonts w:ascii="宋体" w:hAnsi="宋体" w:eastAsia="宋体" w:cs="宋体"/>
          <w:spacing w:val="-4"/>
          <w:sz w:val="24"/>
          <w:szCs w:val="24"/>
          <w:u w:val="single" w:color="auto"/>
        </w:rPr>
        <w:t>c.进度计量表</w:t>
      </w:r>
      <w:r>
        <w:rPr>
          <w:rFonts w:ascii="宋体" w:hAnsi="宋体" w:eastAsia="宋体" w:cs="宋体"/>
          <w:spacing w:val="-40"/>
          <w:sz w:val="24"/>
          <w:szCs w:val="24"/>
          <w:u w:val="single" w:color="auto"/>
        </w:rPr>
        <w:t xml:space="preserve"> </w:t>
      </w:r>
      <w:r>
        <w:rPr>
          <w:rFonts w:ascii="宋体" w:hAnsi="宋体" w:eastAsia="宋体" w:cs="宋体"/>
          <w:spacing w:val="-4"/>
          <w:sz w:val="24"/>
          <w:szCs w:val="24"/>
          <w:u w:val="single" w:color="auto"/>
        </w:rPr>
        <w:t>3</w:t>
      </w:r>
      <w:r>
        <w:rPr>
          <w:rFonts w:ascii="宋体" w:hAnsi="宋体" w:eastAsia="宋体" w:cs="宋体"/>
          <w:spacing w:val="-50"/>
          <w:sz w:val="24"/>
          <w:szCs w:val="24"/>
          <w:u w:val="single" w:color="auto"/>
        </w:rPr>
        <w:t xml:space="preserve"> </w:t>
      </w:r>
      <w:r>
        <w:rPr>
          <w:rFonts w:ascii="宋体" w:hAnsi="宋体" w:eastAsia="宋体" w:cs="宋体"/>
          <w:spacing w:val="-4"/>
          <w:sz w:val="24"/>
          <w:szCs w:val="24"/>
          <w:u w:val="single" w:color="auto"/>
        </w:rPr>
        <w:t>份</w:t>
      </w:r>
    </w:p>
    <w:p w14:paraId="7B97C351">
      <w:pPr>
        <w:spacing w:before="183" w:line="219" w:lineRule="auto"/>
        <w:ind w:left="493"/>
        <w:rPr>
          <w:rFonts w:ascii="宋体" w:hAnsi="宋体" w:eastAsia="宋体" w:cs="宋体"/>
          <w:sz w:val="24"/>
          <w:szCs w:val="24"/>
        </w:rPr>
      </w:pPr>
      <w:r>
        <w:rPr>
          <w:rFonts w:ascii="宋体" w:hAnsi="宋体" w:eastAsia="宋体" w:cs="宋体"/>
          <w:spacing w:val="-5"/>
          <w:sz w:val="24"/>
          <w:szCs w:val="24"/>
          <w:u w:val="single" w:color="auto"/>
        </w:rPr>
        <w:t>d.测图</w:t>
      </w:r>
      <w:r>
        <w:rPr>
          <w:rFonts w:ascii="宋体" w:hAnsi="宋体" w:eastAsia="宋体" w:cs="宋体"/>
          <w:spacing w:val="-46"/>
          <w:sz w:val="24"/>
          <w:szCs w:val="24"/>
          <w:u w:val="single" w:color="auto"/>
        </w:rPr>
        <w:t xml:space="preserve"> </w:t>
      </w:r>
      <w:r>
        <w:rPr>
          <w:rFonts w:ascii="宋体" w:hAnsi="宋体" w:eastAsia="宋体" w:cs="宋体"/>
          <w:spacing w:val="-5"/>
          <w:sz w:val="24"/>
          <w:szCs w:val="24"/>
          <w:u w:val="single" w:color="auto"/>
        </w:rPr>
        <w:t>3</w:t>
      </w:r>
      <w:r>
        <w:rPr>
          <w:rFonts w:ascii="宋体" w:hAnsi="宋体" w:eastAsia="宋体" w:cs="宋体"/>
          <w:spacing w:val="-50"/>
          <w:sz w:val="24"/>
          <w:szCs w:val="24"/>
          <w:u w:val="single" w:color="auto"/>
        </w:rPr>
        <w:t xml:space="preserve"> </w:t>
      </w:r>
      <w:r>
        <w:rPr>
          <w:rFonts w:ascii="宋体" w:hAnsi="宋体" w:eastAsia="宋体" w:cs="宋体"/>
          <w:spacing w:val="-5"/>
          <w:sz w:val="24"/>
          <w:szCs w:val="24"/>
          <w:u w:val="single" w:color="auto"/>
        </w:rPr>
        <w:t>份</w:t>
      </w:r>
    </w:p>
    <w:p w14:paraId="54E5D2BF">
      <w:pPr>
        <w:spacing w:before="181" w:line="219" w:lineRule="auto"/>
        <w:ind w:left="494"/>
        <w:rPr>
          <w:rFonts w:ascii="宋体" w:hAnsi="宋体" w:eastAsia="宋体" w:cs="宋体"/>
          <w:sz w:val="24"/>
          <w:szCs w:val="24"/>
        </w:rPr>
      </w:pPr>
      <w:r>
        <w:rPr>
          <w:rFonts w:ascii="宋体" w:hAnsi="宋体" w:eastAsia="宋体" w:cs="宋体"/>
          <w:spacing w:val="-4"/>
          <w:sz w:val="24"/>
          <w:szCs w:val="24"/>
          <w:u w:val="single" w:color="auto"/>
        </w:rPr>
        <w:t>e.中标人开具的正式发票</w:t>
      </w:r>
      <w:r>
        <w:rPr>
          <w:rFonts w:ascii="宋体" w:hAnsi="宋体" w:eastAsia="宋体" w:cs="宋体"/>
          <w:spacing w:val="-21"/>
          <w:sz w:val="24"/>
          <w:szCs w:val="24"/>
          <w:u w:val="single" w:color="auto"/>
        </w:rPr>
        <w:t xml:space="preserve"> </w:t>
      </w:r>
      <w:r>
        <w:rPr>
          <w:rFonts w:ascii="宋体" w:hAnsi="宋体" w:eastAsia="宋体" w:cs="宋体"/>
          <w:spacing w:val="-4"/>
          <w:sz w:val="24"/>
          <w:szCs w:val="24"/>
          <w:u w:val="single" w:color="auto"/>
        </w:rPr>
        <w:t>1</w:t>
      </w:r>
      <w:r>
        <w:rPr>
          <w:rFonts w:ascii="宋体" w:hAnsi="宋体" w:eastAsia="宋体" w:cs="宋体"/>
          <w:spacing w:val="-50"/>
          <w:sz w:val="24"/>
          <w:szCs w:val="24"/>
          <w:u w:val="single" w:color="auto"/>
        </w:rPr>
        <w:t xml:space="preserve"> </w:t>
      </w:r>
      <w:r>
        <w:rPr>
          <w:rFonts w:ascii="宋体" w:hAnsi="宋体" w:eastAsia="宋体" w:cs="宋体"/>
          <w:spacing w:val="-4"/>
          <w:sz w:val="24"/>
          <w:szCs w:val="24"/>
          <w:u w:val="single" w:color="auto"/>
        </w:rPr>
        <w:t>份</w:t>
      </w:r>
    </w:p>
    <w:p w14:paraId="00468CB6">
      <w:pPr>
        <w:spacing w:before="183" w:line="219" w:lineRule="auto"/>
        <w:ind w:left="506"/>
        <w:rPr>
          <w:rFonts w:ascii="宋体" w:hAnsi="宋体" w:eastAsia="宋体" w:cs="宋体"/>
          <w:sz w:val="24"/>
          <w:szCs w:val="24"/>
        </w:rPr>
      </w:pPr>
      <w:r>
        <w:rPr>
          <w:rFonts w:ascii="宋体" w:hAnsi="宋体" w:eastAsia="宋体" w:cs="宋体"/>
          <w:sz w:val="24"/>
          <w:szCs w:val="24"/>
        </w:rPr>
        <w:t>17.3.3 进度付款证书和支付时间:</w:t>
      </w:r>
    </w:p>
    <w:p w14:paraId="6D0F166B">
      <w:pPr>
        <w:spacing w:before="181" w:line="219" w:lineRule="auto"/>
        <w:ind w:left="488"/>
        <w:rPr>
          <w:rFonts w:ascii="宋体" w:hAnsi="宋体" w:eastAsia="宋体" w:cs="宋体"/>
          <w:sz w:val="24"/>
          <w:szCs w:val="24"/>
        </w:rPr>
      </w:pPr>
      <w:r>
        <w:rPr>
          <w:rFonts w:ascii="宋体" w:hAnsi="宋体" w:eastAsia="宋体" w:cs="宋体"/>
          <w:spacing w:val="-1"/>
          <w:sz w:val="24"/>
          <w:szCs w:val="24"/>
        </w:rPr>
        <w:t>通用合同条款本项的内容不适用于本合同，代之以：</w:t>
      </w:r>
    </w:p>
    <w:p w14:paraId="78E8110E">
      <w:pPr>
        <w:spacing w:before="182" w:line="359" w:lineRule="auto"/>
        <w:ind w:left="6" w:firstLine="499"/>
        <w:rPr>
          <w:rFonts w:ascii="宋体" w:hAnsi="宋体" w:eastAsia="宋体" w:cs="宋体"/>
          <w:sz w:val="24"/>
          <w:szCs w:val="24"/>
        </w:rPr>
      </w:pPr>
      <w:r>
        <w:rPr>
          <w:rFonts w:ascii="宋体" w:hAnsi="宋体" w:eastAsia="宋体" w:cs="宋体"/>
          <w:spacing w:val="-1"/>
          <w:sz w:val="24"/>
          <w:szCs w:val="24"/>
        </w:rPr>
        <w:t>17.3.3.1 进度款支付：监理工程师在接到进度付款申请单后</w:t>
      </w:r>
      <w:r>
        <w:rPr>
          <w:rFonts w:ascii="宋体" w:hAnsi="宋体" w:eastAsia="宋体" w:cs="宋体"/>
          <w:spacing w:val="-1"/>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1"/>
          <w:sz w:val="24"/>
          <w:szCs w:val="24"/>
        </w:rPr>
        <w:t>天内确认并报发包人和发包人代表，发包人和发包人代表在</w:t>
      </w:r>
      <w:r>
        <w:rPr>
          <w:rFonts w:ascii="宋体" w:hAnsi="宋体" w:eastAsia="宋体" w:cs="宋体"/>
          <w:spacing w:val="31"/>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1"/>
          <w:sz w:val="24"/>
          <w:szCs w:val="24"/>
        </w:rPr>
        <w:t>天内审核完后，在</w:t>
      </w:r>
      <w:r>
        <w:rPr>
          <w:rFonts w:ascii="宋体" w:hAnsi="宋体" w:eastAsia="宋体" w:cs="宋体"/>
          <w:spacing w:val="31"/>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
          <w:sz w:val="24"/>
          <w:szCs w:val="24"/>
        </w:rPr>
        <w:t>天内支付</w:t>
      </w:r>
      <w:r>
        <w:rPr>
          <w:rFonts w:ascii="宋体" w:hAnsi="宋体" w:eastAsia="宋体" w:cs="宋体"/>
          <w:spacing w:val="-2"/>
          <w:sz w:val="24"/>
          <w:szCs w:val="24"/>
        </w:rPr>
        <w:t>。每期</w:t>
      </w:r>
      <w:r>
        <w:rPr>
          <w:rFonts w:ascii="宋体" w:hAnsi="宋体" w:eastAsia="宋体" w:cs="宋体"/>
          <w:spacing w:val="-1"/>
          <w:sz w:val="24"/>
          <w:szCs w:val="24"/>
        </w:rPr>
        <w:t>进度款按当期应付进度款扣除如下款项后支付。</w:t>
      </w:r>
    </w:p>
    <w:p w14:paraId="59B2E37B">
      <w:pPr>
        <w:spacing w:before="1" w:line="219" w:lineRule="auto"/>
        <w:ind w:left="597"/>
        <w:rPr>
          <w:rFonts w:ascii="宋体" w:hAnsi="宋体" w:eastAsia="宋体" w:cs="宋体"/>
          <w:sz w:val="24"/>
          <w:szCs w:val="24"/>
        </w:rPr>
      </w:pPr>
      <w:r>
        <w:rPr>
          <w:rFonts w:ascii="宋体" w:hAnsi="宋体" w:eastAsia="宋体" w:cs="宋体"/>
          <w:spacing w:val="-2"/>
          <w:sz w:val="24"/>
          <w:szCs w:val="24"/>
        </w:rPr>
        <w:t>a、扣除专用条款第</w:t>
      </w:r>
      <w:r>
        <w:rPr>
          <w:rFonts w:ascii="宋体" w:hAnsi="宋体" w:eastAsia="宋体" w:cs="宋体"/>
          <w:spacing w:val="-33"/>
          <w:sz w:val="24"/>
          <w:szCs w:val="24"/>
        </w:rPr>
        <w:t xml:space="preserve"> </w:t>
      </w:r>
      <w:r>
        <w:rPr>
          <w:rFonts w:ascii="宋体" w:hAnsi="宋体" w:eastAsia="宋体" w:cs="宋体"/>
          <w:spacing w:val="-2"/>
          <w:sz w:val="24"/>
          <w:szCs w:val="24"/>
        </w:rPr>
        <w:t>17.2</w:t>
      </w:r>
      <w:r>
        <w:rPr>
          <w:rFonts w:ascii="宋体" w:hAnsi="宋体" w:eastAsia="宋体" w:cs="宋体"/>
          <w:spacing w:val="-50"/>
          <w:sz w:val="24"/>
          <w:szCs w:val="24"/>
        </w:rPr>
        <w:t xml:space="preserve"> </w:t>
      </w:r>
      <w:r>
        <w:rPr>
          <w:rFonts w:ascii="宋体" w:hAnsi="宋体" w:eastAsia="宋体" w:cs="宋体"/>
          <w:spacing w:val="-2"/>
          <w:sz w:val="24"/>
          <w:szCs w:val="24"/>
        </w:rPr>
        <w:t>款中应扣回的预</w:t>
      </w:r>
      <w:r>
        <w:rPr>
          <w:rFonts w:ascii="宋体" w:hAnsi="宋体" w:eastAsia="宋体" w:cs="宋体"/>
          <w:spacing w:val="-3"/>
          <w:sz w:val="24"/>
          <w:szCs w:val="24"/>
        </w:rPr>
        <w:t>付款；</w:t>
      </w:r>
    </w:p>
    <w:p w14:paraId="2CAE6169">
      <w:pPr>
        <w:spacing w:before="183" w:line="219" w:lineRule="auto"/>
        <w:ind w:left="592"/>
        <w:rPr>
          <w:rFonts w:ascii="宋体" w:hAnsi="宋体" w:eastAsia="宋体" w:cs="宋体"/>
          <w:sz w:val="24"/>
          <w:szCs w:val="24"/>
        </w:rPr>
      </w:pPr>
      <w:r>
        <w:rPr>
          <w:rFonts w:ascii="宋体" w:hAnsi="宋体" w:eastAsia="宋体" w:cs="宋体"/>
          <w:spacing w:val="-1"/>
          <w:sz w:val="24"/>
          <w:szCs w:val="24"/>
        </w:rPr>
        <w:t>b、扣除根据合同约定，应扣除的其他费用。</w:t>
      </w:r>
    </w:p>
    <w:p w14:paraId="5FEF9985">
      <w:pPr>
        <w:spacing w:before="147" w:line="386" w:lineRule="auto"/>
        <w:ind w:left="600"/>
        <w:rPr>
          <w:rFonts w:ascii="宋体" w:hAnsi="宋体" w:eastAsia="宋体" w:cs="宋体"/>
          <w:sz w:val="24"/>
          <w:szCs w:val="24"/>
        </w:rPr>
      </w:pPr>
      <w:r>
        <w:rPr>
          <w:rFonts w:ascii="宋体" w:hAnsi="宋体" w:eastAsia="宋体" w:cs="宋体"/>
          <w:spacing w:val="-1"/>
          <w:sz w:val="24"/>
          <w:szCs w:val="24"/>
        </w:rPr>
        <w:t>项目交工后，支付至结算价的</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4E9EF9EE">
      <w:pPr>
        <w:spacing w:before="3" w:line="358" w:lineRule="auto"/>
        <w:ind w:left="8" w:right="7" w:firstLine="497"/>
        <w:rPr>
          <w:rFonts w:ascii="宋体" w:hAnsi="宋体" w:eastAsia="宋体" w:cs="宋体"/>
          <w:sz w:val="24"/>
          <w:szCs w:val="24"/>
        </w:rPr>
      </w:pPr>
      <w:r>
        <w:rPr>
          <w:rFonts w:ascii="宋体" w:hAnsi="宋体" w:eastAsia="宋体" w:cs="宋体"/>
          <w:spacing w:val="-1"/>
          <w:sz w:val="24"/>
          <w:szCs w:val="24"/>
        </w:rPr>
        <w:t>17.3.3.2 变更支付：在支付进度款时，经审批同意并已实施的设计变更增加的项</w:t>
      </w:r>
      <w:r>
        <w:rPr>
          <w:rFonts w:ascii="宋体" w:hAnsi="宋体" w:eastAsia="宋体" w:cs="宋体"/>
          <w:spacing w:val="1"/>
          <w:sz w:val="24"/>
          <w:szCs w:val="24"/>
        </w:rPr>
        <w:t>目内容可先按变更价款暂定金额的</w:t>
      </w:r>
      <w:r>
        <w:rPr>
          <w:rFonts w:ascii="宋体" w:hAnsi="宋体" w:eastAsia="宋体" w:cs="宋体"/>
          <w:spacing w:val="1"/>
          <w:sz w:val="24"/>
          <w:szCs w:val="24"/>
          <w:u w:val="single" w:color="auto"/>
        </w:rPr>
        <w:t>80%</w:t>
      </w:r>
      <w:r>
        <w:rPr>
          <w:rFonts w:ascii="宋体" w:hAnsi="宋体" w:eastAsia="宋体" w:cs="宋体"/>
          <w:spacing w:val="1"/>
          <w:sz w:val="24"/>
          <w:szCs w:val="24"/>
        </w:rPr>
        <w:t>支付，待工程交工验收后补充支付余下金额，设</w:t>
      </w:r>
      <w:r>
        <w:rPr>
          <w:rFonts w:ascii="宋体" w:hAnsi="宋体" w:eastAsia="宋体" w:cs="宋体"/>
          <w:spacing w:val="-1"/>
          <w:sz w:val="24"/>
          <w:szCs w:val="24"/>
        </w:rPr>
        <w:t>计变更减少内容的按进度款正常支付规定进行支付。</w:t>
      </w:r>
    </w:p>
    <w:p w14:paraId="0AF78B23">
      <w:pPr>
        <w:spacing w:before="1" w:line="217" w:lineRule="auto"/>
        <w:ind w:left="506"/>
        <w:rPr>
          <w:rFonts w:ascii="宋体" w:hAnsi="宋体" w:eastAsia="宋体" w:cs="宋体"/>
          <w:sz w:val="24"/>
          <w:szCs w:val="24"/>
        </w:rPr>
      </w:pPr>
      <w:r>
        <w:rPr>
          <w:rFonts w:ascii="宋体" w:hAnsi="宋体" w:eastAsia="宋体" w:cs="宋体"/>
          <w:spacing w:val="-2"/>
          <w:sz w:val="24"/>
          <w:szCs w:val="24"/>
        </w:rPr>
        <w:t>17.3.3.3 调价支付：按专用条款第</w:t>
      </w:r>
      <w:r>
        <w:rPr>
          <w:rFonts w:ascii="宋体" w:hAnsi="宋体" w:eastAsia="宋体" w:cs="宋体"/>
          <w:spacing w:val="-24"/>
          <w:sz w:val="24"/>
          <w:szCs w:val="24"/>
        </w:rPr>
        <w:t xml:space="preserve"> </w:t>
      </w:r>
      <w:r>
        <w:rPr>
          <w:rFonts w:ascii="宋体" w:hAnsi="宋体" w:eastAsia="宋体" w:cs="宋体"/>
          <w:spacing w:val="-2"/>
          <w:sz w:val="24"/>
          <w:szCs w:val="24"/>
        </w:rPr>
        <w:t>16</w:t>
      </w:r>
      <w:r>
        <w:rPr>
          <w:rFonts w:ascii="宋体" w:hAnsi="宋体" w:eastAsia="宋体" w:cs="宋体"/>
          <w:spacing w:val="-49"/>
          <w:sz w:val="24"/>
          <w:szCs w:val="24"/>
        </w:rPr>
        <w:t xml:space="preserve"> </w:t>
      </w:r>
      <w:r>
        <w:rPr>
          <w:rFonts w:ascii="宋体" w:hAnsi="宋体" w:eastAsia="宋体" w:cs="宋体"/>
          <w:spacing w:val="-2"/>
          <w:sz w:val="24"/>
          <w:szCs w:val="24"/>
        </w:rPr>
        <w:t>条的规定调价，待批复后进行支付。</w:t>
      </w:r>
    </w:p>
    <w:p w14:paraId="0D58A86C">
      <w:pPr>
        <w:spacing w:before="187" w:line="359" w:lineRule="auto"/>
        <w:ind w:left="8" w:firstLine="497"/>
        <w:rPr>
          <w:rFonts w:ascii="宋体" w:hAnsi="宋体" w:eastAsia="宋体" w:cs="宋体"/>
          <w:sz w:val="24"/>
          <w:szCs w:val="24"/>
        </w:rPr>
      </w:pPr>
      <w:r>
        <w:rPr>
          <w:rFonts w:ascii="宋体" w:hAnsi="宋体" w:eastAsia="宋体" w:cs="宋体"/>
          <w:spacing w:val="-1"/>
          <w:sz w:val="24"/>
          <w:szCs w:val="24"/>
        </w:rPr>
        <w:t>17.3.3.4 承包人发生合同约定的违约情况时，无论发包人是否解除合同，发包人</w:t>
      </w:r>
      <w:r>
        <w:rPr>
          <w:rFonts w:ascii="宋体" w:hAnsi="宋体" w:eastAsia="宋体" w:cs="宋体"/>
          <w:spacing w:val="-2"/>
          <w:sz w:val="24"/>
          <w:szCs w:val="24"/>
        </w:rPr>
        <w:t>均有权按本合同的规定向承包人扣罚违约金，发包人按合同规定向承包人开出的任何违约惩罚金，除合同另有规定外，均从发包人应向承包人支付的工程款中直接扣除。除非合同另有规定，发包人向承包人开出的任何违约惩罚金将导致承包人最终的应得结算价款相应地减少。承包人必须完全接受上述条款。发包人按合同规定向承包人开出的任何违约惩罚金的扣除时间，可以在发包人认为合适的任何一个期中支付月份中扣除。发包</w:t>
      </w:r>
      <w:r>
        <w:rPr>
          <w:rFonts w:ascii="宋体" w:hAnsi="宋体" w:eastAsia="宋体" w:cs="宋体"/>
          <w:sz w:val="24"/>
          <w:szCs w:val="24"/>
        </w:rPr>
        <w:t>人扣除违约惩罚金时间的延迟或滞后并不代表对承包人当时</w:t>
      </w:r>
      <w:r>
        <w:rPr>
          <w:rFonts w:ascii="宋体" w:hAnsi="宋体" w:eastAsia="宋体" w:cs="宋体"/>
          <w:spacing w:val="-1"/>
          <w:sz w:val="24"/>
          <w:szCs w:val="24"/>
        </w:rPr>
        <w:t>各种行为的认可或默认。</w:t>
      </w:r>
    </w:p>
    <w:p w14:paraId="070D842C">
      <w:pPr>
        <w:spacing w:before="3" w:line="358" w:lineRule="auto"/>
        <w:ind w:left="7" w:firstLine="498"/>
        <w:rPr>
          <w:rFonts w:ascii="宋体" w:hAnsi="宋体" w:eastAsia="宋体" w:cs="宋体"/>
          <w:sz w:val="24"/>
          <w:szCs w:val="24"/>
        </w:rPr>
      </w:pPr>
      <w:r>
        <w:rPr>
          <w:rFonts w:ascii="宋体" w:hAnsi="宋体" w:eastAsia="宋体" w:cs="宋体"/>
          <w:spacing w:val="-1"/>
          <w:sz w:val="24"/>
          <w:szCs w:val="24"/>
        </w:rPr>
        <w:t>17.3.3.5 监理人出具进度付款证书，应视为监理人已同意、批准或接受了承包人</w:t>
      </w:r>
      <w:r>
        <w:rPr>
          <w:rFonts w:ascii="宋体" w:hAnsi="宋体" w:eastAsia="宋体" w:cs="宋体"/>
          <w:spacing w:val="-2"/>
          <w:sz w:val="24"/>
          <w:szCs w:val="24"/>
        </w:rPr>
        <w:t>完成的该部分工作。但是监理人的同意、批准或接受不免除承包人应承担的工程质量责</w:t>
      </w:r>
      <w:bookmarkStart w:id="62" w:name="bookmark214"/>
      <w:bookmarkEnd w:id="62"/>
      <w:r>
        <w:rPr>
          <w:rFonts w:ascii="宋体" w:hAnsi="宋体" w:eastAsia="宋体" w:cs="宋体"/>
          <w:spacing w:val="-5"/>
          <w:sz w:val="24"/>
          <w:szCs w:val="24"/>
        </w:rPr>
        <w:t>任。</w:t>
      </w:r>
    </w:p>
    <w:p w14:paraId="4D289605">
      <w:pPr>
        <w:spacing w:line="219" w:lineRule="auto"/>
        <w:ind w:left="506"/>
        <w:rPr>
          <w:rFonts w:ascii="宋体" w:hAnsi="宋体" w:eastAsia="宋体" w:cs="宋体"/>
          <w:sz w:val="24"/>
          <w:szCs w:val="24"/>
        </w:rPr>
      </w:pPr>
      <w:r>
        <w:rPr>
          <w:rFonts w:ascii="宋体" w:hAnsi="宋体" w:eastAsia="宋体" w:cs="宋体"/>
          <w:spacing w:val="-1"/>
          <w:sz w:val="24"/>
          <w:szCs w:val="24"/>
        </w:rPr>
        <w:t>17.3.3.6 发包人付款前，承包人需要开具相应金额的增值税发票。进度付款涉及</w:t>
      </w:r>
    </w:p>
    <w:p w14:paraId="28555C4B">
      <w:pPr>
        <w:spacing w:before="312" w:line="359" w:lineRule="auto"/>
        <w:ind w:left="14" w:hanging="7"/>
        <w:rPr>
          <w:rFonts w:ascii="宋体" w:hAnsi="宋体" w:eastAsia="宋体" w:cs="宋体"/>
          <w:sz w:val="24"/>
          <w:szCs w:val="24"/>
        </w:rPr>
      </w:pPr>
      <w:r>
        <w:rPr>
          <w:rFonts w:ascii="宋体" w:hAnsi="宋体" w:eastAsia="宋体" w:cs="宋体"/>
          <w:spacing w:val="-2"/>
          <w:sz w:val="24"/>
          <w:szCs w:val="24"/>
        </w:rPr>
        <w:t>政府投资资金的，按照国库集中支付等政府相关规定和专用合同条款的约定办理。涉及</w:t>
      </w:r>
      <w:r>
        <w:rPr>
          <w:rFonts w:ascii="宋体" w:hAnsi="宋体" w:eastAsia="宋体" w:cs="宋体"/>
          <w:spacing w:val="-1"/>
          <w:sz w:val="24"/>
          <w:szCs w:val="24"/>
        </w:rPr>
        <w:t>到财政资金的，按财政资金支付管理办法执行。</w:t>
      </w:r>
    </w:p>
    <w:p w14:paraId="64DBFA95">
      <w:pPr>
        <w:spacing w:line="220" w:lineRule="auto"/>
        <w:ind w:left="546"/>
        <w:rPr>
          <w:rFonts w:ascii="宋体" w:hAnsi="宋体" w:eastAsia="宋体" w:cs="宋体"/>
          <w:sz w:val="24"/>
          <w:szCs w:val="24"/>
        </w:rPr>
      </w:pPr>
      <w:r>
        <w:rPr>
          <w:rFonts w:ascii="宋体" w:hAnsi="宋体" w:eastAsia="宋体" w:cs="宋体"/>
          <w:spacing w:val="-3"/>
          <w:sz w:val="24"/>
          <w:szCs w:val="24"/>
        </w:rPr>
        <w:t>17.3.5</w:t>
      </w:r>
      <w:r>
        <w:rPr>
          <w:rFonts w:ascii="宋体" w:hAnsi="宋体" w:eastAsia="宋体" w:cs="宋体"/>
          <w:spacing w:val="-47"/>
          <w:sz w:val="24"/>
          <w:szCs w:val="24"/>
        </w:rPr>
        <w:t xml:space="preserve"> </w:t>
      </w:r>
      <w:r>
        <w:rPr>
          <w:rFonts w:ascii="宋体" w:hAnsi="宋体" w:eastAsia="宋体" w:cs="宋体"/>
          <w:spacing w:val="-3"/>
          <w:sz w:val="24"/>
          <w:szCs w:val="24"/>
        </w:rPr>
        <w:t>农民工工资保证金</w:t>
      </w:r>
    </w:p>
    <w:p w14:paraId="484EC5A7">
      <w:pPr>
        <w:spacing w:before="178" w:line="352" w:lineRule="auto"/>
        <w:ind w:left="8" w:firstLine="481"/>
        <w:rPr>
          <w:rFonts w:ascii="宋体" w:hAnsi="宋体" w:eastAsia="宋体" w:cs="宋体"/>
          <w:sz w:val="24"/>
          <w:szCs w:val="24"/>
        </w:rPr>
      </w:pPr>
      <w:r>
        <w:rPr>
          <w:rFonts w:ascii="宋体" w:hAnsi="宋体" w:eastAsia="宋体" w:cs="宋体"/>
          <w:spacing w:val="-2"/>
          <w:sz w:val="24"/>
          <w:szCs w:val="24"/>
        </w:rPr>
        <w:t>按广东省交通运输厅转发人力资源社会保障部等部门《工程建设领域农民工工资保</w:t>
      </w:r>
      <w:r>
        <w:rPr>
          <w:rFonts w:ascii="宋体" w:hAnsi="宋体" w:eastAsia="宋体" w:cs="宋体"/>
          <w:spacing w:val="-1"/>
          <w:sz w:val="24"/>
          <w:szCs w:val="24"/>
        </w:rPr>
        <w:t>证金规定》的通知执行。</w:t>
      </w:r>
    </w:p>
    <w:p w14:paraId="308A61FD">
      <w:pPr>
        <w:spacing w:line="227" w:lineRule="auto"/>
        <w:ind w:left="506"/>
        <w:rPr>
          <w:rFonts w:ascii="宋体" w:hAnsi="宋体" w:eastAsia="宋体" w:cs="宋体"/>
          <w:sz w:val="12"/>
          <w:szCs w:val="12"/>
        </w:rPr>
      </w:pPr>
      <w:r>
        <w:rPr>
          <w:rFonts w:ascii="宋体" w:hAnsi="宋体" w:eastAsia="宋体" w:cs="宋体"/>
          <w:b/>
          <w:bCs/>
          <w:spacing w:val="-4"/>
          <w:sz w:val="24"/>
          <w:szCs w:val="24"/>
        </w:rPr>
        <w:t>17.4</w:t>
      </w:r>
      <w:r>
        <w:rPr>
          <w:rFonts w:ascii="宋体" w:hAnsi="宋体" w:eastAsia="宋体" w:cs="宋体"/>
          <w:spacing w:val="-4"/>
          <w:sz w:val="24"/>
          <w:szCs w:val="24"/>
        </w:rPr>
        <w:t xml:space="preserve"> </w:t>
      </w:r>
      <w:r>
        <w:rPr>
          <w:rFonts w:ascii="宋体" w:hAnsi="宋体" w:eastAsia="宋体" w:cs="宋体"/>
          <w:b/>
          <w:bCs/>
          <w:spacing w:val="-4"/>
          <w:sz w:val="24"/>
          <w:szCs w:val="24"/>
        </w:rPr>
        <w:t>质量保证金</w:t>
      </w:r>
    </w:p>
    <w:p w14:paraId="66808751">
      <w:pPr>
        <w:spacing w:before="191" w:line="218" w:lineRule="auto"/>
        <w:ind w:left="506"/>
        <w:rPr>
          <w:rFonts w:ascii="宋体" w:hAnsi="宋体" w:eastAsia="宋体" w:cs="宋体"/>
          <w:sz w:val="24"/>
          <w:szCs w:val="24"/>
        </w:rPr>
      </w:pPr>
      <w:r>
        <w:rPr>
          <w:rFonts w:ascii="宋体" w:hAnsi="宋体" w:eastAsia="宋体" w:cs="宋体"/>
          <w:spacing w:val="-1"/>
          <w:sz w:val="24"/>
          <w:szCs w:val="24"/>
        </w:rPr>
        <w:t>17.4.1 质量保证金的比例：合同结算价的</w:t>
      </w:r>
      <w:r>
        <w:rPr>
          <w:rFonts w:ascii="宋体" w:hAnsi="宋体" w:eastAsia="宋体" w:cs="宋体"/>
          <w:spacing w:val="-1"/>
          <w:sz w:val="24"/>
          <w:szCs w:val="24"/>
          <w:u w:val="single" w:color="auto"/>
        </w:rPr>
        <w:t xml:space="preserve">  3 </w:t>
      </w:r>
      <w:r>
        <w:rPr>
          <w:rFonts w:ascii="宋体" w:hAnsi="宋体" w:eastAsia="宋体" w:cs="宋体"/>
          <w:spacing w:val="-1"/>
          <w:sz w:val="24"/>
          <w:szCs w:val="24"/>
        </w:rPr>
        <w:t xml:space="preserve"> %；</w:t>
      </w:r>
    </w:p>
    <w:p w14:paraId="38061ED3">
      <w:pPr>
        <w:spacing w:before="183" w:line="359" w:lineRule="auto"/>
        <w:ind w:left="9" w:firstLine="638"/>
        <w:jc w:val="both"/>
        <w:rPr>
          <w:rFonts w:ascii="宋体" w:hAnsi="宋体" w:eastAsia="宋体" w:cs="宋体"/>
          <w:sz w:val="24"/>
          <w:szCs w:val="24"/>
        </w:rPr>
      </w:pPr>
      <w:r>
        <w:rPr>
          <w:rFonts w:ascii="宋体" w:hAnsi="宋体" w:eastAsia="宋体" w:cs="宋体"/>
          <w:sz w:val="24"/>
          <w:szCs w:val="24"/>
        </w:rPr>
        <w:t>质量保证金的形式：</w:t>
      </w:r>
      <w:r>
        <w:rPr>
          <w:rFonts w:ascii="宋体" w:hAnsi="宋体" w:eastAsia="宋体" w:cs="宋体"/>
          <w:sz w:val="24"/>
          <w:szCs w:val="24"/>
          <w:u w:val="single" w:color="auto"/>
        </w:rPr>
        <w:t>银行转账、银行保函、电汇或其</w:t>
      </w:r>
      <w:r>
        <w:rPr>
          <w:rFonts w:ascii="宋体" w:hAnsi="宋体" w:eastAsia="宋体" w:cs="宋体"/>
          <w:spacing w:val="-1"/>
          <w:sz w:val="24"/>
          <w:szCs w:val="24"/>
          <w:u w:val="single" w:color="auto"/>
        </w:rPr>
        <w:t>他合法形式</w:t>
      </w:r>
      <w:r>
        <w:rPr>
          <w:rFonts w:ascii="宋体" w:hAnsi="宋体" w:eastAsia="宋体" w:cs="宋体"/>
          <w:spacing w:val="-1"/>
          <w:sz w:val="24"/>
          <w:szCs w:val="24"/>
        </w:rPr>
        <w:t>。承包人如采用</w:t>
      </w:r>
      <w:r>
        <w:rPr>
          <w:rFonts w:ascii="宋体" w:hAnsi="宋体" w:eastAsia="宋体" w:cs="宋体"/>
          <w:spacing w:val="-2"/>
          <w:sz w:val="24"/>
          <w:szCs w:val="24"/>
        </w:rPr>
        <w:t>银行保函，出具保函的银行应为国有商业银行或股份制商业银行的地市级支行或以上级</w:t>
      </w:r>
      <w:r>
        <w:rPr>
          <w:rFonts w:ascii="宋体" w:hAnsi="宋体" w:eastAsia="宋体" w:cs="宋体"/>
          <w:sz w:val="24"/>
          <w:szCs w:val="24"/>
        </w:rPr>
        <w:t>别的银行。在工程交工验收结算时一次性向发包</w:t>
      </w:r>
      <w:r>
        <w:rPr>
          <w:rFonts w:ascii="宋体" w:hAnsi="宋体" w:eastAsia="宋体" w:cs="宋体"/>
          <w:spacing w:val="-1"/>
          <w:sz w:val="24"/>
          <w:szCs w:val="24"/>
        </w:rPr>
        <w:t>人提交足额的质量保证金。</w:t>
      </w:r>
    </w:p>
    <w:p w14:paraId="07F5D01F">
      <w:pPr>
        <w:spacing w:line="220" w:lineRule="auto"/>
        <w:ind w:left="489"/>
        <w:rPr>
          <w:rFonts w:ascii="宋体" w:hAnsi="宋体" w:eastAsia="宋体" w:cs="宋体"/>
          <w:sz w:val="24"/>
          <w:szCs w:val="24"/>
        </w:rPr>
      </w:pPr>
      <w:r>
        <w:rPr>
          <w:rFonts w:ascii="宋体" w:hAnsi="宋体" w:eastAsia="宋体" w:cs="宋体"/>
          <w:spacing w:val="-3"/>
          <w:sz w:val="24"/>
          <w:szCs w:val="24"/>
        </w:rPr>
        <w:t>开户名：</w:t>
      </w:r>
      <w:r>
        <w:rPr>
          <w:rFonts w:ascii="宋体" w:hAnsi="宋体" w:eastAsia="宋体" w:cs="宋体"/>
          <w:sz w:val="24"/>
          <w:szCs w:val="24"/>
          <w:u w:val="single" w:color="auto"/>
        </w:rPr>
        <w:t xml:space="preserve">                          </w:t>
      </w:r>
    </w:p>
    <w:p w14:paraId="686477C5">
      <w:pPr>
        <w:spacing w:before="180" w:line="220" w:lineRule="auto"/>
        <w:ind w:left="492"/>
        <w:rPr>
          <w:rFonts w:ascii="宋体" w:hAnsi="宋体" w:eastAsia="宋体" w:cs="宋体"/>
          <w:sz w:val="24"/>
          <w:szCs w:val="24"/>
        </w:rPr>
      </w:pPr>
      <w:r>
        <w:rPr>
          <w:rFonts w:ascii="宋体" w:hAnsi="宋体" w:eastAsia="宋体" w:cs="宋体"/>
          <w:spacing w:val="-3"/>
          <w:sz w:val="24"/>
          <w:szCs w:val="24"/>
        </w:rPr>
        <w:t>发包人账号：</w:t>
      </w:r>
      <w:r>
        <w:rPr>
          <w:rFonts w:ascii="宋体" w:hAnsi="宋体" w:eastAsia="宋体" w:cs="宋体"/>
          <w:sz w:val="24"/>
          <w:szCs w:val="24"/>
          <w:u w:val="single" w:color="auto"/>
        </w:rPr>
        <w:t xml:space="preserve">                      </w:t>
      </w:r>
    </w:p>
    <w:p w14:paraId="3A8A7788">
      <w:pPr>
        <w:spacing w:before="182" w:line="220" w:lineRule="auto"/>
        <w:ind w:left="492"/>
        <w:rPr>
          <w:rFonts w:ascii="宋体" w:hAnsi="宋体" w:eastAsia="宋体" w:cs="宋体"/>
          <w:sz w:val="24"/>
          <w:szCs w:val="24"/>
        </w:rPr>
      </w:pPr>
      <w:r>
        <w:rPr>
          <w:rFonts w:ascii="宋体" w:hAnsi="宋体" w:eastAsia="宋体" w:cs="宋体"/>
          <w:spacing w:val="-2"/>
          <w:sz w:val="24"/>
          <w:szCs w:val="24"/>
        </w:rPr>
        <w:t>发包人开户行：</w:t>
      </w:r>
      <w:r>
        <w:rPr>
          <w:rFonts w:ascii="宋体" w:hAnsi="宋体" w:eastAsia="宋体" w:cs="宋体"/>
          <w:sz w:val="24"/>
          <w:szCs w:val="24"/>
          <w:u w:val="single" w:color="auto"/>
        </w:rPr>
        <w:t xml:space="preserve">                    </w:t>
      </w:r>
    </w:p>
    <w:p w14:paraId="7E96E601">
      <w:pPr>
        <w:spacing w:before="182" w:line="359" w:lineRule="auto"/>
        <w:ind w:left="47" w:right="67" w:firstLine="458"/>
        <w:rPr>
          <w:rFonts w:ascii="宋体" w:hAnsi="宋体" w:eastAsia="宋体" w:cs="宋体"/>
          <w:sz w:val="24"/>
          <w:szCs w:val="24"/>
        </w:rPr>
      </w:pPr>
      <w:r>
        <w:rPr>
          <w:rFonts w:ascii="宋体" w:hAnsi="宋体" w:eastAsia="宋体" w:cs="宋体"/>
          <w:spacing w:val="-1"/>
          <w:sz w:val="24"/>
          <w:szCs w:val="24"/>
        </w:rPr>
        <w:t>17.4.2 质量保证金的返还：本合同缺陷责任期完成后，质量保证金按单位工程所</w:t>
      </w:r>
      <w:r>
        <w:rPr>
          <w:rFonts w:ascii="宋体" w:hAnsi="宋体" w:eastAsia="宋体" w:cs="宋体"/>
          <w:spacing w:val="-6"/>
          <w:sz w:val="24"/>
          <w:szCs w:val="24"/>
        </w:rPr>
        <w:t>占的比例无息返还。</w:t>
      </w:r>
    </w:p>
    <w:p w14:paraId="5159F3A9">
      <w:pPr>
        <w:spacing w:before="1" w:line="219" w:lineRule="auto"/>
        <w:ind w:left="506"/>
        <w:rPr>
          <w:rFonts w:ascii="宋体" w:hAnsi="宋体" w:eastAsia="宋体" w:cs="宋体"/>
          <w:sz w:val="24"/>
          <w:szCs w:val="24"/>
        </w:rPr>
      </w:pPr>
      <w:r>
        <w:rPr>
          <w:rFonts w:ascii="宋体" w:hAnsi="宋体" w:eastAsia="宋体" w:cs="宋体"/>
          <w:b/>
          <w:bCs/>
          <w:spacing w:val="-5"/>
          <w:sz w:val="24"/>
          <w:szCs w:val="24"/>
        </w:rPr>
        <w:t>17.5</w:t>
      </w:r>
      <w:r>
        <w:rPr>
          <w:rFonts w:ascii="宋体" w:hAnsi="宋体" w:eastAsia="宋体" w:cs="宋体"/>
          <w:spacing w:val="-5"/>
          <w:sz w:val="24"/>
          <w:szCs w:val="24"/>
        </w:rPr>
        <w:t xml:space="preserve"> </w:t>
      </w:r>
      <w:r>
        <w:rPr>
          <w:rFonts w:ascii="宋体" w:hAnsi="宋体" w:eastAsia="宋体" w:cs="宋体"/>
          <w:b/>
          <w:bCs/>
          <w:spacing w:val="-5"/>
          <w:sz w:val="24"/>
          <w:szCs w:val="24"/>
        </w:rPr>
        <w:t>竣工结算</w:t>
      </w:r>
    </w:p>
    <w:p w14:paraId="46E08FBC">
      <w:pPr>
        <w:spacing w:before="182" w:line="354" w:lineRule="auto"/>
        <w:ind w:left="11" w:firstLine="477"/>
        <w:jc w:val="both"/>
        <w:rPr>
          <w:rFonts w:ascii="宋体" w:hAnsi="宋体" w:eastAsia="宋体" w:cs="宋体"/>
          <w:sz w:val="24"/>
          <w:szCs w:val="24"/>
        </w:rPr>
      </w:pPr>
      <w:r>
        <w:rPr>
          <w:rFonts w:ascii="宋体" w:hAnsi="宋体" w:eastAsia="宋体" w:cs="宋体"/>
          <w:spacing w:val="-4"/>
          <w:sz w:val="24"/>
          <w:szCs w:val="24"/>
        </w:rPr>
        <w:t>通用合同条款中的“竣工付款申请单</w:t>
      </w:r>
      <w:r>
        <w:rPr>
          <w:rFonts w:ascii="宋体" w:hAnsi="宋体" w:eastAsia="宋体" w:cs="宋体"/>
          <w:spacing w:val="-72"/>
          <w:sz w:val="24"/>
          <w:szCs w:val="24"/>
        </w:rPr>
        <w:t xml:space="preserve"> </w:t>
      </w:r>
      <w:r>
        <w:rPr>
          <w:rFonts w:ascii="宋体" w:hAnsi="宋体" w:eastAsia="宋体" w:cs="宋体"/>
          <w:spacing w:val="-4"/>
          <w:sz w:val="24"/>
          <w:szCs w:val="24"/>
        </w:rPr>
        <w:t>”统一修改为“工程结算书</w:t>
      </w:r>
      <w:r>
        <w:rPr>
          <w:rFonts w:ascii="宋体" w:hAnsi="宋体" w:eastAsia="宋体" w:cs="宋体"/>
          <w:spacing w:val="-88"/>
          <w:sz w:val="24"/>
          <w:szCs w:val="24"/>
        </w:rPr>
        <w:t xml:space="preserve"> </w:t>
      </w:r>
      <w:r>
        <w:rPr>
          <w:rFonts w:ascii="宋体" w:hAnsi="宋体" w:eastAsia="宋体" w:cs="宋体"/>
          <w:spacing w:val="-4"/>
          <w:sz w:val="24"/>
          <w:szCs w:val="24"/>
        </w:rPr>
        <w:t>”。省级财政资金</w:t>
      </w:r>
      <w:r>
        <w:rPr>
          <w:rFonts w:ascii="宋体" w:hAnsi="宋体" w:eastAsia="宋体" w:cs="宋体"/>
          <w:spacing w:val="-2"/>
          <w:sz w:val="24"/>
          <w:szCs w:val="24"/>
        </w:rPr>
        <w:t>工程结算工作按照省有关规定进行。其他类别水运工程或非财政投资项目，工程结算由甲乙双方按合同进行结算。</w:t>
      </w:r>
    </w:p>
    <w:p w14:paraId="74F3FDB2">
      <w:pPr>
        <w:spacing w:line="227" w:lineRule="auto"/>
        <w:ind w:left="506"/>
        <w:rPr>
          <w:rFonts w:ascii="宋体" w:hAnsi="宋体" w:eastAsia="宋体" w:cs="宋体"/>
          <w:sz w:val="12"/>
          <w:szCs w:val="12"/>
        </w:rPr>
      </w:pPr>
      <w:r>
        <w:rPr>
          <w:rFonts w:ascii="宋体" w:hAnsi="宋体" w:eastAsia="宋体" w:cs="宋体"/>
          <w:b/>
          <w:bCs/>
          <w:spacing w:val="-4"/>
          <w:sz w:val="24"/>
          <w:szCs w:val="24"/>
        </w:rPr>
        <w:t>17.5.1</w:t>
      </w:r>
      <w:r>
        <w:rPr>
          <w:rFonts w:ascii="宋体" w:hAnsi="宋体" w:eastAsia="宋体" w:cs="宋体"/>
          <w:spacing w:val="-4"/>
          <w:sz w:val="24"/>
          <w:szCs w:val="24"/>
        </w:rPr>
        <w:t xml:space="preserve"> </w:t>
      </w:r>
      <w:r>
        <w:rPr>
          <w:rFonts w:ascii="宋体" w:hAnsi="宋体" w:eastAsia="宋体" w:cs="宋体"/>
          <w:b/>
          <w:bCs/>
          <w:spacing w:val="-4"/>
          <w:sz w:val="24"/>
          <w:szCs w:val="24"/>
        </w:rPr>
        <w:t>工程结算书</w:t>
      </w:r>
    </w:p>
    <w:p w14:paraId="7F30311F">
      <w:pPr>
        <w:spacing w:before="191" w:line="359" w:lineRule="auto"/>
        <w:ind w:left="9" w:firstLine="481"/>
        <w:jc w:val="both"/>
        <w:rPr>
          <w:rFonts w:ascii="宋体" w:hAnsi="宋体" w:eastAsia="宋体" w:cs="宋体"/>
          <w:sz w:val="24"/>
          <w:szCs w:val="24"/>
        </w:rPr>
      </w:pPr>
      <w:r>
        <w:rPr>
          <w:rFonts w:ascii="宋体" w:hAnsi="宋体" w:eastAsia="宋体" w:cs="宋体"/>
          <w:spacing w:val="-1"/>
          <w:sz w:val="24"/>
          <w:szCs w:val="24"/>
        </w:rPr>
        <w:t>工程交工验收证书签发后</w:t>
      </w:r>
      <w:r>
        <w:rPr>
          <w:rFonts w:ascii="宋体" w:hAnsi="宋体" w:eastAsia="宋体" w:cs="宋体"/>
          <w:spacing w:val="-1"/>
          <w:sz w:val="24"/>
          <w:szCs w:val="24"/>
          <w:u w:val="single" w:color="auto"/>
        </w:rPr>
        <w:t xml:space="preserve">   </w:t>
      </w:r>
      <w:r>
        <w:rPr>
          <w:rFonts w:ascii="宋体" w:hAnsi="宋体" w:eastAsia="宋体" w:cs="宋体"/>
          <w:spacing w:val="-95"/>
          <w:sz w:val="24"/>
          <w:szCs w:val="24"/>
        </w:rPr>
        <w:t xml:space="preserve"> </w:t>
      </w:r>
      <w:r>
        <w:rPr>
          <w:rFonts w:ascii="宋体" w:hAnsi="宋体" w:eastAsia="宋体" w:cs="宋体"/>
          <w:spacing w:val="-1"/>
          <w:sz w:val="24"/>
          <w:szCs w:val="24"/>
        </w:rPr>
        <w:t>天内，承包人应向监理人提交</w:t>
      </w:r>
      <w:r>
        <w:rPr>
          <w:rFonts w:ascii="宋体" w:hAnsi="宋体" w:eastAsia="宋体" w:cs="宋体"/>
          <w:spacing w:val="-1"/>
          <w:sz w:val="24"/>
          <w:szCs w:val="24"/>
          <w:u w:val="single" w:color="auto"/>
        </w:rPr>
        <w:t>一式    份</w:t>
      </w:r>
      <w:r>
        <w:rPr>
          <w:rFonts w:ascii="宋体" w:hAnsi="宋体" w:eastAsia="宋体" w:cs="宋体"/>
          <w:spacing w:val="-1"/>
          <w:sz w:val="24"/>
          <w:szCs w:val="24"/>
        </w:rPr>
        <w:t>工程结算书</w:t>
      </w:r>
      <w:r>
        <w:rPr>
          <w:rFonts w:ascii="宋体" w:hAnsi="宋体" w:eastAsia="宋体" w:cs="宋体"/>
          <w:spacing w:val="-2"/>
          <w:sz w:val="24"/>
          <w:szCs w:val="24"/>
        </w:rPr>
        <w:t>等完整的合同结算材料，且对提供的合同结算资料的真实性、完整性及有效性负责并书</w:t>
      </w:r>
      <w:r>
        <w:rPr>
          <w:rFonts w:ascii="宋体" w:hAnsi="宋体" w:eastAsia="宋体" w:cs="宋体"/>
          <w:spacing w:val="-3"/>
          <w:sz w:val="24"/>
          <w:szCs w:val="24"/>
        </w:rPr>
        <w:t>面承诺。</w:t>
      </w:r>
    </w:p>
    <w:p w14:paraId="16496BEC">
      <w:pPr>
        <w:spacing w:line="359" w:lineRule="auto"/>
        <w:ind w:left="20" w:right="67" w:firstLine="468"/>
        <w:rPr>
          <w:rFonts w:ascii="宋体" w:hAnsi="宋体" w:eastAsia="宋体" w:cs="宋体"/>
          <w:sz w:val="24"/>
          <w:szCs w:val="24"/>
        </w:rPr>
      </w:pPr>
      <w:r>
        <w:rPr>
          <w:rFonts w:ascii="宋体" w:hAnsi="宋体" w:eastAsia="宋体" w:cs="宋体"/>
          <w:spacing w:val="-1"/>
          <w:sz w:val="24"/>
          <w:szCs w:val="24"/>
        </w:rPr>
        <w:t>监理人收到工程结算书等结算资料</w:t>
      </w:r>
      <w:r>
        <w:rPr>
          <w:rFonts w:ascii="宋体" w:hAnsi="宋体" w:eastAsia="宋体" w:cs="宋体"/>
          <w:spacing w:val="-1"/>
          <w:sz w:val="24"/>
          <w:szCs w:val="24"/>
          <w:u w:val="single" w:color="auto"/>
        </w:rPr>
        <w:t xml:space="preserve">    </w:t>
      </w:r>
      <w:r>
        <w:rPr>
          <w:rFonts w:ascii="宋体" w:hAnsi="宋体" w:eastAsia="宋体" w:cs="宋体"/>
          <w:spacing w:val="-93"/>
          <w:sz w:val="24"/>
          <w:szCs w:val="24"/>
        </w:rPr>
        <w:t xml:space="preserve"> </w:t>
      </w:r>
      <w:r>
        <w:rPr>
          <w:rFonts w:ascii="宋体" w:hAnsi="宋体" w:eastAsia="宋体" w:cs="宋体"/>
          <w:spacing w:val="-1"/>
          <w:sz w:val="24"/>
          <w:szCs w:val="24"/>
        </w:rPr>
        <w:t>天内完成结算审核并提交发包人</w:t>
      </w:r>
      <w:r>
        <w:rPr>
          <w:rFonts w:ascii="宋体" w:hAnsi="宋体" w:eastAsia="宋体" w:cs="宋体"/>
          <w:spacing w:val="-1"/>
          <w:sz w:val="24"/>
          <w:szCs w:val="24"/>
          <w:u w:val="single" w:color="auto"/>
        </w:rPr>
        <w:t>一式   份</w:t>
      </w:r>
      <w:r>
        <w:rPr>
          <w:rFonts w:ascii="宋体" w:hAnsi="宋体" w:eastAsia="宋体" w:cs="宋体"/>
          <w:spacing w:val="-5"/>
          <w:sz w:val="24"/>
          <w:szCs w:val="24"/>
        </w:rPr>
        <w:t>审核意见。</w:t>
      </w:r>
    </w:p>
    <w:p w14:paraId="1B6316A7">
      <w:pPr>
        <w:spacing w:before="1" w:line="219" w:lineRule="auto"/>
        <w:ind w:left="506"/>
        <w:rPr>
          <w:rFonts w:ascii="宋体" w:hAnsi="宋体" w:eastAsia="宋体" w:cs="宋体"/>
          <w:sz w:val="24"/>
          <w:szCs w:val="24"/>
        </w:rPr>
      </w:pPr>
      <w:bookmarkStart w:id="63" w:name="bookmark216"/>
      <w:bookmarkEnd w:id="63"/>
      <w:bookmarkStart w:id="64" w:name="bookmark217"/>
      <w:bookmarkEnd w:id="64"/>
      <w:r>
        <w:rPr>
          <w:rFonts w:ascii="宋体" w:hAnsi="宋体" w:eastAsia="宋体" w:cs="宋体"/>
          <w:b/>
          <w:bCs/>
          <w:spacing w:val="-7"/>
          <w:sz w:val="24"/>
          <w:szCs w:val="24"/>
        </w:rPr>
        <w:t>17.6</w:t>
      </w:r>
      <w:r>
        <w:rPr>
          <w:rFonts w:ascii="宋体" w:hAnsi="宋体" w:eastAsia="宋体" w:cs="宋体"/>
          <w:spacing w:val="14"/>
          <w:sz w:val="24"/>
          <w:szCs w:val="24"/>
        </w:rPr>
        <w:t xml:space="preserve"> </w:t>
      </w:r>
      <w:r>
        <w:rPr>
          <w:rFonts w:ascii="宋体" w:hAnsi="宋体" w:eastAsia="宋体" w:cs="宋体"/>
          <w:b/>
          <w:bCs/>
          <w:spacing w:val="-7"/>
          <w:sz w:val="24"/>
          <w:szCs w:val="24"/>
        </w:rPr>
        <w:t>最终结清</w:t>
      </w:r>
    </w:p>
    <w:p w14:paraId="2CCA27A1">
      <w:pPr>
        <w:spacing w:before="181" w:line="219" w:lineRule="auto"/>
        <w:ind w:left="506"/>
        <w:rPr>
          <w:rFonts w:ascii="宋体" w:hAnsi="宋体" w:eastAsia="宋体" w:cs="宋体"/>
          <w:sz w:val="24"/>
          <w:szCs w:val="24"/>
        </w:rPr>
      </w:pPr>
      <w:r>
        <w:rPr>
          <w:rFonts w:ascii="宋体" w:hAnsi="宋体" w:eastAsia="宋体" w:cs="宋体"/>
          <w:spacing w:val="-2"/>
          <w:sz w:val="24"/>
          <w:szCs w:val="24"/>
        </w:rPr>
        <w:t>17.6.1 最终结清申请单</w:t>
      </w:r>
    </w:p>
    <w:p w14:paraId="7F9B60F2">
      <w:pPr>
        <w:spacing w:before="191" w:line="359" w:lineRule="auto"/>
        <w:ind w:left="9" w:firstLine="481"/>
        <w:jc w:val="both"/>
        <w:rPr>
          <w:rFonts w:ascii="宋体" w:hAnsi="宋体" w:eastAsia="宋体" w:cs="宋体"/>
          <w:spacing w:val="-2"/>
          <w:sz w:val="24"/>
          <w:szCs w:val="24"/>
        </w:rPr>
      </w:pPr>
      <w:r>
        <w:rPr>
          <w:rFonts w:ascii="宋体" w:hAnsi="宋体" w:eastAsia="宋体" w:cs="宋体"/>
          <w:spacing w:val="-2"/>
          <w:sz w:val="24"/>
          <w:szCs w:val="24"/>
        </w:rPr>
        <w:t>最终结算费用以</w:t>
      </w:r>
      <w:r>
        <w:rPr>
          <w:rFonts w:hint="eastAsia" w:ascii="宋体" w:hAnsi="宋体" w:eastAsia="宋体" w:cs="宋体"/>
          <w:spacing w:val="-2"/>
          <w:sz w:val="24"/>
          <w:szCs w:val="24"/>
          <w:lang w:val="en-US" w:eastAsia="zh-CN"/>
        </w:rPr>
        <w:t>仁化县财政投资评审中心</w:t>
      </w:r>
      <w:r>
        <w:rPr>
          <w:rFonts w:ascii="宋体" w:hAnsi="宋体" w:eastAsia="宋体" w:cs="宋体"/>
          <w:spacing w:val="-2"/>
          <w:sz w:val="24"/>
          <w:szCs w:val="24"/>
        </w:rPr>
        <w:t>意见为准，承包人同意发包人按结算批复意见调整承包人最终合同费用。项目整体竣工验收通过后，承包人应在     天内按照批复意见的结算金额向监理人提交尾款支付申请一式    份，并提供相关证明材料。发包人、监理人根据批复意见，申请支付余下未付款项。</w:t>
      </w:r>
    </w:p>
    <w:p w14:paraId="36188FA3">
      <w:pPr>
        <w:spacing w:line="218" w:lineRule="auto"/>
        <w:ind w:left="488"/>
        <w:rPr>
          <w:rFonts w:ascii="宋体" w:hAnsi="宋体" w:eastAsia="宋体" w:cs="宋体"/>
          <w:sz w:val="24"/>
          <w:szCs w:val="24"/>
        </w:rPr>
      </w:pPr>
      <w:r>
        <w:rPr>
          <w:rFonts w:ascii="宋体" w:hAnsi="宋体" w:eastAsia="宋体" w:cs="宋体"/>
          <w:b/>
          <w:bCs/>
          <w:spacing w:val="-5"/>
          <w:sz w:val="24"/>
          <w:szCs w:val="24"/>
        </w:rPr>
        <w:t>通用合同条款本条增加</w:t>
      </w:r>
      <w:r>
        <w:rPr>
          <w:rFonts w:ascii="宋体" w:hAnsi="宋体" w:eastAsia="宋体" w:cs="宋体"/>
          <w:spacing w:val="-27"/>
          <w:sz w:val="24"/>
          <w:szCs w:val="24"/>
        </w:rPr>
        <w:t xml:space="preserve"> </w:t>
      </w:r>
      <w:r>
        <w:rPr>
          <w:rFonts w:ascii="宋体" w:hAnsi="宋体" w:eastAsia="宋体" w:cs="宋体"/>
          <w:b/>
          <w:bCs/>
          <w:spacing w:val="-5"/>
          <w:sz w:val="24"/>
          <w:szCs w:val="24"/>
        </w:rPr>
        <w:t>17.7</w:t>
      </w:r>
      <w:r>
        <w:rPr>
          <w:rFonts w:ascii="宋体" w:hAnsi="宋体" w:eastAsia="宋体" w:cs="宋体"/>
          <w:spacing w:val="-50"/>
          <w:sz w:val="24"/>
          <w:szCs w:val="24"/>
        </w:rPr>
        <w:t xml:space="preserve"> </w:t>
      </w:r>
      <w:r>
        <w:rPr>
          <w:rFonts w:ascii="宋体" w:hAnsi="宋体" w:eastAsia="宋体" w:cs="宋体"/>
          <w:b/>
          <w:bCs/>
          <w:spacing w:val="-5"/>
          <w:sz w:val="24"/>
          <w:szCs w:val="24"/>
        </w:rPr>
        <w:t>款：</w:t>
      </w:r>
    </w:p>
    <w:p w14:paraId="6BCC006B">
      <w:pPr>
        <w:spacing w:before="184" w:line="219" w:lineRule="auto"/>
        <w:ind w:left="506"/>
        <w:rPr>
          <w:rFonts w:ascii="宋体" w:hAnsi="宋体" w:eastAsia="宋体" w:cs="宋体"/>
          <w:sz w:val="24"/>
          <w:szCs w:val="24"/>
        </w:rPr>
      </w:pPr>
      <w:r>
        <w:rPr>
          <w:rFonts w:ascii="宋体" w:hAnsi="宋体" w:eastAsia="宋体" w:cs="宋体"/>
          <w:b/>
          <w:bCs/>
          <w:spacing w:val="-3"/>
          <w:sz w:val="24"/>
          <w:szCs w:val="24"/>
        </w:rPr>
        <w:t>17.7</w:t>
      </w:r>
      <w:r>
        <w:rPr>
          <w:rFonts w:ascii="宋体" w:hAnsi="宋体" w:eastAsia="宋体" w:cs="宋体"/>
          <w:spacing w:val="-3"/>
          <w:sz w:val="24"/>
          <w:szCs w:val="24"/>
        </w:rPr>
        <w:t xml:space="preserve"> </w:t>
      </w:r>
      <w:r>
        <w:rPr>
          <w:rFonts w:ascii="宋体" w:hAnsi="宋体" w:eastAsia="宋体" w:cs="宋体"/>
          <w:b/>
          <w:bCs/>
          <w:spacing w:val="-3"/>
          <w:sz w:val="24"/>
          <w:szCs w:val="24"/>
        </w:rPr>
        <w:t>安全生产费的计量支付及审核程序</w:t>
      </w:r>
    </w:p>
    <w:p w14:paraId="3704150E">
      <w:pPr>
        <w:spacing w:before="180" w:line="359" w:lineRule="auto"/>
        <w:ind w:left="8" w:right="128" w:firstLine="497"/>
        <w:rPr>
          <w:rFonts w:ascii="宋体" w:hAnsi="宋体" w:eastAsia="宋体" w:cs="宋体"/>
          <w:sz w:val="24"/>
          <w:szCs w:val="24"/>
        </w:rPr>
      </w:pPr>
      <w:r>
        <w:rPr>
          <w:rFonts w:ascii="宋体" w:hAnsi="宋体" w:eastAsia="宋体" w:cs="宋体"/>
          <w:spacing w:val="-1"/>
          <w:sz w:val="24"/>
          <w:szCs w:val="24"/>
        </w:rPr>
        <w:t xml:space="preserve">17.7.1 </w:t>
      </w:r>
      <w:r>
        <w:rPr>
          <w:rFonts w:ascii="宋体" w:hAnsi="宋体" w:eastAsia="宋体" w:cs="宋体"/>
          <w:spacing w:val="-1"/>
          <w:sz w:val="24"/>
          <w:szCs w:val="24"/>
          <w:u w:val="single" w:color="auto"/>
        </w:rPr>
        <w:t>安全生产费的计量支付执行《广东省交通运输厅关于公路水运建设工程安全生产费用的管理办法》</w:t>
      </w:r>
      <w:r>
        <w:rPr>
          <w:rFonts w:ascii="宋体" w:hAnsi="宋体" w:eastAsia="宋体" w:cs="宋体"/>
          <w:spacing w:val="-1"/>
          <w:sz w:val="24"/>
          <w:szCs w:val="24"/>
        </w:rPr>
        <w:t>。</w:t>
      </w:r>
    </w:p>
    <w:p w14:paraId="440426B7">
      <w:pPr>
        <w:spacing w:before="1" w:line="359" w:lineRule="auto"/>
        <w:ind w:left="10" w:firstLine="495"/>
        <w:rPr>
          <w:rFonts w:ascii="宋体" w:hAnsi="宋体" w:eastAsia="宋体" w:cs="宋体"/>
          <w:sz w:val="24"/>
          <w:szCs w:val="24"/>
        </w:rPr>
      </w:pPr>
      <w:r>
        <w:rPr>
          <w:rFonts w:ascii="宋体" w:hAnsi="宋体" w:eastAsia="宋体" w:cs="宋体"/>
          <w:spacing w:val="-3"/>
          <w:sz w:val="24"/>
          <w:szCs w:val="24"/>
        </w:rPr>
        <w:t>17.7.2</w:t>
      </w:r>
      <w:r>
        <w:rPr>
          <w:rFonts w:ascii="宋体" w:hAnsi="宋体" w:eastAsia="宋体" w:cs="宋体"/>
          <w:spacing w:val="-23"/>
          <w:sz w:val="24"/>
          <w:szCs w:val="24"/>
        </w:rPr>
        <w:t xml:space="preserve"> </w:t>
      </w:r>
      <w:r>
        <w:rPr>
          <w:rFonts w:ascii="宋体" w:hAnsi="宋体" w:eastAsia="宋体" w:cs="宋体"/>
          <w:spacing w:val="-3"/>
          <w:sz w:val="24"/>
          <w:szCs w:val="24"/>
        </w:rPr>
        <w:t>项目实施工程中，承包人应根据每一计量周期投入安全生产费用使用情况，</w:t>
      </w:r>
      <w:r>
        <w:rPr>
          <w:rFonts w:ascii="宋体" w:hAnsi="宋体" w:eastAsia="宋体" w:cs="宋体"/>
          <w:spacing w:val="-2"/>
          <w:sz w:val="24"/>
          <w:szCs w:val="24"/>
        </w:rPr>
        <w:t>按照合同文件规定，编制安全生产费用工程量清单计量申请表（附相关凭证）和下期使</w:t>
      </w:r>
      <w:r>
        <w:rPr>
          <w:rFonts w:ascii="宋体" w:hAnsi="宋体" w:eastAsia="宋体" w:cs="宋体"/>
          <w:sz w:val="24"/>
          <w:szCs w:val="24"/>
        </w:rPr>
        <w:t>用计划，经安全负责人与项目负责人签字盖</w:t>
      </w:r>
      <w:r>
        <w:rPr>
          <w:rFonts w:ascii="宋体" w:hAnsi="宋体" w:eastAsia="宋体" w:cs="宋体"/>
          <w:spacing w:val="-1"/>
          <w:sz w:val="24"/>
          <w:szCs w:val="24"/>
        </w:rPr>
        <w:t>章后，报送监理工程师审核。</w:t>
      </w:r>
    </w:p>
    <w:p w14:paraId="65C8AF00">
      <w:pPr>
        <w:spacing w:line="359" w:lineRule="auto"/>
        <w:ind w:left="11" w:right="61" w:firstLine="478"/>
        <w:rPr>
          <w:rFonts w:ascii="宋体" w:hAnsi="宋体" w:eastAsia="宋体" w:cs="宋体"/>
          <w:sz w:val="24"/>
          <w:szCs w:val="24"/>
        </w:rPr>
      </w:pPr>
      <w:r>
        <w:rPr>
          <w:rFonts w:ascii="宋体" w:hAnsi="宋体" w:eastAsia="宋体" w:cs="宋体"/>
          <w:spacing w:val="-3"/>
          <w:sz w:val="24"/>
          <w:szCs w:val="24"/>
        </w:rPr>
        <w:t>监理工程师收到安全生产费用计量申请表后，应当在</w:t>
      </w:r>
      <w:r>
        <w:rPr>
          <w:rFonts w:ascii="宋体" w:hAnsi="宋体" w:eastAsia="宋体" w:cs="宋体"/>
          <w:spacing w:val="-31"/>
          <w:sz w:val="24"/>
          <w:szCs w:val="24"/>
        </w:rPr>
        <w:t xml:space="preserve"> </w:t>
      </w:r>
      <w:r>
        <w:rPr>
          <w:rFonts w:ascii="宋体" w:hAnsi="宋体" w:eastAsia="宋体" w:cs="宋体"/>
          <w:spacing w:val="-3"/>
          <w:sz w:val="24"/>
          <w:szCs w:val="24"/>
          <w:u w:val="single" w:color="auto"/>
        </w:rPr>
        <w:t>7</w:t>
      </w:r>
      <w:r>
        <w:rPr>
          <w:rFonts w:ascii="宋体" w:hAnsi="宋体" w:eastAsia="宋体" w:cs="宋体"/>
          <w:spacing w:val="-46"/>
          <w:sz w:val="24"/>
          <w:szCs w:val="24"/>
          <w:u w:val="single" w:color="auto"/>
        </w:rPr>
        <w:t xml:space="preserve"> </w:t>
      </w:r>
      <w:r>
        <w:rPr>
          <w:rFonts w:ascii="宋体" w:hAnsi="宋体" w:eastAsia="宋体" w:cs="宋体"/>
          <w:spacing w:val="-3"/>
          <w:sz w:val="24"/>
          <w:szCs w:val="24"/>
          <w:u w:val="single" w:color="auto"/>
        </w:rPr>
        <w:t>天内</w:t>
      </w:r>
      <w:r>
        <w:rPr>
          <w:rFonts w:ascii="宋体" w:hAnsi="宋体" w:eastAsia="宋体" w:cs="宋体"/>
          <w:spacing w:val="-3"/>
          <w:sz w:val="24"/>
          <w:szCs w:val="24"/>
        </w:rPr>
        <w:t>完成对计量申请表的审</w:t>
      </w:r>
      <w:r>
        <w:rPr>
          <w:rFonts w:ascii="宋体" w:hAnsi="宋体" w:eastAsia="宋体" w:cs="宋体"/>
          <w:spacing w:val="-1"/>
          <w:sz w:val="24"/>
          <w:szCs w:val="24"/>
        </w:rPr>
        <w:t>核，核实无误签字后报总监办再审核。</w:t>
      </w:r>
    </w:p>
    <w:p w14:paraId="6F2180BE">
      <w:pPr>
        <w:spacing w:line="359" w:lineRule="auto"/>
        <w:ind w:left="10" w:right="61" w:firstLine="481"/>
        <w:rPr>
          <w:rFonts w:ascii="宋体" w:hAnsi="宋体" w:eastAsia="宋体" w:cs="宋体"/>
          <w:sz w:val="24"/>
          <w:szCs w:val="24"/>
        </w:rPr>
      </w:pPr>
      <w:r>
        <w:rPr>
          <w:rFonts w:ascii="宋体" w:hAnsi="宋体" w:eastAsia="宋体" w:cs="宋体"/>
          <w:spacing w:val="-2"/>
          <w:sz w:val="24"/>
          <w:szCs w:val="24"/>
        </w:rPr>
        <w:t>发包人对经监理单位审核后的安全生产费用计量表进行审定后，按时将安全生产费用支付给施工单位。</w:t>
      </w:r>
    </w:p>
    <w:p w14:paraId="032A7F07">
      <w:pPr>
        <w:spacing w:before="1" w:line="219" w:lineRule="auto"/>
        <w:ind w:left="506"/>
        <w:rPr>
          <w:rFonts w:ascii="宋体" w:hAnsi="宋体" w:eastAsia="宋体" w:cs="宋体"/>
          <w:sz w:val="24"/>
          <w:szCs w:val="24"/>
        </w:rPr>
      </w:pPr>
      <w:r>
        <w:rPr>
          <w:rFonts w:ascii="宋体" w:hAnsi="宋体" w:eastAsia="宋体" w:cs="宋体"/>
          <w:spacing w:val="-1"/>
          <w:sz w:val="24"/>
          <w:szCs w:val="24"/>
        </w:rPr>
        <w:t>17.7.3 工程结算时安全生产费用未计量部分原则上不再计量支付。</w:t>
      </w:r>
    </w:p>
    <w:p w14:paraId="32DC2FF4">
      <w:pPr>
        <w:spacing w:before="183" w:line="358" w:lineRule="auto"/>
        <w:ind w:left="10" w:right="61" w:firstLine="495"/>
        <w:rPr>
          <w:rFonts w:ascii="宋体" w:hAnsi="宋体" w:eastAsia="宋体" w:cs="宋体"/>
          <w:sz w:val="24"/>
          <w:szCs w:val="24"/>
        </w:rPr>
      </w:pPr>
      <w:r>
        <w:rPr>
          <w:rFonts w:ascii="宋体" w:hAnsi="宋体" w:eastAsia="宋体" w:cs="宋体"/>
          <w:spacing w:val="-4"/>
          <w:sz w:val="24"/>
          <w:szCs w:val="24"/>
        </w:rPr>
        <w:t>17.7.4</w:t>
      </w:r>
      <w:r>
        <w:rPr>
          <w:rFonts w:ascii="宋体" w:hAnsi="宋体" w:eastAsia="宋体" w:cs="宋体"/>
          <w:spacing w:val="-45"/>
          <w:sz w:val="24"/>
          <w:szCs w:val="24"/>
        </w:rPr>
        <w:t xml:space="preserve"> </w:t>
      </w:r>
      <w:r>
        <w:rPr>
          <w:rFonts w:ascii="宋体" w:hAnsi="宋体" w:eastAsia="宋体" w:cs="宋体"/>
          <w:spacing w:val="-4"/>
          <w:sz w:val="24"/>
          <w:szCs w:val="24"/>
        </w:rPr>
        <w:t>指定专人负责对农民工工资进行发放，实行专户管理，以银行转账方式按月</w:t>
      </w:r>
      <w:r>
        <w:rPr>
          <w:rFonts w:ascii="宋体" w:hAnsi="宋体" w:eastAsia="宋体" w:cs="宋体"/>
          <w:spacing w:val="-1"/>
          <w:sz w:val="24"/>
          <w:szCs w:val="24"/>
        </w:rPr>
        <w:t>直接支付工资（原则上是当月支付，最多不超过拖欠两个月）。</w:t>
      </w:r>
    </w:p>
    <w:p w14:paraId="124B8D18">
      <w:pPr>
        <w:spacing w:line="360" w:lineRule="auto"/>
        <w:ind w:left="12" w:right="61" w:firstLine="493"/>
        <w:rPr>
          <w:rFonts w:ascii="宋体" w:hAnsi="宋体" w:eastAsia="宋体" w:cs="宋体"/>
          <w:sz w:val="24"/>
          <w:szCs w:val="24"/>
        </w:rPr>
      </w:pPr>
      <w:r>
        <w:rPr>
          <w:rFonts w:ascii="宋体" w:hAnsi="宋体" w:eastAsia="宋体" w:cs="宋体"/>
          <w:spacing w:val="-4"/>
          <w:sz w:val="24"/>
          <w:szCs w:val="24"/>
        </w:rPr>
        <w:t>17.7.5</w:t>
      </w:r>
      <w:r>
        <w:rPr>
          <w:rFonts w:ascii="宋体" w:hAnsi="宋体" w:eastAsia="宋体" w:cs="宋体"/>
          <w:spacing w:val="-45"/>
          <w:sz w:val="24"/>
          <w:szCs w:val="24"/>
        </w:rPr>
        <w:t xml:space="preserve"> </w:t>
      </w:r>
      <w:r>
        <w:rPr>
          <w:rFonts w:ascii="宋体" w:hAnsi="宋体" w:eastAsia="宋体" w:cs="宋体"/>
          <w:spacing w:val="-4"/>
          <w:sz w:val="24"/>
          <w:szCs w:val="24"/>
        </w:rPr>
        <w:t>接受工程进度款中的工人工资比例为人工费占中标金额的比例，发包人以银</w:t>
      </w:r>
      <w:r>
        <w:rPr>
          <w:rFonts w:ascii="宋体" w:hAnsi="宋体" w:eastAsia="宋体" w:cs="宋体"/>
          <w:spacing w:val="-1"/>
          <w:sz w:val="24"/>
          <w:szCs w:val="24"/>
        </w:rPr>
        <w:t>行转账方式拨付至工人工资支付专用账户。</w:t>
      </w:r>
    </w:p>
    <w:p w14:paraId="4878B4B7">
      <w:pPr>
        <w:spacing w:line="219" w:lineRule="auto"/>
        <w:ind w:left="26"/>
        <w:rPr>
          <w:rFonts w:ascii="宋体" w:hAnsi="宋体" w:eastAsia="宋体" w:cs="宋体"/>
          <w:sz w:val="24"/>
          <w:szCs w:val="24"/>
        </w:rPr>
      </w:pPr>
      <w:r>
        <w:rPr>
          <w:rFonts w:ascii="宋体" w:hAnsi="宋体" w:eastAsia="宋体" w:cs="宋体"/>
          <w:b/>
          <w:bCs/>
          <w:spacing w:val="-6"/>
          <w:sz w:val="24"/>
          <w:szCs w:val="24"/>
        </w:rPr>
        <w:t>18．交工验收</w:t>
      </w:r>
    </w:p>
    <w:p w14:paraId="5581A6CB">
      <w:pPr>
        <w:spacing w:before="181" w:line="359" w:lineRule="auto"/>
        <w:ind w:left="11" w:right="61" w:firstLine="477"/>
        <w:rPr>
          <w:rFonts w:ascii="宋体" w:hAnsi="宋体" w:eastAsia="宋体" w:cs="宋体"/>
          <w:sz w:val="24"/>
          <w:szCs w:val="24"/>
        </w:rPr>
      </w:pPr>
      <w:r>
        <w:rPr>
          <w:rFonts w:ascii="宋体" w:hAnsi="宋体" w:eastAsia="宋体" w:cs="宋体"/>
          <w:spacing w:val="-4"/>
          <w:sz w:val="24"/>
          <w:szCs w:val="24"/>
        </w:rPr>
        <w:t>通用合同条款中的“竣工验收申请报告</w:t>
      </w:r>
      <w:r>
        <w:rPr>
          <w:rFonts w:ascii="宋体" w:hAnsi="宋体" w:eastAsia="宋体" w:cs="宋体"/>
          <w:spacing w:val="-72"/>
          <w:sz w:val="24"/>
          <w:szCs w:val="24"/>
        </w:rPr>
        <w:t xml:space="preserve"> </w:t>
      </w:r>
      <w:r>
        <w:rPr>
          <w:rFonts w:ascii="宋体" w:hAnsi="宋体" w:eastAsia="宋体" w:cs="宋体"/>
          <w:spacing w:val="-4"/>
          <w:sz w:val="24"/>
          <w:szCs w:val="24"/>
        </w:rPr>
        <w:t>”统一修改为“交工验收申请报告</w:t>
      </w:r>
      <w:r>
        <w:rPr>
          <w:rFonts w:ascii="宋体" w:hAnsi="宋体" w:eastAsia="宋体" w:cs="宋体"/>
          <w:spacing w:val="-88"/>
          <w:sz w:val="24"/>
          <w:szCs w:val="24"/>
        </w:rPr>
        <w:t xml:space="preserve"> </w:t>
      </w:r>
      <w:r>
        <w:rPr>
          <w:rFonts w:ascii="宋体" w:hAnsi="宋体" w:eastAsia="宋体" w:cs="宋体"/>
          <w:spacing w:val="-4"/>
          <w:sz w:val="24"/>
          <w:szCs w:val="24"/>
        </w:rPr>
        <w:t>”，“竣</w:t>
      </w:r>
      <w:r>
        <w:rPr>
          <w:rFonts w:ascii="宋体" w:hAnsi="宋体" w:eastAsia="宋体" w:cs="宋体"/>
          <w:spacing w:val="-3"/>
          <w:sz w:val="24"/>
          <w:szCs w:val="24"/>
        </w:rPr>
        <w:t>工验收</w:t>
      </w:r>
      <w:r>
        <w:rPr>
          <w:rFonts w:ascii="宋体" w:hAnsi="宋体" w:eastAsia="宋体" w:cs="宋体"/>
          <w:spacing w:val="-85"/>
          <w:sz w:val="24"/>
          <w:szCs w:val="24"/>
        </w:rPr>
        <w:t xml:space="preserve"> </w:t>
      </w:r>
      <w:r>
        <w:rPr>
          <w:rFonts w:ascii="宋体" w:hAnsi="宋体" w:eastAsia="宋体" w:cs="宋体"/>
          <w:spacing w:val="-3"/>
          <w:sz w:val="24"/>
          <w:szCs w:val="24"/>
        </w:rPr>
        <w:t>”统一修改为“交工验收</w:t>
      </w:r>
      <w:r>
        <w:rPr>
          <w:rFonts w:ascii="宋体" w:hAnsi="宋体" w:eastAsia="宋体" w:cs="宋体"/>
          <w:spacing w:val="-88"/>
          <w:sz w:val="24"/>
          <w:szCs w:val="24"/>
        </w:rPr>
        <w:t xml:space="preserve"> </w:t>
      </w:r>
      <w:r>
        <w:rPr>
          <w:rFonts w:ascii="宋体" w:hAnsi="宋体" w:eastAsia="宋体" w:cs="宋体"/>
          <w:spacing w:val="-3"/>
          <w:sz w:val="24"/>
          <w:szCs w:val="24"/>
        </w:rPr>
        <w:t>”。</w:t>
      </w:r>
    </w:p>
    <w:p w14:paraId="6A0AE72A">
      <w:pPr>
        <w:spacing w:before="1" w:line="219" w:lineRule="auto"/>
        <w:ind w:left="506"/>
        <w:rPr>
          <w:rFonts w:ascii="宋体" w:hAnsi="宋体" w:eastAsia="宋体" w:cs="宋体"/>
          <w:sz w:val="24"/>
          <w:szCs w:val="24"/>
        </w:rPr>
      </w:pPr>
      <w:r>
        <w:rPr>
          <w:rFonts w:ascii="宋体" w:hAnsi="宋体" w:eastAsia="宋体" w:cs="宋体"/>
          <w:b/>
          <w:bCs/>
          <w:spacing w:val="-4"/>
          <w:sz w:val="24"/>
          <w:szCs w:val="24"/>
        </w:rPr>
        <w:t>18.1</w:t>
      </w:r>
      <w:r>
        <w:rPr>
          <w:rFonts w:ascii="宋体" w:hAnsi="宋体" w:eastAsia="宋体" w:cs="宋体"/>
          <w:spacing w:val="-4"/>
          <w:sz w:val="24"/>
          <w:szCs w:val="24"/>
        </w:rPr>
        <w:t xml:space="preserve"> </w:t>
      </w:r>
      <w:r>
        <w:rPr>
          <w:rFonts w:ascii="宋体" w:hAnsi="宋体" w:eastAsia="宋体" w:cs="宋体"/>
          <w:b/>
          <w:bCs/>
          <w:spacing w:val="-4"/>
          <w:sz w:val="24"/>
          <w:szCs w:val="24"/>
        </w:rPr>
        <w:t>竣工验收的含义</w:t>
      </w:r>
    </w:p>
    <w:p w14:paraId="0C63E192">
      <w:pPr>
        <w:spacing w:before="182" w:line="219" w:lineRule="auto"/>
        <w:ind w:left="488"/>
        <w:rPr>
          <w:rFonts w:ascii="宋体" w:hAnsi="宋体" w:eastAsia="宋体" w:cs="宋体"/>
          <w:sz w:val="24"/>
          <w:szCs w:val="24"/>
        </w:rPr>
      </w:pPr>
      <w:r>
        <w:rPr>
          <w:rFonts w:ascii="宋体" w:hAnsi="宋体" w:eastAsia="宋体" w:cs="宋体"/>
          <w:b/>
          <w:bCs/>
          <w:spacing w:val="-5"/>
          <w:sz w:val="24"/>
          <w:szCs w:val="24"/>
        </w:rPr>
        <w:t>通用合同条款本款增加</w:t>
      </w:r>
      <w:r>
        <w:rPr>
          <w:rFonts w:ascii="宋体" w:hAnsi="宋体" w:eastAsia="宋体" w:cs="宋体"/>
          <w:spacing w:val="-25"/>
          <w:sz w:val="24"/>
          <w:szCs w:val="24"/>
        </w:rPr>
        <w:t xml:space="preserve"> </w:t>
      </w:r>
      <w:r>
        <w:rPr>
          <w:rFonts w:ascii="宋体" w:hAnsi="宋体" w:eastAsia="宋体" w:cs="宋体"/>
          <w:b/>
          <w:bCs/>
          <w:spacing w:val="-5"/>
          <w:sz w:val="24"/>
          <w:szCs w:val="24"/>
        </w:rPr>
        <w:t>18.1.4</w:t>
      </w:r>
      <w:r>
        <w:rPr>
          <w:rFonts w:ascii="宋体" w:hAnsi="宋体" w:eastAsia="宋体" w:cs="宋体"/>
          <w:spacing w:val="-44"/>
          <w:sz w:val="24"/>
          <w:szCs w:val="24"/>
        </w:rPr>
        <w:t xml:space="preserve"> </w:t>
      </w:r>
      <w:r>
        <w:rPr>
          <w:rFonts w:ascii="宋体" w:hAnsi="宋体" w:eastAsia="宋体" w:cs="宋体"/>
          <w:b/>
          <w:bCs/>
          <w:spacing w:val="-5"/>
          <w:sz w:val="24"/>
          <w:szCs w:val="24"/>
        </w:rPr>
        <w:t>项：</w:t>
      </w:r>
    </w:p>
    <w:p w14:paraId="3A4C31CE">
      <w:pPr>
        <w:spacing w:before="184" w:line="358" w:lineRule="auto"/>
        <w:ind w:left="8" w:right="61" w:firstLine="497"/>
        <w:rPr>
          <w:rFonts w:ascii="宋体" w:hAnsi="宋体" w:eastAsia="宋体" w:cs="宋体"/>
          <w:sz w:val="24"/>
          <w:szCs w:val="24"/>
        </w:rPr>
      </w:pPr>
      <w:r>
        <w:rPr>
          <w:rFonts w:ascii="宋体" w:hAnsi="宋体" w:eastAsia="宋体" w:cs="宋体"/>
          <w:spacing w:val="-1"/>
          <w:sz w:val="24"/>
          <w:szCs w:val="24"/>
        </w:rPr>
        <w:t>18.1.4</w:t>
      </w:r>
      <w:r>
        <w:rPr>
          <w:rFonts w:ascii="宋体" w:hAnsi="宋体" w:eastAsia="宋体" w:cs="宋体"/>
          <w:spacing w:val="-51"/>
          <w:sz w:val="24"/>
          <w:szCs w:val="24"/>
        </w:rPr>
        <w:t xml:space="preserve"> </w:t>
      </w:r>
      <w:r>
        <w:rPr>
          <w:rFonts w:ascii="宋体" w:hAnsi="宋体" w:eastAsia="宋体" w:cs="宋体"/>
          <w:spacing w:val="-1"/>
          <w:sz w:val="24"/>
          <w:szCs w:val="24"/>
        </w:rPr>
        <w:t>承包人应在竣工验收</w:t>
      </w:r>
      <w:r>
        <w:rPr>
          <w:rFonts w:ascii="宋体" w:hAnsi="宋体" w:eastAsia="宋体" w:cs="宋体"/>
          <w:spacing w:val="-1"/>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
          <w:sz w:val="24"/>
          <w:szCs w:val="24"/>
        </w:rPr>
        <w:t>天前，向发包人提供竣工</w:t>
      </w:r>
      <w:r>
        <w:rPr>
          <w:rFonts w:ascii="宋体" w:hAnsi="宋体" w:eastAsia="宋体" w:cs="宋体"/>
          <w:spacing w:val="-2"/>
          <w:sz w:val="24"/>
          <w:szCs w:val="24"/>
        </w:rPr>
        <w:t>资料一式</w:t>
      </w:r>
      <w:r>
        <w:rPr>
          <w:rFonts w:ascii="宋体" w:hAnsi="宋体" w:eastAsia="宋体" w:cs="宋体"/>
          <w:spacing w:val="-2"/>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2"/>
          <w:sz w:val="24"/>
          <w:szCs w:val="24"/>
        </w:rPr>
        <w:t>份，声像资</w:t>
      </w:r>
      <w:r>
        <w:rPr>
          <w:rFonts w:ascii="宋体" w:hAnsi="宋体" w:eastAsia="宋体" w:cs="宋体"/>
          <w:spacing w:val="-3"/>
          <w:sz w:val="24"/>
          <w:szCs w:val="24"/>
        </w:rPr>
        <w:t>料一式</w:t>
      </w:r>
      <w:r>
        <w:rPr>
          <w:rFonts w:ascii="宋体" w:hAnsi="宋体" w:eastAsia="宋体" w:cs="宋体"/>
          <w:spacing w:val="-3"/>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3"/>
          <w:sz w:val="24"/>
          <w:szCs w:val="24"/>
        </w:rPr>
        <w:t>份。</w:t>
      </w:r>
    </w:p>
    <w:p w14:paraId="379232D2">
      <w:pPr>
        <w:spacing w:before="1" w:line="219" w:lineRule="auto"/>
        <w:ind w:left="506"/>
        <w:rPr>
          <w:rFonts w:ascii="宋体" w:hAnsi="宋体" w:eastAsia="宋体" w:cs="宋体"/>
          <w:sz w:val="24"/>
          <w:szCs w:val="24"/>
        </w:rPr>
      </w:pPr>
      <w:r>
        <w:rPr>
          <w:rFonts w:ascii="宋体" w:hAnsi="宋体" w:eastAsia="宋体" w:cs="宋体"/>
          <w:b/>
          <w:bCs/>
          <w:spacing w:val="-4"/>
          <w:sz w:val="24"/>
          <w:szCs w:val="24"/>
        </w:rPr>
        <w:t>18.4</w:t>
      </w:r>
      <w:r>
        <w:rPr>
          <w:rFonts w:ascii="宋体" w:hAnsi="宋体" w:eastAsia="宋体" w:cs="宋体"/>
          <w:spacing w:val="-4"/>
          <w:sz w:val="24"/>
          <w:szCs w:val="24"/>
        </w:rPr>
        <w:t xml:space="preserve"> </w:t>
      </w:r>
      <w:r>
        <w:rPr>
          <w:rFonts w:ascii="宋体" w:hAnsi="宋体" w:eastAsia="宋体" w:cs="宋体"/>
          <w:b/>
          <w:bCs/>
          <w:spacing w:val="-4"/>
          <w:sz w:val="24"/>
          <w:szCs w:val="24"/>
        </w:rPr>
        <w:t>单位工程验收</w:t>
      </w:r>
    </w:p>
    <w:p w14:paraId="0BCE140C">
      <w:pPr>
        <w:spacing w:before="182" w:line="219" w:lineRule="auto"/>
        <w:ind w:left="488"/>
        <w:rPr>
          <w:rFonts w:ascii="宋体" w:hAnsi="宋体" w:eastAsia="宋体" w:cs="宋体"/>
          <w:sz w:val="24"/>
          <w:szCs w:val="24"/>
        </w:rPr>
      </w:pPr>
      <w:r>
        <w:rPr>
          <w:rFonts w:ascii="宋体" w:hAnsi="宋体" w:eastAsia="宋体" w:cs="宋体"/>
          <w:spacing w:val="-3"/>
          <w:sz w:val="24"/>
          <w:szCs w:val="24"/>
        </w:rPr>
        <w:t>通用合同条款本款</w:t>
      </w:r>
      <w:r>
        <w:rPr>
          <w:rFonts w:ascii="宋体" w:hAnsi="宋体" w:eastAsia="宋体" w:cs="宋体"/>
          <w:b/>
          <w:bCs/>
          <w:spacing w:val="-3"/>
          <w:sz w:val="24"/>
          <w:szCs w:val="24"/>
        </w:rPr>
        <w:t>第</w:t>
      </w:r>
      <w:r>
        <w:rPr>
          <w:rFonts w:ascii="宋体" w:hAnsi="宋体" w:eastAsia="宋体" w:cs="宋体"/>
          <w:spacing w:val="-30"/>
          <w:sz w:val="24"/>
          <w:szCs w:val="24"/>
        </w:rPr>
        <w:t xml:space="preserve"> </w:t>
      </w:r>
      <w:r>
        <w:rPr>
          <w:rFonts w:ascii="宋体" w:hAnsi="宋体" w:eastAsia="宋体" w:cs="宋体"/>
          <w:b/>
          <w:bCs/>
          <w:spacing w:val="-3"/>
          <w:sz w:val="24"/>
          <w:szCs w:val="24"/>
        </w:rPr>
        <w:t>18.4.2</w:t>
      </w:r>
      <w:r>
        <w:rPr>
          <w:rFonts w:ascii="宋体" w:hAnsi="宋体" w:eastAsia="宋体" w:cs="宋体"/>
          <w:spacing w:val="-45"/>
          <w:sz w:val="24"/>
          <w:szCs w:val="24"/>
        </w:rPr>
        <w:t xml:space="preserve"> </w:t>
      </w:r>
      <w:r>
        <w:rPr>
          <w:rFonts w:ascii="宋体" w:hAnsi="宋体" w:eastAsia="宋体" w:cs="宋体"/>
          <w:b/>
          <w:bCs/>
          <w:spacing w:val="-3"/>
          <w:sz w:val="24"/>
          <w:szCs w:val="24"/>
        </w:rPr>
        <w:t>项</w:t>
      </w:r>
      <w:r>
        <w:rPr>
          <w:rFonts w:ascii="宋体" w:hAnsi="宋体" w:eastAsia="宋体" w:cs="宋体"/>
          <w:spacing w:val="-3"/>
          <w:sz w:val="24"/>
          <w:szCs w:val="24"/>
        </w:rPr>
        <w:t>本合同不适用。</w:t>
      </w:r>
    </w:p>
    <w:p w14:paraId="0A53DDE2">
      <w:pPr>
        <w:spacing w:before="181" w:line="219" w:lineRule="auto"/>
        <w:ind w:left="488"/>
        <w:rPr>
          <w:rFonts w:ascii="宋体" w:hAnsi="宋体" w:eastAsia="宋体" w:cs="宋体"/>
          <w:sz w:val="24"/>
          <w:szCs w:val="24"/>
        </w:rPr>
      </w:pPr>
      <w:r>
        <w:rPr>
          <w:rFonts w:ascii="宋体" w:hAnsi="宋体" w:eastAsia="宋体" w:cs="宋体"/>
          <w:spacing w:val="-4"/>
          <w:sz w:val="24"/>
          <w:szCs w:val="24"/>
        </w:rPr>
        <w:t>通用合同条款本条</w:t>
      </w:r>
      <w:r>
        <w:rPr>
          <w:rFonts w:ascii="宋体" w:hAnsi="宋体" w:eastAsia="宋体" w:cs="宋体"/>
          <w:b/>
          <w:bCs/>
          <w:spacing w:val="-4"/>
          <w:sz w:val="24"/>
          <w:szCs w:val="24"/>
        </w:rPr>
        <w:t>增加</w:t>
      </w:r>
      <w:r>
        <w:rPr>
          <w:rFonts w:ascii="宋体" w:hAnsi="宋体" w:eastAsia="宋体" w:cs="宋体"/>
          <w:spacing w:val="-23"/>
          <w:sz w:val="24"/>
          <w:szCs w:val="24"/>
        </w:rPr>
        <w:t xml:space="preserve"> </w:t>
      </w:r>
      <w:r>
        <w:rPr>
          <w:rFonts w:ascii="宋体" w:hAnsi="宋体" w:eastAsia="宋体" w:cs="宋体"/>
          <w:b/>
          <w:bCs/>
          <w:spacing w:val="-4"/>
          <w:sz w:val="24"/>
          <w:szCs w:val="24"/>
        </w:rPr>
        <w:t>18.9</w:t>
      </w:r>
      <w:r>
        <w:rPr>
          <w:rFonts w:ascii="宋体" w:hAnsi="宋体" w:eastAsia="宋体" w:cs="宋体"/>
          <w:spacing w:val="-52"/>
          <w:sz w:val="24"/>
          <w:szCs w:val="24"/>
        </w:rPr>
        <w:t xml:space="preserve"> </w:t>
      </w:r>
      <w:r>
        <w:rPr>
          <w:rFonts w:ascii="宋体" w:hAnsi="宋体" w:eastAsia="宋体" w:cs="宋体"/>
          <w:b/>
          <w:bCs/>
          <w:spacing w:val="-4"/>
          <w:sz w:val="24"/>
          <w:szCs w:val="24"/>
        </w:rPr>
        <w:t>款的内容：</w:t>
      </w:r>
    </w:p>
    <w:p w14:paraId="76F5B085">
      <w:pPr>
        <w:spacing w:before="312" w:line="359" w:lineRule="auto"/>
        <w:ind w:left="9" w:firstLine="479"/>
        <w:jc w:val="both"/>
        <w:rPr>
          <w:rFonts w:ascii="宋体" w:hAnsi="宋体" w:eastAsia="宋体" w:cs="宋体"/>
          <w:b/>
          <w:bCs/>
          <w:spacing w:val="-5"/>
          <w:sz w:val="24"/>
          <w:szCs w:val="24"/>
        </w:rPr>
      </w:pPr>
      <w:r>
        <w:rPr>
          <w:rFonts w:ascii="宋体" w:hAnsi="宋体" w:eastAsia="宋体" w:cs="宋体"/>
          <w:b/>
          <w:bCs/>
          <w:spacing w:val="-5"/>
          <w:sz w:val="24"/>
          <w:szCs w:val="24"/>
        </w:rPr>
        <w:t>18.9</w:t>
      </w:r>
      <w:r>
        <w:rPr>
          <w:rFonts w:ascii="宋体" w:hAnsi="宋体" w:eastAsia="宋体" w:cs="宋体"/>
          <w:spacing w:val="-5"/>
          <w:sz w:val="24"/>
          <w:szCs w:val="24"/>
        </w:rPr>
        <w:t xml:space="preserve"> </w:t>
      </w:r>
      <w:r>
        <w:rPr>
          <w:rFonts w:ascii="宋体" w:hAnsi="宋体" w:eastAsia="宋体" w:cs="宋体"/>
          <w:b/>
          <w:bCs/>
          <w:spacing w:val="-5"/>
          <w:sz w:val="24"/>
          <w:szCs w:val="24"/>
        </w:rPr>
        <w:t>竣工资料</w:t>
      </w:r>
    </w:p>
    <w:p w14:paraId="02F8C21E">
      <w:pPr>
        <w:spacing w:before="312" w:line="359" w:lineRule="auto"/>
        <w:ind w:left="9" w:firstLine="479"/>
        <w:jc w:val="both"/>
        <w:rPr>
          <w:rFonts w:ascii="宋体" w:hAnsi="宋体" w:eastAsia="宋体" w:cs="宋体"/>
          <w:sz w:val="24"/>
          <w:szCs w:val="24"/>
        </w:rPr>
      </w:pPr>
      <w:r>
        <w:rPr>
          <w:rFonts w:ascii="宋体" w:hAnsi="宋体" w:eastAsia="宋体" w:cs="宋体"/>
          <w:spacing w:val="-2"/>
          <w:sz w:val="24"/>
          <w:szCs w:val="24"/>
        </w:rPr>
        <w:t>承包人应按照交通运输部《水运建设项目文件材料立卷归档管理办法》及交通运输部现行《航道工程建设管理规定》《港口工程建设管理规定》的要求进行竣工资料的整</w:t>
      </w:r>
      <w:r>
        <w:rPr>
          <w:rFonts w:ascii="宋体" w:hAnsi="宋体" w:eastAsia="宋体" w:cs="宋体"/>
          <w:spacing w:val="-6"/>
          <w:sz w:val="24"/>
          <w:szCs w:val="24"/>
        </w:rPr>
        <w:t>理，并按交通运输主管部门等相关部门要求提交工程档案资料。承包</w:t>
      </w:r>
      <w:r>
        <w:rPr>
          <w:rFonts w:ascii="宋体" w:hAnsi="宋体" w:eastAsia="宋体" w:cs="宋体"/>
          <w:spacing w:val="-7"/>
          <w:sz w:val="24"/>
          <w:szCs w:val="24"/>
        </w:rPr>
        <w:t>人应补充竣工资料，</w:t>
      </w:r>
      <w:r>
        <w:rPr>
          <w:rFonts w:ascii="宋体" w:hAnsi="宋体" w:eastAsia="宋体" w:cs="宋体"/>
          <w:spacing w:val="-1"/>
          <w:sz w:val="24"/>
          <w:szCs w:val="24"/>
        </w:rPr>
        <w:t>竣工资料主要包括下列内容：</w:t>
      </w:r>
    </w:p>
    <w:p w14:paraId="6DA74BD1">
      <w:pPr>
        <w:spacing w:line="219" w:lineRule="auto"/>
        <w:ind w:left="506"/>
        <w:rPr>
          <w:rFonts w:ascii="宋体" w:hAnsi="宋体" w:eastAsia="宋体" w:cs="宋体"/>
          <w:sz w:val="24"/>
          <w:szCs w:val="24"/>
        </w:rPr>
      </w:pPr>
      <w:r>
        <w:rPr>
          <w:rFonts w:ascii="宋体" w:hAnsi="宋体" w:eastAsia="宋体" w:cs="宋体"/>
          <w:spacing w:val="-5"/>
          <w:sz w:val="24"/>
          <w:szCs w:val="24"/>
        </w:rPr>
        <w:t>1. 竣工图纸和资料；</w:t>
      </w:r>
    </w:p>
    <w:p w14:paraId="4119CCD4">
      <w:pPr>
        <w:spacing w:before="180" w:line="218" w:lineRule="auto"/>
        <w:ind w:left="491"/>
        <w:rPr>
          <w:rFonts w:ascii="宋体" w:hAnsi="宋体" w:eastAsia="宋体" w:cs="宋体"/>
          <w:sz w:val="24"/>
          <w:szCs w:val="24"/>
        </w:rPr>
      </w:pPr>
      <w:r>
        <w:rPr>
          <w:rFonts w:ascii="宋体" w:hAnsi="宋体" w:eastAsia="宋体" w:cs="宋体"/>
          <w:spacing w:val="-4"/>
          <w:sz w:val="24"/>
          <w:szCs w:val="24"/>
        </w:rPr>
        <w:t>2. 工程质量自评报告；</w:t>
      </w:r>
    </w:p>
    <w:p w14:paraId="1E6BF8B5">
      <w:pPr>
        <w:spacing w:before="185" w:line="219" w:lineRule="auto"/>
        <w:ind w:left="493"/>
        <w:rPr>
          <w:rFonts w:ascii="宋体" w:hAnsi="宋体" w:eastAsia="宋体" w:cs="宋体"/>
          <w:sz w:val="24"/>
          <w:szCs w:val="24"/>
        </w:rPr>
      </w:pPr>
      <w:r>
        <w:rPr>
          <w:rFonts w:ascii="宋体" w:hAnsi="宋体" w:eastAsia="宋体" w:cs="宋体"/>
          <w:spacing w:val="-3"/>
          <w:sz w:val="24"/>
          <w:szCs w:val="24"/>
        </w:rPr>
        <w:t>3. 阶段验收和隐蔽工程验收资料；</w:t>
      </w:r>
    </w:p>
    <w:p w14:paraId="46591294">
      <w:pPr>
        <w:spacing w:before="179" w:line="219" w:lineRule="auto"/>
        <w:ind w:left="487"/>
        <w:rPr>
          <w:rFonts w:ascii="宋体" w:hAnsi="宋体" w:eastAsia="宋体" w:cs="宋体"/>
          <w:sz w:val="24"/>
          <w:szCs w:val="24"/>
        </w:rPr>
      </w:pPr>
      <w:r>
        <w:rPr>
          <w:rFonts w:ascii="宋体" w:hAnsi="宋体" w:eastAsia="宋体" w:cs="宋体"/>
          <w:spacing w:val="-2"/>
          <w:sz w:val="24"/>
          <w:szCs w:val="24"/>
        </w:rPr>
        <w:t>4. 工程材料及设备试验与检验资料；</w:t>
      </w:r>
    </w:p>
    <w:p w14:paraId="087CE3F0">
      <w:pPr>
        <w:spacing w:before="184" w:line="219" w:lineRule="auto"/>
        <w:ind w:left="493"/>
        <w:rPr>
          <w:rFonts w:ascii="宋体" w:hAnsi="宋体" w:eastAsia="宋体" w:cs="宋体"/>
          <w:sz w:val="24"/>
          <w:szCs w:val="24"/>
        </w:rPr>
      </w:pPr>
      <w:r>
        <w:rPr>
          <w:rFonts w:ascii="宋体" w:hAnsi="宋体" w:eastAsia="宋体" w:cs="宋体"/>
          <w:spacing w:val="-4"/>
          <w:sz w:val="24"/>
          <w:szCs w:val="24"/>
        </w:rPr>
        <w:t>5. 沉降及位移观测资料；</w:t>
      </w:r>
    </w:p>
    <w:p w14:paraId="4A1746A2">
      <w:pPr>
        <w:spacing w:before="180" w:line="218" w:lineRule="auto"/>
        <w:ind w:left="490"/>
        <w:rPr>
          <w:rFonts w:ascii="宋体" w:hAnsi="宋体" w:eastAsia="宋体" w:cs="宋体"/>
          <w:sz w:val="24"/>
          <w:szCs w:val="24"/>
        </w:rPr>
      </w:pPr>
      <w:r>
        <w:rPr>
          <w:rFonts w:ascii="宋体" w:hAnsi="宋体" w:eastAsia="宋体" w:cs="宋体"/>
          <w:spacing w:val="-3"/>
          <w:sz w:val="24"/>
          <w:szCs w:val="24"/>
        </w:rPr>
        <w:t>6. 竣工工程整体尺度测量报告；</w:t>
      </w:r>
    </w:p>
    <w:p w14:paraId="7646CF87">
      <w:pPr>
        <w:spacing w:before="185" w:line="218" w:lineRule="auto"/>
        <w:ind w:left="494"/>
        <w:rPr>
          <w:rFonts w:ascii="宋体" w:hAnsi="宋体" w:eastAsia="宋体" w:cs="宋体"/>
          <w:sz w:val="24"/>
          <w:szCs w:val="24"/>
        </w:rPr>
      </w:pPr>
      <w:r>
        <w:rPr>
          <w:rFonts w:ascii="宋体" w:hAnsi="宋体" w:eastAsia="宋体" w:cs="宋体"/>
          <w:spacing w:val="-4"/>
          <w:sz w:val="24"/>
          <w:szCs w:val="24"/>
        </w:rPr>
        <w:t>7.</w:t>
      </w:r>
      <w:r>
        <w:rPr>
          <w:rFonts w:ascii="宋体" w:hAnsi="宋体" w:eastAsia="宋体" w:cs="宋体"/>
          <w:spacing w:val="-15"/>
          <w:sz w:val="24"/>
          <w:szCs w:val="24"/>
        </w:rPr>
        <w:t xml:space="preserve"> </w:t>
      </w:r>
      <w:r>
        <w:rPr>
          <w:rFonts w:ascii="宋体" w:hAnsi="宋体" w:eastAsia="宋体" w:cs="宋体"/>
          <w:spacing w:val="-4"/>
          <w:sz w:val="24"/>
          <w:szCs w:val="24"/>
        </w:rPr>
        <w:t>施工报告；</w:t>
      </w:r>
    </w:p>
    <w:p w14:paraId="52DDF63D">
      <w:pPr>
        <w:spacing w:before="182" w:line="218" w:lineRule="auto"/>
        <w:ind w:left="489"/>
        <w:rPr>
          <w:rFonts w:ascii="宋体" w:hAnsi="宋体" w:eastAsia="宋体" w:cs="宋体"/>
          <w:sz w:val="24"/>
          <w:szCs w:val="24"/>
        </w:rPr>
      </w:pPr>
      <w:r>
        <w:rPr>
          <w:rFonts w:ascii="宋体" w:hAnsi="宋体" w:eastAsia="宋体" w:cs="宋体"/>
          <w:spacing w:val="-4"/>
          <w:sz w:val="24"/>
          <w:szCs w:val="24"/>
        </w:rPr>
        <w:t>8. 工程结算报告；</w:t>
      </w:r>
    </w:p>
    <w:p w14:paraId="264C206F">
      <w:pPr>
        <w:spacing w:before="185" w:line="219" w:lineRule="auto"/>
        <w:ind w:left="489"/>
        <w:rPr>
          <w:rFonts w:ascii="宋体" w:hAnsi="宋体" w:eastAsia="宋体" w:cs="宋体"/>
          <w:sz w:val="24"/>
          <w:szCs w:val="24"/>
        </w:rPr>
      </w:pPr>
      <w:r>
        <w:rPr>
          <w:rFonts w:ascii="宋体" w:hAnsi="宋体" w:eastAsia="宋体" w:cs="宋体"/>
          <w:spacing w:val="-3"/>
          <w:sz w:val="24"/>
          <w:szCs w:val="24"/>
        </w:rPr>
        <w:t>9. 上述资料的电子文件；</w:t>
      </w:r>
    </w:p>
    <w:p w14:paraId="69DD2766">
      <w:pPr>
        <w:spacing w:before="184" w:line="219" w:lineRule="auto"/>
        <w:ind w:left="506"/>
        <w:rPr>
          <w:rFonts w:ascii="宋体" w:hAnsi="宋体" w:eastAsia="宋体" w:cs="宋体"/>
          <w:sz w:val="24"/>
          <w:szCs w:val="24"/>
        </w:rPr>
      </w:pPr>
      <w:r>
        <w:rPr>
          <w:rFonts w:ascii="宋体" w:hAnsi="宋体" w:eastAsia="宋体" w:cs="宋体"/>
          <w:spacing w:val="-6"/>
          <w:sz w:val="24"/>
          <w:szCs w:val="24"/>
        </w:rPr>
        <w:t>10.</w:t>
      </w:r>
      <w:r>
        <w:rPr>
          <w:rFonts w:ascii="宋体" w:hAnsi="宋体" w:eastAsia="宋体" w:cs="宋体"/>
          <w:spacing w:val="15"/>
          <w:sz w:val="24"/>
          <w:szCs w:val="24"/>
        </w:rPr>
        <w:t xml:space="preserve"> </w:t>
      </w:r>
      <w:r>
        <w:rPr>
          <w:rFonts w:ascii="宋体" w:hAnsi="宋体" w:eastAsia="宋体" w:cs="宋体"/>
          <w:spacing w:val="-6"/>
          <w:sz w:val="24"/>
          <w:szCs w:val="24"/>
        </w:rPr>
        <w:t>声像资料。</w:t>
      </w:r>
    </w:p>
    <w:p w14:paraId="4F1DB378">
      <w:pPr>
        <w:spacing w:before="181" w:line="219" w:lineRule="auto"/>
        <w:ind w:left="26"/>
        <w:rPr>
          <w:rFonts w:ascii="宋体" w:hAnsi="宋体" w:eastAsia="宋体" w:cs="宋体"/>
          <w:sz w:val="24"/>
          <w:szCs w:val="24"/>
        </w:rPr>
      </w:pPr>
      <w:r>
        <w:rPr>
          <w:rFonts w:ascii="宋体" w:hAnsi="宋体" w:eastAsia="宋体" w:cs="宋体"/>
          <w:b/>
          <w:bCs/>
          <w:spacing w:val="-4"/>
          <w:sz w:val="24"/>
          <w:szCs w:val="24"/>
        </w:rPr>
        <w:t>19．缺陷责任与保修责任</w:t>
      </w:r>
    </w:p>
    <w:p w14:paraId="0470E449">
      <w:pPr>
        <w:spacing w:before="183" w:line="219" w:lineRule="auto"/>
        <w:ind w:left="506"/>
        <w:rPr>
          <w:rFonts w:ascii="宋体" w:hAnsi="宋体" w:eastAsia="宋体" w:cs="宋体"/>
          <w:sz w:val="24"/>
          <w:szCs w:val="24"/>
        </w:rPr>
      </w:pPr>
      <w:r>
        <w:rPr>
          <w:rFonts w:ascii="宋体" w:hAnsi="宋体" w:eastAsia="宋体" w:cs="宋体"/>
          <w:b/>
          <w:bCs/>
          <w:spacing w:val="-4"/>
          <w:sz w:val="24"/>
          <w:szCs w:val="24"/>
        </w:rPr>
        <w:t>19.1</w:t>
      </w:r>
      <w:r>
        <w:rPr>
          <w:rFonts w:ascii="宋体" w:hAnsi="宋体" w:eastAsia="宋体" w:cs="宋体"/>
          <w:spacing w:val="-4"/>
          <w:sz w:val="24"/>
          <w:szCs w:val="24"/>
        </w:rPr>
        <w:t xml:space="preserve"> </w:t>
      </w:r>
      <w:r>
        <w:rPr>
          <w:rFonts w:ascii="宋体" w:hAnsi="宋体" w:eastAsia="宋体" w:cs="宋体"/>
          <w:b/>
          <w:bCs/>
          <w:spacing w:val="-4"/>
          <w:sz w:val="24"/>
          <w:szCs w:val="24"/>
        </w:rPr>
        <w:t>缺陷责任期的起算时间</w:t>
      </w:r>
    </w:p>
    <w:p w14:paraId="4DC14B72">
      <w:pPr>
        <w:spacing w:before="180" w:line="219" w:lineRule="auto"/>
        <w:ind w:left="488"/>
        <w:rPr>
          <w:rFonts w:ascii="宋体" w:hAnsi="宋体" w:eastAsia="宋体" w:cs="宋体"/>
          <w:sz w:val="24"/>
          <w:szCs w:val="24"/>
        </w:rPr>
      </w:pPr>
      <w:r>
        <w:rPr>
          <w:rFonts w:ascii="宋体" w:hAnsi="宋体" w:eastAsia="宋体" w:cs="宋体"/>
          <w:spacing w:val="-3"/>
          <w:sz w:val="24"/>
          <w:szCs w:val="24"/>
        </w:rPr>
        <w:t>通用合同条款本款第</w:t>
      </w:r>
      <w:r>
        <w:rPr>
          <w:rFonts w:ascii="宋体" w:hAnsi="宋体" w:eastAsia="宋体" w:cs="宋体"/>
          <w:spacing w:val="-24"/>
          <w:sz w:val="24"/>
          <w:szCs w:val="24"/>
        </w:rPr>
        <w:t xml:space="preserve"> </w:t>
      </w:r>
      <w:r>
        <w:rPr>
          <w:rFonts w:ascii="宋体" w:hAnsi="宋体" w:eastAsia="宋体" w:cs="宋体"/>
          <w:spacing w:val="-3"/>
          <w:sz w:val="24"/>
          <w:szCs w:val="24"/>
        </w:rPr>
        <w:t>19.1.1</w:t>
      </w:r>
      <w:r>
        <w:rPr>
          <w:rFonts w:ascii="宋体" w:hAnsi="宋体" w:eastAsia="宋体" w:cs="宋体"/>
          <w:spacing w:val="-47"/>
          <w:sz w:val="24"/>
          <w:szCs w:val="24"/>
        </w:rPr>
        <w:t xml:space="preserve"> </w:t>
      </w:r>
      <w:r>
        <w:rPr>
          <w:rFonts w:ascii="宋体" w:hAnsi="宋体" w:eastAsia="宋体" w:cs="宋体"/>
          <w:spacing w:val="-3"/>
          <w:sz w:val="24"/>
          <w:szCs w:val="24"/>
        </w:rPr>
        <w:t>项修改为：</w:t>
      </w:r>
    </w:p>
    <w:p w14:paraId="3A8836B5">
      <w:pPr>
        <w:spacing w:before="182" w:line="219" w:lineRule="auto"/>
        <w:ind w:left="506"/>
        <w:rPr>
          <w:rFonts w:ascii="宋体" w:hAnsi="宋体" w:eastAsia="宋体" w:cs="宋体"/>
          <w:sz w:val="24"/>
          <w:szCs w:val="24"/>
        </w:rPr>
      </w:pPr>
      <w:r>
        <w:rPr>
          <w:rFonts w:ascii="宋体" w:hAnsi="宋体" w:eastAsia="宋体" w:cs="宋体"/>
          <w:spacing w:val="-2"/>
          <w:sz w:val="24"/>
          <w:szCs w:val="24"/>
        </w:rPr>
        <w:t>19.1.1</w:t>
      </w:r>
      <w:r>
        <w:rPr>
          <w:rFonts w:ascii="宋体" w:hAnsi="宋体" w:eastAsia="宋体" w:cs="宋体"/>
          <w:spacing w:val="-39"/>
          <w:sz w:val="24"/>
          <w:szCs w:val="24"/>
        </w:rPr>
        <w:t xml:space="preserve"> </w:t>
      </w:r>
      <w:r>
        <w:rPr>
          <w:rFonts w:ascii="宋体" w:hAnsi="宋体" w:eastAsia="宋体" w:cs="宋体"/>
          <w:spacing w:val="-2"/>
          <w:sz w:val="24"/>
          <w:szCs w:val="24"/>
        </w:rPr>
        <w:t>缺陷责任期从工程交工之日起算，分别为：</w:t>
      </w:r>
    </w:p>
    <w:p w14:paraId="3370B4AC">
      <w:pPr>
        <w:tabs>
          <w:tab w:val="left" w:pos="614"/>
        </w:tabs>
        <w:spacing w:before="183" w:line="219" w:lineRule="auto"/>
        <w:ind w:left="47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
          <w:sz w:val="24"/>
          <w:szCs w:val="24"/>
          <w:u w:val="single" w:color="auto"/>
        </w:rPr>
        <w:t>（1）疏浚工程不设缺陷责任期；</w:t>
      </w:r>
    </w:p>
    <w:p w14:paraId="6DCC9663">
      <w:pPr>
        <w:tabs>
          <w:tab w:val="left" w:pos="614"/>
        </w:tabs>
        <w:spacing w:before="183" w:line="219" w:lineRule="auto"/>
        <w:ind w:left="47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9"/>
          <w:sz w:val="24"/>
          <w:szCs w:val="24"/>
          <w:u w:val="single" w:color="auto"/>
        </w:rPr>
        <w:t>（2）水工工程缺陷责任期为一年；</w:t>
      </w:r>
    </w:p>
    <w:p w14:paraId="132D5CCE">
      <w:pPr>
        <w:tabs>
          <w:tab w:val="left" w:pos="614"/>
        </w:tabs>
        <w:spacing w:before="181" w:line="220" w:lineRule="auto"/>
        <w:ind w:left="47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5"/>
          <w:sz w:val="24"/>
          <w:szCs w:val="24"/>
          <w:u w:val="single" w:color="auto"/>
        </w:rPr>
        <w:t>（3）其他工程：</w:t>
      </w:r>
      <w:r>
        <w:rPr>
          <w:rFonts w:ascii="宋体" w:hAnsi="宋体" w:eastAsia="宋体" w:cs="宋体"/>
          <w:spacing w:val="2"/>
          <w:sz w:val="24"/>
          <w:szCs w:val="24"/>
          <w:u w:val="single" w:color="auto"/>
        </w:rPr>
        <w:t xml:space="preserve">               </w:t>
      </w:r>
      <w:r>
        <w:rPr>
          <w:rFonts w:ascii="宋体" w:hAnsi="宋体" w:eastAsia="宋体" w:cs="宋体"/>
          <w:spacing w:val="-15"/>
          <w:sz w:val="24"/>
          <w:szCs w:val="24"/>
          <w:u w:val="single" w:color="auto"/>
        </w:rPr>
        <w:t>。</w:t>
      </w:r>
    </w:p>
    <w:p w14:paraId="5071F990">
      <w:pPr>
        <w:spacing w:before="182" w:line="219" w:lineRule="auto"/>
        <w:ind w:left="506"/>
        <w:rPr>
          <w:rFonts w:ascii="宋体" w:hAnsi="宋体" w:eastAsia="宋体" w:cs="宋体"/>
          <w:sz w:val="24"/>
          <w:szCs w:val="24"/>
        </w:rPr>
      </w:pPr>
      <w:r>
        <w:rPr>
          <w:rFonts w:ascii="宋体" w:hAnsi="宋体" w:eastAsia="宋体" w:cs="宋体"/>
          <w:b/>
          <w:bCs/>
          <w:spacing w:val="-5"/>
          <w:sz w:val="24"/>
          <w:szCs w:val="24"/>
        </w:rPr>
        <w:t>19.2</w:t>
      </w:r>
      <w:r>
        <w:rPr>
          <w:rFonts w:ascii="宋体" w:hAnsi="宋体" w:eastAsia="宋体" w:cs="宋体"/>
          <w:spacing w:val="-5"/>
          <w:sz w:val="24"/>
          <w:szCs w:val="24"/>
        </w:rPr>
        <w:t xml:space="preserve"> </w:t>
      </w:r>
      <w:r>
        <w:rPr>
          <w:rFonts w:ascii="宋体" w:hAnsi="宋体" w:eastAsia="宋体" w:cs="宋体"/>
          <w:b/>
          <w:bCs/>
          <w:spacing w:val="-5"/>
          <w:sz w:val="24"/>
          <w:szCs w:val="24"/>
        </w:rPr>
        <w:t>缺陷责任</w:t>
      </w:r>
    </w:p>
    <w:p w14:paraId="38AE6CBE">
      <w:pPr>
        <w:spacing w:before="180" w:line="219" w:lineRule="auto"/>
        <w:ind w:left="487"/>
        <w:rPr>
          <w:rFonts w:ascii="宋体" w:hAnsi="宋体" w:eastAsia="宋体" w:cs="宋体"/>
          <w:sz w:val="24"/>
          <w:szCs w:val="24"/>
        </w:rPr>
      </w:pPr>
      <w:r>
        <w:rPr>
          <w:rFonts w:ascii="宋体" w:hAnsi="宋体" w:eastAsia="宋体" w:cs="宋体"/>
          <w:spacing w:val="-3"/>
          <w:sz w:val="24"/>
          <w:szCs w:val="24"/>
        </w:rPr>
        <w:t>删除本条第</w:t>
      </w:r>
      <w:r>
        <w:rPr>
          <w:rFonts w:ascii="宋体" w:hAnsi="宋体" w:eastAsia="宋体" w:cs="宋体"/>
          <w:spacing w:val="-26"/>
          <w:sz w:val="24"/>
          <w:szCs w:val="24"/>
        </w:rPr>
        <w:t xml:space="preserve"> </w:t>
      </w:r>
      <w:r>
        <w:rPr>
          <w:rFonts w:ascii="宋体" w:hAnsi="宋体" w:eastAsia="宋体" w:cs="宋体"/>
          <w:spacing w:val="-3"/>
          <w:sz w:val="24"/>
          <w:szCs w:val="24"/>
        </w:rPr>
        <w:t>19.2.3</w:t>
      </w:r>
      <w:r>
        <w:rPr>
          <w:rFonts w:ascii="宋体" w:hAnsi="宋体" w:eastAsia="宋体" w:cs="宋体"/>
          <w:spacing w:val="-47"/>
          <w:sz w:val="24"/>
          <w:szCs w:val="24"/>
        </w:rPr>
        <w:t xml:space="preserve"> </w:t>
      </w:r>
      <w:r>
        <w:rPr>
          <w:rFonts w:ascii="宋体" w:hAnsi="宋体" w:eastAsia="宋体" w:cs="宋体"/>
          <w:spacing w:val="-3"/>
          <w:sz w:val="24"/>
          <w:szCs w:val="24"/>
        </w:rPr>
        <w:t>项内容，代之以：</w:t>
      </w:r>
    </w:p>
    <w:p w14:paraId="0B56095C">
      <w:pPr>
        <w:spacing w:before="183" w:line="359" w:lineRule="auto"/>
        <w:ind w:left="7" w:right="61" w:firstLine="498"/>
        <w:jc w:val="both"/>
        <w:rPr>
          <w:rFonts w:ascii="宋体" w:hAnsi="宋体" w:eastAsia="宋体" w:cs="宋体"/>
          <w:sz w:val="24"/>
          <w:szCs w:val="24"/>
        </w:rPr>
      </w:pPr>
      <w:r>
        <w:rPr>
          <w:rFonts w:ascii="宋体" w:hAnsi="宋体" w:eastAsia="宋体" w:cs="宋体"/>
          <w:spacing w:val="-4"/>
          <w:sz w:val="24"/>
          <w:szCs w:val="24"/>
        </w:rPr>
        <w:t>19.2.3</w:t>
      </w:r>
      <w:r>
        <w:rPr>
          <w:rFonts w:ascii="宋体" w:hAnsi="宋体" w:eastAsia="宋体" w:cs="宋体"/>
          <w:spacing w:val="-45"/>
          <w:sz w:val="24"/>
          <w:szCs w:val="24"/>
        </w:rPr>
        <w:t xml:space="preserve"> </w:t>
      </w:r>
      <w:r>
        <w:rPr>
          <w:rFonts w:ascii="宋体" w:hAnsi="宋体" w:eastAsia="宋体" w:cs="宋体"/>
          <w:spacing w:val="-4"/>
          <w:sz w:val="24"/>
          <w:szCs w:val="24"/>
        </w:rPr>
        <w:t>监理人和承包人应共同査清缺陷和（或）损坏的原因。经査明属承包人原因</w:t>
      </w:r>
      <w:r>
        <w:rPr>
          <w:rFonts w:ascii="宋体" w:hAnsi="宋体" w:eastAsia="宋体" w:cs="宋体"/>
          <w:spacing w:val="-2"/>
          <w:sz w:val="24"/>
          <w:szCs w:val="24"/>
        </w:rPr>
        <w:t>造成的，应由承包人承担修复和査验的费用。经査验属发包人原因造成的，发包人应承</w:t>
      </w:r>
      <w:r>
        <w:rPr>
          <w:rFonts w:ascii="宋体" w:hAnsi="宋体" w:eastAsia="宋体" w:cs="宋体"/>
          <w:spacing w:val="-1"/>
          <w:sz w:val="24"/>
          <w:szCs w:val="24"/>
        </w:rPr>
        <w:t>担修复和查验的费用。</w:t>
      </w:r>
    </w:p>
    <w:p w14:paraId="247C202A">
      <w:pPr>
        <w:spacing w:line="220" w:lineRule="auto"/>
        <w:ind w:left="11"/>
        <w:rPr>
          <w:rFonts w:ascii="宋体" w:hAnsi="宋体" w:eastAsia="宋体" w:cs="宋体"/>
          <w:sz w:val="24"/>
          <w:szCs w:val="24"/>
        </w:rPr>
      </w:pPr>
      <w:r>
        <w:rPr>
          <w:rFonts w:ascii="宋体" w:hAnsi="宋体" w:eastAsia="宋体" w:cs="宋体"/>
          <w:b/>
          <w:bCs/>
          <w:spacing w:val="-5"/>
          <w:sz w:val="24"/>
          <w:szCs w:val="24"/>
        </w:rPr>
        <w:t>20．保险</w:t>
      </w:r>
    </w:p>
    <w:p w14:paraId="1BE7E755">
      <w:pPr>
        <w:spacing w:before="182" w:line="220" w:lineRule="auto"/>
        <w:ind w:left="491"/>
        <w:rPr>
          <w:rFonts w:ascii="宋体" w:hAnsi="宋体" w:eastAsia="宋体" w:cs="宋体"/>
          <w:sz w:val="24"/>
          <w:szCs w:val="24"/>
        </w:rPr>
      </w:pPr>
      <w:r>
        <w:rPr>
          <w:rFonts w:ascii="宋体" w:hAnsi="宋体" w:eastAsia="宋体" w:cs="宋体"/>
          <w:b/>
          <w:bCs/>
          <w:spacing w:val="-3"/>
          <w:sz w:val="24"/>
          <w:szCs w:val="24"/>
        </w:rPr>
        <w:t>20.1</w:t>
      </w:r>
      <w:r>
        <w:rPr>
          <w:rFonts w:ascii="宋体" w:hAnsi="宋体" w:eastAsia="宋体" w:cs="宋体"/>
          <w:spacing w:val="-3"/>
          <w:sz w:val="24"/>
          <w:szCs w:val="24"/>
        </w:rPr>
        <w:t xml:space="preserve"> </w:t>
      </w:r>
      <w:r>
        <w:rPr>
          <w:rFonts w:ascii="宋体" w:hAnsi="宋体" w:eastAsia="宋体" w:cs="宋体"/>
          <w:b/>
          <w:bCs/>
          <w:spacing w:val="-3"/>
          <w:sz w:val="24"/>
          <w:szCs w:val="24"/>
        </w:rPr>
        <w:t>工程保险</w:t>
      </w:r>
    </w:p>
    <w:p w14:paraId="22288C8F">
      <w:pPr>
        <w:spacing w:before="311" w:line="359" w:lineRule="auto"/>
        <w:ind w:left="7" w:firstLine="4"/>
        <w:jc w:val="both"/>
        <w:rPr>
          <w:rFonts w:ascii="宋体" w:hAnsi="宋体" w:eastAsia="宋体" w:cs="宋体"/>
          <w:sz w:val="24"/>
          <w:szCs w:val="24"/>
        </w:rPr>
      </w:pPr>
      <w:r>
        <w:rPr>
          <w:rFonts w:ascii="宋体" w:hAnsi="宋体" w:eastAsia="宋体" w:cs="宋体"/>
          <w:spacing w:val="-2"/>
          <w:sz w:val="24"/>
          <w:szCs w:val="24"/>
        </w:rPr>
        <w:t>工程一切险的投保金额按工程量清单进行计算，若发生索赔事件，由承包人负责索</w:t>
      </w:r>
      <w:r>
        <w:rPr>
          <w:rFonts w:ascii="宋体" w:hAnsi="宋体" w:eastAsia="宋体" w:cs="宋体"/>
          <w:spacing w:val="-1"/>
          <w:sz w:val="24"/>
          <w:szCs w:val="24"/>
        </w:rPr>
        <w:t>赔，必要时发包人提供协助；保险期限为工程实际施工期。若保险费率在</w:t>
      </w:r>
      <w:r>
        <w:rPr>
          <w:rFonts w:ascii="宋体" w:hAnsi="宋体" w:eastAsia="宋体" w:cs="宋体"/>
          <w:spacing w:val="-1"/>
          <w:sz w:val="24"/>
          <w:szCs w:val="24"/>
          <w:u w:val="single" w:color="auto"/>
        </w:rPr>
        <w:t xml:space="preserve">   </w:t>
      </w:r>
      <w:r>
        <w:rPr>
          <w:rFonts w:ascii="宋体" w:hAnsi="宋体" w:eastAsia="宋体" w:cs="宋体"/>
          <w:spacing w:val="-92"/>
          <w:sz w:val="24"/>
          <w:szCs w:val="24"/>
        </w:rPr>
        <w:t xml:space="preserve"> </w:t>
      </w:r>
      <w:r>
        <w:rPr>
          <w:rFonts w:ascii="宋体" w:hAnsi="宋体" w:eastAsia="宋体" w:cs="宋体"/>
          <w:spacing w:val="-1"/>
          <w:sz w:val="24"/>
          <w:szCs w:val="24"/>
        </w:rPr>
        <w:t>‰以内，</w:t>
      </w:r>
      <w:r>
        <w:rPr>
          <w:rFonts w:ascii="宋体" w:hAnsi="宋体" w:eastAsia="宋体" w:cs="宋体"/>
          <w:spacing w:val="-2"/>
          <w:sz w:val="24"/>
          <w:szCs w:val="24"/>
        </w:rPr>
        <w:t>发包人将按承包人实际支付的保险费及由此产生的工程税金支付给承包人，保险费率超</w:t>
      </w:r>
      <w:r>
        <w:rPr>
          <w:rFonts w:ascii="宋体" w:hAnsi="宋体" w:eastAsia="宋体" w:cs="宋体"/>
          <w:spacing w:val="-1"/>
          <w:sz w:val="24"/>
          <w:szCs w:val="24"/>
        </w:rPr>
        <w:t>出</w:t>
      </w:r>
      <w:r>
        <w:rPr>
          <w:rFonts w:ascii="宋体" w:hAnsi="宋体" w:eastAsia="宋体" w:cs="宋体"/>
          <w:spacing w:val="-1"/>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1"/>
          <w:sz w:val="24"/>
          <w:szCs w:val="24"/>
        </w:rPr>
        <w:t>‰的部分由承包人自行承担。为办理保险发生的相关辅助费用由承包人承担。工程一切险和第三者责任险计算基数：建筑安装工程费。</w:t>
      </w:r>
    </w:p>
    <w:p w14:paraId="60419A7A">
      <w:pPr>
        <w:spacing w:line="219" w:lineRule="auto"/>
        <w:ind w:left="491"/>
        <w:rPr>
          <w:rFonts w:ascii="宋体" w:hAnsi="宋体" w:eastAsia="宋体" w:cs="宋体"/>
          <w:sz w:val="24"/>
          <w:szCs w:val="24"/>
        </w:rPr>
      </w:pPr>
      <w:r>
        <w:rPr>
          <w:rFonts w:ascii="宋体" w:hAnsi="宋体" w:eastAsia="宋体" w:cs="宋体"/>
          <w:b/>
          <w:bCs/>
          <w:spacing w:val="-3"/>
          <w:sz w:val="24"/>
          <w:szCs w:val="24"/>
        </w:rPr>
        <w:t>20.4</w:t>
      </w:r>
      <w:r>
        <w:rPr>
          <w:rFonts w:ascii="宋体" w:hAnsi="宋体" w:eastAsia="宋体" w:cs="宋体"/>
          <w:spacing w:val="-3"/>
          <w:sz w:val="24"/>
          <w:szCs w:val="24"/>
        </w:rPr>
        <w:t xml:space="preserve"> </w:t>
      </w:r>
      <w:r>
        <w:rPr>
          <w:rFonts w:ascii="宋体" w:hAnsi="宋体" w:eastAsia="宋体" w:cs="宋体"/>
          <w:b/>
          <w:bCs/>
          <w:spacing w:val="-3"/>
          <w:sz w:val="24"/>
          <w:szCs w:val="24"/>
        </w:rPr>
        <w:t>第三者责任险</w:t>
      </w:r>
    </w:p>
    <w:p w14:paraId="1BD05D8D">
      <w:pPr>
        <w:spacing w:before="181" w:line="359" w:lineRule="auto"/>
        <w:ind w:left="21" w:firstLine="466"/>
        <w:jc w:val="both"/>
        <w:rPr>
          <w:rFonts w:ascii="宋体" w:hAnsi="宋体" w:eastAsia="宋体" w:cs="宋体"/>
          <w:sz w:val="24"/>
          <w:szCs w:val="24"/>
        </w:rPr>
      </w:pPr>
      <w:r>
        <w:rPr>
          <w:rFonts w:ascii="宋体" w:hAnsi="宋体" w:eastAsia="宋体" w:cs="宋体"/>
          <w:spacing w:val="1"/>
          <w:sz w:val="24"/>
          <w:szCs w:val="24"/>
        </w:rPr>
        <w:t>第三方责任险的投保金额为累计赔偿限额不少于</w:t>
      </w:r>
      <w:r>
        <w:rPr>
          <w:rFonts w:ascii="宋体" w:hAnsi="宋体" w:eastAsia="宋体" w:cs="宋体"/>
          <w:spacing w:val="1"/>
          <w:sz w:val="24"/>
          <w:szCs w:val="24"/>
          <w:u w:val="single" w:color="auto"/>
        </w:rPr>
        <w:t xml:space="preserve">   </w:t>
      </w:r>
      <w:r>
        <w:rPr>
          <w:rFonts w:ascii="宋体" w:hAnsi="宋体" w:eastAsia="宋体" w:cs="宋体"/>
          <w:spacing w:val="-101"/>
          <w:sz w:val="24"/>
          <w:szCs w:val="24"/>
        </w:rPr>
        <w:t xml:space="preserve"> </w:t>
      </w:r>
      <w:r>
        <w:rPr>
          <w:rFonts w:ascii="宋体" w:hAnsi="宋体" w:eastAsia="宋体" w:cs="宋体"/>
          <w:spacing w:val="1"/>
          <w:sz w:val="24"/>
          <w:szCs w:val="24"/>
        </w:rPr>
        <w:t>万元，但事故次数不限，保险</w:t>
      </w:r>
      <w:r>
        <w:rPr>
          <w:rFonts w:ascii="宋体" w:hAnsi="宋体" w:eastAsia="宋体" w:cs="宋体"/>
          <w:sz w:val="24"/>
          <w:szCs w:val="24"/>
        </w:rPr>
        <w:t>费率为</w:t>
      </w:r>
      <w:r>
        <w:rPr>
          <w:rFonts w:ascii="宋体" w:hAnsi="宋体" w:eastAsia="宋体" w:cs="宋体"/>
          <w:sz w:val="24"/>
          <w:szCs w:val="24"/>
          <w:u w:val="single" w:color="auto"/>
        </w:rPr>
        <w:t xml:space="preserve">   </w:t>
      </w:r>
      <w:r>
        <w:rPr>
          <w:rFonts w:ascii="宋体" w:hAnsi="宋体" w:eastAsia="宋体" w:cs="宋体"/>
          <w:spacing w:val="-103"/>
          <w:sz w:val="24"/>
          <w:szCs w:val="24"/>
        </w:rPr>
        <w:t xml:space="preserve"> </w:t>
      </w:r>
      <w:r>
        <w:rPr>
          <w:rFonts w:ascii="宋体" w:hAnsi="宋体" w:eastAsia="宋体" w:cs="宋体"/>
          <w:sz w:val="24"/>
          <w:szCs w:val="24"/>
        </w:rPr>
        <w:t>‰</w:t>
      </w:r>
      <w:r>
        <w:rPr>
          <w:rFonts w:ascii="宋体" w:hAnsi="宋体" w:eastAsia="宋体" w:cs="宋体"/>
          <w:spacing w:val="-91"/>
          <w:sz w:val="24"/>
          <w:szCs w:val="24"/>
        </w:rPr>
        <w:t xml:space="preserve"> </w:t>
      </w:r>
      <w:r>
        <w:rPr>
          <w:rFonts w:ascii="宋体" w:hAnsi="宋体" w:eastAsia="宋体" w:cs="宋体"/>
          <w:sz w:val="24"/>
          <w:szCs w:val="24"/>
        </w:rPr>
        <w:t>，若发生索赔事件，由承包人负责索赔，必要时发包人提供协助；</w:t>
      </w:r>
      <w:r>
        <w:rPr>
          <w:rFonts w:ascii="宋体" w:hAnsi="宋体" w:eastAsia="宋体" w:cs="宋体"/>
          <w:spacing w:val="-1"/>
          <w:sz w:val="24"/>
          <w:szCs w:val="24"/>
        </w:rPr>
        <w:t>保险期限为工程实际施工期。为办理保险发生的相关辅助费用由承包人承担。</w:t>
      </w:r>
    </w:p>
    <w:p w14:paraId="5365C05D">
      <w:pPr>
        <w:spacing w:line="220" w:lineRule="auto"/>
        <w:ind w:left="491"/>
        <w:rPr>
          <w:rFonts w:ascii="宋体" w:hAnsi="宋体" w:eastAsia="宋体" w:cs="宋体"/>
          <w:sz w:val="24"/>
          <w:szCs w:val="24"/>
        </w:rPr>
      </w:pPr>
      <w:r>
        <w:rPr>
          <w:rFonts w:ascii="宋体" w:hAnsi="宋体" w:eastAsia="宋体" w:cs="宋体"/>
          <w:b/>
          <w:bCs/>
          <w:spacing w:val="-3"/>
          <w:sz w:val="24"/>
          <w:szCs w:val="24"/>
        </w:rPr>
        <w:t>20.6</w:t>
      </w:r>
      <w:r>
        <w:rPr>
          <w:rFonts w:ascii="宋体" w:hAnsi="宋体" w:eastAsia="宋体" w:cs="宋体"/>
          <w:spacing w:val="-3"/>
          <w:sz w:val="24"/>
          <w:szCs w:val="24"/>
        </w:rPr>
        <w:t xml:space="preserve"> </w:t>
      </w:r>
      <w:r>
        <w:rPr>
          <w:rFonts w:ascii="宋体" w:hAnsi="宋体" w:eastAsia="宋体" w:cs="宋体"/>
          <w:b/>
          <w:bCs/>
          <w:spacing w:val="-3"/>
          <w:sz w:val="24"/>
          <w:szCs w:val="24"/>
        </w:rPr>
        <w:t>对各项保险的一般要求</w:t>
      </w:r>
    </w:p>
    <w:p w14:paraId="2A1BD02A">
      <w:pPr>
        <w:spacing w:before="182" w:line="219" w:lineRule="auto"/>
        <w:ind w:left="491"/>
        <w:rPr>
          <w:rFonts w:ascii="宋体" w:hAnsi="宋体" w:eastAsia="宋体" w:cs="宋体"/>
          <w:sz w:val="24"/>
          <w:szCs w:val="24"/>
        </w:rPr>
      </w:pPr>
      <w:r>
        <w:rPr>
          <w:rFonts w:ascii="宋体" w:hAnsi="宋体" w:eastAsia="宋体" w:cs="宋体"/>
          <w:spacing w:val="-2"/>
          <w:sz w:val="24"/>
          <w:szCs w:val="24"/>
        </w:rPr>
        <w:t>20.6.1 保险凭证</w:t>
      </w:r>
    </w:p>
    <w:p w14:paraId="4E1EB923">
      <w:pPr>
        <w:spacing w:before="179" w:line="219" w:lineRule="auto"/>
        <w:ind w:left="488"/>
        <w:rPr>
          <w:rFonts w:ascii="宋体" w:hAnsi="宋体" w:eastAsia="宋体" w:cs="宋体"/>
          <w:sz w:val="24"/>
          <w:szCs w:val="24"/>
        </w:rPr>
      </w:pPr>
      <w:r>
        <w:rPr>
          <w:rFonts w:ascii="宋体" w:hAnsi="宋体" w:eastAsia="宋体" w:cs="宋体"/>
          <w:sz w:val="24"/>
          <w:szCs w:val="24"/>
        </w:rPr>
        <w:t>承包人在开工后</w:t>
      </w:r>
      <w:r>
        <w:rPr>
          <w:rFonts w:ascii="宋体" w:hAnsi="宋体" w:eastAsia="宋体" w:cs="宋体"/>
          <w:sz w:val="24"/>
          <w:szCs w:val="24"/>
          <w:u w:val="single" w:color="auto"/>
        </w:rPr>
        <w:t xml:space="preserve"> 30 </w:t>
      </w:r>
      <w:r>
        <w:rPr>
          <w:rFonts w:ascii="宋体" w:hAnsi="宋体" w:eastAsia="宋体" w:cs="宋体"/>
          <w:sz w:val="24"/>
          <w:szCs w:val="24"/>
        </w:rPr>
        <w:t>天内向发包人提交各项保险生</w:t>
      </w:r>
      <w:r>
        <w:rPr>
          <w:rFonts w:ascii="宋体" w:hAnsi="宋体" w:eastAsia="宋体" w:cs="宋体"/>
          <w:spacing w:val="-1"/>
          <w:sz w:val="24"/>
          <w:szCs w:val="24"/>
        </w:rPr>
        <w:t>效的证据和保险单副本。</w:t>
      </w:r>
    </w:p>
    <w:p w14:paraId="7B295FD9">
      <w:pPr>
        <w:spacing w:before="185" w:line="219" w:lineRule="auto"/>
        <w:ind w:left="491"/>
        <w:rPr>
          <w:rFonts w:ascii="宋体" w:hAnsi="宋体" w:eastAsia="宋体" w:cs="宋体"/>
          <w:sz w:val="24"/>
          <w:szCs w:val="24"/>
        </w:rPr>
      </w:pPr>
      <w:r>
        <w:rPr>
          <w:rFonts w:ascii="宋体" w:hAnsi="宋体" w:eastAsia="宋体" w:cs="宋体"/>
          <w:spacing w:val="-2"/>
          <w:sz w:val="24"/>
          <w:szCs w:val="24"/>
        </w:rPr>
        <w:t>20.6.3 持续保险</w:t>
      </w:r>
    </w:p>
    <w:p w14:paraId="5CFD917C">
      <w:pPr>
        <w:spacing w:before="180" w:line="360" w:lineRule="auto"/>
        <w:ind w:left="10" w:firstLine="478"/>
        <w:rPr>
          <w:rFonts w:ascii="宋体" w:hAnsi="宋体" w:eastAsia="宋体" w:cs="宋体"/>
          <w:sz w:val="24"/>
          <w:szCs w:val="24"/>
        </w:rPr>
      </w:pPr>
      <w:r>
        <w:rPr>
          <w:rFonts w:ascii="宋体" w:hAnsi="宋体" w:eastAsia="宋体" w:cs="宋体"/>
          <w:b/>
          <w:bCs/>
          <w:spacing w:val="-3"/>
          <w:sz w:val="24"/>
          <w:szCs w:val="24"/>
        </w:rPr>
        <w:t>通用合同条款本项文末增加：</w:t>
      </w:r>
      <w:r>
        <w:rPr>
          <w:rFonts w:ascii="宋体" w:hAnsi="宋体" w:eastAsia="宋体" w:cs="宋体"/>
          <w:spacing w:val="-3"/>
          <w:sz w:val="24"/>
          <w:szCs w:val="24"/>
        </w:rPr>
        <w:t>若由承包人原因引起的工程延期，承包人应及时地无</w:t>
      </w:r>
      <w:r>
        <w:rPr>
          <w:rFonts w:ascii="宋体" w:hAnsi="宋体" w:eastAsia="宋体" w:cs="宋体"/>
          <w:sz w:val="24"/>
          <w:szCs w:val="24"/>
        </w:rPr>
        <w:t>条件续保，并承担相应费用，相关费用含在合同总价</w:t>
      </w:r>
      <w:r>
        <w:rPr>
          <w:rFonts w:ascii="宋体" w:hAnsi="宋体" w:eastAsia="宋体" w:cs="宋体"/>
          <w:spacing w:val="-1"/>
          <w:sz w:val="24"/>
          <w:szCs w:val="24"/>
        </w:rPr>
        <w:t>中，发包人不另行支付费用。</w:t>
      </w:r>
    </w:p>
    <w:p w14:paraId="2C4A538C">
      <w:pPr>
        <w:spacing w:line="220" w:lineRule="auto"/>
        <w:ind w:left="491"/>
        <w:rPr>
          <w:rFonts w:ascii="宋体" w:hAnsi="宋体" w:eastAsia="宋体" w:cs="宋体"/>
          <w:sz w:val="24"/>
          <w:szCs w:val="24"/>
        </w:rPr>
      </w:pPr>
      <w:r>
        <w:rPr>
          <w:rFonts w:ascii="宋体" w:hAnsi="宋体" w:eastAsia="宋体" w:cs="宋体"/>
          <w:spacing w:val="-1"/>
          <w:sz w:val="24"/>
          <w:szCs w:val="24"/>
        </w:rPr>
        <w:t>20.6.4 保险金不足的补偿</w:t>
      </w:r>
    </w:p>
    <w:p w14:paraId="44FF1E13">
      <w:pPr>
        <w:spacing w:before="180" w:line="218" w:lineRule="auto"/>
        <w:ind w:left="489"/>
        <w:rPr>
          <w:rFonts w:ascii="宋体" w:hAnsi="宋体" w:eastAsia="宋体" w:cs="宋体"/>
          <w:sz w:val="24"/>
          <w:szCs w:val="24"/>
        </w:rPr>
      </w:pPr>
      <w:r>
        <w:rPr>
          <w:rFonts w:ascii="宋体" w:hAnsi="宋体" w:eastAsia="宋体" w:cs="宋体"/>
          <w:sz w:val="24"/>
          <w:szCs w:val="24"/>
        </w:rPr>
        <w:t>保险金不足以补偿损失的部分由承包人自行承担，</w:t>
      </w:r>
      <w:r>
        <w:rPr>
          <w:rFonts w:ascii="宋体" w:hAnsi="宋体" w:eastAsia="宋体" w:cs="宋体"/>
          <w:spacing w:val="-1"/>
          <w:sz w:val="24"/>
          <w:szCs w:val="24"/>
        </w:rPr>
        <w:t>相关费用含在合同总价中。</w:t>
      </w:r>
    </w:p>
    <w:p w14:paraId="7DD16DBA">
      <w:pPr>
        <w:spacing w:before="185" w:line="219" w:lineRule="auto"/>
        <w:ind w:left="491"/>
        <w:rPr>
          <w:rFonts w:ascii="宋体" w:hAnsi="宋体" w:eastAsia="宋体" w:cs="宋体"/>
          <w:sz w:val="24"/>
          <w:szCs w:val="24"/>
        </w:rPr>
      </w:pPr>
      <w:r>
        <w:rPr>
          <w:rFonts w:ascii="宋体" w:hAnsi="宋体" w:eastAsia="宋体" w:cs="宋体"/>
          <w:spacing w:val="-1"/>
          <w:sz w:val="24"/>
          <w:szCs w:val="24"/>
        </w:rPr>
        <w:t>20.6.5 未按约定投保的补救</w:t>
      </w:r>
    </w:p>
    <w:p w14:paraId="255D7000">
      <w:pPr>
        <w:spacing w:before="182" w:line="359" w:lineRule="auto"/>
        <w:ind w:left="9" w:firstLine="480"/>
        <w:rPr>
          <w:rFonts w:ascii="宋体" w:hAnsi="宋体" w:eastAsia="宋体" w:cs="宋体"/>
          <w:sz w:val="24"/>
          <w:szCs w:val="24"/>
        </w:rPr>
      </w:pPr>
      <w:r>
        <w:rPr>
          <w:rFonts w:ascii="宋体" w:hAnsi="宋体" w:eastAsia="宋体" w:cs="宋体"/>
          <w:spacing w:val="-2"/>
          <w:sz w:val="24"/>
          <w:szCs w:val="24"/>
        </w:rPr>
        <w:t>本合同约定为：由于承包人未按合同约定办理各项保险，或未按保险单规定的条件和期限及时向保险人报告事故情况，或未按要求的保险期限进行投保，或未按要求投保</w:t>
      </w:r>
      <w:r>
        <w:rPr>
          <w:rFonts w:ascii="宋体" w:hAnsi="宋体" w:eastAsia="宋体" w:cs="宋体"/>
          <w:spacing w:val="-1"/>
          <w:sz w:val="24"/>
          <w:szCs w:val="24"/>
        </w:rPr>
        <w:t>足够的保险金额，承包人应承担一切经济损失和赔偿责任。</w:t>
      </w:r>
    </w:p>
    <w:p w14:paraId="644CC735">
      <w:pPr>
        <w:spacing w:line="219" w:lineRule="auto"/>
        <w:ind w:left="11"/>
        <w:rPr>
          <w:rFonts w:ascii="宋体" w:hAnsi="宋体" w:eastAsia="宋体" w:cs="宋体"/>
          <w:sz w:val="24"/>
          <w:szCs w:val="24"/>
        </w:rPr>
      </w:pPr>
      <w:r>
        <w:rPr>
          <w:rFonts w:ascii="宋体" w:hAnsi="宋体" w:eastAsia="宋体" w:cs="宋体"/>
          <w:b/>
          <w:bCs/>
          <w:spacing w:val="-4"/>
          <w:sz w:val="24"/>
          <w:szCs w:val="24"/>
        </w:rPr>
        <w:t>21．不可抗力</w:t>
      </w:r>
    </w:p>
    <w:p w14:paraId="5743EFF5">
      <w:pPr>
        <w:spacing w:before="181" w:line="219" w:lineRule="auto"/>
        <w:ind w:left="491"/>
        <w:rPr>
          <w:rFonts w:ascii="宋体" w:hAnsi="宋体" w:eastAsia="宋体" w:cs="宋体"/>
          <w:sz w:val="24"/>
          <w:szCs w:val="24"/>
        </w:rPr>
      </w:pPr>
      <w:r>
        <w:rPr>
          <w:rFonts w:ascii="宋体" w:hAnsi="宋体" w:eastAsia="宋体" w:cs="宋体"/>
          <w:b/>
          <w:bCs/>
          <w:spacing w:val="-3"/>
          <w:sz w:val="24"/>
          <w:szCs w:val="24"/>
        </w:rPr>
        <w:t>21.3</w:t>
      </w:r>
      <w:r>
        <w:rPr>
          <w:rFonts w:ascii="宋体" w:hAnsi="宋体" w:eastAsia="宋体" w:cs="宋体"/>
          <w:spacing w:val="-3"/>
          <w:sz w:val="24"/>
          <w:szCs w:val="24"/>
        </w:rPr>
        <w:t xml:space="preserve"> </w:t>
      </w:r>
      <w:r>
        <w:rPr>
          <w:rFonts w:ascii="宋体" w:hAnsi="宋体" w:eastAsia="宋体" w:cs="宋体"/>
          <w:b/>
          <w:bCs/>
          <w:spacing w:val="-3"/>
          <w:sz w:val="24"/>
          <w:szCs w:val="24"/>
        </w:rPr>
        <w:t>不可抗力后果及其处理</w:t>
      </w:r>
    </w:p>
    <w:p w14:paraId="107B9F82">
      <w:pPr>
        <w:spacing w:before="183" w:line="219" w:lineRule="auto"/>
        <w:ind w:left="491"/>
        <w:rPr>
          <w:rFonts w:ascii="宋体" w:hAnsi="宋体" w:eastAsia="宋体" w:cs="宋体"/>
          <w:sz w:val="24"/>
          <w:szCs w:val="24"/>
        </w:rPr>
      </w:pPr>
      <w:r>
        <w:rPr>
          <w:rFonts w:ascii="宋体" w:hAnsi="宋体" w:eastAsia="宋体" w:cs="宋体"/>
          <w:spacing w:val="-1"/>
          <w:sz w:val="24"/>
          <w:szCs w:val="24"/>
        </w:rPr>
        <w:t>21.3.1 不可抗力造成损害的责任</w:t>
      </w:r>
    </w:p>
    <w:p w14:paraId="09764D08">
      <w:pPr>
        <w:spacing w:before="181" w:line="360" w:lineRule="auto"/>
        <w:ind w:left="9" w:right="67" w:firstLine="479"/>
        <w:rPr>
          <w:rFonts w:ascii="宋体" w:hAnsi="宋体" w:eastAsia="宋体" w:cs="宋体"/>
          <w:sz w:val="24"/>
          <w:szCs w:val="24"/>
        </w:rPr>
      </w:pPr>
      <w:r>
        <w:rPr>
          <w:rFonts w:ascii="宋体" w:hAnsi="宋体" w:eastAsia="宋体" w:cs="宋体"/>
          <w:spacing w:val="-2"/>
          <w:sz w:val="24"/>
          <w:szCs w:val="24"/>
        </w:rPr>
        <w:t>通用合同条款本项第（1）</w:t>
      </w:r>
      <w:r>
        <w:rPr>
          <w:rFonts w:ascii="宋体" w:hAnsi="宋体" w:eastAsia="宋体" w:cs="宋体"/>
          <w:spacing w:val="-59"/>
          <w:sz w:val="24"/>
          <w:szCs w:val="24"/>
        </w:rPr>
        <w:t xml:space="preserve"> </w:t>
      </w:r>
      <w:r>
        <w:rPr>
          <w:rFonts w:ascii="宋体" w:hAnsi="宋体" w:eastAsia="宋体" w:cs="宋体"/>
          <w:spacing w:val="-2"/>
          <w:sz w:val="24"/>
          <w:szCs w:val="24"/>
        </w:rPr>
        <w:t>目的内容不适用于本合同，代之以：承包人须按专用条</w:t>
      </w:r>
      <w:r>
        <w:rPr>
          <w:rFonts w:ascii="宋体" w:hAnsi="宋体" w:eastAsia="宋体" w:cs="宋体"/>
          <w:spacing w:val="-1"/>
          <w:sz w:val="24"/>
          <w:szCs w:val="24"/>
        </w:rPr>
        <w:t>款第</w:t>
      </w:r>
      <w:r>
        <w:rPr>
          <w:rFonts w:ascii="宋体" w:hAnsi="宋体" w:eastAsia="宋体" w:cs="宋体"/>
          <w:spacing w:val="-48"/>
          <w:sz w:val="24"/>
          <w:szCs w:val="24"/>
        </w:rPr>
        <w:t xml:space="preserve"> </w:t>
      </w:r>
      <w:r>
        <w:rPr>
          <w:rFonts w:ascii="宋体" w:hAnsi="宋体" w:eastAsia="宋体" w:cs="宋体"/>
          <w:spacing w:val="-1"/>
          <w:sz w:val="24"/>
          <w:szCs w:val="24"/>
        </w:rPr>
        <w:t>20</w:t>
      </w:r>
      <w:r>
        <w:rPr>
          <w:rFonts w:ascii="宋体" w:hAnsi="宋体" w:eastAsia="宋体" w:cs="宋体"/>
          <w:spacing w:val="-49"/>
          <w:sz w:val="24"/>
          <w:szCs w:val="24"/>
        </w:rPr>
        <w:t xml:space="preserve"> </w:t>
      </w:r>
      <w:r>
        <w:rPr>
          <w:rFonts w:ascii="宋体" w:hAnsi="宋体" w:eastAsia="宋体" w:cs="宋体"/>
          <w:spacing w:val="-1"/>
          <w:sz w:val="24"/>
          <w:szCs w:val="24"/>
        </w:rPr>
        <w:t>条约定办理相关保险，否则，一切责任</w:t>
      </w:r>
      <w:r>
        <w:rPr>
          <w:rFonts w:ascii="宋体" w:hAnsi="宋体" w:eastAsia="宋体" w:cs="宋体"/>
          <w:spacing w:val="-2"/>
          <w:sz w:val="24"/>
          <w:szCs w:val="24"/>
        </w:rPr>
        <w:t>由承包人承担。</w:t>
      </w:r>
    </w:p>
    <w:p w14:paraId="1CF689C2">
      <w:pPr>
        <w:spacing w:line="224" w:lineRule="auto"/>
        <w:ind w:left="11"/>
        <w:rPr>
          <w:rFonts w:ascii="宋体" w:hAnsi="宋体" w:eastAsia="宋体" w:cs="宋体"/>
          <w:sz w:val="24"/>
          <w:szCs w:val="24"/>
        </w:rPr>
      </w:pPr>
      <w:r>
        <w:rPr>
          <w:rFonts w:ascii="宋体" w:hAnsi="宋体" w:eastAsia="宋体" w:cs="宋体"/>
          <w:b/>
          <w:bCs/>
          <w:spacing w:val="-5"/>
          <w:sz w:val="24"/>
          <w:szCs w:val="24"/>
        </w:rPr>
        <w:t>22．违约</w:t>
      </w:r>
    </w:p>
    <w:p w14:paraId="6A389878">
      <w:pPr>
        <w:spacing w:before="175" w:line="219" w:lineRule="auto"/>
        <w:ind w:left="491"/>
        <w:rPr>
          <w:rFonts w:ascii="宋体" w:hAnsi="宋体" w:eastAsia="宋体" w:cs="宋体"/>
          <w:sz w:val="24"/>
          <w:szCs w:val="24"/>
        </w:rPr>
      </w:pPr>
      <w:r>
        <w:rPr>
          <w:rFonts w:ascii="宋体" w:hAnsi="宋体" w:eastAsia="宋体" w:cs="宋体"/>
          <w:b/>
          <w:bCs/>
          <w:spacing w:val="-3"/>
          <w:sz w:val="24"/>
          <w:szCs w:val="24"/>
        </w:rPr>
        <w:t>22.1</w:t>
      </w:r>
      <w:r>
        <w:rPr>
          <w:rFonts w:ascii="宋体" w:hAnsi="宋体" w:eastAsia="宋体" w:cs="宋体"/>
          <w:spacing w:val="-3"/>
          <w:sz w:val="24"/>
          <w:szCs w:val="24"/>
        </w:rPr>
        <w:t xml:space="preserve"> </w:t>
      </w:r>
      <w:r>
        <w:rPr>
          <w:rFonts w:ascii="宋体" w:hAnsi="宋体" w:eastAsia="宋体" w:cs="宋体"/>
          <w:b/>
          <w:bCs/>
          <w:spacing w:val="-3"/>
          <w:sz w:val="24"/>
          <w:szCs w:val="24"/>
        </w:rPr>
        <w:t>承包人违约</w:t>
      </w:r>
    </w:p>
    <w:p w14:paraId="6432DE00">
      <w:pPr>
        <w:spacing w:before="181" w:line="219" w:lineRule="auto"/>
        <w:ind w:left="491"/>
        <w:rPr>
          <w:rFonts w:ascii="宋体" w:hAnsi="宋体" w:eastAsia="宋体" w:cs="宋体"/>
          <w:sz w:val="24"/>
          <w:szCs w:val="24"/>
        </w:rPr>
      </w:pPr>
      <w:r>
        <w:rPr>
          <w:rFonts w:ascii="宋体" w:hAnsi="宋体" w:eastAsia="宋体" w:cs="宋体"/>
          <w:spacing w:val="-1"/>
          <w:sz w:val="24"/>
          <w:szCs w:val="24"/>
        </w:rPr>
        <w:t>22.1.1 承包人违约的情形</w:t>
      </w:r>
    </w:p>
    <w:p w14:paraId="1816EFCA">
      <w:pPr>
        <w:spacing w:before="182" w:line="219" w:lineRule="auto"/>
        <w:ind w:left="488"/>
        <w:rPr>
          <w:rFonts w:ascii="宋体" w:hAnsi="宋体" w:eastAsia="宋体" w:cs="宋体"/>
          <w:sz w:val="24"/>
          <w:szCs w:val="24"/>
        </w:rPr>
      </w:pPr>
      <w:r>
        <w:rPr>
          <w:rFonts w:ascii="宋体" w:hAnsi="宋体" w:eastAsia="宋体" w:cs="宋体"/>
          <w:b/>
          <w:bCs/>
          <w:spacing w:val="-8"/>
          <w:sz w:val="24"/>
          <w:szCs w:val="24"/>
        </w:rPr>
        <w:t>通用合同条款本项增加</w:t>
      </w:r>
      <w:r>
        <w:rPr>
          <w:rFonts w:ascii="宋体" w:hAnsi="宋体" w:eastAsia="宋体" w:cs="宋体"/>
          <w:spacing w:val="-66"/>
          <w:sz w:val="24"/>
          <w:szCs w:val="24"/>
        </w:rPr>
        <w:t xml:space="preserve"> </w:t>
      </w:r>
      <w:r>
        <w:rPr>
          <w:rFonts w:ascii="宋体" w:hAnsi="宋体" w:eastAsia="宋体" w:cs="宋体"/>
          <w:b/>
          <w:bCs/>
          <w:spacing w:val="-8"/>
          <w:sz w:val="24"/>
          <w:szCs w:val="24"/>
        </w:rPr>
        <w:t>(8)、</w:t>
      </w:r>
      <w:r>
        <w:rPr>
          <w:rFonts w:ascii="宋体" w:hAnsi="宋体" w:eastAsia="宋体" w:cs="宋体"/>
          <w:spacing w:val="-66"/>
          <w:sz w:val="24"/>
          <w:szCs w:val="24"/>
        </w:rPr>
        <w:t xml:space="preserve"> </w:t>
      </w:r>
      <w:r>
        <w:rPr>
          <w:rFonts w:ascii="宋体" w:hAnsi="宋体" w:eastAsia="宋体" w:cs="宋体"/>
          <w:b/>
          <w:bCs/>
          <w:spacing w:val="-8"/>
          <w:sz w:val="24"/>
          <w:szCs w:val="24"/>
        </w:rPr>
        <w:t>(9)、</w:t>
      </w:r>
      <w:r>
        <w:rPr>
          <w:rFonts w:ascii="宋体" w:hAnsi="宋体" w:eastAsia="宋体" w:cs="宋体"/>
          <w:spacing w:val="-68"/>
          <w:sz w:val="24"/>
          <w:szCs w:val="24"/>
        </w:rPr>
        <w:t xml:space="preserve"> </w:t>
      </w:r>
      <w:r>
        <w:rPr>
          <w:rFonts w:ascii="宋体" w:hAnsi="宋体" w:eastAsia="宋体" w:cs="宋体"/>
          <w:b/>
          <w:bCs/>
          <w:spacing w:val="-8"/>
          <w:sz w:val="24"/>
          <w:szCs w:val="24"/>
        </w:rPr>
        <w:t>(10)、</w:t>
      </w:r>
      <w:r>
        <w:rPr>
          <w:rFonts w:ascii="宋体" w:hAnsi="宋体" w:eastAsia="宋体" w:cs="宋体"/>
          <w:b/>
          <w:bCs/>
          <w:spacing w:val="-9"/>
          <w:sz w:val="24"/>
          <w:szCs w:val="24"/>
        </w:rPr>
        <w:t>（11）、（12）</w:t>
      </w:r>
      <w:r>
        <w:rPr>
          <w:rFonts w:ascii="宋体" w:hAnsi="宋体" w:eastAsia="宋体" w:cs="宋体"/>
          <w:spacing w:val="-65"/>
          <w:sz w:val="24"/>
          <w:szCs w:val="24"/>
        </w:rPr>
        <w:t xml:space="preserve"> </w:t>
      </w:r>
      <w:r>
        <w:rPr>
          <w:rFonts w:ascii="宋体" w:hAnsi="宋体" w:eastAsia="宋体" w:cs="宋体"/>
          <w:b/>
          <w:bCs/>
          <w:spacing w:val="-9"/>
          <w:sz w:val="24"/>
          <w:szCs w:val="24"/>
        </w:rPr>
        <w:t>目：</w:t>
      </w:r>
    </w:p>
    <w:p w14:paraId="4AE6BF7A">
      <w:pPr>
        <w:spacing w:before="182" w:line="219" w:lineRule="auto"/>
        <w:ind w:left="530"/>
        <w:rPr>
          <w:rFonts w:ascii="宋体" w:hAnsi="宋体" w:eastAsia="宋体" w:cs="宋体"/>
          <w:sz w:val="24"/>
          <w:szCs w:val="24"/>
        </w:rPr>
      </w:pPr>
      <w:r>
        <w:rPr>
          <w:rFonts w:ascii="宋体" w:hAnsi="宋体" w:eastAsia="宋体" w:cs="宋体"/>
          <w:spacing w:val="-4"/>
          <w:sz w:val="24"/>
          <w:szCs w:val="24"/>
        </w:rPr>
        <w:t>(8)承包人未能按期开工；</w:t>
      </w:r>
    </w:p>
    <w:p w14:paraId="18CC7FC2">
      <w:pPr>
        <w:spacing w:before="181" w:line="360" w:lineRule="auto"/>
        <w:ind w:left="9" w:right="67" w:firstLine="479"/>
        <w:rPr>
          <w:rFonts w:ascii="宋体" w:hAnsi="宋体" w:eastAsia="宋体" w:cs="宋体"/>
          <w:spacing w:val="-2"/>
          <w:sz w:val="24"/>
          <w:szCs w:val="24"/>
        </w:rPr>
      </w:pPr>
      <w:r>
        <w:rPr>
          <w:rFonts w:ascii="宋体" w:hAnsi="宋体" w:eastAsia="宋体" w:cs="宋体"/>
          <w:spacing w:val="-2"/>
          <w:sz w:val="24"/>
          <w:szCs w:val="24"/>
        </w:rPr>
        <w:t>(9)承包人违反第 4.6 款关于按投标文件及时配备称职的主要管理人员与技术骨干的规定，违反第 9.4 款关于环境保护的规定；</w:t>
      </w:r>
    </w:p>
    <w:p w14:paraId="4EED4D8D">
      <w:pPr>
        <w:spacing w:before="180" w:line="219" w:lineRule="auto"/>
        <w:ind w:left="499"/>
        <w:rPr>
          <w:rFonts w:ascii="宋体" w:hAnsi="宋体" w:eastAsia="宋体" w:cs="宋体"/>
          <w:sz w:val="24"/>
          <w:szCs w:val="24"/>
        </w:rPr>
      </w:pPr>
      <w:r>
        <w:rPr>
          <w:rFonts w:ascii="宋体" w:hAnsi="宋体" w:eastAsia="宋体" w:cs="宋体"/>
          <w:spacing w:val="-2"/>
          <w:sz w:val="24"/>
          <w:szCs w:val="24"/>
        </w:rPr>
        <w:t>（10）承包人未按专用条款</w:t>
      </w:r>
      <w:r>
        <w:rPr>
          <w:rFonts w:ascii="宋体" w:hAnsi="宋体" w:eastAsia="宋体" w:cs="宋体"/>
          <w:spacing w:val="-49"/>
          <w:sz w:val="24"/>
          <w:szCs w:val="24"/>
        </w:rPr>
        <w:t xml:space="preserve"> </w:t>
      </w:r>
      <w:r>
        <w:rPr>
          <w:rFonts w:ascii="宋体" w:hAnsi="宋体" w:eastAsia="宋体" w:cs="宋体"/>
          <w:spacing w:val="-2"/>
          <w:sz w:val="24"/>
          <w:szCs w:val="24"/>
        </w:rPr>
        <w:t>6.1.1</w:t>
      </w:r>
      <w:r>
        <w:rPr>
          <w:rFonts w:ascii="宋体" w:hAnsi="宋体" w:eastAsia="宋体" w:cs="宋体"/>
          <w:spacing w:val="-50"/>
          <w:sz w:val="24"/>
          <w:szCs w:val="24"/>
        </w:rPr>
        <w:t xml:space="preserve"> </w:t>
      </w:r>
      <w:r>
        <w:rPr>
          <w:rFonts w:ascii="宋体" w:hAnsi="宋体" w:eastAsia="宋体" w:cs="宋体"/>
          <w:spacing w:val="-2"/>
          <w:sz w:val="24"/>
          <w:szCs w:val="24"/>
        </w:rPr>
        <w:t>和</w:t>
      </w:r>
      <w:r>
        <w:rPr>
          <w:rFonts w:ascii="宋体" w:hAnsi="宋体" w:eastAsia="宋体" w:cs="宋体"/>
          <w:spacing w:val="-49"/>
          <w:sz w:val="24"/>
          <w:szCs w:val="24"/>
        </w:rPr>
        <w:t xml:space="preserve"> </w:t>
      </w:r>
      <w:r>
        <w:rPr>
          <w:rFonts w:ascii="宋体" w:hAnsi="宋体" w:eastAsia="宋体" w:cs="宋体"/>
          <w:spacing w:val="-2"/>
          <w:sz w:val="24"/>
          <w:szCs w:val="24"/>
        </w:rPr>
        <w:t>6.1.3</w:t>
      </w:r>
      <w:r>
        <w:rPr>
          <w:rFonts w:ascii="宋体" w:hAnsi="宋体" w:eastAsia="宋体" w:cs="宋体"/>
          <w:spacing w:val="-46"/>
          <w:sz w:val="24"/>
          <w:szCs w:val="24"/>
        </w:rPr>
        <w:t xml:space="preserve"> </w:t>
      </w:r>
      <w:r>
        <w:rPr>
          <w:rFonts w:ascii="宋体" w:hAnsi="宋体" w:eastAsia="宋体" w:cs="宋体"/>
          <w:spacing w:val="-2"/>
          <w:sz w:val="24"/>
          <w:szCs w:val="24"/>
        </w:rPr>
        <w:t>项投入施工船舶</w:t>
      </w:r>
      <w:r>
        <w:rPr>
          <w:rFonts w:ascii="宋体" w:hAnsi="宋体" w:eastAsia="宋体" w:cs="宋体"/>
          <w:spacing w:val="-3"/>
          <w:sz w:val="24"/>
          <w:szCs w:val="24"/>
        </w:rPr>
        <w:t>的；</w:t>
      </w:r>
    </w:p>
    <w:p w14:paraId="19152239">
      <w:pPr>
        <w:spacing w:before="182" w:line="219" w:lineRule="auto"/>
        <w:ind w:left="499"/>
        <w:rPr>
          <w:rFonts w:ascii="宋体" w:hAnsi="宋体" w:eastAsia="宋体" w:cs="宋体"/>
          <w:sz w:val="24"/>
          <w:szCs w:val="24"/>
        </w:rPr>
      </w:pPr>
      <w:r>
        <w:rPr>
          <w:rFonts w:ascii="宋体" w:hAnsi="宋体" w:eastAsia="宋体" w:cs="宋体"/>
          <w:spacing w:val="-1"/>
          <w:sz w:val="24"/>
          <w:szCs w:val="24"/>
        </w:rPr>
        <w:t>（11）承包人提供虚假资料，导致发包人遭受损失。</w:t>
      </w:r>
    </w:p>
    <w:p w14:paraId="6E50CF24">
      <w:pPr>
        <w:spacing w:before="181" w:line="219" w:lineRule="auto"/>
        <w:ind w:left="499"/>
        <w:rPr>
          <w:rFonts w:ascii="宋体" w:hAnsi="宋体" w:eastAsia="宋体" w:cs="宋体"/>
          <w:sz w:val="24"/>
          <w:szCs w:val="24"/>
        </w:rPr>
      </w:pPr>
      <w:r>
        <w:rPr>
          <w:rFonts w:ascii="宋体" w:hAnsi="宋体" w:eastAsia="宋体" w:cs="宋体"/>
          <w:spacing w:val="-2"/>
          <w:sz w:val="24"/>
          <w:szCs w:val="24"/>
        </w:rPr>
        <w:t>（12）承包人被发现确定存在偷卸、偷砂等违规行为共达到</w:t>
      </w:r>
      <w:r>
        <w:rPr>
          <w:rFonts w:ascii="宋体" w:hAnsi="宋体" w:eastAsia="宋体" w:cs="宋体"/>
          <w:spacing w:val="-32"/>
          <w:sz w:val="24"/>
          <w:szCs w:val="24"/>
        </w:rPr>
        <w:t xml:space="preserve"> </w:t>
      </w:r>
      <w:r>
        <w:rPr>
          <w:rFonts w:ascii="宋体" w:hAnsi="宋体" w:eastAsia="宋体" w:cs="宋体"/>
          <w:spacing w:val="-2"/>
          <w:sz w:val="24"/>
          <w:szCs w:val="24"/>
        </w:rPr>
        <w:t>2</w:t>
      </w:r>
      <w:r>
        <w:rPr>
          <w:rFonts w:ascii="宋体" w:hAnsi="宋体" w:eastAsia="宋体" w:cs="宋体"/>
          <w:spacing w:val="-44"/>
          <w:sz w:val="24"/>
          <w:szCs w:val="24"/>
        </w:rPr>
        <w:t xml:space="preserve"> </w:t>
      </w:r>
      <w:r>
        <w:rPr>
          <w:rFonts w:ascii="宋体" w:hAnsi="宋体" w:eastAsia="宋体" w:cs="宋体"/>
          <w:spacing w:val="-2"/>
          <w:sz w:val="24"/>
          <w:szCs w:val="24"/>
        </w:rPr>
        <w:t>次以上的。</w:t>
      </w:r>
    </w:p>
    <w:p w14:paraId="04B3D255">
      <w:pPr>
        <w:spacing w:before="183" w:line="219" w:lineRule="auto"/>
        <w:ind w:left="491"/>
        <w:rPr>
          <w:rFonts w:ascii="宋体" w:hAnsi="宋体" w:eastAsia="宋体" w:cs="宋体"/>
          <w:sz w:val="24"/>
          <w:szCs w:val="24"/>
        </w:rPr>
      </w:pPr>
      <w:r>
        <w:rPr>
          <w:rFonts w:ascii="宋体" w:hAnsi="宋体" w:eastAsia="宋体" w:cs="宋体"/>
          <w:spacing w:val="-1"/>
          <w:sz w:val="24"/>
          <w:szCs w:val="24"/>
        </w:rPr>
        <w:t>22.1.2 对承包人违约的处理</w:t>
      </w:r>
    </w:p>
    <w:p w14:paraId="6D129898">
      <w:pPr>
        <w:spacing w:before="182" w:line="359" w:lineRule="auto"/>
        <w:ind w:left="9" w:right="18" w:firstLine="479"/>
        <w:rPr>
          <w:rFonts w:ascii="宋体" w:hAnsi="宋体" w:eastAsia="宋体" w:cs="宋体"/>
          <w:sz w:val="24"/>
          <w:szCs w:val="24"/>
        </w:rPr>
      </w:pPr>
      <w:r>
        <w:rPr>
          <w:rFonts w:ascii="宋体" w:hAnsi="宋体" w:eastAsia="宋体" w:cs="宋体"/>
          <w:b/>
          <w:bCs/>
          <w:spacing w:val="-5"/>
          <w:sz w:val="24"/>
          <w:szCs w:val="24"/>
        </w:rPr>
        <w:t>通用合同条款本项第（2）目文末补充：</w:t>
      </w:r>
      <w:r>
        <w:rPr>
          <w:rFonts w:ascii="宋体" w:hAnsi="宋体" w:eastAsia="宋体" w:cs="宋体"/>
          <w:spacing w:val="-5"/>
          <w:sz w:val="24"/>
          <w:szCs w:val="24"/>
        </w:rPr>
        <w:t>承包人违约的，无论发包人是否解除合同，</w:t>
      </w:r>
      <w:r>
        <w:rPr>
          <w:rFonts w:ascii="宋体" w:hAnsi="宋体" w:eastAsia="宋体" w:cs="宋体"/>
          <w:spacing w:val="-2"/>
          <w:sz w:val="24"/>
          <w:szCs w:val="24"/>
        </w:rPr>
        <w:t>发包人均有权向承包人扣以合同总价</w:t>
      </w:r>
      <w:r>
        <w:rPr>
          <w:rFonts w:ascii="宋体" w:hAnsi="宋体" w:eastAsia="宋体" w:cs="宋体"/>
          <w:spacing w:val="-2"/>
          <w:sz w:val="24"/>
          <w:szCs w:val="24"/>
          <w:u w:val="single" w:color="auto"/>
        </w:rPr>
        <w:t>0.1%～5%</w:t>
      </w:r>
      <w:r>
        <w:rPr>
          <w:rFonts w:ascii="宋体" w:hAnsi="宋体" w:eastAsia="宋体" w:cs="宋体"/>
          <w:spacing w:val="-52"/>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2"/>
          <w:sz w:val="24"/>
          <w:szCs w:val="24"/>
        </w:rPr>
        <w:t>的违约金，且最高不超过</w:t>
      </w:r>
      <w:r>
        <w:rPr>
          <w:rFonts w:ascii="宋体" w:hAnsi="宋体" w:eastAsia="宋体" w:cs="宋体"/>
          <w:spacing w:val="-33"/>
          <w:sz w:val="24"/>
          <w:szCs w:val="24"/>
        </w:rPr>
        <w:t xml:space="preserve"> </w:t>
      </w:r>
      <w:r>
        <w:rPr>
          <w:rFonts w:ascii="宋体" w:hAnsi="宋体" w:eastAsia="宋体" w:cs="宋体"/>
          <w:spacing w:val="-2"/>
          <w:sz w:val="24"/>
          <w:szCs w:val="24"/>
        </w:rPr>
        <w:t>1000</w:t>
      </w:r>
      <w:r>
        <w:rPr>
          <w:rFonts w:ascii="宋体" w:hAnsi="宋体" w:eastAsia="宋体" w:cs="宋体"/>
          <w:spacing w:val="-45"/>
          <w:sz w:val="24"/>
          <w:szCs w:val="24"/>
        </w:rPr>
        <w:t xml:space="preserve"> </w:t>
      </w:r>
      <w:r>
        <w:rPr>
          <w:rFonts w:ascii="宋体" w:hAnsi="宋体" w:eastAsia="宋体" w:cs="宋体"/>
          <w:spacing w:val="-2"/>
          <w:sz w:val="24"/>
          <w:szCs w:val="24"/>
        </w:rPr>
        <w:t>万元，并</w:t>
      </w:r>
      <w:r>
        <w:rPr>
          <w:rFonts w:ascii="宋体" w:hAnsi="宋体" w:eastAsia="宋体" w:cs="宋体"/>
          <w:spacing w:val="-1"/>
          <w:sz w:val="24"/>
          <w:szCs w:val="24"/>
        </w:rPr>
        <w:t>要求承包人承担由此给发包人造成的实际损失。</w:t>
      </w:r>
    </w:p>
    <w:p w14:paraId="3A73BA68">
      <w:pPr>
        <w:spacing w:before="1" w:line="359" w:lineRule="auto"/>
        <w:ind w:left="35" w:right="130" w:firstLine="452"/>
        <w:rPr>
          <w:rFonts w:ascii="宋体" w:hAnsi="宋体" w:eastAsia="宋体" w:cs="宋体"/>
          <w:sz w:val="24"/>
          <w:szCs w:val="24"/>
        </w:rPr>
      </w:pPr>
      <w:r>
        <w:rPr>
          <w:rFonts w:ascii="宋体" w:hAnsi="宋体" w:eastAsia="宋体" w:cs="宋体"/>
          <w:b/>
          <w:bCs/>
          <w:spacing w:val="-3"/>
          <w:sz w:val="24"/>
          <w:szCs w:val="24"/>
        </w:rPr>
        <w:t>通用合同条款本项增加第（4）</w:t>
      </w:r>
      <w:r>
        <w:rPr>
          <w:rFonts w:ascii="宋体" w:hAnsi="宋体" w:eastAsia="宋体" w:cs="宋体"/>
          <w:spacing w:val="-46"/>
          <w:sz w:val="24"/>
          <w:szCs w:val="24"/>
        </w:rPr>
        <w:t xml:space="preserve"> </w:t>
      </w:r>
      <w:r>
        <w:rPr>
          <w:rFonts w:ascii="宋体" w:hAnsi="宋体" w:eastAsia="宋体" w:cs="宋体"/>
          <w:b/>
          <w:bCs/>
          <w:spacing w:val="-3"/>
          <w:sz w:val="24"/>
          <w:szCs w:val="24"/>
        </w:rPr>
        <w:t>目：</w:t>
      </w:r>
      <w:r>
        <w:rPr>
          <w:rFonts w:ascii="宋体" w:hAnsi="宋体" w:eastAsia="宋体" w:cs="宋体"/>
          <w:spacing w:val="-3"/>
          <w:sz w:val="24"/>
          <w:szCs w:val="24"/>
        </w:rPr>
        <w:t>承包人违约的，发包人将上报上级交通主管部门，计入承包人的诚信档案。</w:t>
      </w:r>
    </w:p>
    <w:p w14:paraId="7B495B8F">
      <w:pPr>
        <w:spacing w:line="219" w:lineRule="auto"/>
        <w:ind w:left="491"/>
        <w:rPr>
          <w:rFonts w:ascii="宋体" w:hAnsi="宋体" w:eastAsia="宋体" w:cs="宋体"/>
          <w:sz w:val="24"/>
          <w:szCs w:val="24"/>
        </w:rPr>
      </w:pPr>
      <w:r>
        <w:rPr>
          <w:rFonts w:ascii="宋体" w:hAnsi="宋体" w:eastAsia="宋体" w:cs="宋体"/>
          <w:spacing w:val="-1"/>
          <w:sz w:val="24"/>
          <w:szCs w:val="24"/>
        </w:rPr>
        <w:t>22.1.3 承包人违约解除合同</w:t>
      </w:r>
    </w:p>
    <w:p w14:paraId="6CF9D725">
      <w:pPr>
        <w:spacing w:before="180" w:line="219" w:lineRule="auto"/>
        <w:ind w:left="488"/>
        <w:rPr>
          <w:rFonts w:ascii="宋体" w:hAnsi="宋体" w:eastAsia="宋体" w:cs="宋体"/>
          <w:sz w:val="24"/>
          <w:szCs w:val="24"/>
        </w:rPr>
      </w:pPr>
      <w:r>
        <w:rPr>
          <w:rFonts w:ascii="宋体" w:hAnsi="宋体" w:eastAsia="宋体" w:cs="宋体"/>
          <w:spacing w:val="-1"/>
          <w:sz w:val="24"/>
          <w:szCs w:val="24"/>
        </w:rPr>
        <w:t>通用合同条款本项的内容不适用于本合同，代之以：</w:t>
      </w:r>
    </w:p>
    <w:p w14:paraId="6D265DD8">
      <w:pPr>
        <w:spacing w:before="185" w:line="358" w:lineRule="auto"/>
        <w:ind w:left="11" w:right="67" w:firstLine="478"/>
        <w:rPr>
          <w:rFonts w:ascii="宋体" w:hAnsi="宋体" w:eastAsia="宋体" w:cs="宋体"/>
          <w:sz w:val="24"/>
          <w:szCs w:val="24"/>
        </w:rPr>
      </w:pPr>
      <w:r>
        <w:rPr>
          <w:rFonts w:ascii="宋体" w:hAnsi="宋体" w:eastAsia="宋体" w:cs="宋体"/>
          <w:spacing w:val="1"/>
          <w:sz w:val="24"/>
          <w:szCs w:val="24"/>
        </w:rPr>
        <w:t>监理人发出整改通知</w:t>
      </w:r>
      <w:r>
        <w:rPr>
          <w:rFonts w:ascii="宋体" w:hAnsi="宋体" w:eastAsia="宋体" w:cs="宋体"/>
          <w:spacing w:val="1"/>
          <w:sz w:val="24"/>
          <w:szCs w:val="24"/>
          <w:u w:val="single" w:color="auto"/>
        </w:rPr>
        <w:t xml:space="preserve">   </w:t>
      </w:r>
      <w:r>
        <w:rPr>
          <w:rFonts w:ascii="宋体" w:hAnsi="宋体" w:eastAsia="宋体" w:cs="宋体"/>
          <w:spacing w:val="-102"/>
          <w:sz w:val="24"/>
          <w:szCs w:val="24"/>
        </w:rPr>
        <w:t xml:space="preserve"> </w:t>
      </w:r>
      <w:r>
        <w:rPr>
          <w:rFonts w:ascii="宋体" w:hAnsi="宋体" w:eastAsia="宋体" w:cs="宋体"/>
          <w:spacing w:val="1"/>
          <w:sz w:val="24"/>
          <w:szCs w:val="24"/>
        </w:rPr>
        <w:t>天后，承包人仍不纠正违约行为的，发包人可向承包人发</w:t>
      </w:r>
      <w:r>
        <w:rPr>
          <w:rFonts w:ascii="宋体" w:hAnsi="宋体" w:eastAsia="宋体" w:cs="宋体"/>
          <w:spacing w:val="-1"/>
          <w:sz w:val="24"/>
          <w:szCs w:val="24"/>
        </w:rPr>
        <w:t>出解除合同通知。合同解除后</w:t>
      </w:r>
      <w:r>
        <w:rPr>
          <w:rFonts w:ascii="宋体" w:hAnsi="宋体" w:eastAsia="宋体" w:cs="宋体"/>
          <w:spacing w:val="-112"/>
          <w:sz w:val="24"/>
          <w:szCs w:val="24"/>
        </w:rPr>
        <w:t xml:space="preserve"> </w:t>
      </w:r>
      <w:r>
        <w:rPr>
          <w:rFonts w:ascii="宋体" w:hAnsi="宋体" w:eastAsia="宋体" w:cs="宋体"/>
          <w:spacing w:val="22"/>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
          <w:sz w:val="24"/>
          <w:szCs w:val="24"/>
        </w:rPr>
        <w:t>天内，承包人须完成现场设备、材料、农民工的清退工作。否则视为承包人二次违约，发包人有权向承包人索赔合同</w:t>
      </w:r>
      <w:r>
        <w:rPr>
          <w:rFonts w:ascii="宋体" w:hAnsi="宋体" w:eastAsia="宋体" w:cs="宋体"/>
          <w:spacing w:val="-2"/>
          <w:sz w:val="24"/>
          <w:szCs w:val="24"/>
        </w:rPr>
        <w:t>总价</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r>
        <w:fldChar w:fldCharType="begin"/>
      </w:r>
      <w:r>
        <w:instrText xml:space="preserve"> HYPERLINK \l "bookmark220" </w:instrText>
      </w:r>
      <w:r>
        <w:fldChar w:fldCharType="separate"/>
      </w:r>
      <w:r>
        <w:rPr>
          <w:rFonts w:ascii="宋体" w:hAnsi="宋体" w:eastAsia="宋体" w:cs="宋体"/>
          <w:spacing w:val="-2"/>
          <w:position w:val="12"/>
          <w:sz w:val="12"/>
          <w:szCs w:val="12"/>
        </w:rPr>
        <w:t>①</w:t>
      </w:r>
      <w:r>
        <w:rPr>
          <w:rFonts w:ascii="宋体" w:hAnsi="宋体" w:eastAsia="宋体" w:cs="宋体"/>
          <w:spacing w:val="-2"/>
          <w:position w:val="12"/>
          <w:sz w:val="12"/>
          <w:szCs w:val="12"/>
        </w:rPr>
        <w:fldChar w:fldCharType="end"/>
      </w:r>
      <w:r>
        <w:rPr>
          <w:rFonts w:ascii="宋体" w:hAnsi="宋体" w:eastAsia="宋体" w:cs="宋体"/>
          <w:spacing w:val="-2"/>
          <w:sz w:val="24"/>
          <w:szCs w:val="24"/>
        </w:rPr>
        <w:t>的违约金。</w:t>
      </w:r>
    </w:p>
    <w:p w14:paraId="1627A9DD">
      <w:pPr>
        <w:spacing w:before="5" w:line="219" w:lineRule="auto"/>
        <w:ind w:left="11"/>
        <w:rPr>
          <w:rFonts w:ascii="宋体" w:hAnsi="宋体" w:eastAsia="宋体" w:cs="宋体"/>
          <w:sz w:val="24"/>
          <w:szCs w:val="24"/>
        </w:rPr>
      </w:pPr>
      <w:r>
        <w:rPr>
          <w:rFonts w:ascii="宋体" w:hAnsi="宋体" w:eastAsia="宋体" w:cs="宋体"/>
          <w:b/>
          <w:bCs/>
          <w:spacing w:val="-4"/>
          <w:sz w:val="24"/>
          <w:szCs w:val="24"/>
        </w:rPr>
        <w:t>24．争议的解决</w:t>
      </w:r>
    </w:p>
    <w:p w14:paraId="177DC938">
      <w:pPr>
        <w:spacing w:before="181" w:line="219" w:lineRule="auto"/>
        <w:ind w:left="491"/>
        <w:rPr>
          <w:rFonts w:ascii="宋体" w:hAnsi="宋体" w:eastAsia="宋体" w:cs="宋体"/>
          <w:sz w:val="24"/>
          <w:szCs w:val="24"/>
        </w:rPr>
      </w:pPr>
      <w:r>
        <w:rPr>
          <w:rFonts w:ascii="宋体" w:hAnsi="宋体" w:eastAsia="宋体" w:cs="宋体"/>
          <w:b/>
          <w:bCs/>
          <w:spacing w:val="-3"/>
          <w:sz w:val="24"/>
          <w:szCs w:val="24"/>
        </w:rPr>
        <w:t>24.1</w:t>
      </w:r>
      <w:r>
        <w:rPr>
          <w:rFonts w:ascii="宋体" w:hAnsi="宋体" w:eastAsia="宋体" w:cs="宋体"/>
          <w:spacing w:val="-3"/>
          <w:sz w:val="24"/>
          <w:szCs w:val="24"/>
        </w:rPr>
        <w:t xml:space="preserve"> </w:t>
      </w:r>
      <w:r>
        <w:rPr>
          <w:rFonts w:ascii="宋体" w:hAnsi="宋体" w:eastAsia="宋体" w:cs="宋体"/>
          <w:b/>
          <w:bCs/>
          <w:spacing w:val="-3"/>
          <w:sz w:val="24"/>
          <w:szCs w:val="24"/>
        </w:rPr>
        <w:t>争议的解决方式</w:t>
      </w:r>
    </w:p>
    <w:p w14:paraId="3F7B1392">
      <w:pPr>
        <w:spacing w:before="179" w:line="219" w:lineRule="auto"/>
        <w:ind w:left="487"/>
        <w:rPr>
          <w:rFonts w:ascii="宋体" w:hAnsi="宋体" w:eastAsia="宋体" w:cs="宋体"/>
          <w:sz w:val="24"/>
          <w:szCs w:val="24"/>
        </w:rPr>
      </w:pPr>
      <w:r>
        <w:rPr>
          <w:rFonts w:ascii="宋体" w:hAnsi="宋体" w:eastAsia="宋体" w:cs="宋体"/>
          <w:spacing w:val="-1"/>
          <w:sz w:val="24"/>
          <w:szCs w:val="24"/>
        </w:rPr>
        <w:t>解决争议的机构为</w:t>
      </w:r>
      <w:r>
        <w:rPr>
          <w:rFonts w:ascii="宋体" w:hAnsi="宋体" w:eastAsia="宋体" w:cs="宋体"/>
          <w:spacing w:val="-1"/>
          <w:sz w:val="24"/>
          <w:szCs w:val="24"/>
          <w:u w:val="single" w:color="auto"/>
        </w:rPr>
        <w:t xml:space="preserve"> 工程所在地有管辖权 </w:t>
      </w:r>
      <w:r>
        <w:rPr>
          <w:rFonts w:ascii="宋体" w:hAnsi="宋体" w:eastAsia="宋体" w:cs="宋体"/>
          <w:spacing w:val="-1"/>
          <w:sz w:val="24"/>
          <w:szCs w:val="24"/>
        </w:rPr>
        <w:t>人民法院。</w:t>
      </w:r>
    </w:p>
    <w:p w14:paraId="1AE20A1E">
      <w:pPr>
        <w:spacing w:before="184" w:line="220" w:lineRule="auto"/>
        <w:ind w:left="11"/>
        <w:rPr>
          <w:rFonts w:ascii="宋体" w:hAnsi="宋体" w:eastAsia="宋体" w:cs="宋体"/>
          <w:sz w:val="24"/>
          <w:szCs w:val="24"/>
        </w:rPr>
      </w:pPr>
      <w:r>
        <w:rPr>
          <w:rFonts w:ascii="宋体" w:hAnsi="宋体" w:eastAsia="宋体" w:cs="宋体"/>
          <w:b/>
          <w:bCs/>
          <w:spacing w:val="-4"/>
          <w:sz w:val="24"/>
          <w:szCs w:val="24"/>
        </w:rPr>
        <w:t>25．其他约定</w:t>
      </w:r>
    </w:p>
    <w:p w14:paraId="39F373F2">
      <w:pPr>
        <w:spacing w:before="183" w:line="219" w:lineRule="auto"/>
        <w:ind w:left="491"/>
        <w:rPr>
          <w:rFonts w:ascii="宋体" w:hAnsi="宋体" w:eastAsia="宋体" w:cs="宋体"/>
          <w:sz w:val="24"/>
          <w:szCs w:val="24"/>
        </w:rPr>
      </w:pPr>
      <w:r>
        <w:rPr>
          <w:rFonts w:ascii="宋体" w:hAnsi="宋体" w:eastAsia="宋体" w:cs="宋体"/>
          <w:b/>
          <w:bCs/>
          <w:spacing w:val="-3"/>
          <w:sz w:val="24"/>
          <w:szCs w:val="24"/>
        </w:rPr>
        <w:t>25.1</w:t>
      </w:r>
      <w:r>
        <w:rPr>
          <w:rFonts w:ascii="宋体" w:hAnsi="宋体" w:eastAsia="宋体" w:cs="宋体"/>
          <w:spacing w:val="-3"/>
          <w:sz w:val="24"/>
          <w:szCs w:val="24"/>
        </w:rPr>
        <w:t xml:space="preserve"> </w:t>
      </w:r>
      <w:r>
        <w:rPr>
          <w:rFonts w:ascii="宋体" w:hAnsi="宋体" w:eastAsia="宋体" w:cs="宋体"/>
          <w:b/>
          <w:bCs/>
          <w:spacing w:val="-3"/>
          <w:sz w:val="24"/>
          <w:szCs w:val="24"/>
        </w:rPr>
        <w:t>合同当事人和人员姓名及联系方式</w:t>
      </w:r>
    </w:p>
    <w:p w14:paraId="0166AF8C">
      <w:pPr>
        <w:spacing w:before="180" w:line="220" w:lineRule="auto"/>
        <w:jc w:val="right"/>
        <w:rPr>
          <w:rFonts w:ascii="宋体" w:hAnsi="宋体" w:eastAsia="宋体" w:cs="宋体"/>
          <w:sz w:val="24"/>
          <w:szCs w:val="24"/>
        </w:rPr>
      </w:pPr>
      <w:r>
        <w:rPr>
          <w:rFonts w:ascii="宋体" w:hAnsi="宋体" w:eastAsia="宋体" w:cs="宋体"/>
          <w:spacing w:val="-3"/>
          <w:sz w:val="24"/>
          <w:szCs w:val="24"/>
        </w:rPr>
        <w:t>25.1.1 监理人：</w:t>
      </w:r>
      <w:r>
        <w:rPr>
          <w:rFonts w:ascii="宋体" w:hAnsi="宋体" w:eastAsia="宋体" w:cs="宋体"/>
          <w:spacing w:val="-3"/>
          <w:sz w:val="24"/>
          <w:szCs w:val="24"/>
          <w:u w:val="single" w:color="auto"/>
        </w:rPr>
        <w:t xml:space="preserve">                  联系电话：</w:t>
      </w:r>
      <w:r>
        <w:rPr>
          <w:rFonts w:ascii="宋体" w:hAnsi="宋体" w:eastAsia="宋体" w:cs="宋体"/>
          <w:spacing w:val="4"/>
          <w:sz w:val="24"/>
          <w:szCs w:val="24"/>
          <w:u w:val="single" w:color="auto"/>
        </w:rPr>
        <w:t xml:space="preserve">         </w:t>
      </w:r>
      <w:r>
        <w:rPr>
          <w:rFonts w:ascii="宋体" w:hAnsi="宋体" w:eastAsia="宋体" w:cs="宋体"/>
          <w:spacing w:val="-3"/>
          <w:sz w:val="24"/>
          <w:szCs w:val="24"/>
          <w:u w:val="single" w:color="auto"/>
        </w:rPr>
        <w:t xml:space="preserve">电子邮箱：         </w:t>
      </w:r>
      <w:r>
        <w:rPr>
          <w:rFonts w:ascii="宋体" w:hAnsi="宋体" w:eastAsia="宋体" w:cs="宋体"/>
          <w:spacing w:val="-3"/>
          <w:sz w:val="24"/>
          <w:szCs w:val="24"/>
        </w:rPr>
        <w:t>。</w:t>
      </w:r>
    </w:p>
    <w:p w14:paraId="595213ED">
      <w:pPr>
        <w:spacing w:before="183" w:line="219" w:lineRule="auto"/>
        <w:jc w:val="right"/>
        <w:rPr>
          <w:rFonts w:ascii="宋体" w:hAnsi="宋体" w:eastAsia="宋体" w:cs="宋体"/>
          <w:sz w:val="24"/>
          <w:szCs w:val="24"/>
        </w:rPr>
      </w:pPr>
      <w:r>
        <w:rPr>
          <w:rFonts w:ascii="宋体" w:hAnsi="宋体" w:eastAsia="宋体" w:cs="宋体"/>
          <w:spacing w:val="-3"/>
          <w:sz w:val="24"/>
          <w:szCs w:val="24"/>
        </w:rPr>
        <w:t>25.1.2 总监理工程师：</w:t>
      </w:r>
      <w:r>
        <w:rPr>
          <w:rFonts w:ascii="宋体" w:hAnsi="宋体" w:eastAsia="宋体" w:cs="宋体"/>
          <w:spacing w:val="-3"/>
          <w:sz w:val="24"/>
          <w:szCs w:val="24"/>
          <w:u w:val="single" w:color="auto"/>
        </w:rPr>
        <w:t xml:space="preserve">            联系电话：</w:t>
      </w:r>
      <w:r>
        <w:rPr>
          <w:rFonts w:ascii="宋体" w:hAnsi="宋体" w:eastAsia="宋体" w:cs="宋体"/>
          <w:spacing w:val="3"/>
          <w:sz w:val="24"/>
          <w:szCs w:val="24"/>
          <w:u w:val="single" w:color="auto"/>
        </w:rPr>
        <w:t xml:space="preserve">         </w:t>
      </w:r>
      <w:r>
        <w:rPr>
          <w:rFonts w:ascii="宋体" w:hAnsi="宋体" w:eastAsia="宋体" w:cs="宋体"/>
          <w:spacing w:val="-3"/>
          <w:sz w:val="24"/>
          <w:szCs w:val="24"/>
          <w:u w:val="single" w:color="auto"/>
        </w:rPr>
        <w:t xml:space="preserve">电子邮箱：         </w:t>
      </w:r>
      <w:r>
        <w:rPr>
          <w:rFonts w:ascii="宋体" w:hAnsi="宋体" w:eastAsia="宋体" w:cs="宋体"/>
          <w:spacing w:val="-3"/>
          <w:sz w:val="24"/>
          <w:szCs w:val="24"/>
        </w:rPr>
        <w:t>。</w:t>
      </w:r>
    </w:p>
    <w:p w14:paraId="027F3ABD">
      <w:pPr>
        <w:spacing w:before="181" w:line="219" w:lineRule="auto"/>
        <w:jc w:val="right"/>
        <w:rPr>
          <w:rFonts w:ascii="宋体" w:hAnsi="宋体" w:eastAsia="宋体" w:cs="宋体"/>
          <w:sz w:val="24"/>
          <w:szCs w:val="24"/>
        </w:rPr>
      </w:pPr>
      <w:r>
        <w:rPr>
          <w:rFonts w:ascii="宋体" w:hAnsi="宋体" w:eastAsia="宋体" w:cs="宋体"/>
          <w:spacing w:val="-2"/>
          <w:sz w:val="24"/>
          <w:szCs w:val="24"/>
        </w:rPr>
        <w:t>25.1.3 承包人项目负责人：</w:t>
      </w:r>
      <w:r>
        <w:rPr>
          <w:rFonts w:ascii="宋体" w:hAnsi="宋体" w:eastAsia="宋体" w:cs="宋体"/>
          <w:spacing w:val="-2"/>
          <w:sz w:val="24"/>
          <w:szCs w:val="24"/>
          <w:u w:val="single" w:color="auto"/>
        </w:rPr>
        <w:t xml:space="preserve">         联系电话：         电子邮箱：        </w:t>
      </w:r>
      <w:r>
        <w:rPr>
          <w:rFonts w:ascii="宋体" w:hAnsi="宋体" w:eastAsia="宋体" w:cs="宋体"/>
          <w:spacing w:val="-2"/>
          <w:sz w:val="24"/>
          <w:szCs w:val="24"/>
        </w:rPr>
        <w:t>。</w:t>
      </w:r>
    </w:p>
    <w:p w14:paraId="2D4A050E">
      <w:pPr>
        <w:spacing w:before="183" w:line="219" w:lineRule="auto"/>
        <w:ind w:left="491"/>
        <w:rPr>
          <w:rFonts w:ascii="宋体" w:hAnsi="宋体" w:eastAsia="宋体" w:cs="宋体"/>
          <w:sz w:val="24"/>
          <w:szCs w:val="24"/>
        </w:rPr>
      </w:pPr>
      <w:r>
        <w:rPr>
          <w:rFonts w:ascii="宋体" w:hAnsi="宋体" w:eastAsia="宋体" w:cs="宋体"/>
          <w:spacing w:val="-1"/>
          <w:sz w:val="24"/>
          <w:szCs w:val="24"/>
        </w:rPr>
        <w:t>25.1.4 承包人项目技术负责人：</w:t>
      </w:r>
      <w:r>
        <w:rPr>
          <w:rFonts w:ascii="宋体" w:hAnsi="宋体" w:eastAsia="宋体" w:cs="宋体"/>
          <w:spacing w:val="-1"/>
          <w:sz w:val="24"/>
          <w:szCs w:val="24"/>
          <w:u w:val="single" w:color="auto"/>
        </w:rPr>
        <w:t xml:space="preserve">       联系电话：</w:t>
      </w:r>
      <w:r>
        <w:rPr>
          <w:rFonts w:ascii="宋体" w:hAnsi="宋体" w:eastAsia="宋体" w:cs="宋体"/>
          <w:spacing w:val="6"/>
          <w:sz w:val="24"/>
          <w:szCs w:val="24"/>
          <w:u w:val="single" w:color="auto"/>
        </w:rPr>
        <w:t xml:space="preserve">      </w:t>
      </w:r>
      <w:r>
        <w:rPr>
          <w:rFonts w:ascii="宋体" w:hAnsi="宋体" w:eastAsia="宋体" w:cs="宋体"/>
          <w:spacing w:val="-1"/>
          <w:sz w:val="24"/>
          <w:szCs w:val="24"/>
          <w:u w:val="single" w:color="auto"/>
        </w:rPr>
        <w:t>电子邮</w:t>
      </w:r>
      <w:r>
        <w:rPr>
          <w:rFonts w:ascii="宋体" w:hAnsi="宋体" w:eastAsia="宋体" w:cs="宋体"/>
          <w:spacing w:val="-2"/>
          <w:sz w:val="24"/>
          <w:szCs w:val="24"/>
          <w:u w:val="single" w:color="auto"/>
        </w:rPr>
        <w:t xml:space="preserve">箱：      </w:t>
      </w:r>
      <w:r>
        <w:rPr>
          <w:rFonts w:ascii="宋体" w:hAnsi="宋体" w:eastAsia="宋体" w:cs="宋体"/>
          <w:spacing w:val="-2"/>
          <w:sz w:val="24"/>
          <w:szCs w:val="24"/>
        </w:rPr>
        <w:t>。</w:t>
      </w:r>
    </w:p>
    <w:p w14:paraId="0EDF41AE">
      <w:pPr>
        <w:spacing w:before="183" w:line="219" w:lineRule="auto"/>
        <w:jc w:val="right"/>
        <w:rPr>
          <w:rFonts w:ascii="宋体" w:hAnsi="宋体" w:eastAsia="宋体" w:cs="宋体"/>
          <w:sz w:val="24"/>
          <w:szCs w:val="24"/>
        </w:rPr>
      </w:pPr>
      <w:r>
        <w:rPr>
          <w:rFonts w:ascii="宋体" w:hAnsi="宋体" w:eastAsia="宋体" w:cs="宋体"/>
          <w:spacing w:val="-5"/>
          <w:sz w:val="24"/>
          <w:szCs w:val="24"/>
        </w:rPr>
        <w:t>25.1.5 发包人代表：</w:t>
      </w:r>
      <w:r>
        <w:rPr>
          <w:rFonts w:ascii="宋体" w:hAnsi="宋体" w:eastAsia="宋体" w:cs="宋体"/>
          <w:spacing w:val="1"/>
          <w:sz w:val="24"/>
          <w:szCs w:val="24"/>
          <w:u w:val="single" w:color="auto"/>
        </w:rPr>
        <w:t xml:space="preserve">             </w:t>
      </w:r>
      <w:r>
        <w:rPr>
          <w:rFonts w:ascii="宋体" w:hAnsi="宋体" w:eastAsia="宋体" w:cs="宋体"/>
          <w:spacing w:val="-5"/>
          <w:sz w:val="24"/>
          <w:szCs w:val="24"/>
          <w:u w:val="single" w:color="auto"/>
        </w:rPr>
        <w:t>联系电话：</w:t>
      </w:r>
      <w:r>
        <w:rPr>
          <w:rFonts w:ascii="宋体" w:hAnsi="宋体" w:eastAsia="宋体" w:cs="宋体"/>
          <w:spacing w:val="9"/>
          <w:sz w:val="24"/>
          <w:szCs w:val="24"/>
          <w:u w:val="single" w:color="auto"/>
        </w:rPr>
        <w:t xml:space="preserve">         </w:t>
      </w:r>
      <w:r>
        <w:rPr>
          <w:rFonts w:ascii="宋体" w:hAnsi="宋体" w:eastAsia="宋体" w:cs="宋体"/>
          <w:spacing w:val="-5"/>
          <w:sz w:val="24"/>
          <w:szCs w:val="24"/>
          <w:u w:val="single" w:color="auto"/>
        </w:rPr>
        <w:t>电子邮箱：</w:t>
      </w:r>
      <w:r>
        <w:rPr>
          <w:rFonts w:ascii="宋体" w:hAnsi="宋体" w:eastAsia="宋体" w:cs="宋体"/>
          <w:spacing w:val="4"/>
          <w:sz w:val="24"/>
          <w:szCs w:val="24"/>
          <w:u w:val="single" w:color="auto"/>
        </w:rPr>
        <w:t xml:space="preserve">         </w:t>
      </w:r>
      <w:r>
        <w:rPr>
          <w:rFonts w:ascii="宋体" w:hAnsi="宋体" w:eastAsia="宋体" w:cs="宋体"/>
          <w:spacing w:val="-5"/>
          <w:sz w:val="24"/>
          <w:szCs w:val="24"/>
        </w:rPr>
        <w:t>。</w:t>
      </w:r>
    </w:p>
    <w:p w14:paraId="1CF85713">
      <w:pPr>
        <w:spacing w:before="181" w:line="220" w:lineRule="auto"/>
        <w:ind w:left="491"/>
        <w:rPr>
          <w:rFonts w:ascii="宋体" w:hAnsi="宋体" w:eastAsia="宋体" w:cs="宋体"/>
          <w:sz w:val="24"/>
          <w:szCs w:val="24"/>
        </w:rPr>
      </w:pPr>
      <w:r>
        <w:rPr>
          <w:rFonts w:ascii="宋体" w:hAnsi="宋体" w:eastAsia="宋体" w:cs="宋体"/>
          <w:b/>
          <w:bCs/>
          <w:spacing w:val="-3"/>
          <w:sz w:val="24"/>
          <w:szCs w:val="24"/>
        </w:rPr>
        <w:t>25.2</w:t>
      </w:r>
      <w:r>
        <w:rPr>
          <w:rFonts w:ascii="宋体" w:hAnsi="宋体" w:eastAsia="宋体" w:cs="宋体"/>
          <w:spacing w:val="-3"/>
          <w:sz w:val="24"/>
          <w:szCs w:val="24"/>
        </w:rPr>
        <w:t xml:space="preserve"> </w:t>
      </w:r>
      <w:r>
        <w:rPr>
          <w:rFonts w:ascii="宋体" w:hAnsi="宋体" w:eastAsia="宋体" w:cs="宋体"/>
          <w:b/>
          <w:bCs/>
          <w:spacing w:val="-3"/>
          <w:sz w:val="24"/>
          <w:szCs w:val="24"/>
        </w:rPr>
        <w:t>工程和占地</w:t>
      </w:r>
    </w:p>
    <w:p w14:paraId="235D0864">
      <w:pPr>
        <w:spacing w:before="179" w:line="220" w:lineRule="auto"/>
        <w:ind w:left="491"/>
        <w:rPr>
          <w:rFonts w:ascii="宋体" w:hAnsi="宋体" w:eastAsia="宋体" w:cs="宋体"/>
          <w:sz w:val="24"/>
          <w:szCs w:val="24"/>
        </w:rPr>
      </w:pPr>
      <w:r>
        <w:rPr>
          <w:rFonts w:ascii="宋体" w:hAnsi="宋体" w:eastAsia="宋体" w:cs="宋体"/>
          <w:spacing w:val="-1"/>
          <w:sz w:val="24"/>
          <w:szCs w:val="24"/>
        </w:rPr>
        <w:t>25.2.1 永久工程：</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1E7EBC7B">
      <w:pPr>
        <w:spacing w:before="183" w:line="219" w:lineRule="auto"/>
        <w:ind w:left="491"/>
        <w:rPr>
          <w:rFonts w:ascii="宋体" w:hAnsi="宋体" w:eastAsia="宋体" w:cs="宋体"/>
          <w:sz w:val="24"/>
          <w:szCs w:val="24"/>
        </w:rPr>
      </w:pPr>
      <w:r>
        <w:rPr>
          <w:rFonts w:ascii="宋体" w:hAnsi="宋体" w:eastAsia="宋体" w:cs="宋体"/>
          <w:spacing w:val="-2"/>
          <w:sz w:val="24"/>
          <w:szCs w:val="24"/>
        </w:rPr>
        <w:t>25.2.2</w:t>
      </w:r>
      <w:r>
        <w:rPr>
          <w:rFonts w:ascii="宋体" w:hAnsi="宋体" w:eastAsia="宋体" w:cs="宋体"/>
          <w:spacing w:val="30"/>
          <w:sz w:val="24"/>
          <w:szCs w:val="24"/>
        </w:rPr>
        <w:t xml:space="preserve"> </w:t>
      </w:r>
      <w:r>
        <w:rPr>
          <w:rFonts w:ascii="宋体" w:hAnsi="宋体" w:eastAsia="宋体" w:cs="宋体"/>
          <w:spacing w:val="-2"/>
          <w:sz w:val="24"/>
          <w:szCs w:val="24"/>
        </w:rPr>
        <w:t>临时工程：</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451711DA">
      <w:pPr>
        <w:spacing w:before="312" w:line="219" w:lineRule="auto"/>
        <w:ind w:left="491"/>
        <w:rPr>
          <w:rFonts w:ascii="宋体" w:hAnsi="宋体" w:eastAsia="宋体" w:cs="宋体"/>
          <w:spacing w:val="-1"/>
          <w:sz w:val="24"/>
          <w:szCs w:val="24"/>
        </w:rPr>
      </w:pPr>
      <w:bookmarkStart w:id="65" w:name="bookmark220"/>
      <w:bookmarkEnd w:id="65"/>
      <w:r>
        <w:rPr>
          <w:rFonts w:ascii="宋体" w:hAnsi="宋体" w:eastAsia="宋体" w:cs="宋体"/>
          <w:spacing w:val="-1"/>
          <w:sz w:val="24"/>
          <w:szCs w:val="24"/>
        </w:rPr>
        <w:t>25.2.3 永久占地：</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0932C2EB">
      <w:pPr>
        <w:spacing w:before="312" w:line="219" w:lineRule="auto"/>
        <w:ind w:left="491"/>
        <w:rPr>
          <w:rFonts w:ascii="宋体" w:hAnsi="宋体" w:eastAsia="宋体" w:cs="宋体"/>
          <w:sz w:val="24"/>
          <w:szCs w:val="24"/>
        </w:rPr>
      </w:pPr>
      <w:r>
        <w:rPr>
          <w:rFonts w:ascii="宋体" w:hAnsi="宋体" w:eastAsia="宋体" w:cs="宋体"/>
          <w:spacing w:val="-2"/>
          <w:sz w:val="24"/>
          <w:szCs w:val="24"/>
        </w:rPr>
        <w:t>25.2.4</w:t>
      </w:r>
      <w:r>
        <w:rPr>
          <w:rFonts w:ascii="宋体" w:hAnsi="宋体" w:eastAsia="宋体" w:cs="宋体"/>
          <w:spacing w:val="32"/>
          <w:sz w:val="24"/>
          <w:szCs w:val="24"/>
        </w:rPr>
        <w:t xml:space="preserve"> </w:t>
      </w:r>
      <w:r>
        <w:rPr>
          <w:rFonts w:ascii="宋体" w:hAnsi="宋体" w:eastAsia="宋体" w:cs="宋体"/>
          <w:spacing w:val="-2"/>
          <w:sz w:val="24"/>
          <w:szCs w:val="24"/>
        </w:rPr>
        <w:t>临时占地：</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63BB753E">
      <w:pPr>
        <w:spacing w:before="180" w:line="220" w:lineRule="auto"/>
        <w:ind w:left="491"/>
        <w:rPr>
          <w:rFonts w:ascii="宋体" w:hAnsi="宋体" w:eastAsia="宋体" w:cs="宋体"/>
          <w:sz w:val="24"/>
          <w:szCs w:val="24"/>
        </w:rPr>
      </w:pPr>
      <w:r>
        <w:rPr>
          <w:rFonts w:ascii="宋体" w:hAnsi="宋体" w:eastAsia="宋体" w:cs="宋体"/>
          <w:b/>
          <w:bCs/>
          <w:spacing w:val="-13"/>
          <w:sz w:val="24"/>
          <w:szCs w:val="24"/>
        </w:rPr>
        <w:t>25.3</w:t>
      </w:r>
      <w:r>
        <w:rPr>
          <w:rFonts w:ascii="宋体" w:hAnsi="宋体" w:eastAsia="宋体" w:cs="宋体"/>
          <w:spacing w:val="54"/>
          <w:sz w:val="24"/>
          <w:szCs w:val="24"/>
        </w:rPr>
        <w:t xml:space="preserve"> </w:t>
      </w:r>
      <w:r>
        <w:rPr>
          <w:rFonts w:ascii="宋体" w:hAnsi="宋体" w:eastAsia="宋体" w:cs="宋体"/>
          <w:b/>
          <w:bCs/>
          <w:spacing w:val="-13"/>
          <w:sz w:val="24"/>
          <w:szCs w:val="24"/>
        </w:rPr>
        <w:t>日期</w:t>
      </w:r>
    </w:p>
    <w:p w14:paraId="341C85D1">
      <w:pPr>
        <w:spacing w:before="182" w:line="220" w:lineRule="auto"/>
        <w:ind w:left="491"/>
        <w:rPr>
          <w:rFonts w:ascii="宋体" w:hAnsi="宋体" w:eastAsia="宋体" w:cs="宋体"/>
          <w:sz w:val="24"/>
          <w:szCs w:val="24"/>
        </w:rPr>
      </w:pPr>
      <w:r>
        <w:rPr>
          <w:rFonts w:ascii="宋体" w:hAnsi="宋体" w:eastAsia="宋体" w:cs="宋体"/>
          <w:spacing w:val="-1"/>
          <w:sz w:val="24"/>
          <w:szCs w:val="24"/>
        </w:rPr>
        <w:t>25.3.1 计划开工日期</w:t>
      </w:r>
      <w:r>
        <w:rPr>
          <w:rFonts w:ascii="宋体" w:hAnsi="宋体" w:eastAsia="宋体" w:cs="宋体"/>
          <w:spacing w:val="-5"/>
          <w:sz w:val="24"/>
          <w:szCs w:val="24"/>
        </w:rPr>
        <w:t>：</w:t>
      </w:r>
      <w:r>
        <w:rPr>
          <w:rFonts w:ascii="宋体" w:hAnsi="宋体" w:eastAsia="宋体" w:cs="宋体"/>
          <w:spacing w:val="13"/>
          <w:sz w:val="24"/>
          <w:szCs w:val="24"/>
          <w:u w:val="single" w:color="auto"/>
        </w:rPr>
        <w:t xml:space="preserve">         </w:t>
      </w:r>
      <w:r>
        <w:rPr>
          <w:rFonts w:ascii="宋体" w:hAnsi="宋体" w:eastAsia="宋体" w:cs="宋体"/>
          <w:spacing w:val="-88"/>
          <w:sz w:val="24"/>
          <w:szCs w:val="24"/>
        </w:rPr>
        <w:t xml:space="preserve"> </w:t>
      </w:r>
      <w:r>
        <w:rPr>
          <w:rFonts w:ascii="宋体" w:hAnsi="宋体" w:eastAsia="宋体" w:cs="宋体"/>
          <w:spacing w:val="-5"/>
          <w:sz w:val="24"/>
          <w:szCs w:val="24"/>
        </w:rPr>
        <w:t>；</w:t>
      </w:r>
      <w:r>
        <w:rPr>
          <w:rFonts w:ascii="宋体" w:hAnsi="宋体" w:eastAsia="宋体" w:cs="宋体"/>
          <w:spacing w:val="-1"/>
          <w:sz w:val="24"/>
          <w:szCs w:val="24"/>
        </w:rPr>
        <w:t>重要节点计划开工日期</w:t>
      </w:r>
      <w:r>
        <w:rPr>
          <w:rFonts w:ascii="宋体" w:hAnsi="宋体" w:eastAsia="宋体" w:cs="宋体"/>
          <w:spacing w:val="-5"/>
          <w:sz w:val="24"/>
          <w:szCs w:val="24"/>
        </w:rPr>
        <w:t>：</w:t>
      </w:r>
      <w:r>
        <w:rPr>
          <w:rFonts w:ascii="宋体" w:hAnsi="宋体" w:eastAsia="宋体" w:cs="宋体"/>
          <w:sz w:val="24"/>
          <w:szCs w:val="24"/>
          <w:u w:val="single" w:color="auto"/>
        </w:rPr>
        <w:t xml:space="preserve">          </w:t>
      </w:r>
      <w:r>
        <w:rPr>
          <w:rFonts w:ascii="宋体" w:hAnsi="宋体" w:eastAsia="宋体" w:cs="宋体"/>
          <w:spacing w:val="-5"/>
          <w:sz w:val="24"/>
          <w:szCs w:val="24"/>
        </w:rPr>
        <w:t>；</w:t>
      </w:r>
    </w:p>
    <w:p w14:paraId="45FC81C8">
      <w:pPr>
        <w:spacing w:before="179" w:line="219" w:lineRule="auto"/>
        <w:ind w:left="491"/>
        <w:rPr>
          <w:rFonts w:ascii="宋体" w:hAnsi="宋体" w:eastAsia="宋体" w:cs="宋体"/>
          <w:sz w:val="24"/>
          <w:szCs w:val="24"/>
        </w:rPr>
      </w:pPr>
      <w:r>
        <w:rPr>
          <w:rFonts w:ascii="宋体" w:hAnsi="宋体" w:eastAsia="宋体" w:cs="宋体"/>
          <w:spacing w:val="-1"/>
          <w:sz w:val="24"/>
          <w:szCs w:val="24"/>
        </w:rPr>
        <w:t>25.3.2 计划竣工日期</w:t>
      </w:r>
      <w:r>
        <w:rPr>
          <w:rFonts w:ascii="宋体" w:hAnsi="宋体" w:eastAsia="宋体" w:cs="宋体"/>
          <w:spacing w:val="-5"/>
          <w:sz w:val="24"/>
          <w:szCs w:val="24"/>
        </w:rPr>
        <w:t>：</w:t>
      </w:r>
      <w:r>
        <w:rPr>
          <w:rFonts w:ascii="宋体" w:hAnsi="宋体" w:eastAsia="宋体" w:cs="宋体"/>
          <w:spacing w:val="13"/>
          <w:sz w:val="24"/>
          <w:szCs w:val="24"/>
          <w:u w:val="single" w:color="auto"/>
        </w:rPr>
        <w:t xml:space="preserve">         </w:t>
      </w:r>
      <w:r>
        <w:rPr>
          <w:rFonts w:ascii="宋体" w:hAnsi="宋体" w:eastAsia="宋体" w:cs="宋体"/>
          <w:spacing w:val="-86"/>
          <w:sz w:val="24"/>
          <w:szCs w:val="24"/>
        </w:rPr>
        <w:t xml:space="preserve"> </w:t>
      </w:r>
      <w:r>
        <w:rPr>
          <w:rFonts w:ascii="宋体" w:hAnsi="宋体" w:eastAsia="宋体" w:cs="宋体"/>
          <w:spacing w:val="-5"/>
          <w:sz w:val="24"/>
          <w:szCs w:val="24"/>
        </w:rPr>
        <w:t>；</w:t>
      </w:r>
      <w:r>
        <w:rPr>
          <w:rFonts w:ascii="宋体" w:hAnsi="宋体" w:eastAsia="宋体" w:cs="宋体"/>
          <w:spacing w:val="-1"/>
          <w:sz w:val="24"/>
          <w:szCs w:val="24"/>
        </w:rPr>
        <w:t>重要节点计划竣工日期：</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4901A65">
      <w:pPr>
        <w:spacing w:before="182" w:line="220" w:lineRule="auto"/>
        <w:ind w:left="491"/>
        <w:rPr>
          <w:rFonts w:ascii="宋体" w:hAnsi="宋体" w:eastAsia="宋体" w:cs="宋体"/>
          <w:sz w:val="24"/>
          <w:szCs w:val="24"/>
        </w:rPr>
      </w:pPr>
      <w:r>
        <w:rPr>
          <w:rFonts w:ascii="宋体" w:hAnsi="宋体" w:eastAsia="宋体" w:cs="宋体"/>
          <w:b/>
          <w:bCs/>
          <w:spacing w:val="-6"/>
          <w:sz w:val="24"/>
          <w:szCs w:val="24"/>
        </w:rPr>
        <w:t>25.4</w:t>
      </w:r>
      <w:r>
        <w:rPr>
          <w:rFonts w:ascii="宋体" w:hAnsi="宋体" w:eastAsia="宋体" w:cs="宋体"/>
          <w:spacing w:val="12"/>
          <w:sz w:val="24"/>
          <w:szCs w:val="24"/>
        </w:rPr>
        <w:t xml:space="preserve"> </w:t>
      </w:r>
      <w:r>
        <w:rPr>
          <w:rFonts w:ascii="宋体" w:hAnsi="宋体" w:eastAsia="宋体" w:cs="宋体"/>
          <w:b/>
          <w:bCs/>
          <w:spacing w:val="-6"/>
          <w:sz w:val="24"/>
          <w:szCs w:val="24"/>
        </w:rPr>
        <w:t>其他</w:t>
      </w:r>
    </w:p>
    <w:p w14:paraId="38347550">
      <w:pPr>
        <w:spacing w:before="180" w:line="220" w:lineRule="auto"/>
        <w:ind w:left="491"/>
        <w:rPr>
          <w:rFonts w:ascii="宋体" w:hAnsi="宋体" w:eastAsia="宋体" w:cs="宋体"/>
          <w:sz w:val="24"/>
          <w:szCs w:val="24"/>
        </w:rPr>
      </w:pPr>
      <w:r>
        <w:rPr>
          <w:rFonts w:ascii="宋体" w:hAnsi="宋体" w:eastAsia="宋体" w:cs="宋体"/>
          <w:spacing w:val="-2"/>
          <w:sz w:val="24"/>
          <w:szCs w:val="24"/>
        </w:rPr>
        <w:t>25.4.1 账户查询</w:t>
      </w:r>
    </w:p>
    <w:p w14:paraId="0DE6F399">
      <w:pPr>
        <w:spacing w:before="181" w:line="359" w:lineRule="auto"/>
        <w:ind w:left="7" w:firstLine="483"/>
        <w:jc w:val="both"/>
        <w:rPr>
          <w:rFonts w:ascii="宋体" w:hAnsi="宋体" w:eastAsia="宋体" w:cs="宋体"/>
          <w:sz w:val="24"/>
          <w:szCs w:val="24"/>
        </w:rPr>
      </w:pPr>
      <w:r>
        <w:rPr>
          <w:rFonts w:ascii="宋体" w:hAnsi="宋体" w:eastAsia="宋体" w:cs="宋体"/>
          <w:spacing w:val="-2"/>
          <w:sz w:val="24"/>
          <w:szCs w:val="24"/>
        </w:rPr>
        <w:t>为确保专款专用，发包人要求承包人在项目所在地设立专用帐户，并要求承包人在</w:t>
      </w:r>
      <w:r>
        <w:rPr>
          <w:rFonts w:ascii="宋体" w:hAnsi="宋体" w:eastAsia="宋体" w:cs="宋体"/>
          <w:spacing w:val="-3"/>
          <w:sz w:val="24"/>
          <w:szCs w:val="24"/>
        </w:rPr>
        <w:t>银行开户时将其中一个印鉴留在发包人代表处，承包人提款或转帐须经发包人代</w:t>
      </w:r>
      <w:r>
        <w:rPr>
          <w:rFonts w:ascii="宋体" w:hAnsi="宋体" w:eastAsia="宋体" w:cs="宋体"/>
          <w:spacing w:val="-4"/>
          <w:sz w:val="24"/>
          <w:szCs w:val="24"/>
        </w:rPr>
        <w:t>表同意，</w:t>
      </w:r>
      <w:r>
        <w:rPr>
          <w:rFonts w:ascii="宋体" w:hAnsi="宋体" w:eastAsia="宋体" w:cs="宋体"/>
          <w:spacing w:val="-1"/>
          <w:sz w:val="24"/>
          <w:szCs w:val="24"/>
        </w:rPr>
        <w:t>接受发包人代表和监理监督。</w:t>
      </w:r>
    </w:p>
    <w:p w14:paraId="558BE124">
      <w:pPr>
        <w:spacing w:before="1" w:line="219" w:lineRule="auto"/>
        <w:ind w:left="489"/>
        <w:rPr>
          <w:rFonts w:ascii="宋体" w:hAnsi="宋体" w:eastAsia="宋体" w:cs="宋体"/>
          <w:sz w:val="24"/>
          <w:szCs w:val="24"/>
        </w:rPr>
      </w:pPr>
      <w:r>
        <w:rPr>
          <w:rFonts w:ascii="宋体" w:hAnsi="宋体" w:eastAsia="宋体" w:cs="宋体"/>
          <w:spacing w:val="-2"/>
          <w:sz w:val="24"/>
          <w:szCs w:val="24"/>
        </w:rPr>
        <w:t>专用账户信息如下：</w:t>
      </w:r>
    </w:p>
    <w:p w14:paraId="50D8F366">
      <w:pPr>
        <w:spacing w:line="147" w:lineRule="exact"/>
      </w:pPr>
    </w:p>
    <w:tbl>
      <w:tblPr>
        <w:tblStyle w:val="13"/>
        <w:tblW w:w="8320" w:type="dxa"/>
        <w:tblInd w:w="3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9"/>
        <w:gridCol w:w="5901"/>
      </w:tblGrid>
      <w:tr w14:paraId="5D208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2419" w:type="dxa"/>
            <w:vAlign w:val="top"/>
          </w:tcPr>
          <w:p w14:paraId="2264E54D">
            <w:pPr>
              <w:pStyle w:val="14"/>
              <w:spacing w:before="39" w:line="220" w:lineRule="auto"/>
              <w:ind w:left="743"/>
              <w:rPr>
                <w:sz w:val="24"/>
                <w:szCs w:val="24"/>
              </w:rPr>
            </w:pPr>
            <w:r>
              <w:rPr>
                <w:spacing w:val="-5"/>
                <w:sz w:val="24"/>
                <w:szCs w:val="24"/>
              </w:rPr>
              <w:t>帐户名称</w:t>
            </w:r>
          </w:p>
        </w:tc>
        <w:tc>
          <w:tcPr>
            <w:tcW w:w="5901" w:type="dxa"/>
            <w:vAlign w:val="top"/>
          </w:tcPr>
          <w:p w14:paraId="413953E4">
            <w:pPr>
              <w:rPr>
                <w:rFonts w:ascii="Arial"/>
                <w:sz w:val="21"/>
              </w:rPr>
            </w:pPr>
          </w:p>
        </w:tc>
      </w:tr>
      <w:tr w14:paraId="39FEB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419" w:type="dxa"/>
            <w:vAlign w:val="top"/>
          </w:tcPr>
          <w:p w14:paraId="58934873">
            <w:pPr>
              <w:pStyle w:val="14"/>
              <w:spacing w:before="35" w:line="220" w:lineRule="auto"/>
              <w:ind w:left="735"/>
              <w:rPr>
                <w:sz w:val="24"/>
                <w:szCs w:val="24"/>
              </w:rPr>
            </w:pPr>
            <w:r>
              <w:rPr>
                <w:spacing w:val="-3"/>
                <w:sz w:val="24"/>
                <w:szCs w:val="24"/>
              </w:rPr>
              <w:t>开户银行</w:t>
            </w:r>
          </w:p>
        </w:tc>
        <w:tc>
          <w:tcPr>
            <w:tcW w:w="5901" w:type="dxa"/>
            <w:vAlign w:val="top"/>
          </w:tcPr>
          <w:p w14:paraId="17A734BF">
            <w:pPr>
              <w:rPr>
                <w:rFonts w:ascii="Arial"/>
                <w:sz w:val="21"/>
              </w:rPr>
            </w:pPr>
          </w:p>
        </w:tc>
      </w:tr>
      <w:tr w14:paraId="74C86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2419" w:type="dxa"/>
            <w:vAlign w:val="top"/>
          </w:tcPr>
          <w:p w14:paraId="7AD958A0">
            <w:pPr>
              <w:pStyle w:val="14"/>
              <w:spacing w:before="37" w:line="220" w:lineRule="auto"/>
              <w:ind w:left="735"/>
              <w:rPr>
                <w:sz w:val="24"/>
                <w:szCs w:val="24"/>
              </w:rPr>
            </w:pPr>
            <w:r>
              <w:rPr>
                <w:spacing w:val="-3"/>
                <w:sz w:val="24"/>
                <w:szCs w:val="24"/>
              </w:rPr>
              <w:t>银行帐号</w:t>
            </w:r>
          </w:p>
        </w:tc>
        <w:tc>
          <w:tcPr>
            <w:tcW w:w="5901" w:type="dxa"/>
            <w:vAlign w:val="top"/>
          </w:tcPr>
          <w:p w14:paraId="1EEE022F">
            <w:pPr>
              <w:rPr>
                <w:rFonts w:ascii="Arial"/>
                <w:sz w:val="21"/>
              </w:rPr>
            </w:pPr>
          </w:p>
        </w:tc>
      </w:tr>
      <w:tr w14:paraId="758A5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419" w:type="dxa"/>
            <w:vAlign w:val="top"/>
          </w:tcPr>
          <w:p w14:paraId="1AAC391C">
            <w:pPr>
              <w:pStyle w:val="14"/>
              <w:spacing w:before="41" w:line="219" w:lineRule="auto"/>
              <w:ind w:left="614"/>
              <w:rPr>
                <w:sz w:val="24"/>
                <w:szCs w:val="24"/>
              </w:rPr>
            </w:pPr>
            <w:r>
              <w:rPr>
                <w:spacing w:val="-2"/>
                <w:sz w:val="24"/>
                <w:szCs w:val="24"/>
              </w:rPr>
              <w:t>地址及邮编</w:t>
            </w:r>
          </w:p>
        </w:tc>
        <w:tc>
          <w:tcPr>
            <w:tcW w:w="5901" w:type="dxa"/>
            <w:vAlign w:val="top"/>
          </w:tcPr>
          <w:p w14:paraId="7B7360D3">
            <w:pPr>
              <w:rPr>
                <w:rFonts w:ascii="Arial"/>
                <w:sz w:val="21"/>
              </w:rPr>
            </w:pPr>
          </w:p>
        </w:tc>
      </w:tr>
      <w:tr w14:paraId="3BA69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2419" w:type="dxa"/>
            <w:vAlign w:val="top"/>
          </w:tcPr>
          <w:p w14:paraId="51B3797F">
            <w:pPr>
              <w:pStyle w:val="14"/>
              <w:spacing w:before="41" w:line="221" w:lineRule="auto"/>
              <w:ind w:left="495"/>
              <w:rPr>
                <w:sz w:val="24"/>
                <w:szCs w:val="24"/>
              </w:rPr>
            </w:pPr>
            <w:r>
              <w:rPr>
                <w:spacing w:val="-2"/>
                <w:sz w:val="24"/>
                <w:szCs w:val="24"/>
              </w:rPr>
              <w:t>联系人及电话</w:t>
            </w:r>
          </w:p>
        </w:tc>
        <w:tc>
          <w:tcPr>
            <w:tcW w:w="5901" w:type="dxa"/>
            <w:vAlign w:val="top"/>
          </w:tcPr>
          <w:p w14:paraId="5458966F">
            <w:pPr>
              <w:rPr>
                <w:rFonts w:ascii="Arial"/>
                <w:sz w:val="21"/>
              </w:rPr>
            </w:pPr>
          </w:p>
        </w:tc>
      </w:tr>
    </w:tbl>
    <w:p w14:paraId="51D5A530">
      <w:pPr>
        <w:spacing w:line="423" w:lineRule="auto"/>
        <w:rPr>
          <w:rFonts w:ascii="Arial"/>
          <w:sz w:val="21"/>
        </w:rPr>
      </w:pPr>
    </w:p>
    <w:p w14:paraId="747AA79C">
      <w:pPr>
        <w:spacing w:before="79" w:line="219" w:lineRule="auto"/>
        <w:ind w:left="489"/>
        <w:rPr>
          <w:rFonts w:ascii="宋体" w:hAnsi="宋体" w:eastAsia="宋体" w:cs="宋体"/>
          <w:sz w:val="24"/>
          <w:szCs w:val="24"/>
        </w:rPr>
      </w:pPr>
      <w:r>
        <w:rPr>
          <w:rFonts w:ascii="宋体" w:hAnsi="宋体" w:eastAsia="宋体" w:cs="宋体"/>
          <w:spacing w:val="-2"/>
          <w:sz w:val="24"/>
          <w:szCs w:val="24"/>
        </w:rPr>
        <w:t>开发票信息如下：</w:t>
      </w:r>
    </w:p>
    <w:p w14:paraId="654D2928">
      <w:pPr>
        <w:spacing w:line="145" w:lineRule="exact"/>
      </w:pPr>
    </w:p>
    <w:tbl>
      <w:tblPr>
        <w:tblStyle w:val="13"/>
        <w:tblW w:w="8320" w:type="dxa"/>
        <w:tblInd w:w="3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9"/>
        <w:gridCol w:w="5901"/>
      </w:tblGrid>
      <w:tr w14:paraId="1F23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2419" w:type="dxa"/>
            <w:vAlign w:val="top"/>
          </w:tcPr>
          <w:p w14:paraId="36F4E43A">
            <w:pPr>
              <w:pStyle w:val="14"/>
              <w:spacing w:before="39" w:line="220" w:lineRule="auto"/>
              <w:ind w:left="743"/>
              <w:rPr>
                <w:sz w:val="24"/>
                <w:szCs w:val="24"/>
              </w:rPr>
            </w:pPr>
            <w:r>
              <w:rPr>
                <w:spacing w:val="-5"/>
                <w:sz w:val="24"/>
                <w:szCs w:val="24"/>
              </w:rPr>
              <w:t>帐户名称</w:t>
            </w:r>
          </w:p>
        </w:tc>
        <w:tc>
          <w:tcPr>
            <w:tcW w:w="5901" w:type="dxa"/>
            <w:vAlign w:val="top"/>
          </w:tcPr>
          <w:p w14:paraId="42B4C39E">
            <w:pPr>
              <w:rPr>
                <w:rFonts w:ascii="Arial"/>
                <w:sz w:val="21"/>
              </w:rPr>
            </w:pPr>
          </w:p>
        </w:tc>
      </w:tr>
      <w:tr w14:paraId="20B0C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419" w:type="dxa"/>
            <w:vAlign w:val="top"/>
          </w:tcPr>
          <w:p w14:paraId="3EC4B1DB">
            <w:pPr>
              <w:pStyle w:val="14"/>
              <w:spacing w:before="33" w:line="220" w:lineRule="auto"/>
              <w:ind w:left="735"/>
              <w:rPr>
                <w:sz w:val="24"/>
                <w:szCs w:val="24"/>
              </w:rPr>
            </w:pPr>
            <w:r>
              <w:rPr>
                <w:spacing w:val="-3"/>
                <w:sz w:val="24"/>
                <w:szCs w:val="24"/>
              </w:rPr>
              <w:t>开户银行</w:t>
            </w:r>
          </w:p>
        </w:tc>
        <w:tc>
          <w:tcPr>
            <w:tcW w:w="5901" w:type="dxa"/>
            <w:vAlign w:val="top"/>
          </w:tcPr>
          <w:p w14:paraId="0EDD9824">
            <w:pPr>
              <w:rPr>
                <w:rFonts w:ascii="Arial"/>
                <w:sz w:val="21"/>
              </w:rPr>
            </w:pPr>
          </w:p>
        </w:tc>
      </w:tr>
      <w:tr w14:paraId="356B4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419" w:type="dxa"/>
            <w:vAlign w:val="top"/>
          </w:tcPr>
          <w:p w14:paraId="430FDA42">
            <w:pPr>
              <w:pStyle w:val="14"/>
              <w:spacing w:before="36" w:line="220" w:lineRule="auto"/>
              <w:ind w:left="735"/>
              <w:rPr>
                <w:sz w:val="24"/>
                <w:szCs w:val="24"/>
              </w:rPr>
            </w:pPr>
            <w:r>
              <w:rPr>
                <w:spacing w:val="-3"/>
                <w:sz w:val="24"/>
                <w:szCs w:val="24"/>
              </w:rPr>
              <w:t>银行帐号</w:t>
            </w:r>
          </w:p>
        </w:tc>
        <w:tc>
          <w:tcPr>
            <w:tcW w:w="5901" w:type="dxa"/>
            <w:vAlign w:val="top"/>
          </w:tcPr>
          <w:p w14:paraId="5799495C">
            <w:pPr>
              <w:rPr>
                <w:rFonts w:ascii="Arial"/>
                <w:sz w:val="21"/>
              </w:rPr>
            </w:pPr>
          </w:p>
        </w:tc>
      </w:tr>
      <w:tr w14:paraId="18C28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2419" w:type="dxa"/>
            <w:vAlign w:val="top"/>
          </w:tcPr>
          <w:p w14:paraId="39F89308">
            <w:pPr>
              <w:pStyle w:val="14"/>
              <w:spacing w:before="38" w:line="219" w:lineRule="auto"/>
              <w:ind w:left="614"/>
              <w:rPr>
                <w:sz w:val="24"/>
                <w:szCs w:val="24"/>
              </w:rPr>
            </w:pPr>
            <w:r>
              <w:rPr>
                <w:spacing w:val="-2"/>
                <w:sz w:val="24"/>
                <w:szCs w:val="24"/>
              </w:rPr>
              <w:t>地址及邮编</w:t>
            </w:r>
          </w:p>
        </w:tc>
        <w:tc>
          <w:tcPr>
            <w:tcW w:w="5901" w:type="dxa"/>
            <w:vAlign w:val="top"/>
          </w:tcPr>
          <w:p w14:paraId="19DDC7DF">
            <w:pPr>
              <w:rPr>
                <w:rFonts w:ascii="Arial"/>
                <w:sz w:val="21"/>
              </w:rPr>
            </w:pPr>
          </w:p>
        </w:tc>
      </w:tr>
      <w:tr w14:paraId="6B049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419" w:type="dxa"/>
            <w:vAlign w:val="top"/>
          </w:tcPr>
          <w:p w14:paraId="1078DDFF">
            <w:pPr>
              <w:pStyle w:val="14"/>
              <w:spacing w:before="42" w:line="221" w:lineRule="auto"/>
              <w:ind w:left="495"/>
              <w:rPr>
                <w:sz w:val="24"/>
                <w:szCs w:val="24"/>
              </w:rPr>
            </w:pPr>
            <w:r>
              <w:rPr>
                <w:spacing w:val="-2"/>
                <w:sz w:val="24"/>
                <w:szCs w:val="24"/>
              </w:rPr>
              <w:t>联系人及电话</w:t>
            </w:r>
          </w:p>
        </w:tc>
        <w:tc>
          <w:tcPr>
            <w:tcW w:w="5901" w:type="dxa"/>
            <w:vAlign w:val="top"/>
          </w:tcPr>
          <w:p w14:paraId="6EF60293">
            <w:pPr>
              <w:rPr>
                <w:rFonts w:ascii="Arial"/>
                <w:sz w:val="21"/>
              </w:rPr>
            </w:pPr>
          </w:p>
        </w:tc>
      </w:tr>
      <w:tr w14:paraId="53F1E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2419" w:type="dxa"/>
            <w:vAlign w:val="top"/>
          </w:tcPr>
          <w:p w14:paraId="24638E5A">
            <w:pPr>
              <w:pStyle w:val="14"/>
              <w:spacing w:before="41" w:line="220" w:lineRule="auto"/>
              <w:ind w:left="973"/>
              <w:rPr>
                <w:sz w:val="24"/>
                <w:szCs w:val="24"/>
              </w:rPr>
            </w:pPr>
            <w:r>
              <w:rPr>
                <w:spacing w:val="-5"/>
                <w:sz w:val="24"/>
                <w:szCs w:val="24"/>
              </w:rPr>
              <w:t>税号</w:t>
            </w:r>
          </w:p>
        </w:tc>
        <w:tc>
          <w:tcPr>
            <w:tcW w:w="5901" w:type="dxa"/>
            <w:vAlign w:val="top"/>
          </w:tcPr>
          <w:p w14:paraId="0C5F7A1B">
            <w:pPr>
              <w:rPr>
                <w:rFonts w:ascii="Arial"/>
                <w:sz w:val="21"/>
              </w:rPr>
            </w:pPr>
          </w:p>
        </w:tc>
      </w:tr>
    </w:tbl>
    <w:p w14:paraId="2F25C8C7">
      <w:pPr>
        <w:spacing w:line="422" w:lineRule="auto"/>
        <w:rPr>
          <w:rFonts w:ascii="Arial"/>
          <w:sz w:val="21"/>
        </w:rPr>
      </w:pPr>
    </w:p>
    <w:p w14:paraId="1CB3865B">
      <w:pPr>
        <w:spacing w:before="180" w:line="359" w:lineRule="auto"/>
        <w:ind w:left="10" w:right="61" w:firstLine="479"/>
        <w:rPr>
          <w:rFonts w:ascii="宋体" w:hAnsi="宋体" w:eastAsia="宋体" w:cs="宋体"/>
          <w:spacing w:val="-3"/>
          <w:sz w:val="24"/>
          <w:szCs w:val="24"/>
        </w:rPr>
      </w:pPr>
      <w:r>
        <w:rPr>
          <w:rFonts w:ascii="宋体" w:hAnsi="宋体" w:eastAsia="宋体" w:cs="宋体"/>
          <w:spacing w:val="-3"/>
          <w:sz w:val="24"/>
          <w:szCs w:val="24"/>
        </w:rPr>
        <w:t>承包人应向发包人授权进行本合同工程开户银行工程资金的查询，发包人支付的预付款、工程进度款应为本工程的专款专用资金，不得转移或用于其他工程。发包人的中期支付款将转入承包人指定并经发包人批准的银行所设的专门帐户, 发包人及其派出机构有权不定期对承包人工程资金使用情况进行检查,发现问题及时责令承包人限期改正，否则，将终止月支付，直至承包人改正为止。</w:t>
      </w:r>
    </w:p>
    <w:p w14:paraId="1B533467">
      <w:pPr>
        <w:spacing w:before="312" w:line="219" w:lineRule="auto"/>
        <w:ind w:left="491"/>
        <w:rPr>
          <w:rFonts w:ascii="宋体" w:hAnsi="宋体" w:eastAsia="宋体" w:cs="宋体"/>
          <w:sz w:val="24"/>
          <w:szCs w:val="24"/>
        </w:rPr>
      </w:pPr>
      <w:r>
        <w:rPr>
          <w:rFonts w:ascii="宋体" w:hAnsi="宋体" w:eastAsia="宋体" w:cs="宋体"/>
          <w:spacing w:val="-1"/>
          <w:sz w:val="24"/>
          <w:szCs w:val="24"/>
        </w:rPr>
        <w:t>25.4.2 关于阳光工程</w:t>
      </w:r>
    </w:p>
    <w:p w14:paraId="2CA1BC4A">
      <w:pPr>
        <w:spacing w:before="180" w:line="359" w:lineRule="auto"/>
        <w:ind w:left="10" w:right="61" w:firstLine="479"/>
        <w:rPr>
          <w:rFonts w:ascii="宋体" w:hAnsi="宋体" w:eastAsia="宋体" w:cs="宋体"/>
          <w:sz w:val="24"/>
          <w:szCs w:val="24"/>
        </w:rPr>
      </w:pPr>
      <w:r>
        <w:rPr>
          <w:rFonts w:ascii="宋体" w:hAnsi="宋体" w:eastAsia="宋体" w:cs="宋体"/>
          <w:spacing w:val="-3"/>
          <w:sz w:val="24"/>
          <w:szCs w:val="24"/>
        </w:rPr>
        <w:t>本项目将着力打造成为“</w:t>
      </w:r>
      <w:r>
        <w:rPr>
          <w:rFonts w:ascii="宋体" w:hAnsi="宋体" w:eastAsia="宋体" w:cs="宋体"/>
          <w:spacing w:val="-93"/>
          <w:sz w:val="24"/>
          <w:szCs w:val="24"/>
        </w:rPr>
        <w:t xml:space="preserve"> </w:t>
      </w:r>
      <w:r>
        <w:rPr>
          <w:rFonts w:ascii="宋体" w:hAnsi="宋体" w:eastAsia="宋体" w:cs="宋体"/>
          <w:spacing w:val="-3"/>
          <w:sz w:val="24"/>
          <w:szCs w:val="24"/>
        </w:rPr>
        <w:t>阳光工程</w:t>
      </w:r>
      <w:r>
        <w:rPr>
          <w:rFonts w:ascii="宋体" w:hAnsi="宋体" w:eastAsia="宋体" w:cs="宋体"/>
          <w:spacing w:val="-88"/>
          <w:sz w:val="24"/>
          <w:szCs w:val="24"/>
        </w:rPr>
        <w:t xml:space="preserve"> </w:t>
      </w:r>
      <w:r>
        <w:rPr>
          <w:rFonts w:ascii="宋体" w:hAnsi="宋体" w:eastAsia="宋体" w:cs="宋体"/>
          <w:spacing w:val="-3"/>
          <w:sz w:val="24"/>
          <w:szCs w:val="24"/>
        </w:rPr>
        <w:t>”，在合同</w:t>
      </w:r>
      <w:r>
        <w:rPr>
          <w:rFonts w:ascii="宋体" w:hAnsi="宋体" w:eastAsia="宋体" w:cs="宋体"/>
          <w:spacing w:val="-4"/>
          <w:sz w:val="24"/>
          <w:szCs w:val="24"/>
        </w:rPr>
        <w:t>执行过程中，将加强合同管理，严格</w:t>
      </w:r>
      <w:r>
        <w:rPr>
          <w:rFonts w:ascii="宋体" w:hAnsi="宋体" w:eastAsia="宋体" w:cs="宋体"/>
          <w:spacing w:val="-2"/>
          <w:sz w:val="24"/>
          <w:szCs w:val="24"/>
        </w:rPr>
        <w:t>依照合同约定执行，对于违反合同的行为，决不姑息。一旦发现，将直接提交相关主管部门严肃处理，并计入诚信评价体系。同时将从业单位信用评价及绩效考核结果在项目</w:t>
      </w:r>
      <w:r>
        <w:rPr>
          <w:rFonts w:ascii="宋体" w:hAnsi="宋体" w:eastAsia="宋体" w:cs="宋体"/>
          <w:spacing w:val="-1"/>
          <w:sz w:val="24"/>
          <w:szCs w:val="24"/>
        </w:rPr>
        <w:t>现场公示，向参建各方公开。</w:t>
      </w:r>
    </w:p>
    <w:p w14:paraId="3A0DE07A">
      <w:pPr>
        <w:spacing w:line="219" w:lineRule="auto"/>
        <w:ind w:left="491"/>
        <w:rPr>
          <w:rFonts w:ascii="宋体" w:hAnsi="宋体" w:eastAsia="宋体" w:cs="宋体"/>
          <w:sz w:val="24"/>
          <w:szCs w:val="24"/>
        </w:rPr>
      </w:pPr>
      <w:r>
        <w:rPr>
          <w:rFonts w:ascii="宋体" w:hAnsi="宋体" w:eastAsia="宋体" w:cs="宋体"/>
          <w:spacing w:val="-1"/>
          <w:sz w:val="24"/>
          <w:szCs w:val="24"/>
        </w:rPr>
        <w:t>25.4.3 关于水运工程施工标准化管理</w:t>
      </w:r>
    </w:p>
    <w:p w14:paraId="22FAD011">
      <w:pPr>
        <w:spacing w:before="182" w:line="359" w:lineRule="auto"/>
        <w:ind w:left="8" w:right="61" w:firstLine="480"/>
        <w:rPr>
          <w:rFonts w:ascii="宋体" w:hAnsi="宋体" w:eastAsia="宋体" w:cs="宋体"/>
          <w:sz w:val="24"/>
          <w:szCs w:val="24"/>
        </w:rPr>
      </w:pPr>
      <w:r>
        <w:rPr>
          <w:rFonts w:ascii="宋体" w:hAnsi="宋体" w:eastAsia="宋体" w:cs="宋体"/>
          <w:spacing w:val="-2"/>
          <w:sz w:val="24"/>
          <w:szCs w:val="24"/>
        </w:rPr>
        <w:t>根据《交通运输部办公厅关于开展水运工程施工标准化示范创建活动的通知》《关于加强公路水运工程质量和安全管理工作的若干意见》《广东省交通运输厅关于印发广</w:t>
      </w:r>
      <w:r>
        <w:rPr>
          <w:rFonts w:ascii="宋体" w:hAnsi="宋体" w:eastAsia="宋体" w:cs="宋体"/>
          <w:sz w:val="24"/>
          <w:szCs w:val="24"/>
        </w:rPr>
        <w:t>东省水运工程施工标准化活动实施方案的通知》《广东省水运</w:t>
      </w:r>
      <w:r>
        <w:rPr>
          <w:rFonts w:ascii="宋体" w:hAnsi="宋体" w:eastAsia="宋体" w:cs="宋体"/>
          <w:spacing w:val="-1"/>
          <w:sz w:val="24"/>
          <w:szCs w:val="24"/>
        </w:rPr>
        <w:t>工程施工标准化指南》,</w:t>
      </w:r>
      <w:r>
        <w:rPr>
          <w:rFonts w:ascii="宋体" w:hAnsi="宋体" w:eastAsia="宋体" w:cs="宋体"/>
          <w:spacing w:val="-2"/>
          <w:sz w:val="24"/>
          <w:szCs w:val="24"/>
        </w:rPr>
        <w:t>承包人应参照上述文件以及之后公布的有关水运工程施工标准化活动的规定，加强施工</w:t>
      </w:r>
      <w:r>
        <w:rPr>
          <w:rFonts w:ascii="宋体" w:hAnsi="宋体" w:eastAsia="宋体" w:cs="宋体"/>
          <w:sz w:val="24"/>
          <w:szCs w:val="24"/>
        </w:rPr>
        <w:t>标准化管理，所需费用包含在合同总价中，发包</w:t>
      </w:r>
      <w:r>
        <w:rPr>
          <w:rFonts w:ascii="宋体" w:hAnsi="宋体" w:eastAsia="宋体" w:cs="宋体"/>
          <w:spacing w:val="-1"/>
          <w:sz w:val="24"/>
          <w:szCs w:val="24"/>
        </w:rPr>
        <w:t>人不另行支付其他费用。</w:t>
      </w:r>
    </w:p>
    <w:p w14:paraId="1A39251B">
      <w:pPr>
        <w:spacing w:before="2" w:line="359" w:lineRule="auto"/>
        <w:ind w:left="13" w:right="128" w:firstLine="478"/>
        <w:rPr>
          <w:rFonts w:ascii="宋体" w:hAnsi="宋体" w:eastAsia="宋体" w:cs="宋体"/>
          <w:sz w:val="24"/>
          <w:szCs w:val="24"/>
        </w:rPr>
      </w:pPr>
      <w:r>
        <w:rPr>
          <w:rFonts w:ascii="宋体" w:hAnsi="宋体" w:eastAsia="宋体" w:cs="宋体"/>
          <w:sz w:val="24"/>
          <w:szCs w:val="24"/>
        </w:rPr>
        <w:t>25.4.4 本项目在施工期间按交通运输部、广东省</w:t>
      </w:r>
      <w:r>
        <w:rPr>
          <w:rFonts w:ascii="宋体" w:hAnsi="宋体" w:eastAsia="宋体" w:cs="宋体"/>
          <w:spacing w:val="-1"/>
          <w:sz w:val="24"/>
          <w:szCs w:val="24"/>
        </w:rPr>
        <w:t>交通运输厅有关文件要求开展平安工地建设活动，所需费用包含在合同总价中，发包人不另行支付费用。</w:t>
      </w:r>
    </w:p>
    <w:p w14:paraId="32E7C02A">
      <w:pPr>
        <w:spacing w:before="3" w:line="358" w:lineRule="auto"/>
        <w:ind w:left="11" w:right="61" w:firstLine="480"/>
        <w:rPr>
          <w:rFonts w:ascii="宋体" w:hAnsi="宋体" w:eastAsia="宋体" w:cs="宋体"/>
          <w:sz w:val="24"/>
          <w:szCs w:val="24"/>
        </w:rPr>
      </w:pPr>
      <w:r>
        <w:rPr>
          <w:rFonts w:ascii="宋体" w:hAnsi="宋体" w:eastAsia="宋体" w:cs="宋体"/>
          <w:spacing w:val="-3"/>
          <w:sz w:val="24"/>
          <w:szCs w:val="24"/>
        </w:rPr>
        <w:t>25.4.5</w:t>
      </w:r>
      <w:r>
        <w:rPr>
          <w:rFonts w:ascii="宋体" w:hAnsi="宋体" w:eastAsia="宋体" w:cs="宋体"/>
          <w:spacing w:val="-50"/>
          <w:sz w:val="24"/>
          <w:szCs w:val="24"/>
        </w:rPr>
        <w:t xml:space="preserve"> </w:t>
      </w:r>
      <w:r>
        <w:rPr>
          <w:rFonts w:ascii="宋体" w:hAnsi="宋体" w:eastAsia="宋体" w:cs="宋体"/>
          <w:spacing w:val="-3"/>
          <w:sz w:val="24"/>
          <w:szCs w:val="24"/>
        </w:rPr>
        <w:t>本项目将使用从业人员实名制</w:t>
      </w:r>
      <w:r>
        <w:rPr>
          <w:rFonts w:ascii="宋体" w:hAnsi="宋体" w:eastAsia="宋体" w:cs="宋体"/>
          <w:spacing w:val="-4"/>
          <w:sz w:val="24"/>
          <w:szCs w:val="24"/>
        </w:rPr>
        <w:t>管理系统等项目管理软件。若政策需要购买相</w:t>
      </w:r>
      <w:r>
        <w:rPr>
          <w:rFonts w:ascii="宋体" w:hAnsi="宋体" w:eastAsia="宋体" w:cs="宋体"/>
          <w:spacing w:val="-2"/>
          <w:sz w:val="24"/>
          <w:szCs w:val="24"/>
        </w:rPr>
        <w:t>关的项目管理软件或软件配套需购置相关设备的，所需费用包含在合同总价中，推行实</w:t>
      </w:r>
      <w:r>
        <w:rPr>
          <w:rFonts w:ascii="宋体" w:hAnsi="宋体" w:eastAsia="宋体" w:cs="宋体"/>
          <w:spacing w:val="-1"/>
          <w:sz w:val="24"/>
          <w:szCs w:val="24"/>
        </w:rPr>
        <w:t>名管理所需费用，在工程安全生产费中列支，发包人不另行支付费用。</w:t>
      </w:r>
    </w:p>
    <w:p w14:paraId="732CBFD2">
      <w:pPr>
        <w:spacing w:before="1" w:line="218" w:lineRule="auto"/>
        <w:ind w:left="491"/>
        <w:rPr>
          <w:rFonts w:ascii="宋体" w:hAnsi="宋体" w:eastAsia="宋体" w:cs="宋体"/>
          <w:sz w:val="24"/>
          <w:szCs w:val="24"/>
        </w:rPr>
      </w:pPr>
      <w:r>
        <w:rPr>
          <w:rFonts w:ascii="宋体" w:hAnsi="宋体" w:eastAsia="宋体" w:cs="宋体"/>
          <w:spacing w:val="-2"/>
          <w:sz w:val="24"/>
          <w:szCs w:val="24"/>
        </w:rPr>
        <w:t>25.4.6</w:t>
      </w:r>
      <w:r>
        <w:rPr>
          <w:rFonts w:ascii="宋体" w:hAnsi="宋体" w:eastAsia="宋体" w:cs="宋体"/>
          <w:spacing w:val="-48"/>
          <w:sz w:val="24"/>
          <w:szCs w:val="24"/>
        </w:rPr>
        <w:t xml:space="preserve"> </w:t>
      </w:r>
      <w:r>
        <w:rPr>
          <w:rFonts w:ascii="宋体" w:hAnsi="宋体" w:eastAsia="宋体" w:cs="宋体"/>
          <w:spacing w:val="-2"/>
          <w:sz w:val="24"/>
          <w:szCs w:val="24"/>
        </w:rPr>
        <w:t>承包人退出机制</w:t>
      </w:r>
    </w:p>
    <w:p w14:paraId="74EB1CD6">
      <w:pPr>
        <w:spacing w:before="181" w:line="219" w:lineRule="auto"/>
        <w:ind w:left="492"/>
        <w:rPr>
          <w:rFonts w:ascii="宋体" w:hAnsi="宋体" w:eastAsia="宋体" w:cs="宋体"/>
          <w:sz w:val="24"/>
          <w:szCs w:val="24"/>
        </w:rPr>
      </w:pPr>
      <w:r>
        <w:rPr>
          <w:rFonts w:ascii="宋体" w:hAnsi="宋体" w:eastAsia="宋体" w:cs="宋体"/>
          <w:sz w:val="24"/>
          <w:szCs w:val="24"/>
        </w:rPr>
        <w:t>发包人对不能满足各阶段工作目标的承包人</w:t>
      </w:r>
      <w:r>
        <w:rPr>
          <w:rFonts w:ascii="宋体" w:hAnsi="宋体" w:eastAsia="宋体" w:cs="宋体"/>
          <w:spacing w:val="-1"/>
          <w:sz w:val="24"/>
          <w:szCs w:val="24"/>
        </w:rPr>
        <w:t>实行强制退出本项目建设的办法。</w:t>
      </w:r>
    </w:p>
    <w:p w14:paraId="563F9CD2">
      <w:pPr>
        <w:spacing w:before="184" w:line="359" w:lineRule="auto"/>
        <w:ind w:left="8" w:firstLine="483"/>
        <w:rPr>
          <w:rFonts w:ascii="宋体" w:hAnsi="宋体" w:eastAsia="宋体" w:cs="宋体"/>
          <w:sz w:val="24"/>
          <w:szCs w:val="24"/>
        </w:rPr>
      </w:pPr>
      <w:r>
        <w:rPr>
          <w:rFonts w:ascii="宋体" w:hAnsi="宋体" w:eastAsia="宋体" w:cs="宋体"/>
          <w:spacing w:val="-2"/>
          <w:sz w:val="24"/>
          <w:szCs w:val="24"/>
        </w:rPr>
        <w:t>发包人将视承包人的实际施工能力情况，可将该标段内剩余工程的部分或全部进行特殊分包，强制部分或整体退出。由发包人在本项目选择履约情况好的承包人承接剩余</w:t>
      </w:r>
      <w:r>
        <w:rPr>
          <w:rFonts w:ascii="宋体" w:hAnsi="宋体" w:eastAsia="宋体" w:cs="宋体"/>
          <w:spacing w:val="-6"/>
          <w:sz w:val="24"/>
          <w:szCs w:val="24"/>
        </w:rPr>
        <w:t>工程或采用招标方式选择承包人。如承包人逾期不退场的，发包人有权</w:t>
      </w:r>
      <w:r>
        <w:rPr>
          <w:rFonts w:ascii="宋体" w:hAnsi="宋体" w:eastAsia="宋体" w:cs="宋体"/>
          <w:spacing w:val="-7"/>
          <w:sz w:val="24"/>
          <w:szCs w:val="24"/>
        </w:rPr>
        <w:t>委托第三方清理，</w:t>
      </w:r>
      <w:r>
        <w:rPr>
          <w:rFonts w:ascii="宋体" w:hAnsi="宋体" w:eastAsia="宋体" w:cs="宋体"/>
          <w:spacing w:val="-1"/>
          <w:sz w:val="24"/>
          <w:szCs w:val="24"/>
        </w:rPr>
        <w:t>所需费用由承包人承担。</w:t>
      </w:r>
    </w:p>
    <w:p w14:paraId="726328F8">
      <w:pPr>
        <w:spacing w:line="219" w:lineRule="auto"/>
        <w:ind w:left="491"/>
        <w:rPr>
          <w:rFonts w:ascii="宋体" w:hAnsi="宋体" w:eastAsia="宋体" w:cs="宋体"/>
          <w:sz w:val="24"/>
          <w:szCs w:val="24"/>
        </w:rPr>
      </w:pPr>
      <w:r>
        <w:rPr>
          <w:rFonts w:ascii="宋体" w:hAnsi="宋体" w:eastAsia="宋体" w:cs="宋体"/>
          <w:spacing w:val="-3"/>
          <w:sz w:val="24"/>
          <w:szCs w:val="24"/>
        </w:rPr>
        <w:t>25.4.6.1</w:t>
      </w:r>
      <w:r>
        <w:rPr>
          <w:rFonts w:ascii="宋体" w:hAnsi="宋体" w:eastAsia="宋体" w:cs="宋体"/>
          <w:spacing w:val="-38"/>
          <w:sz w:val="24"/>
          <w:szCs w:val="24"/>
        </w:rPr>
        <w:t xml:space="preserve"> </w:t>
      </w:r>
      <w:r>
        <w:rPr>
          <w:rFonts w:ascii="宋体" w:hAnsi="宋体" w:eastAsia="宋体" w:cs="宋体"/>
          <w:spacing w:val="-3"/>
          <w:sz w:val="24"/>
          <w:szCs w:val="24"/>
        </w:rPr>
        <w:t>部分退出</w:t>
      </w:r>
    </w:p>
    <w:p w14:paraId="1067B789">
      <w:pPr>
        <w:spacing w:before="183" w:line="359" w:lineRule="auto"/>
        <w:ind w:left="28" w:right="63" w:firstLine="471"/>
        <w:rPr>
          <w:rFonts w:ascii="宋体" w:hAnsi="宋体" w:eastAsia="宋体" w:cs="宋体"/>
          <w:sz w:val="24"/>
          <w:szCs w:val="24"/>
        </w:rPr>
      </w:pPr>
      <w:r>
        <w:rPr>
          <w:rFonts w:ascii="宋体" w:hAnsi="宋体" w:eastAsia="宋体" w:cs="宋体"/>
          <w:spacing w:val="1"/>
          <w:sz w:val="24"/>
          <w:szCs w:val="24"/>
        </w:rPr>
        <w:t>（1）人员退出：承包人的主要管理人员和技术骨干如不满足要求的，按合同条款</w:t>
      </w:r>
      <w:r>
        <w:rPr>
          <w:rFonts w:ascii="宋体" w:hAnsi="宋体" w:eastAsia="宋体" w:cs="宋体"/>
          <w:spacing w:val="-3"/>
          <w:sz w:val="24"/>
          <w:szCs w:val="24"/>
        </w:rPr>
        <w:t>的规定进行违约处理。</w:t>
      </w:r>
    </w:p>
    <w:p w14:paraId="009FC468">
      <w:pPr>
        <w:spacing w:before="1" w:line="359" w:lineRule="auto"/>
        <w:ind w:left="9" w:right="61" w:firstLine="490"/>
        <w:rPr>
          <w:rFonts w:ascii="宋体" w:hAnsi="宋体" w:eastAsia="宋体" w:cs="宋体"/>
          <w:sz w:val="24"/>
          <w:szCs w:val="24"/>
        </w:rPr>
      </w:pPr>
      <w:r>
        <w:rPr>
          <w:rFonts w:ascii="宋体" w:hAnsi="宋体" w:eastAsia="宋体" w:cs="宋体"/>
          <w:spacing w:val="-1"/>
          <w:sz w:val="24"/>
          <w:szCs w:val="24"/>
        </w:rPr>
        <w:t>（2）机械退出：机械设备达不到额定产能的 85</w:t>
      </w:r>
      <w:r>
        <w:rPr>
          <w:rFonts w:ascii="宋体" w:hAnsi="宋体" w:eastAsia="宋体" w:cs="宋体"/>
          <w:spacing w:val="-23"/>
          <w:sz w:val="24"/>
          <w:szCs w:val="24"/>
        </w:rPr>
        <w:t xml:space="preserve"> </w:t>
      </w:r>
      <w:r>
        <w:rPr>
          <w:rFonts w:ascii="宋体" w:hAnsi="宋体" w:eastAsia="宋体" w:cs="宋体"/>
          <w:spacing w:val="-1"/>
          <w:sz w:val="24"/>
          <w:szCs w:val="24"/>
        </w:rPr>
        <w:t>%</w:t>
      </w:r>
      <w:r>
        <w:rPr>
          <w:rFonts w:ascii="宋体" w:hAnsi="宋体" w:eastAsia="宋体" w:cs="宋体"/>
          <w:spacing w:val="-2"/>
          <w:sz w:val="24"/>
          <w:szCs w:val="24"/>
        </w:rPr>
        <w:t>者退出，并按监理人或发包人的</w:t>
      </w:r>
      <w:r>
        <w:rPr>
          <w:rFonts w:ascii="宋体" w:hAnsi="宋体" w:eastAsia="宋体" w:cs="宋体"/>
          <w:spacing w:val="-1"/>
          <w:sz w:val="24"/>
          <w:szCs w:val="24"/>
        </w:rPr>
        <w:t>要求及时组织性能良好的同类型的机械进驻施工现场。</w:t>
      </w:r>
    </w:p>
    <w:p w14:paraId="76A2FBA1">
      <w:pPr>
        <w:spacing w:line="219" w:lineRule="auto"/>
        <w:ind w:left="499"/>
        <w:rPr>
          <w:rFonts w:ascii="宋体" w:hAnsi="宋体" w:eastAsia="宋体" w:cs="宋体"/>
          <w:sz w:val="24"/>
          <w:szCs w:val="24"/>
        </w:rPr>
      </w:pPr>
      <w:r>
        <w:rPr>
          <w:rFonts w:ascii="宋体" w:hAnsi="宋体" w:eastAsia="宋体" w:cs="宋体"/>
          <w:spacing w:val="-1"/>
          <w:sz w:val="24"/>
          <w:szCs w:val="24"/>
        </w:rPr>
        <w:t>（3）专业队伍退出：在施工过程中累计发生两次较大质量问题者强制退出。</w:t>
      </w:r>
    </w:p>
    <w:p w14:paraId="7B76B2AD">
      <w:pPr>
        <w:spacing w:before="1" w:line="359" w:lineRule="auto"/>
        <w:ind w:left="9" w:right="61" w:firstLine="490"/>
        <w:rPr>
          <w:rFonts w:ascii="宋体" w:hAnsi="宋体" w:eastAsia="宋体" w:cs="宋体"/>
          <w:spacing w:val="-1"/>
          <w:sz w:val="24"/>
          <w:szCs w:val="24"/>
        </w:rPr>
      </w:pPr>
      <w:r>
        <w:rPr>
          <w:rFonts w:ascii="宋体" w:hAnsi="宋体" w:eastAsia="宋体" w:cs="宋体"/>
          <w:spacing w:val="-1"/>
          <w:sz w:val="24"/>
          <w:szCs w:val="24"/>
        </w:rPr>
        <w:t>（4）工程进度达不到上述要求，承包人增加人员、设备仍达不到进度要求的，发包人有权对相应分项工程进行强制分割处理。</w:t>
      </w:r>
    </w:p>
    <w:p w14:paraId="1CAED884">
      <w:pPr>
        <w:spacing w:before="1" w:line="359" w:lineRule="auto"/>
        <w:ind w:left="9" w:right="61" w:firstLine="490"/>
        <w:rPr>
          <w:rFonts w:ascii="宋体" w:hAnsi="宋体" w:eastAsia="宋体" w:cs="宋体"/>
          <w:spacing w:val="-1"/>
          <w:sz w:val="24"/>
          <w:szCs w:val="24"/>
        </w:rPr>
      </w:pPr>
      <w:r>
        <w:rPr>
          <w:rFonts w:ascii="宋体" w:hAnsi="宋体" w:eastAsia="宋体" w:cs="宋体"/>
          <w:spacing w:val="-1"/>
          <w:sz w:val="24"/>
          <w:szCs w:val="24"/>
        </w:rPr>
        <w:t>25.4.6.2 整体退出</w:t>
      </w:r>
    </w:p>
    <w:p w14:paraId="580FCD1C">
      <w:pPr>
        <w:spacing w:before="178" w:line="220" w:lineRule="auto"/>
        <w:ind w:left="499"/>
        <w:rPr>
          <w:rFonts w:ascii="宋体" w:hAnsi="宋体" w:eastAsia="宋体" w:cs="宋体"/>
          <w:sz w:val="24"/>
          <w:szCs w:val="24"/>
        </w:rPr>
      </w:pPr>
      <w:r>
        <w:rPr>
          <w:rFonts w:ascii="宋体" w:hAnsi="宋体" w:eastAsia="宋体" w:cs="宋体"/>
          <w:spacing w:val="-2"/>
          <w:sz w:val="24"/>
          <w:szCs w:val="24"/>
        </w:rPr>
        <w:t>（1）出现转包、非法分包；</w:t>
      </w:r>
    </w:p>
    <w:p w14:paraId="62D7D939">
      <w:pPr>
        <w:spacing w:before="181" w:line="219" w:lineRule="auto"/>
        <w:ind w:left="499"/>
        <w:rPr>
          <w:rFonts w:ascii="宋体" w:hAnsi="宋体" w:eastAsia="宋体" w:cs="宋体"/>
          <w:sz w:val="24"/>
          <w:szCs w:val="24"/>
        </w:rPr>
      </w:pPr>
      <w:r>
        <w:rPr>
          <w:rFonts w:ascii="宋体" w:hAnsi="宋体" w:eastAsia="宋体" w:cs="宋体"/>
          <w:spacing w:val="-1"/>
          <w:sz w:val="24"/>
          <w:szCs w:val="24"/>
        </w:rPr>
        <w:t>（2）出现重大安全责任，造成严重社会影响；</w:t>
      </w:r>
    </w:p>
    <w:p w14:paraId="0369EBB1">
      <w:pPr>
        <w:spacing w:before="180" w:line="219" w:lineRule="auto"/>
        <w:ind w:left="499"/>
        <w:rPr>
          <w:rFonts w:ascii="宋体" w:hAnsi="宋体" w:eastAsia="宋体" w:cs="宋体"/>
          <w:sz w:val="24"/>
          <w:szCs w:val="24"/>
        </w:rPr>
      </w:pPr>
      <w:r>
        <w:rPr>
          <w:rFonts w:ascii="宋体" w:hAnsi="宋体" w:eastAsia="宋体" w:cs="宋体"/>
          <w:spacing w:val="-1"/>
          <w:sz w:val="24"/>
          <w:szCs w:val="24"/>
        </w:rPr>
        <w:t>（3）出现重大质量事故，严重影响工程质量和进度，造成严重社会影响；</w:t>
      </w:r>
    </w:p>
    <w:p w14:paraId="70A0AF28">
      <w:pPr>
        <w:spacing w:before="185" w:line="219" w:lineRule="auto"/>
        <w:ind w:left="499"/>
        <w:rPr>
          <w:rFonts w:ascii="宋体" w:hAnsi="宋体" w:eastAsia="宋体" w:cs="宋体"/>
          <w:sz w:val="24"/>
          <w:szCs w:val="24"/>
        </w:rPr>
      </w:pPr>
      <w:r>
        <w:rPr>
          <w:rFonts w:ascii="宋体" w:hAnsi="宋体" w:eastAsia="宋体" w:cs="宋体"/>
          <w:spacing w:val="-1"/>
          <w:sz w:val="24"/>
          <w:szCs w:val="24"/>
        </w:rPr>
        <w:t>（4）由承包人自身原因导致使上述计划任务无法完成的；</w:t>
      </w:r>
    </w:p>
    <w:p w14:paraId="46CD6B05">
      <w:pPr>
        <w:spacing w:before="180" w:line="219" w:lineRule="auto"/>
        <w:ind w:left="489"/>
        <w:rPr>
          <w:rFonts w:ascii="宋体" w:hAnsi="宋体" w:eastAsia="宋体" w:cs="宋体"/>
          <w:sz w:val="24"/>
          <w:szCs w:val="24"/>
        </w:rPr>
      </w:pPr>
      <w:r>
        <w:rPr>
          <w:rFonts w:ascii="宋体" w:hAnsi="宋体" w:eastAsia="宋体" w:cs="宋体"/>
          <w:spacing w:val="-1"/>
          <w:sz w:val="24"/>
          <w:szCs w:val="24"/>
        </w:rPr>
        <w:t>整体退出的施工企业，发包人将建议交通主管部门降低其信用等级。</w:t>
      </w:r>
    </w:p>
    <w:p w14:paraId="6E28FE15">
      <w:pPr>
        <w:spacing w:before="184" w:line="219" w:lineRule="auto"/>
        <w:ind w:left="491"/>
        <w:rPr>
          <w:rFonts w:ascii="宋体" w:hAnsi="宋体" w:eastAsia="宋体" w:cs="宋体"/>
          <w:sz w:val="24"/>
          <w:szCs w:val="24"/>
        </w:rPr>
      </w:pPr>
      <w:r>
        <w:rPr>
          <w:rFonts w:ascii="宋体" w:hAnsi="宋体" w:eastAsia="宋体" w:cs="宋体"/>
          <w:spacing w:val="-2"/>
          <w:sz w:val="24"/>
          <w:szCs w:val="24"/>
        </w:rPr>
        <w:t>25.4.6.3</w:t>
      </w:r>
      <w:r>
        <w:rPr>
          <w:rFonts w:ascii="宋体" w:hAnsi="宋体" w:eastAsia="宋体" w:cs="宋体"/>
          <w:spacing w:val="-50"/>
          <w:sz w:val="24"/>
          <w:szCs w:val="24"/>
        </w:rPr>
        <w:t xml:space="preserve"> </w:t>
      </w:r>
      <w:r>
        <w:rPr>
          <w:rFonts w:ascii="宋体" w:hAnsi="宋体" w:eastAsia="宋体" w:cs="宋体"/>
          <w:spacing w:val="-2"/>
          <w:sz w:val="24"/>
          <w:szCs w:val="24"/>
        </w:rPr>
        <w:t>退出清算</w:t>
      </w:r>
    </w:p>
    <w:p w14:paraId="30966BD8">
      <w:pPr>
        <w:spacing w:before="180" w:line="359" w:lineRule="auto"/>
        <w:ind w:left="12" w:right="32" w:firstLine="487"/>
        <w:rPr>
          <w:rFonts w:ascii="宋体" w:hAnsi="宋体" w:eastAsia="宋体" w:cs="宋体"/>
          <w:sz w:val="24"/>
          <w:szCs w:val="24"/>
        </w:rPr>
      </w:pPr>
      <w:r>
        <w:rPr>
          <w:rFonts w:ascii="宋体" w:hAnsi="宋体" w:eastAsia="宋体" w:cs="宋体"/>
          <w:spacing w:val="1"/>
          <w:sz w:val="24"/>
          <w:szCs w:val="24"/>
        </w:rPr>
        <w:t>（1）发包人对承包人整体退出本项目工程建设进行公示，并要求承包人对拖欠款</w:t>
      </w:r>
      <w:r>
        <w:rPr>
          <w:rFonts w:ascii="宋体" w:hAnsi="宋体" w:eastAsia="宋体" w:cs="宋体"/>
          <w:spacing w:val="-2"/>
          <w:sz w:val="24"/>
          <w:szCs w:val="24"/>
        </w:rPr>
        <w:t>项的单位和个人及时清算。</w:t>
      </w:r>
    </w:p>
    <w:p w14:paraId="65B6465E">
      <w:pPr>
        <w:spacing w:before="1" w:line="219" w:lineRule="auto"/>
        <w:ind w:left="499"/>
        <w:rPr>
          <w:rFonts w:ascii="宋体" w:hAnsi="宋体" w:eastAsia="宋体" w:cs="宋体"/>
          <w:sz w:val="24"/>
          <w:szCs w:val="24"/>
        </w:rPr>
      </w:pPr>
      <w:r>
        <w:rPr>
          <w:rFonts w:ascii="宋体" w:hAnsi="宋体" w:eastAsia="宋体" w:cs="宋体"/>
          <w:spacing w:val="-1"/>
          <w:sz w:val="24"/>
          <w:szCs w:val="24"/>
        </w:rPr>
        <w:t>（2）发包人扣押履约保证金、质量保证金、停止计量支付。</w:t>
      </w:r>
    </w:p>
    <w:p w14:paraId="5F387CF8">
      <w:pPr>
        <w:spacing w:before="183" w:line="219" w:lineRule="auto"/>
        <w:ind w:left="499"/>
        <w:rPr>
          <w:rFonts w:ascii="宋体" w:hAnsi="宋体" w:eastAsia="宋体" w:cs="宋体"/>
          <w:sz w:val="24"/>
          <w:szCs w:val="24"/>
        </w:rPr>
      </w:pPr>
      <w:r>
        <w:rPr>
          <w:rFonts w:ascii="宋体" w:hAnsi="宋体" w:eastAsia="宋体" w:cs="宋体"/>
          <w:spacing w:val="-1"/>
          <w:sz w:val="24"/>
          <w:szCs w:val="24"/>
        </w:rPr>
        <w:t>（3）承包人必须向发包人提交已完成工程的齐全的施工资料。</w:t>
      </w:r>
    </w:p>
    <w:p w14:paraId="424D3729">
      <w:pPr>
        <w:spacing w:before="180" w:line="218" w:lineRule="auto"/>
        <w:ind w:left="499"/>
        <w:rPr>
          <w:rFonts w:ascii="宋体" w:hAnsi="宋体" w:eastAsia="宋体" w:cs="宋体"/>
          <w:sz w:val="24"/>
          <w:szCs w:val="24"/>
        </w:rPr>
      </w:pPr>
      <w:r>
        <w:rPr>
          <w:rFonts w:ascii="宋体" w:hAnsi="宋体" w:eastAsia="宋体" w:cs="宋体"/>
          <w:spacing w:val="-1"/>
          <w:sz w:val="24"/>
          <w:szCs w:val="24"/>
        </w:rPr>
        <w:t>（4）清算后特殊分包单位及分包价的确定原则：</w:t>
      </w:r>
    </w:p>
    <w:p w14:paraId="13AB771E">
      <w:pPr>
        <w:spacing w:before="185" w:line="219" w:lineRule="auto"/>
        <w:ind w:left="517"/>
        <w:rPr>
          <w:rFonts w:ascii="宋体" w:hAnsi="宋体" w:eastAsia="宋体" w:cs="宋体"/>
          <w:sz w:val="24"/>
          <w:szCs w:val="24"/>
        </w:rPr>
      </w:pPr>
      <w:r>
        <w:rPr>
          <w:rFonts w:ascii="宋体" w:hAnsi="宋体" w:eastAsia="宋体" w:cs="宋体"/>
          <w:spacing w:val="-1"/>
          <w:sz w:val="24"/>
          <w:szCs w:val="24"/>
        </w:rPr>
        <w:t>由发包人选择本项目实力较强、质量进度评比</w:t>
      </w:r>
      <w:r>
        <w:rPr>
          <w:rFonts w:ascii="宋体" w:hAnsi="宋体" w:eastAsia="宋体" w:cs="宋体"/>
          <w:spacing w:val="-2"/>
          <w:sz w:val="24"/>
          <w:szCs w:val="24"/>
        </w:rPr>
        <w:t>排名靠前的承包单位；</w:t>
      </w:r>
    </w:p>
    <w:p w14:paraId="3A045317">
      <w:pPr>
        <w:spacing w:before="183" w:line="218" w:lineRule="auto"/>
        <w:ind w:left="487"/>
        <w:rPr>
          <w:rFonts w:ascii="宋体" w:hAnsi="宋体" w:eastAsia="宋体" w:cs="宋体"/>
          <w:sz w:val="24"/>
          <w:szCs w:val="24"/>
        </w:rPr>
      </w:pPr>
      <w:r>
        <w:rPr>
          <w:rFonts w:ascii="宋体" w:hAnsi="宋体" w:eastAsia="宋体" w:cs="宋体"/>
          <w:sz w:val="24"/>
          <w:szCs w:val="24"/>
        </w:rPr>
        <w:t>对承包人进行询价，并将分包单位选择情况上</w:t>
      </w:r>
      <w:r>
        <w:rPr>
          <w:rFonts w:ascii="宋体" w:hAnsi="宋体" w:eastAsia="宋体" w:cs="宋体"/>
          <w:spacing w:val="-1"/>
          <w:sz w:val="24"/>
          <w:szCs w:val="24"/>
        </w:rPr>
        <w:t>报上级行政主管部门；</w:t>
      </w:r>
    </w:p>
    <w:p w14:paraId="4BDCA036">
      <w:pPr>
        <w:spacing w:before="183" w:line="219" w:lineRule="auto"/>
        <w:ind w:left="488"/>
        <w:rPr>
          <w:rFonts w:ascii="宋体" w:hAnsi="宋体" w:eastAsia="宋体" w:cs="宋体"/>
          <w:sz w:val="24"/>
          <w:szCs w:val="24"/>
        </w:rPr>
      </w:pPr>
      <w:r>
        <w:rPr>
          <w:rFonts w:ascii="宋体" w:hAnsi="宋体" w:eastAsia="宋体" w:cs="宋体"/>
          <w:spacing w:val="-1"/>
          <w:sz w:val="24"/>
          <w:szCs w:val="24"/>
        </w:rPr>
        <w:t>特殊分包单位应具备特殊分包工程相对应的资质要求。</w:t>
      </w:r>
    </w:p>
    <w:p w14:paraId="7AADB70A">
      <w:pPr>
        <w:spacing w:before="183" w:line="358" w:lineRule="auto"/>
        <w:ind w:left="8" w:right="31" w:firstLine="491"/>
        <w:rPr>
          <w:rFonts w:ascii="宋体" w:hAnsi="宋体" w:eastAsia="宋体" w:cs="宋体"/>
          <w:sz w:val="24"/>
          <w:szCs w:val="24"/>
        </w:rPr>
      </w:pPr>
      <w:r>
        <w:rPr>
          <w:rFonts w:ascii="宋体" w:hAnsi="宋体" w:eastAsia="宋体" w:cs="宋体"/>
          <w:spacing w:val="-2"/>
          <w:sz w:val="24"/>
          <w:szCs w:val="24"/>
        </w:rPr>
        <w:t>（5）清算后费用承担：特殊分包范围内的项目，由于上述（4）确定的分包价与承</w:t>
      </w:r>
      <w:r>
        <w:rPr>
          <w:rFonts w:ascii="宋体" w:hAnsi="宋体" w:eastAsia="宋体" w:cs="宋体"/>
          <w:spacing w:val="-1"/>
          <w:sz w:val="24"/>
          <w:szCs w:val="24"/>
        </w:rPr>
        <w:t>包人合同价产生的价差由承包人承担。</w:t>
      </w:r>
    </w:p>
    <w:p w14:paraId="3F500019">
      <w:pPr>
        <w:spacing w:before="1" w:line="219" w:lineRule="auto"/>
        <w:ind w:left="499"/>
        <w:rPr>
          <w:rFonts w:ascii="宋体" w:hAnsi="宋体" w:eastAsia="宋体" w:cs="宋体"/>
          <w:sz w:val="24"/>
          <w:szCs w:val="24"/>
        </w:rPr>
      </w:pPr>
      <w:r>
        <w:rPr>
          <w:rFonts w:ascii="宋体" w:hAnsi="宋体" w:eastAsia="宋体" w:cs="宋体"/>
          <w:spacing w:val="-1"/>
          <w:sz w:val="24"/>
          <w:szCs w:val="24"/>
        </w:rPr>
        <w:t>（6）承包人应无条件接受，指定特殊分包单位无须向承包人交纳管理费。</w:t>
      </w:r>
    </w:p>
    <w:p w14:paraId="17AB319A">
      <w:pPr>
        <w:spacing w:before="183" w:line="359" w:lineRule="auto"/>
        <w:ind w:left="8" w:firstLine="478"/>
        <w:rPr>
          <w:rFonts w:ascii="宋体" w:hAnsi="宋体" w:eastAsia="宋体" w:cs="宋体"/>
          <w:sz w:val="24"/>
          <w:szCs w:val="24"/>
        </w:rPr>
      </w:pPr>
      <w:r>
        <w:rPr>
          <w:rFonts w:ascii="宋体" w:hAnsi="宋体" w:eastAsia="宋体" w:cs="宋体"/>
          <w:spacing w:val="-1"/>
          <w:sz w:val="24"/>
          <w:szCs w:val="24"/>
        </w:rPr>
        <w:t>但无论如何，承包人应按发包人要求提供已有的临时设施（如便道、电力线路等）供特殊分包人使用，承包人不得为此要求增加任何费用。</w:t>
      </w:r>
    </w:p>
    <w:p w14:paraId="03004008">
      <w:pPr>
        <w:spacing w:line="219" w:lineRule="auto"/>
        <w:ind w:left="11"/>
        <w:rPr>
          <w:rFonts w:ascii="宋体" w:hAnsi="宋体" w:eastAsia="宋体" w:cs="宋体"/>
          <w:sz w:val="24"/>
          <w:szCs w:val="24"/>
        </w:rPr>
      </w:pPr>
      <w:r>
        <w:rPr>
          <w:rFonts w:ascii="宋体" w:hAnsi="宋体" w:eastAsia="宋体" w:cs="宋体"/>
          <w:spacing w:val="-2"/>
          <w:sz w:val="24"/>
          <w:szCs w:val="24"/>
        </w:rPr>
        <w:t>25.4.7 合同结算</w:t>
      </w:r>
    </w:p>
    <w:p w14:paraId="776DB066">
      <w:pPr>
        <w:spacing w:before="182" w:line="359" w:lineRule="auto"/>
        <w:ind w:left="10" w:right="31" w:firstLine="479"/>
        <w:jc w:val="both"/>
        <w:rPr>
          <w:rFonts w:ascii="宋体" w:hAnsi="宋体" w:eastAsia="宋体" w:cs="宋体"/>
          <w:sz w:val="24"/>
          <w:szCs w:val="24"/>
        </w:rPr>
      </w:pPr>
      <w:r>
        <w:rPr>
          <w:rFonts w:ascii="宋体" w:hAnsi="宋体" w:eastAsia="宋体" w:cs="宋体"/>
          <w:spacing w:val="-2"/>
          <w:sz w:val="24"/>
          <w:szCs w:val="24"/>
        </w:rPr>
        <w:t>本合同工程交工验收后，承包人应保障结算工作人员的配置和稳定，按广东省相关文件的具体要求完成结算工作，发包人可根据项目实际情况制定相应的奖罚措施。为了按期完成工程竣工决算审查、审计及竣工验收工作，如发包人和承包人对结算确实存在分歧，经双方协商未果情况下，发包人有权进行合同暂定结算，争议费用按合同条款第24</w:t>
      </w:r>
      <w:r>
        <w:rPr>
          <w:rFonts w:ascii="宋体" w:hAnsi="宋体" w:eastAsia="宋体" w:cs="宋体"/>
          <w:spacing w:val="-39"/>
          <w:sz w:val="24"/>
          <w:szCs w:val="24"/>
        </w:rPr>
        <w:t xml:space="preserve"> </w:t>
      </w:r>
      <w:r>
        <w:rPr>
          <w:rFonts w:ascii="宋体" w:hAnsi="宋体" w:eastAsia="宋体" w:cs="宋体"/>
          <w:spacing w:val="-2"/>
          <w:sz w:val="24"/>
          <w:szCs w:val="24"/>
        </w:rPr>
        <w:t>条款执行，承包人须无条件接受。</w:t>
      </w:r>
    </w:p>
    <w:p w14:paraId="4ECCF47E">
      <w:pPr>
        <w:spacing w:before="1" w:line="218" w:lineRule="auto"/>
        <w:ind w:left="11"/>
        <w:rPr>
          <w:rFonts w:ascii="宋体" w:hAnsi="宋体" w:eastAsia="宋体" w:cs="宋体"/>
          <w:sz w:val="24"/>
          <w:szCs w:val="24"/>
        </w:rPr>
      </w:pPr>
      <w:r>
        <w:rPr>
          <w:rFonts w:ascii="宋体" w:hAnsi="宋体" w:eastAsia="宋体" w:cs="宋体"/>
          <w:spacing w:val="-2"/>
          <w:sz w:val="24"/>
          <w:szCs w:val="24"/>
        </w:rPr>
        <w:t>25.4.8</w:t>
      </w:r>
      <w:r>
        <w:rPr>
          <w:rFonts w:ascii="宋体" w:hAnsi="宋体" w:eastAsia="宋体" w:cs="宋体"/>
          <w:spacing w:val="-48"/>
          <w:sz w:val="24"/>
          <w:szCs w:val="24"/>
        </w:rPr>
        <w:t xml:space="preserve"> </w:t>
      </w:r>
      <w:r>
        <w:rPr>
          <w:rFonts w:ascii="宋体" w:hAnsi="宋体" w:eastAsia="宋体" w:cs="宋体"/>
          <w:spacing w:val="-2"/>
          <w:sz w:val="24"/>
          <w:szCs w:val="24"/>
        </w:rPr>
        <w:t>本合同未尽事宜</w:t>
      </w:r>
    </w:p>
    <w:p w14:paraId="0CC94B8F">
      <w:pPr>
        <w:spacing w:before="312" w:line="360" w:lineRule="auto"/>
        <w:ind w:left="10" w:firstLine="481"/>
        <w:rPr>
          <w:rFonts w:ascii="宋体" w:hAnsi="宋体" w:eastAsia="宋体" w:cs="宋体"/>
          <w:sz w:val="24"/>
          <w:szCs w:val="24"/>
        </w:rPr>
      </w:pPr>
      <w:r>
        <w:rPr>
          <w:rFonts w:ascii="宋体" w:hAnsi="宋体" w:eastAsia="宋体" w:cs="宋体"/>
          <w:spacing w:val="-2"/>
          <w:sz w:val="24"/>
          <w:szCs w:val="24"/>
        </w:rPr>
        <w:t>本合同未能明确的有关规定，如质量管理、计划管理、计量与支付管理、台帐管理办法、变更管理、材料管理、安全管理、有关评比方案以及奖惩办法等，按发包人在项</w:t>
      </w:r>
      <w:r>
        <w:rPr>
          <w:rFonts w:ascii="宋体" w:hAnsi="宋体" w:eastAsia="宋体" w:cs="宋体"/>
          <w:sz w:val="24"/>
          <w:szCs w:val="24"/>
        </w:rPr>
        <w:t>目建设管理过程中颁发的项目管理手册或另行</w:t>
      </w:r>
      <w:r>
        <w:rPr>
          <w:rFonts w:ascii="宋体" w:hAnsi="宋体" w:eastAsia="宋体" w:cs="宋体"/>
          <w:spacing w:val="-1"/>
          <w:sz w:val="24"/>
          <w:szCs w:val="24"/>
        </w:rPr>
        <w:t>发布的相关管理办法执行。（如有）</w:t>
      </w:r>
      <w:r>
        <w:rPr>
          <w:rFonts w:ascii="宋体" w:hAnsi="宋体" w:eastAsia="宋体" w:cs="宋体"/>
          <w:spacing w:val="-2"/>
          <w:sz w:val="24"/>
          <w:szCs w:val="24"/>
        </w:rPr>
        <w:t>发包人对项目实施动态管理，根据工程进展情况及项目目标实现情况，通过修正专</w:t>
      </w:r>
      <w:r>
        <w:rPr>
          <w:rFonts w:ascii="宋体" w:hAnsi="宋体" w:eastAsia="宋体" w:cs="宋体"/>
          <w:spacing w:val="-6"/>
          <w:sz w:val="24"/>
          <w:szCs w:val="24"/>
        </w:rPr>
        <w:t>用项目管理制度，不断建设完善项目管理责任体系，承包人须积极配合并无条件的接受。</w:t>
      </w:r>
    </w:p>
    <w:p w14:paraId="1AE4B7B6">
      <w:pPr>
        <w:spacing w:before="173" w:line="99" w:lineRule="exact"/>
        <w:ind w:left="494"/>
        <w:rPr>
          <w:rFonts w:ascii="宋体" w:hAnsi="宋体" w:eastAsia="宋体" w:cs="宋体"/>
          <w:sz w:val="24"/>
          <w:szCs w:val="24"/>
        </w:rPr>
      </w:pPr>
      <w:r>
        <w:rPr>
          <w:rFonts w:ascii="宋体" w:hAnsi="宋体" w:eastAsia="宋体" w:cs="宋体"/>
          <w:position w:val="1"/>
          <w:sz w:val="24"/>
          <w:szCs w:val="24"/>
        </w:rPr>
        <w:t>......</w:t>
      </w:r>
    </w:p>
    <w:p w14:paraId="3A0264A5">
      <w:pPr>
        <w:rPr>
          <w:rFonts w:ascii="宋体" w:hAnsi="宋体" w:eastAsia="宋体" w:cs="宋体"/>
          <w:b/>
          <w:bCs/>
          <w:spacing w:val="4"/>
          <w:sz w:val="31"/>
          <w:szCs w:val="31"/>
        </w:rPr>
      </w:pPr>
      <w:r>
        <w:rPr>
          <w:rFonts w:ascii="宋体" w:hAnsi="宋体" w:eastAsia="宋体" w:cs="宋体"/>
          <w:b/>
          <w:bCs/>
          <w:spacing w:val="4"/>
          <w:sz w:val="31"/>
          <w:szCs w:val="31"/>
        </w:rPr>
        <w:br w:type="page"/>
      </w:r>
    </w:p>
    <w:p w14:paraId="35FBA4B2">
      <w:pPr>
        <w:numPr>
          <w:ilvl w:val="0"/>
          <w:numId w:val="8"/>
        </w:numPr>
        <w:spacing w:before="195" w:line="224" w:lineRule="auto"/>
        <w:ind w:left="3011"/>
        <w:rPr>
          <w:rFonts w:ascii="宋体" w:hAnsi="宋体" w:eastAsia="宋体" w:cs="宋体"/>
          <w:b/>
          <w:bCs/>
          <w:spacing w:val="4"/>
          <w:sz w:val="31"/>
          <w:szCs w:val="31"/>
        </w:rPr>
      </w:pPr>
      <w:r>
        <w:rPr>
          <w:rFonts w:ascii="宋体" w:hAnsi="宋体" w:eastAsia="宋体" w:cs="宋体"/>
          <w:b/>
          <w:bCs/>
          <w:spacing w:val="4"/>
          <w:sz w:val="31"/>
          <w:szCs w:val="31"/>
        </w:rPr>
        <w:t>合同附件格式</w:t>
      </w:r>
    </w:p>
    <w:p w14:paraId="219EACB3">
      <w:pPr>
        <w:spacing w:before="311" w:line="219" w:lineRule="auto"/>
        <w:ind w:left="27"/>
        <w:rPr>
          <w:rFonts w:ascii="宋体" w:hAnsi="宋体" w:eastAsia="宋体" w:cs="宋体"/>
          <w:b/>
          <w:bCs/>
          <w:spacing w:val="4"/>
          <w:sz w:val="31"/>
          <w:szCs w:val="31"/>
        </w:rPr>
      </w:pPr>
      <w:r>
        <w:rPr>
          <w:rFonts w:ascii="宋体" w:hAnsi="宋体" w:eastAsia="宋体" w:cs="宋体"/>
          <w:spacing w:val="-3"/>
          <w:sz w:val="24"/>
          <w:szCs w:val="24"/>
        </w:rPr>
        <w:t>附件一：合同协议书（格式）</w:t>
      </w:r>
    </w:p>
    <w:p w14:paraId="00DE7E40">
      <w:pPr>
        <w:spacing w:before="233" w:line="219" w:lineRule="auto"/>
        <w:ind w:left="27"/>
        <w:rPr>
          <w:rFonts w:ascii="宋体" w:hAnsi="宋体" w:eastAsia="宋体" w:cs="宋体"/>
          <w:sz w:val="24"/>
          <w:szCs w:val="24"/>
        </w:rPr>
      </w:pPr>
      <w:r>
        <w:rPr>
          <w:rFonts w:ascii="宋体" w:hAnsi="宋体" w:eastAsia="宋体" w:cs="宋体"/>
          <w:spacing w:val="-3"/>
          <w:sz w:val="24"/>
          <w:szCs w:val="24"/>
        </w:rPr>
        <w:t>附件二：廉政合同（格式）</w:t>
      </w:r>
    </w:p>
    <w:p w14:paraId="3E4E721D">
      <w:pPr>
        <w:spacing w:before="180" w:line="219" w:lineRule="auto"/>
        <w:ind w:left="27"/>
        <w:rPr>
          <w:rFonts w:ascii="宋体" w:hAnsi="宋体" w:eastAsia="宋体" w:cs="宋体"/>
          <w:sz w:val="24"/>
          <w:szCs w:val="24"/>
        </w:rPr>
      </w:pPr>
      <w:r>
        <w:rPr>
          <w:rFonts w:ascii="宋体" w:hAnsi="宋体" w:eastAsia="宋体" w:cs="宋体"/>
          <w:spacing w:val="-3"/>
          <w:sz w:val="24"/>
          <w:szCs w:val="24"/>
        </w:rPr>
        <w:t>附件三：安全生产合同（格式）</w:t>
      </w:r>
    </w:p>
    <w:p w14:paraId="71685501">
      <w:pPr>
        <w:spacing w:before="183" w:line="219" w:lineRule="auto"/>
        <w:ind w:left="27"/>
        <w:rPr>
          <w:rFonts w:ascii="宋体" w:hAnsi="宋体" w:eastAsia="宋体" w:cs="宋体"/>
          <w:sz w:val="24"/>
          <w:szCs w:val="24"/>
        </w:rPr>
      </w:pPr>
      <w:r>
        <w:rPr>
          <w:rFonts w:ascii="宋体" w:hAnsi="宋体" w:eastAsia="宋体" w:cs="宋体"/>
          <w:spacing w:val="-2"/>
          <w:sz w:val="24"/>
          <w:szCs w:val="24"/>
        </w:rPr>
        <w:t>附件四：其他管理人员和技术人员最低要求</w:t>
      </w:r>
    </w:p>
    <w:p w14:paraId="7B367AD1">
      <w:pPr>
        <w:spacing w:before="181" w:line="219" w:lineRule="auto"/>
        <w:ind w:left="27"/>
        <w:rPr>
          <w:rFonts w:ascii="宋体" w:hAnsi="宋体" w:eastAsia="宋体" w:cs="宋体"/>
          <w:sz w:val="24"/>
          <w:szCs w:val="24"/>
        </w:rPr>
      </w:pPr>
      <w:r>
        <w:rPr>
          <w:rFonts w:ascii="宋体" w:hAnsi="宋体" w:eastAsia="宋体" w:cs="宋体"/>
          <w:spacing w:val="-3"/>
          <w:sz w:val="24"/>
          <w:szCs w:val="24"/>
        </w:rPr>
        <w:t>附件五：主要设备最低要求</w:t>
      </w:r>
    </w:p>
    <w:p w14:paraId="02163BF7">
      <w:pPr>
        <w:spacing w:before="181" w:line="219" w:lineRule="auto"/>
        <w:ind w:left="27"/>
        <w:rPr>
          <w:rFonts w:ascii="宋体" w:hAnsi="宋体" w:eastAsia="宋体" w:cs="宋体"/>
          <w:sz w:val="24"/>
          <w:szCs w:val="24"/>
        </w:rPr>
      </w:pPr>
      <w:r>
        <w:rPr>
          <w:rFonts w:ascii="宋体" w:hAnsi="宋体" w:eastAsia="宋体" w:cs="宋体"/>
          <w:spacing w:val="-3"/>
          <w:sz w:val="24"/>
          <w:szCs w:val="24"/>
        </w:rPr>
        <w:t>附件六：履约保证金格式</w:t>
      </w:r>
    </w:p>
    <w:p w14:paraId="35A5E7BC">
      <w:pPr>
        <w:spacing w:before="183" w:line="219" w:lineRule="auto"/>
        <w:ind w:left="27"/>
        <w:rPr>
          <w:rFonts w:ascii="宋体" w:hAnsi="宋体" w:eastAsia="宋体" w:cs="宋体"/>
          <w:sz w:val="24"/>
          <w:szCs w:val="24"/>
        </w:rPr>
      </w:pPr>
      <w:r>
        <w:rPr>
          <w:rFonts w:ascii="宋体" w:hAnsi="宋体" w:eastAsia="宋体" w:cs="宋体"/>
          <w:spacing w:val="-3"/>
          <w:sz w:val="24"/>
          <w:szCs w:val="24"/>
        </w:rPr>
        <w:t>附件七：工程资金监管协议</w:t>
      </w:r>
    </w:p>
    <w:p w14:paraId="63BDB5E7">
      <w:pPr>
        <w:spacing w:before="184" w:line="360" w:lineRule="auto"/>
        <w:ind w:left="35" w:right="4747" w:hanging="8"/>
        <w:rPr>
          <w:rFonts w:ascii="宋体" w:hAnsi="宋体" w:eastAsia="宋体" w:cs="宋体"/>
          <w:sz w:val="24"/>
          <w:szCs w:val="24"/>
        </w:rPr>
      </w:pPr>
      <w:r>
        <w:rPr>
          <w:rFonts w:ascii="宋体" w:hAnsi="宋体" w:eastAsia="宋体" w:cs="宋体"/>
          <w:spacing w:val="-2"/>
          <w:sz w:val="24"/>
          <w:szCs w:val="24"/>
        </w:rPr>
        <w:t>附件八：建设工程农民工工资支付保证书</w:t>
      </w:r>
      <w:r>
        <w:rPr>
          <w:rFonts w:ascii="宋体" w:hAnsi="宋体" w:eastAsia="宋体" w:cs="宋体"/>
          <w:spacing w:val="-4"/>
          <w:sz w:val="24"/>
          <w:szCs w:val="24"/>
        </w:rPr>
        <w:t>以上格式参见如下附件。</w:t>
      </w:r>
    </w:p>
    <w:p w14:paraId="01DEBC53">
      <w:pPr>
        <w:spacing w:line="306" w:lineRule="auto"/>
        <w:rPr>
          <w:rFonts w:ascii="Arial"/>
          <w:sz w:val="21"/>
        </w:rPr>
      </w:pPr>
    </w:p>
    <w:p w14:paraId="58A48809">
      <w:pPr>
        <w:spacing w:before="78" w:line="219" w:lineRule="auto"/>
        <w:ind w:left="27"/>
        <w:rPr>
          <w:rFonts w:ascii="宋体" w:hAnsi="宋体" w:eastAsia="宋体" w:cs="宋体"/>
          <w:sz w:val="24"/>
          <w:szCs w:val="24"/>
        </w:rPr>
      </w:pPr>
      <w:r>
        <w:rPr>
          <w:rFonts w:ascii="宋体" w:hAnsi="宋体" w:eastAsia="宋体" w:cs="宋体"/>
          <w:spacing w:val="-3"/>
          <w:sz w:val="24"/>
          <w:szCs w:val="24"/>
        </w:rPr>
        <w:t>附件九：分包合同（示范文本）</w:t>
      </w:r>
    </w:p>
    <w:p w14:paraId="307A075F">
      <w:pPr>
        <w:spacing w:before="181" w:line="219" w:lineRule="auto"/>
        <w:ind w:left="27"/>
        <w:rPr>
          <w:rFonts w:ascii="宋体" w:hAnsi="宋体" w:eastAsia="宋体" w:cs="宋体"/>
          <w:sz w:val="24"/>
          <w:szCs w:val="24"/>
        </w:rPr>
      </w:pPr>
      <w:r>
        <w:rPr>
          <w:rFonts w:ascii="宋体" w:hAnsi="宋体" w:eastAsia="宋体" w:cs="宋体"/>
          <w:spacing w:val="-2"/>
          <w:sz w:val="24"/>
          <w:szCs w:val="24"/>
        </w:rPr>
        <w:t>附件十：劳务合作合同（示范文本）</w:t>
      </w:r>
    </w:p>
    <w:p w14:paraId="2D039452">
      <w:pPr>
        <w:spacing w:before="183" w:line="219" w:lineRule="auto"/>
        <w:ind w:left="27"/>
        <w:rPr>
          <w:rFonts w:ascii="宋体" w:hAnsi="宋体" w:eastAsia="宋体" w:cs="宋体"/>
          <w:sz w:val="24"/>
          <w:szCs w:val="24"/>
        </w:rPr>
      </w:pPr>
      <w:r>
        <w:rPr>
          <w:rFonts w:ascii="宋体" w:hAnsi="宋体" w:eastAsia="宋体" w:cs="宋体"/>
          <w:spacing w:val="-3"/>
          <w:sz w:val="24"/>
          <w:szCs w:val="24"/>
        </w:rPr>
        <w:t>附件十一：承包人违约金一览表</w:t>
      </w:r>
    </w:p>
    <w:p w14:paraId="3867EBB5">
      <w:pPr>
        <w:spacing w:before="183" w:line="219" w:lineRule="auto"/>
        <w:ind w:left="27"/>
        <w:rPr>
          <w:rFonts w:ascii="宋体" w:hAnsi="宋体" w:eastAsia="宋体" w:cs="宋体"/>
          <w:sz w:val="24"/>
          <w:szCs w:val="24"/>
        </w:rPr>
      </w:pPr>
      <w:r>
        <w:rPr>
          <w:rFonts w:ascii="宋体" w:hAnsi="宋体" w:eastAsia="宋体" w:cs="宋体"/>
          <w:spacing w:val="-2"/>
          <w:sz w:val="24"/>
          <w:szCs w:val="24"/>
        </w:rPr>
        <w:t>附件十二：统一采购供应材料一览表</w:t>
      </w:r>
    </w:p>
    <w:p w14:paraId="4BBA7324">
      <w:pPr>
        <w:spacing w:before="181" w:line="219" w:lineRule="auto"/>
        <w:ind w:left="27"/>
        <w:rPr>
          <w:rFonts w:ascii="宋体" w:hAnsi="宋体" w:eastAsia="宋体" w:cs="宋体"/>
          <w:sz w:val="24"/>
          <w:szCs w:val="24"/>
        </w:rPr>
      </w:pPr>
      <w:r>
        <w:rPr>
          <w:rFonts w:ascii="宋体" w:hAnsi="宋体" w:eastAsia="宋体" w:cs="宋体"/>
          <w:spacing w:val="-3"/>
          <w:sz w:val="24"/>
          <w:szCs w:val="24"/>
        </w:rPr>
        <w:t>附件十三：甲控乙购材料一览表</w:t>
      </w:r>
    </w:p>
    <w:p w14:paraId="44B988F8">
      <w:pPr>
        <w:spacing w:before="181" w:line="362" w:lineRule="auto"/>
        <w:ind w:left="11" w:firstLine="24"/>
        <w:rPr>
          <w:rFonts w:ascii="宋体" w:hAnsi="宋体" w:eastAsia="宋体" w:cs="宋体"/>
          <w:sz w:val="24"/>
          <w:szCs w:val="24"/>
        </w:rPr>
      </w:pPr>
      <w:r>
        <w:rPr>
          <w:rFonts w:ascii="宋体" w:hAnsi="宋体" w:eastAsia="宋体" w:cs="宋体"/>
          <w:spacing w:val="-2"/>
          <w:sz w:val="24"/>
          <w:szCs w:val="24"/>
        </w:rPr>
        <w:t>以上附件九、十的示范文本见广东省交通运输厅《广</w:t>
      </w:r>
      <w:r>
        <w:rPr>
          <w:rFonts w:ascii="宋体" w:hAnsi="宋体" w:eastAsia="宋体" w:cs="宋体"/>
          <w:spacing w:val="-3"/>
          <w:sz w:val="24"/>
          <w:szCs w:val="24"/>
        </w:rPr>
        <w:t>东省交通运输厅关于水运工程施工</w:t>
      </w:r>
      <w:r>
        <w:rPr>
          <w:rFonts w:ascii="宋体" w:hAnsi="宋体" w:eastAsia="宋体" w:cs="宋体"/>
          <w:spacing w:val="-1"/>
          <w:sz w:val="24"/>
          <w:szCs w:val="24"/>
        </w:rPr>
        <w:t>分包管理的办法》的附件，可参照执行。</w:t>
      </w:r>
    </w:p>
    <w:p w14:paraId="0E73D36C">
      <w:pPr>
        <w:spacing w:before="311" w:line="219" w:lineRule="auto"/>
        <w:ind w:left="27"/>
        <w:rPr>
          <w:rFonts w:ascii="宋体" w:hAnsi="宋体" w:eastAsia="宋体" w:cs="宋体"/>
          <w:sz w:val="24"/>
          <w:szCs w:val="24"/>
        </w:rPr>
      </w:pPr>
      <w:r>
        <w:rPr>
          <w:rFonts w:ascii="宋体" w:hAnsi="宋体" w:eastAsia="宋体" w:cs="宋体"/>
          <w:b/>
          <w:bCs/>
          <w:spacing w:val="-5"/>
          <w:sz w:val="24"/>
          <w:szCs w:val="24"/>
        </w:rPr>
        <w:br w:type="page"/>
      </w:r>
      <w:r>
        <w:rPr>
          <w:rFonts w:ascii="宋体" w:hAnsi="宋体" w:eastAsia="宋体" w:cs="宋体"/>
          <w:b/>
          <w:bCs/>
          <w:spacing w:val="-5"/>
          <w:sz w:val="24"/>
          <w:szCs w:val="24"/>
        </w:rPr>
        <w:t>附件一：合同协议书</w:t>
      </w:r>
    </w:p>
    <w:p w14:paraId="6AEC8CC1">
      <w:pPr>
        <w:spacing w:before="35" w:line="219" w:lineRule="auto"/>
        <w:ind w:left="3791"/>
        <w:rPr>
          <w:rFonts w:ascii="宋体" w:hAnsi="宋体" w:eastAsia="宋体" w:cs="宋体"/>
          <w:sz w:val="30"/>
          <w:szCs w:val="30"/>
        </w:rPr>
      </w:pPr>
      <w:r>
        <w:rPr>
          <w:rFonts w:ascii="宋体" w:hAnsi="宋体" w:eastAsia="宋体" w:cs="宋体"/>
          <w:b/>
          <w:bCs/>
          <w:spacing w:val="-5"/>
          <w:sz w:val="30"/>
          <w:szCs w:val="30"/>
        </w:rPr>
        <w:t>合同协议书</w:t>
      </w:r>
    </w:p>
    <w:p w14:paraId="61862B5E">
      <w:pPr>
        <w:spacing w:line="378" w:lineRule="auto"/>
        <w:rPr>
          <w:rFonts w:ascii="Arial"/>
          <w:sz w:val="21"/>
        </w:rPr>
      </w:pPr>
    </w:p>
    <w:p w14:paraId="5EDB0C68">
      <w:pPr>
        <w:spacing w:before="78" w:line="359" w:lineRule="auto"/>
        <w:ind w:left="10" w:right="181" w:firstLine="520"/>
        <w:jc w:val="both"/>
        <w:rPr>
          <w:rFonts w:ascii="宋体" w:hAnsi="宋体" w:eastAsia="宋体" w:cs="宋体"/>
          <w:sz w:val="24"/>
          <w:szCs w:val="24"/>
        </w:rPr>
      </w:pPr>
      <w:r>
        <w:rPr>
          <w:rFonts w:ascii="宋体" w:hAnsi="宋体" w:eastAsia="宋体" w:cs="宋体"/>
          <w:spacing w:val="-3"/>
          <w:sz w:val="24"/>
          <w:szCs w:val="24"/>
        </w:rPr>
        <w:t>(以下简称“发包人</w:t>
      </w:r>
      <w:r>
        <w:rPr>
          <w:rFonts w:ascii="宋体" w:hAnsi="宋体" w:eastAsia="宋体" w:cs="宋体"/>
          <w:spacing w:val="-87"/>
          <w:sz w:val="24"/>
          <w:szCs w:val="24"/>
        </w:rPr>
        <w:t xml:space="preserve"> </w:t>
      </w:r>
      <w:r>
        <w:rPr>
          <w:rFonts w:ascii="宋体" w:hAnsi="宋体" w:eastAsia="宋体" w:cs="宋体"/>
          <w:spacing w:val="-3"/>
          <w:sz w:val="24"/>
          <w:szCs w:val="24"/>
        </w:rPr>
        <w:t>”)为建设</w:t>
      </w:r>
      <w:r>
        <w:rPr>
          <w:rFonts w:ascii="宋体" w:hAnsi="宋体" w:eastAsia="宋体" w:cs="宋体"/>
          <w:spacing w:val="23"/>
          <w:sz w:val="24"/>
          <w:szCs w:val="24"/>
          <w:u w:val="single" w:color="auto"/>
        </w:rPr>
        <w:t xml:space="preserve">    </w:t>
      </w:r>
      <w:r>
        <w:rPr>
          <w:rFonts w:ascii="宋体" w:hAnsi="宋体" w:eastAsia="宋体" w:cs="宋体"/>
          <w:spacing w:val="-3"/>
          <w:sz w:val="24"/>
          <w:szCs w:val="24"/>
          <w:u w:val="single" w:color="auto"/>
        </w:rPr>
        <w:t>（项目名称</w:t>
      </w:r>
      <w:r>
        <w:rPr>
          <w:rFonts w:ascii="宋体" w:hAnsi="宋体" w:eastAsia="宋体" w:cs="宋体"/>
          <w:spacing w:val="-11"/>
          <w:sz w:val="24"/>
          <w:szCs w:val="24"/>
          <w:u w:val="single" w:color="auto"/>
        </w:rPr>
        <w:t>）</w:t>
      </w:r>
      <w:r>
        <w:rPr>
          <w:rFonts w:ascii="宋体" w:hAnsi="宋体" w:eastAsia="宋体" w:cs="宋体"/>
          <w:spacing w:val="23"/>
          <w:sz w:val="24"/>
          <w:szCs w:val="24"/>
          <w:u w:val="single" w:color="auto"/>
        </w:rPr>
        <w:t xml:space="preserve">    </w:t>
      </w:r>
      <w:r>
        <w:rPr>
          <w:rFonts w:ascii="宋体" w:hAnsi="宋体" w:eastAsia="宋体" w:cs="宋体"/>
          <w:spacing w:val="-88"/>
          <w:sz w:val="24"/>
          <w:szCs w:val="24"/>
        </w:rPr>
        <w:t xml:space="preserve"> </w:t>
      </w:r>
      <w:r>
        <w:rPr>
          <w:rFonts w:ascii="宋体" w:hAnsi="宋体" w:eastAsia="宋体" w:cs="宋体"/>
          <w:spacing w:val="-11"/>
          <w:sz w:val="24"/>
          <w:szCs w:val="24"/>
        </w:rPr>
        <w:t>，</w:t>
      </w:r>
      <w:r>
        <w:rPr>
          <w:rFonts w:ascii="宋体" w:hAnsi="宋体" w:eastAsia="宋体" w:cs="宋体"/>
          <w:spacing w:val="-3"/>
          <w:sz w:val="24"/>
          <w:szCs w:val="24"/>
        </w:rPr>
        <w:t>接受了（以下简称</w:t>
      </w:r>
      <w:r>
        <w:rPr>
          <w:rFonts w:ascii="宋体" w:hAnsi="宋体" w:eastAsia="宋体" w:cs="宋体"/>
          <w:spacing w:val="-4"/>
          <w:sz w:val="24"/>
          <w:szCs w:val="24"/>
        </w:rPr>
        <w:t>“承包</w:t>
      </w:r>
      <w:r>
        <w:rPr>
          <w:rFonts w:ascii="宋体" w:hAnsi="宋体" w:eastAsia="宋体" w:cs="宋体"/>
          <w:spacing w:val="-3"/>
          <w:sz w:val="24"/>
          <w:szCs w:val="24"/>
        </w:rPr>
        <w:t>人</w:t>
      </w:r>
      <w:r>
        <w:rPr>
          <w:rFonts w:ascii="宋体" w:hAnsi="宋体" w:eastAsia="宋体" w:cs="宋体"/>
          <w:spacing w:val="-72"/>
          <w:sz w:val="24"/>
          <w:szCs w:val="24"/>
        </w:rPr>
        <w:t xml:space="preserve"> </w:t>
      </w:r>
      <w:r>
        <w:rPr>
          <w:rFonts w:ascii="宋体" w:hAnsi="宋体" w:eastAsia="宋体" w:cs="宋体"/>
          <w:spacing w:val="-3"/>
          <w:sz w:val="24"/>
          <w:szCs w:val="24"/>
        </w:rPr>
        <w:t>”）对本项目合同工程的投标，为明确双方的责任、权利及义务，经双方协商签订如下协议：</w:t>
      </w:r>
    </w:p>
    <w:p w14:paraId="0BBD1060">
      <w:pPr>
        <w:spacing w:line="218" w:lineRule="auto"/>
        <w:ind w:left="506"/>
        <w:rPr>
          <w:rFonts w:ascii="宋体" w:hAnsi="宋体" w:eastAsia="宋体" w:cs="宋体"/>
          <w:sz w:val="24"/>
          <w:szCs w:val="24"/>
        </w:rPr>
      </w:pPr>
      <w:r>
        <w:rPr>
          <w:rFonts w:ascii="宋体" w:hAnsi="宋体" w:eastAsia="宋体" w:cs="宋体"/>
          <w:spacing w:val="-1"/>
          <w:sz w:val="24"/>
          <w:szCs w:val="24"/>
        </w:rPr>
        <w:t>1.本协议书中的名词和用语均与下文提到的合同条款中规定的含义相同。</w:t>
      </w:r>
    </w:p>
    <w:p w14:paraId="27899D20">
      <w:pPr>
        <w:spacing w:before="184" w:line="359" w:lineRule="auto"/>
        <w:ind w:left="10" w:right="248" w:firstLine="480"/>
        <w:rPr>
          <w:rFonts w:ascii="宋体" w:hAnsi="宋体" w:eastAsia="宋体" w:cs="宋体"/>
          <w:sz w:val="24"/>
          <w:szCs w:val="24"/>
        </w:rPr>
      </w:pPr>
      <w:r>
        <w:rPr>
          <w:rFonts w:ascii="宋体" w:hAnsi="宋体" w:eastAsia="宋体" w:cs="宋体"/>
          <w:sz w:val="24"/>
          <w:szCs w:val="24"/>
        </w:rPr>
        <w:t>2. 合同文件：合同文件互相解释、互为说明，除</w:t>
      </w:r>
      <w:r>
        <w:rPr>
          <w:rFonts w:ascii="宋体" w:hAnsi="宋体" w:eastAsia="宋体" w:cs="宋体"/>
          <w:spacing w:val="-1"/>
          <w:sz w:val="24"/>
          <w:szCs w:val="24"/>
        </w:rPr>
        <w:t>合同专用条款另有约定外，其组</w:t>
      </w:r>
      <w:r>
        <w:rPr>
          <w:rFonts w:ascii="宋体" w:hAnsi="宋体" w:eastAsia="宋体" w:cs="宋体"/>
          <w:spacing w:val="-2"/>
          <w:sz w:val="24"/>
          <w:szCs w:val="24"/>
        </w:rPr>
        <w:t>成和解释次序如下：</w:t>
      </w:r>
    </w:p>
    <w:p w14:paraId="20C33843">
      <w:pPr>
        <w:spacing w:before="3" w:line="358" w:lineRule="auto"/>
        <w:ind w:left="493" w:right="183" w:firstLine="8"/>
        <w:rPr>
          <w:rFonts w:ascii="宋体" w:hAnsi="宋体" w:eastAsia="宋体" w:cs="宋体"/>
          <w:sz w:val="24"/>
          <w:szCs w:val="24"/>
        </w:rPr>
      </w:pPr>
      <w:r>
        <w:rPr>
          <w:rFonts w:ascii="宋体" w:hAnsi="宋体" w:eastAsia="宋体" w:cs="宋体"/>
          <w:spacing w:val="-1"/>
          <w:sz w:val="24"/>
          <w:szCs w:val="24"/>
        </w:rPr>
        <w:t>（1）合同协议书及各种合同附件（包括廉政合同、安全生产合同、建设工程农民</w:t>
      </w:r>
      <w:r>
        <w:rPr>
          <w:rFonts w:ascii="宋体" w:hAnsi="宋体" w:eastAsia="宋体" w:cs="宋体"/>
          <w:spacing w:val="-2"/>
          <w:sz w:val="24"/>
          <w:szCs w:val="24"/>
        </w:rPr>
        <w:t>工工资支付保证书、工程资金监管协议、评标期间的澄清文件和补充资料、以及合</w:t>
      </w:r>
      <w:r>
        <w:rPr>
          <w:rFonts w:ascii="宋体" w:hAnsi="宋体" w:eastAsia="宋体" w:cs="宋体"/>
          <w:spacing w:val="-1"/>
          <w:sz w:val="24"/>
          <w:szCs w:val="24"/>
        </w:rPr>
        <w:t>同谈判过程中双方签署的相关文件或纪要</w:t>
      </w:r>
      <w:r>
        <w:rPr>
          <w:rFonts w:ascii="宋体" w:hAnsi="宋体" w:eastAsia="宋体" w:cs="宋体"/>
          <w:spacing w:val="2"/>
          <w:sz w:val="24"/>
          <w:szCs w:val="24"/>
        </w:rPr>
        <w:t>）；</w:t>
      </w:r>
    </w:p>
    <w:p w14:paraId="5AEE541F">
      <w:pPr>
        <w:spacing w:before="1" w:line="218" w:lineRule="auto"/>
        <w:ind w:left="502"/>
        <w:rPr>
          <w:rFonts w:ascii="宋体" w:hAnsi="宋体" w:eastAsia="宋体" w:cs="宋体"/>
          <w:sz w:val="24"/>
          <w:szCs w:val="24"/>
        </w:rPr>
      </w:pPr>
      <w:r>
        <w:rPr>
          <w:rFonts w:ascii="宋体" w:hAnsi="宋体" w:eastAsia="宋体" w:cs="宋体"/>
          <w:spacing w:val="-3"/>
          <w:sz w:val="24"/>
          <w:szCs w:val="24"/>
        </w:rPr>
        <w:t>（2）中标通知书；</w:t>
      </w:r>
    </w:p>
    <w:p w14:paraId="46BFA04B">
      <w:pPr>
        <w:spacing w:before="183" w:line="219" w:lineRule="auto"/>
        <w:ind w:left="502"/>
        <w:rPr>
          <w:rFonts w:ascii="宋体" w:hAnsi="宋体" w:eastAsia="宋体" w:cs="宋体"/>
          <w:sz w:val="24"/>
          <w:szCs w:val="24"/>
        </w:rPr>
      </w:pPr>
      <w:r>
        <w:rPr>
          <w:rFonts w:ascii="宋体" w:hAnsi="宋体" w:eastAsia="宋体" w:cs="宋体"/>
          <w:spacing w:val="-2"/>
          <w:sz w:val="24"/>
          <w:szCs w:val="24"/>
        </w:rPr>
        <w:t>（3）投标函及投标函附录；</w:t>
      </w:r>
    </w:p>
    <w:p w14:paraId="6B962DC1">
      <w:pPr>
        <w:spacing w:before="182" w:line="219" w:lineRule="auto"/>
        <w:ind w:left="502"/>
        <w:rPr>
          <w:rFonts w:ascii="宋体" w:hAnsi="宋体" w:eastAsia="宋体" w:cs="宋体"/>
          <w:sz w:val="24"/>
          <w:szCs w:val="24"/>
        </w:rPr>
      </w:pPr>
      <w:r>
        <w:rPr>
          <w:rFonts w:ascii="宋体" w:hAnsi="宋体" w:eastAsia="宋体" w:cs="宋体"/>
          <w:spacing w:val="-3"/>
          <w:sz w:val="24"/>
          <w:szCs w:val="24"/>
        </w:rPr>
        <w:t>（4）专用合同条款；</w:t>
      </w:r>
    </w:p>
    <w:p w14:paraId="4FB42AF9">
      <w:pPr>
        <w:spacing w:before="183" w:line="219" w:lineRule="auto"/>
        <w:ind w:left="502"/>
        <w:rPr>
          <w:rFonts w:ascii="宋体" w:hAnsi="宋体" w:eastAsia="宋体" w:cs="宋体"/>
          <w:sz w:val="24"/>
          <w:szCs w:val="24"/>
        </w:rPr>
      </w:pPr>
      <w:r>
        <w:rPr>
          <w:rFonts w:ascii="宋体" w:hAnsi="宋体" w:eastAsia="宋体" w:cs="宋体"/>
          <w:spacing w:val="-3"/>
          <w:sz w:val="24"/>
          <w:szCs w:val="24"/>
        </w:rPr>
        <w:t>（5）通用合同条款；</w:t>
      </w:r>
    </w:p>
    <w:p w14:paraId="144FDD92">
      <w:pPr>
        <w:spacing w:before="181" w:line="219" w:lineRule="auto"/>
        <w:ind w:left="502"/>
        <w:rPr>
          <w:rFonts w:ascii="宋体" w:hAnsi="宋体" w:eastAsia="宋体" w:cs="宋体"/>
          <w:sz w:val="24"/>
          <w:szCs w:val="24"/>
        </w:rPr>
      </w:pPr>
      <w:r>
        <w:rPr>
          <w:rFonts w:ascii="宋体" w:hAnsi="宋体" w:eastAsia="宋体" w:cs="宋体"/>
          <w:spacing w:val="-2"/>
          <w:sz w:val="24"/>
          <w:szCs w:val="24"/>
        </w:rPr>
        <w:t>（6）技术标准和要求；</w:t>
      </w:r>
    </w:p>
    <w:p w14:paraId="3AD21F1B">
      <w:pPr>
        <w:spacing w:before="182" w:line="221" w:lineRule="auto"/>
        <w:ind w:left="502"/>
        <w:rPr>
          <w:rFonts w:ascii="宋体" w:hAnsi="宋体" w:eastAsia="宋体" w:cs="宋体"/>
          <w:sz w:val="24"/>
          <w:szCs w:val="24"/>
        </w:rPr>
      </w:pPr>
      <w:r>
        <w:rPr>
          <w:rFonts w:ascii="宋体" w:hAnsi="宋体" w:eastAsia="宋体" w:cs="宋体"/>
          <w:spacing w:val="-4"/>
          <w:sz w:val="24"/>
          <w:szCs w:val="24"/>
        </w:rPr>
        <w:t>（7）图纸；</w:t>
      </w:r>
    </w:p>
    <w:p w14:paraId="560A629B">
      <w:pPr>
        <w:spacing w:before="179" w:line="218" w:lineRule="auto"/>
        <w:ind w:left="502"/>
        <w:rPr>
          <w:rFonts w:ascii="宋体" w:hAnsi="宋体" w:eastAsia="宋体" w:cs="宋体"/>
          <w:sz w:val="24"/>
          <w:szCs w:val="24"/>
        </w:rPr>
      </w:pPr>
      <w:r>
        <w:rPr>
          <w:rFonts w:ascii="宋体" w:hAnsi="宋体" w:eastAsia="宋体" w:cs="宋体"/>
          <w:spacing w:val="-2"/>
          <w:sz w:val="24"/>
          <w:szCs w:val="24"/>
        </w:rPr>
        <w:t>（8）已标价工程量清单；</w:t>
      </w:r>
    </w:p>
    <w:p w14:paraId="4CF5822F">
      <w:pPr>
        <w:spacing w:before="185" w:line="219" w:lineRule="auto"/>
        <w:ind w:left="499"/>
        <w:rPr>
          <w:rFonts w:ascii="宋体" w:hAnsi="宋体" w:eastAsia="宋体" w:cs="宋体"/>
          <w:sz w:val="24"/>
          <w:szCs w:val="24"/>
        </w:rPr>
      </w:pPr>
      <w:r>
        <w:rPr>
          <w:rFonts w:ascii="宋体" w:hAnsi="宋体" w:eastAsia="宋体" w:cs="宋体"/>
          <w:spacing w:val="-3"/>
          <w:sz w:val="24"/>
          <w:szCs w:val="24"/>
        </w:rPr>
        <w:t>（9）其他合同文件。</w:t>
      </w:r>
    </w:p>
    <w:p w14:paraId="258C02C1">
      <w:pPr>
        <w:spacing w:before="181" w:line="360" w:lineRule="auto"/>
        <w:ind w:left="15" w:right="181" w:firstLine="487"/>
        <w:rPr>
          <w:rFonts w:ascii="宋体" w:hAnsi="宋体" w:eastAsia="宋体" w:cs="宋体"/>
          <w:sz w:val="24"/>
          <w:szCs w:val="24"/>
        </w:rPr>
      </w:pPr>
      <w:r>
        <w:rPr>
          <w:rFonts w:ascii="宋体" w:hAnsi="宋体" w:eastAsia="宋体" w:cs="宋体"/>
          <w:spacing w:val="-2"/>
          <w:sz w:val="24"/>
          <w:szCs w:val="24"/>
        </w:rPr>
        <w:t>当合同文件出现含糊不清或不一致时，在不影响工程进度的情况下</w:t>
      </w:r>
      <w:r>
        <w:rPr>
          <w:rFonts w:ascii="宋体" w:hAnsi="宋体" w:eastAsia="宋体" w:cs="宋体"/>
          <w:spacing w:val="-3"/>
          <w:sz w:val="24"/>
          <w:szCs w:val="24"/>
        </w:rPr>
        <w:t>，由双方协商解</w:t>
      </w:r>
      <w:r>
        <w:rPr>
          <w:rFonts w:ascii="宋体" w:hAnsi="宋体" w:eastAsia="宋体" w:cs="宋体"/>
          <w:spacing w:val="-1"/>
          <w:sz w:val="24"/>
          <w:szCs w:val="24"/>
        </w:rPr>
        <w:t>决；若双方意见不能统一，则按本合同专用条款第</w:t>
      </w:r>
      <w:r>
        <w:rPr>
          <w:rFonts w:ascii="宋体" w:hAnsi="宋体" w:eastAsia="宋体" w:cs="宋体"/>
          <w:spacing w:val="-48"/>
          <w:sz w:val="24"/>
          <w:szCs w:val="24"/>
        </w:rPr>
        <w:t xml:space="preserve"> </w:t>
      </w:r>
      <w:r>
        <w:rPr>
          <w:rFonts w:ascii="宋体" w:hAnsi="宋体" w:eastAsia="宋体" w:cs="宋体"/>
          <w:spacing w:val="-1"/>
          <w:sz w:val="24"/>
          <w:szCs w:val="24"/>
        </w:rPr>
        <w:t>24</w:t>
      </w:r>
      <w:r>
        <w:rPr>
          <w:rFonts w:ascii="宋体" w:hAnsi="宋体" w:eastAsia="宋体" w:cs="宋体"/>
          <w:spacing w:val="-48"/>
          <w:sz w:val="24"/>
          <w:szCs w:val="24"/>
        </w:rPr>
        <w:t xml:space="preserve"> </w:t>
      </w:r>
      <w:r>
        <w:rPr>
          <w:rFonts w:ascii="宋体" w:hAnsi="宋体" w:eastAsia="宋体" w:cs="宋体"/>
          <w:spacing w:val="-1"/>
          <w:sz w:val="24"/>
          <w:szCs w:val="24"/>
        </w:rPr>
        <w:t>条中</w:t>
      </w:r>
      <w:r>
        <w:rPr>
          <w:rFonts w:ascii="宋体" w:hAnsi="宋体" w:eastAsia="宋体" w:cs="宋体"/>
          <w:spacing w:val="-2"/>
          <w:sz w:val="24"/>
          <w:szCs w:val="24"/>
        </w:rPr>
        <w:t>约定的办法处理。</w:t>
      </w:r>
    </w:p>
    <w:p w14:paraId="5C423C29">
      <w:pPr>
        <w:spacing w:line="359" w:lineRule="auto"/>
        <w:ind w:left="7" w:right="181" w:firstLine="485"/>
        <w:rPr>
          <w:rFonts w:ascii="宋体" w:hAnsi="宋体" w:eastAsia="宋体" w:cs="宋体"/>
          <w:sz w:val="24"/>
          <w:szCs w:val="24"/>
        </w:rPr>
      </w:pPr>
      <w:r>
        <w:rPr>
          <w:rFonts w:ascii="宋体" w:hAnsi="宋体" w:eastAsia="宋体" w:cs="宋体"/>
          <w:spacing w:val="-1"/>
          <w:sz w:val="24"/>
          <w:szCs w:val="24"/>
        </w:rPr>
        <w:t>3. 本合同签约合同价</w:t>
      </w:r>
      <w:r>
        <w:rPr>
          <w:rFonts w:ascii="宋体" w:hAnsi="宋体" w:eastAsia="宋体" w:cs="宋体"/>
          <w:spacing w:val="21"/>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1"/>
          <w:sz w:val="24"/>
          <w:szCs w:val="24"/>
        </w:rPr>
        <w:t>元（大写人民币</w:t>
      </w:r>
      <w:r>
        <w:rPr>
          <w:rFonts w:ascii="宋体" w:hAnsi="宋体" w:eastAsia="宋体" w:cs="宋体"/>
          <w:spacing w:val="-11"/>
          <w:sz w:val="24"/>
          <w:szCs w:val="24"/>
        </w:rPr>
        <w:t>：</w:t>
      </w:r>
      <w:r>
        <w:rPr>
          <w:rFonts w:ascii="宋体" w:hAnsi="宋体" w:eastAsia="宋体" w:cs="宋体"/>
          <w:spacing w:val="50"/>
          <w:sz w:val="24"/>
          <w:szCs w:val="24"/>
          <w:u w:val="single" w:color="auto"/>
        </w:rPr>
        <w:t xml:space="preserve">  </w:t>
      </w:r>
      <w:r>
        <w:rPr>
          <w:rFonts w:ascii="宋体" w:hAnsi="宋体" w:eastAsia="宋体" w:cs="宋体"/>
          <w:spacing w:val="-84"/>
          <w:sz w:val="24"/>
          <w:szCs w:val="24"/>
        </w:rPr>
        <w:t xml:space="preserve"> </w:t>
      </w:r>
      <w:r>
        <w:rPr>
          <w:rFonts w:ascii="宋体" w:hAnsi="宋体" w:eastAsia="宋体" w:cs="宋体"/>
          <w:spacing w:val="-11"/>
          <w:sz w:val="24"/>
          <w:szCs w:val="24"/>
        </w:rPr>
        <w:t>）</w:t>
      </w:r>
      <w:r>
        <w:rPr>
          <w:rFonts w:ascii="宋体" w:hAnsi="宋体" w:eastAsia="宋体" w:cs="宋体"/>
          <w:spacing w:val="-1"/>
          <w:sz w:val="24"/>
          <w:szCs w:val="24"/>
        </w:rPr>
        <w:t>,合同固定单</w:t>
      </w:r>
      <w:r>
        <w:rPr>
          <w:rFonts w:ascii="宋体" w:hAnsi="宋体" w:eastAsia="宋体" w:cs="宋体"/>
          <w:spacing w:val="-2"/>
          <w:sz w:val="24"/>
          <w:szCs w:val="24"/>
        </w:rPr>
        <w:t>价详见已标价的工程量清单。</w:t>
      </w:r>
    </w:p>
    <w:p w14:paraId="7E55FF44">
      <w:pPr>
        <w:spacing w:before="1" w:line="218" w:lineRule="auto"/>
        <w:ind w:left="487"/>
        <w:rPr>
          <w:rFonts w:ascii="宋体" w:hAnsi="宋体" w:eastAsia="宋体" w:cs="宋体"/>
          <w:sz w:val="24"/>
          <w:szCs w:val="24"/>
        </w:rPr>
      </w:pPr>
      <w:r>
        <w:rPr>
          <w:rFonts w:ascii="宋体" w:hAnsi="宋体" w:eastAsia="宋体" w:cs="宋体"/>
          <w:spacing w:val="-1"/>
          <w:sz w:val="24"/>
          <w:szCs w:val="24"/>
        </w:rPr>
        <w:t>4. 计划施工工期：</w:t>
      </w:r>
      <w:r>
        <w:rPr>
          <w:rFonts w:ascii="宋体" w:hAnsi="宋体" w:eastAsia="宋体" w:cs="宋体"/>
          <w:spacing w:val="-1"/>
          <w:sz w:val="24"/>
          <w:szCs w:val="24"/>
          <w:u w:val="single" w:color="auto"/>
        </w:rPr>
        <w:t xml:space="preserve">    </w:t>
      </w:r>
      <w:r>
        <w:rPr>
          <w:rFonts w:ascii="宋体" w:hAnsi="宋体" w:eastAsia="宋体" w:cs="宋体"/>
          <w:spacing w:val="-95"/>
          <w:sz w:val="24"/>
          <w:szCs w:val="24"/>
        </w:rPr>
        <w:t xml:space="preserve"> </w:t>
      </w:r>
      <w:r>
        <w:rPr>
          <w:rFonts w:ascii="宋体" w:hAnsi="宋体" w:eastAsia="宋体" w:cs="宋体"/>
          <w:spacing w:val="-1"/>
          <w:sz w:val="24"/>
          <w:szCs w:val="24"/>
        </w:rPr>
        <w:t>天，从监理工程师签发开工令的日期开始起算。</w:t>
      </w:r>
    </w:p>
    <w:p w14:paraId="63AB9CBA">
      <w:pPr>
        <w:spacing w:before="181" w:line="220" w:lineRule="auto"/>
        <w:ind w:left="493"/>
        <w:rPr>
          <w:rFonts w:ascii="宋体" w:hAnsi="宋体" w:eastAsia="宋体" w:cs="宋体"/>
          <w:sz w:val="24"/>
          <w:szCs w:val="24"/>
        </w:rPr>
      </w:pPr>
      <w:r>
        <w:rPr>
          <w:rFonts w:ascii="宋体" w:hAnsi="宋体" w:eastAsia="宋体" w:cs="宋体"/>
          <w:spacing w:val="-1"/>
          <w:sz w:val="24"/>
          <w:szCs w:val="24"/>
        </w:rPr>
        <w:t>5. 施工地点及范围为：</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36E451FB">
      <w:pPr>
        <w:spacing w:before="180" w:line="219" w:lineRule="auto"/>
        <w:ind w:left="490"/>
        <w:rPr>
          <w:rFonts w:ascii="宋体" w:hAnsi="宋体" w:eastAsia="宋体" w:cs="宋体"/>
          <w:sz w:val="24"/>
          <w:szCs w:val="24"/>
        </w:rPr>
      </w:pPr>
      <w:r>
        <w:rPr>
          <w:rFonts w:ascii="宋体" w:hAnsi="宋体" w:eastAsia="宋体" w:cs="宋体"/>
          <w:spacing w:val="-1"/>
          <w:sz w:val="24"/>
          <w:szCs w:val="24"/>
        </w:rPr>
        <w:t>6. 施工内容为：</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w:t>
      </w:r>
    </w:p>
    <w:p w14:paraId="386DD0E4">
      <w:pPr>
        <w:spacing w:before="183" w:line="219" w:lineRule="auto"/>
        <w:ind w:left="494"/>
        <w:rPr>
          <w:rFonts w:ascii="宋体" w:hAnsi="宋体" w:eastAsia="宋体" w:cs="宋体"/>
          <w:sz w:val="24"/>
          <w:szCs w:val="24"/>
        </w:rPr>
      </w:pPr>
      <w:r>
        <w:rPr>
          <w:rFonts w:ascii="宋体" w:hAnsi="宋体" w:eastAsia="宋体" w:cs="宋体"/>
          <w:spacing w:val="-1"/>
          <w:sz w:val="24"/>
          <w:szCs w:val="24"/>
        </w:rPr>
        <w:t>7. 竣工验收标准：</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60516F97">
      <w:pPr>
        <w:spacing w:before="183" w:line="360" w:lineRule="auto"/>
        <w:ind w:left="10" w:firstLine="479"/>
        <w:rPr>
          <w:rFonts w:ascii="宋体" w:hAnsi="宋体" w:eastAsia="宋体" w:cs="宋体"/>
          <w:sz w:val="24"/>
          <w:szCs w:val="24"/>
        </w:rPr>
      </w:pPr>
      <w:r>
        <w:rPr>
          <w:rFonts w:ascii="宋体" w:hAnsi="宋体" w:eastAsia="宋体" w:cs="宋体"/>
          <w:sz w:val="24"/>
          <w:szCs w:val="24"/>
        </w:rPr>
        <w:t>8. 双方在此立约：保证按照本合同文件的约定，承担</w:t>
      </w:r>
      <w:r>
        <w:rPr>
          <w:rFonts w:ascii="宋体" w:hAnsi="宋体" w:eastAsia="宋体" w:cs="宋体"/>
          <w:spacing w:val="-1"/>
          <w:sz w:val="24"/>
          <w:szCs w:val="24"/>
        </w:rPr>
        <w:t>和履行各自的全部责任和义</w:t>
      </w:r>
      <w:r>
        <w:rPr>
          <w:rFonts w:ascii="宋体" w:hAnsi="宋体" w:eastAsia="宋体" w:cs="宋体"/>
          <w:sz w:val="24"/>
          <w:szCs w:val="24"/>
        </w:rPr>
        <w:t xml:space="preserve"> </w:t>
      </w:r>
      <w:r>
        <w:rPr>
          <w:rFonts w:ascii="宋体" w:hAnsi="宋体" w:eastAsia="宋体" w:cs="宋体"/>
          <w:spacing w:val="-3"/>
          <w:sz w:val="24"/>
          <w:szCs w:val="24"/>
        </w:rPr>
        <w:t>务。本合同文件经双方签字盖章且发包人收到承包人按合同规定提交履约</w:t>
      </w:r>
      <w:r>
        <w:rPr>
          <w:rFonts w:ascii="宋体" w:hAnsi="宋体" w:eastAsia="宋体" w:cs="宋体"/>
          <w:spacing w:val="-4"/>
          <w:sz w:val="24"/>
          <w:szCs w:val="24"/>
        </w:rPr>
        <w:t>保证金后生效，</w:t>
      </w:r>
    </w:p>
    <w:p w14:paraId="7FF2E5E8">
      <w:pPr>
        <w:spacing w:before="311" w:line="218" w:lineRule="auto"/>
        <w:ind w:left="11"/>
        <w:rPr>
          <w:rFonts w:ascii="宋体" w:hAnsi="宋体" w:eastAsia="宋体" w:cs="宋体"/>
          <w:sz w:val="24"/>
          <w:szCs w:val="24"/>
        </w:rPr>
      </w:pPr>
      <w:r>
        <w:rPr>
          <w:rFonts w:ascii="宋体" w:hAnsi="宋体" w:eastAsia="宋体" w:cs="宋体"/>
          <w:spacing w:val="-1"/>
          <w:sz w:val="24"/>
          <w:szCs w:val="24"/>
        </w:rPr>
        <w:br w:type="page"/>
      </w:r>
      <w:r>
        <w:rPr>
          <w:rFonts w:ascii="宋体" w:hAnsi="宋体" w:eastAsia="宋体" w:cs="宋体"/>
          <w:spacing w:val="-1"/>
          <w:sz w:val="24"/>
          <w:szCs w:val="24"/>
        </w:rPr>
        <w:t>工程经竣工验收合格、合同总价款结清后合同终止。</w:t>
      </w:r>
    </w:p>
    <w:p w14:paraId="32361588">
      <w:pPr>
        <w:spacing w:before="181" w:line="362" w:lineRule="auto"/>
        <w:ind w:left="10" w:firstLine="479"/>
        <w:rPr>
          <w:rFonts w:ascii="宋体" w:hAnsi="宋体" w:eastAsia="宋体" w:cs="宋体"/>
          <w:sz w:val="24"/>
          <w:szCs w:val="24"/>
        </w:rPr>
      </w:pPr>
      <w:r>
        <w:rPr>
          <w:rFonts w:ascii="宋体" w:hAnsi="宋体" w:eastAsia="宋体" w:cs="宋体"/>
          <w:spacing w:val="-1"/>
          <w:sz w:val="24"/>
          <w:szCs w:val="24"/>
        </w:rPr>
        <w:t>9. 本协议书正本贰份，双方各执壹份，具有同等法律效力；副本</w:t>
      </w:r>
      <w:r>
        <w:rPr>
          <w:rFonts w:ascii="宋体" w:hAnsi="宋体" w:eastAsia="宋体" w:cs="宋体"/>
          <w:spacing w:val="13"/>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
          <w:sz w:val="24"/>
          <w:szCs w:val="24"/>
        </w:rPr>
        <w:t>份，发包人执</w:t>
      </w:r>
      <w:r>
        <w:rPr>
          <w:rFonts w:ascii="宋体" w:hAnsi="宋体" w:eastAsia="宋体" w:cs="宋体"/>
          <w:spacing w:val="-1"/>
          <w:sz w:val="24"/>
          <w:szCs w:val="24"/>
          <w:u w:val="single" w:color="auto"/>
        </w:rPr>
        <w:t xml:space="preserve">    </w:t>
      </w:r>
      <w:r>
        <w:rPr>
          <w:rFonts w:ascii="宋体" w:hAnsi="宋体" w:eastAsia="宋体" w:cs="宋体"/>
          <w:spacing w:val="-107"/>
          <w:sz w:val="24"/>
          <w:szCs w:val="24"/>
        </w:rPr>
        <w:t xml:space="preserve"> </w:t>
      </w:r>
      <w:r>
        <w:rPr>
          <w:rFonts w:ascii="宋体" w:hAnsi="宋体" w:eastAsia="宋体" w:cs="宋体"/>
          <w:spacing w:val="-1"/>
          <w:sz w:val="24"/>
          <w:szCs w:val="24"/>
        </w:rPr>
        <w:t>份，承包人执</w:t>
      </w:r>
      <w:r>
        <w:rPr>
          <w:rFonts w:ascii="宋体" w:hAnsi="宋体" w:eastAsia="宋体" w:cs="宋体"/>
          <w:spacing w:val="-1"/>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1"/>
          <w:sz w:val="24"/>
          <w:szCs w:val="24"/>
        </w:rPr>
        <w:t>份。当副本与正本不一致时，以正本为准。</w:t>
      </w:r>
    </w:p>
    <w:p w14:paraId="520104CE">
      <w:pPr>
        <w:spacing w:before="7"/>
      </w:pPr>
    </w:p>
    <w:p w14:paraId="687B8B16">
      <w:pPr>
        <w:spacing w:before="7"/>
      </w:pPr>
    </w:p>
    <w:tbl>
      <w:tblPr>
        <w:tblStyle w:val="13"/>
        <w:tblW w:w="7274" w:type="dxa"/>
        <w:tblInd w:w="191"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325"/>
        <w:gridCol w:w="1439"/>
        <w:gridCol w:w="3294"/>
        <w:gridCol w:w="216"/>
      </w:tblGrid>
      <w:tr w14:paraId="43D172F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4" w:hRule="atLeast"/>
        </w:trPr>
        <w:tc>
          <w:tcPr>
            <w:tcW w:w="2325" w:type="dxa"/>
            <w:vAlign w:val="top"/>
          </w:tcPr>
          <w:p w14:paraId="1D2F3D0E">
            <w:pPr>
              <w:pStyle w:val="14"/>
              <w:spacing w:line="218" w:lineRule="auto"/>
              <w:ind w:left="5"/>
              <w:rPr>
                <w:sz w:val="24"/>
                <w:szCs w:val="24"/>
              </w:rPr>
            </w:pPr>
            <w:r>
              <w:rPr>
                <w:spacing w:val="-2"/>
                <w:sz w:val="24"/>
                <w:szCs w:val="24"/>
              </w:rPr>
              <w:t>发包人（盖章）</w:t>
            </w:r>
          </w:p>
        </w:tc>
        <w:tc>
          <w:tcPr>
            <w:tcW w:w="1439" w:type="dxa"/>
            <w:vAlign w:val="top"/>
          </w:tcPr>
          <w:p w14:paraId="747DE52E">
            <w:pPr>
              <w:pStyle w:val="14"/>
              <w:spacing w:before="1" w:line="238" w:lineRule="auto"/>
              <w:ind w:left="308"/>
              <w:rPr>
                <w:sz w:val="24"/>
                <w:szCs w:val="24"/>
              </w:rPr>
            </w:pPr>
            <w:r>
              <w:rPr>
                <w:sz w:val="24"/>
                <w:szCs w:val="24"/>
              </w:rPr>
              <w:t>:</w:t>
            </w:r>
          </w:p>
        </w:tc>
        <w:tc>
          <w:tcPr>
            <w:tcW w:w="3294" w:type="dxa"/>
            <w:vAlign w:val="top"/>
          </w:tcPr>
          <w:p w14:paraId="09914116">
            <w:pPr>
              <w:pStyle w:val="14"/>
              <w:spacing w:line="218" w:lineRule="auto"/>
              <w:ind w:left="1097"/>
              <w:rPr>
                <w:sz w:val="24"/>
                <w:szCs w:val="24"/>
              </w:rPr>
            </w:pPr>
            <w:r>
              <w:rPr>
                <w:spacing w:val="-2"/>
                <w:sz w:val="24"/>
                <w:szCs w:val="24"/>
              </w:rPr>
              <w:t>承包人（盖章）</w:t>
            </w:r>
          </w:p>
        </w:tc>
        <w:tc>
          <w:tcPr>
            <w:tcW w:w="216" w:type="dxa"/>
            <w:vAlign w:val="top"/>
          </w:tcPr>
          <w:p w14:paraId="58CC861E">
            <w:pPr>
              <w:pStyle w:val="14"/>
              <w:spacing w:before="1" w:line="238" w:lineRule="auto"/>
              <w:jc w:val="right"/>
              <w:rPr>
                <w:sz w:val="24"/>
                <w:szCs w:val="24"/>
              </w:rPr>
            </w:pPr>
            <w:r>
              <w:rPr>
                <w:spacing w:val="-86"/>
                <w:sz w:val="24"/>
                <w:szCs w:val="24"/>
              </w:rPr>
              <w:t>:</w:t>
            </w:r>
          </w:p>
        </w:tc>
      </w:tr>
      <w:tr w14:paraId="3F7996B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39" w:hRule="atLeast"/>
        </w:trPr>
        <w:tc>
          <w:tcPr>
            <w:tcW w:w="2325" w:type="dxa"/>
            <w:vAlign w:val="top"/>
          </w:tcPr>
          <w:p w14:paraId="3B79E692">
            <w:pPr>
              <w:pStyle w:val="14"/>
              <w:spacing w:before="123" w:line="219" w:lineRule="auto"/>
              <w:ind w:left="2"/>
              <w:rPr>
                <w:sz w:val="24"/>
                <w:szCs w:val="24"/>
              </w:rPr>
            </w:pPr>
            <w:r>
              <w:rPr>
                <w:spacing w:val="-2"/>
                <w:sz w:val="24"/>
                <w:szCs w:val="24"/>
              </w:rPr>
              <w:t>法定代表人或</w:t>
            </w:r>
          </w:p>
        </w:tc>
        <w:tc>
          <w:tcPr>
            <w:tcW w:w="1439" w:type="dxa"/>
            <w:vAlign w:val="top"/>
          </w:tcPr>
          <w:p w14:paraId="396585D3">
            <w:pPr>
              <w:rPr>
                <w:rFonts w:ascii="Arial"/>
                <w:sz w:val="21"/>
              </w:rPr>
            </w:pPr>
          </w:p>
        </w:tc>
        <w:tc>
          <w:tcPr>
            <w:tcW w:w="3294" w:type="dxa"/>
            <w:vAlign w:val="top"/>
          </w:tcPr>
          <w:p w14:paraId="3085117F">
            <w:pPr>
              <w:pStyle w:val="14"/>
              <w:spacing w:before="123" w:line="219" w:lineRule="auto"/>
              <w:ind w:left="1098"/>
              <w:rPr>
                <w:sz w:val="24"/>
                <w:szCs w:val="24"/>
              </w:rPr>
            </w:pPr>
            <w:r>
              <w:rPr>
                <w:spacing w:val="-2"/>
                <w:sz w:val="24"/>
                <w:szCs w:val="24"/>
              </w:rPr>
              <w:t>法定代表人或</w:t>
            </w:r>
          </w:p>
        </w:tc>
        <w:tc>
          <w:tcPr>
            <w:tcW w:w="216" w:type="dxa"/>
            <w:vAlign w:val="top"/>
          </w:tcPr>
          <w:p w14:paraId="417F1190">
            <w:pPr>
              <w:rPr>
                <w:rFonts w:ascii="Arial"/>
                <w:sz w:val="21"/>
              </w:rPr>
            </w:pPr>
          </w:p>
        </w:tc>
      </w:tr>
      <w:tr w14:paraId="463B430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35" w:hRule="atLeast"/>
        </w:trPr>
        <w:tc>
          <w:tcPr>
            <w:tcW w:w="2325" w:type="dxa"/>
            <w:vAlign w:val="top"/>
          </w:tcPr>
          <w:p w14:paraId="61E236EA">
            <w:pPr>
              <w:pStyle w:val="14"/>
              <w:spacing w:before="175" w:line="219" w:lineRule="auto"/>
              <w:rPr>
                <w:sz w:val="24"/>
                <w:szCs w:val="24"/>
              </w:rPr>
            </w:pPr>
            <w:r>
              <w:rPr>
                <w:spacing w:val="-1"/>
                <w:sz w:val="24"/>
                <w:szCs w:val="24"/>
              </w:rPr>
              <w:t>授权代理人（签字）</w:t>
            </w:r>
          </w:p>
        </w:tc>
        <w:tc>
          <w:tcPr>
            <w:tcW w:w="1439" w:type="dxa"/>
            <w:vAlign w:val="top"/>
          </w:tcPr>
          <w:p w14:paraId="01E0588A">
            <w:pPr>
              <w:pStyle w:val="14"/>
              <w:spacing w:before="174" w:line="239" w:lineRule="auto"/>
              <w:ind w:left="308"/>
              <w:rPr>
                <w:sz w:val="24"/>
                <w:szCs w:val="24"/>
              </w:rPr>
            </w:pPr>
            <w:r>
              <w:rPr>
                <w:sz w:val="24"/>
                <w:szCs w:val="24"/>
              </w:rPr>
              <w:t>:</w:t>
            </w:r>
          </w:p>
        </w:tc>
        <w:tc>
          <w:tcPr>
            <w:tcW w:w="3294" w:type="dxa"/>
            <w:vAlign w:val="top"/>
          </w:tcPr>
          <w:p w14:paraId="4F9AC4BB">
            <w:pPr>
              <w:pStyle w:val="14"/>
              <w:spacing w:before="175" w:line="219" w:lineRule="auto"/>
              <w:ind w:left="1096"/>
              <w:rPr>
                <w:sz w:val="24"/>
                <w:szCs w:val="24"/>
              </w:rPr>
            </w:pPr>
            <w:r>
              <w:rPr>
                <w:spacing w:val="-1"/>
                <w:sz w:val="24"/>
                <w:szCs w:val="24"/>
              </w:rPr>
              <w:t>授权代理人（签字）</w:t>
            </w:r>
          </w:p>
        </w:tc>
        <w:tc>
          <w:tcPr>
            <w:tcW w:w="216" w:type="dxa"/>
            <w:vAlign w:val="top"/>
          </w:tcPr>
          <w:p w14:paraId="4003E6DC">
            <w:pPr>
              <w:pStyle w:val="14"/>
              <w:spacing w:before="174" w:line="239" w:lineRule="auto"/>
              <w:jc w:val="right"/>
              <w:rPr>
                <w:sz w:val="24"/>
                <w:szCs w:val="24"/>
              </w:rPr>
            </w:pPr>
            <w:r>
              <w:rPr>
                <w:spacing w:val="-86"/>
                <w:sz w:val="24"/>
                <w:szCs w:val="24"/>
              </w:rPr>
              <w:t>:</w:t>
            </w:r>
          </w:p>
        </w:tc>
      </w:tr>
      <w:tr w14:paraId="2018E9F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80" w:hRule="atLeast"/>
        </w:trPr>
        <w:tc>
          <w:tcPr>
            <w:tcW w:w="2325" w:type="dxa"/>
            <w:vAlign w:val="top"/>
          </w:tcPr>
          <w:p w14:paraId="3DA937B1">
            <w:pPr>
              <w:pStyle w:val="14"/>
              <w:spacing w:before="219" w:line="221" w:lineRule="auto"/>
              <w:ind w:left="2"/>
              <w:rPr>
                <w:sz w:val="24"/>
                <w:szCs w:val="24"/>
              </w:rPr>
            </w:pPr>
            <w:r>
              <w:rPr>
                <w:spacing w:val="-3"/>
                <w:sz w:val="24"/>
                <w:szCs w:val="24"/>
              </w:rPr>
              <w:t>联系电话</w:t>
            </w:r>
          </w:p>
        </w:tc>
        <w:tc>
          <w:tcPr>
            <w:tcW w:w="1439" w:type="dxa"/>
            <w:vAlign w:val="top"/>
          </w:tcPr>
          <w:p w14:paraId="65597996">
            <w:pPr>
              <w:pStyle w:val="14"/>
              <w:spacing w:before="218" w:line="239" w:lineRule="auto"/>
              <w:ind w:left="308"/>
              <w:rPr>
                <w:sz w:val="24"/>
                <w:szCs w:val="24"/>
              </w:rPr>
            </w:pPr>
            <w:r>
              <w:rPr>
                <w:sz w:val="24"/>
                <w:szCs w:val="24"/>
              </w:rPr>
              <w:t>:</w:t>
            </w:r>
          </w:p>
        </w:tc>
        <w:tc>
          <w:tcPr>
            <w:tcW w:w="3294" w:type="dxa"/>
            <w:vAlign w:val="top"/>
          </w:tcPr>
          <w:p w14:paraId="1FFE6224">
            <w:pPr>
              <w:pStyle w:val="14"/>
              <w:spacing w:before="219" w:line="221" w:lineRule="auto"/>
              <w:ind w:left="1098"/>
              <w:rPr>
                <w:sz w:val="24"/>
                <w:szCs w:val="24"/>
              </w:rPr>
            </w:pPr>
            <w:r>
              <w:rPr>
                <w:spacing w:val="-3"/>
                <w:sz w:val="24"/>
                <w:szCs w:val="24"/>
              </w:rPr>
              <w:t>联系电话</w:t>
            </w:r>
          </w:p>
        </w:tc>
        <w:tc>
          <w:tcPr>
            <w:tcW w:w="216" w:type="dxa"/>
            <w:vAlign w:val="top"/>
          </w:tcPr>
          <w:p w14:paraId="7776AECE">
            <w:pPr>
              <w:pStyle w:val="14"/>
              <w:spacing w:before="218" w:line="239" w:lineRule="auto"/>
              <w:jc w:val="right"/>
              <w:rPr>
                <w:sz w:val="24"/>
                <w:szCs w:val="24"/>
              </w:rPr>
            </w:pPr>
            <w:r>
              <w:rPr>
                <w:spacing w:val="-86"/>
                <w:sz w:val="24"/>
                <w:szCs w:val="24"/>
              </w:rPr>
              <w:t>:</w:t>
            </w:r>
          </w:p>
        </w:tc>
      </w:tr>
      <w:tr w14:paraId="416FA67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86" w:hRule="atLeast"/>
        </w:trPr>
        <w:tc>
          <w:tcPr>
            <w:tcW w:w="2325" w:type="dxa"/>
            <w:vAlign w:val="top"/>
          </w:tcPr>
          <w:p w14:paraId="00884192">
            <w:pPr>
              <w:pStyle w:val="14"/>
              <w:spacing w:before="219" w:line="219" w:lineRule="auto"/>
              <w:rPr>
                <w:sz w:val="24"/>
                <w:szCs w:val="24"/>
              </w:rPr>
            </w:pPr>
            <w:r>
              <w:rPr>
                <w:spacing w:val="-4"/>
                <w:sz w:val="24"/>
                <w:szCs w:val="24"/>
              </w:rPr>
              <w:t>传真</w:t>
            </w:r>
          </w:p>
        </w:tc>
        <w:tc>
          <w:tcPr>
            <w:tcW w:w="1439" w:type="dxa"/>
            <w:vAlign w:val="top"/>
          </w:tcPr>
          <w:p w14:paraId="6B7FE6EB">
            <w:pPr>
              <w:pStyle w:val="14"/>
              <w:spacing w:before="220" w:line="239" w:lineRule="auto"/>
              <w:ind w:left="308"/>
              <w:rPr>
                <w:sz w:val="24"/>
                <w:szCs w:val="24"/>
              </w:rPr>
            </w:pPr>
            <w:r>
              <w:rPr>
                <w:sz w:val="24"/>
                <w:szCs w:val="24"/>
              </w:rPr>
              <w:t>:</w:t>
            </w:r>
          </w:p>
        </w:tc>
        <w:tc>
          <w:tcPr>
            <w:tcW w:w="3294" w:type="dxa"/>
            <w:vAlign w:val="top"/>
          </w:tcPr>
          <w:p w14:paraId="6F8CD60D">
            <w:pPr>
              <w:pStyle w:val="14"/>
              <w:spacing w:before="219" w:line="219" w:lineRule="auto"/>
              <w:ind w:left="1096"/>
              <w:rPr>
                <w:sz w:val="24"/>
                <w:szCs w:val="24"/>
              </w:rPr>
            </w:pPr>
            <w:r>
              <w:rPr>
                <w:spacing w:val="-4"/>
                <w:sz w:val="24"/>
                <w:szCs w:val="24"/>
              </w:rPr>
              <w:t>传真</w:t>
            </w:r>
          </w:p>
        </w:tc>
        <w:tc>
          <w:tcPr>
            <w:tcW w:w="216" w:type="dxa"/>
            <w:vAlign w:val="top"/>
          </w:tcPr>
          <w:p w14:paraId="6A89292D">
            <w:pPr>
              <w:pStyle w:val="14"/>
              <w:spacing w:before="220" w:line="239" w:lineRule="auto"/>
              <w:jc w:val="right"/>
              <w:rPr>
                <w:sz w:val="24"/>
                <w:szCs w:val="24"/>
              </w:rPr>
            </w:pPr>
            <w:r>
              <w:rPr>
                <w:spacing w:val="-86"/>
                <w:sz w:val="24"/>
                <w:szCs w:val="24"/>
              </w:rPr>
              <w:t>:</w:t>
            </w:r>
          </w:p>
        </w:tc>
      </w:tr>
      <w:tr w14:paraId="03290EA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5" w:hRule="atLeast"/>
        </w:trPr>
        <w:tc>
          <w:tcPr>
            <w:tcW w:w="2325" w:type="dxa"/>
            <w:vAlign w:val="top"/>
          </w:tcPr>
          <w:p w14:paraId="0D3101B1">
            <w:pPr>
              <w:pStyle w:val="14"/>
              <w:spacing w:before="226" w:line="176" w:lineRule="auto"/>
              <w:ind w:left="1"/>
              <w:rPr>
                <w:sz w:val="24"/>
                <w:szCs w:val="24"/>
              </w:rPr>
            </w:pPr>
            <w:r>
              <w:rPr>
                <w:spacing w:val="-3"/>
                <w:sz w:val="24"/>
                <w:szCs w:val="24"/>
              </w:rPr>
              <w:t>签约日期</w:t>
            </w:r>
          </w:p>
        </w:tc>
        <w:tc>
          <w:tcPr>
            <w:tcW w:w="1439" w:type="dxa"/>
            <w:vAlign w:val="top"/>
          </w:tcPr>
          <w:p w14:paraId="7A498078">
            <w:pPr>
              <w:pStyle w:val="14"/>
              <w:spacing w:before="226" w:line="176" w:lineRule="auto"/>
              <w:ind w:left="308"/>
              <w:rPr>
                <w:sz w:val="24"/>
                <w:szCs w:val="24"/>
              </w:rPr>
            </w:pPr>
            <w:r>
              <w:rPr>
                <w:sz w:val="24"/>
                <w:szCs w:val="24"/>
              </w:rPr>
              <w:t>:</w:t>
            </w:r>
          </w:p>
        </w:tc>
        <w:tc>
          <w:tcPr>
            <w:tcW w:w="3294" w:type="dxa"/>
            <w:vAlign w:val="top"/>
          </w:tcPr>
          <w:p w14:paraId="1A62521B">
            <w:pPr>
              <w:pStyle w:val="14"/>
              <w:spacing w:before="226" w:line="176" w:lineRule="auto"/>
              <w:ind w:left="1097"/>
              <w:rPr>
                <w:sz w:val="24"/>
                <w:szCs w:val="24"/>
              </w:rPr>
            </w:pPr>
            <w:r>
              <w:rPr>
                <w:spacing w:val="-3"/>
                <w:sz w:val="24"/>
                <w:szCs w:val="24"/>
              </w:rPr>
              <w:t>签约日期</w:t>
            </w:r>
          </w:p>
        </w:tc>
        <w:tc>
          <w:tcPr>
            <w:tcW w:w="216" w:type="dxa"/>
            <w:vAlign w:val="top"/>
          </w:tcPr>
          <w:p w14:paraId="6FCA018C">
            <w:pPr>
              <w:pStyle w:val="14"/>
              <w:spacing w:before="226" w:line="176" w:lineRule="auto"/>
              <w:jc w:val="right"/>
              <w:rPr>
                <w:sz w:val="24"/>
                <w:szCs w:val="24"/>
              </w:rPr>
            </w:pPr>
            <w:r>
              <w:rPr>
                <w:spacing w:val="-86"/>
                <w:sz w:val="24"/>
                <w:szCs w:val="24"/>
              </w:rPr>
              <w:t>:</w:t>
            </w:r>
          </w:p>
        </w:tc>
      </w:tr>
    </w:tbl>
    <w:p w14:paraId="56694008">
      <w:pPr>
        <w:rPr>
          <w:rFonts w:ascii="Arial"/>
          <w:sz w:val="21"/>
        </w:rPr>
      </w:pPr>
    </w:p>
    <w:p w14:paraId="7C6D3116">
      <w:pPr>
        <w:spacing w:before="311" w:line="219" w:lineRule="auto"/>
        <w:ind w:left="27"/>
        <w:rPr>
          <w:rFonts w:ascii="宋体" w:hAnsi="宋体" w:eastAsia="宋体" w:cs="宋体"/>
          <w:sz w:val="24"/>
          <w:szCs w:val="24"/>
        </w:rPr>
      </w:pPr>
      <w:r>
        <w:rPr>
          <w:rFonts w:ascii="宋体" w:hAnsi="宋体" w:eastAsia="宋体" w:cs="宋体"/>
          <w:b/>
          <w:bCs/>
          <w:spacing w:val="-6"/>
          <w:sz w:val="24"/>
          <w:szCs w:val="24"/>
        </w:rPr>
        <w:br w:type="page"/>
      </w:r>
      <w:r>
        <w:rPr>
          <w:rFonts w:ascii="宋体" w:hAnsi="宋体" w:eastAsia="宋体" w:cs="宋体"/>
          <w:b/>
          <w:bCs/>
          <w:spacing w:val="-6"/>
          <w:sz w:val="24"/>
          <w:szCs w:val="24"/>
        </w:rPr>
        <w:t>附件二：廉政合同</w:t>
      </w:r>
    </w:p>
    <w:p w14:paraId="4770C676">
      <w:pPr>
        <w:spacing w:before="36" w:line="219" w:lineRule="auto"/>
        <w:ind w:left="3638"/>
        <w:rPr>
          <w:rFonts w:ascii="宋体" w:hAnsi="宋体" w:eastAsia="宋体" w:cs="宋体"/>
          <w:sz w:val="30"/>
          <w:szCs w:val="30"/>
        </w:rPr>
      </w:pPr>
      <w:r>
        <w:rPr>
          <w:rFonts w:ascii="宋体" w:hAnsi="宋体" w:eastAsia="宋体" w:cs="宋体"/>
          <w:b/>
          <w:bCs/>
          <w:spacing w:val="-5"/>
          <w:sz w:val="30"/>
          <w:szCs w:val="30"/>
        </w:rPr>
        <w:t>廉政合同格式</w:t>
      </w:r>
    </w:p>
    <w:p w14:paraId="262D6921">
      <w:pPr>
        <w:spacing w:line="375" w:lineRule="auto"/>
        <w:rPr>
          <w:rFonts w:ascii="Arial"/>
          <w:sz w:val="21"/>
        </w:rPr>
      </w:pPr>
    </w:p>
    <w:p w14:paraId="239469E1">
      <w:pPr>
        <w:spacing w:before="78" w:line="220" w:lineRule="auto"/>
        <w:ind w:left="491"/>
        <w:rPr>
          <w:rFonts w:ascii="宋体" w:hAnsi="宋体" w:eastAsia="宋体" w:cs="宋体"/>
          <w:sz w:val="24"/>
          <w:szCs w:val="24"/>
        </w:rPr>
      </w:pPr>
      <w:r>
        <w:rPr>
          <w:rFonts w:ascii="宋体" w:hAnsi="宋体" w:eastAsia="宋体" w:cs="宋体"/>
          <w:b/>
          <w:bCs/>
          <w:spacing w:val="-4"/>
          <w:sz w:val="24"/>
          <w:szCs w:val="24"/>
        </w:rPr>
        <w:t>工程项目名称：</w:t>
      </w:r>
    </w:p>
    <w:p w14:paraId="3D43E0A0">
      <w:pPr>
        <w:spacing w:before="182" w:line="220" w:lineRule="auto"/>
        <w:ind w:left="491"/>
        <w:rPr>
          <w:rFonts w:ascii="宋体" w:hAnsi="宋体" w:eastAsia="宋体" w:cs="宋体"/>
          <w:sz w:val="24"/>
          <w:szCs w:val="24"/>
        </w:rPr>
      </w:pPr>
      <w:r>
        <w:rPr>
          <w:rFonts w:ascii="宋体" w:hAnsi="宋体" w:eastAsia="宋体" w:cs="宋体"/>
          <w:b/>
          <w:bCs/>
          <w:spacing w:val="-4"/>
          <w:sz w:val="24"/>
          <w:szCs w:val="24"/>
        </w:rPr>
        <w:t>工程项目地址：</w:t>
      </w:r>
    </w:p>
    <w:p w14:paraId="4B3F77DD">
      <w:pPr>
        <w:spacing w:before="179" w:line="220" w:lineRule="auto"/>
        <w:ind w:left="492"/>
        <w:rPr>
          <w:rFonts w:ascii="宋体" w:hAnsi="宋体" w:eastAsia="宋体" w:cs="宋体"/>
          <w:sz w:val="24"/>
          <w:szCs w:val="24"/>
        </w:rPr>
      </w:pPr>
      <w:r>
        <w:rPr>
          <w:rFonts w:ascii="宋体" w:hAnsi="宋体" w:eastAsia="宋体" w:cs="宋体"/>
          <w:b/>
          <w:bCs/>
          <w:spacing w:val="-6"/>
          <w:sz w:val="24"/>
          <w:szCs w:val="24"/>
        </w:rPr>
        <w:t>发包人：</w:t>
      </w:r>
    </w:p>
    <w:p w14:paraId="5D0D9FE0">
      <w:pPr>
        <w:spacing w:before="183" w:line="219" w:lineRule="auto"/>
        <w:ind w:left="488"/>
        <w:rPr>
          <w:rFonts w:ascii="宋体" w:hAnsi="宋体" w:eastAsia="宋体" w:cs="宋体"/>
          <w:sz w:val="24"/>
          <w:szCs w:val="24"/>
        </w:rPr>
      </w:pPr>
      <w:r>
        <w:rPr>
          <w:rFonts w:ascii="宋体" w:hAnsi="宋体" w:eastAsia="宋体" w:cs="宋体"/>
          <w:b/>
          <w:bCs/>
          <w:spacing w:val="-5"/>
          <w:sz w:val="24"/>
          <w:szCs w:val="24"/>
        </w:rPr>
        <w:t>承包人：</w:t>
      </w:r>
    </w:p>
    <w:p w14:paraId="1B079300">
      <w:pPr>
        <w:spacing w:before="182" w:line="359" w:lineRule="auto"/>
        <w:ind w:left="7" w:firstLine="483"/>
        <w:jc w:val="both"/>
        <w:rPr>
          <w:rFonts w:ascii="宋体" w:hAnsi="宋体" w:eastAsia="宋体" w:cs="宋体"/>
          <w:sz w:val="24"/>
          <w:szCs w:val="24"/>
        </w:rPr>
      </w:pPr>
      <w:r>
        <w:rPr>
          <w:rFonts w:ascii="宋体" w:hAnsi="宋体" w:eastAsia="宋体" w:cs="宋体"/>
          <w:spacing w:val="-2"/>
          <w:sz w:val="24"/>
          <w:szCs w:val="24"/>
        </w:rPr>
        <w:t>为加强工程建设中的廉政建设，规范工程建设项目承发包双方的各项活动，防止发生各种谋取不正当利益的违法违纪行为，保护政府、集体和当事人的合法权益，根据政</w:t>
      </w:r>
      <w:r>
        <w:rPr>
          <w:rFonts w:ascii="宋体" w:hAnsi="宋体" w:eastAsia="宋体" w:cs="宋体"/>
          <w:sz w:val="24"/>
          <w:szCs w:val="24"/>
        </w:rPr>
        <w:t>府有关工程建设的法律法规和廉政建设责任制规定</w:t>
      </w:r>
      <w:r>
        <w:rPr>
          <w:rFonts w:ascii="宋体" w:hAnsi="宋体" w:eastAsia="宋体" w:cs="宋体"/>
          <w:spacing w:val="-1"/>
          <w:sz w:val="24"/>
          <w:szCs w:val="24"/>
        </w:rPr>
        <w:t>，特订立本廉政合同。</w:t>
      </w:r>
    </w:p>
    <w:p w14:paraId="5E2F0789">
      <w:pPr>
        <w:spacing w:line="219" w:lineRule="auto"/>
        <w:ind w:left="488"/>
        <w:rPr>
          <w:rFonts w:ascii="宋体" w:hAnsi="宋体" w:eastAsia="宋体" w:cs="宋体"/>
          <w:sz w:val="24"/>
          <w:szCs w:val="24"/>
        </w:rPr>
      </w:pPr>
      <w:r>
        <w:rPr>
          <w:rFonts w:ascii="宋体" w:hAnsi="宋体" w:eastAsia="宋体" w:cs="宋体"/>
          <w:b/>
          <w:bCs/>
          <w:spacing w:val="-2"/>
          <w:sz w:val="24"/>
          <w:szCs w:val="24"/>
        </w:rPr>
        <w:t>第一条</w:t>
      </w:r>
      <w:r>
        <w:rPr>
          <w:rFonts w:ascii="宋体" w:hAnsi="宋体" w:eastAsia="宋体" w:cs="宋体"/>
          <w:spacing w:val="-2"/>
          <w:sz w:val="24"/>
          <w:szCs w:val="24"/>
        </w:rPr>
        <w:t xml:space="preserve">  </w:t>
      </w:r>
      <w:r>
        <w:rPr>
          <w:rFonts w:ascii="宋体" w:hAnsi="宋体" w:eastAsia="宋体" w:cs="宋体"/>
          <w:b/>
          <w:bCs/>
          <w:spacing w:val="-2"/>
          <w:sz w:val="24"/>
          <w:szCs w:val="24"/>
        </w:rPr>
        <w:t>双方的责任</w:t>
      </w:r>
    </w:p>
    <w:p w14:paraId="6B71431C">
      <w:pPr>
        <w:spacing w:before="183" w:line="359" w:lineRule="auto"/>
        <w:ind w:left="9" w:firstLine="521"/>
        <w:rPr>
          <w:rFonts w:ascii="宋体" w:hAnsi="宋体" w:eastAsia="宋体" w:cs="宋体"/>
          <w:sz w:val="24"/>
          <w:szCs w:val="24"/>
        </w:rPr>
      </w:pPr>
      <w:r>
        <w:rPr>
          <w:rFonts w:ascii="宋体" w:hAnsi="宋体" w:eastAsia="宋体" w:cs="宋体"/>
          <w:spacing w:val="-3"/>
          <w:sz w:val="24"/>
          <w:szCs w:val="24"/>
        </w:rPr>
        <w:t>(一)应严格遵守政府关于市场准入、项目招标投标、工程建设、施工安装和市场活</w:t>
      </w:r>
      <w:r>
        <w:rPr>
          <w:rFonts w:ascii="宋体" w:hAnsi="宋体" w:eastAsia="宋体" w:cs="宋体"/>
          <w:spacing w:val="-1"/>
          <w:sz w:val="24"/>
          <w:szCs w:val="24"/>
        </w:rPr>
        <w:t>动等有关法律、法规，相关政策，以及廉政建设的各项规定。</w:t>
      </w:r>
    </w:p>
    <w:p w14:paraId="138FC23B">
      <w:pPr>
        <w:spacing w:line="219" w:lineRule="auto"/>
        <w:ind w:left="530"/>
        <w:rPr>
          <w:rFonts w:ascii="宋体" w:hAnsi="宋体" w:eastAsia="宋体" w:cs="宋体"/>
          <w:sz w:val="24"/>
          <w:szCs w:val="24"/>
        </w:rPr>
      </w:pPr>
      <w:r>
        <w:rPr>
          <w:rFonts w:ascii="宋体" w:hAnsi="宋体" w:eastAsia="宋体" w:cs="宋体"/>
          <w:spacing w:val="-4"/>
          <w:sz w:val="24"/>
          <w:szCs w:val="24"/>
        </w:rPr>
        <w:t>(二)严格执行建设工程项目承发包合同文件，</w:t>
      </w:r>
      <w:r>
        <w:rPr>
          <w:rFonts w:ascii="宋体" w:hAnsi="宋体" w:eastAsia="宋体" w:cs="宋体"/>
          <w:spacing w:val="-57"/>
          <w:sz w:val="24"/>
          <w:szCs w:val="24"/>
        </w:rPr>
        <w:t xml:space="preserve"> </w:t>
      </w:r>
      <w:r>
        <w:rPr>
          <w:rFonts w:ascii="宋体" w:hAnsi="宋体" w:eastAsia="宋体" w:cs="宋体"/>
          <w:spacing w:val="-4"/>
          <w:sz w:val="24"/>
          <w:szCs w:val="24"/>
        </w:rPr>
        <w:t>自觉按合同办事。</w:t>
      </w:r>
    </w:p>
    <w:p w14:paraId="3669E7DC">
      <w:pPr>
        <w:spacing w:before="182" w:line="359" w:lineRule="auto"/>
        <w:ind w:left="14" w:right="67" w:firstLine="516"/>
        <w:rPr>
          <w:rFonts w:ascii="宋体" w:hAnsi="宋体" w:eastAsia="宋体" w:cs="宋体"/>
          <w:sz w:val="24"/>
          <w:szCs w:val="24"/>
        </w:rPr>
      </w:pPr>
      <w:r>
        <w:rPr>
          <w:rFonts w:ascii="宋体" w:hAnsi="宋体" w:eastAsia="宋体" w:cs="宋体"/>
          <w:spacing w:val="-1"/>
          <w:sz w:val="24"/>
          <w:szCs w:val="24"/>
        </w:rPr>
        <w:t>(三)业务活动必须坚持公开、公平、公正、诚</w:t>
      </w:r>
      <w:r>
        <w:rPr>
          <w:rFonts w:ascii="宋体" w:hAnsi="宋体" w:eastAsia="宋体" w:cs="宋体"/>
          <w:spacing w:val="-2"/>
          <w:sz w:val="24"/>
          <w:szCs w:val="24"/>
        </w:rPr>
        <w:t>信、透明的原则(除法律法规另有规</w:t>
      </w:r>
      <w:r>
        <w:rPr>
          <w:rFonts w:ascii="宋体" w:hAnsi="宋体" w:eastAsia="宋体" w:cs="宋体"/>
          <w:sz w:val="24"/>
          <w:szCs w:val="24"/>
        </w:rPr>
        <w:t>定者外)，不得为获取不正当的利益，损害政府</w:t>
      </w:r>
      <w:r>
        <w:rPr>
          <w:rFonts w:ascii="宋体" w:hAnsi="宋体" w:eastAsia="宋体" w:cs="宋体"/>
          <w:spacing w:val="-1"/>
          <w:sz w:val="24"/>
          <w:szCs w:val="24"/>
        </w:rPr>
        <w:t>、集体和对方利益，不得违反工程建设</w:t>
      </w:r>
      <w:r>
        <w:rPr>
          <w:rFonts w:ascii="宋体" w:hAnsi="宋体" w:eastAsia="宋体" w:cs="宋体"/>
          <w:spacing w:val="-2"/>
          <w:sz w:val="24"/>
          <w:szCs w:val="24"/>
        </w:rPr>
        <w:t>管理、施工安装的规章制度。</w:t>
      </w:r>
    </w:p>
    <w:p w14:paraId="62C7EE36">
      <w:pPr>
        <w:spacing w:before="1" w:line="359" w:lineRule="auto"/>
        <w:ind w:left="9" w:firstLine="521"/>
        <w:rPr>
          <w:rFonts w:ascii="宋体" w:hAnsi="宋体" w:eastAsia="宋体" w:cs="宋体"/>
          <w:sz w:val="24"/>
          <w:szCs w:val="24"/>
        </w:rPr>
      </w:pPr>
      <w:r>
        <w:rPr>
          <w:rFonts w:ascii="宋体" w:hAnsi="宋体" w:eastAsia="宋体" w:cs="宋体"/>
          <w:spacing w:val="-3"/>
          <w:sz w:val="24"/>
          <w:szCs w:val="24"/>
        </w:rPr>
        <w:t>(四)发现对方在业务活动中有违规、违纪、违法行为的，应及时提醒对方，情节严</w:t>
      </w:r>
      <w:r>
        <w:rPr>
          <w:rFonts w:ascii="宋体" w:hAnsi="宋体" w:eastAsia="宋体" w:cs="宋体"/>
          <w:spacing w:val="-1"/>
          <w:sz w:val="24"/>
          <w:szCs w:val="24"/>
        </w:rPr>
        <w:t>重的，应向其上级主管部门或纪检监察、司法等有关机关举报。</w:t>
      </w:r>
    </w:p>
    <w:p w14:paraId="56F42D13">
      <w:pPr>
        <w:spacing w:line="219" w:lineRule="auto"/>
        <w:ind w:left="488"/>
        <w:rPr>
          <w:rFonts w:ascii="宋体" w:hAnsi="宋体" w:eastAsia="宋体" w:cs="宋体"/>
          <w:sz w:val="24"/>
          <w:szCs w:val="24"/>
        </w:rPr>
      </w:pPr>
      <w:r>
        <w:rPr>
          <w:rFonts w:ascii="宋体" w:hAnsi="宋体" w:eastAsia="宋体" w:cs="宋体"/>
          <w:b/>
          <w:bCs/>
          <w:spacing w:val="-3"/>
          <w:sz w:val="24"/>
          <w:szCs w:val="24"/>
        </w:rPr>
        <w:t>第二条</w:t>
      </w:r>
      <w:r>
        <w:rPr>
          <w:rFonts w:ascii="宋体" w:hAnsi="宋体" w:eastAsia="宋体" w:cs="宋体"/>
          <w:spacing w:val="-3"/>
          <w:sz w:val="24"/>
          <w:szCs w:val="24"/>
        </w:rPr>
        <w:t xml:space="preserve">  </w:t>
      </w:r>
      <w:r>
        <w:rPr>
          <w:rFonts w:ascii="宋体" w:hAnsi="宋体" w:eastAsia="宋体" w:cs="宋体"/>
          <w:b/>
          <w:bCs/>
          <w:spacing w:val="-3"/>
          <w:sz w:val="24"/>
          <w:szCs w:val="24"/>
        </w:rPr>
        <w:t>发包人的责任</w:t>
      </w:r>
    </w:p>
    <w:p w14:paraId="45FD2321">
      <w:pPr>
        <w:spacing w:before="181" w:line="360" w:lineRule="auto"/>
        <w:ind w:left="8" w:firstLine="483"/>
        <w:rPr>
          <w:rFonts w:ascii="宋体" w:hAnsi="宋体" w:eastAsia="宋体" w:cs="宋体"/>
          <w:sz w:val="24"/>
          <w:szCs w:val="24"/>
        </w:rPr>
      </w:pPr>
      <w:r>
        <w:rPr>
          <w:rFonts w:ascii="宋体" w:hAnsi="宋体" w:eastAsia="宋体" w:cs="宋体"/>
          <w:spacing w:val="-2"/>
          <w:sz w:val="24"/>
          <w:szCs w:val="24"/>
        </w:rPr>
        <w:t>发包人的领导和从事该建设工程项目的工作人员，在工程建设的事前、事中、事后应遵守以下规定：</w:t>
      </w:r>
    </w:p>
    <w:p w14:paraId="2EC11367">
      <w:pPr>
        <w:spacing w:line="359" w:lineRule="auto"/>
        <w:ind w:left="21" w:firstLine="509"/>
        <w:rPr>
          <w:rFonts w:ascii="宋体" w:hAnsi="宋体" w:eastAsia="宋体" w:cs="宋体"/>
          <w:sz w:val="24"/>
          <w:szCs w:val="24"/>
        </w:rPr>
      </w:pPr>
      <w:r>
        <w:rPr>
          <w:rFonts w:ascii="宋体" w:hAnsi="宋体" w:eastAsia="宋体" w:cs="宋体"/>
          <w:spacing w:val="-3"/>
          <w:sz w:val="24"/>
          <w:szCs w:val="24"/>
        </w:rPr>
        <w:t>(一)不准向承包人和相关单位索要或接受回扣、礼金、有价证券、贵重物品和好处</w:t>
      </w:r>
      <w:r>
        <w:rPr>
          <w:rFonts w:ascii="宋体" w:hAnsi="宋体" w:eastAsia="宋体" w:cs="宋体"/>
          <w:spacing w:val="-4"/>
          <w:sz w:val="24"/>
          <w:szCs w:val="24"/>
        </w:rPr>
        <w:t>费、感谢费等。</w:t>
      </w:r>
    </w:p>
    <w:p w14:paraId="0675B75E">
      <w:pPr>
        <w:spacing w:line="219" w:lineRule="auto"/>
        <w:ind w:left="530"/>
        <w:rPr>
          <w:rFonts w:ascii="宋体" w:hAnsi="宋体" w:eastAsia="宋体" w:cs="宋体"/>
          <w:sz w:val="24"/>
          <w:szCs w:val="24"/>
        </w:rPr>
      </w:pPr>
      <w:r>
        <w:rPr>
          <w:rFonts w:ascii="宋体" w:hAnsi="宋体" w:eastAsia="宋体" w:cs="宋体"/>
          <w:spacing w:val="-2"/>
          <w:sz w:val="24"/>
          <w:szCs w:val="24"/>
        </w:rPr>
        <w:t>(二)不准在承包人和相关单位报销任何应由发包人或个人支付的费用。</w:t>
      </w:r>
    </w:p>
    <w:p w14:paraId="0917CA2B">
      <w:pPr>
        <w:spacing w:before="181" w:line="359" w:lineRule="auto"/>
        <w:ind w:left="14" w:firstLine="515"/>
        <w:rPr>
          <w:rFonts w:ascii="宋体" w:hAnsi="宋体" w:eastAsia="宋体" w:cs="宋体"/>
          <w:sz w:val="24"/>
          <w:szCs w:val="24"/>
        </w:rPr>
      </w:pPr>
      <w:r>
        <w:rPr>
          <w:rFonts w:ascii="宋体" w:hAnsi="宋体" w:eastAsia="宋体" w:cs="宋体"/>
          <w:spacing w:val="-3"/>
          <w:sz w:val="24"/>
          <w:szCs w:val="24"/>
        </w:rPr>
        <w:t>(三)不准要求、暗示和接受承包人和相关单位为个人装修住房、婚丧嫁娶、配偶子</w:t>
      </w:r>
      <w:r>
        <w:rPr>
          <w:rFonts w:ascii="宋体" w:hAnsi="宋体" w:eastAsia="宋体" w:cs="宋体"/>
          <w:spacing w:val="-1"/>
          <w:sz w:val="24"/>
          <w:szCs w:val="24"/>
        </w:rPr>
        <w:t>女的工作安排以及出国(境)、旅游等提供方便。</w:t>
      </w:r>
    </w:p>
    <w:p w14:paraId="3109DC90">
      <w:pPr>
        <w:spacing w:line="359" w:lineRule="auto"/>
        <w:ind w:left="12" w:firstLine="518"/>
        <w:rPr>
          <w:rFonts w:ascii="宋体" w:hAnsi="宋体" w:eastAsia="宋体" w:cs="宋体"/>
          <w:sz w:val="24"/>
          <w:szCs w:val="24"/>
        </w:rPr>
      </w:pPr>
      <w:r>
        <w:rPr>
          <w:rFonts w:ascii="宋体" w:hAnsi="宋体" w:eastAsia="宋体" w:cs="宋体"/>
          <w:spacing w:val="-3"/>
          <w:sz w:val="24"/>
          <w:szCs w:val="24"/>
        </w:rPr>
        <w:t>(四)不准参加有可能影响公正执行公务的承包人和相关单位的宴请和健身、娱乐等</w:t>
      </w:r>
      <w:r>
        <w:rPr>
          <w:rFonts w:ascii="宋体" w:hAnsi="宋体" w:eastAsia="宋体" w:cs="宋体"/>
          <w:spacing w:val="-5"/>
          <w:sz w:val="24"/>
          <w:szCs w:val="24"/>
        </w:rPr>
        <w:t>活动。</w:t>
      </w:r>
    </w:p>
    <w:p w14:paraId="4A74A34A">
      <w:pPr>
        <w:spacing w:before="1" w:line="218" w:lineRule="auto"/>
        <w:jc w:val="right"/>
        <w:rPr>
          <w:rFonts w:ascii="宋体" w:hAnsi="宋体" w:eastAsia="宋体" w:cs="宋体"/>
          <w:sz w:val="24"/>
          <w:szCs w:val="24"/>
        </w:rPr>
      </w:pPr>
      <w:r>
        <w:rPr>
          <w:rFonts w:ascii="宋体" w:hAnsi="宋体" w:eastAsia="宋体" w:cs="宋体"/>
          <w:spacing w:val="-3"/>
          <w:sz w:val="24"/>
          <w:szCs w:val="24"/>
        </w:rPr>
        <w:t>(五)不准向承包人介绍或为配偶、子女、亲属参与同发包人项目工程施工合同有关</w:t>
      </w:r>
    </w:p>
    <w:p w14:paraId="4C37FB21">
      <w:pPr>
        <w:spacing w:before="312" w:line="359" w:lineRule="auto"/>
        <w:ind w:left="11" w:firstLine="16"/>
        <w:rPr>
          <w:rFonts w:ascii="宋体" w:hAnsi="宋体" w:eastAsia="宋体" w:cs="宋体"/>
          <w:sz w:val="24"/>
          <w:szCs w:val="24"/>
        </w:rPr>
      </w:pPr>
      <w:r>
        <w:rPr>
          <w:rFonts w:ascii="宋体" w:hAnsi="宋体" w:eastAsia="宋体" w:cs="宋体"/>
          <w:spacing w:val="-2"/>
          <w:sz w:val="24"/>
          <w:szCs w:val="24"/>
        </w:rPr>
        <w:br w:type="page"/>
      </w:r>
      <w:r>
        <w:rPr>
          <w:rFonts w:ascii="宋体" w:hAnsi="宋体" w:eastAsia="宋体" w:cs="宋体"/>
          <w:spacing w:val="-2"/>
          <w:sz w:val="24"/>
          <w:szCs w:val="24"/>
        </w:rPr>
        <w:t>的设备、材料、工程分包、劳务等经济活动。不得以任何理由向承包人</w:t>
      </w:r>
      <w:r>
        <w:rPr>
          <w:rFonts w:ascii="宋体" w:hAnsi="宋体" w:eastAsia="宋体" w:cs="宋体"/>
          <w:spacing w:val="-3"/>
          <w:sz w:val="24"/>
          <w:szCs w:val="24"/>
        </w:rPr>
        <w:t>和相关单位推荐</w:t>
      </w:r>
      <w:r>
        <w:rPr>
          <w:rFonts w:ascii="宋体" w:hAnsi="宋体" w:eastAsia="宋体" w:cs="宋体"/>
          <w:spacing w:val="-1"/>
          <w:sz w:val="24"/>
          <w:szCs w:val="24"/>
        </w:rPr>
        <w:t>分包单位和要求承包人购买项目工程施工合同规定以外的材料、设备等。</w:t>
      </w:r>
    </w:p>
    <w:p w14:paraId="65D68FB3">
      <w:pPr>
        <w:spacing w:line="219" w:lineRule="auto"/>
        <w:ind w:left="488"/>
        <w:rPr>
          <w:rFonts w:ascii="宋体" w:hAnsi="宋体" w:eastAsia="宋体" w:cs="宋体"/>
          <w:sz w:val="24"/>
          <w:szCs w:val="24"/>
        </w:rPr>
      </w:pPr>
      <w:r>
        <w:rPr>
          <w:rFonts w:ascii="宋体" w:hAnsi="宋体" w:eastAsia="宋体" w:cs="宋体"/>
          <w:b/>
          <w:bCs/>
          <w:spacing w:val="-3"/>
          <w:sz w:val="24"/>
          <w:szCs w:val="24"/>
        </w:rPr>
        <w:t>第三条</w:t>
      </w:r>
      <w:r>
        <w:rPr>
          <w:rFonts w:ascii="宋体" w:hAnsi="宋体" w:eastAsia="宋体" w:cs="宋体"/>
          <w:spacing w:val="-3"/>
          <w:sz w:val="24"/>
          <w:szCs w:val="24"/>
        </w:rPr>
        <w:t xml:space="preserve">  </w:t>
      </w:r>
      <w:r>
        <w:rPr>
          <w:rFonts w:ascii="宋体" w:hAnsi="宋体" w:eastAsia="宋体" w:cs="宋体"/>
          <w:b/>
          <w:bCs/>
          <w:spacing w:val="-3"/>
          <w:sz w:val="24"/>
          <w:szCs w:val="24"/>
        </w:rPr>
        <w:t>承包人的责任</w:t>
      </w:r>
    </w:p>
    <w:p w14:paraId="2AF1D90D">
      <w:pPr>
        <w:spacing w:before="181" w:line="359" w:lineRule="auto"/>
        <w:ind w:left="12" w:firstLine="476"/>
        <w:jc w:val="both"/>
        <w:rPr>
          <w:rFonts w:ascii="宋体" w:hAnsi="宋体" w:eastAsia="宋体" w:cs="宋体"/>
          <w:sz w:val="24"/>
          <w:szCs w:val="24"/>
        </w:rPr>
      </w:pPr>
      <w:r>
        <w:rPr>
          <w:rFonts w:ascii="宋体" w:hAnsi="宋体" w:eastAsia="宋体" w:cs="宋体"/>
          <w:spacing w:val="-2"/>
          <w:sz w:val="24"/>
          <w:szCs w:val="24"/>
        </w:rPr>
        <w:t>应与发包人保持正常的业务交往，按照有关法律法规和程序开展业务工作，严格执行工程建设的有关方针、政策，尤其是有关建筑施工安装的强制性标准和规范，并遵守</w:t>
      </w:r>
      <w:r>
        <w:rPr>
          <w:rFonts w:ascii="宋体" w:hAnsi="宋体" w:eastAsia="宋体" w:cs="宋体"/>
          <w:spacing w:val="-3"/>
          <w:sz w:val="24"/>
          <w:szCs w:val="24"/>
        </w:rPr>
        <w:t>以下规定：</w:t>
      </w:r>
    </w:p>
    <w:p w14:paraId="4FAE5577">
      <w:pPr>
        <w:spacing w:line="359" w:lineRule="auto"/>
        <w:ind w:left="9" w:firstLine="521"/>
        <w:rPr>
          <w:rFonts w:ascii="宋体" w:hAnsi="宋体" w:eastAsia="宋体" w:cs="宋体"/>
          <w:sz w:val="24"/>
          <w:szCs w:val="24"/>
        </w:rPr>
      </w:pPr>
      <w:r>
        <w:rPr>
          <w:rFonts w:ascii="宋体" w:hAnsi="宋体" w:eastAsia="宋体" w:cs="宋体"/>
          <w:spacing w:val="-3"/>
          <w:sz w:val="24"/>
          <w:szCs w:val="24"/>
        </w:rPr>
        <w:t>(一)不准以任何理由向发包人、相关单位及其工作人员索要、接受或赠送礼金、有</w:t>
      </w:r>
      <w:r>
        <w:rPr>
          <w:rFonts w:ascii="宋体" w:hAnsi="宋体" w:eastAsia="宋体" w:cs="宋体"/>
          <w:spacing w:val="-1"/>
          <w:sz w:val="24"/>
          <w:szCs w:val="24"/>
        </w:rPr>
        <w:t>价证券、贵重物品和回扣、好处费、感谢费等。</w:t>
      </w:r>
    </w:p>
    <w:p w14:paraId="7C300F44">
      <w:pPr>
        <w:spacing w:line="219" w:lineRule="auto"/>
        <w:ind w:left="530"/>
        <w:rPr>
          <w:rFonts w:ascii="宋体" w:hAnsi="宋体" w:eastAsia="宋体" w:cs="宋体"/>
          <w:sz w:val="24"/>
          <w:szCs w:val="24"/>
        </w:rPr>
      </w:pPr>
      <w:r>
        <w:rPr>
          <w:rFonts w:ascii="宋体" w:hAnsi="宋体" w:eastAsia="宋体" w:cs="宋体"/>
          <w:spacing w:val="-2"/>
          <w:sz w:val="24"/>
          <w:szCs w:val="24"/>
        </w:rPr>
        <w:t>(二)不准以任何理由为发包人和相关单位报销应由对方或个人支付的费用。</w:t>
      </w:r>
    </w:p>
    <w:p w14:paraId="45135980">
      <w:pPr>
        <w:spacing w:before="180" w:line="359" w:lineRule="auto"/>
        <w:ind w:left="11" w:firstLine="519"/>
        <w:rPr>
          <w:rFonts w:ascii="宋体" w:hAnsi="宋体" w:eastAsia="宋体" w:cs="宋体"/>
          <w:sz w:val="24"/>
          <w:szCs w:val="24"/>
        </w:rPr>
      </w:pPr>
      <w:r>
        <w:rPr>
          <w:rFonts w:ascii="宋体" w:hAnsi="宋体" w:eastAsia="宋体" w:cs="宋体"/>
          <w:spacing w:val="-3"/>
          <w:sz w:val="24"/>
          <w:szCs w:val="24"/>
        </w:rPr>
        <w:t>(三)不准接受或暗示为发包人、相关单位或个人装修住房、婚丧嫁娶、配偶子女的</w:t>
      </w:r>
      <w:r>
        <w:rPr>
          <w:rFonts w:ascii="宋体" w:hAnsi="宋体" w:eastAsia="宋体" w:cs="宋体"/>
          <w:spacing w:val="-1"/>
          <w:sz w:val="24"/>
          <w:szCs w:val="24"/>
        </w:rPr>
        <w:t>工作安排以及出国(境)、旅游等提供方便。</w:t>
      </w:r>
    </w:p>
    <w:p w14:paraId="434D748A">
      <w:pPr>
        <w:spacing w:before="3" w:line="359" w:lineRule="auto"/>
        <w:ind w:left="6" w:firstLine="524"/>
        <w:rPr>
          <w:rFonts w:ascii="宋体" w:hAnsi="宋体" w:eastAsia="宋体" w:cs="宋体"/>
          <w:sz w:val="24"/>
          <w:szCs w:val="24"/>
        </w:rPr>
      </w:pPr>
      <w:r>
        <w:rPr>
          <w:rFonts w:ascii="宋体" w:hAnsi="宋体" w:eastAsia="宋体" w:cs="宋体"/>
          <w:spacing w:val="-3"/>
          <w:sz w:val="24"/>
          <w:szCs w:val="24"/>
        </w:rPr>
        <w:t>(四)不准以任何理由为发包人、相关单位或个人组织有可能影响公正执行公务的宴</w:t>
      </w:r>
      <w:r>
        <w:rPr>
          <w:rFonts w:ascii="宋体" w:hAnsi="宋体" w:eastAsia="宋体" w:cs="宋体"/>
          <w:spacing w:val="-1"/>
          <w:sz w:val="24"/>
          <w:szCs w:val="24"/>
        </w:rPr>
        <w:t>请、健身、娱乐等活动。</w:t>
      </w:r>
    </w:p>
    <w:p w14:paraId="03119788">
      <w:pPr>
        <w:spacing w:before="1" w:line="219" w:lineRule="auto"/>
        <w:ind w:left="488"/>
        <w:rPr>
          <w:rFonts w:ascii="宋体" w:hAnsi="宋体" w:eastAsia="宋体" w:cs="宋体"/>
          <w:sz w:val="24"/>
          <w:szCs w:val="24"/>
        </w:rPr>
      </w:pPr>
      <w:r>
        <w:rPr>
          <w:rFonts w:ascii="宋体" w:hAnsi="宋体" w:eastAsia="宋体" w:cs="宋体"/>
          <w:b/>
          <w:bCs/>
          <w:spacing w:val="-3"/>
          <w:sz w:val="24"/>
          <w:szCs w:val="24"/>
        </w:rPr>
        <w:t>第四条</w:t>
      </w:r>
      <w:r>
        <w:rPr>
          <w:rFonts w:ascii="宋体" w:hAnsi="宋体" w:eastAsia="宋体" w:cs="宋体"/>
          <w:spacing w:val="-3"/>
          <w:sz w:val="24"/>
          <w:szCs w:val="24"/>
        </w:rPr>
        <w:t xml:space="preserve">  </w:t>
      </w:r>
      <w:r>
        <w:rPr>
          <w:rFonts w:ascii="宋体" w:hAnsi="宋体" w:eastAsia="宋体" w:cs="宋体"/>
          <w:b/>
          <w:bCs/>
          <w:spacing w:val="-3"/>
          <w:sz w:val="24"/>
          <w:szCs w:val="24"/>
        </w:rPr>
        <w:t>违约责任</w:t>
      </w:r>
    </w:p>
    <w:p w14:paraId="0AA3974A">
      <w:pPr>
        <w:spacing w:before="179" w:line="359" w:lineRule="auto"/>
        <w:ind w:left="8" w:firstLine="522"/>
        <w:rPr>
          <w:rFonts w:ascii="宋体" w:hAnsi="宋体" w:eastAsia="宋体" w:cs="宋体"/>
          <w:sz w:val="24"/>
          <w:szCs w:val="24"/>
        </w:rPr>
      </w:pPr>
      <w:r>
        <w:rPr>
          <w:rFonts w:ascii="宋体" w:hAnsi="宋体" w:eastAsia="宋体" w:cs="宋体"/>
          <w:spacing w:val="-3"/>
          <w:sz w:val="24"/>
          <w:szCs w:val="24"/>
        </w:rPr>
        <w:t>(一)发包人工作人员有违反本合同第一、二条责任行为的，按照管理权限，依据有</w:t>
      </w:r>
      <w:r>
        <w:rPr>
          <w:rFonts w:ascii="宋体" w:hAnsi="宋体" w:eastAsia="宋体" w:cs="宋体"/>
          <w:spacing w:val="-2"/>
          <w:sz w:val="24"/>
          <w:szCs w:val="24"/>
        </w:rPr>
        <w:t>关法律法规和规定给予党纪、政纪处分或组织处理；涉嫌犯罪的，移交司法机关追究刑</w:t>
      </w:r>
      <w:r>
        <w:rPr>
          <w:rFonts w:ascii="宋体" w:hAnsi="宋体" w:eastAsia="宋体" w:cs="宋体"/>
          <w:spacing w:val="-1"/>
          <w:sz w:val="24"/>
          <w:szCs w:val="24"/>
        </w:rPr>
        <w:t>事责任；给承包人单位造成经济损失的，应予以赔偿。</w:t>
      </w:r>
    </w:p>
    <w:p w14:paraId="53EED558">
      <w:pPr>
        <w:spacing w:before="2" w:line="359" w:lineRule="auto"/>
        <w:ind w:left="8" w:firstLine="522"/>
        <w:rPr>
          <w:rFonts w:ascii="宋体" w:hAnsi="宋体" w:eastAsia="宋体" w:cs="宋体"/>
          <w:sz w:val="24"/>
          <w:szCs w:val="24"/>
        </w:rPr>
      </w:pPr>
      <w:r>
        <w:rPr>
          <w:rFonts w:ascii="宋体" w:hAnsi="宋体" w:eastAsia="宋体" w:cs="宋体"/>
          <w:spacing w:val="-3"/>
          <w:sz w:val="24"/>
          <w:szCs w:val="24"/>
        </w:rPr>
        <w:t>(二)承包人工作人员有违反本合同第一、三条责任行为的，按照管理权限，依据有</w:t>
      </w:r>
      <w:r>
        <w:rPr>
          <w:rFonts w:ascii="宋体" w:hAnsi="宋体" w:eastAsia="宋体" w:cs="宋体"/>
          <w:spacing w:val="-2"/>
          <w:sz w:val="24"/>
          <w:szCs w:val="24"/>
        </w:rPr>
        <w:t>关法律法规和规定给予党纪、政纪处分或组织处理；涉嫌犯罪的，移交司法机关追究刑</w:t>
      </w:r>
      <w:r>
        <w:rPr>
          <w:rFonts w:ascii="宋体" w:hAnsi="宋体" w:eastAsia="宋体" w:cs="宋体"/>
          <w:spacing w:val="-1"/>
          <w:sz w:val="24"/>
          <w:szCs w:val="24"/>
        </w:rPr>
        <w:t>事责任；给发包人单位造成经济损失的，应予以赔偿。</w:t>
      </w:r>
    </w:p>
    <w:p w14:paraId="32DFB3B1">
      <w:pPr>
        <w:spacing w:line="359" w:lineRule="auto"/>
        <w:ind w:left="8" w:firstLine="480"/>
        <w:rPr>
          <w:rFonts w:ascii="宋体" w:hAnsi="宋体" w:eastAsia="宋体" w:cs="宋体"/>
          <w:sz w:val="24"/>
          <w:szCs w:val="24"/>
        </w:rPr>
      </w:pPr>
      <w:r>
        <w:rPr>
          <w:rFonts w:ascii="宋体" w:hAnsi="宋体" w:eastAsia="宋体" w:cs="宋体"/>
          <w:spacing w:val="-1"/>
          <w:sz w:val="24"/>
          <w:szCs w:val="24"/>
        </w:rPr>
        <w:t>第五条</w:t>
      </w:r>
      <w:r>
        <w:rPr>
          <w:rFonts w:ascii="宋体" w:hAnsi="宋体" w:eastAsia="宋体" w:cs="宋体"/>
          <w:spacing w:val="91"/>
          <w:sz w:val="24"/>
          <w:szCs w:val="24"/>
        </w:rPr>
        <w:t xml:space="preserve"> </w:t>
      </w:r>
      <w:r>
        <w:rPr>
          <w:rFonts w:ascii="宋体" w:hAnsi="宋体" w:eastAsia="宋体" w:cs="宋体"/>
          <w:spacing w:val="-1"/>
          <w:sz w:val="24"/>
          <w:szCs w:val="24"/>
        </w:rPr>
        <w:t>本合同作为工程施工合同的附件，与工程施工合同具有同等法律效力。经双方签署后立即生效。</w:t>
      </w:r>
    </w:p>
    <w:p w14:paraId="18590684">
      <w:pPr>
        <w:spacing w:before="1" w:line="218" w:lineRule="auto"/>
        <w:ind w:left="488"/>
        <w:rPr>
          <w:rFonts w:ascii="宋体" w:hAnsi="宋体" w:eastAsia="宋体" w:cs="宋体"/>
          <w:sz w:val="24"/>
          <w:szCs w:val="24"/>
        </w:rPr>
      </w:pPr>
      <w:r>
        <w:rPr>
          <w:rFonts w:ascii="宋体" w:hAnsi="宋体" w:eastAsia="宋体" w:cs="宋体"/>
          <w:sz w:val="24"/>
          <w:szCs w:val="24"/>
        </w:rPr>
        <w:t>第六条  本合同的有效期为双方签署之日起至该工程</w:t>
      </w:r>
      <w:r>
        <w:rPr>
          <w:rFonts w:ascii="宋体" w:hAnsi="宋体" w:eastAsia="宋体" w:cs="宋体"/>
          <w:spacing w:val="-1"/>
          <w:sz w:val="24"/>
          <w:szCs w:val="24"/>
        </w:rPr>
        <w:t>项目竣工验收合格时止。</w:t>
      </w:r>
    </w:p>
    <w:p w14:paraId="01C44D28">
      <w:pPr>
        <w:spacing w:before="183" w:line="362" w:lineRule="auto"/>
        <w:ind w:left="10" w:right="67" w:firstLine="478"/>
        <w:rPr>
          <w:rFonts w:ascii="宋体" w:hAnsi="宋体" w:eastAsia="宋体" w:cs="宋体"/>
          <w:sz w:val="24"/>
          <w:szCs w:val="24"/>
        </w:rPr>
      </w:pPr>
      <w:r>
        <w:rPr>
          <w:rFonts w:ascii="宋体" w:hAnsi="宋体" w:eastAsia="宋体" w:cs="宋体"/>
          <w:spacing w:val="-1"/>
          <w:sz w:val="24"/>
          <w:szCs w:val="24"/>
        </w:rPr>
        <w:t>第七条本合同正本贰份，双方各执壹份，具有同等法律效力；副本</w:t>
      </w:r>
      <w:r>
        <w:rPr>
          <w:rFonts w:ascii="宋体" w:hAnsi="宋体" w:eastAsia="宋体" w:cs="宋体"/>
          <w:spacing w:val="-1"/>
          <w:sz w:val="24"/>
          <w:szCs w:val="24"/>
          <w:u w:val="single" w:color="auto"/>
        </w:rPr>
        <w:t xml:space="preserve">     </w:t>
      </w:r>
      <w:r>
        <w:rPr>
          <w:rFonts w:ascii="宋体" w:hAnsi="宋体" w:eastAsia="宋体" w:cs="宋体"/>
          <w:spacing w:val="-93"/>
          <w:sz w:val="24"/>
          <w:szCs w:val="24"/>
        </w:rPr>
        <w:t xml:space="preserve"> </w:t>
      </w:r>
      <w:r>
        <w:rPr>
          <w:rFonts w:ascii="宋体" w:hAnsi="宋体" w:eastAsia="宋体" w:cs="宋体"/>
          <w:spacing w:val="-1"/>
          <w:sz w:val="24"/>
          <w:szCs w:val="24"/>
        </w:rPr>
        <w:t>份，发包人执</w:t>
      </w:r>
      <w:r>
        <w:rPr>
          <w:rFonts w:ascii="宋体" w:hAnsi="宋体" w:eastAsia="宋体" w:cs="宋体"/>
          <w:spacing w:val="-1"/>
          <w:sz w:val="24"/>
          <w:szCs w:val="24"/>
          <w:u w:val="single" w:color="auto"/>
        </w:rPr>
        <w:t xml:space="preserve">    </w:t>
      </w:r>
      <w:r>
        <w:rPr>
          <w:rFonts w:ascii="宋体" w:hAnsi="宋体" w:eastAsia="宋体" w:cs="宋体"/>
          <w:spacing w:val="-107"/>
          <w:sz w:val="24"/>
          <w:szCs w:val="24"/>
        </w:rPr>
        <w:t xml:space="preserve"> </w:t>
      </w:r>
      <w:r>
        <w:rPr>
          <w:rFonts w:ascii="宋体" w:hAnsi="宋体" w:eastAsia="宋体" w:cs="宋体"/>
          <w:spacing w:val="-1"/>
          <w:sz w:val="24"/>
          <w:szCs w:val="24"/>
        </w:rPr>
        <w:t>份，承包人执</w:t>
      </w:r>
      <w:r>
        <w:rPr>
          <w:rFonts w:ascii="宋体" w:hAnsi="宋体" w:eastAsia="宋体" w:cs="宋体"/>
          <w:spacing w:val="-1"/>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1"/>
          <w:sz w:val="24"/>
          <w:szCs w:val="24"/>
        </w:rPr>
        <w:t>份。当副本与正本不一致时，以正本为准。</w:t>
      </w:r>
    </w:p>
    <w:p w14:paraId="207162A5">
      <w:pPr>
        <w:spacing w:line="365" w:lineRule="auto"/>
        <w:rPr>
          <w:rFonts w:hint="eastAsia" w:ascii="Arial" w:eastAsia="宋体"/>
          <w:sz w:val="21"/>
          <w:lang w:eastAsia="zh-CN"/>
        </w:rPr>
      </w:pPr>
      <w:r>
        <w:rPr>
          <w:rFonts w:hint="eastAsia" w:ascii="Arial" w:eastAsia="宋体"/>
          <w:sz w:val="21"/>
          <w:lang w:eastAsia="zh-CN"/>
        </w:rPr>
        <w:br w:type="page"/>
      </w:r>
    </w:p>
    <w:p w14:paraId="464DF414">
      <w:pPr>
        <w:spacing w:before="78" w:line="219" w:lineRule="auto"/>
        <w:ind w:left="196"/>
        <w:rPr>
          <w:rFonts w:ascii="宋体" w:hAnsi="宋体" w:eastAsia="宋体" w:cs="宋体"/>
          <w:sz w:val="24"/>
          <w:szCs w:val="24"/>
        </w:rPr>
      </w:pPr>
      <w:r>
        <w:rPr>
          <w:rFonts w:ascii="宋体" w:hAnsi="宋体" w:eastAsia="宋体" w:cs="宋体"/>
          <w:spacing w:val="29"/>
          <w:sz w:val="24"/>
          <w:szCs w:val="24"/>
        </w:rPr>
        <w:t>发包人（盖章</w:t>
      </w:r>
      <w:r>
        <w:rPr>
          <w:rFonts w:ascii="宋体" w:hAnsi="宋体" w:eastAsia="宋体" w:cs="宋体"/>
          <w:spacing w:val="-50"/>
          <w:sz w:val="24"/>
          <w:szCs w:val="24"/>
        </w:rPr>
        <w:t xml:space="preserve"> </w:t>
      </w:r>
      <w:r>
        <w:rPr>
          <w:rFonts w:ascii="宋体" w:hAnsi="宋体" w:eastAsia="宋体" w:cs="宋体"/>
          <w:spacing w:val="-24"/>
          <w:sz w:val="24"/>
          <w:szCs w:val="24"/>
        </w:rPr>
        <w:t>）</w:t>
      </w:r>
      <w:r>
        <w:rPr>
          <w:rFonts w:ascii="宋体" w:hAnsi="宋体" w:eastAsia="宋体" w:cs="宋体"/>
          <w:spacing w:val="3"/>
          <w:sz w:val="24"/>
          <w:szCs w:val="24"/>
        </w:rPr>
        <w:t xml:space="preserve">  </w:t>
      </w:r>
      <w:r>
        <w:rPr>
          <w:rFonts w:ascii="宋体" w:hAnsi="宋体" w:eastAsia="宋体" w:cs="宋体"/>
          <w:spacing w:val="-24"/>
          <w:sz w:val="24"/>
          <w:szCs w:val="24"/>
        </w:rPr>
        <w:t>：</w:t>
      </w:r>
      <w:r>
        <w:rPr>
          <w:rFonts w:ascii="宋体" w:hAnsi="宋体" w:eastAsia="宋体" w:cs="宋体"/>
          <w:spacing w:val="5"/>
          <w:sz w:val="24"/>
          <w:szCs w:val="24"/>
        </w:rPr>
        <w:t xml:space="preserve">                  </w:t>
      </w:r>
      <w:r>
        <w:rPr>
          <w:rFonts w:ascii="宋体" w:hAnsi="宋体" w:eastAsia="宋体" w:cs="宋体"/>
          <w:spacing w:val="29"/>
          <w:sz w:val="24"/>
          <w:szCs w:val="24"/>
        </w:rPr>
        <w:t>承包人（盖章</w:t>
      </w:r>
      <w:r>
        <w:rPr>
          <w:rFonts w:ascii="宋体" w:hAnsi="宋体" w:eastAsia="宋体" w:cs="宋体"/>
          <w:spacing w:val="-41"/>
          <w:sz w:val="24"/>
          <w:szCs w:val="24"/>
        </w:rPr>
        <w:t xml:space="preserve"> </w:t>
      </w:r>
      <w:r>
        <w:rPr>
          <w:rFonts w:ascii="宋体" w:hAnsi="宋体" w:eastAsia="宋体" w:cs="宋体"/>
          <w:spacing w:val="-24"/>
          <w:sz w:val="24"/>
          <w:szCs w:val="24"/>
        </w:rPr>
        <w:t>）</w:t>
      </w:r>
      <w:r>
        <w:rPr>
          <w:rFonts w:ascii="宋体" w:hAnsi="宋体" w:eastAsia="宋体" w:cs="宋体"/>
          <w:spacing w:val="95"/>
          <w:sz w:val="24"/>
          <w:szCs w:val="24"/>
        </w:rPr>
        <w:t xml:space="preserve"> </w:t>
      </w:r>
      <w:r>
        <w:rPr>
          <w:rFonts w:ascii="宋体" w:hAnsi="宋体" w:eastAsia="宋体" w:cs="宋体"/>
          <w:spacing w:val="-24"/>
          <w:sz w:val="24"/>
          <w:szCs w:val="24"/>
        </w:rPr>
        <w:t>：</w:t>
      </w:r>
    </w:p>
    <w:p w14:paraId="119D2DA4">
      <w:pPr>
        <w:spacing w:before="234" w:line="219" w:lineRule="auto"/>
        <w:ind w:left="194"/>
        <w:rPr>
          <w:rFonts w:ascii="宋体" w:hAnsi="宋体" w:eastAsia="宋体" w:cs="宋体"/>
          <w:sz w:val="24"/>
          <w:szCs w:val="24"/>
        </w:rPr>
      </w:pPr>
      <w:r>
        <w:rPr>
          <w:rFonts w:ascii="宋体" w:hAnsi="宋体" w:eastAsia="宋体" w:cs="宋体"/>
          <w:spacing w:val="9"/>
          <w:sz w:val="24"/>
          <w:szCs w:val="24"/>
        </w:rPr>
        <w:t>法</w:t>
      </w:r>
      <w:r>
        <w:rPr>
          <w:rFonts w:ascii="宋体" w:hAnsi="宋体" w:eastAsia="宋体" w:cs="宋体"/>
          <w:spacing w:val="-69"/>
          <w:sz w:val="24"/>
          <w:szCs w:val="24"/>
        </w:rPr>
        <w:t xml:space="preserve"> </w:t>
      </w:r>
      <w:r>
        <w:rPr>
          <w:rFonts w:ascii="宋体" w:hAnsi="宋体" w:eastAsia="宋体" w:cs="宋体"/>
          <w:spacing w:val="9"/>
          <w:sz w:val="24"/>
          <w:szCs w:val="24"/>
        </w:rPr>
        <w:t>定代表人</w:t>
      </w:r>
      <w:r>
        <w:rPr>
          <w:rFonts w:ascii="宋体" w:hAnsi="宋体" w:eastAsia="宋体" w:cs="宋体"/>
          <w:spacing w:val="-72"/>
          <w:sz w:val="24"/>
          <w:szCs w:val="24"/>
        </w:rPr>
        <w:t xml:space="preserve"> </w:t>
      </w:r>
      <w:r>
        <w:rPr>
          <w:rFonts w:ascii="宋体" w:hAnsi="宋体" w:eastAsia="宋体" w:cs="宋体"/>
          <w:spacing w:val="9"/>
          <w:sz w:val="24"/>
          <w:szCs w:val="24"/>
        </w:rPr>
        <w:t>或授</w:t>
      </w:r>
      <w:r>
        <w:rPr>
          <w:rFonts w:ascii="宋体" w:hAnsi="宋体" w:eastAsia="宋体" w:cs="宋体"/>
          <w:spacing w:val="3"/>
          <w:sz w:val="24"/>
          <w:szCs w:val="24"/>
        </w:rPr>
        <w:t xml:space="preserve">                      </w:t>
      </w:r>
      <w:r>
        <w:rPr>
          <w:rFonts w:ascii="宋体" w:hAnsi="宋体" w:eastAsia="宋体" w:cs="宋体"/>
          <w:spacing w:val="9"/>
          <w:sz w:val="24"/>
          <w:szCs w:val="24"/>
        </w:rPr>
        <w:t>法</w:t>
      </w:r>
      <w:r>
        <w:rPr>
          <w:rFonts w:ascii="宋体" w:hAnsi="宋体" w:eastAsia="宋体" w:cs="宋体"/>
          <w:spacing w:val="-58"/>
          <w:sz w:val="24"/>
          <w:szCs w:val="24"/>
        </w:rPr>
        <w:t xml:space="preserve"> </w:t>
      </w:r>
      <w:r>
        <w:rPr>
          <w:rFonts w:ascii="宋体" w:hAnsi="宋体" w:eastAsia="宋体" w:cs="宋体"/>
          <w:spacing w:val="9"/>
          <w:sz w:val="24"/>
          <w:szCs w:val="24"/>
        </w:rPr>
        <w:t>定代</w:t>
      </w:r>
      <w:r>
        <w:rPr>
          <w:rFonts w:ascii="宋体" w:hAnsi="宋体" w:eastAsia="宋体" w:cs="宋体"/>
          <w:spacing w:val="-70"/>
          <w:sz w:val="24"/>
          <w:szCs w:val="24"/>
        </w:rPr>
        <w:t xml:space="preserve"> </w:t>
      </w:r>
      <w:r>
        <w:rPr>
          <w:rFonts w:ascii="宋体" w:hAnsi="宋体" w:eastAsia="宋体" w:cs="宋体"/>
          <w:spacing w:val="9"/>
          <w:sz w:val="24"/>
          <w:szCs w:val="24"/>
        </w:rPr>
        <w:t>表</w:t>
      </w:r>
      <w:r>
        <w:rPr>
          <w:rFonts w:ascii="宋体" w:hAnsi="宋体" w:eastAsia="宋体" w:cs="宋体"/>
          <w:spacing w:val="-68"/>
          <w:sz w:val="24"/>
          <w:szCs w:val="24"/>
        </w:rPr>
        <w:t xml:space="preserve"> </w:t>
      </w:r>
      <w:r>
        <w:rPr>
          <w:rFonts w:ascii="宋体" w:hAnsi="宋体" w:eastAsia="宋体" w:cs="宋体"/>
          <w:spacing w:val="9"/>
          <w:sz w:val="24"/>
          <w:szCs w:val="24"/>
        </w:rPr>
        <w:t>人</w:t>
      </w:r>
      <w:r>
        <w:rPr>
          <w:rFonts w:ascii="宋体" w:hAnsi="宋体" w:eastAsia="宋体" w:cs="宋体"/>
          <w:spacing w:val="-67"/>
          <w:sz w:val="24"/>
          <w:szCs w:val="24"/>
        </w:rPr>
        <w:t xml:space="preserve"> </w:t>
      </w:r>
      <w:r>
        <w:rPr>
          <w:rFonts w:ascii="宋体" w:hAnsi="宋体" w:eastAsia="宋体" w:cs="宋体"/>
          <w:spacing w:val="9"/>
          <w:sz w:val="24"/>
          <w:szCs w:val="24"/>
        </w:rPr>
        <w:t>或授</w:t>
      </w:r>
    </w:p>
    <w:p w14:paraId="2ADEB70C">
      <w:pPr>
        <w:spacing w:before="305" w:line="219" w:lineRule="auto"/>
        <w:ind w:left="192"/>
        <w:rPr>
          <w:rFonts w:ascii="宋体" w:hAnsi="宋体" w:eastAsia="宋体" w:cs="宋体"/>
          <w:sz w:val="24"/>
          <w:szCs w:val="24"/>
        </w:rPr>
      </w:pPr>
      <w:r>
        <w:rPr>
          <w:rFonts w:ascii="宋体" w:hAnsi="宋体" w:eastAsia="宋体" w:cs="宋体"/>
          <w:spacing w:val="-2"/>
          <w:sz w:val="24"/>
          <w:szCs w:val="24"/>
        </w:rPr>
        <w:t>权代理人（签字</w:t>
      </w:r>
      <w:r>
        <w:rPr>
          <w:rFonts w:ascii="宋体" w:hAnsi="宋体" w:eastAsia="宋体" w:cs="宋体"/>
          <w:spacing w:val="-5"/>
          <w:sz w:val="24"/>
          <w:szCs w:val="24"/>
        </w:rPr>
        <w:t>）</w:t>
      </w:r>
      <w:r>
        <w:rPr>
          <w:rFonts w:ascii="宋体" w:hAnsi="宋体" w:eastAsia="宋体" w:cs="宋体"/>
          <w:spacing w:val="95"/>
          <w:sz w:val="24"/>
          <w:szCs w:val="24"/>
        </w:rPr>
        <w:t xml:space="preserve"> </w:t>
      </w:r>
      <w:r>
        <w:rPr>
          <w:rFonts w:ascii="宋体" w:hAnsi="宋体" w:eastAsia="宋体" w:cs="宋体"/>
          <w:spacing w:val="-5"/>
          <w:sz w:val="24"/>
          <w:szCs w:val="24"/>
        </w:rPr>
        <w:t>：</w:t>
      </w:r>
      <w:r>
        <w:rPr>
          <w:rFonts w:ascii="宋体" w:hAnsi="宋体" w:eastAsia="宋体" w:cs="宋体"/>
          <w:spacing w:val="5"/>
          <w:sz w:val="24"/>
          <w:szCs w:val="24"/>
        </w:rPr>
        <w:t xml:space="preserve">                  </w:t>
      </w:r>
      <w:r>
        <w:rPr>
          <w:rFonts w:ascii="宋体" w:hAnsi="宋体" w:eastAsia="宋体" w:cs="宋体"/>
          <w:spacing w:val="-2"/>
          <w:sz w:val="24"/>
          <w:szCs w:val="24"/>
        </w:rPr>
        <w:t>权代理人（签字</w:t>
      </w:r>
      <w:r>
        <w:rPr>
          <w:rFonts w:ascii="宋体" w:hAnsi="宋体" w:eastAsia="宋体" w:cs="宋体"/>
          <w:spacing w:val="-5"/>
          <w:sz w:val="24"/>
          <w:szCs w:val="24"/>
        </w:rPr>
        <w:t>）</w:t>
      </w:r>
      <w:r>
        <w:rPr>
          <w:rFonts w:ascii="宋体" w:hAnsi="宋体" w:eastAsia="宋体" w:cs="宋体"/>
          <w:spacing w:val="100"/>
          <w:sz w:val="24"/>
          <w:szCs w:val="24"/>
        </w:rPr>
        <w:t xml:space="preserve"> </w:t>
      </w:r>
      <w:r>
        <w:rPr>
          <w:rFonts w:ascii="宋体" w:hAnsi="宋体" w:eastAsia="宋体" w:cs="宋体"/>
          <w:spacing w:val="-5"/>
          <w:sz w:val="24"/>
          <w:szCs w:val="24"/>
        </w:rPr>
        <w:t>：</w:t>
      </w:r>
    </w:p>
    <w:p w14:paraId="07E6C0DE">
      <w:pPr>
        <w:spacing w:line="247" w:lineRule="auto"/>
        <w:rPr>
          <w:rFonts w:ascii="Arial"/>
          <w:sz w:val="21"/>
        </w:rPr>
      </w:pPr>
    </w:p>
    <w:p w14:paraId="41D908A3">
      <w:pPr>
        <w:spacing w:line="248" w:lineRule="auto"/>
        <w:rPr>
          <w:rFonts w:ascii="Arial"/>
          <w:sz w:val="21"/>
        </w:rPr>
      </w:pPr>
    </w:p>
    <w:p w14:paraId="1A292E45">
      <w:pPr>
        <w:spacing w:line="248" w:lineRule="auto"/>
        <w:rPr>
          <w:rFonts w:ascii="Arial"/>
          <w:sz w:val="21"/>
        </w:rPr>
      </w:pPr>
    </w:p>
    <w:p w14:paraId="0A4498B5">
      <w:pPr>
        <w:spacing w:line="248" w:lineRule="auto"/>
        <w:rPr>
          <w:rFonts w:ascii="Arial"/>
          <w:sz w:val="21"/>
        </w:rPr>
      </w:pPr>
    </w:p>
    <w:p w14:paraId="7D767EE2">
      <w:pPr>
        <w:spacing w:before="78" w:line="221" w:lineRule="auto"/>
        <w:ind w:left="194"/>
        <w:rPr>
          <w:rFonts w:ascii="宋体" w:hAnsi="宋体" w:eastAsia="宋体" w:cs="宋体"/>
          <w:sz w:val="24"/>
          <w:szCs w:val="24"/>
        </w:rPr>
      </w:pPr>
      <w:r>
        <w:rPr>
          <w:rFonts w:ascii="宋体" w:hAnsi="宋体" w:eastAsia="宋体" w:cs="宋体"/>
          <w:spacing w:val="-14"/>
          <w:sz w:val="24"/>
          <w:szCs w:val="24"/>
        </w:rPr>
        <w:t>监</w:t>
      </w:r>
      <w:r>
        <w:rPr>
          <w:rFonts w:ascii="宋体" w:hAnsi="宋体" w:eastAsia="宋体" w:cs="宋体"/>
          <w:spacing w:val="9"/>
          <w:sz w:val="24"/>
          <w:szCs w:val="24"/>
        </w:rPr>
        <w:t xml:space="preserve">           </w:t>
      </w:r>
      <w:r>
        <w:rPr>
          <w:rFonts w:ascii="宋体" w:hAnsi="宋体" w:eastAsia="宋体" w:cs="宋体"/>
          <w:spacing w:val="-14"/>
          <w:sz w:val="24"/>
          <w:szCs w:val="24"/>
        </w:rPr>
        <w:t>督</w:t>
      </w:r>
      <w:r>
        <w:rPr>
          <w:rFonts w:ascii="宋体" w:hAnsi="宋体" w:eastAsia="宋体" w:cs="宋体"/>
          <w:spacing w:val="7"/>
          <w:sz w:val="24"/>
          <w:szCs w:val="24"/>
        </w:rPr>
        <w:t xml:space="preserve">  </w:t>
      </w:r>
      <w:r>
        <w:rPr>
          <w:rFonts w:ascii="宋体" w:hAnsi="宋体" w:eastAsia="宋体" w:cs="宋体"/>
          <w:spacing w:val="-14"/>
          <w:sz w:val="24"/>
          <w:szCs w:val="24"/>
        </w:rPr>
        <w:t>：</w:t>
      </w:r>
      <w:r>
        <w:rPr>
          <w:rFonts w:ascii="宋体" w:hAnsi="宋体" w:eastAsia="宋体" w:cs="宋体"/>
          <w:spacing w:val="5"/>
          <w:sz w:val="24"/>
          <w:szCs w:val="24"/>
        </w:rPr>
        <w:t xml:space="preserve">                  </w:t>
      </w:r>
      <w:r>
        <w:rPr>
          <w:rFonts w:ascii="宋体" w:hAnsi="宋体" w:eastAsia="宋体" w:cs="宋体"/>
          <w:spacing w:val="-14"/>
          <w:sz w:val="24"/>
          <w:szCs w:val="24"/>
        </w:rPr>
        <w:t>监</w:t>
      </w:r>
      <w:r>
        <w:rPr>
          <w:rFonts w:ascii="宋体" w:hAnsi="宋体" w:eastAsia="宋体" w:cs="宋体"/>
          <w:spacing w:val="1"/>
          <w:sz w:val="24"/>
          <w:szCs w:val="24"/>
        </w:rPr>
        <w:t xml:space="preserve">            </w:t>
      </w:r>
      <w:r>
        <w:rPr>
          <w:rFonts w:ascii="宋体" w:hAnsi="宋体" w:eastAsia="宋体" w:cs="宋体"/>
          <w:spacing w:val="-14"/>
          <w:sz w:val="24"/>
          <w:szCs w:val="24"/>
        </w:rPr>
        <w:t>督</w:t>
      </w:r>
      <w:r>
        <w:rPr>
          <w:rFonts w:ascii="宋体" w:hAnsi="宋体" w:eastAsia="宋体" w:cs="宋体"/>
          <w:spacing w:val="104"/>
          <w:sz w:val="24"/>
          <w:szCs w:val="24"/>
        </w:rPr>
        <w:t xml:space="preserve"> </w:t>
      </w:r>
      <w:r>
        <w:rPr>
          <w:rFonts w:ascii="宋体" w:hAnsi="宋体" w:eastAsia="宋体" w:cs="宋体"/>
          <w:spacing w:val="-14"/>
          <w:sz w:val="24"/>
          <w:szCs w:val="24"/>
        </w:rPr>
        <w:t>：</w:t>
      </w:r>
    </w:p>
    <w:p w14:paraId="645E72A7">
      <w:pPr>
        <w:spacing w:line="312" w:lineRule="auto"/>
        <w:rPr>
          <w:rFonts w:ascii="Arial"/>
          <w:sz w:val="21"/>
        </w:rPr>
      </w:pPr>
    </w:p>
    <w:p w14:paraId="5048EB75">
      <w:pPr>
        <w:spacing w:before="79" w:line="221" w:lineRule="auto"/>
        <w:ind w:left="194"/>
        <w:rPr>
          <w:rFonts w:ascii="宋体" w:hAnsi="宋体" w:eastAsia="宋体" w:cs="宋体"/>
          <w:sz w:val="24"/>
          <w:szCs w:val="24"/>
        </w:rPr>
      </w:pPr>
      <w:r>
        <w:rPr>
          <w:rFonts w:ascii="宋体" w:hAnsi="宋体" w:eastAsia="宋体" w:cs="宋体"/>
          <w:spacing w:val="-10"/>
          <w:sz w:val="24"/>
          <w:szCs w:val="24"/>
        </w:rPr>
        <w:t>联</w:t>
      </w:r>
      <w:r>
        <w:rPr>
          <w:rFonts w:ascii="宋体" w:hAnsi="宋体" w:eastAsia="宋体" w:cs="宋体"/>
          <w:spacing w:val="41"/>
          <w:sz w:val="24"/>
          <w:szCs w:val="24"/>
        </w:rPr>
        <w:t xml:space="preserve">  </w:t>
      </w:r>
      <w:r>
        <w:rPr>
          <w:rFonts w:ascii="宋体" w:hAnsi="宋体" w:eastAsia="宋体" w:cs="宋体"/>
          <w:spacing w:val="-10"/>
          <w:sz w:val="24"/>
          <w:szCs w:val="24"/>
        </w:rPr>
        <w:t>系   电</w:t>
      </w:r>
      <w:r>
        <w:rPr>
          <w:rFonts w:ascii="宋体" w:hAnsi="宋体" w:eastAsia="宋体" w:cs="宋体"/>
          <w:spacing w:val="40"/>
          <w:sz w:val="24"/>
          <w:szCs w:val="24"/>
        </w:rPr>
        <w:t xml:space="preserve">  </w:t>
      </w:r>
      <w:r>
        <w:rPr>
          <w:rFonts w:ascii="宋体" w:hAnsi="宋体" w:eastAsia="宋体" w:cs="宋体"/>
          <w:spacing w:val="-10"/>
          <w:sz w:val="24"/>
          <w:szCs w:val="24"/>
        </w:rPr>
        <w:t>话</w:t>
      </w:r>
      <w:r>
        <w:rPr>
          <w:rFonts w:ascii="宋体" w:hAnsi="宋体" w:eastAsia="宋体" w:cs="宋体"/>
          <w:spacing w:val="3"/>
          <w:sz w:val="24"/>
          <w:szCs w:val="24"/>
        </w:rPr>
        <w:t xml:space="preserve">  </w:t>
      </w:r>
      <w:r>
        <w:rPr>
          <w:rFonts w:ascii="宋体" w:hAnsi="宋体" w:eastAsia="宋体" w:cs="宋体"/>
          <w:spacing w:val="-10"/>
          <w:sz w:val="24"/>
          <w:szCs w:val="24"/>
        </w:rPr>
        <w:t>：                    联   系</w:t>
      </w:r>
      <w:r>
        <w:rPr>
          <w:rFonts w:ascii="宋体" w:hAnsi="宋体" w:eastAsia="宋体" w:cs="宋体"/>
          <w:spacing w:val="59"/>
          <w:sz w:val="24"/>
          <w:szCs w:val="24"/>
        </w:rPr>
        <w:t xml:space="preserve">  </w:t>
      </w:r>
      <w:r>
        <w:rPr>
          <w:rFonts w:ascii="宋体" w:hAnsi="宋体" w:eastAsia="宋体" w:cs="宋体"/>
          <w:spacing w:val="-10"/>
          <w:sz w:val="24"/>
          <w:szCs w:val="24"/>
        </w:rPr>
        <w:t xml:space="preserve">电   话 </w:t>
      </w:r>
      <w:r>
        <w:rPr>
          <w:rFonts w:ascii="宋体" w:hAnsi="宋体" w:eastAsia="宋体" w:cs="宋体"/>
          <w:spacing w:val="-11"/>
          <w:sz w:val="24"/>
          <w:szCs w:val="24"/>
        </w:rPr>
        <w:t xml:space="preserve"> ：</w:t>
      </w:r>
    </w:p>
    <w:p w14:paraId="5D400B6F">
      <w:pPr>
        <w:spacing w:line="310" w:lineRule="auto"/>
        <w:rPr>
          <w:rFonts w:ascii="Arial"/>
          <w:sz w:val="21"/>
        </w:rPr>
      </w:pPr>
    </w:p>
    <w:p w14:paraId="402D6738">
      <w:pPr>
        <w:spacing w:before="79" w:line="219" w:lineRule="auto"/>
        <w:ind w:left="191"/>
        <w:rPr>
          <w:rFonts w:ascii="宋体" w:hAnsi="宋体" w:eastAsia="宋体" w:cs="宋体"/>
          <w:sz w:val="24"/>
          <w:szCs w:val="24"/>
        </w:rPr>
      </w:pPr>
      <w:r>
        <w:rPr>
          <w:rFonts w:ascii="宋体" w:hAnsi="宋体" w:eastAsia="宋体" w:cs="宋体"/>
          <w:spacing w:val="-12"/>
          <w:sz w:val="24"/>
          <w:szCs w:val="24"/>
        </w:rPr>
        <w:t>传</w:t>
      </w:r>
      <w:r>
        <w:rPr>
          <w:rFonts w:ascii="宋体" w:hAnsi="宋体" w:eastAsia="宋体" w:cs="宋体"/>
          <w:spacing w:val="9"/>
          <w:sz w:val="24"/>
          <w:szCs w:val="24"/>
        </w:rPr>
        <w:t xml:space="preserve">           </w:t>
      </w:r>
      <w:r>
        <w:rPr>
          <w:rFonts w:ascii="宋体" w:hAnsi="宋体" w:eastAsia="宋体" w:cs="宋体"/>
          <w:spacing w:val="-12"/>
          <w:sz w:val="24"/>
          <w:szCs w:val="24"/>
        </w:rPr>
        <w:t>真</w:t>
      </w:r>
      <w:r>
        <w:rPr>
          <w:rFonts w:ascii="宋体" w:hAnsi="宋体" w:eastAsia="宋体" w:cs="宋体"/>
          <w:spacing w:val="4"/>
          <w:sz w:val="24"/>
          <w:szCs w:val="24"/>
        </w:rPr>
        <w:t xml:space="preserve">  </w:t>
      </w:r>
      <w:r>
        <w:rPr>
          <w:rFonts w:ascii="宋体" w:hAnsi="宋体" w:eastAsia="宋体" w:cs="宋体"/>
          <w:spacing w:val="-12"/>
          <w:sz w:val="24"/>
          <w:szCs w:val="24"/>
        </w:rPr>
        <w:t>：</w:t>
      </w:r>
      <w:r>
        <w:rPr>
          <w:rFonts w:ascii="宋体" w:hAnsi="宋体" w:eastAsia="宋体" w:cs="宋体"/>
          <w:spacing w:val="5"/>
          <w:sz w:val="24"/>
          <w:szCs w:val="24"/>
        </w:rPr>
        <w:t xml:space="preserve">                  </w:t>
      </w:r>
      <w:r>
        <w:rPr>
          <w:rFonts w:ascii="宋体" w:hAnsi="宋体" w:eastAsia="宋体" w:cs="宋体"/>
          <w:spacing w:val="-12"/>
          <w:sz w:val="24"/>
          <w:szCs w:val="24"/>
        </w:rPr>
        <w:t>传</w:t>
      </w:r>
      <w:r>
        <w:rPr>
          <w:rFonts w:ascii="宋体" w:hAnsi="宋体" w:eastAsia="宋体" w:cs="宋体"/>
          <w:spacing w:val="1"/>
          <w:sz w:val="24"/>
          <w:szCs w:val="24"/>
        </w:rPr>
        <w:t xml:space="preserve">            </w:t>
      </w:r>
      <w:r>
        <w:rPr>
          <w:rFonts w:ascii="宋体" w:hAnsi="宋体" w:eastAsia="宋体" w:cs="宋体"/>
          <w:spacing w:val="-12"/>
          <w:sz w:val="24"/>
          <w:szCs w:val="24"/>
        </w:rPr>
        <w:t>真</w:t>
      </w:r>
      <w:r>
        <w:rPr>
          <w:rFonts w:ascii="宋体" w:hAnsi="宋体" w:eastAsia="宋体" w:cs="宋体"/>
          <w:spacing w:val="101"/>
          <w:sz w:val="24"/>
          <w:szCs w:val="24"/>
        </w:rPr>
        <w:t xml:space="preserve"> </w:t>
      </w:r>
      <w:r>
        <w:rPr>
          <w:rFonts w:ascii="宋体" w:hAnsi="宋体" w:eastAsia="宋体" w:cs="宋体"/>
          <w:spacing w:val="-12"/>
          <w:sz w:val="24"/>
          <w:szCs w:val="24"/>
        </w:rPr>
        <w:t>：</w:t>
      </w:r>
    </w:p>
    <w:p w14:paraId="5E9EB85A">
      <w:pPr>
        <w:spacing w:line="329" w:lineRule="auto"/>
        <w:rPr>
          <w:rFonts w:ascii="Arial"/>
          <w:sz w:val="21"/>
        </w:rPr>
      </w:pPr>
    </w:p>
    <w:p w14:paraId="1EEC57A4">
      <w:pPr>
        <w:spacing w:before="78" w:line="220" w:lineRule="auto"/>
        <w:ind w:left="193"/>
        <w:rPr>
          <w:rFonts w:ascii="宋体" w:hAnsi="宋体" w:eastAsia="宋体" w:cs="宋体"/>
          <w:sz w:val="24"/>
          <w:szCs w:val="24"/>
        </w:rPr>
      </w:pPr>
      <w:r>
        <w:rPr>
          <w:rFonts w:ascii="宋体" w:hAnsi="宋体" w:eastAsia="宋体" w:cs="宋体"/>
          <w:spacing w:val="-16"/>
          <w:sz w:val="24"/>
          <w:szCs w:val="24"/>
        </w:rPr>
        <w:t>签</w:t>
      </w:r>
      <w:r>
        <w:rPr>
          <w:rFonts w:ascii="宋体" w:hAnsi="宋体" w:eastAsia="宋体" w:cs="宋体"/>
          <w:spacing w:val="44"/>
          <w:sz w:val="24"/>
          <w:szCs w:val="24"/>
        </w:rPr>
        <w:t xml:space="preserve">  </w:t>
      </w:r>
      <w:r>
        <w:rPr>
          <w:rFonts w:ascii="宋体" w:hAnsi="宋体" w:eastAsia="宋体" w:cs="宋体"/>
          <w:spacing w:val="-16"/>
          <w:sz w:val="24"/>
          <w:szCs w:val="24"/>
        </w:rPr>
        <w:t>约</w:t>
      </w:r>
      <w:r>
        <w:rPr>
          <w:rFonts w:ascii="宋体" w:hAnsi="宋体" w:eastAsia="宋体" w:cs="宋体"/>
          <w:sz w:val="24"/>
          <w:szCs w:val="24"/>
        </w:rPr>
        <w:t xml:space="preserve">   </w:t>
      </w:r>
      <w:r>
        <w:rPr>
          <w:rFonts w:ascii="宋体" w:hAnsi="宋体" w:eastAsia="宋体" w:cs="宋体"/>
          <w:spacing w:val="-16"/>
          <w:sz w:val="24"/>
          <w:szCs w:val="24"/>
        </w:rPr>
        <w:t>日</w:t>
      </w:r>
      <w:r>
        <w:rPr>
          <w:rFonts w:ascii="宋体" w:hAnsi="宋体" w:eastAsia="宋体" w:cs="宋体"/>
          <w:spacing w:val="41"/>
          <w:sz w:val="24"/>
          <w:szCs w:val="24"/>
        </w:rPr>
        <w:t xml:space="preserve">  </w:t>
      </w:r>
      <w:r>
        <w:rPr>
          <w:rFonts w:ascii="宋体" w:hAnsi="宋体" w:eastAsia="宋体" w:cs="宋体"/>
          <w:spacing w:val="-16"/>
          <w:sz w:val="24"/>
          <w:szCs w:val="24"/>
        </w:rPr>
        <w:t>期</w:t>
      </w:r>
      <w:r>
        <w:rPr>
          <w:rFonts w:ascii="宋体" w:hAnsi="宋体" w:eastAsia="宋体" w:cs="宋体"/>
          <w:spacing w:val="3"/>
          <w:sz w:val="24"/>
          <w:szCs w:val="24"/>
        </w:rPr>
        <w:t xml:space="preserve">  </w:t>
      </w:r>
      <w:r>
        <w:rPr>
          <w:rFonts w:ascii="宋体" w:hAnsi="宋体" w:eastAsia="宋体" w:cs="宋体"/>
          <w:spacing w:val="-16"/>
          <w:sz w:val="24"/>
          <w:szCs w:val="24"/>
        </w:rPr>
        <w:t>：</w:t>
      </w:r>
      <w:r>
        <w:rPr>
          <w:rFonts w:ascii="宋体" w:hAnsi="宋体" w:eastAsia="宋体" w:cs="宋体"/>
          <w:spacing w:val="5"/>
          <w:sz w:val="24"/>
          <w:szCs w:val="24"/>
        </w:rPr>
        <w:t xml:space="preserve">                  </w:t>
      </w:r>
      <w:r>
        <w:rPr>
          <w:rFonts w:ascii="宋体" w:hAnsi="宋体" w:eastAsia="宋体" w:cs="宋体"/>
          <w:spacing w:val="-16"/>
          <w:sz w:val="24"/>
          <w:szCs w:val="24"/>
        </w:rPr>
        <w:t>签   约</w:t>
      </w:r>
      <w:r>
        <w:rPr>
          <w:rFonts w:ascii="宋体" w:hAnsi="宋体" w:eastAsia="宋体" w:cs="宋体"/>
          <w:spacing w:val="6"/>
          <w:sz w:val="24"/>
          <w:szCs w:val="24"/>
        </w:rPr>
        <w:t xml:space="preserve">   </w:t>
      </w:r>
      <w:r>
        <w:rPr>
          <w:rFonts w:ascii="宋体" w:hAnsi="宋体" w:eastAsia="宋体" w:cs="宋体"/>
          <w:spacing w:val="-16"/>
          <w:sz w:val="24"/>
          <w:szCs w:val="24"/>
        </w:rPr>
        <w:t>日   期  ：</w:t>
      </w:r>
    </w:p>
    <w:p w14:paraId="4A8CC9F6">
      <w:pPr>
        <w:spacing w:before="311" w:line="219" w:lineRule="auto"/>
        <w:ind w:left="27"/>
        <w:rPr>
          <w:rFonts w:ascii="宋体" w:hAnsi="宋体" w:eastAsia="宋体" w:cs="宋体"/>
          <w:sz w:val="24"/>
          <w:szCs w:val="24"/>
        </w:rPr>
      </w:pPr>
      <w:r>
        <w:rPr>
          <w:rFonts w:ascii="宋体" w:hAnsi="宋体" w:eastAsia="宋体" w:cs="宋体"/>
          <w:b/>
          <w:bCs/>
          <w:spacing w:val="-5"/>
          <w:sz w:val="24"/>
          <w:szCs w:val="24"/>
        </w:rPr>
        <w:br w:type="page"/>
      </w:r>
      <w:r>
        <w:rPr>
          <w:rFonts w:ascii="宋体" w:hAnsi="宋体" w:eastAsia="宋体" w:cs="宋体"/>
          <w:b/>
          <w:bCs/>
          <w:spacing w:val="-5"/>
          <w:sz w:val="24"/>
          <w:szCs w:val="24"/>
        </w:rPr>
        <w:t>附件三：安全生产合同</w:t>
      </w:r>
    </w:p>
    <w:p w14:paraId="6ABC6283">
      <w:pPr>
        <w:spacing w:before="36" w:line="219" w:lineRule="auto"/>
        <w:ind w:left="3039"/>
        <w:rPr>
          <w:rFonts w:ascii="宋体" w:hAnsi="宋体" w:eastAsia="宋体" w:cs="宋体"/>
          <w:sz w:val="30"/>
          <w:szCs w:val="30"/>
        </w:rPr>
      </w:pPr>
      <w:r>
        <w:rPr>
          <w:rFonts w:ascii="宋体" w:hAnsi="宋体" w:eastAsia="宋体" w:cs="宋体"/>
          <w:b/>
          <w:bCs/>
          <w:spacing w:val="-4"/>
          <w:sz w:val="30"/>
          <w:szCs w:val="30"/>
        </w:rPr>
        <w:t>三、安全生产合同格式</w:t>
      </w:r>
    </w:p>
    <w:p w14:paraId="0E988ECC">
      <w:pPr>
        <w:spacing w:line="375" w:lineRule="auto"/>
        <w:rPr>
          <w:rFonts w:ascii="Arial"/>
          <w:sz w:val="21"/>
        </w:rPr>
      </w:pPr>
    </w:p>
    <w:p w14:paraId="63602986">
      <w:pPr>
        <w:spacing w:before="78" w:line="359" w:lineRule="auto"/>
        <w:ind w:left="14" w:right="61" w:firstLine="477"/>
        <w:jc w:val="both"/>
        <w:rPr>
          <w:rFonts w:ascii="宋体" w:hAnsi="宋体" w:eastAsia="宋体" w:cs="宋体"/>
          <w:sz w:val="24"/>
          <w:szCs w:val="24"/>
        </w:rPr>
      </w:pPr>
      <w:r>
        <w:rPr>
          <w:rFonts w:ascii="宋体" w:hAnsi="宋体" w:eastAsia="宋体" w:cs="宋体"/>
          <w:spacing w:val="-1"/>
          <w:sz w:val="24"/>
          <w:szCs w:val="24"/>
        </w:rPr>
        <w:t>为在</w:t>
      </w:r>
      <w:r>
        <w:rPr>
          <w:rFonts w:ascii="宋体" w:hAnsi="宋体" w:eastAsia="宋体" w:cs="宋体"/>
          <w:spacing w:val="-1"/>
          <w:sz w:val="24"/>
          <w:szCs w:val="24"/>
          <w:u w:val="single" w:color="auto"/>
        </w:rPr>
        <w:t xml:space="preserve">      (项目名称)     </w:t>
      </w:r>
      <w:r>
        <w:rPr>
          <w:rFonts w:ascii="宋体" w:hAnsi="宋体" w:eastAsia="宋体" w:cs="宋体"/>
          <w:spacing w:val="-2"/>
          <w:sz w:val="24"/>
          <w:szCs w:val="24"/>
          <w:u w:val="single" w:color="auto"/>
        </w:rPr>
        <w:t xml:space="preserve"> （标类或标段）</w:t>
      </w:r>
      <w:r>
        <w:rPr>
          <w:rFonts w:ascii="宋体" w:hAnsi="宋体" w:eastAsia="宋体" w:cs="宋体"/>
          <w:spacing w:val="-2"/>
          <w:sz w:val="24"/>
          <w:szCs w:val="24"/>
        </w:rPr>
        <w:t>施工合同的实施过程中创造安全、高效的施工环境，切实搞好本项目的安全管理工作，本项目发包人</w:t>
      </w:r>
      <w:r>
        <w:rPr>
          <w:rFonts w:ascii="宋体" w:hAnsi="宋体" w:eastAsia="宋体" w:cs="宋体"/>
          <w:spacing w:val="-2"/>
          <w:sz w:val="24"/>
          <w:szCs w:val="24"/>
          <w:u w:val="single" w:color="auto"/>
        </w:rPr>
        <w:t xml:space="preserve">      </w:t>
      </w:r>
      <w:r>
        <w:rPr>
          <w:rFonts w:ascii="宋体" w:hAnsi="宋体" w:eastAsia="宋体" w:cs="宋体"/>
          <w:spacing w:val="-55"/>
          <w:sz w:val="24"/>
          <w:szCs w:val="24"/>
        </w:rPr>
        <w:t xml:space="preserve"> </w:t>
      </w:r>
      <w:r>
        <w:rPr>
          <w:rFonts w:ascii="宋体" w:hAnsi="宋体" w:eastAsia="宋体" w:cs="宋体"/>
          <w:spacing w:val="-2"/>
          <w:sz w:val="24"/>
          <w:szCs w:val="24"/>
        </w:rPr>
        <w:t>(发包人名称，</w:t>
      </w:r>
      <w:r>
        <w:rPr>
          <w:rFonts w:ascii="宋体" w:hAnsi="宋体" w:eastAsia="宋体" w:cs="宋体"/>
          <w:spacing w:val="-4"/>
          <w:sz w:val="24"/>
          <w:szCs w:val="24"/>
        </w:rPr>
        <w:t>以下简称“发包人</w:t>
      </w:r>
      <w:r>
        <w:rPr>
          <w:rFonts w:ascii="宋体" w:hAnsi="宋体" w:eastAsia="宋体" w:cs="宋体"/>
          <w:spacing w:val="-73"/>
          <w:sz w:val="24"/>
          <w:szCs w:val="24"/>
        </w:rPr>
        <w:t xml:space="preserve"> </w:t>
      </w:r>
      <w:r>
        <w:rPr>
          <w:rFonts w:ascii="宋体" w:hAnsi="宋体" w:eastAsia="宋体" w:cs="宋体"/>
          <w:spacing w:val="-4"/>
          <w:sz w:val="24"/>
          <w:szCs w:val="24"/>
        </w:rPr>
        <w:t>”)与承包人</w:t>
      </w:r>
      <w:r>
        <w:rPr>
          <w:rFonts w:ascii="宋体" w:hAnsi="宋体" w:eastAsia="宋体" w:cs="宋体"/>
          <w:spacing w:val="-4"/>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4"/>
          <w:sz w:val="24"/>
          <w:szCs w:val="24"/>
        </w:rPr>
        <w:t>(承包人名称，以下简称“承包人</w:t>
      </w:r>
      <w:r>
        <w:rPr>
          <w:rFonts w:ascii="宋体" w:hAnsi="宋体" w:eastAsia="宋体" w:cs="宋体"/>
          <w:spacing w:val="-88"/>
          <w:sz w:val="24"/>
          <w:szCs w:val="24"/>
        </w:rPr>
        <w:t xml:space="preserve"> </w:t>
      </w:r>
      <w:r>
        <w:rPr>
          <w:rFonts w:ascii="宋体" w:hAnsi="宋体" w:eastAsia="宋体" w:cs="宋体"/>
          <w:spacing w:val="-4"/>
          <w:sz w:val="24"/>
          <w:szCs w:val="24"/>
        </w:rPr>
        <w:t>”)特此签订安</w:t>
      </w:r>
      <w:r>
        <w:rPr>
          <w:rFonts w:ascii="宋体" w:hAnsi="宋体" w:eastAsia="宋体" w:cs="宋体"/>
          <w:spacing w:val="-2"/>
          <w:sz w:val="24"/>
          <w:szCs w:val="24"/>
        </w:rPr>
        <w:t>全生产合同：</w:t>
      </w:r>
    </w:p>
    <w:p w14:paraId="5C4C33C7">
      <w:pPr>
        <w:spacing w:line="220" w:lineRule="auto"/>
        <w:ind w:left="506"/>
        <w:rPr>
          <w:rFonts w:ascii="宋体" w:hAnsi="宋体" w:eastAsia="宋体" w:cs="宋体"/>
          <w:sz w:val="24"/>
          <w:szCs w:val="24"/>
        </w:rPr>
      </w:pPr>
      <w:r>
        <w:rPr>
          <w:rFonts w:ascii="宋体" w:hAnsi="宋体" w:eastAsia="宋体" w:cs="宋体"/>
          <w:b/>
          <w:bCs/>
          <w:spacing w:val="-6"/>
          <w:sz w:val="24"/>
          <w:szCs w:val="24"/>
        </w:rPr>
        <w:t>1.发包人职责</w:t>
      </w:r>
    </w:p>
    <w:p w14:paraId="7BB0E0AC">
      <w:pPr>
        <w:spacing w:before="180" w:line="359" w:lineRule="auto"/>
        <w:ind w:left="9" w:right="128" w:firstLine="521"/>
        <w:rPr>
          <w:rFonts w:ascii="宋体" w:hAnsi="宋体" w:eastAsia="宋体" w:cs="宋体"/>
          <w:sz w:val="24"/>
          <w:szCs w:val="24"/>
        </w:rPr>
      </w:pPr>
      <w:r>
        <w:rPr>
          <w:rFonts w:ascii="宋体" w:hAnsi="宋体" w:eastAsia="宋体" w:cs="宋体"/>
          <w:spacing w:val="-1"/>
          <w:sz w:val="24"/>
          <w:szCs w:val="24"/>
        </w:rPr>
        <w:t>(1)严格遵守国家有关安全生产的法律法规，</w:t>
      </w:r>
      <w:r>
        <w:rPr>
          <w:rFonts w:ascii="宋体" w:hAnsi="宋体" w:eastAsia="宋体" w:cs="宋体"/>
          <w:spacing w:val="-2"/>
          <w:sz w:val="24"/>
          <w:szCs w:val="24"/>
        </w:rPr>
        <w:t>认真执行工程承包合同中的有关安全</w:t>
      </w:r>
      <w:r>
        <w:rPr>
          <w:rFonts w:ascii="宋体" w:hAnsi="宋体" w:eastAsia="宋体" w:cs="宋体"/>
          <w:spacing w:val="-4"/>
          <w:sz w:val="24"/>
          <w:szCs w:val="24"/>
        </w:rPr>
        <w:t>要求。</w:t>
      </w:r>
    </w:p>
    <w:p w14:paraId="51DB5653">
      <w:pPr>
        <w:spacing w:line="359" w:lineRule="auto"/>
        <w:ind w:left="8" w:right="128" w:firstLine="522"/>
        <w:rPr>
          <w:rFonts w:ascii="宋体" w:hAnsi="宋体" w:eastAsia="宋体" w:cs="宋体"/>
          <w:sz w:val="24"/>
          <w:szCs w:val="24"/>
        </w:rPr>
      </w:pPr>
      <w:r>
        <w:rPr>
          <w:rFonts w:ascii="宋体" w:hAnsi="宋体" w:eastAsia="宋体" w:cs="宋体"/>
          <w:spacing w:val="-3"/>
          <w:sz w:val="24"/>
          <w:szCs w:val="24"/>
        </w:rPr>
        <w:t>(2)按照“安全第一、预防为主</w:t>
      </w:r>
      <w:r>
        <w:rPr>
          <w:rFonts w:ascii="宋体" w:hAnsi="宋体" w:eastAsia="宋体" w:cs="宋体"/>
          <w:spacing w:val="-88"/>
          <w:sz w:val="24"/>
          <w:szCs w:val="24"/>
        </w:rPr>
        <w:t xml:space="preserve"> </w:t>
      </w:r>
      <w:r>
        <w:rPr>
          <w:rFonts w:ascii="宋体" w:hAnsi="宋体" w:eastAsia="宋体" w:cs="宋体"/>
          <w:spacing w:val="-3"/>
          <w:sz w:val="24"/>
          <w:szCs w:val="24"/>
        </w:rPr>
        <w:t>”和坚持“管生产必须管安全</w:t>
      </w:r>
      <w:r>
        <w:rPr>
          <w:rFonts w:ascii="宋体" w:hAnsi="宋体" w:eastAsia="宋体" w:cs="宋体"/>
          <w:spacing w:val="-88"/>
          <w:sz w:val="24"/>
          <w:szCs w:val="24"/>
        </w:rPr>
        <w:t xml:space="preserve"> </w:t>
      </w:r>
      <w:r>
        <w:rPr>
          <w:rFonts w:ascii="宋体" w:hAnsi="宋体" w:eastAsia="宋体" w:cs="宋体"/>
          <w:spacing w:val="-3"/>
          <w:sz w:val="24"/>
          <w:szCs w:val="24"/>
        </w:rPr>
        <w:t>”的原</w:t>
      </w:r>
      <w:r>
        <w:rPr>
          <w:rFonts w:ascii="宋体" w:hAnsi="宋体" w:eastAsia="宋体" w:cs="宋体"/>
          <w:spacing w:val="-4"/>
          <w:sz w:val="24"/>
          <w:szCs w:val="24"/>
        </w:rPr>
        <w:t>则进行安全生</w:t>
      </w:r>
      <w:r>
        <w:rPr>
          <w:rFonts w:ascii="宋体" w:hAnsi="宋体" w:eastAsia="宋体" w:cs="宋体"/>
          <w:sz w:val="24"/>
          <w:szCs w:val="24"/>
        </w:rPr>
        <w:t>产管理，做到生产与安全工作同时计划、布</w:t>
      </w:r>
      <w:r>
        <w:rPr>
          <w:rFonts w:ascii="宋体" w:hAnsi="宋体" w:eastAsia="宋体" w:cs="宋体"/>
          <w:spacing w:val="-1"/>
          <w:sz w:val="24"/>
          <w:szCs w:val="24"/>
        </w:rPr>
        <w:t>置、检查、总结和评比。</w:t>
      </w:r>
    </w:p>
    <w:p w14:paraId="689A9F49">
      <w:pPr>
        <w:spacing w:line="359" w:lineRule="auto"/>
        <w:ind w:left="31" w:firstLine="498"/>
        <w:rPr>
          <w:rFonts w:ascii="宋体" w:hAnsi="宋体" w:eastAsia="宋体" w:cs="宋体"/>
          <w:sz w:val="24"/>
          <w:szCs w:val="24"/>
        </w:rPr>
      </w:pPr>
      <w:r>
        <w:rPr>
          <w:rFonts w:ascii="宋体" w:hAnsi="宋体" w:eastAsia="宋体" w:cs="宋体"/>
          <w:spacing w:val="-5"/>
          <w:sz w:val="24"/>
          <w:szCs w:val="24"/>
        </w:rPr>
        <w:t>(3)重要的安全设施必须坚持与主体工程“三同时</w:t>
      </w:r>
      <w:r>
        <w:rPr>
          <w:rFonts w:ascii="宋体" w:hAnsi="宋体" w:eastAsia="宋体" w:cs="宋体"/>
          <w:spacing w:val="-88"/>
          <w:sz w:val="24"/>
          <w:szCs w:val="24"/>
        </w:rPr>
        <w:t xml:space="preserve"> </w:t>
      </w:r>
      <w:r>
        <w:rPr>
          <w:rFonts w:ascii="宋体" w:hAnsi="宋体" w:eastAsia="宋体" w:cs="宋体"/>
          <w:spacing w:val="-5"/>
          <w:sz w:val="24"/>
          <w:szCs w:val="24"/>
        </w:rPr>
        <w:t>”的原则，即：同时</w:t>
      </w:r>
      <w:r>
        <w:rPr>
          <w:rFonts w:ascii="宋体" w:hAnsi="宋体" w:eastAsia="宋体" w:cs="宋体"/>
          <w:spacing w:val="-6"/>
          <w:sz w:val="24"/>
          <w:szCs w:val="24"/>
        </w:rPr>
        <w:t>设计、审批，</w:t>
      </w:r>
      <w:r>
        <w:rPr>
          <w:rFonts w:ascii="宋体" w:hAnsi="宋体" w:eastAsia="宋体" w:cs="宋体"/>
          <w:spacing w:val="-3"/>
          <w:sz w:val="24"/>
          <w:szCs w:val="24"/>
        </w:rPr>
        <w:t>同时施工，同时验收，投入使用。</w:t>
      </w:r>
    </w:p>
    <w:p w14:paraId="6C2C90E1">
      <w:pPr>
        <w:spacing w:before="1" w:line="218" w:lineRule="auto"/>
        <w:ind w:left="530"/>
        <w:rPr>
          <w:rFonts w:ascii="宋体" w:hAnsi="宋体" w:eastAsia="宋体" w:cs="宋体"/>
          <w:sz w:val="24"/>
          <w:szCs w:val="24"/>
        </w:rPr>
      </w:pPr>
      <w:r>
        <w:rPr>
          <w:rFonts w:ascii="宋体" w:hAnsi="宋体" w:eastAsia="宋体" w:cs="宋体"/>
          <w:spacing w:val="-2"/>
          <w:sz w:val="24"/>
          <w:szCs w:val="24"/>
        </w:rPr>
        <w:t>(4)定期召开安全生产调度会，及时传达中央及地方有关安全生产的精神。</w:t>
      </w:r>
    </w:p>
    <w:p w14:paraId="0AB735AC">
      <w:pPr>
        <w:spacing w:before="184" w:line="359" w:lineRule="auto"/>
        <w:ind w:left="8" w:right="128" w:firstLine="522"/>
        <w:rPr>
          <w:rFonts w:ascii="宋体" w:hAnsi="宋体" w:eastAsia="宋体" w:cs="宋体"/>
          <w:sz w:val="24"/>
          <w:szCs w:val="24"/>
        </w:rPr>
      </w:pPr>
      <w:r>
        <w:rPr>
          <w:rFonts w:ascii="宋体" w:hAnsi="宋体" w:eastAsia="宋体" w:cs="宋体"/>
          <w:spacing w:val="-1"/>
          <w:sz w:val="24"/>
          <w:szCs w:val="24"/>
        </w:rPr>
        <w:t>(5)组织对承包人施工现场进行安全生产检查</w:t>
      </w:r>
      <w:r>
        <w:rPr>
          <w:rFonts w:ascii="宋体" w:hAnsi="宋体" w:eastAsia="宋体" w:cs="宋体"/>
          <w:spacing w:val="-2"/>
          <w:sz w:val="24"/>
          <w:szCs w:val="24"/>
        </w:rPr>
        <w:t>，监督承包人及时处理发现的各种安</w:t>
      </w:r>
      <w:r>
        <w:rPr>
          <w:rFonts w:ascii="宋体" w:hAnsi="宋体" w:eastAsia="宋体" w:cs="宋体"/>
          <w:spacing w:val="-3"/>
          <w:sz w:val="24"/>
          <w:szCs w:val="24"/>
        </w:rPr>
        <w:t>全隐患。</w:t>
      </w:r>
    </w:p>
    <w:p w14:paraId="1F32BAD6">
      <w:pPr>
        <w:spacing w:before="1" w:line="219" w:lineRule="auto"/>
        <w:ind w:left="491"/>
        <w:rPr>
          <w:rFonts w:ascii="宋体" w:hAnsi="宋体" w:eastAsia="宋体" w:cs="宋体"/>
          <w:sz w:val="24"/>
          <w:szCs w:val="24"/>
        </w:rPr>
      </w:pPr>
      <w:r>
        <w:rPr>
          <w:rFonts w:ascii="宋体" w:hAnsi="宋体" w:eastAsia="宋体" w:cs="宋体"/>
          <w:b/>
          <w:bCs/>
          <w:spacing w:val="-4"/>
          <w:sz w:val="24"/>
          <w:szCs w:val="24"/>
        </w:rPr>
        <w:t>2.承包人职责</w:t>
      </w:r>
    </w:p>
    <w:p w14:paraId="1953ADF3">
      <w:pPr>
        <w:spacing w:before="182" w:line="359" w:lineRule="auto"/>
        <w:ind w:left="10" w:right="48" w:firstLine="520"/>
        <w:rPr>
          <w:rFonts w:ascii="宋体" w:hAnsi="宋体" w:eastAsia="宋体" w:cs="宋体"/>
          <w:sz w:val="24"/>
          <w:szCs w:val="24"/>
        </w:rPr>
      </w:pPr>
      <w:r>
        <w:rPr>
          <w:rFonts w:ascii="宋体" w:hAnsi="宋体" w:eastAsia="宋体" w:cs="宋体"/>
          <w:spacing w:val="-1"/>
          <w:sz w:val="24"/>
          <w:szCs w:val="24"/>
        </w:rPr>
        <w:t>(1)严格遵守《中华人民共和国安全生产法》</w:t>
      </w:r>
      <w:r>
        <w:rPr>
          <w:rFonts w:ascii="宋体" w:hAnsi="宋体" w:eastAsia="宋体" w:cs="宋体"/>
          <w:spacing w:val="-2"/>
          <w:sz w:val="24"/>
          <w:szCs w:val="24"/>
        </w:rPr>
        <w:t>《建设工程安全生产管理条例》等国家有关安全生产的法律法规、《公路水运工程安全生产监督管理办法》和《水运工程施</w:t>
      </w:r>
      <w:r>
        <w:rPr>
          <w:rFonts w:ascii="宋体" w:hAnsi="宋体" w:eastAsia="宋体" w:cs="宋体"/>
          <w:spacing w:val="-1"/>
          <w:sz w:val="24"/>
          <w:szCs w:val="24"/>
        </w:rPr>
        <w:t>工安全技术规程》等有关安全生产的规定。认真执行</w:t>
      </w:r>
      <w:r>
        <w:rPr>
          <w:rFonts w:ascii="宋体" w:hAnsi="宋体" w:eastAsia="宋体" w:cs="宋体"/>
          <w:spacing w:val="-2"/>
          <w:sz w:val="24"/>
          <w:szCs w:val="24"/>
        </w:rPr>
        <w:t>工程承包合同中的有关安全要求。</w:t>
      </w:r>
    </w:p>
    <w:p w14:paraId="77932B70">
      <w:pPr>
        <w:spacing w:before="6" w:line="358" w:lineRule="auto"/>
        <w:ind w:left="9" w:right="48" w:firstLine="521"/>
        <w:rPr>
          <w:rFonts w:ascii="宋体" w:hAnsi="宋体" w:eastAsia="宋体" w:cs="宋体"/>
          <w:sz w:val="24"/>
          <w:szCs w:val="24"/>
        </w:rPr>
      </w:pPr>
      <w:r>
        <w:rPr>
          <w:rFonts w:ascii="宋体" w:hAnsi="宋体" w:eastAsia="宋体" w:cs="宋体"/>
          <w:spacing w:val="-3"/>
          <w:sz w:val="24"/>
          <w:szCs w:val="24"/>
        </w:rPr>
        <w:t>(2)坚持“安全第一、预防为主</w:t>
      </w:r>
      <w:r>
        <w:rPr>
          <w:rFonts w:ascii="宋体" w:hAnsi="宋体" w:eastAsia="宋体" w:cs="宋体"/>
          <w:spacing w:val="-88"/>
          <w:sz w:val="24"/>
          <w:szCs w:val="24"/>
        </w:rPr>
        <w:t xml:space="preserve"> </w:t>
      </w:r>
      <w:r>
        <w:rPr>
          <w:rFonts w:ascii="宋体" w:hAnsi="宋体" w:eastAsia="宋体" w:cs="宋体"/>
          <w:spacing w:val="-3"/>
          <w:sz w:val="24"/>
          <w:szCs w:val="24"/>
        </w:rPr>
        <w:t>”和“管生产必须管安全</w:t>
      </w:r>
      <w:r>
        <w:rPr>
          <w:rFonts w:ascii="宋体" w:hAnsi="宋体" w:eastAsia="宋体" w:cs="宋体"/>
          <w:spacing w:val="-88"/>
          <w:sz w:val="24"/>
          <w:szCs w:val="24"/>
        </w:rPr>
        <w:t xml:space="preserve"> </w:t>
      </w:r>
      <w:r>
        <w:rPr>
          <w:rFonts w:ascii="宋体" w:hAnsi="宋体" w:eastAsia="宋体" w:cs="宋体"/>
          <w:spacing w:val="-3"/>
          <w:sz w:val="24"/>
          <w:szCs w:val="24"/>
        </w:rPr>
        <w:t>”的原则，</w:t>
      </w:r>
      <w:r>
        <w:rPr>
          <w:rFonts w:ascii="宋体" w:hAnsi="宋体" w:eastAsia="宋体" w:cs="宋体"/>
          <w:spacing w:val="-4"/>
          <w:sz w:val="24"/>
          <w:szCs w:val="24"/>
        </w:rPr>
        <w:t>加强安全生产</w:t>
      </w:r>
      <w:r>
        <w:rPr>
          <w:rFonts w:ascii="宋体" w:hAnsi="宋体" w:eastAsia="宋体" w:cs="宋体"/>
          <w:spacing w:val="-2"/>
          <w:sz w:val="24"/>
          <w:szCs w:val="24"/>
        </w:rPr>
        <w:t>宣传教育，增强全员安全生产意识，建立健全各项安全生产的管理机构和安全生产管理</w:t>
      </w:r>
      <w:r>
        <w:rPr>
          <w:rFonts w:ascii="宋体" w:hAnsi="宋体" w:eastAsia="宋体" w:cs="宋体"/>
          <w:spacing w:val="-1"/>
          <w:sz w:val="24"/>
          <w:szCs w:val="24"/>
        </w:rPr>
        <w:t>制度，配备专职及兼职安全检查人员，有组织有领导地</w:t>
      </w:r>
      <w:r>
        <w:rPr>
          <w:rFonts w:ascii="宋体" w:hAnsi="宋体" w:eastAsia="宋体" w:cs="宋体"/>
          <w:spacing w:val="-2"/>
          <w:sz w:val="24"/>
          <w:szCs w:val="24"/>
        </w:rPr>
        <w:t>开展安全生产活动。各级领导、工程技术人员、生产管理人员和具体操作人员，必须熟悉和遵守本合同的各项规定，做</w:t>
      </w:r>
      <w:r>
        <w:rPr>
          <w:rFonts w:ascii="宋体" w:hAnsi="宋体" w:eastAsia="宋体" w:cs="宋体"/>
          <w:spacing w:val="-1"/>
          <w:sz w:val="24"/>
          <w:szCs w:val="24"/>
        </w:rPr>
        <w:t>到生产与安全工作同时计划、布置、检查、总结和评比。</w:t>
      </w:r>
    </w:p>
    <w:p w14:paraId="0FE425D5">
      <w:pPr>
        <w:spacing w:before="1" w:line="360" w:lineRule="auto"/>
        <w:ind w:left="9" w:right="61" w:firstLine="521"/>
        <w:rPr>
          <w:rFonts w:ascii="宋体" w:hAnsi="宋体" w:eastAsia="宋体" w:cs="宋体"/>
          <w:sz w:val="24"/>
          <w:szCs w:val="24"/>
        </w:rPr>
      </w:pPr>
      <w:r>
        <w:rPr>
          <w:rFonts w:ascii="宋体" w:hAnsi="宋体" w:eastAsia="宋体" w:cs="宋体"/>
          <w:spacing w:val="-3"/>
          <w:sz w:val="24"/>
          <w:szCs w:val="24"/>
        </w:rPr>
        <w:t>(3)建立健全安全生产责任制。从派往项目实施的项目负责人到生产工人(包括临时</w:t>
      </w:r>
      <w:r>
        <w:rPr>
          <w:rFonts w:ascii="宋体" w:hAnsi="宋体" w:eastAsia="宋体" w:cs="宋体"/>
          <w:sz w:val="24"/>
          <w:szCs w:val="24"/>
        </w:rPr>
        <w:t>雇请的民工)的安全生产管理系统必须做到纵向到底，一环</w:t>
      </w:r>
      <w:r>
        <w:rPr>
          <w:rFonts w:ascii="宋体" w:hAnsi="宋体" w:eastAsia="宋体" w:cs="宋体"/>
          <w:spacing w:val="-1"/>
          <w:sz w:val="24"/>
          <w:szCs w:val="24"/>
        </w:rPr>
        <w:t>不漏；各职能部门、人员的</w:t>
      </w:r>
      <w:r>
        <w:rPr>
          <w:rFonts w:ascii="宋体" w:hAnsi="宋体" w:eastAsia="宋体" w:cs="宋体"/>
          <w:spacing w:val="-2"/>
          <w:sz w:val="24"/>
          <w:szCs w:val="24"/>
        </w:rPr>
        <w:t>安全生产责任制做到横向到边，人人有责。项目负责人是安全生产的第一责任人。现场设置的安全机构，应按《公路水运工程安全生产监督管理办法》规定的最低数量和资质条件配备专职安全生产管理人员，专职负责所有员工的安全和治安保卫工作及预防事故</w:t>
      </w:r>
      <w:r>
        <w:rPr>
          <w:rFonts w:ascii="宋体" w:hAnsi="宋体" w:eastAsia="宋体" w:cs="宋体"/>
          <w:spacing w:val="-1"/>
          <w:sz w:val="24"/>
          <w:szCs w:val="24"/>
        </w:rPr>
        <w:t>的发生。安全机构人员有权按有关规定发布指令，并采取保护性措施防止事故发生。</w:t>
      </w:r>
    </w:p>
    <w:p w14:paraId="7C72C602">
      <w:pPr>
        <w:spacing w:line="359" w:lineRule="auto"/>
        <w:ind w:left="8" w:right="307" w:firstLine="522"/>
        <w:rPr>
          <w:rFonts w:ascii="宋体" w:hAnsi="宋体" w:eastAsia="宋体" w:cs="宋体"/>
          <w:sz w:val="24"/>
          <w:szCs w:val="24"/>
        </w:rPr>
      </w:pPr>
      <w:r>
        <w:rPr>
          <w:rFonts w:ascii="宋体" w:hAnsi="宋体" w:eastAsia="宋体" w:cs="宋体"/>
          <w:spacing w:val="-3"/>
          <w:sz w:val="24"/>
          <w:szCs w:val="24"/>
        </w:rPr>
        <w:t>(4)承包人在任何时候都应采取各种合理的预防措施，防止其员工发生任何违法、</w:t>
      </w:r>
      <w:r>
        <w:rPr>
          <w:rFonts w:ascii="宋体" w:hAnsi="宋体" w:eastAsia="宋体" w:cs="宋体"/>
          <w:spacing w:val="-1"/>
          <w:sz w:val="24"/>
          <w:szCs w:val="24"/>
        </w:rPr>
        <w:t>违禁、暴力或妨碍治安的行为。</w:t>
      </w:r>
    </w:p>
    <w:p w14:paraId="24682495">
      <w:pPr>
        <w:spacing w:line="359" w:lineRule="auto"/>
        <w:ind w:left="7" w:right="120" w:firstLine="523"/>
        <w:rPr>
          <w:rFonts w:ascii="宋体" w:hAnsi="宋体" w:eastAsia="宋体" w:cs="宋体"/>
          <w:sz w:val="24"/>
          <w:szCs w:val="24"/>
        </w:rPr>
      </w:pPr>
      <w:r>
        <w:rPr>
          <w:rFonts w:ascii="宋体" w:hAnsi="宋体" w:eastAsia="宋体" w:cs="宋体"/>
          <w:spacing w:val="-1"/>
          <w:sz w:val="24"/>
          <w:szCs w:val="24"/>
        </w:rPr>
        <w:t>(5)承包人必须具有劳动安全管理部门颁发的</w:t>
      </w:r>
      <w:r>
        <w:rPr>
          <w:rFonts w:ascii="宋体" w:hAnsi="宋体" w:eastAsia="宋体" w:cs="宋体"/>
          <w:spacing w:val="-2"/>
          <w:sz w:val="24"/>
          <w:szCs w:val="24"/>
        </w:rPr>
        <w:t>安全生产考核合格证书，参加施工的人员，必须接受安全技术教育，熟知和遵守本工种的各项安全技术操作规程，定期进行</w:t>
      </w:r>
      <w:r>
        <w:rPr>
          <w:rFonts w:ascii="宋体" w:hAnsi="宋体" w:eastAsia="宋体" w:cs="宋体"/>
          <w:spacing w:val="-6"/>
          <w:sz w:val="24"/>
          <w:szCs w:val="24"/>
        </w:rPr>
        <w:t>安全技术考核，合格者方准上岗操作。对于从事电气、起重、建筑登高架设作业、锅炉、</w:t>
      </w:r>
      <w:r>
        <w:rPr>
          <w:rFonts w:ascii="宋体" w:hAnsi="宋体" w:eastAsia="宋体" w:cs="宋体"/>
          <w:spacing w:val="-2"/>
          <w:sz w:val="24"/>
          <w:szCs w:val="24"/>
        </w:rPr>
        <w:t>压力容器、焊接、机动车船艇驾驶、爆破、潜水、瓦斯检验等特殊工种的人员，经过专业培训，获得《安全操作合格证》后，方准持证上岗。施工现场如出现特种作业无证操</w:t>
      </w:r>
      <w:r>
        <w:rPr>
          <w:rFonts w:ascii="宋体" w:hAnsi="宋体" w:eastAsia="宋体" w:cs="宋体"/>
          <w:spacing w:val="-1"/>
          <w:sz w:val="24"/>
          <w:szCs w:val="24"/>
        </w:rPr>
        <w:t>作现象时，项目负责人必须承担管理责任。</w:t>
      </w:r>
    </w:p>
    <w:p w14:paraId="49C483CB">
      <w:pPr>
        <w:spacing w:before="1" w:line="359" w:lineRule="auto"/>
        <w:ind w:left="9" w:firstLine="521"/>
        <w:rPr>
          <w:rFonts w:ascii="宋体" w:hAnsi="宋体" w:eastAsia="宋体" w:cs="宋体"/>
          <w:sz w:val="24"/>
          <w:szCs w:val="24"/>
        </w:rPr>
      </w:pPr>
      <w:r>
        <w:rPr>
          <w:rFonts w:ascii="宋体" w:hAnsi="宋体" w:eastAsia="宋体" w:cs="宋体"/>
          <w:spacing w:val="-1"/>
          <w:sz w:val="24"/>
          <w:szCs w:val="24"/>
        </w:rPr>
        <w:t>(6)对于易燃易爆的材料除应专门妥善保管之</w:t>
      </w:r>
      <w:r>
        <w:rPr>
          <w:rFonts w:ascii="宋体" w:hAnsi="宋体" w:eastAsia="宋体" w:cs="宋体"/>
          <w:spacing w:val="-2"/>
          <w:sz w:val="24"/>
          <w:szCs w:val="24"/>
        </w:rPr>
        <w:t>外，还应配备有足够的消防设施，所</w:t>
      </w:r>
      <w:r>
        <w:rPr>
          <w:rFonts w:ascii="宋体" w:hAnsi="宋体" w:eastAsia="宋体" w:cs="宋体"/>
          <w:sz w:val="24"/>
          <w:szCs w:val="24"/>
        </w:rPr>
        <w:t xml:space="preserve"> </w:t>
      </w:r>
      <w:r>
        <w:rPr>
          <w:rFonts w:ascii="宋体" w:hAnsi="宋体" w:eastAsia="宋体" w:cs="宋体"/>
          <w:spacing w:val="-3"/>
          <w:sz w:val="24"/>
          <w:szCs w:val="24"/>
        </w:rPr>
        <w:t>有施工人员都应熟悉消防设备的性能和使用方法；承包人不得将任何种类的爆炸物给予、</w:t>
      </w:r>
      <w:r>
        <w:rPr>
          <w:rFonts w:ascii="宋体" w:hAnsi="宋体" w:eastAsia="宋体" w:cs="宋体"/>
          <w:spacing w:val="-1"/>
          <w:sz w:val="24"/>
          <w:szCs w:val="24"/>
        </w:rPr>
        <w:t>易货或以其他方式转让给任何其他人，或允许、容忍上述同样行为。</w:t>
      </w:r>
    </w:p>
    <w:p w14:paraId="2B53C239">
      <w:pPr>
        <w:spacing w:line="359" w:lineRule="auto"/>
        <w:ind w:left="11" w:right="267" w:firstLine="519"/>
        <w:rPr>
          <w:rFonts w:ascii="宋体" w:hAnsi="宋体" w:eastAsia="宋体" w:cs="宋体"/>
          <w:sz w:val="24"/>
          <w:szCs w:val="24"/>
        </w:rPr>
      </w:pPr>
      <w:r>
        <w:rPr>
          <w:rFonts w:ascii="宋体" w:hAnsi="宋体" w:eastAsia="宋体" w:cs="宋体"/>
          <w:spacing w:val="-1"/>
          <w:sz w:val="24"/>
          <w:szCs w:val="24"/>
        </w:rPr>
        <w:t>(7)操作人员上岗，必须按规定穿戴防护用品</w:t>
      </w:r>
      <w:r>
        <w:rPr>
          <w:rFonts w:ascii="宋体" w:hAnsi="宋体" w:eastAsia="宋体" w:cs="宋体"/>
          <w:spacing w:val="-2"/>
          <w:sz w:val="24"/>
          <w:szCs w:val="24"/>
        </w:rPr>
        <w:t>。施工负责人和安全检查员应随时检</w:t>
      </w:r>
      <w:r>
        <w:rPr>
          <w:rFonts w:ascii="宋体" w:hAnsi="宋体" w:eastAsia="宋体" w:cs="宋体"/>
          <w:spacing w:val="-1"/>
          <w:sz w:val="24"/>
          <w:szCs w:val="24"/>
        </w:rPr>
        <w:t>查劳动防护用品的穿戴情况，不按规定穿戴防护用品的人员不得上岗。</w:t>
      </w:r>
    </w:p>
    <w:p w14:paraId="611B92BE">
      <w:pPr>
        <w:spacing w:line="358" w:lineRule="auto"/>
        <w:ind w:left="9" w:right="325" w:firstLine="521"/>
        <w:rPr>
          <w:rFonts w:ascii="宋体" w:hAnsi="宋体" w:eastAsia="宋体" w:cs="宋体"/>
          <w:sz w:val="24"/>
          <w:szCs w:val="24"/>
        </w:rPr>
      </w:pPr>
      <w:r>
        <w:rPr>
          <w:rFonts w:ascii="宋体" w:hAnsi="宋体" w:eastAsia="宋体" w:cs="宋体"/>
          <w:spacing w:val="-3"/>
          <w:sz w:val="24"/>
          <w:szCs w:val="24"/>
        </w:rPr>
        <w:t>(8)所有施工机具设备和高空作业的设备均应定期检查，并有安全员的签字记录，</w:t>
      </w:r>
      <w:r>
        <w:rPr>
          <w:rFonts w:ascii="宋体" w:hAnsi="宋体" w:eastAsia="宋体" w:cs="宋体"/>
          <w:sz w:val="24"/>
          <w:szCs w:val="24"/>
        </w:rPr>
        <w:t>保证其经常处于完好状态；不合格的机具、设备</w:t>
      </w:r>
      <w:r>
        <w:rPr>
          <w:rFonts w:ascii="宋体" w:hAnsi="宋体" w:eastAsia="宋体" w:cs="宋体"/>
          <w:spacing w:val="-1"/>
          <w:sz w:val="24"/>
          <w:szCs w:val="24"/>
        </w:rPr>
        <w:t>和劳动保护用品严禁使用。</w:t>
      </w:r>
    </w:p>
    <w:p w14:paraId="0F1F2F9A">
      <w:pPr>
        <w:spacing w:line="360" w:lineRule="auto"/>
        <w:ind w:left="7" w:right="267" w:firstLine="523"/>
        <w:rPr>
          <w:rFonts w:ascii="宋体" w:hAnsi="宋体" w:eastAsia="宋体" w:cs="宋体"/>
          <w:sz w:val="24"/>
          <w:szCs w:val="24"/>
        </w:rPr>
      </w:pPr>
      <w:r>
        <w:rPr>
          <w:rFonts w:ascii="宋体" w:hAnsi="宋体" w:eastAsia="宋体" w:cs="宋体"/>
          <w:spacing w:val="-1"/>
          <w:sz w:val="24"/>
          <w:szCs w:val="24"/>
        </w:rPr>
        <w:t>(9)施工中采用新技术、新工艺、新设备、新</w:t>
      </w:r>
      <w:r>
        <w:rPr>
          <w:rFonts w:ascii="宋体" w:hAnsi="宋体" w:eastAsia="宋体" w:cs="宋体"/>
          <w:spacing w:val="-2"/>
          <w:sz w:val="24"/>
          <w:szCs w:val="24"/>
        </w:rPr>
        <w:t>材料时，必须制定相应的安全技术措</w:t>
      </w:r>
      <w:r>
        <w:rPr>
          <w:rFonts w:ascii="宋体" w:hAnsi="宋体" w:eastAsia="宋体" w:cs="宋体"/>
          <w:spacing w:val="-1"/>
          <w:sz w:val="24"/>
          <w:szCs w:val="24"/>
        </w:rPr>
        <w:t>施，施工现场必须具有相关的安全标志牌。</w:t>
      </w:r>
    </w:p>
    <w:p w14:paraId="3584BFE5">
      <w:pPr>
        <w:spacing w:line="359" w:lineRule="auto"/>
        <w:ind w:left="7" w:right="94" w:firstLine="523"/>
        <w:rPr>
          <w:rFonts w:ascii="宋体" w:hAnsi="宋体" w:eastAsia="宋体" w:cs="宋体"/>
          <w:sz w:val="24"/>
          <w:szCs w:val="24"/>
        </w:rPr>
      </w:pPr>
      <w:r>
        <w:rPr>
          <w:rFonts w:ascii="宋体" w:hAnsi="宋体" w:eastAsia="宋体" w:cs="宋体"/>
          <w:spacing w:val="-3"/>
          <w:sz w:val="24"/>
          <w:szCs w:val="24"/>
        </w:rPr>
        <w:t>(10)承包人必须按照本工程项目特点，组织制定本工程实施中的生产安全事故应急</w:t>
      </w:r>
      <w:r>
        <w:rPr>
          <w:rFonts w:ascii="宋体" w:hAnsi="宋体" w:eastAsia="宋体" w:cs="宋体"/>
          <w:spacing w:val="-5"/>
          <w:sz w:val="24"/>
          <w:szCs w:val="24"/>
        </w:rPr>
        <w:t>救援预案；如果发生安全事故，应按照《国务院关于特大安全事故行政责任追究的规</w:t>
      </w:r>
      <w:r>
        <w:rPr>
          <w:rFonts w:ascii="宋体" w:hAnsi="宋体" w:eastAsia="宋体" w:cs="宋体"/>
          <w:spacing w:val="-6"/>
          <w:sz w:val="24"/>
          <w:szCs w:val="24"/>
        </w:rPr>
        <w:t>定》</w:t>
      </w:r>
      <w:r>
        <w:rPr>
          <w:rFonts w:ascii="宋体" w:hAnsi="宋体" w:eastAsia="宋体" w:cs="宋体"/>
          <w:spacing w:val="-3"/>
          <w:sz w:val="24"/>
          <w:szCs w:val="24"/>
        </w:rPr>
        <w:t>以及其他有关规定，及时上报有关部门，并坚持“</w:t>
      </w:r>
      <w:r>
        <w:rPr>
          <w:rFonts w:ascii="宋体" w:hAnsi="宋体" w:eastAsia="宋体" w:cs="宋体"/>
          <w:spacing w:val="-88"/>
          <w:sz w:val="24"/>
          <w:szCs w:val="24"/>
        </w:rPr>
        <w:t xml:space="preserve"> </w:t>
      </w:r>
      <w:r>
        <w:rPr>
          <w:rFonts w:ascii="宋体" w:hAnsi="宋体" w:eastAsia="宋体" w:cs="宋体"/>
          <w:spacing w:val="-3"/>
          <w:sz w:val="24"/>
          <w:szCs w:val="24"/>
        </w:rPr>
        <w:t>四不放</w:t>
      </w:r>
      <w:r>
        <w:rPr>
          <w:rFonts w:ascii="宋体" w:hAnsi="宋体" w:eastAsia="宋体" w:cs="宋体"/>
          <w:spacing w:val="-4"/>
          <w:sz w:val="24"/>
          <w:szCs w:val="24"/>
        </w:rPr>
        <w:t>过</w:t>
      </w:r>
      <w:r>
        <w:rPr>
          <w:rFonts w:ascii="宋体" w:hAnsi="宋体" w:eastAsia="宋体" w:cs="宋体"/>
          <w:spacing w:val="-88"/>
          <w:sz w:val="24"/>
          <w:szCs w:val="24"/>
        </w:rPr>
        <w:t xml:space="preserve"> </w:t>
      </w:r>
      <w:r>
        <w:rPr>
          <w:rFonts w:ascii="宋体" w:hAnsi="宋体" w:eastAsia="宋体" w:cs="宋体"/>
          <w:spacing w:val="-4"/>
          <w:sz w:val="24"/>
          <w:szCs w:val="24"/>
        </w:rPr>
        <w:t>”的原则，严肃处理相关责</w:t>
      </w:r>
      <w:r>
        <w:rPr>
          <w:rFonts w:ascii="宋体" w:hAnsi="宋体" w:eastAsia="宋体" w:cs="宋体"/>
          <w:spacing w:val="-3"/>
          <w:sz w:val="24"/>
          <w:szCs w:val="24"/>
        </w:rPr>
        <w:t>任人。</w:t>
      </w:r>
    </w:p>
    <w:p w14:paraId="04EF6A02">
      <w:pPr>
        <w:spacing w:before="3" w:line="358" w:lineRule="auto"/>
        <w:ind w:left="7" w:right="200" w:firstLine="523"/>
        <w:rPr>
          <w:rFonts w:ascii="宋体" w:hAnsi="宋体" w:eastAsia="宋体" w:cs="宋体"/>
          <w:sz w:val="24"/>
          <w:szCs w:val="24"/>
        </w:rPr>
      </w:pPr>
      <w:r>
        <w:rPr>
          <w:rFonts w:ascii="宋体" w:hAnsi="宋体" w:eastAsia="宋体" w:cs="宋体"/>
          <w:spacing w:val="-3"/>
          <w:sz w:val="24"/>
          <w:szCs w:val="24"/>
        </w:rPr>
        <w:t>(11)安全生产费用按照《公路水运工程安全生产监督管理办法》和《广东省交通运</w:t>
      </w:r>
      <w:r>
        <w:rPr>
          <w:rFonts w:ascii="宋体" w:hAnsi="宋体" w:eastAsia="宋体" w:cs="宋体"/>
          <w:spacing w:val="-1"/>
          <w:sz w:val="24"/>
          <w:szCs w:val="24"/>
        </w:rPr>
        <w:t>输厅关于公路水运建设工程安全生产费用的管理办法》（粤交〔2021〕6</w:t>
      </w:r>
      <w:r>
        <w:rPr>
          <w:rFonts w:ascii="宋体" w:hAnsi="宋体" w:eastAsia="宋体" w:cs="宋体"/>
          <w:spacing w:val="-30"/>
          <w:sz w:val="24"/>
          <w:szCs w:val="24"/>
        </w:rPr>
        <w:t xml:space="preserve"> </w:t>
      </w:r>
      <w:r>
        <w:rPr>
          <w:rFonts w:ascii="宋体" w:hAnsi="宋体" w:eastAsia="宋体" w:cs="宋体"/>
          <w:spacing w:val="-1"/>
          <w:sz w:val="24"/>
          <w:szCs w:val="24"/>
        </w:rPr>
        <w:t>号）的相关规</w:t>
      </w:r>
      <w:r>
        <w:rPr>
          <w:rFonts w:ascii="宋体" w:hAnsi="宋体" w:eastAsia="宋体" w:cs="宋体"/>
          <w:spacing w:val="-2"/>
          <w:sz w:val="24"/>
          <w:szCs w:val="24"/>
        </w:rPr>
        <w:t>定使用和管理。</w:t>
      </w:r>
    </w:p>
    <w:p w14:paraId="24ABC834">
      <w:pPr>
        <w:spacing w:before="1" w:line="219" w:lineRule="auto"/>
        <w:ind w:left="493"/>
        <w:rPr>
          <w:rFonts w:ascii="宋体" w:hAnsi="宋体" w:eastAsia="宋体" w:cs="宋体"/>
          <w:sz w:val="24"/>
          <w:szCs w:val="24"/>
        </w:rPr>
      </w:pPr>
      <w:r>
        <w:rPr>
          <w:rFonts w:ascii="宋体" w:hAnsi="宋体" w:eastAsia="宋体" w:cs="宋体"/>
          <w:b/>
          <w:bCs/>
          <w:spacing w:val="-5"/>
          <w:sz w:val="24"/>
          <w:szCs w:val="24"/>
        </w:rPr>
        <w:t>3.违约责任</w:t>
      </w:r>
    </w:p>
    <w:p w14:paraId="516B75FE">
      <w:pPr>
        <w:spacing w:before="182" w:line="219" w:lineRule="auto"/>
        <w:ind w:left="492"/>
        <w:rPr>
          <w:rFonts w:ascii="宋体" w:hAnsi="宋体" w:eastAsia="宋体" w:cs="宋体"/>
          <w:sz w:val="24"/>
          <w:szCs w:val="24"/>
        </w:rPr>
      </w:pPr>
      <w:r>
        <w:rPr>
          <w:rFonts w:ascii="宋体" w:hAnsi="宋体" w:eastAsia="宋体" w:cs="宋体"/>
          <w:spacing w:val="-1"/>
          <w:sz w:val="24"/>
          <w:szCs w:val="24"/>
        </w:rPr>
        <w:t>如因发包人或承包人违约造成安全事故，将依法追究责任。</w:t>
      </w:r>
    </w:p>
    <w:p w14:paraId="75F4AAC7">
      <w:pPr>
        <w:spacing w:before="182" w:line="362" w:lineRule="auto"/>
        <w:ind w:left="9" w:right="200" w:firstLine="478"/>
        <w:rPr>
          <w:rFonts w:ascii="宋体" w:hAnsi="宋体" w:eastAsia="宋体" w:cs="宋体"/>
          <w:sz w:val="24"/>
          <w:szCs w:val="24"/>
        </w:rPr>
      </w:pPr>
      <w:r>
        <w:rPr>
          <w:rFonts w:ascii="宋体" w:hAnsi="宋体" w:eastAsia="宋体" w:cs="宋体"/>
          <w:spacing w:val="-2"/>
          <w:sz w:val="24"/>
          <w:szCs w:val="24"/>
        </w:rPr>
        <w:t>4.本合同由双方法定代表人或其授权的代理人签署并加盖单位章后生效，全部工程竣工验收后失效。</w:t>
      </w:r>
    </w:p>
    <w:p w14:paraId="57F858F9">
      <w:pPr>
        <w:spacing w:before="311" w:line="360" w:lineRule="auto"/>
        <w:ind w:left="9" w:right="7" w:firstLine="423"/>
        <w:rPr>
          <w:rFonts w:ascii="宋体" w:hAnsi="宋体" w:eastAsia="宋体" w:cs="宋体"/>
          <w:sz w:val="24"/>
          <w:szCs w:val="24"/>
        </w:rPr>
      </w:pPr>
      <w:r>
        <w:rPr>
          <w:rFonts w:ascii="宋体" w:hAnsi="宋体" w:eastAsia="宋体" w:cs="宋体"/>
          <w:spacing w:val="-1"/>
          <w:sz w:val="24"/>
          <w:szCs w:val="24"/>
        </w:rPr>
        <w:br w:type="page"/>
      </w:r>
      <w:r>
        <w:rPr>
          <w:rFonts w:ascii="宋体" w:hAnsi="宋体" w:eastAsia="宋体" w:cs="宋体"/>
          <w:spacing w:val="-1"/>
          <w:sz w:val="24"/>
          <w:szCs w:val="24"/>
        </w:rPr>
        <w:t>5.本合同正本二份、副本</w:t>
      </w:r>
      <w:r>
        <w:rPr>
          <w:rFonts w:ascii="宋体" w:hAnsi="宋体" w:eastAsia="宋体" w:cs="宋体"/>
          <w:spacing w:val="-1"/>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
          <w:sz w:val="24"/>
          <w:szCs w:val="24"/>
        </w:rPr>
        <w:t>份，合同双方各执正本一份，副本</w:t>
      </w:r>
      <w:r>
        <w:rPr>
          <w:rFonts w:ascii="宋体" w:hAnsi="宋体" w:eastAsia="宋体" w:cs="宋体"/>
          <w:spacing w:val="-1"/>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1"/>
          <w:sz w:val="24"/>
          <w:szCs w:val="24"/>
        </w:rPr>
        <w:t>份，当正本与副本的内容不一致时，以正本为准。</w:t>
      </w:r>
    </w:p>
    <w:p w14:paraId="56B3AFEC">
      <w:pPr>
        <w:spacing w:before="53"/>
      </w:pPr>
    </w:p>
    <w:p w14:paraId="5A24564B">
      <w:pPr>
        <w:spacing w:before="53"/>
      </w:pPr>
    </w:p>
    <w:p w14:paraId="674CCE6F">
      <w:pPr>
        <w:spacing w:before="53"/>
      </w:pPr>
    </w:p>
    <w:p w14:paraId="2BC1E396">
      <w:pPr>
        <w:spacing w:before="47" w:line="219" w:lineRule="auto"/>
        <w:ind w:left="12"/>
        <w:jc w:val="right"/>
        <w:rPr>
          <w:rFonts w:ascii="宋体" w:hAnsi="宋体" w:eastAsia="宋体" w:cs="宋体"/>
          <w:sz w:val="24"/>
          <w:szCs w:val="24"/>
        </w:rPr>
      </w:pPr>
      <w:r>
        <w:rPr>
          <w:rFonts w:ascii="宋体" w:hAnsi="宋体" w:eastAsia="宋体" w:cs="宋体"/>
          <w:spacing w:val="-4"/>
          <w:sz w:val="24"/>
          <w:szCs w:val="24"/>
        </w:rPr>
        <w:t>发包人：</w:t>
      </w:r>
      <w:r>
        <w:rPr>
          <w:rFonts w:ascii="宋体" w:hAnsi="宋体" w:eastAsia="宋体" w:cs="宋体"/>
          <w:spacing w:val="-4"/>
          <w:sz w:val="24"/>
          <w:szCs w:val="24"/>
          <w:u w:val="single" w:color="auto"/>
        </w:rPr>
        <w:t xml:space="preserve">                </w:t>
      </w:r>
      <w:r>
        <w:rPr>
          <w:rFonts w:ascii="宋体" w:hAnsi="宋体" w:eastAsia="宋体" w:cs="宋体"/>
          <w:spacing w:val="-52"/>
          <w:sz w:val="24"/>
          <w:szCs w:val="24"/>
        </w:rPr>
        <w:t xml:space="preserve"> </w:t>
      </w:r>
      <w:r>
        <w:rPr>
          <w:rFonts w:ascii="宋体" w:hAnsi="宋体" w:eastAsia="宋体" w:cs="宋体"/>
          <w:spacing w:val="-4"/>
          <w:sz w:val="24"/>
          <w:szCs w:val="24"/>
        </w:rPr>
        <w:t>(盖单位章)</w:t>
      </w:r>
    </w:p>
    <w:p w14:paraId="6A05562D">
      <w:pPr>
        <w:tabs>
          <w:tab w:val="left" w:pos="2038"/>
        </w:tabs>
        <w:spacing w:before="181" w:line="272" w:lineRule="auto"/>
        <w:ind w:left="1318" w:right="390" w:hanging="1309"/>
        <w:jc w:val="right"/>
        <w:rPr>
          <w:rFonts w:ascii="宋体" w:hAnsi="宋体" w:eastAsia="宋体" w:cs="宋体"/>
          <w:spacing w:val="-26"/>
          <w:sz w:val="24"/>
          <w:szCs w:val="24"/>
        </w:rPr>
      </w:pPr>
      <w:r>
        <w:rPr>
          <w:rFonts w:ascii="宋体" w:hAnsi="宋体" w:eastAsia="宋体" w:cs="宋体"/>
          <w:spacing w:val="-4"/>
          <w:sz w:val="24"/>
          <w:szCs w:val="24"/>
        </w:rPr>
        <w:t>法定代表人或其委托代理人：</w:t>
      </w:r>
      <w:r>
        <w:rPr>
          <w:rFonts w:ascii="宋体" w:hAnsi="宋体" w:eastAsia="宋体" w:cs="宋体"/>
          <w:spacing w:val="-4"/>
          <w:sz w:val="24"/>
          <w:szCs w:val="24"/>
          <w:u w:val="single" w:color="auto"/>
        </w:rPr>
        <w:t xml:space="preserve">  </w:t>
      </w:r>
      <w:r>
        <w:rPr>
          <w:rFonts w:ascii="宋体" w:hAnsi="宋体" w:eastAsia="宋体" w:cs="宋体"/>
          <w:spacing w:val="-56"/>
          <w:sz w:val="24"/>
          <w:szCs w:val="24"/>
        </w:rPr>
        <w:t xml:space="preserve"> </w:t>
      </w:r>
      <w:r>
        <w:rPr>
          <w:rFonts w:ascii="宋体" w:hAnsi="宋体" w:eastAsia="宋体" w:cs="宋体"/>
          <w:spacing w:val="-4"/>
          <w:sz w:val="24"/>
          <w:szCs w:val="24"/>
        </w:rPr>
        <w:t>(签字)</w:t>
      </w:r>
      <w:r>
        <w:rPr>
          <w:rFonts w:ascii="宋体" w:hAnsi="宋体" w:eastAsia="宋体" w:cs="宋体"/>
          <w:sz w:val="24"/>
          <w:szCs w:val="24"/>
          <w:u w:val="single" w:color="auto"/>
        </w:rPr>
        <w:tab/>
      </w:r>
      <w:r>
        <w:rPr>
          <w:rFonts w:ascii="宋体" w:hAnsi="宋体" w:eastAsia="宋体" w:cs="宋体"/>
          <w:spacing w:val="-108"/>
          <w:sz w:val="24"/>
          <w:szCs w:val="24"/>
        </w:rPr>
        <w:t xml:space="preserve"> </w:t>
      </w:r>
      <w:r>
        <w:rPr>
          <w:rFonts w:ascii="宋体" w:hAnsi="宋体" w:eastAsia="宋体" w:cs="宋体"/>
          <w:spacing w:val="-26"/>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26"/>
          <w:sz w:val="24"/>
          <w:szCs w:val="24"/>
        </w:rPr>
        <w:t>月</w:t>
      </w:r>
      <w:r>
        <w:rPr>
          <w:rFonts w:ascii="宋体" w:hAnsi="宋体" w:eastAsia="宋体" w:cs="宋体"/>
          <w:spacing w:val="24"/>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26"/>
          <w:sz w:val="24"/>
          <w:szCs w:val="24"/>
        </w:rPr>
        <w:t>日</w:t>
      </w:r>
    </w:p>
    <w:p w14:paraId="66916F96">
      <w:pPr>
        <w:tabs>
          <w:tab w:val="left" w:pos="360"/>
        </w:tabs>
        <w:spacing w:before="46" w:line="301" w:lineRule="auto"/>
        <w:ind w:firstLine="207"/>
        <w:jc w:val="right"/>
        <w:rPr>
          <w:rFonts w:ascii="宋体" w:hAnsi="宋体" w:eastAsia="宋体" w:cs="宋体"/>
          <w:spacing w:val="-4"/>
          <w:sz w:val="24"/>
          <w:szCs w:val="24"/>
        </w:rPr>
      </w:pPr>
      <w:r>
        <w:rPr>
          <w:rFonts w:ascii="宋体" w:hAnsi="宋体" w:eastAsia="宋体" w:cs="宋体"/>
          <w:spacing w:val="-3"/>
          <w:sz w:val="24"/>
          <w:szCs w:val="24"/>
        </w:rPr>
        <w:t>承包人：</w:t>
      </w:r>
      <w:r>
        <w:rPr>
          <w:rFonts w:ascii="宋体" w:hAnsi="宋体" w:eastAsia="宋体" w:cs="宋体"/>
          <w:spacing w:val="-3"/>
          <w:sz w:val="24"/>
          <w:szCs w:val="24"/>
          <w:u w:val="single" w:color="auto"/>
        </w:rPr>
        <w:t xml:space="preserve">                 </w:t>
      </w:r>
      <w:r>
        <w:rPr>
          <w:rFonts w:ascii="宋体" w:hAnsi="宋体" w:eastAsia="宋体" w:cs="宋体"/>
          <w:spacing w:val="-68"/>
          <w:sz w:val="24"/>
          <w:szCs w:val="24"/>
        </w:rPr>
        <w:t xml:space="preserve"> </w:t>
      </w:r>
      <w:r>
        <w:rPr>
          <w:rFonts w:ascii="宋体" w:hAnsi="宋体" w:eastAsia="宋体" w:cs="宋体"/>
          <w:spacing w:val="-3"/>
          <w:sz w:val="24"/>
          <w:szCs w:val="24"/>
        </w:rPr>
        <w:t>(盖单</w:t>
      </w:r>
      <w:r>
        <w:rPr>
          <w:rFonts w:ascii="宋体" w:hAnsi="宋体" w:eastAsia="宋体" w:cs="宋体"/>
          <w:spacing w:val="-4"/>
          <w:sz w:val="24"/>
          <w:szCs w:val="24"/>
        </w:rPr>
        <w:t>位章)</w:t>
      </w:r>
    </w:p>
    <w:p w14:paraId="68BC20FD">
      <w:pPr>
        <w:tabs>
          <w:tab w:val="left" w:pos="360"/>
        </w:tabs>
        <w:spacing w:before="46" w:line="301" w:lineRule="auto"/>
        <w:ind w:firstLine="207"/>
        <w:jc w:val="right"/>
        <w:rPr>
          <w:rFonts w:ascii="宋体" w:hAnsi="宋体" w:eastAsia="宋体" w:cs="宋体"/>
          <w:sz w:val="24"/>
          <w:szCs w:val="24"/>
        </w:rPr>
      </w:pPr>
      <w:r>
        <w:rPr>
          <w:rFonts w:ascii="宋体" w:hAnsi="宋体" w:eastAsia="宋体" w:cs="宋体"/>
          <w:spacing w:val="-4"/>
          <w:sz w:val="24"/>
          <w:szCs w:val="24"/>
        </w:rPr>
        <w:t>法定代表人或其委托代理人：</w:t>
      </w:r>
      <w:r>
        <w:rPr>
          <w:rFonts w:ascii="宋体" w:hAnsi="宋体" w:eastAsia="宋体" w:cs="宋体"/>
          <w:spacing w:val="-4"/>
          <w:sz w:val="24"/>
          <w:szCs w:val="24"/>
          <w:u w:val="single" w:color="auto"/>
        </w:rPr>
        <w:t xml:space="preserve">   </w:t>
      </w:r>
      <w:r>
        <w:rPr>
          <w:rFonts w:ascii="宋体" w:hAnsi="宋体" w:eastAsia="宋体" w:cs="宋体"/>
          <w:spacing w:val="68"/>
          <w:sz w:val="24"/>
          <w:szCs w:val="24"/>
        </w:rPr>
        <w:t xml:space="preserve"> </w:t>
      </w:r>
      <w:r>
        <w:rPr>
          <w:rFonts w:ascii="宋体" w:hAnsi="宋体" w:eastAsia="宋体" w:cs="宋体"/>
          <w:spacing w:val="-4"/>
          <w:sz w:val="24"/>
          <w:szCs w:val="24"/>
        </w:rPr>
        <w:t>(签字)</w:t>
      </w:r>
      <w:r>
        <w:rPr>
          <w:rFonts w:ascii="宋体" w:hAnsi="宋体" w:eastAsia="宋体" w:cs="宋体"/>
          <w:sz w:val="24"/>
          <w:szCs w:val="24"/>
          <w:u w:val="single" w:color="auto"/>
        </w:rPr>
        <w:tab/>
      </w:r>
      <w:r>
        <w:rPr>
          <w:rFonts w:ascii="宋体" w:hAnsi="宋体" w:eastAsia="宋体" w:cs="宋体"/>
          <w:spacing w:val="-110"/>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3B8668A4">
      <w:pPr>
        <w:tabs>
          <w:tab w:val="left" w:pos="2038"/>
        </w:tabs>
        <w:spacing w:before="181" w:line="272" w:lineRule="auto"/>
        <w:ind w:left="1318" w:right="390" w:hanging="1309"/>
        <w:rPr>
          <w:rFonts w:ascii="宋体" w:hAnsi="宋体" w:eastAsia="宋体" w:cs="宋体"/>
          <w:spacing w:val="-26"/>
          <w:sz w:val="24"/>
          <w:szCs w:val="24"/>
        </w:rPr>
      </w:pPr>
    </w:p>
    <w:p w14:paraId="516397D4">
      <w:pPr>
        <w:spacing w:line="14" w:lineRule="auto"/>
        <w:rPr>
          <w:rFonts w:ascii="Arial"/>
          <w:sz w:val="2"/>
        </w:rPr>
      </w:pPr>
    </w:p>
    <w:p w14:paraId="571877C6">
      <w:pPr>
        <w:spacing w:before="311" w:line="219" w:lineRule="auto"/>
        <w:ind w:left="27"/>
        <w:rPr>
          <w:rFonts w:ascii="宋体" w:hAnsi="宋体" w:eastAsia="宋体" w:cs="宋体"/>
          <w:sz w:val="24"/>
          <w:szCs w:val="24"/>
        </w:rPr>
      </w:pPr>
      <w:r>
        <w:rPr>
          <w:rFonts w:ascii="宋体" w:hAnsi="宋体" w:eastAsia="宋体" w:cs="宋体"/>
          <w:b/>
          <w:bCs/>
          <w:spacing w:val="-4"/>
          <w:sz w:val="24"/>
          <w:szCs w:val="24"/>
        </w:rPr>
        <w:br w:type="page"/>
      </w:r>
      <w:r>
        <w:rPr>
          <w:rFonts w:ascii="宋体" w:hAnsi="宋体" w:eastAsia="宋体" w:cs="宋体"/>
          <w:b/>
          <w:bCs/>
          <w:spacing w:val="-4"/>
          <w:sz w:val="24"/>
          <w:szCs w:val="24"/>
        </w:rPr>
        <w:t>附件四：其他管理人员和技术人员最低要求</w:t>
      </w:r>
    </w:p>
    <w:p w14:paraId="323E13B3">
      <w:pPr>
        <w:spacing w:before="306" w:line="362" w:lineRule="auto"/>
        <w:ind w:left="8" w:right="154" w:firstLine="4"/>
        <w:rPr>
          <w:rFonts w:ascii="宋体" w:hAnsi="宋体" w:eastAsia="宋体" w:cs="宋体"/>
          <w:sz w:val="28"/>
          <w:szCs w:val="28"/>
        </w:rPr>
      </w:pPr>
      <w:r>
        <w:rPr>
          <w:rFonts w:ascii="宋体" w:hAnsi="宋体" w:eastAsia="宋体" w:cs="宋体"/>
          <w:b/>
          <w:bCs/>
          <w:spacing w:val="-3"/>
          <w:sz w:val="28"/>
          <w:szCs w:val="28"/>
        </w:rPr>
        <w:t>详见第二章投标人须知附录</w:t>
      </w:r>
      <w:r>
        <w:rPr>
          <w:rFonts w:ascii="宋体" w:hAnsi="宋体" w:eastAsia="宋体" w:cs="宋体"/>
          <w:spacing w:val="-45"/>
          <w:sz w:val="28"/>
          <w:szCs w:val="28"/>
        </w:rPr>
        <w:t xml:space="preserve"> </w:t>
      </w:r>
      <w:r>
        <w:rPr>
          <w:rFonts w:ascii="宋体" w:hAnsi="宋体" w:eastAsia="宋体" w:cs="宋体"/>
          <w:b/>
          <w:bCs/>
          <w:spacing w:val="-3"/>
          <w:sz w:val="28"/>
          <w:szCs w:val="28"/>
        </w:rPr>
        <w:t>6</w:t>
      </w:r>
      <w:r>
        <w:rPr>
          <w:rFonts w:ascii="宋体" w:hAnsi="宋体" w:eastAsia="宋体" w:cs="宋体"/>
          <w:spacing w:val="-3"/>
          <w:sz w:val="28"/>
          <w:szCs w:val="28"/>
        </w:rPr>
        <w:t xml:space="preserve"> </w:t>
      </w:r>
      <w:r>
        <w:rPr>
          <w:rFonts w:ascii="宋体" w:hAnsi="宋体" w:eastAsia="宋体" w:cs="宋体"/>
          <w:b/>
          <w:bCs/>
          <w:spacing w:val="-3"/>
          <w:sz w:val="28"/>
          <w:szCs w:val="28"/>
        </w:rPr>
        <w:t>资格审查条件(其他管理人员和技术人员最</w:t>
      </w:r>
      <w:r>
        <w:rPr>
          <w:rFonts w:ascii="宋体" w:hAnsi="宋体" w:eastAsia="宋体" w:cs="宋体"/>
          <w:b/>
          <w:bCs/>
          <w:spacing w:val="-5"/>
          <w:sz w:val="28"/>
          <w:szCs w:val="28"/>
        </w:rPr>
        <w:t>低要求)</w:t>
      </w:r>
    </w:p>
    <w:p w14:paraId="4E71F243">
      <w:pPr>
        <w:spacing w:line="456" w:lineRule="auto"/>
        <w:rPr>
          <w:rFonts w:ascii="Arial"/>
          <w:sz w:val="21"/>
        </w:rPr>
      </w:pPr>
    </w:p>
    <w:p w14:paraId="12A9FAD7">
      <w:pPr>
        <w:spacing w:before="78" w:line="224" w:lineRule="auto"/>
        <w:ind w:left="8"/>
        <w:rPr>
          <w:rFonts w:ascii="宋体" w:hAnsi="宋体" w:eastAsia="宋体" w:cs="宋体"/>
          <w:sz w:val="24"/>
          <w:szCs w:val="24"/>
        </w:rPr>
      </w:pPr>
      <w:r>
        <w:rPr>
          <w:rFonts w:ascii="宋体" w:hAnsi="宋体" w:eastAsia="宋体" w:cs="宋体"/>
          <w:spacing w:val="-5"/>
          <w:sz w:val="24"/>
          <w:szCs w:val="24"/>
        </w:rPr>
        <w:t>注：</w:t>
      </w:r>
    </w:p>
    <w:p w14:paraId="021671D2">
      <w:pPr>
        <w:spacing w:before="177" w:line="359" w:lineRule="auto"/>
        <w:ind w:left="10" w:firstLine="15"/>
        <w:rPr>
          <w:rFonts w:ascii="宋体" w:hAnsi="宋体" w:eastAsia="宋体" w:cs="宋体"/>
          <w:sz w:val="24"/>
          <w:szCs w:val="24"/>
        </w:rPr>
      </w:pPr>
      <w:r>
        <w:rPr>
          <w:rFonts w:ascii="宋体" w:hAnsi="宋体" w:eastAsia="宋体" w:cs="宋体"/>
          <w:spacing w:val="-1"/>
          <w:sz w:val="24"/>
          <w:szCs w:val="24"/>
        </w:rPr>
        <w:t>1、投标人应按投标函的规定，承诺中标后按照本表的最低要求填报派驻本标段的主要人员，在经发包人审批后作为派驻本标段的项目管理</w:t>
      </w:r>
      <w:r>
        <w:rPr>
          <w:rFonts w:ascii="宋体" w:hAnsi="宋体" w:eastAsia="宋体" w:cs="宋体"/>
          <w:spacing w:val="-2"/>
          <w:sz w:val="24"/>
          <w:szCs w:val="24"/>
        </w:rPr>
        <w:t>机构主要人员且不允许无故更换。</w:t>
      </w:r>
    </w:p>
    <w:p w14:paraId="52E916FF">
      <w:pPr>
        <w:spacing w:before="1" w:line="360" w:lineRule="auto"/>
        <w:ind w:left="9" w:right="80" w:firstLine="1"/>
        <w:rPr>
          <w:rFonts w:ascii="宋体" w:hAnsi="宋体" w:eastAsia="宋体" w:cs="宋体"/>
          <w:sz w:val="24"/>
          <w:szCs w:val="24"/>
        </w:rPr>
      </w:pPr>
      <w:r>
        <w:rPr>
          <w:rFonts w:ascii="宋体" w:hAnsi="宋体" w:eastAsia="宋体" w:cs="宋体"/>
          <w:sz w:val="24"/>
          <w:szCs w:val="24"/>
        </w:rPr>
        <w:t>2、如果承包人不能在规定时间内派驻合格的人员，则</w:t>
      </w:r>
      <w:r>
        <w:rPr>
          <w:rFonts w:ascii="宋体" w:hAnsi="宋体" w:eastAsia="宋体" w:cs="宋体"/>
          <w:spacing w:val="-1"/>
          <w:sz w:val="24"/>
          <w:szCs w:val="24"/>
        </w:rPr>
        <w:t>视为相应岗位空缺，将严格按照合同条款的规定承担违约责任。</w:t>
      </w:r>
    </w:p>
    <w:p w14:paraId="646D55A9">
      <w:pPr>
        <w:spacing w:before="311" w:line="219" w:lineRule="auto"/>
        <w:ind w:left="27"/>
        <w:rPr>
          <w:rFonts w:ascii="宋体" w:hAnsi="宋体" w:eastAsia="宋体" w:cs="宋体"/>
          <w:sz w:val="24"/>
          <w:szCs w:val="24"/>
        </w:rPr>
      </w:pPr>
      <w:r>
        <w:rPr>
          <w:rFonts w:ascii="宋体" w:hAnsi="宋体" w:eastAsia="宋体" w:cs="宋体"/>
          <w:b/>
          <w:bCs/>
          <w:spacing w:val="-5"/>
          <w:sz w:val="24"/>
          <w:szCs w:val="24"/>
        </w:rPr>
        <w:br w:type="page"/>
      </w:r>
      <w:r>
        <w:rPr>
          <w:rFonts w:ascii="宋体" w:hAnsi="宋体" w:eastAsia="宋体" w:cs="宋体"/>
          <w:b/>
          <w:bCs/>
          <w:spacing w:val="-5"/>
          <w:sz w:val="24"/>
          <w:szCs w:val="24"/>
        </w:rPr>
        <w:t>附件五：主要设备最低要求</w:t>
      </w:r>
    </w:p>
    <w:p w14:paraId="7072E5EC">
      <w:pPr>
        <w:spacing w:line="318" w:lineRule="auto"/>
        <w:rPr>
          <w:rFonts w:ascii="Arial"/>
          <w:sz w:val="21"/>
        </w:rPr>
      </w:pPr>
    </w:p>
    <w:p w14:paraId="54694E14">
      <w:pPr>
        <w:spacing w:line="319" w:lineRule="auto"/>
        <w:rPr>
          <w:rFonts w:ascii="Arial"/>
          <w:sz w:val="21"/>
        </w:rPr>
      </w:pPr>
    </w:p>
    <w:p w14:paraId="72EC69E1">
      <w:pPr>
        <w:spacing w:before="91" w:line="219" w:lineRule="auto"/>
        <w:ind w:left="13"/>
        <w:rPr>
          <w:rFonts w:ascii="宋体" w:hAnsi="宋体" w:eastAsia="宋体" w:cs="宋体"/>
          <w:sz w:val="28"/>
          <w:szCs w:val="28"/>
        </w:rPr>
      </w:pPr>
      <w:r>
        <w:rPr>
          <w:rFonts w:ascii="宋体" w:hAnsi="宋体" w:eastAsia="宋体" w:cs="宋体"/>
          <w:b/>
          <w:bCs/>
          <w:spacing w:val="-3"/>
          <w:sz w:val="28"/>
          <w:szCs w:val="28"/>
        </w:rPr>
        <w:t>详见第二章投标人须知附录</w:t>
      </w:r>
      <w:r>
        <w:rPr>
          <w:rFonts w:ascii="宋体" w:hAnsi="宋体" w:eastAsia="宋体" w:cs="宋体"/>
          <w:spacing w:val="-48"/>
          <w:sz w:val="28"/>
          <w:szCs w:val="28"/>
        </w:rPr>
        <w:t xml:space="preserve"> </w:t>
      </w:r>
      <w:r>
        <w:rPr>
          <w:rFonts w:ascii="宋体" w:hAnsi="宋体" w:eastAsia="宋体" w:cs="宋体"/>
          <w:b/>
          <w:bCs/>
          <w:spacing w:val="-3"/>
          <w:sz w:val="28"/>
          <w:szCs w:val="28"/>
        </w:rPr>
        <w:t>7</w:t>
      </w:r>
      <w:r>
        <w:rPr>
          <w:rFonts w:ascii="宋体" w:hAnsi="宋体" w:eastAsia="宋体" w:cs="宋体"/>
          <w:spacing w:val="-3"/>
          <w:sz w:val="28"/>
          <w:szCs w:val="28"/>
        </w:rPr>
        <w:t xml:space="preserve"> </w:t>
      </w:r>
      <w:r>
        <w:rPr>
          <w:rFonts w:ascii="宋体" w:hAnsi="宋体" w:eastAsia="宋体" w:cs="宋体"/>
          <w:b/>
          <w:bCs/>
          <w:spacing w:val="-3"/>
          <w:sz w:val="28"/>
          <w:szCs w:val="28"/>
        </w:rPr>
        <w:t>资格审查条件(主要设备最低要求)</w:t>
      </w:r>
    </w:p>
    <w:p w14:paraId="4A895953">
      <w:pPr>
        <w:spacing w:line="248" w:lineRule="auto"/>
        <w:rPr>
          <w:rFonts w:ascii="Arial"/>
          <w:sz w:val="21"/>
        </w:rPr>
      </w:pPr>
    </w:p>
    <w:p w14:paraId="7ED26F22">
      <w:pPr>
        <w:spacing w:line="248" w:lineRule="auto"/>
        <w:rPr>
          <w:rFonts w:ascii="Arial"/>
          <w:sz w:val="21"/>
        </w:rPr>
      </w:pPr>
    </w:p>
    <w:p w14:paraId="5191A2B2">
      <w:pPr>
        <w:spacing w:line="249" w:lineRule="auto"/>
        <w:rPr>
          <w:rFonts w:ascii="Arial"/>
          <w:sz w:val="21"/>
        </w:rPr>
      </w:pPr>
    </w:p>
    <w:p w14:paraId="05449822">
      <w:pPr>
        <w:spacing w:before="78" w:line="224" w:lineRule="auto"/>
        <w:ind w:left="8"/>
        <w:rPr>
          <w:rFonts w:ascii="宋体" w:hAnsi="宋体" w:eastAsia="宋体" w:cs="宋体"/>
          <w:sz w:val="24"/>
          <w:szCs w:val="24"/>
        </w:rPr>
      </w:pPr>
      <w:r>
        <w:rPr>
          <w:rFonts w:ascii="宋体" w:hAnsi="宋体" w:eastAsia="宋体" w:cs="宋体"/>
          <w:spacing w:val="-5"/>
          <w:sz w:val="24"/>
          <w:szCs w:val="24"/>
        </w:rPr>
        <w:t>注：</w:t>
      </w:r>
    </w:p>
    <w:p w14:paraId="768D3FA8">
      <w:pPr>
        <w:spacing w:before="177" w:line="359" w:lineRule="auto"/>
        <w:ind w:left="8" w:right="67" w:firstLine="17"/>
        <w:rPr>
          <w:rFonts w:ascii="宋体" w:hAnsi="宋体" w:eastAsia="宋体" w:cs="宋体"/>
          <w:sz w:val="24"/>
          <w:szCs w:val="24"/>
        </w:rPr>
      </w:pPr>
      <w:r>
        <w:rPr>
          <w:rFonts w:ascii="宋体" w:hAnsi="宋体" w:eastAsia="宋体" w:cs="宋体"/>
          <w:spacing w:val="-1"/>
          <w:sz w:val="24"/>
          <w:szCs w:val="24"/>
        </w:rPr>
        <w:t>1、投标人应按投标函的规定，承诺中标后按照本表的最低要求填报主要设备，在经发包人审批后作为投入本标段的主要设备且不允许无故更换。</w:t>
      </w:r>
    </w:p>
    <w:p w14:paraId="4C8F49C3">
      <w:pPr>
        <w:spacing w:line="362" w:lineRule="auto"/>
        <w:ind w:left="13" w:right="67" w:hanging="2"/>
        <w:rPr>
          <w:rFonts w:ascii="宋体" w:hAnsi="宋体" w:eastAsia="宋体" w:cs="宋体"/>
          <w:sz w:val="24"/>
          <w:szCs w:val="24"/>
        </w:rPr>
      </w:pPr>
      <w:r>
        <w:rPr>
          <w:rFonts w:ascii="宋体" w:hAnsi="宋体" w:eastAsia="宋体" w:cs="宋体"/>
          <w:sz w:val="24"/>
          <w:szCs w:val="24"/>
        </w:rPr>
        <w:t>2、如果承包人不能在规定时间内投入满足本表要求的</w:t>
      </w:r>
      <w:r>
        <w:rPr>
          <w:rFonts w:ascii="宋体" w:hAnsi="宋体" w:eastAsia="宋体" w:cs="宋体"/>
          <w:spacing w:val="-1"/>
          <w:sz w:val="24"/>
          <w:szCs w:val="24"/>
        </w:rPr>
        <w:t>设备，将严格按照合同条款的规</w:t>
      </w:r>
      <w:r>
        <w:rPr>
          <w:rFonts w:ascii="宋体" w:hAnsi="宋体" w:eastAsia="宋体" w:cs="宋体"/>
          <w:spacing w:val="-2"/>
          <w:sz w:val="24"/>
          <w:szCs w:val="24"/>
        </w:rPr>
        <w:t>定承担违约责任。</w:t>
      </w:r>
    </w:p>
    <w:p w14:paraId="7BA194CB">
      <w:pPr>
        <w:spacing w:line="401" w:lineRule="auto"/>
        <w:rPr>
          <w:rFonts w:hint="eastAsia" w:ascii="Arial" w:eastAsia="宋体"/>
          <w:sz w:val="21"/>
          <w:lang w:eastAsia="zh-CN"/>
        </w:rPr>
      </w:pPr>
      <w:r>
        <w:rPr>
          <w:rFonts w:hint="eastAsia" w:ascii="Arial" w:eastAsia="宋体"/>
          <w:sz w:val="21"/>
          <w:lang w:eastAsia="zh-CN"/>
        </w:rPr>
        <w:br w:type="page"/>
      </w:r>
    </w:p>
    <w:p w14:paraId="77995B1E">
      <w:pPr>
        <w:spacing w:before="78" w:line="219" w:lineRule="auto"/>
        <w:ind w:left="28"/>
        <w:rPr>
          <w:rFonts w:ascii="宋体" w:hAnsi="宋体" w:eastAsia="宋体" w:cs="宋体"/>
          <w:sz w:val="24"/>
          <w:szCs w:val="24"/>
        </w:rPr>
      </w:pPr>
      <w:r>
        <w:rPr>
          <w:rFonts w:ascii="宋体" w:hAnsi="宋体" w:eastAsia="宋体" w:cs="宋体"/>
          <w:b/>
          <w:bCs/>
          <w:spacing w:val="-6"/>
          <w:sz w:val="24"/>
          <w:szCs w:val="24"/>
        </w:rPr>
        <w:t>附件六</w:t>
      </w:r>
      <w:r>
        <w:rPr>
          <w:rFonts w:ascii="宋体" w:hAnsi="宋体" w:eastAsia="宋体" w:cs="宋体"/>
          <w:spacing w:val="-47"/>
          <w:sz w:val="24"/>
          <w:szCs w:val="24"/>
        </w:rPr>
        <w:t xml:space="preserve"> </w:t>
      </w:r>
      <w:r>
        <w:rPr>
          <w:rFonts w:ascii="宋体" w:hAnsi="宋体" w:eastAsia="宋体" w:cs="宋体"/>
          <w:b/>
          <w:bCs/>
          <w:spacing w:val="-6"/>
          <w:sz w:val="24"/>
          <w:szCs w:val="24"/>
        </w:rPr>
        <w:t>履约保证金格式</w:t>
      </w:r>
    </w:p>
    <w:p w14:paraId="47C7760D">
      <w:pPr>
        <w:spacing w:before="300" w:line="219" w:lineRule="auto"/>
        <w:ind w:left="13"/>
        <w:rPr>
          <w:rFonts w:ascii="宋体" w:hAnsi="宋体" w:eastAsia="宋体" w:cs="宋体"/>
          <w:sz w:val="24"/>
          <w:szCs w:val="24"/>
        </w:rPr>
      </w:pPr>
      <w:r>
        <w:rPr>
          <w:rFonts w:ascii="宋体" w:hAnsi="宋体" w:eastAsia="宋体" w:cs="宋体"/>
          <w:spacing w:val="-2"/>
          <w:sz w:val="24"/>
          <w:szCs w:val="24"/>
        </w:rPr>
        <w:t>如采用银行保函，格式如下。</w:t>
      </w:r>
    </w:p>
    <w:p w14:paraId="5E8C71DD">
      <w:pPr>
        <w:spacing w:before="189" w:line="220" w:lineRule="auto"/>
        <w:ind w:left="3284"/>
        <w:rPr>
          <w:rFonts w:ascii="宋体" w:hAnsi="宋体" w:eastAsia="宋体" w:cs="宋体"/>
          <w:sz w:val="28"/>
          <w:szCs w:val="28"/>
        </w:rPr>
      </w:pPr>
      <w:r>
        <w:rPr>
          <w:rFonts w:ascii="宋体" w:hAnsi="宋体" w:eastAsia="宋体" w:cs="宋体"/>
          <w:b/>
          <w:bCs/>
          <w:spacing w:val="-4"/>
          <w:sz w:val="28"/>
          <w:szCs w:val="28"/>
        </w:rPr>
        <w:t>履约保证金（格式）</w:t>
      </w:r>
    </w:p>
    <w:p w14:paraId="297C2D3E">
      <w:pPr>
        <w:tabs>
          <w:tab w:val="left" w:pos="735"/>
        </w:tabs>
        <w:spacing w:before="205" w:line="220"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23"/>
          <w:sz w:val="24"/>
          <w:szCs w:val="24"/>
          <w:u w:val="single" w:color="auto"/>
        </w:rPr>
        <w:t>（发包人名称</w:t>
      </w:r>
      <w:r>
        <w:rPr>
          <w:rFonts w:ascii="宋体" w:hAnsi="宋体" w:eastAsia="宋体" w:cs="宋体"/>
          <w:spacing w:val="1"/>
          <w:sz w:val="24"/>
          <w:szCs w:val="24"/>
          <w:u w:val="single" w:color="auto"/>
        </w:rPr>
        <w:t>）</w:t>
      </w:r>
      <w:r>
        <w:rPr>
          <w:rFonts w:ascii="宋体" w:hAnsi="宋体" w:eastAsia="宋体" w:cs="宋体"/>
          <w:spacing w:val="1"/>
          <w:sz w:val="24"/>
          <w:szCs w:val="24"/>
        </w:rPr>
        <w:t>：</w:t>
      </w:r>
    </w:p>
    <w:p w14:paraId="1A76C5ED">
      <w:pPr>
        <w:spacing w:before="177" w:line="360" w:lineRule="auto"/>
        <w:ind w:left="9" w:firstLine="482"/>
        <w:jc w:val="both"/>
        <w:rPr>
          <w:rFonts w:ascii="宋体" w:hAnsi="宋体" w:eastAsia="宋体" w:cs="宋体"/>
          <w:sz w:val="24"/>
          <w:szCs w:val="24"/>
        </w:rPr>
      </w:pPr>
      <w:r>
        <w:rPr>
          <w:rFonts w:ascii="宋体" w:hAnsi="宋体" w:eastAsia="宋体" w:cs="宋体"/>
          <w:spacing w:val="-2"/>
          <w:sz w:val="24"/>
          <w:szCs w:val="24"/>
        </w:rPr>
        <w:t>鉴于</w:t>
      </w:r>
      <w:r>
        <w:rPr>
          <w:rFonts w:ascii="宋体" w:hAnsi="宋体" w:eastAsia="宋体" w:cs="宋体"/>
          <w:spacing w:val="7"/>
          <w:sz w:val="24"/>
          <w:szCs w:val="24"/>
          <w:u w:val="single" w:color="auto"/>
        </w:rPr>
        <w:t xml:space="preserve">            </w:t>
      </w:r>
      <w:r>
        <w:rPr>
          <w:rFonts w:ascii="宋体" w:hAnsi="宋体" w:eastAsia="宋体" w:cs="宋体"/>
          <w:spacing w:val="-2"/>
          <w:sz w:val="24"/>
          <w:szCs w:val="24"/>
        </w:rPr>
        <w:t>（发包人名称，以下简称“发包人</w:t>
      </w:r>
      <w:r>
        <w:rPr>
          <w:rFonts w:ascii="宋体" w:hAnsi="宋体" w:eastAsia="宋体" w:cs="宋体"/>
          <w:spacing w:val="-78"/>
          <w:sz w:val="24"/>
          <w:szCs w:val="24"/>
        </w:rPr>
        <w:t xml:space="preserve"> </w:t>
      </w:r>
      <w:r>
        <w:rPr>
          <w:rFonts w:ascii="宋体" w:hAnsi="宋体" w:eastAsia="宋体" w:cs="宋体"/>
          <w:spacing w:val="-2"/>
          <w:sz w:val="24"/>
          <w:szCs w:val="24"/>
        </w:rPr>
        <w:t>”）接受</w:t>
      </w:r>
      <w:r>
        <w:rPr>
          <w:rFonts w:ascii="宋体" w:hAnsi="宋体" w:eastAsia="宋体" w:cs="宋体"/>
          <w:spacing w:val="7"/>
          <w:sz w:val="24"/>
          <w:szCs w:val="24"/>
          <w:u w:val="single" w:color="auto"/>
        </w:rPr>
        <w:t xml:space="preserve">            </w:t>
      </w:r>
      <w:r>
        <w:rPr>
          <w:rFonts w:ascii="宋体" w:hAnsi="宋体" w:eastAsia="宋体" w:cs="宋体"/>
          <w:spacing w:val="-2"/>
          <w:sz w:val="24"/>
          <w:szCs w:val="24"/>
        </w:rPr>
        <w:t>（承</w:t>
      </w:r>
      <w:r>
        <w:rPr>
          <w:rFonts w:ascii="宋体" w:hAnsi="宋体" w:eastAsia="宋体" w:cs="宋体"/>
          <w:spacing w:val="-3"/>
          <w:sz w:val="24"/>
          <w:szCs w:val="24"/>
        </w:rPr>
        <w:t>包人名称，以下简称“承包人</w:t>
      </w:r>
      <w:r>
        <w:rPr>
          <w:rFonts w:ascii="宋体" w:hAnsi="宋体" w:eastAsia="宋体" w:cs="宋体"/>
          <w:spacing w:val="-88"/>
          <w:sz w:val="24"/>
          <w:szCs w:val="24"/>
        </w:rPr>
        <w:t xml:space="preserve"> </w:t>
      </w:r>
      <w:r>
        <w:rPr>
          <w:rFonts w:ascii="宋体" w:hAnsi="宋体" w:eastAsia="宋体" w:cs="宋体"/>
          <w:spacing w:val="-3"/>
          <w:sz w:val="24"/>
          <w:szCs w:val="24"/>
        </w:rPr>
        <w:t>”）于</w:t>
      </w:r>
      <w:r>
        <w:rPr>
          <w:rFonts w:ascii="宋体" w:hAnsi="宋体" w:eastAsia="宋体" w:cs="宋体"/>
          <w:spacing w:val="35"/>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3"/>
          <w:sz w:val="24"/>
          <w:szCs w:val="24"/>
        </w:rPr>
        <w:t>年</w:t>
      </w:r>
      <w:r>
        <w:rPr>
          <w:rFonts w:ascii="宋体" w:hAnsi="宋体" w:eastAsia="宋体" w:cs="宋体"/>
          <w:spacing w:val="111"/>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3"/>
          <w:sz w:val="24"/>
          <w:szCs w:val="24"/>
        </w:rPr>
        <w:t>月</w:t>
      </w:r>
      <w:r>
        <w:rPr>
          <w:rFonts w:ascii="宋体" w:hAnsi="宋体" w:eastAsia="宋体" w:cs="宋体"/>
          <w:spacing w:val="112"/>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3"/>
          <w:sz w:val="24"/>
          <w:szCs w:val="24"/>
        </w:rPr>
        <w:t>日参加</w:t>
      </w:r>
      <w:r>
        <w:rPr>
          <w:rFonts w:ascii="宋体" w:hAnsi="宋体" w:eastAsia="宋体" w:cs="宋体"/>
          <w:spacing w:val="25"/>
          <w:sz w:val="24"/>
          <w:szCs w:val="24"/>
          <w:u w:val="single" w:color="auto"/>
        </w:rPr>
        <w:t xml:space="preserve">    </w:t>
      </w:r>
      <w:r>
        <w:rPr>
          <w:rFonts w:ascii="宋体" w:hAnsi="宋体" w:eastAsia="宋体" w:cs="宋体"/>
          <w:spacing w:val="-3"/>
          <w:sz w:val="24"/>
          <w:szCs w:val="24"/>
          <w:u w:val="single" w:color="auto"/>
        </w:rPr>
        <w:t>（项目名称</w:t>
      </w:r>
      <w:r>
        <w:rPr>
          <w:rFonts w:ascii="宋体" w:hAnsi="宋体" w:eastAsia="宋体" w:cs="宋体"/>
          <w:spacing w:val="-16"/>
          <w:sz w:val="24"/>
          <w:szCs w:val="24"/>
          <w:u w:val="single" w:color="auto"/>
        </w:rPr>
        <w:t>）</w:t>
      </w:r>
      <w:r>
        <w:rPr>
          <w:rFonts w:ascii="宋体" w:hAnsi="宋体" w:eastAsia="宋体" w:cs="宋体"/>
          <w:spacing w:val="-2"/>
          <w:sz w:val="24"/>
          <w:szCs w:val="24"/>
          <w:u w:val="single" w:color="auto"/>
        </w:rPr>
        <w:t xml:space="preserve"> </w:t>
      </w:r>
      <w:r>
        <w:rPr>
          <w:rFonts w:ascii="宋体" w:hAnsi="宋体" w:eastAsia="宋体" w:cs="宋体"/>
          <w:spacing w:val="-16"/>
          <w:sz w:val="24"/>
          <w:szCs w:val="24"/>
          <w:u w:val="single" w:color="auto"/>
        </w:rPr>
        <w:t>（</w:t>
      </w:r>
      <w:r>
        <w:rPr>
          <w:rFonts w:ascii="宋体" w:hAnsi="宋体" w:eastAsia="宋体" w:cs="宋体"/>
          <w:spacing w:val="-3"/>
          <w:sz w:val="24"/>
          <w:szCs w:val="24"/>
          <w:u w:val="single" w:color="auto"/>
        </w:rPr>
        <w:t>标类或</w:t>
      </w:r>
      <w:r>
        <w:rPr>
          <w:rFonts w:ascii="宋体" w:hAnsi="宋体" w:eastAsia="宋体" w:cs="宋体"/>
          <w:spacing w:val="-2"/>
          <w:sz w:val="24"/>
          <w:szCs w:val="24"/>
          <w:u w:val="single" w:color="auto"/>
        </w:rPr>
        <w:t>标段）</w:t>
      </w:r>
      <w:r>
        <w:rPr>
          <w:rFonts w:ascii="宋体" w:hAnsi="宋体" w:eastAsia="宋体" w:cs="宋体"/>
          <w:spacing w:val="-2"/>
          <w:sz w:val="24"/>
          <w:szCs w:val="24"/>
        </w:rPr>
        <w:t>施工的投标。我方愿意无条件地、不可撤销地就承包人履行与你方订立的合同，向你方提供担保。</w:t>
      </w:r>
    </w:p>
    <w:p w14:paraId="357E6A08">
      <w:pPr>
        <w:spacing w:line="218" w:lineRule="auto"/>
        <w:ind w:left="507"/>
        <w:rPr>
          <w:rFonts w:ascii="宋体" w:hAnsi="宋体" w:eastAsia="宋体" w:cs="宋体"/>
          <w:sz w:val="24"/>
          <w:szCs w:val="24"/>
        </w:rPr>
      </w:pPr>
      <w:r>
        <w:rPr>
          <w:rFonts w:ascii="宋体" w:hAnsi="宋体" w:eastAsia="宋体" w:cs="宋体"/>
          <w:spacing w:val="-4"/>
          <w:sz w:val="24"/>
          <w:szCs w:val="24"/>
        </w:rPr>
        <w:t>1. 担保金额人民币（大写）</w:t>
      </w:r>
      <w:r>
        <w:rPr>
          <w:rFonts w:ascii="宋体" w:hAnsi="宋体" w:eastAsia="宋体" w:cs="宋体"/>
          <w:spacing w:val="-4"/>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4"/>
          <w:sz w:val="24"/>
          <w:szCs w:val="24"/>
        </w:rPr>
        <w:t>元</w:t>
      </w:r>
      <w:r>
        <w:rPr>
          <w:rFonts w:ascii="宋体" w:hAnsi="宋体" w:eastAsia="宋体" w:cs="宋体"/>
          <w:spacing w:val="16"/>
          <w:sz w:val="24"/>
          <w:szCs w:val="24"/>
        </w:rPr>
        <w:t xml:space="preserve"> </w:t>
      </w:r>
      <w:r>
        <w:rPr>
          <w:rFonts w:ascii="宋体" w:hAnsi="宋体" w:eastAsia="宋体" w:cs="宋体"/>
          <w:spacing w:val="-4"/>
          <w:sz w:val="24"/>
          <w:szCs w:val="24"/>
        </w:rPr>
        <w:t>(¥</w:t>
      </w:r>
      <w:r>
        <w:rPr>
          <w:rFonts w:ascii="宋体" w:hAnsi="宋体" w:eastAsia="宋体" w:cs="宋体"/>
          <w:sz w:val="24"/>
          <w:szCs w:val="24"/>
          <w:u w:val="single" w:color="auto"/>
        </w:rPr>
        <w:t xml:space="preserve">        </w:t>
      </w:r>
      <w:r>
        <w:rPr>
          <w:rFonts w:ascii="宋体" w:hAnsi="宋体" w:eastAsia="宋体" w:cs="宋体"/>
          <w:spacing w:val="-85"/>
          <w:sz w:val="24"/>
          <w:szCs w:val="24"/>
        </w:rPr>
        <w:t xml:space="preserve"> </w:t>
      </w:r>
      <w:r>
        <w:rPr>
          <w:rFonts w:ascii="宋体" w:hAnsi="宋体" w:eastAsia="宋体" w:cs="宋体"/>
          <w:spacing w:val="-5"/>
          <w:sz w:val="24"/>
          <w:szCs w:val="24"/>
        </w:rPr>
        <w:t>)</w:t>
      </w:r>
      <w:r>
        <w:rPr>
          <w:rFonts w:ascii="宋体" w:hAnsi="宋体" w:eastAsia="宋体" w:cs="宋体"/>
          <w:spacing w:val="15"/>
          <w:sz w:val="24"/>
          <w:szCs w:val="24"/>
        </w:rPr>
        <w:t xml:space="preserve"> </w:t>
      </w:r>
      <w:r>
        <w:rPr>
          <w:rFonts w:ascii="宋体" w:hAnsi="宋体" w:eastAsia="宋体" w:cs="宋体"/>
          <w:spacing w:val="-5"/>
          <w:sz w:val="24"/>
          <w:szCs w:val="24"/>
        </w:rPr>
        <w:t>。</w:t>
      </w:r>
    </w:p>
    <w:p w14:paraId="7BC32EAD">
      <w:pPr>
        <w:spacing w:before="182" w:line="359" w:lineRule="auto"/>
        <w:ind w:left="14" w:right="67" w:firstLine="478"/>
        <w:rPr>
          <w:rFonts w:ascii="宋体" w:hAnsi="宋体" w:eastAsia="宋体" w:cs="宋体"/>
          <w:sz w:val="24"/>
          <w:szCs w:val="24"/>
        </w:rPr>
      </w:pPr>
      <w:r>
        <w:rPr>
          <w:rFonts w:ascii="宋体" w:hAnsi="宋体" w:eastAsia="宋体" w:cs="宋体"/>
          <w:sz w:val="24"/>
          <w:szCs w:val="24"/>
        </w:rPr>
        <w:t>2. 担保有效期自发包人与承包人签订的合同生效</w:t>
      </w:r>
      <w:r>
        <w:rPr>
          <w:rFonts w:ascii="宋体" w:hAnsi="宋体" w:eastAsia="宋体" w:cs="宋体"/>
          <w:spacing w:val="-1"/>
          <w:sz w:val="24"/>
          <w:szCs w:val="24"/>
        </w:rPr>
        <w:t>之日起至发包人签发交工验收证书且承包人按照合同约定缴纳质量保证金之日止。</w:t>
      </w:r>
    </w:p>
    <w:p w14:paraId="0730E7D9">
      <w:pPr>
        <w:spacing w:before="2" w:line="359" w:lineRule="auto"/>
        <w:ind w:left="10" w:right="67" w:firstLine="483"/>
        <w:rPr>
          <w:rFonts w:ascii="宋体" w:hAnsi="宋体" w:eastAsia="宋体" w:cs="宋体"/>
          <w:sz w:val="24"/>
          <w:szCs w:val="24"/>
        </w:rPr>
      </w:pPr>
      <w:r>
        <w:rPr>
          <w:rFonts w:ascii="宋体" w:hAnsi="宋体" w:eastAsia="宋体" w:cs="宋体"/>
          <w:sz w:val="24"/>
          <w:szCs w:val="24"/>
        </w:rPr>
        <w:t>3. 在本担保有效期内，因承包人违反合同约</w:t>
      </w:r>
      <w:r>
        <w:rPr>
          <w:rFonts w:ascii="宋体" w:hAnsi="宋体" w:eastAsia="宋体" w:cs="宋体"/>
          <w:spacing w:val="-1"/>
          <w:sz w:val="24"/>
          <w:szCs w:val="24"/>
        </w:rPr>
        <w:t>定的义务给你方造成经济损失时，我</w:t>
      </w:r>
      <w:r>
        <w:rPr>
          <w:rFonts w:ascii="宋体" w:hAnsi="宋体" w:eastAsia="宋体" w:cs="宋体"/>
          <w:spacing w:val="-2"/>
          <w:sz w:val="24"/>
          <w:szCs w:val="24"/>
        </w:rPr>
        <w:t>方在收到你方以书面形式提出的在担保金额内的赔偿要求后，在 7</w:t>
      </w:r>
      <w:r>
        <w:rPr>
          <w:rFonts w:ascii="宋体" w:hAnsi="宋体" w:eastAsia="宋体" w:cs="宋体"/>
          <w:spacing w:val="64"/>
          <w:sz w:val="24"/>
          <w:szCs w:val="24"/>
        </w:rPr>
        <w:t xml:space="preserve"> </w:t>
      </w:r>
      <w:r>
        <w:rPr>
          <w:rFonts w:ascii="宋体" w:hAnsi="宋体" w:eastAsia="宋体" w:cs="宋体"/>
          <w:spacing w:val="-2"/>
          <w:sz w:val="24"/>
          <w:szCs w:val="24"/>
        </w:rPr>
        <w:t>日内无条件支付，</w:t>
      </w:r>
      <w:r>
        <w:rPr>
          <w:rFonts w:ascii="宋体" w:hAnsi="宋体" w:eastAsia="宋体" w:cs="宋体"/>
          <w:spacing w:val="-1"/>
          <w:sz w:val="24"/>
          <w:szCs w:val="24"/>
        </w:rPr>
        <w:t>无须你方出具证明或陈述理由。</w:t>
      </w:r>
    </w:p>
    <w:p w14:paraId="561050F3">
      <w:pPr>
        <w:spacing w:before="2" w:line="359" w:lineRule="auto"/>
        <w:ind w:left="11" w:right="125" w:firstLine="477"/>
        <w:rPr>
          <w:rFonts w:ascii="宋体" w:hAnsi="宋体" w:eastAsia="宋体" w:cs="宋体"/>
          <w:sz w:val="24"/>
          <w:szCs w:val="24"/>
        </w:rPr>
      </w:pPr>
      <w:r>
        <w:rPr>
          <w:rFonts w:ascii="宋体" w:hAnsi="宋体" w:eastAsia="宋体" w:cs="宋体"/>
          <w:spacing w:val="-2"/>
          <w:sz w:val="24"/>
          <w:szCs w:val="24"/>
        </w:rPr>
        <w:t>4. 发包人和承包人按合同条款第 15 条变更合同时，无论我方是否收到该变更，</w:t>
      </w:r>
      <w:r>
        <w:rPr>
          <w:rFonts w:ascii="宋体" w:hAnsi="宋体" w:eastAsia="宋体" w:cs="宋体"/>
          <w:spacing w:val="-1"/>
          <w:sz w:val="24"/>
          <w:szCs w:val="24"/>
        </w:rPr>
        <w:t>我方承担本担保规定的义务不变。</w:t>
      </w:r>
    </w:p>
    <w:p w14:paraId="49D55E79">
      <w:pPr>
        <w:spacing w:line="282" w:lineRule="auto"/>
        <w:rPr>
          <w:rFonts w:ascii="Arial"/>
          <w:sz w:val="21"/>
        </w:rPr>
      </w:pPr>
    </w:p>
    <w:p w14:paraId="283EE29A">
      <w:pPr>
        <w:spacing w:line="282" w:lineRule="auto"/>
        <w:rPr>
          <w:rFonts w:ascii="Arial"/>
          <w:sz w:val="21"/>
        </w:rPr>
      </w:pPr>
    </w:p>
    <w:p w14:paraId="39C76F26">
      <w:pPr>
        <w:spacing w:line="283" w:lineRule="auto"/>
        <w:rPr>
          <w:rFonts w:ascii="Arial"/>
          <w:sz w:val="21"/>
        </w:rPr>
      </w:pPr>
    </w:p>
    <w:p w14:paraId="344E619E">
      <w:pPr>
        <w:spacing w:before="79" w:line="219" w:lineRule="auto"/>
        <w:ind w:left="4330"/>
        <w:rPr>
          <w:rFonts w:ascii="宋体" w:hAnsi="宋体" w:eastAsia="宋体" w:cs="宋体"/>
          <w:sz w:val="24"/>
          <w:szCs w:val="24"/>
        </w:rPr>
      </w:pPr>
      <w:r>
        <w:rPr>
          <w:rFonts w:ascii="宋体" w:hAnsi="宋体" w:eastAsia="宋体" w:cs="宋体"/>
          <w:spacing w:val="1"/>
          <w:sz w:val="24"/>
          <w:szCs w:val="24"/>
        </w:rPr>
        <w:t>担保人名称</w:t>
      </w:r>
      <w:r>
        <w:rPr>
          <w:rFonts w:ascii="宋体" w:hAnsi="宋体" w:eastAsia="宋体" w:cs="宋体"/>
          <w:spacing w:val="-11"/>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11"/>
          <w:sz w:val="24"/>
          <w:szCs w:val="24"/>
          <w:u w:val="single" w:color="auto"/>
        </w:rPr>
        <w:t>（</w:t>
      </w:r>
      <w:r>
        <w:rPr>
          <w:rFonts w:ascii="宋体" w:hAnsi="宋体" w:eastAsia="宋体" w:cs="宋体"/>
          <w:spacing w:val="1"/>
          <w:sz w:val="24"/>
          <w:szCs w:val="24"/>
          <w:u w:val="single" w:color="auto"/>
        </w:rPr>
        <w:t xml:space="preserve">盖单位章）          </w:t>
      </w:r>
    </w:p>
    <w:p w14:paraId="2B0D7B4E">
      <w:pPr>
        <w:spacing w:before="181" w:line="219" w:lineRule="auto"/>
        <w:ind w:left="4330"/>
        <w:rPr>
          <w:rFonts w:ascii="宋体" w:hAnsi="宋体" w:eastAsia="宋体" w:cs="宋体"/>
          <w:sz w:val="24"/>
          <w:szCs w:val="24"/>
        </w:rPr>
      </w:pPr>
      <w:r>
        <w:rPr>
          <w:rFonts w:ascii="宋体" w:hAnsi="宋体" w:eastAsia="宋体" w:cs="宋体"/>
          <w:spacing w:val="1"/>
          <w:sz w:val="24"/>
          <w:szCs w:val="24"/>
        </w:rPr>
        <w:t>法定代表人或其委托代理人</w:t>
      </w:r>
      <w:r>
        <w:rPr>
          <w:rFonts w:ascii="宋体" w:hAnsi="宋体" w:eastAsia="宋体" w:cs="宋体"/>
          <w:spacing w:val="-14"/>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14"/>
          <w:sz w:val="24"/>
          <w:szCs w:val="24"/>
          <w:u w:val="single" w:color="auto"/>
        </w:rPr>
        <w:t>（</w:t>
      </w:r>
      <w:r>
        <w:rPr>
          <w:rFonts w:ascii="宋体" w:hAnsi="宋体" w:eastAsia="宋体" w:cs="宋体"/>
          <w:spacing w:val="1"/>
          <w:sz w:val="24"/>
          <w:szCs w:val="24"/>
          <w:u w:val="single" w:color="auto"/>
        </w:rPr>
        <w:t>签字）</w:t>
      </w:r>
    </w:p>
    <w:p w14:paraId="0796F2C6">
      <w:pPr>
        <w:spacing w:before="183" w:line="229" w:lineRule="auto"/>
        <w:ind w:left="4329"/>
        <w:rPr>
          <w:rFonts w:ascii="宋体" w:hAnsi="宋体" w:eastAsia="宋体" w:cs="宋体"/>
          <w:sz w:val="24"/>
          <w:szCs w:val="24"/>
        </w:rPr>
      </w:pPr>
      <w:r>
        <w:rPr>
          <w:rFonts w:ascii="宋体" w:hAnsi="宋体" w:eastAsia="宋体" w:cs="宋体"/>
          <w:spacing w:val="-17"/>
          <w:sz w:val="24"/>
          <w:szCs w:val="24"/>
        </w:rPr>
        <w:t>地</w:t>
      </w:r>
      <w:r>
        <w:rPr>
          <w:rFonts w:ascii="宋体" w:hAnsi="宋体" w:eastAsia="宋体" w:cs="宋体"/>
          <w:spacing w:val="10"/>
          <w:sz w:val="24"/>
          <w:szCs w:val="24"/>
        </w:rPr>
        <w:t xml:space="preserve"> </w:t>
      </w:r>
      <w:r>
        <w:rPr>
          <w:rFonts w:ascii="宋体" w:hAnsi="宋体" w:eastAsia="宋体" w:cs="宋体"/>
          <w:spacing w:val="-17"/>
          <w:sz w:val="24"/>
          <w:szCs w:val="24"/>
        </w:rPr>
        <w:t>址</w:t>
      </w:r>
      <w:r>
        <w:rPr>
          <w:rFonts w:ascii="宋体" w:hAnsi="宋体" w:eastAsia="宋体" w:cs="宋体"/>
          <w:spacing w:val="-90"/>
          <w:sz w:val="24"/>
          <w:szCs w:val="24"/>
        </w:rPr>
        <w:t xml:space="preserve"> </w:t>
      </w:r>
      <w:r>
        <w:rPr>
          <w:rFonts w:ascii="宋体" w:hAnsi="宋体" w:eastAsia="宋体" w:cs="宋体"/>
          <w:spacing w:val="-17"/>
          <w:sz w:val="24"/>
          <w:szCs w:val="24"/>
        </w:rPr>
        <w:t>：</w:t>
      </w:r>
      <w:r>
        <w:rPr>
          <w:rFonts w:ascii="宋体" w:hAnsi="宋体" w:eastAsia="宋体" w:cs="宋体"/>
          <w:sz w:val="24"/>
          <w:szCs w:val="24"/>
          <w:u w:val="single" w:color="auto"/>
        </w:rPr>
        <w:t xml:space="preserve">                    </w:t>
      </w:r>
    </w:p>
    <w:p w14:paraId="78DB138F">
      <w:pPr>
        <w:spacing w:before="169" w:line="219" w:lineRule="auto"/>
        <w:ind w:left="4347"/>
        <w:rPr>
          <w:rFonts w:ascii="宋体" w:hAnsi="宋体" w:eastAsia="宋体" w:cs="宋体"/>
          <w:sz w:val="24"/>
          <w:szCs w:val="24"/>
        </w:rPr>
      </w:pPr>
      <w:r>
        <w:rPr>
          <w:rFonts w:ascii="宋体" w:hAnsi="宋体" w:eastAsia="宋体" w:cs="宋体"/>
          <w:spacing w:val="-6"/>
          <w:sz w:val="24"/>
          <w:szCs w:val="24"/>
        </w:rPr>
        <w:t>邮政编码：</w:t>
      </w:r>
      <w:r>
        <w:rPr>
          <w:rFonts w:ascii="宋体" w:hAnsi="宋体" w:eastAsia="宋体" w:cs="宋体"/>
          <w:sz w:val="24"/>
          <w:szCs w:val="24"/>
          <w:u w:val="single" w:color="auto"/>
        </w:rPr>
        <w:t xml:space="preserve">                 </w:t>
      </w:r>
    </w:p>
    <w:p w14:paraId="2C239CF0">
      <w:pPr>
        <w:spacing w:before="183" w:line="221" w:lineRule="auto"/>
        <w:ind w:left="4357"/>
        <w:rPr>
          <w:rFonts w:ascii="宋体" w:hAnsi="宋体" w:eastAsia="宋体" w:cs="宋体"/>
          <w:sz w:val="24"/>
          <w:szCs w:val="24"/>
        </w:rPr>
      </w:pPr>
      <w:r>
        <w:rPr>
          <w:rFonts w:ascii="宋体" w:hAnsi="宋体" w:eastAsia="宋体" w:cs="宋体"/>
          <w:spacing w:val="-26"/>
          <w:sz w:val="24"/>
          <w:szCs w:val="24"/>
        </w:rPr>
        <w:t>电</w:t>
      </w:r>
      <w:r>
        <w:rPr>
          <w:rFonts w:ascii="宋体" w:hAnsi="宋体" w:eastAsia="宋体" w:cs="宋体"/>
          <w:spacing w:val="9"/>
          <w:sz w:val="24"/>
          <w:szCs w:val="24"/>
        </w:rPr>
        <w:t xml:space="preserve"> </w:t>
      </w:r>
      <w:r>
        <w:rPr>
          <w:rFonts w:ascii="宋体" w:hAnsi="宋体" w:eastAsia="宋体" w:cs="宋体"/>
          <w:spacing w:val="-26"/>
          <w:sz w:val="24"/>
          <w:szCs w:val="24"/>
        </w:rPr>
        <w:t>话</w:t>
      </w:r>
      <w:r>
        <w:rPr>
          <w:rFonts w:ascii="宋体" w:hAnsi="宋体" w:eastAsia="宋体" w:cs="宋体"/>
          <w:spacing w:val="-90"/>
          <w:sz w:val="24"/>
          <w:szCs w:val="24"/>
        </w:rPr>
        <w:t xml:space="preserve"> </w:t>
      </w:r>
      <w:r>
        <w:rPr>
          <w:rFonts w:ascii="宋体" w:hAnsi="宋体" w:eastAsia="宋体" w:cs="宋体"/>
          <w:spacing w:val="-26"/>
          <w:sz w:val="24"/>
          <w:szCs w:val="24"/>
        </w:rPr>
        <w:t>：</w:t>
      </w:r>
      <w:r>
        <w:rPr>
          <w:rFonts w:ascii="宋体" w:hAnsi="宋体" w:eastAsia="宋体" w:cs="宋体"/>
          <w:sz w:val="24"/>
          <w:szCs w:val="24"/>
          <w:u w:val="single" w:color="auto"/>
        </w:rPr>
        <w:t xml:space="preserve">                    </w:t>
      </w:r>
    </w:p>
    <w:p w14:paraId="3811F654">
      <w:pPr>
        <w:spacing w:before="177" w:line="219" w:lineRule="auto"/>
        <w:ind w:left="4327"/>
        <w:rPr>
          <w:rFonts w:ascii="宋体" w:hAnsi="宋体" w:eastAsia="宋体" w:cs="宋体"/>
          <w:sz w:val="24"/>
          <w:szCs w:val="24"/>
        </w:rPr>
      </w:pPr>
      <w:r>
        <w:rPr>
          <w:rFonts w:ascii="宋体" w:hAnsi="宋体" w:eastAsia="宋体" w:cs="宋体"/>
          <w:spacing w:val="-17"/>
          <w:sz w:val="24"/>
          <w:szCs w:val="24"/>
        </w:rPr>
        <w:t>传</w:t>
      </w:r>
      <w:r>
        <w:rPr>
          <w:rFonts w:ascii="宋体" w:hAnsi="宋体" w:eastAsia="宋体" w:cs="宋体"/>
          <w:spacing w:val="12"/>
          <w:sz w:val="24"/>
          <w:szCs w:val="24"/>
        </w:rPr>
        <w:t xml:space="preserve"> </w:t>
      </w:r>
      <w:r>
        <w:rPr>
          <w:rFonts w:ascii="宋体" w:hAnsi="宋体" w:eastAsia="宋体" w:cs="宋体"/>
          <w:spacing w:val="-17"/>
          <w:sz w:val="24"/>
          <w:szCs w:val="24"/>
        </w:rPr>
        <w:t>真</w:t>
      </w:r>
      <w:r>
        <w:rPr>
          <w:rFonts w:ascii="宋体" w:hAnsi="宋体" w:eastAsia="宋体" w:cs="宋体"/>
          <w:spacing w:val="-90"/>
          <w:sz w:val="24"/>
          <w:szCs w:val="24"/>
        </w:rPr>
        <w:t xml:space="preserve"> </w:t>
      </w:r>
      <w:r>
        <w:rPr>
          <w:rFonts w:ascii="宋体" w:hAnsi="宋体" w:eastAsia="宋体" w:cs="宋体"/>
          <w:spacing w:val="-17"/>
          <w:sz w:val="24"/>
          <w:szCs w:val="24"/>
        </w:rPr>
        <w:t>：</w:t>
      </w:r>
      <w:r>
        <w:rPr>
          <w:rFonts w:ascii="宋体" w:hAnsi="宋体" w:eastAsia="宋体" w:cs="宋体"/>
          <w:sz w:val="24"/>
          <w:szCs w:val="24"/>
          <w:u w:val="single" w:color="auto"/>
        </w:rPr>
        <w:t xml:space="preserve">                    </w:t>
      </w:r>
    </w:p>
    <w:p w14:paraId="62652FCD">
      <w:pPr>
        <w:spacing w:line="379" w:lineRule="auto"/>
        <w:rPr>
          <w:rFonts w:ascii="Arial"/>
          <w:sz w:val="21"/>
        </w:rPr>
      </w:pPr>
    </w:p>
    <w:p w14:paraId="36D7872F">
      <w:pPr>
        <w:spacing w:before="79" w:line="219" w:lineRule="auto"/>
        <w:jc w:val="right"/>
        <w:rPr>
          <w:rFonts w:ascii="宋体" w:hAnsi="宋体" w:eastAsia="宋体" w:cs="宋体"/>
          <w:sz w:val="24"/>
          <w:szCs w:val="24"/>
        </w:rPr>
      </w:pPr>
      <w:r>
        <w:rPr>
          <w:rFonts w:ascii="宋体" w:hAnsi="宋体" w:eastAsia="宋体" w:cs="宋体"/>
          <w:spacing w:val="-26"/>
          <w:sz w:val="24"/>
          <w:szCs w:val="24"/>
        </w:rPr>
        <w:t>年</w:t>
      </w:r>
      <w:r>
        <w:rPr>
          <w:rFonts w:ascii="宋体" w:hAnsi="宋体" w:eastAsia="宋体" w:cs="宋体"/>
          <w:spacing w:val="76"/>
          <w:sz w:val="24"/>
          <w:szCs w:val="24"/>
        </w:rPr>
        <w:t xml:space="preserve"> </w:t>
      </w:r>
      <w:r>
        <w:rPr>
          <w:rFonts w:ascii="宋体" w:hAnsi="宋体" w:eastAsia="宋体" w:cs="宋体"/>
          <w:spacing w:val="-26"/>
          <w:sz w:val="24"/>
          <w:szCs w:val="24"/>
        </w:rPr>
        <w:t>月</w:t>
      </w:r>
      <w:r>
        <w:rPr>
          <w:rFonts w:ascii="宋体" w:hAnsi="宋体" w:eastAsia="宋体" w:cs="宋体"/>
          <w:spacing w:val="110"/>
          <w:sz w:val="24"/>
          <w:szCs w:val="24"/>
        </w:rPr>
        <w:t xml:space="preserve"> </w:t>
      </w:r>
      <w:r>
        <w:rPr>
          <w:rFonts w:ascii="宋体" w:hAnsi="宋体" w:eastAsia="宋体" w:cs="宋体"/>
          <w:spacing w:val="-26"/>
          <w:sz w:val="24"/>
          <w:szCs w:val="24"/>
        </w:rPr>
        <w:t>日</w:t>
      </w:r>
    </w:p>
    <w:p w14:paraId="478E927E">
      <w:pPr>
        <w:spacing w:line="401" w:lineRule="auto"/>
        <w:rPr>
          <w:rFonts w:hint="eastAsia" w:ascii="Arial" w:eastAsia="宋体"/>
          <w:sz w:val="21"/>
          <w:lang w:eastAsia="zh-CN"/>
        </w:rPr>
      </w:pPr>
      <w:r>
        <w:rPr>
          <w:rFonts w:hint="eastAsia" w:ascii="Arial" w:eastAsia="宋体"/>
          <w:sz w:val="21"/>
          <w:lang w:eastAsia="zh-CN"/>
        </w:rPr>
        <w:br w:type="page"/>
      </w:r>
    </w:p>
    <w:p w14:paraId="294EB70A">
      <w:pPr>
        <w:spacing w:before="78" w:line="219" w:lineRule="auto"/>
        <w:ind w:left="27"/>
        <w:rPr>
          <w:rFonts w:ascii="宋体" w:hAnsi="宋体" w:eastAsia="宋体" w:cs="宋体"/>
          <w:sz w:val="24"/>
          <w:szCs w:val="24"/>
        </w:rPr>
      </w:pPr>
      <w:r>
        <w:rPr>
          <w:rFonts w:ascii="宋体" w:hAnsi="宋体" w:eastAsia="宋体" w:cs="宋体"/>
          <w:b/>
          <w:bCs/>
          <w:spacing w:val="-4"/>
          <w:sz w:val="24"/>
          <w:szCs w:val="24"/>
        </w:rPr>
        <w:t>附件七：工程资金监管协议</w:t>
      </w:r>
    </w:p>
    <w:p w14:paraId="2115B98B">
      <w:pPr>
        <w:spacing w:before="264" w:line="362" w:lineRule="auto"/>
        <w:ind w:left="563" w:right="61" w:hanging="544"/>
        <w:rPr>
          <w:rFonts w:ascii="宋体" w:hAnsi="宋体" w:eastAsia="宋体" w:cs="宋体"/>
          <w:sz w:val="24"/>
          <w:szCs w:val="24"/>
        </w:rPr>
      </w:pPr>
      <w:r>
        <w:rPr>
          <w:rFonts w:ascii="宋体" w:hAnsi="宋体" w:eastAsia="宋体" w:cs="宋体"/>
          <w:b/>
          <w:bCs/>
          <w:spacing w:val="-5"/>
          <w:sz w:val="24"/>
          <w:szCs w:val="24"/>
        </w:rPr>
        <w:t>（发包人与承包人签订合同协议书时应与发包人指定的银行签署工程资金监管协议，工</w:t>
      </w:r>
      <w:r>
        <w:rPr>
          <w:rFonts w:ascii="宋体" w:hAnsi="宋体" w:eastAsia="宋体" w:cs="宋体"/>
          <w:b/>
          <w:bCs/>
          <w:spacing w:val="-2"/>
          <w:sz w:val="24"/>
          <w:szCs w:val="24"/>
        </w:rPr>
        <w:t>程资金监管协议内容在保证本项目资金有效监管的前提下由三方共同商定）</w:t>
      </w:r>
    </w:p>
    <w:p w14:paraId="05E0224B">
      <w:pPr>
        <w:spacing w:before="4" w:line="219" w:lineRule="auto"/>
        <w:ind w:left="3343"/>
        <w:rPr>
          <w:rFonts w:ascii="宋体" w:hAnsi="宋体" w:eastAsia="宋体" w:cs="宋体"/>
          <w:sz w:val="30"/>
          <w:szCs w:val="30"/>
        </w:rPr>
      </w:pPr>
      <w:r>
        <w:rPr>
          <w:rFonts w:ascii="宋体" w:hAnsi="宋体" w:eastAsia="宋体" w:cs="宋体"/>
          <w:b/>
          <w:bCs/>
          <w:spacing w:val="-5"/>
          <w:sz w:val="30"/>
          <w:szCs w:val="30"/>
        </w:rPr>
        <w:t>工程资金监管协议</w:t>
      </w:r>
    </w:p>
    <w:p w14:paraId="7B21CBBC">
      <w:pPr>
        <w:spacing w:before="215" w:line="219" w:lineRule="auto"/>
        <w:ind w:left="12"/>
        <w:rPr>
          <w:rFonts w:ascii="宋体" w:hAnsi="宋体" w:eastAsia="宋体" w:cs="宋体"/>
          <w:sz w:val="24"/>
          <w:szCs w:val="24"/>
        </w:rPr>
      </w:pPr>
      <w:r>
        <w:rPr>
          <w:rFonts w:ascii="宋体" w:hAnsi="宋体" w:eastAsia="宋体" w:cs="宋体"/>
          <w:spacing w:val="-2"/>
          <w:sz w:val="24"/>
          <w:szCs w:val="24"/>
        </w:rPr>
        <w:t>发包人</w:t>
      </w:r>
      <w:r>
        <w:rPr>
          <w:rFonts w:ascii="宋体" w:hAnsi="宋体" w:eastAsia="宋体" w:cs="宋体"/>
          <w:spacing w:val="-14"/>
          <w:sz w:val="24"/>
          <w:szCs w:val="24"/>
        </w:rPr>
        <w:t>：</w:t>
      </w:r>
      <w:r>
        <w:rPr>
          <w:rFonts w:ascii="宋体" w:hAnsi="宋体" w:eastAsia="宋体" w:cs="宋体"/>
          <w:sz w:val="24"/>
          <w:szCs w:val="24"/>
          <w:u w:val="single" w:color="auto"/>
        </w:rPr>
        <w:t xml:space="preserve">                </w:t>
      </w:r>
      <w:r>
        <w:rPr>
          <w:rFonts w:ascii="宋体" w:hAnsi="宋体" w:eastAsia="宋体" w:cs="宋体"/>
          <w:spacing w:val="-14"/>
          <w:sz w:val="24"/>
          <w:szCs w:val="24"/>
        </w:rPr>
        <w:t>（</w:t>
      </w:r>
      <w:r>
        <w:rPr>
          <w:rFonts w:ascii="宋体" w:hAnsi="宋体" w:eastAsia="宋体" w:cs="宋体"/>
          <w:spacing w:val="-2"/>
          <w:sz w:val="24"/>
          <w:szCs w:val="24"/>
        </w:rPr>
        <w:t>以下简称“</w:t>
      </w:r>
      <w:r>
        <w:rPr>
          <w:rFonts w:ascii="宋体" w:hAnsi="宋体" w:eastAsia="宋体" w:cs="宋体"/>
          <w:spacing w:val="-80"/>
          <w:sz w:val="24"/>
          <w:szCs w:val="24"/>
        </w:rPr>
        <w:t xml:space="preserve"> </w:t>
      </w:r>
      <w:r>
        <w:rPr>
          <w:rFonts w:ascii="宋体" w:hAnsi="宋体" w:eastAsia="宋体" w:cs="宋体"/>
          <w:spacing w:val="-2"/>
          <w:sz w:val="24"/>
          <w:szCs w:val="24"/>
        </w:rPr>
        <w:t>甲方</w:t>
      </w:r>
      <w:r>
        <w:rPr>
          <w:rFonts w:ascii="宋体" w:hAnsi="宋体" w:eastAsia="宋体" w:cs="宋体"/>
          <w:spacing w:val="-88"/>
          <w:sz w:val="24"/>
          <w:szCs w:val="24"/>
        </w:rPr>
        <w:t xml:space="preserve"> </w:t>
      </w:r>
      <w:r>
        <w:rPr>
          <w:rFonts w:ascii="宋体" w:hAnsi="宋体" w:eastAsia="宋体" w:cs="宋体"/>
          <w:spacing w:val="-2"/>
          <w:sz w:val="24"/>
          <w:szCs w:val="24"/>
        </w:rPr>
        <w:t>”）</w:t>
      </w:r>
    </w:p>
    <w:p w14:paraId="4446C32F">
      <w:pPr>
        <w:spacing w:before="183" w:line="219" w:lineRule="auto"/>
        <w:ind w:left="8"/>
        <w:rPr>
          <w:rFonts w:ascii="宋体" w:hAnsi="宋体" w:eastAsia="宋体" w:cs="宋体"/>
          <w:sz w:val="24"/>
          <w:szCs w:val="24"/>
        </w:rPr>
      </w:pPr>
      <w:r>
        <w:rPr>
          <w:rFonts w:ascii="宋体" w:hAnsi="宋体" w:eastAsia="宋体" w:cs="宋体"/>
          <w:spacing w:val="-1"/>
          <w:sz w:val="24"/>
          <w:szCs w:val="24"/>
        </w:rPr>
        <w:t>承包人</w:t>
      </w:r>
      <w:r>
        <w:rPr>
          <w:rFonts w:ascii="宋体" w:hAnsi="宋体" w:eastAsia="宋体" w:cs="宋体"/>
          <w:spacing w:val="-15"/>
          <w:sz w:val="24"/>
          <w:szCs w:val="24"/>
        </w:rPr>
        <w:t>：</w:t>
      </w:r>
      <w:r>
        <w:rPr>
          <w:rFonts w:ascii="宋体" w:hAnsi="宋体" w:eastAsia="宋体" w:cs="宋体"/>
          <w:sz w:val="24"/>
          <w:szCs w:val="24"/>
          <w:u w:val="single" w:color="auto"/>
        </w:rPr>
        <w:t xml:space="preserve">                </w:t>
      </w:r>
      <w:r>
        <w:rPr>
          <w:rFonts w:ascii="宋体" w:hAnsi="宋体" w:eastAsia="宋体" w:cs="宋体"/>
          <w:spacing w:val="-15"/>
          <w:sz w:val="24"/>
          <w:szCs w:val="24"/>
        </w:rPr>
        <w:t>（</w:t>
      </w:r>
      <w:r>
        <w:rPr>
          <w:rFonts w:ascii="宋体" w:hAnsi="宋体" w:eastAsia="宋体" w:cs="宋体"/>
          <w:spacing w:val="-1"/>
          <w:sz w:val="24"/>
          <w:szCs w:val="24"/>
        </w:rPr>
        <w:t>以下简称“</w:t>
      </w:r>
      <w:r>
        <w:rPr>
          <w:rFonts w:ascii="宋体" w:hAnsi="宋体" w:eastAsia="宋体" w:cs="宋体"/>
          <w:spacing w:val="-86"/>
          <w:sz w:val="24"/>
          <w:szCs w:val="24"/>
        </w:rPr>
        <w:t xml:space="preserve"> </w:t>
      </w:r>
      <w:r>
        <w:rPr>
          <w:rFonts w:ascii="宋体" w:hAnsi="宋体" w:eastAsia="宋体" w:cs="宋体"/>
          <w:spacing w:val="-1"/>
          <w:sz w:val="24"/>
          <w:szCs w:val="24"/>
        </w:rPr>
        <w:t>乙方</w:t>
      </w:r>
      <w:r>
        <w:rPr>
          <w:rFonts w:ascii="宋体" w:hAnsi="宋体" w:eastAsia="宋体" w:cs="宋体"/>
          <w:spacing w:val="-88"/>
          <w:sz w:val="24"/>
          <w:szCs w:val="24"/>
        </w:rPr>
        <w:t xml:space="preserve"> </w:t>
      </w:r>
      <w:r>
        <w:rPr>
          <w:rFonts w:ascii="宋体" w:hAnsi="宋体" w:eastAsia="宋体" w:cs="宋体"/>
          <w:spacing w:val="-1"/>
          <w:sz w:val="24"/>
          <w:szCs w:val="24"/>
        </w:rPr>
        <w:t>”）</w:t>
      </w:r>
    </w:p>
    <w:p w14:paraId="28FF4283">
      <w:pPr>
        <w:spacing w:before="183" w:line="219" w:lineRule="auto"/>
        <w:ind w:left="10"/>
        <w:rPr>
          <w:rFonts w:ascii="宋体" w:hAnsi="宋体" w:eastAsia="宋体" w:cs="宋体"/>
          <w:sz w:val="24"/>
          <w:szCs w:val="24"/>
        </w:rPr>
      </w:pPr>
      <w:r>
        <w:rPr>
          <w:rFonts w:ascii="宋体" w:hAnsi="宋体" w:eastAsia="宋体" w:cs="宋体"/>
          <w:spacing w:val="2"/>
          <w:sz w:val="24"/>
          <w:szCs w:val="24"/>
        </w:rPr>
        <w:t>经办银行</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18"/>
          <w:sz w:val="24"/>
          <w:szCs w:val="24"/>
        </w:rPr>
        <w:t>（</w:t>
      </w:r>
      <w:r>
        <w:rPr>
          <w:rFonts w:ascii="宋体" w:hAnsi="宋体" w:eastAsia="宋体" w:cs="宋体"/>
          <w:spacing w:val="2"/>
          <w:sz w:val="24"/>
          <w:szCs w:val="24"/>
        </w:rPr>
        <w:t>以下简称“丙方</w:t>
      </w:r>
      <w:r>
        <w:rPr>
          <w:rFonts w:ascii="宋体" w:hAnsi="宋体" w:eastAsia="宋体" w:cs="宋体"/>
          <w:spacing w:val="-88"/>
          <w:sz w:val="24"/>
          <w:szCs w:val="24"/>
        </w:rPr>
        <w:t xml:space="preserve"> </w:t>
      </w:r>
      <w:r>
        <w:rPr>
          <w:rFonts w:ascii="宋体" w:hAnsi="宋体" w:eastAsia="宋体" w:cs="宋体"/>
          <w:spacing w:val="2"/>
          <w:sz w:val="24"/>
          <w:szCs w:val="24"/>
        </w:rPr>
        <w:t>”）</w:t>
      </w:r>
    </w:p>
    <w:p w14:paraId="1FCB32C3">
      <w:pPr>
        <w:spacing w:line="342" w:lineRule="auto"/>
        <w:rPr>
          <w:rFonts w:ascii="Arial"/>
          <w:sz w:val="21"/>
        </w:rPr>
      </w:pPr>
    </w:p>
    <w:p w14:paraId="2BCA3B3B">
      <w:pPr>
        <w:spacing w:before="79" w:line="359" w:lineRule="auto"/>
        <w:ind w:left="7" w:right="58" w:firstLine="483"/>
        <w:jc w:val="both"/>
        <w:rPr>
          <w:rFonts w:ascii="宋体" w:hAnsi="宋体" w:eastAsia="宋体" w:cs="宋体"/>
          <w:sz w:val="24"/>
          <w:szCs w:val="24"/>
        </w:rPr>
      </w:pPr>
      <w:r>
        <w:rPr>
          <w:rFonts w:ascii="宋体" w:hAnsi="宋体" w:eastAsia="宋体" w:cs="宋体"/>
          <w:spacing w:val="1"/>
          <w:sz w:val="24"/>
          <w:szCs w:val="24"/>
        </w:rPr>
        <w:t>为了促进</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（项目名称）的顺利实施，管好用好建设资金，确保工程资金专款专用，同时为承包人提供便捷有效的银行业务服务，根据</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（项目</w:t>
      </w:r>
      <w:r>
        <w:rPr>
          <w:rFonts w:ascii="宋体" w:hAnsi="宋体" w:eastAsia="宋体" w:cs="宋体"/>
          <w:sz w:val="24"/>
          <w:szCs w:val="24"/>
        </w:rPr>
        <w:t>名称）合同条款有关规定，经甲、乙、丙三方</w:t>
      </w:r>
      <w:r>
        <w:rPr>
          <w:rFonts w:ascii="宋体" w:hAnsi="宋体" w:eastAsia="宋体" w:cs="宋体"/>
          <w:spacing w:val="-1"/>
          <w:sz w:val="24"/>
          <w:szCs w:val="24"/>
        </w:rPr>
        <w:t>协商，达成协议如下：</w:t>
      </w:r>
    </w:p>
    <w:p w14:paraId="0F26581A">
      <w:pPr>
        <w:spacing w:line="219" w:lineRule="auto"/>
        <w:ind w:left="506"/>
        <w:rPr>
          <w:rFonts w:ascii="宋体" w:hAnsi="宋体" w:eastAsia="宋体" w:cs="宋体"/>
          <w:sz w:val="24"/>
          <w:szCs w:val="24"/>
        </w:rPr>
      </w:pPr>
      <w:r>
        <w:rPr>
          <w:rFonts w:ascii="宋体" w:hAnsi="宋体" w:eastAsia="宋体" w:cs="宋体"/>
          <w:spacing w:val="-6"/>
          <w:sz w:val="24"/>
          <w:szCs w:val="24"/>
        </w:rPr>
        <w:t>1.</w:t>
      </w:r>
      <w:r>
        <w:rPr>
          <w:rFonts w:ascii="宋体" w:hAnsi="宋体" w:eastAsia="宋体" w:cs="宋体"/>
          <w:spacing w:val="25"/>
          <w:sz w:val="24"/>
          <w:szCs w:val="24"/>
        </w:rPr>
        <w:t xml:space="preserve"> </w:t>
      </w:r>
      <w:r>
        <w:rPr>
          <w:rFonts w:ascii="宋体" w:hAnsi="宋体" w:eastAsia="宋体" w:cs="宋体"/>
          <w:spacing w:val="-6"/>
          <w:sz w:val="24"/>
          <w:szCs w:val="24"/>
        </w:rPr>
        <w:t>资金管理的内容</w:t>
      </w:r>
    </w:p>
    <w:p w14:paraId="6C5B3864">
      <w:pPr>
        <w:spacing w:before="181" w:line="359" w:lineRule="auto"/>
        <w:ind w:left="10" w:right="58" w:firstLine="489"/>
        <w:rPr>
          <w:rFonts w:ascii="宋体" w:hAnsi="宋体" w:eastAsia="宋体" w:cs="宋体"/>
          <w:sz w:val="24"/>
          <w:szCs w:val="24"/>
        </w:rPr>
      </w:pPr>
      <w:r>
        <w:rPr>
          <w:rFonts w:ascii="宋体" w:hAnsi="宋体" w:eastAsia="宋体" w:cs="宋体"/>
          <w:spacing w:val="1"/>
          <w:sz w:val="24"/>
          <w:szCs w:val="24"/>
        </w:rPr>
        <w:t>（1）乙方为完成</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（项目名称）工程成立的项目经理部在丙方开设基本结</w:t>
      </w:r>
      <w:r>
        <w:rPr>
          <w:rFonts w:ascii="宋体" w:hAnsi="宋体" w:eastAsia="宋体" w:cs="宋体"/>
          <w:spacing w:val="-4"/>
          <w:sz w:val="24"/>
          <w:szCs w:val="24"/>
        </w:rPr>
        <w:t>算户；</w:t>
      </w:r>
    </w:p>
    <w:p w14:paraId="6A4FF503">
      <w:pPr>
        <w:spacing w:line="219" w:lineRule="auto"/>
        <w:ind w:left="499"/>
        <w:rPr>
          <w:rFonts w:ascii="宋体" w:hAnsi="宋体" w:eastAsia="宋体" w:cs="宋体"/>
          <w:sz w:val="24"/>
          <w:szCs w:val="24"/>
        </w:rPr>
      </w:pPr>
      <w:r>
        <w:rPr>
          <w:rFonts w:ascii="宋体" w:hAnsi="宋体" w:eastAsia="宋体" w:cs="宋体"/>
          <w:spacing w:val="-1"/>
          <w:sz w:val="24"/>
          <w:szCs w:val="24"/>
        </w:rPr>
        <w:t>（2）甲方应按合同规定将工程款汇入乙方在丙方开设的账户；</w:t>
      </w:r>
    </w:p>
    <w:p w14:paraId="3028EBEF">
      <w:pPr>
        <w:spacing w:before="183" w:line="219" w:lineRule="auto"/>
        <w:jc w:val="right"/>
        <w:rPr>
          <w:rFonts w:ascii="宋体" w:hAnsi="宋体" w:eastAsia="宋体" w:cs="宋体"/>
          <w:sz w:val="24"/>
          <w:szCs w:val="24"/>
        </w:rPr>
      </w:pPr>
      <w:r>
        <w:rPr>
          <w:rFonts w:ascii="宋体" w:hAnsi="宋体" w:eastAsia="宋体" w:cs="宋体"/>
          <w:spacing w:val="1"/>
          <w:sz w:val="24"/>
          <w:szCs w:val="24"/>
        </w:rPr>
        <w:t>（3）乙方应将流动资金及甲方所拨付资金专项用于</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（项目名称</w:t>
      </w:r>
      <w:r>
        <w:rPr>
          <w:rFonts w:ascii="宋体" w:hAnsi="宋体" w:eastAsia="宋体" w:cs="宋体"/>
          <w:spacing w:val="-55"/>
          <w:w w:val="85"/>
          <w:sz w:val="24"/>
          <w:szCs w:val="24"/>
        </w:rPr>
        <w:t>）；</w:t>
      </w:r>
    </w:p>
    <w:p w14:paraId="379B5B24">
      <w:pPr>
        <w:spacing w:before="181" w:line="359" w:lineRule="auto"/>
        <w:ind w:left="9" w:right="126" w:firstLine="490"/>
        <w:rPr>
          <w:rFonts w:ascii="宋体" w:hAnsi="宋体" w:eastAsia="宋体" w:cs="宋体"/>
          <w:sz w:val="24"/>
          <w:szCs w:val="24"/>
        </w:rPr>
      </w:pPr>
      <w:r>
        <w:rPr>
          <w:rFonts w:ascii="宋体" w:hAnsi="宋体" w:eastAsia="宋体" w:cs="宋体"/>
          <w:spacing w:val="-1"/>
          <w:sz w:val="24"/>
          <w:szCs w:val="24"/>
        </w:rPr>
        <w:t>（4）丙方应为乙方提供便捷有效的银行业务服务，并接受甲方委托对乙方在丙方开设的基本结算户资金使用情况进行监督。</w:t>
      </w:r>
    </w:p>
    <w:p w14:paraId="0F902046">
      <w:pPr>
        <w:spacing w:before="1" w:line="219" w:lineRule="auto"/>
        <w:ind w:left="491"/>
        <w:rPr>
          <w:rFonts w:ascii="宋体" w:hAnsi="宋体" w:eastAsia="宋体" w:cs="宋体"/>
          <w:sz w:val="24"/>
          <w:szCs w:val="24"/>
        </w:rPr>
      </w:pPr>
      <w:r>
        <w:rPr>
          <w:rFonts w:ascii="宋体" w:hAnsi="宋体" w:eastAsia="宋体" w:cs="宋体"/>
          <w:spacing w:val="-8"/>
          <w:sz w:val="24"/>
          <w:szCs w:val="24"/>
        </w:rPr>
        <w:t>2.</w:t>
      </w:r>
      <w:r>
        <w:rPr>
          <w:rFonts w:ascii="宋体" w:hAnsi="宋体" w:eastAsia="宋体" w:cs="宋体"/>
          <w:spacing w:val="42"/>
          <w:sz w:val="24"/>
          <w:szCs w:val="24"/>
        </w:rPr>
        <w:t xml:space="preserve"> </w:t>
      </w:r>
      <w:r>
        <w:rPr>
          <w:rFonts w:ascii="宋体" w:hAnsi="宋体" w:eastAsia="宋体" w:cs="宋体"/>
          <w:spacing w:val="-8"/>
          <w:sz w:val="24"/>
          <w:szCs w:val="24"/>
        </w:rPr>
        <w:t>甲方的权责</w:t>
      </w:r>
    </w:p>
    <w:p w14:paraId="1CCAA573">
      <w:pPr>
        <w:spacing w:before="183" w:line="359" w:lineRule="auto"/>
        <w:ind w:left="7" w:right="126" w:firstLine="492"/>
        <w:rPr>
          <w:rFonts w:ascii="宋体" w:hAnsi="宋体" w:eastAsia="宋体" w:cs="宋体"/>
          <w:sz w:val="24"/>
          <w:szCs w:val="24"/>
        </w:rPr>
      </w:pPr>
      <w:r>
        <w:rPr>
          <w:rFonts w:ascii="宋体" w:hAnsi="宋体" w:eastAsia="宋体" w:cs="宋体"/>
          <w:spacing w:val="-1"/>
          <w:sz w:val="24"/>
          <w:szCs w:val="24"/>
        </w:rPr>
        <w:t>（1）按照</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（项目名称）合同有关条款规定的时间和方式，向乙方支付工</w:t>
      </w:r>
      <w:r>
        <w:rPr>
          <w:rFonts w:ascii="宋体" w:hAnsi="宋体" w:eastAsia="宋体" w:cs="宋体"/>
          <w:spacing w:val="-3"/>
          <w:sz w:val="24"/>
          <w:szCs w:val="24"/>
        </w:rPr>
        <w:t>程款；</w:t>
      </w:r>
    </w:p>
    <w:p w14:paraId="7DC2DCE0">
      <w:pPr>
        <w:spacing w:line="359" w:lineRule="auto"/>
        <w:ind w:left="16" w:right="126" w:firstLine="483"/>
        <w:rPr>
          <w:rFonts w:ascii="宋体" w:hAnsi="宋体" w:eastAsia="宋体" w:cs="宋体"/>
          <w:sz w:val="24"/>
          <w:szCs w:val="24"/>
        </w:rPr>
      </w:pPr>
      <w:r>
        <w:rPr>
          <w:rFonts w:ascii="宋体" w:hAnsi="宋体" w:eastAsia="宋体" w:cs="宋体"/>
          <w:spacing w:val="-1"/>
          <w:sz w:val="24"/>
          <w:szCs w:val="24"/>
        </w:rPr>
        <w:t>（2）在发现乙方将本项目资金挪用、转移时，甲方有权中止工程支付，直至乙方</w:t>
      </w:r>
      <w:r>
        <w:rPr>
          <w:rFonts w:ascii="宋体" w:hAnsi="宋体" w:eastAsia="宋体" w:cs="宋体"/>
          <w:spacing w:val="-4"/>
          <w:sz w:val="24"/>
          <w:szCs w:val="24"/>
        </w:rPr>
        <w:t>改正为止；</w:t>
      </w:r>
    </w:p>
    <w:p w14:paraId="03B0D92C">
      <w:pPr>
        <w:spacing w:line="359" w:lineRule="auto"/>
        <w:ind w:left="9" w:right="126" w:firstLine="490"/>
        <w:rPr>
          <w:rFonts w:ascii="宋体" w:hAnsi="宋体" w:eastAsia="宋体" w:cs="宋体"/>
          <w:sz w:val="24"/>
          <w:szCs w:val="24"/>
        </w:rPr>
      </w:pPr>
      <w:r>
        <w:rPr>
          <w:rFonts w:ascii="宋体" w:hAnsi="宋体" w:eastAsia="宋体" w:cs="宋体"/>
          <w:spacing w:val="-1"/>
          <w:sz w:val="24"/>
          <w:szCs w:val="24"/>
        </w:rPr>
        <w:t>（3）不定期审查丙方对乙方的资金使用监督情况，如丙方不能履行其责任，甲方</w:t>
      </w:r>
      <w:r>
        <w:rPr>
          <w:rFonts w:ascii="宋体" w:hAnsi="宋体" w:eastAsia="宋体" w:cs="宋体"/>
          <w:spacing w:val="-2"/>
          <w:sz w:val="24"/>
          <w:szCs w:val="24"/>
        </w:rPr>
        <w:t>有权随时终止本协议；</w:t>
      </w:r>
    </w:p>
    <w:p w14:paraId="70CF1766">
      <w:pPr>
        <w:spacing w:line="219" w:lineRule="auto"/>
        <w:ind w:left="499"/>
        <w:rPr>
          <w:rFonts w:ascii="宋体" w:hAnsi="宋体" w:eastAsia="宋体" w:cs="宋体"/>
          <w:sz w:val="24"/>
          <w:szCs w:val="24"/>
        </w:rPr>
      </w:pPr>
      <w:r>
        <w:rPr>
          <w:rFonts w:ascii="宋体" w:hAnsi="宋体" w:eastAsia="宋体" w:cs="宋体"/>
          <w:spacing w:val="-1"/>
          <w:sz w:val="24"/>
          <w:szCs w:val="24"/>
        </w:rPr>
        <w:t>（4）在乙、丙双方发生争议时，甲方应负责协调、解决。</w:t>
      </w:r>
    </w:p>
    <w:p w14:paraId="2461E92B">
      <w:pPr>
        <w:spacing w:before="181" w:line="219" w:lineRule="auto"/>
        <w:ind w:left="493"/>
        <w:rPr>
          <w:rFonts w:ascii="宋体" w:hAnsi="宋体" w:eastAsia="宋体" w:cs="宋体"/>
          <w:sz w:val="24"/>
          <w:szCs w:val="24"/>
        </w:rPr>
      </w:pPr>
      <w:r>
        <w:rPr>
          <w:rFonts w:ascii="宋体" w:hAnsi="宋体" w:eastAsia="宋体" w:cs="宋体"/>
          <w:spacing w:val="-7"/>
          <w:sz w:val="24"/>
          <w:szCs w:val="24"/>
        </w:rPr>
        <w:t>3.</w:t>
      </w:r>
      <w:r>
        <w:rPr>
          <w:rFonts w:ascii="宋体" w:hAnsi="宋体" w:eastAsia="宋体" w:cs="宋体"/>
          <w:spacing w:val="33"/>
          <w:sz w:val="24"/>
          <w:szCs w:val="24"/>
        </w:rPr>
        <w:t xml:space="preserve"> </w:t>
      </w:r>
      <w:r>
        <w:rPr>
          <w:rFonts w:ascii="宋体" w:hAnsi="宋体" w:eastAsia="宋体" w:cs="宋体"/>
          <w:spacing w:val="-7"/>
          <w:sz w:val="24"/>
          <w:szCs w:val="24"/>
        </w:rPr>
        <w:t>乙方的权责</w:t>
      </w:r>
    </w:p>
    <w:p w14:paraId="0383BAA6">
      <w:pPr>
        <w:spacing w:before="183" w:line="219" w:lineRule="auto"/>
        <w:ind w:left="499"/>
        <w:rPr>
          <w:rFonts w:ascii="宋体" w:hAnsi="宋体" w:eastAsia="宋体" w:cs="宋体"/>
          <w:sz w:val="24"/>
          <w:szCs w:val="24"/>
        </w:rPr>
      </w:pPr>
      <w:r>
        <w:rPr>
          <w:rFonts w:ascii="宋体" w:hAnsi="宋体" w:eastAsia="宋体" w:cs="宋体"/>
          <w:spacing w:val="-1"/>
          <w:sz w:val="24"/>
          <w:szCs w:val="24"/>
        </w:rPr>
        <w:t>（1）项目经理部成立以后，乙方应尽快在丙方开设基本结算户；</w:t>
      </w:r>
    </w:p>
    <w:p w14:paraId="2BD27332">
      <w:pPr>
        <w:spacing w:before="183" w:line="360" w:lineRule="auto"/>
        <w:ind w:left="9" w:right="126" w:firstLine="490"/>
        <w:rPr>
          <w:rFonts w:ascii="宋体" w:hAnsi="宋体" w:eastAsia="宋体" w:cs="宋体"/>
          <w:sz w:val="24"/>
          <w:szCs w:val="24"/>
        </w:rPr>
      </w:pPr>
      <w:r>
        <w:rPr>
          <w:rFonts w:ascii="宋体" w:hAnsi="宋体" w:eastAsia="宋体" w:cs="宋体"/>
          <w:spacing w:val="-1"/>
          <w:sz w:val="24"/>
          <w:szCs w:val="24"/>
        </w:rPr>
        <w:t>（2）确保本项目资金专款专用，不发生挪用、转移资金的现象；保证不通过权益转让、抵押、担保承担债务等任何其他方式使用基本结算户的资金；</w:t>
      </w:r>
    </w:p>
    <w:p w14:paraId="6F911413">
      <w:pPr>
        <w:spacing w:line="400" w:lineRule="auto"/>
        <w:rPr>
          <w:rFonts w:hint="eastAsia" w:ascii="Arial" w:eastAsia="宋体"/>
          <w:sz w:val="21"/>
          <w:lang w:eastAsia="zh-CN"/>
        </w:rPr>
      </w:pPr>
      <w:r>
        <w:rPr>
          <w:rFonts w:hint="eastAsia" w:ascii="Arial" w:eastAsia="宋体"/>
          <w:sz w:val="21"/>
          <w:lang w:eastAsia="zh-CN"/>
        </w:rPr>
        <w:br w:type="page"/>
      </w:r>
    </w:p>
    <w:p w14:paraId="7B135EEB">
      <w:pPr>
        <w:spacing w:before="78" w:line="359" w:lineRule="auto"/>
        <w:ind w:left="9" w:firstLine="490"/>
        <w:rPr>
          <w:rFonts w:ascii="宋体" w:hAnsi="宋体" w:eastAsia="宋体" w:cs="宋体"/>
          <w:sz w:val="24"/>
          <w:szCs w:val="24"/>
        </w:rPr>
      </w:pPr>
      <w:r>
        <w:rPr>
          <w:rFonts w:ascii="宋体" w:hAnsi="宋体" w:eastAsia="宋体" w:cs="宋体"/>
          <w:spacing w:val="-1"/>
          <w:sz w:val="24"/>
          <w:szCs w:val="24"/>
        </w:rPr>
        <w:t>（3）办理材料、设备等采购业务金额在</w:t>
      </w:r>
      <w:r>
        <w:rPr>
          <w:rFonts w:ascii="宋体" w:hAnsi="宋体" w:eastAsia="宋体" w:cs="宋体"/>
          <w:spacing w:val="-1"/>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1"/>
          <w:sz w:val="24"/>
          <w:szCs w:val="24"/>
        </w:rPr>
        <w:t>万元以上的，应出示购货合同、协议</w:t>
      </w:r>
      <w:r>
        <w:rPr>
          <w:rFonts w:ascii="宋体" w:hAnsi="宋体" w:eastAsia="宋体" w:cs="宋体"/>
          <w:spacing w:val="1"/>
          <w:sz w:val="24"/>
          <w:szCs w:val="24"/>
        </w:rPr>
        <w:t>和发票；在办理总额超过</w:t>
      </w:r>
      <w:r>
        <w:rPr>
          <w:rFonts w:ascii="宋体" w:hAnsi="宋体" w:eastAsia="宋体" w:cs="宋体"/>
          <w:spacing w:val="1"/>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1"/>
          <w:sz w:val="24"/>
          <w:szCs w:val="24"/>
        </w:rPr>
        <w:t>万元以上的采购业务时，应将合同、协议和发票复印件送</w:t>
      </w:r>
      <w:r>
        <w:rPr>
          <w:rFonts w:ascii="宋体" w:hAnsi="宋体" w:eastAsia="宋体" w:cs="宋体"/>
          <w:sz w:val="24"/>
          <w:szCs w:val="24"/>
        </w:rPr>
        <w:t>丙方备案；购买应急材料、设备时可先办理支付手续，</w:t>
      </w:r>
      <w:r>
        <w:rPr>
          <w:rFonts w:ascii="宋体" w:hAnsi="宋体" w:eastAsia="宋体" w:cs="宋体"/>
          <w:spacing w:val="-1"/>
          <w:sz w:val="24"/>
          <w:szCs w:val="24"/>
        </w:rPr>
        <w:t>但事后必须补备有关资料；</w:t>
      </w:r>
    </w:p>
    <w:p w14:paraId="3189DEBD">
      <w:pPr>
        <w:spacing w:line="359" w:lineRule="auto"/>
        <w:ind w:left="11" w:right="67" w:firstLine="488"/>
        <w:rPr>
          <w:rFonts w:ascii="宋体" w:hAnsi="宋体" w:eastAsia="宋体" w:cs="宋体"/>
          <w:sz w:val="24"/>
          <w:szCs w:val="24"/>
        </w:rPr>
      </w:pPr>
      <w:r>
        <w:rPr>
          <w:rFonts w:ascii="宋体" w:hAnsi="宋体" w:eastAsia="宋体" w:cs="宋体"/>
          <w:spacing w:val="-1"/>
          <w:sz w:val="24"/>
          <w:szCs w:val="24"/>
        </w:rPr>
        <w:t>（4）用银行转账支票办理支付款项时，必须将转账支票送交丙方，由丙方负责办</w:t>
      </w:r>
      <w:r>
        <w:rPr>
          <w:rFonts w:ascii="宋体" w:hAnsi="宋体" w:eastAsia="宋体" w:cs="宋体"/>
          <w:spacing w:val="-2"/>
          <w:sz w:val="24"/>
          <w:szCs w:val="24"/>
        </w:rPr>
        <w:t>理支票转付手续；</w:t>
      </w:r>
    </w:p>
    <w:p w14:paraId="40EFA1CD">
      <w:pPr>
        <w:spacing w:line="218" w:lineRule="auto"/>
        <w:ind w:left="499"/>
        <w:rPr>
          <w:rFonts w:ascii="宋体" w:hAnsi="宋体" w:eastAsia="宋体" w:cs="宋体"/>
          <w:sz w:val="24"/>
          <w:szCs w:val="24"/>
        </w:rPr>
      </w:pPr>
      <w:r>
        <w:rPr>
          <w:rFonts w:ascii="宋体" w:hAnsi="宋体" w:eastAsia="宋体" w:cs="宋体"/>
          <w:spacing w:val="-1"/>
          <w:sz w:val="24"/>
          <w:szCs w:val="24"/>
        </w:rPr>
        <w:t>（5）向分包单位支付工程进度款时，应附甲方批准分包的文件；</w:t>
      </w:r>
    </w:p>
    <w:p w14:paraId="5853D127">
      <w:pPr>
        <w:spacing w:before="184" w:line="359" w:lineRule="auto"/>
        <w:ind w:left="12" w:right="67" w:firstLine="487"/>
        <w:rPr>
          <w:rFonts w:ascii="宋体" w:hAnsi="宋体" w:eastAsia="宋体" w:cs="宋体"/>
          <w:sz w:val="24"/>
          <w:szCs w:val="24"/>
        </w:rPr>
      </w:pPr>
      <w:r>
        <w:rPr>
          <w:rFonts w:ascii="宋体" w:hAnsi="宋体" w:eastAsia="宋体" w:cs="宋体"/>
          <w:spacing w:val="-1"/>
          <w:sz w:val="24"/>
          <w:szCs w:val="24"/>
        </w:rPr>
        <w:t>（6）向上级单位缴纳管理费、机械设备及周转材料租赁摊销费等款项时，应附上级单位出具的转账通知等有关资料，以确保资金专款专用。</w:t>
      </w:r>
    </w:p>
    <w:p w14:paraId="0C8AF045">
      <w:pPr>
        <w:spacing w:line="219" w:lineRule="auto"/>
        <w:ind w:left="487"/>
        <w:rPr>
          <w:rFonts w:ascii="宋体" w:hAnsi="宋体" w:eastAsia="宋体" w:cs="宋体"/>
          <w:sz w:val="24"/>
          <w:szCs w:val="24"/>
        </w:rPr>
      </w:pPr>
      <w:r>
        <w:rPr>
          <w:rFonts w:ascii="宋体" w:hAnsi="宋体" w:eastAsia="宋体" w:cs="宋体"/>
          <w:spacing w:val="-4"/>
          <w:sz w:val="24"/>
          <w:szCs w:val="24"/>
        </w:rPr>
        <w:t>4.</w:t>
      </w:r>
      <w:r>
        <w:rPr>
          <w:rFonts w:ascii="宋体" w:hAnsi="宋体" w:eastAsia="宋体" w:cs="宋体"/>
          <w:spacing w:val="18"/>
          <w:sz w:val="24"/>
          <w:szCs w:val="24"/>
        </w:rPr>
        <w:t xml:space="preserve"> </w:t>
      </w:r>
      <w:r>
        <w:rPr>
          <w:rFonts w:ascii="宋体" w:hAnsi="宋体" w:eastAsia="宋体" w:cs="宋体"/>
          <w:spacing w:val="-4"/>
          <w:sz w:val="24"/>
          <w:szCs w:val="24"/>
        </w:rPr>
        <w:t>丙方的权责</w:t>
      </w:r>
    </w:p>
    <w:p w14:paraId="53A6F37A">
      <w:pPr>
        <w:spacing w:before="180" w:line="359" w:lineRule="auto"/>
        <w:ind w:left="9" w:right="67" w:firstLine="490"/>
        <w:rPr>
          <w:rFonts w:ascii="宋体" w:hAnsi="宋体" w:eastAsia="宋体" w:cs="宋体"/>
          <w:sz w:val="24"/>
          <w:szCs w:val="24"/>
        </w:rPr>
      </w:pPr>
      <w:r>
        <w:rPr>
          <w:rFonts w:ascii="宋体" w:hAnsi="宋体" w:eastAsia="宋体" w:cs="宋体"/>
          <w:spacing w:val="-1"/>
          <w:sz w:val="24"/>
          <w:szCs w:val="24"/>
        </w:rPr>
        <w:t>（1）成立</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（项目名称）工程资金管理服务小组，明确业务流程，提高工</w:t>
      </w:r>
      <w:r>
        <w:rPr>
          <w:rFonts w:ascii="宋体" w:hAnsi="宋体" w:eastAsia="宋体" w:cs="宋体"/>
          <w:spacing w:val="-4"/>
          <w:sz w:val="24"/>
          <w:szCs w:val="24"/>
        </w:rPr>
        <w:t>作效率，杜绝“压票</w:t>
      </w:r>
      <w:r>
        <w:rPr>
          <w:rFonts w:ascii="宋体" w:hAnsi="宋体" w:eastAsia="宋体" w:cs="宋体"/>
          <w:spacing w:val="-80"/>
          <w:sz w:val="24"/>
          <w:szCs w:val="24"/>
        </w:rPr>
        <w:t xml:space="preserve"> </w:t>
      </w:r>
      <w:r>
        <w:rPr>
          <w:rFonts w:ascii="宋体" w:hAnsi="宋体" w:eastAsia="宋体" w:cs="宋体"/>
          <w:spacing w:val="-4"/>
          <w:sz w:val="24"/>
          <w:szCs w:val="24"/>
        </w:rPr>
        <w:t>”现象；</w:t>
      </w:r>
    </w:p>
    <w:p w14:paraId="07F29597">
      <w:pPr>
        <w:spacing w:before="3" w:line="359" w:lineRule="auto"/>
        <w:ind w:left="54" w:firstLine="445"/>
        <w:rPr>
          <w:rFonts w:ascii="宋体" w:hAnsi="宋体" w:eastAsia="宋体" w:cs="宋体"/>
          <w:sz w:val="24"/>
          <w:szCs w:val="24"/>
        </w:rPr>
      </w:pPr>
      <w:r>
        <w:rPr>
          <w:rFonts w:ascii="宋体" w:hAnsi="宋体" w:eastAsia="宋体" w:cs="宋体"/>
          <w:spacing w:val="-10"/>
          <w:sz w:val="24"/>
          <w:szCs w:val="24"/>
        </w:rPr>
        <w:t>（2）根据乙方提供的购货合同、协议和发票，检查其所购材料、设备是否</w:t>
      </w:r>
      <w:r>
        <w:rPr>
          <w:rFonts w:ascii="宋体" w:hAnsi="宋体" w:eastAsia="宋体" w:cs="宋体"/>
          <w:spacing w:val="-11"/>
          <w:sz w:val="24"/>
          <w:szCs w:val="24"/>
        </w:rPr>
        <w:t>用于</w:t>
      </w:r>
      <w:r>
        <w:rPr>
          <w:rFonts w:ascii="宋体" w:hAnsi="宋体" w:eastAsia="宋体" w:cs="宋体"/>
          <w:spacing w:val="59"/>
          <w:sz w:val="24"/>
          <w:szCs w:val="24"/>
          <w:u w:val="single" w:color="auto"/>
        </w:rPr>
        <w:t xml:space="preserve"> </w:t>
      </w:r>
      <w:r>
        <w:rPr>
          <w:rFonts w:ascii="宋体" w:hAnsi="宋体" w:eastAsia="宋体" w:cs="宋体"/>
          <w:spacing w:val="-11"/>
          <w:sz w:val="24"/>
          <w:szCs w:val="24"/>
        </w:rPr>
        <w:t>（项</w:t>
      </w:r>
      <w:r>
        <w:rPr>
          <w:rFonts w:ascii="宋体" w:hAnsi="宋体" w:eastAsia="宋体" w:cs="宋体"/>
          <w:spacing w:val="-2"/>
          <w:sz w:val="24"/>
          <w:szCs w:val="24"/>
        </w:rPr>
        <w:t>目名称）工程建设，对本标段以外的购货款项，有权拒绝办理，并及时报告甲方；</w:t>
      </w:r>
    </w:p>
    <w:p w14:paraId="43E45998">
      <w:pPr>
        <w:spacing w:line="359" w:lineRule="auto"/>
        <w:ind w:left="10" w:right="67" w:firstLine="489"/>
        <w:rPr>
          <w:rFonts w:ascii="宋体" w:hAnsi="宋体" w:eastAsia="宋体" w:cs="宋体"/>
          <w:sz w:val="24"/>
          <w:szCs w:val="24"/>
        </w:rPr>
      </w:pPr>
      <w:r>
        <w:rPr>
          <w:rFonts w:ascii="宋体" w:hAnsi="宋体" w:eastAsia="宋体" w:cs="宋体"/>
          <w:spacing w:val="-1"/>
          <w:sz w:val="24"/>
          <w:szCs w:val="24"/>
        </w:rPr>
        <w:t>（3）根据乙方与分包单位签订的合同及支付文件，检查其支付款项是否符合有关条件，向分包单位以外单位的支付有权拒绝办理，并及时报告甲方；</w:t>
      </w:r>
    </w:p>
    <w:p w14:paraId="6349E1B5">
      <w:pPr>
        <w:spacing w:before="3" w:line="358" w:lineRule="auto"/>
        <w:ind w:left="7" w:firstLine="492"/>
        <w:rPr>
          <w:rFonts w:ascii="宋体" w:hAnsi="宋体" w:eastAsia="宋体" w:cs="宋体"/>
          <w:sz w:val="24"/>
          <w:szCs w:val="24"/>
        </w:rPr>
      </w:pPr>
      <w:r>
        <w:rPr>
          <w:rFonts w:ascii="宋体" w:hAnsi="宋体" w:eastAsia="宋体" w:cs="宋体"/>
          <w:spacing w:val="-1"/>
          <w:sz w:val="24"/>
          <w:szCs w:val="24"/>
        </w:rPr>
        <w:t>（4）根据乙方提供的上级单位出具的转账通知等有关资料，办理管理费、机械设</w:t>
      </w:r>
      <w:r>
        <w:rPr>
          <w:rFonts w:ascii="宋体" w:hAnsi="宋体" w:eastAsia="宋体" w:cs="宋体"/>
          <w:spacing w:val="-2"/>
          <w:sz w:val="24"/>
          <w:szCs w:val="24"/>
        </w:rPr>
        <w:t>备及周转材料租赁摊销费等款项的支付；对超出转账通知等有关资料以外的支付，有权</w:t>
      </w:r>
      <w:r>
        <w:rPr>
          <w:rFonts w:ascii="宋体" w:hAnsi="宋体" w:eastAsia="宋体" w:cs="宋体"/>
          <w:spacing w:val="-1"/>
          <w:sz w:val="24"/>
          <w:szCs w:val="24"/>
        </w:rPr>
        <w:t>拒绝办理，并及时报告甲方；</w:t>
      </w:r>
    </w:p>
    <w:p w14:paraId="2EFC2752">
      <w:pPr>
        <w:spacing w:line="359" w:lineRule="auto"/>
        <w:ind w:left="8" w:right="67" w:firstLine="491"/>
        <w:rPr>
          <w:rFonts w:ascii="宋体" w:hAnsi="宋体" w:eastAsia="宋体" w:cs="宋体"/>
          <w:sz w:val="24"/>
          <w:szCs w:val="24"/>
        </w:rPr>
      </w:pPr>
      <w:r>
        <w:rPr>
          <w:rFonts w:ascii="宋体" w:hAnsi="宋体" w:eastAsia="宋体" w:cs="宋体"/>
          <w:spacing w:val="-1"/>
          <w:sz w:val="24"/>
          <w:szCs w:val="24"/>
        </w:rPr>
        <w:t>（5）定期将乙方前一个周期的支付情况，整理后书面报送甲方；乙方复印备案的</w:t>
      </w:r>
      <w:r>
        <w:rPr>
          <w:rFonts w:ascii="宋体" w:hAnsi="宋体" w:eastAsia="宋体" w:cs="宋体"/>
          <w:spacing w:val="-2"/>
          <w:sz w:val="24"/>
          <w:szCs w:val="24"/>
        </w:rPr>
        <w:t>材料一并送甲方。</w:t>
      </w:r>
    </w:p>
    <w:p w14:paraId="6279E981">
      <w:pPr>
        <w:spacing w:before="1" w:line="359" w:lineRule="auto"/>
        <w:ind w:left="13" w:right="67" w:firstLine="480"/>
        <w:rPr>
          <w:rFonts w:ascii="宋体" w:hAnsi="宋体" w:eastAsia="宋体" w:cs="宋体"/>
          <w:sz w:val="24"/>
          <w:szCs w:val="24"/>
        </w:rPr>
      </w:pPr>
      <w:r>
        <w:rPr>
          <w:rFonts w:ascii="宋体" w:hAnsi="宋体" w:eastAsia="宋体" w:cs="宋体"/>
          <w:spacing w:val="-2"/>
          <w:sz w:val="24"/>
          <w:szCs w:val="24"/>
        </w:rPr>
        <w:t>5.</w:t>
      </w:r>
      <w:r>
        <w:rPr>
          <w:rFonts w:ascii="宋体" w:hAnsi="宋体" w:eastAsia="宋体" w:cs="宋体"/>
          <w:spacing w:val="56"/>
          <w:sz w:val="24"/>
          <w:szCs w:val="24"/>
        </w:rPr>
        <w:t xml:space="preserve"> </w:t>
      </w:r>
      <w:r>
        <w:rPr>
          <w:rFonts w:ascii="宋体" w:hAnsi="宋体" w:eastAsia="宋体" w:cs="宋体"/>
          <w:spacing w:val="-2"/>
          <w:sz w:val="24"/>
          <w:szCs w:val="24"/>
        </w:rPr>
        <w:t>甲、乙、丙三方都应履行保密责任，不得将其他两方的业务情况透露给三方以外的其他单位或个人。</w:t>
      </w:r>
    </w:p>
    <w:p w14:paraId="6682F6FC">
      <w:pPr>
        <w:spacing w:before="2" w:line="359" w:lineRule="auto"/>
        <w:ind w:left="8" w:right="67" w:firstLine="481"/>
        <w:rPr>
          <w:rFonts w:ascii="宋体" w:hAnsi="宋体" w:eastAsia="宋体" w:cs="宋体"/>
          <w:sz w:val="24"/>
          <w:szCs w:val="24"/>
        </w:rPr>
      </w:pPr>
      <w:r>
        <w:rPr>
          <w:rFonts w:ascii="宋体" w:hAnsi="宋体" w:eastAsia="宋体" w:cs="宋体"/>
          <w:sz w:val="24"/>
          <w:szCs w:val="24"/>
        </w:rPr>
        <w:t>6. 本协议有效期自乙方在丙方开户起，至工程交工</w:t>
      </w:r>
      <w:r>
        <w:rPr>
          <w:rFonts w:ascii="宋体" w:hAnsi="宋体" w:eastAsia="宋体" w:cs="宋体"/>
          <w:spacing w:val="-1"/>
          <w:sz w:val="24"/>
          <w:szCs w:val="24"/>
        </w:rPr>
        <w:t>验收甲方向乙方颁发交工验收</w:t>
      </w:r>
      <w:r>
        <w:rPr>
          <w:rFonts w:ascii="宋体" w:hAnsi="宋体" w:eastAsia="宋体" w:cs="宋体"/>
          <w:spacing w:val="-2"/>
          <w:sz w:val="24"/>
          <w:szCs w:val="24"/>
        </w:rPr>
        <w:t>证书后结束。</w:t>
      </w:r>
    </w:p>
    <w:p w14:paraId="69105EA3">
      <w:pPr>
        <w:spacing w:before="1" w:line="218" w:lineRule="auto"/>
        <w:ind w:left="494"/>
        <w:rPr>
          <w:rFonts w:ascii="宋体" w:hAnsi="宋体" w:eastAsia="宋体" w:cs="宋体"/>
          <w:sz w:val="24"/>
          <w:szCs w:val="24"/>
        </w:rPr>
      </w:pPr>
      <w:r>
        <w:rPr>
          <w:rFonts w:ascii="宋体" w:hAnsi="宋体" w:eastAsia="宋体" w:cs="宋体"/>
          <w:spacing w:val="-1"/>
          <w:sz w:val="24"/>
          <w:szCs w:val="24"/>
        </w:rPr>
        <w:t>7. 本协议未尽事宜，由甲方牵头，三方协商解决。</w:t>
      </w:r>
    </w:p>
    <w:p w14:paraId="220D061F">
      <w:pPr>
        <w:spacing w:before="181" w:line="360" w:lineRule="auto"/>
        <w:ind w:left="13" w:right="67" w:firstLine="476"/>
        <w:rPr>
          <w:rFonts w:ascii="宋体" w:hAnsi="宋体" w:eastAsia="宋体" w:cs="宋体"/>
          <w:sz w:val="24"/>
          <w:szCs w:val="24"/>
        </w:rPr>
      </w:pPr>
      <w:r>
        <w:rPr>
          <w:rFonts w:ascii="宋体" w:hAnsi="宋体" w:eastAsia="宋体" w:cs="宋体"/>
          <w:spacing w:val="-1"/>
          <w:sz w:val="24"/>
          <w:szCs w:val="24"/>
        </w:rPr>
        <w:t>8. 本协议正本三份、副本</w:t>
      </w:r>
      <w:r>
        <w:rPr>
          <w:rFonts w:ascii="宋体" w:hAnsi="宋体" w:eastAsia="宋体" w:cs="宋体"/>
          <w:spacing w:val="-1"/>
          <w:sz w:val="24"/>
          <w:szCs w:val="24"/>
          <w:u w:val="single" w:color="auto"/>
        </w:rPr>
        <w:t xml:space="preserve">    </w:t>
      </w:r>
      <w:r>
        <w:rPr>
          <w:rFonts w:ascii="宋体" w:hAnsi="宋体" w:eastAsia="宋体" w:cs="宋体"/>
          <w:spacing w:val="-100"/>
          <w:sz w:val="24"/>
          <w:szCs w:val="24"/>
        </w:rPr>
        <w:t xml:space="preserve"> </w:t>
      </w:r>
      <w:r>
        <w:rPr>
          <w:rFonts w:ascii="宋体" w:hAnsi="宋体" w:eastAsia="宋体" w:cs="宋体"/>
          <w:spacing w:val="-1"/>
          <w:sz w:val="24"/>
          <w:szCs w:val="24"/>
        </w:rPr>
        <w:t>份。合同三方各执正本一份、副本</w:t>
      </w:r>
      <w:r>
        <w:rPr>
          <w:rFonts w:ascii="宋体" w:hAnsi="宋体" w:eastAsia="宋体" w:cs="宋体"/>
          <w:spacing w:val="-1"/>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1"/>
          <w:sz w:val="24"/>
          <w:szCs w:val="24"/>
        </w:rPr>
        <w:t>份，当正本与副本内容不一致时，以正本为准。</w:t>
      </w:r>
    </w:p>
    <w:p w14:paraId="6A7E3810">
      <w:pPr>
        <w:spacing w:line="265" w:lineRule="auto"/>
        <w:rPr>
          <w:rFonts w:hint="eastAsia" w:ascii="Arial" w:eastAsia="宋体"/>
          <w:sz w:val="21"/>
          <w:lang w:eastAsia="zh-CN"/>
        </w:rPr>
      </w:pPr>
      <w:r>
        <w:rPr>
          <w:rFonts w:hint="eastAsia" w:ascii="Arial" w:eastAsia="宋体"/>
          <w:sz w:val="21"/>
          <w:lang w:eastAsia="zh-CN"/>
        </w:rPr>
        <w:br w:type="page"/>
      </w:r>
    </w:p>
    <w:p w14:paraId="68CA4796">
      <w:pPr>
        <w:spacing w:line="266" w:lineRule="auto"/>
        <w:rPr>
          <w:rFonts w:ascii="Arial"/>
          <w:sz w:val="21"/>
        </w:rPr>
      </w:pPr>
    </w:p>
    <w:p w14:paraId="0D4AE575">
      <w:pPr>
        <w:spacing w:line="266" w:lineRule="auto"/>
        <w:rPr>
          <w:rFonts w:ascii="Arial"/>
          <w:sz w:val="21"/>
        </w:rPr>
      </w:pPr>
    </w:p>
    <w:p w14:paraId="583404D0">
      <w:pPr>
        <w:spacing w:line="266" w:lineRule="auto"/>
        <w:rPr>
          <w:rFonts w:ascii="Arial"/>
          <w:sz w:val="21"/>
        </w:rPr>
      </w:pPr>
    </w:p>
    <w:p w14:paraId="073987A1">
      <w:pPr>
        <w:spacing w:line="266" w:lineRule="auto"/>
        <w:rPr>
          <w:rFonts w:ascii="Arial"/>
          <w:sz w:val="21"/>
        </w:rPr>
      </w:pPr>
    </w:p>
    <w:p w14:paraId="159837D6">
      <w:pPr>
        <w:spacing w:before="78" w:line="359" w:lineRule="auto"/>
        <w:ind w:left="549" w:right="3027" w:firstLine="2"/>
        <w:rPr>
          <w:rFonts w:ascii="宋体" w:hAnsi="宋体" w:eastAsia="宋体" w:cs="宋体"/>
          <w:sz w:val="24"/>
          <w:szCs w:val="24"/>
        </w:rPr>
      </w:pPr>
      <w:r>
        <w:rPr>
          <w:rFonts w:ascii="宋体" w:hAnsi="宋体" w:eastAsia="宋体" w:cs="宋体"/>
          <w:sz w:val="24"/>
          <w:szCs w:val="24"/>
        </w:rPr>
        <w:t>发包人</w:t>
      </w:r>
      <w:r>
        <w:rPr>
          <w:rFonts w:ascii="宋体" w:hAnsi="宋体" w:eastAsia="宋体" w:cs="宋体"/>
          <w:spacing w:val="-18"/>
          <w:sz w:val="24"/>
          <w:szCs w:val="24"/>
        </w:rPr>
        <w:t>：</w:t>
      </w:r>
      <w:r>
        <w:rPr>
          <w:rFonts w:ascii="宋体" w:hAnsi="宋体" w:eastAsia="宋体" w:cs="宋体"/>
          <w:spacing w:val="5"/>
          <w:sz w:val="24"/>
          <w:szCs w:val="24"/>
          <w:u w:val="single" w:color="auto"/>
        </w:rPr>
        <w:t xml:space="preserve">                   </w:t>
      </w:r>
      <w:r>
        <w:rPr>
          <w:rFonts w:ascii="宋体" w:hAnsi="宋体" w:eastAsia="宋体" w:cs="宋体"/>
          <w:spacing w:val="4"/>
          <w:sz w:val="24"/>
          <w:szCs w:val="24"/>
          <w:u w:val="single" w:color="auto"/>
        </w:rPr>
        <w:t xml:space="preserve">      </w:t>
      </w:r>
      <w:r>
        <w:rPr>
          <w:rFonts w:ascii="宋体" w:hAnsi="宋体" w:eastAsia="宋体" w:cs="宋体"/>
          <w:spacing w:val="-18"/>
          <w:sz w:val="24"/>
          <w:szCs w:val="24"/>
        </w:rPr>
        <w:t>（</w:t>
      </w:r>
      <w:r>
        <w:rPr>
          <w:rFonts w:ascii="宋体" w:hAnsi="宋体" w:eastAsia="宋体" w:cs="宋体"/>
          <w:sz w:val="24"/>
          <w:szCs w:val="24"/>
        </w:rPr>
        <w:t>盖单位章）法定代表人或其委托代理人</w:t>
      </w:r>
      <w:r>
        <w:rPr>
          <w:rFonts w:ascii="宋体" w:hAnsi="宋体" w:eastAsia="宋体" w:cs="宋体"/>
          <w:spacing w:val="-17"/>
          <w:sz w:val="24"/>
          <w:szCs w:val="24"/>
        </w:rPr>
        <w:t>：</w:t>
      </w:r>
      <w:r>
        <w:rPr>
          <w:rFonts w:ascii="宋体" w:hAnsi="宋体" w:eastAsia="宋体" w:cs="宋体"/>
          <w:spacing w:val="11"/>
          <w:sz w:val="24"/>
          <w:szCs w:val="24"/>
          <w:u w:val="single" w:color="auto"/>
        </w:rPr>
        <w:t xml:space="preserve">           </w:t>
      </w:r>
      <w:r>
        <w:rPr>
          <w:rFonts w:ascii="宋体" w:hAnsi="宋体" w:eastAsia="宋体" w:cs="宋体"/>
          <w:spacing w:val="-17"/>
          <w:sz w:val="24"/>
          <w:szCs w:val="24"/>
        </w:rPr>
        <w:t>（</w:t>
      </w:r>
      <w:r>
        <w:rPr>
          <w:rFonts w:ascii="宋体" w:hAnsi="宋体" w:eastAsia="宋体" w:cs="宋体"/>
          <w:sz w:val="24"/>
          <w:szCs w:val="24"/>
        </w:rPr>
        <w:t>签字）</w:t>
      </w:r>
    </w:p>
    <w:p w14:paraId="1B52505B">
      <w:pPr>
        <w:tabs>
          <w:tab w:val="left" w:pos="1618"/>
        </w:tabs>
        <w:spacing w:line="219" w:lineRule="auto"/>
        <w:ind w:left="101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9"/>
          <w:sz w:val="24"/>
          <w:szCs w:val="24"/>
        </w:rPr>
        <w:t>日</w:t>
      </w:r>
    </w:p>
    <w:p w14:paraId="0C5A3CF9">
      <w:pPr>
        <w:spacing w:line="283" w:lineRule="auto"/>
        <w:rPr>
          <w:rFonts w:ascii="Arial"/>
          <w:sz w:val="21"/>
        </w:rPr>
      </w:pPr>
    </w:p>
    <w:p w14:paraId="217E0B4F">
      <w:pPr>
        <w:spacing w:line="283" w:lineRule="auto"/>
        <w:rPr>
          <w:rFonts w:ascii="Arial"/>
          <w:sz w:val="21"/>
        </w:rPr>
      </w:pPr>
    </w:p>
    <w:p w14:paraId="1C0C1828">
      <w:pPr>
        <w:spacing w:before="78" w:line="219" w:lineRule="auto"/>
        <w:ind w:left="548"/>
        <w:rPr>
          <w:rFonts w:ascii="宋体" w:hAnsi="宋体" w:eastAsia="宋体" w:cs="宋体"/>
          <w:sz w:val="24"/>
          <w:szCs w:val="24"/>
        </w:rPr>
      </w:pPr>
      <w:r>
        <w:rPr>
          <w:rFonts w:ascii="宋体" w:hAnsi="宋体" w:eastAsia="宋体" w:cs="宋体"/>
          <w:spacing w:val="3"/>
          <w:sz w:val="24"/>
          <w:szCs w:val="24"/>
        </w:rPr>
        <w:t>承包人</w:t>
      </w:r>
      <w:r>
        <w:rPr>
          <w:rFonts w:ascii="宋体" w:hAnsi="宋体" w:eastAsia="宋体" w:cs="宋体"/>
          <w:spacing w:val="-18"/>
          <w:sz w:val="24"/>
          <w:szCs w:val="24"/>
        </w:rPr>
        <w:t>：</w:t>
      </w:r>
      <w:r>
        <w:rPr>
          <w:rFonts w:ascii="宋体" w:hAnsi="宋体" w:eastAsia="宋体" w:cs="宋体"/>
          <w:spacing w:val="5"/>
          <w:sz w:val="24"/>
          <w:szCs w:val="24"/>
          <w:u w:val="single" w:color="auto"/>
        </w:rPr>
        <w:t xml:space="preserve">                    </w:t>
      </w:r>
      <w:r>
        <w:rPr>
          <w:rFonts w:ascii="宋体" w:hAnsi="宋体" w:eastAsia="宋体" w:cs="宋体"/>
          <w:spacing w:val="4"/>
          <w:sz w:val="24"/>
          <w:szCs w:val="24"/>
          <w:u w:val="single" w:color="auto"/>
        </w:rPr>
        <w:t xml:space="preserve">     </w:t>
      </w:r>
      <w:r>
        <w:rPr>
          <w:rFonts w:ascii="宋体" w:hAnsi="宋体" w:eastAsia="宋体" w:cs="宋体"/>
          <w:spacing w:val="-18"/>
          <w:sz w:val="24"/>
          <w:szCs w:val="24"/>
        </w:rPr>
        <w:t>（</w:t>
      </w:r>
      <w:r>
        <w:rPr>
          <w:rFonts w:ascii="宋体" w:hAnsi="宋体" w:eastAsia="宋体" w:cs="宋体"/>
          <w:spacing w:val="3"/>
          <w:sz w:val="24"/>
          <w:szCs w:val="24"/>
        </w:rPr>
        <w:t>盖单位章）</w:t>
      </w:r>
    </w:p>
    <w:p w14:paraId="11D1881D">
      <w:pPr>
        <w:tabs>
          <w:tab w:val="left" w:pos="1618"/>
        </w:tabs>
        <w:spacing w:before="181" w:line="362" w:lineRule="auto"/>
        <w:ind w:left="1018" w:right="3027" w:hanging="469"/>
        <w:rPr>
          <w:rFonts w:ascii="宋体" w:hAnsi="宋体" w:eastAsia="宋体" w:cs="宋体"/>
          <w:sz w:val="24"/>
          <w:szCs w:val="24"/>
        </w:rPr>
      </w:pPr>
      <w:r>
        <w:rPr>
          <w:rFonts w:ascii="宋体" w:hAnsi="宋体" w:eastAsia="宋体" w:cs="宋体"/>
          <w:sz w:val="24"/>
          <w:szCs w:val="24"/>
        </w:rPr>
        <w:t>法定代表人或其委托代理人</w:t>
      </w:r>
      <w:r>
        <w:rPr>
          <w:rFonts w:ascii="宋体" w:hAnsi="宋体" w:eastAsia="宋体" w:cs="宋体"/>
          <w:spacing w:val="-17"/>
          <w:sz w:val="24"/>
          <w:szCs w:val="24"/>
        </w:rPr>
        <w:t>：</w:t>
      </w:r>
      <w:r>
        <w:rPr>
          <w:rFonts w:ascii="宋体" w:hAnsi="宋体" w:eastAsia="宋体" w:cs="宋体"/>
          <w:spacing w:val="11"/>
          <w:sz w:val="24"/>
          <w:szCs w:val="24"/>
          <w:u w:val="single" w:color="auto"/>
        </w:rPr>
        <w:t xml:space="preserve">           </w:t>
      </w:r>
      <w:r>
        <w:rPr>
          <w:rFonts w:ascii="宋体" w:hAnsi="宋体" w:eastAsia="宋体" w:cs="宋体"/>
          <w:spacing w:val="-17"/>
          <w:sz w:val="24"/>
          <w:szCs w:val="24"/>
        </w:rPr>
        <w:t>（</w:t>
      </w:r>
      <w:r>
        <w:rPr>
          <w:rFonts w:ascii="宋体" w:hAnsi="宋体" w:eastAsia="宋体" w:cs="宋体"/>
          <w:sz w:val="24"/>
          <w:szCs w:val="24"/>
        </w:rPr>
        <w:t>签字）</w:t>
      </w: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9"/>
          <w:sz w:val="24"/>
          <w:szCs w:val="24"/>
        </w:rPr>
        <w:t>日</w:t>
      </w:r>
    </w:p>
    <w:p w14:paraId="6B9E34AA">
      <w:pPr>
        <w:spacing w:line="380" w:lineRule="auto"/>
        <w:rPr>
          <w:rFonts w:ascii="Arial"/>
          <w:sz w:val="21"/>
        </w:rPr>
      </w:pPr>
    </w:p>
    <w:p w14:paraId="61D3FD1A">
      <w:pPr>
        <w:spacing w:before="78" w:line="359" w:lineRule="auto"/>
        <w:ind w:left="549" w:right="3027"/>
        <w:rPr>
          <w:rFonts w:ascii="宋体" w:hAnsi="宋体" w:eastAsia="宋体" w:cs="宋体"/>
          <w:sz w:val="24"/>
          <w:szCs w:val="24"/>
        </w:rPr>
      </w:pPr>
      <w:r>
        <w:rPr>
          <w:rFonts w:ascii="宋体" w:hAnsi="宋体" w:eastAsia="宋体" w:cs="宋体"/>
          <w:sz w:val="24"/>
          <w:szCs w:val="24"/>
        </w:rPr>
        <w:t>经办银行</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spacing w:val="-17"/>
          <w:sz w:val="24"/>
          <w:szCs w:val="24"/>
        </w:rPr>
        <w:t>（</w:t>
      </w:r>
      <w:r>
        <w:rPr>
          <w:rFonts w:ascii="宋体" w:hAnsi="宋体" w:eastAsia="宋体" w:cs="宋体"/>
          <w:sz w:val="24"/>
          <w:szCs w:val="24"/>
        </w:rPr>
        <w:t>盖单位章）法定代表人或其委托代理人</w:t>
      </w:r>
      <w:r>
        <w:rPr>
          <w:rFonts w:ascii="宋体" w:hAnsi="宋体" w:eastAsia="宋体" w:cs="宋体"/>
          <w:spacing w:val="-17"/>
          <w:sz w:val="24"/>
          <w:szCs w:val="24"/>
        </w:rPr>
        <w:t>：</w:t>
      </w:r>
      <w:r>
        <w:rPr>
          <w:rFonts w:ascii="宋体" w:hAnsi="宋体" w:eastAsia="宋体" w:cs="宋体"/>
          <w:spacing w:val="11"/>
          <w:sz w:val="24"/>
          <w:szCs w:val="24"/>
          <w:u w:val="single" w:color="auto"/>
        </w:rPr>
        <w:t xml:space="preserve">           </w:t>
      </w:r>
      <w:r>
        <w:rPr>
          <w:rFonts w:ascii="宋体" w:hAnsi="宋体" w:eastAsia="宋体" w:cs="宋体"/>
          <w:spacing w:val="-17"/>
          <w:sz w:val="24"/>
          <w:szCs w:val="24"/>
        </w:rPr>
        <w:t>（</w:t>
      </w:r>
      <w:r>
        <w:rPr>
          <w:rFonts w:ascii="宋体" w:hAnsi="宋体" w:eastAsia="宋体" w:cs="宋体"/>
          <w:sz w:val="24"/>
          <w:szCs w:val="24"/>
        </w:rPr>
        <w:t>签字）</w:t>
      </w:r>
    </w:p>
    <w:p w14:paraId="33FA2D36">
      <w:pPr>
        <w:tabs>
          <w:tab w:val="left" w:pos="1618"/>
        </w:tabs>
        <w:spacing w:line="219" w:lineRule="auto"/>
        <w:ind w:left="101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9"/>
          <w:sz w:val="24"/>
          <w:szCs w:val="24"/>
        </w:rPr>
        <w:t>日</w:t>
      </w:r>
    </w:p>
    <w:p w14:paraId="7C187E6B">
      <w:pPr>
        <w:spacing w:line="401" w:lineRule="auto"/>
        <w:rPr>
          <w:rFonts w:hint="eastAsia" w:ascii="Arial" w:eastAsia="宋体"/>
          <w:sz w:val="21"/>
          <w:lang w:eastAsia="zh-CN"/>
        </w:rPr>
      </w:pPr>
      <w:r>
        <w:rPr>
          <w:rFonts w:hint="eastAsia" w:ascii="Arial" w:eastAsia="宋体"/>
          <w:sz w:val="21"/>
          <w:lang w:eastAsia="zh-CN"/>
        </w:rPr>
        <w:br w:type="page"/>
      </w:r>
    </w:p>
    <w:p w14:paraId="275A624E">
      <w:pPr>
        <w:spacing w:before="78" w:line="219" w:lineRule="auto"/>
        <w:ind w:left="27"/>
        <w:rPr>
          <w:rFonts w:ascii="宋体" w:hAnsi="宋体" w:eastAsia="宋体" w:cs="宋体"/>
          <w:sz w:val="24"/>
          <w:szCs w:val="24"/>
        </w:rPr>
      </w:pPr>
      <w:r>
        <w:rPr>
          <w:rFonts w:ascii="宋体" w:hAnsi="宋体" w:eastAsia="宋体" w:cs="宋体"/>
          <w:b/>
          <w:bCs/>
          <w:spacing w:val="-4"/>
          <w:sz w:val="24"/>
          <w:szCs w:val="24"/>
        </w:rPr>
        <w:t>附件八：建设工程农民工工资支付保证书</w:t>
      </w:r>
    </w:p>
    <w:p w14:paraId="79DC2F8A">
      <w:pPr>
        <w:spacing w:before="155" w:line="219" w:lineRule="auto"/>
        <w:ind w:left="2440"/>
        <w:rPr>
          <w:rFonts w:ascii="宋体" w:hAnsi="宋体" w:eastAsia="宋体" w:cs="宋体"/>
          <w:sz w:val="30"/>
          <w:szCs w:val="30"/>
        </w:rPr>
      </w:pPr>
      <w:r>
        <w:rPr>
          <w:rFonts w:ascii="宋体" w:hAnsi="宋体" w:eastAsia="宋体" w:cs="宋体"/>
          <w:b/>
          <w:bCs/>
          <w:spacing w:val="-4"/>
          <w:sz w:val="30"/>
          <w:szCs w:val="30"/>
        </w:rPr>
        <w:t>建设工程农民工工资支付保证书</w:t>
      </w:r>
    </w:p>
    <w:p w14:paraId="1244451E">
      <w:pPr>
        <w:spacing w:line="369" w:lineRule="auto"/>
        <w:rPr>
          <w:rFonts w:ascii="Arial"/>
          <w:sz w:val="21"/>
        </w:rPr>
      </w:pPr>
    </w:p>
    <w:p w14:paraId="1C1968EB">
      <w:pPr>
        <w:spacing w:before="78" w:line="220" w:lineRule="auto"/>
        <w:ind w:left="8"/>
        <w:rPr>
          <w:rFonts w:ascii="宋体" w:hAnsi="宋体" w:eastAsia="宋体" w:cs="宋体"/>
          <w:sz w:val="24"/>
          <w:szCs w:val="24"/>
        </w:rPr>
      </w:pPr>
      <w:r>
        <w:rPr>
          <w:rFonts w:ascii="宋体" w:hAnsi="宋体" w:eastAsia="宋体" w:cs="宋体"/>
          <w:spacing w:val="-5"/>
          <w:sz w:val="24"/>
          <w:szCs w:val="24"/>
        </w:rPr>
        <w:t>致：</w:t>
      </w:r>
      <w:r>
        <w:rPr>
          <w:rFonts w:ascii="宋体" w:hAnsi="宋体" w:eastAsia="宋体" w:cs="宋体"/>
          <w:sz w:val="24"/>
          <w:szCs w:val="24"/>
          <w:u w:val="single" w:color="auto"/>
        </w:rPr>
        <w:t xml:space="preserve">                       </w:t>
      </w:r>
    </w:p>
    <w:p w14:paraId="168FA523">
      <w:pPr>
        <w:spacing w:before="148" w:line="339" w:lineRule="auto"/>
        <w:ind w:left="10" w:right="80" w:firstLine="480"/>
        <w:jc w:val="both"/>
        <w:rPr>
          <w:rFonts w:ascii="宋体" w:hAnsi="宋体" w:eastAsia="宋体" w:cs="宋体"/>
          <w:sz w:val="24"/>
          <w:szCs w:val="24"/>
        </w:rPr>
      </w:pPr>
      <w:r>
        <w:rPr>
          <w:rFonts w:ascii="宋体" w:hAnsi="宋体" w:eastAsia="宋体" w:cs="宋体"/>
          <w:spacing w:val="-5"/>
          <w:sz w:val="24"/>
          <w:szCs w:val="24"/>
        </w:rPr>
        <w:t>鉴于</w:t>
      </w:r>
      <w:r>
        <w:rPr>
          <w:rFonts w:ascii="宋体" w:hAnsi="宋体" w:eastAsia="宋体" w:cs="宋体"/>
          <w:spacing w:val="-5"/>
          <w:sz w:val="24"/>
          <w:szCs w:val="24"/>
          <w:u w:val="single" w:color="auto"/>
        </w:rPr>
        <w:t xml:space="preserve">     </w:t>
      </w:r>
      <w:r>
        <w:rPr>
          <w:rFonts w:ascii="宋体" w:hAnsi="宋体" w:eastAsia="宋体" w:cs="宋体"/>
          <w:spacing w:val="-61"/>
          <w:sz w:val="24"/>
          <w:szCs w:val="24"/>
        </w:rPr>
        <w:t xml:space="preserve"> </w:t>
      </w:r>
      <w:r>
        <w:rPr>
          <w:rFonts w:ascii="宋体" w:hAnsi="宋体" w:eastAsia="宋体" w:cs="宋体"/>
          <w:spacing w:val="-5"/>
          <w:sz w:val="24"/>
          <w:szCs w:val="24"/>
        </w:rPr>
        <w:t>(以下简称“承包人</w:t>
      </w:r>
      <w:r>
        <w:rPr>
          <w:rFonts w:ascii="宋体" w:hAnsi="宋体" w:eastAsia="宋体" w:cs="宋体"/>
          <w:spacing w:val="-88"/>
          <w:sz w:val="24"/>
          <w:szCs w:val="24"/>
        </w:rPr>
        <w:t xml:space="preserve"> </w:t>
      </w:r>
      <w:r>
        <w:rPr>
          <w:rFonts w:ascii="宋体" w:hAnsi="宋体" w:eastAsia="宋体" w:cs="宋体"/>
          <w:spacing w:val="-5"/>
          <w:sz w:val="24"/>
          <w:szCs w:val="24"/>
        </w:rPr>
        <w:t>”)拟与</w:t>
      </w:r>
      <w:r>
        <w:rPr>
          <w:rFonts w:ascii="宋体" w:hAnsi="宋体" w:eastAsia="宋体" w:cs="宋体"/>
          <w:spacing w:val="-5"/>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5"/>
          <w:sz w:val="24"/>
          <w:szCs w:val="24"/>
        </w:rPr>
        <w:t>(以下简称“发包人</w:t>
      </w:r>
      <w:r>
        <w:rPr>
          <w:rFonts w:ascii="宋体" w:hAnsi="宋体" w:eastAsia="宋体" w:cs="宋体"/>
          <w:spacing w:val="-88"/>
          <w:sz w:val="24"/>
          <w:szCs w:val="24"/>
        </w:rPr>
        <w:t xml:space="preserve"> </w:t>
      </w:r>
      <w:r>
        <w:rPr>
          <w:rFonts w:ascii="宋体" w:hAnsi="宋体" w:eastAsia="宋体" w:cs="宋体"/>
          <w:spacing w:val="-5"/>
          <w:sz w:val="24"/>
          <w:szCs w:val="24"/>
        </w:rPr>
        <w:t>”)签订</w:t>
      </w:r>
      <w:r>
        <w:rPr>
          <w:rFonts w:ascii="宋体" w:hAnsi="宋体" w:eastAsia="宋体" w:cs="宋体"/>
          <w:spacing w:val="15"/>
          <w:sz w:val="24"/>
          <w:szCs w:val="24"/>
          <w:u w:val="single" w:color="auto"/>
        </w:rPr>
        <w:t xml:space="preserve">     </w:t>
      </w:r>
      <w:r>
        <w:rPr>
          <w:rFonts w:ascii="宋体" w:hAnsi="宋体" w:eastAsia="宋体" w:cs="宋体"/>
          <w:spacing w:val="-5"/>
          <w:sz w:val="24"/>
          <w:szCs w:val="24"/>
          <w:u w:val="single" w:color="auto"/>
        </w:rPr>
        <w:t>（项</w:t>
      </w:r>
      <w:r>
        <w:rPr>
          <w:rFonts w:ascii="宋体" w:hAnsi="宋体" w:eastAsia="宋体" w:cs="宋体"/>
          <w:spacing w:val="2"/>
          <w:sz w:val="24"/>
          <w:szCs w:val="24"/>
          <w:u w:val="single" w:color="auto"/>
        </w:rPr>
        <w:t>目名称</w:t>
      </w:r>
      <w:r>
        <w:rPr>
          <w:rFonts w:ascii="宋体" w:hAnsi="宋体" w:eastAsia="宋体" w:cs="宋体"/>
          <w:spacing w:val="-11"/>
          <w:sz w:val="24"/>
          <w:szCs w:val="24"/>
          <w:u w:val="single" w:color="auto"/>
        </w:rPr>
        <w:t>）</w:t>
      </w:r>
      <w:r>
        <w:rPr>
          <w:rFonts w:ascii="宋体" w:hAnsi="宋体" w:eastAsia="宋体" w:cs="宋体"/>
          <w:spacing w:val="2"/>
          <w:sz w:val="24"/>
          <w:szCs w:val="24"/>
          <w:u w:val="single" w:color="auto"/>
        </w:rPr>
        <w:t xml:space="preserve">   </w:t>
      </w:r>
      <w:r>
        <w:rPr>
          <w:rFonts w:ascii="宋体" w:hAnsi="宋体" w:eastAsia="宋体" w:cs="宋体"/>
          <w:spacing w:val="-11"/>
          <w:sz w:val="24"/>
          <w:szCs w:val="24"/>
          <w:u w:val="single" w:color="auto"/>
        </w:rPr>
        <w:t>（</w:t>
      </w:r>
      <w:r>
        <w:rPr>
          <w:rFonts w:ascii="宋体" w:hAnsi="宋体" w:eastAsia="宋体" w:cs="宋体"/>
          <w:spacing w:val="2"/>
          <w:sz w:val="24"/>
          <w:szCs w:val="24"/>
          <w:u w:val="single" w:color="auto"/>
        </w:rPr>
        <w:t>标类或标段）</w:t>
      </w:r>
      <w:r>
        <w:rPr>
          <w:rFonts w:ascii="宋体" w:hAnsi="宋体" w:eastAsia="宋体" w:cs="宋体"/>
          <w:spacing w:val="2"/>
          <w:sz w:val="24"/>
          <w:szCs w:val="24"/>
        </w:rPr>
        <w:t>的施工承包合同，为规范本项目农民工工资的支付行为，</w:t>
      </w:r>
      <w:r>
        <w:rPr>
          <w:rFonts w:ascii="宋体" w:hAnsi="宋体" w:eastAsia="宋体" w:cs="宋体"/>
          <w:spacing w:val="-2"/>
          <w:sz w:val="24"/>
          <w:szCs w:val="24"/>
        </w:rPr>
        <w:t>预防和解决施工承包人拖欠或克扣农民工工资问题，切实保障农民工的合法利益，维护社会稳定，根据《中华人民共和国劳动合同法》《中华人民共和国建筑法》《保障农民工工资支付条例》《广东省建设工程领域工人工资支付专用账户管理办法》《广东省建设工程领域用工实名制管理暂行办法》《广东省交通运输厅关于加强交通建设工程从业人员实名制管理和作业工人工资支付管理的通知》等有关法规制度要求，结合本项目建</w:t>
      </w:r>
      <w:r>
        <w:rPr>
          <w:rFonts w:ascii="宋体" w:hAnsi="宋体" w:eastAsia="宋体" w:cs="宋体"/>
          <w:spacing w:val="-1"/>
          <w:sz w:val="24"/>
          <w:szCs w:val="24"/>
        </w:rPr>
        <w:t>设管理的具体情况，承包人在此承诺：</w:t>
      </w:r>
    </w:p>
    <w:p w14:paraId="64BD0A25">
      <w:pPr>
        <w:spacing w:before="1" w:line="338" w:lineRule="auto"/>
        <w:ind w:left="11" w:right="80" w:firstLine="480"/>
        <w:rPr>
          <w:rFonts w:ascii="宋体" w:hAnsi="宋体" w:eastAsia="宋体" w:cs="宋体"/>
          <w:sz w:val="24"/>
          <w:szCs w:val="24"/>
        </w:rPr>
      </w:pPr>
      <w:r>
        <w:rPr>
          <w:rFonts w:ascii="宋体" w:hAnsi="宋体" w:eastAsia="宋体" w:cs="宋体"/>
          <w:spacing w:val="-2"/>
          <w:sz w:val="24"/>
          <w:szCs w:val="24"/>
        </w:rPr>
        <w:t>一、承诺严格按照国家法规和相关规定与农民工或与具备用工主体资格的组织签订劳动合同，按照当地劳动保障部门要求及时进行用工备案，推行实名制管理。严格根据劳动合同约定的农民工工资标准等内容，按照依法签订的劳动合同约定的日期按月支付工资，且不低于当地最低工资标准。若因违反上述法律、法规及相关管理办法而引发的</w:t>
      </w:r>
      <w:r>
        <w:rPr>
          <w:rFonts w:ascii="宋体" w:hAnsi="宋体" w:eastAsia="宋体" w:cs="宋体"/>
          <w:spacing w:val="-1"/>
          <w:sz w:val="24"/>
          <w:szCs w:val="24"/>
        </w:rPr>
        <w:t>民工工资纠纷等，承包人承担所有的民事及刑事法律责任。</w:t>
      </w:r>
    </w:p>
    <w:p w14:paraId="76EC75ED">
      <w:pPr>
        <w:spacing w:before="2" w:line="338" w:lineRule="auto"/>
        <w:ind w:left="14" w:right="67" w:firstLine="478"/>
        <w:rPr>
          <w:rFonts w:ascii="宋体" w:hAnsi="宋体" w:eastAsia="宋体" w:cs="宋体"/>
          <w:sz w:val="24"/>
          <w:szCs w:val="24"/>
        </w:rPr>
      </w:pPr>
      <w:r>
        <w:rPr>
          <w:rFonts w:ascii="宋体" w:hAnsi="宋体" w:eastAsia="宋体" w:cs="宋体"/>
          <w:spacing w:val="-2"/>
          <w:sz w:val="24"/>
          <w:szCs w:val="24"/>
        </w:rPr>
        <w:t>二、决不违反有关规定，将工程转包、分包给不具备用工主体资格的组织或个人，</w:t>
      </w:r>
      <w:r>
        <w:rPr>
          <w:rFonts w:ascii="宋体" w:hAnsi="宋体" w:eastAsia="宋体" w:cs="宋体"/>
          <w:spacing w:val="-1"/>
          <w:sz w:val="24"/>
          <w:szCs w:val="24"/>
        </w:rPr>
        <w:t>并独自承担因违反上述规定而引发的民工工资</w:t>
      </w:r>
      <w:r>
        <w:rPr>
          <w:rFonts w:ascii="宋体" w:hAnsi="宋体" w:eastAsia="宋体" w:cs="宋体"/>
          <w:spacing w:val="-2"/>
          <w:sz w:val="24"/>
          <w:szCs w:val="24"/>
        </w:rPr>
        <w:t>纠纷等所有民事及刑事的法律连带责任。</w:t>
      </w:r>
    </w:p>
    <w:p w14:paraId="261A2B6A">
      <w:pPr>
        <w:spacing w:before="1" w:line="338" w:lineRule="auto"/>
        <w:ind w:left="11" w:right="80" w:firstLine="477"/>
        <w:rPr>
          <w:rFonts w:ascii="宋体" w:hAnsi="宋体" w:eastAsia="宋体" w:cs="宋体"/>
          <w:sz w:val="24"/>
          <w:szCs w:val="24"/>
        </w:rPr>
      </w:pPr>
      <w:r>
        <w:rPr>
          <w:rFonts w:ascii="宋体" w:hAnsi="宋体" w:eastAsia="宋体" w:cs="宋体"/>
          <w:spacing w:val="-2"/>
          <w:sz w:val="24"/>
          <w:szCs w:val="24"/>
        </w:rPr>
        <w:t>三、承诺开展劳动法、建筑法等普法学习教育活动，建立健全承包人农民工用工实名制度，制定农民工劳动保护措施，实施劳动工资支付监控机制，建立劳动用工的举报投诉制度，设立专门的举报投诉电话，受理相关单位和个人的举报及投诉，监督并认真</w:t>
      </w:r>
      <w:r>
        <w:rPr>
          <w:rFonts w:ascii="宋体" w:hAnsi="宋体" w:eastAsia="宋体" w:cs="宋体"/>
          <w:spacing w:val="-1"/>
          <w:sz w:val="24"/>
          <w:szCs w:val="24"/>
        </w:rPr>
        <w:t>查处合同范围内的侵害农民工按劳取酬合法权益的行为。</w:t>
      </w:r>
    </w:p>
    <w:p w14:paraId="257F307D">
      <w:pPr>
        <w:spacing w:before="2" w:line="338" w:lineRule="auto"/>
        <w:ind w:left="7" w:right="80" w:firstLine="503"/>
        <w:rPr>
          <w:rFonts w:ascii="宋体" w:hAnsi="宋体" w:eastAsia="宋体" w:cs="宋体"/>
          <w:sz w:val="24"/>
          <w:szCs w:val="24"/>
        </w:rPr>
      </w:pPr>
      <w:r>
        <w:rPr>
          <w:rFonts w:ascii="宋体" w:hAnsi="宋体" w:eastAsia="宋体" w:cs="宋体"/>
          <w:spacing w:val="-2"/>
          <w:sz w:val="24"/>
          <w:szCs w:val="24"/>
        </w:rPr>
        <w:t>四、承诺在工地现场宣传栏中公布发包人关于农民</w:t>
      </w:r>
      <w:r>
        <w:rPr>
          <w:rFonts w:ascii="宋体" w:hAnsi="宋体" w:eastAsia="宋体" w:cs="宋体"/>
          <w:spacing w:val="-3"/>
          <w:sz w:val="24"/>
          <w:szCs w:val="24"/>
        </w:rPr>
        <w:t>工工资管理的有关法律法规、制</w:t>
      </w:r>
      <w:r>
        <w:rPr>
          <w:rFonts w:ascii="宋体" w:hAnsi="宋体" w:eastAsia="宋体" w:cs="宋体"/>
          <w:spacing w:val="-1"/>
          <w:sz w:val="24"/>
          <w:szCs w:val="24"/>
        </w:rPr>
        <w:t>度，公开发包人的投诉电话。</w:t>
      </w:r>
    </w:p>
    <w:p w14:paraId="671FC8F5">
      <w:pPr>
        <w:spacing w:before="4" w:line="338" w:lineRule="auto"/>
        <w:ind w:left="9" w:firstLine="482"/>
        <w:rPr>
          <w:rFonts w:ascii="宋体" w:hAnsi="宋体" w:eastAsia="宋体" w:cs="宋体"/>
          <w:sz w:val="24"/>
          <w:szCs w:val="24"/>
        </w:rPr>
      </w:pPr>
      <w:r>
        <w:rPr>
          <w:rFonts w:ascii="宋体" w:hAnsi="宋体" w:eastAsia="宋体" w:cs="宋体"/>
          <w:spacing w:val="-6"/>
          <w:sz w:val="24"/>
          <w:szCs w:val="24"/>
        </w:rPr>
        <w:t>五、承诺在本项目工程开工前承包人制定内部工资支付办法，并抄报监理</w:t>
      </w:r>
      <w:r>
        <w:rPr>
          <w:rFonts w:ascii="宋体" w:hAnsi="宋体" w:eastAsia="宋体" w:cs="宋体"/>
          <w:spacing w:val="-7"/>
          <w:sz w:val="24"/>
          <w:szCs w:val="24"/>
        </w:rPr>
        <w:t>、发包人，</w:t>
      </w:r>
      <w:r>
        <w:rPr>
          <w:rFonts w:ascii="宋体" w:hAnsi="宋体" w:eastAsia="宋体" w:cs="宋体"/>
          <w:spacing w:val="-2"/>
          <w:sz w:val="24"/>
          <w:szCs w:val="24"/>
        </w:rPr>
        <w:t>同时告知全体农民工。内部工资支付办法包括以下内容：支付项目、支付标准、支付方</w:t>
      </w:r>
      <w:r>
        <w:rPr>
          <w:rFonts w:ascii="宋体" w:hAnsi="宋体" w:eastAsia="宋体" w:cs="宋体"/>
          <w:spacing w:val="-6"/>
          <w:sz w:val="24"/>
          <w:szCs w:val="24"/>
        </w:rPr>
        <w:t>式、支付周期和日期、加班工资计算基数、特殊情况下的工资支付以及其他工资支付等。</w:t>
      </w:r>
      <w:r>
        <w:rPr>
          <w:rFonts w:ascii="宋体" w:hAnsi="宋体" w:eastAsia="宋体" w:cs="宋体"/>
          <w:spacing w:val="-2"/>
          <w:sz w:val="24"/>
          <w:szCs w:val="24"/>
        </w:rPr>
        <w:t>支付程序也将明文规定，且严格按章办事。工资支付管理接受监理、发包人及上级主管单位的监督和检查。</w:t>
      </w:r>
    </w:p>
    <w:p w14:paraId="703DC04F">
      <w:pPr>
        <w:spacing w:before="2" w:line="339" w:lineRule="auto"/>
        <w:ind w:left="14" w:right="80" w:firstLine="476"/>
        <w:rPr>
          <w:rFonts w:ascii="宋体" w:hAnsi="宋体" w:eastAsia="宋体" w:cs="宋体"/>
          <w:sz w:val="24"/>
          <w:szCs w:val="24"/>
        </w:rPr>
      </w:pPr>
      <w:r>
        <w:rPr>
          <w:rFonts w:ascii="宋体" w:hAnsi="宋体" w:eastAsia="宋体" w:cs="宋体"/>
          <w:spacing w:val="-2"/>
          <w:sz w:val="24"/>
          <w:szCs w:val="24"/>
        </w:rPr>
        <w:t>六、承诺指定专人负责对农民工工资进行发放，实行专户管理，以银行转账方式按</w:t>
      </w:r>
      <w:r>
        <w:rPr>
          <w:rFonts w:ascii="宋体" w:hAnsi="宋体" w:eastAsia="宋体" w:cs="宋体"/>
          <w:spacing w:val="-1"/>
          <w:sz w:val="24"/>
          <w:szCs w:val="24"/>
        </w:rPr>
        <w:t>月直接支付工资（原则上是当月支付，最多不超过拖欠两个月）。</w:t>
      </w:r>
    </w:p>
    <w:p w14:paraId="60C88FBF">
      <w:pPr>
        <w:spacing w:line="256" w:lineRule="auto"/>
        <w:rPr>
          <w:rFonts w:hint="eastAsia" w:ascii="Arial" w:eastAsia="宋体"/>
          <w:sz w:val="21"/>
          <w:lang w:eastAsia="zh-CN"/>
        </w:rPr>
      </w:pPr>
      <w:r>
        <w:rPr>
          <w:rFonts w:hint="eastAsia" w:ascii="Arial" w:eastAsia="宋体"/>
          <w:sz w:val="21"/>
          <w:lang w:eastAsia="zh-CN"/>
        </w:rPr>
        <w:br w:type="page"/>
      </w:r>
    </w:p>
    <w:p w14:paraId="66C10292">
      <w:pPr>
        <w:spacing w:line="256" w:lineRule="auto"/>
        <w:rPr>
          <w:rFonts w:ascii="Arial"/>
          <w:sz w:val="21"/>
        </w:rPr>
      </w:pPr>
    </w:p>
    <w:p w14:paraId="6E921449">
      <w:pPr>
        <w:spacing w:before="78" w:line="338" w:lineRule="auto"/>
        <w:ind w:left="7" w:firstLine="480"/>
        <w:rPr>
          <w:rFonts w:ascii="宋体" w:hAnsi="宋体" w:eastAsia="宋体" w:cs="宋体"/>
          <w:sz w:val="24"/>
          <w:szCs w:val="24"/>
        </w:rPr>
      </w:pPr>
      <w:r>
        <w:rPr>
          <w:rFonts w:ascii="宋体" w:hAnsi="宋体" w:eastAsia="宋体" w:cs="宋体"/>
          <w:spacing w:val="-2"/>
          <w:sz w:val="24"/>
          <w:szCs w:val="24"/>
        </w:rPr>
        <w:t>七、在合同工程范围内，一旦承包人发现任何下属单位、分包单位、施工班组等在劳动用工与工资结算支付活动中存在有违反法律法规规定的行为，承包人将以最快的速</w:t>
      </w:r>
      <w:r>
        <w:rPr>
          <w:rFonts w:ascii="宋体" w:hAnsi="宋体" w:eastAsia="宋体" w:cs="宋体"/>
          <w:spacing w:val="-6"/>
          <w:sz w:val="24"/>
          <w:szCs w:val="24"/>
        </w:rPr>
        <w:t>度、采取最得力的措施就地予以纠正，同时将有关问题抄报监理人及发包人，在监理人、</w:t>
      </w:r>
      <w:r>
        <w:rPr>
          <w:rFonts w:ascii="宋体" w:hAnsi="宋体" w:eastAsia="宋体" w:cs="宋体"/>
          <w:spacing w:val="-1"/>
          <w:sz w:val="24"/>
          <w:szCs w:val="24"/>
        </w:rPr>
        <w:t>发包人或劳动监察部门有要求或规定时，将处理结果上报备案。</w:t>
      </w:r>
    </w:p>
    <w:p w14:paraId="0AAB0A3D">
      <w:pPr>
        <w:spacing w:line="332" w:lineRule="auto"/>
        <w:ind w:left="7" w:right="80" w:firstLine="484"/>
        <w:rPr>
          <w:rFonts w:ascii="宋体" w:hAnsi="宋体" w:eastAsia="宋体" w:cs="宋体"/>
          <w:sz w:val="24"/>
          <w:szCs w:val="24"/>
        </w:rPr>
      </w:pPr>
      <w:r>
        <w:rPr>
          <w:rFonts w:ascii="宋体" w:hAnsi="宋体" w:eastAsia="宋体" w:cs="宋体"/>
          <w:spacing w:val="1"/>
          <w:sz w:val="24"/>
          <w:szCs w:val="24"/>
        </w:rPr>
        <w:t>八、承诺自工程取得施工许可证（开工报告批复）之日起</w:t>
      </w:r>
      <w:r>
        <w:rPr>
          <w:rFonts w:ascii="宋体" w:hAnsi="宋体" w:eastAsia="宋体" w:cs="宋体"/>
          <w:spacing w:val="-48"/>
          <w:sz w:val="24"/>
          <w:szCs w:val="24"/>
        </w:rPr>
        <w:t xml:space="preserve"> </w:t>
      </w:r>
      <w:r>
        <w:rPr>
          <w:rFonts w:ascii="宋体" w:hAnsi="宋体" w:eastAsia="宋体" w:cs="宋体"/>
          <w:spacing w:val="1"/>
          <w:sz w:val="24"/>
          <w:szCs w:val="24"/>
        </w:rPr>
        <w:t>2</w:t>
      </w:r>
      <w:r>
        <w:rPr>
          <w:rFonts w:ascii="宋体" w:hAnsi="宋体" w:eastAsia="宋体" w:cs="宋体"/>
          <w:sz w:val="24"/>
          <w:szCs w:val="24"/>
        </w:rPr>
        <w:t>0</w:t>
      </w:r>
      <w:r>
        <w:rPr>
          <w:rFonts w:ascii="宋体" w:hAnsi="宋体" w:eastAsia="宋体" w:cs="宋体"/>
          <w:spacing w:val="-48"/>
          <w:sz w:val="24"/>
          <w:szCs w:val="24"/>
        </w:rPr>
        <w:t xml:space="preserve"> </w:t>
      </w:r>
      <w:r>
        <w:rPr>
          <w:rFonts w:ascii="宋体" w:hAnsi="宋体" w:eastAsia="宋体" w:cs="宋体"/>
          <w:sz w:val="24"/>
          <w:szCs w:val="24"/>
        </w:rPr>
        <w:t>个工作日内（依法不需要办理施工许可证或批准开工报告的工程自签订施工合同之日起</w:t>
      </w:r>
      <w:r>
        <w:rPr>
          <w:rFonts w:ascii="宋体" w:hAnsi="宋体" w:eastAsia="宋体" w:cs="宋体"/>
          <w:spacing w:val="-30"/>
          <w:sz w:val="24"/>
          <w:szCs w:val="24"/>
        </w:rPr>
        <w:t xml:space="preserve"> </w:t>
      </w:r>
      <w:r>
        <w:rPr>
          <w:rFonts w:ascii="宋体" w:hAnsi="宋体" w:eastAsia="宋体" w:cs="宋体"/>
          <w:sz w:val="24"/>
          <w:szCs w:val="24"/>
        </w:rPr>
        <w:t>20</w:t>
      </w:r>
      <w:r>
        <w:rPr>
          <w:rFonts w:ascii="宋体" w:hAnsi="宋体" w:eastAsia="宋体" w:cs="宋体"/>
          <w:spacing w:val="-49"/>
          <w:sz w:val="24"/>
          <w:szCs w:val="24"/>
        </w:rPr>
        <w:t xml:space="preserve"> </w:t>
      </w:r>
      <w:r>
        <w:rPr>
          <w:rFonts w:ascii="宋体" w:hAnsi="宋体" w:eastAsia="宋体" w:cs="宋体"/>
          <w:sz w:val="24"/>
          <w:szCs w:val="24"/>
        </w:rPr>
        <w:t>个工作日之内）</w:t>
      </w:r>
      <w:r>
        <w:rPr>
          <w:rFonts w:ascii="宋体" w:hAnsi="宋体" w:eastAsia="宋体" w:cs="宋体"/>
          <w:spacing w:val="-1"/>
          <w:sz w:val="24"/>
          <w:szCs w:val="24"/>
        </w:rPr>
        <w:t>在工程所在地的银行存储工资保证金或申请开立银行保函，</w:t>
      </w:r>
      <w:r>
        <w:rPr>
          <w:rFonts w:ascii="宋体" w:hAnsi="宋体" w:eastAsia="宋体" w:cs="宋体"/>
          <w:b/>
          <w:bCs/>
          <w:spacing w:val="-1"/>
          <w:sz w:val="24"/>
          <w:szCs w:val="24"/>
          <w:u w:val="single" w:color="auto"/>
        </w:rPr>
        <w:t>金额为</w:t>
      </w:r>
      <w:r>
        <w:rPr>
          <w:rFonts w:ascii="宋体" w:hAnsi="宋体" w:eastAsia="宋体" w:cs="宋体"/>
          <w:spacing w:val="-1"/>
          <w:sz w:val="24"/>
          <w:szCs w:val="24"/>
          <w:u w:val="single" w:color="auto"/>
        </w:rPr>
        <w:t xml:space="preserve">      </w:t>
      </w:r>
      <w:r>
        <w:rPr>
          <w:rFonts w:ascii="宋体" w:hAnsi="宋体" w:eastAsia="宋体" w:cs="宋体"/>
          <w:b/>
          <w:bCs/>
          <w:spacing w:val="-1"/>
          <w:sz w:val="24"/>
          <w:szCs w:val="24"/>
          <w:u w:val="single" w:color="auto"/>
        </w:rPr>
        <w:t>元人民币</w:t>
      </w:r>
      <w:r>
        <w:fldChar w:fldCharType="begin"/>
      </w:r>
      <w:r>
        <w:instrText xml:space="preserve"> HYPERLINK \l "bookmark221" </w:instrText>
      </w:r>
      <w:r>
        <w:fldChar w:fldCharType="separate"/>
      </w:r>
      <w:r>
        <w:rPr>
          <w:rFonts w:ascii="宋体" w:hAnsi="宋体" w:eastAsia="宋体" w:cs="宋体"/>
          <w:spacing w:val="-1"/>
          <w:position w:val="10"/>
          <w:sz w:val="10"/>
          <w:szCs w:val="10"/>
        </w:rPr>
        <w:t>①</w:t>
      </w:r>
      <w:r>
        <w:rPr>
          <w:rFonts w:ascii="宋体" w:hAnsi="宋体" w:eastAsia="宋体" w:cs="宋体"/>
          <w:spacing w:val="-1"/>
          <w:position w:val="10"/>
          <w:sz w:val="10"/>
          <w:szCs w:val="10"/>
        </w:rPr>
        <w:fldChar w:fldCharType="end"/>
      </w:r>
      <w:r>
        <w:rPr>
          <w:rFonts w:ascii="宋体" w:hAnsi="宋体" w:eastAsia="宋体" w:cs="宋体"/>
          <w:spacing w:val="-3"/>
          <w:position w:val="10"/>
          <w:sz w:val="10"/>
          <w:szCs w:val="10"/>
        </w:rPr>
        <w:t xml:space="preserve"> </w:t>
      </w:r>
      <w:r>
        <w:rPr>
          <w:rFonts w:ascii="宋体" w:hAnsi="宋体" w:eastAsia="宋体" w:cs="宋体"/>
          <w:spacing w:val="-1"/>
          <w:sz w:val="24"/>
          <w:szCs w:val="24"/>
        </w:rPr>
        <w:t>,</w:t>
      </w:r>
      <w:r>
        <w:rPr>
          <w:rFonts w:ascii="宋体" w:hAnsi="宋体" w:eastAsia="宋体" w:cs="宋体"/>
          <w:spacing w:val="-2"/>
          <w:sz w:val="24"/>
          <w:szCs w:val="24"/>
        </w:rPr>
        <w:t>用于支付拖欠的农民工工资，如工资保障金不足，发包人有权利在应支付给承包人的工程款或是履约保证金中划扣支付。该保障金余额发包人将于本项目施工完毕，并交工验收合格后退还。</w:t>
      </w:r>
    </w:p>
    <w:p w14:paraId="03CEFAB7">
      <w:pPr>
        <w:spacing w:before="53" w:line="338" w:lineRule="auto"/>
        <w:ind w:left="10" w:right="80" w:firstLine="483"/>
        <w:rPr>
          <w:rFonts w:ascii="宋体" w:hAnsi="宋体" w:eastAsia="宋体" w:cs="宋体"/>
          <w:sz w:val="24"/>
          <w:szCs w:val="24"/>
        </w:rPr>
      </w:pPr>
      <w:r>
        <w:rPr>
          <w:rFonts w:ascii="宋体" w:hAnsi="宋体" w:eastAsia="宋体" w:cs="宋体"/>
          <w:spacing w:val="-2"/>
          <w:sz w:val="24"/>
          <w:szCs w:val="24"/>
        </w:rPr>
        <w:t>九、承诺建立农民工工资支付台帐，如实记录支付时间、支付对象、支付数额等工资支付情况，并于每月申请支付计量款时将上期工资表及工资支付台帐上报监理和发包人。若承包人拖欠民工工资两个月以上且一直未得到解决的，发包人有权利不给予承包人当月计量的工程款，直至拖欠的民工工资得到支付，或者发包人有权利直接从承包人</w:t>
      </w:r>
      <w:r>
        <w:rPr>
          <w:rFonts w:ascii="宋体" w:hAnsi="宋体" w:eastAsia="宋体" w:cs="宋体"/>
          <w:spacing w:val="5"/>
          <w:sz w:val="24"/>
          <w:szCs w:val="24"/>
        </w:rPr>
        <w:t>按规定缴纳的工资保障金或应支付给承包人的工程款或</w:t>
      </w:r>
      <w:r>
        <w:rPr>
          <w:rFonts w:ascii="宋体" w:hAnsi="宋体" w:eastAsia="宋体" w:cs="宋体"/>
          <w:spacing w:val="4"/>
          <w:sz w:val="24"/>
          <w:szCs w:val="24"/>
        </w:rPr>
        <w:t>是履约保证金中直接扣除相应</w:t>
      </w:r>
      <w:r>
        <w:rPr>
          <w:rFonts w:ascii="宋体" w:hAnsi="宋体" w:eastAsia="宋体" w:cs="宋体"/>
          <w:spacing w:val="-1"/>
          <w:sz w:val="24"/>
          <w:szCs w:val="24"/>
        </w:rPr>
        <w:t>费用后向民工进行支付，承包人均无异议。</w:t>
      </w:r>
    </w:p>
    <w:p w14:paraId="7F894E53">
      <w:pPr>
        <w:spacing w:line="220" w:lineRule="auto"/>
        <w:ind w:left="489"/>
        <w:rPr>
          <w:rFonts w:ascii="宋体" w:hAnsi="宋体" w:eastAsia="宋体" w:cs="宋体"/>
          <w:sz w:val="24"/>
          <w:szCs w:val="24"/>
        </w:rPr>
      </w:pPr>
      <w:r>
        <w:rPr>
          <w:rFonts w:ascii="宋体" w:hAnsi="宋体" w:eastAsia="宋体" w:cs="宋体"/>
          <w:spacing w:val="2"/>
          <w:sz w:val="24"/>
          <w:szCs w:val="24"/>
        </w:rPr>
        <w:t>十、在合同工程实施过程中如有发生:</w:t>
      </w:r>
    </w:p>
    <w:p w14:paraId="43BAAE4D">
      <w:pPr>
        <w:spacing w:before="155" w:line="219" w:lineRule="auto"/>
        <w:ind w:left="530"/>
        <w:rPr>
          <w:rFonts w:ascii="宋体" w:hAnsi="宋体" w:eastAsia="宋体" w:cs="宋体"/>
          <w:sz w:val="24"/>
          <w:szCs w:val="24"/>
        </w:rPr>
      </w:pPr>
      <w:r>
        <w:rPr>
          <w:rFonts w:ascii="宋体" w:hAnsi="宋体" w:eastAsia="宋体" w:cs="宋体"/>
          <w:spacing w:val="-2"/>
          <w:sz w:val="24"/>
          <w:szCs w:val="24"/>
        </w:rPr>
        <w:t>(1)不按规定签订劳动合同或签订劳动合同不规范情况；或</w:t>
      </w:r>
    </w:p>
    <w:p w14:paraId="08205B63">
      <w:pPr>
        <w:spacing w:before="155" w:line="219" w:lineRule="auto"/>
        <w:ind w:left="530"/>
        <w:rPr>
          <w:rFonts w:ascii="宋体" w:hAnsi="宋体" w:eastAsia="宋体" w:cs="宋体"/>
          <w:sz w:val="24"/>
          <w:szCs w:val="24"/>
        </w:rPr>
      </w:pPr>
      <w:r>
        <w:rPr>
          <w:rFonts w:ascii="宋体" w:hAnsi="宋体" w:eastAsia="宋体" w:cs="宋体"/>
          <w:spacing w:val="-1"/>
          <w:sz w:val="24"/>
          <w:szCs w:val="24"/>
        </w:rPr>
        <w:t>(2)拖欠农民工工资、侵害农民工合法权益、农民工劳动安全保护欠缺的</w:t>
      </w:r>
      <w:r>
        <w:rPr>
          <w:rFonts w:ascii="宋体" w:hAnsi="宋体" w:eastAsia="宋体" w:cs="宋体"/>
          <w:spacing w:val="-2"/>
          <w:sz w:val="24"/>
          <w:szCs w:val="24"/>
        </w:rPr>
        <w:t>情况；或</w:t>
      </w:r>
    </w:p>
    <w:p w14:paraId="0A5B954C">
      <w:pPr>
        <w:spacing w:before="154" w:line="219" w:lineRule="auto"/>
        <w:ind w:left="530"/>
        <w:rPr>
          <w:rFonts w:ascii="宋体" w:hAnsi="宋体" w:eastAsia="宋体" w:cs="宋体"/>
          <w:sz w:val="24"/>
          <w:szCs w:val="24"/>
        </w:rPr>
      </w:pPr>
      <w:r>
        <w:rPr>
          <w:rFonts w:ascii="宋体" w:hAnsi="宋体" w:eastAsia="宋体" w:cs="宋体"/>
          <w:spacing w:val="-3"/>
          <w:sz w:val="24"/>
          <w:szCs w:val="24"/>
        </w:rPr>
        <w:t>(3)因欠薪导致的闹事、打斗、死伤、上访事件，</w:t>
      </w:r>
    </w:p>
    <w:p w14:paraId="13B12091">
      <w:pPr>
        <w:spacing w:before="159" w:line="338" w:lineRule="auto"/>
        <w:ind w:left="10" w:right="80" w:firstLine="478"/>
        <w:jc w:val="both"/>
        <w:rPr>
          <w:rFonts w:ascii="宋体" w:hAnsi="宋体" w:eastAsia="宋体" w:cs="宋体"/>
          <w:sz w:val="24"/>
          <w:szCs w:val="24"/>
        </w:rPr>
      </w:pPr>
      <w:r>
        <w:rPr>
          <w:rFonts w:ascii="宋体" w:hAnsi="宋体" w:eastAsia="宋体" w:cs="宋体"/>
          <w:spacing w:val="2"/>
          <w:sz w:val="24"/>
          <w:szCs w:val="24"/>
        </w:rPr>
        <w:t>承包人愿接受监理人和/或发包人按合同或下</w:t>
      </w:r>
      <w:r>
        <w:rPr>
          <w:rFonts w:ascii="宋体" w:hAnsi="宋体" w:eastAsia="宋体" w:cs="宋体"/>
          <w:spacing w:val="1"/>
          <w:sz w:val="24"/>
          <w:szCs w:val="24"/>
        </w:rPr>
        <w:t>发的管理办法规定的违约金。如果发</w:t>
      </w:r>
      <w:r>
        <w:rPr>
          <w:rFonts w:ascii="宋体" w:hAnsi="宋体" w:eastAsia="宋体" w:cs="宋体"/>
          <w:spacing w:val="-2"/>
          <w:sz w:val="24"/>
          <w:szCs w:val="24"/>
        </w:rPr>
        <w:t>生上述情况是因为我方违法分包、转包或出让资质、挂靠投标造成的，承包人对发包人或发包人的上级主管部门、政府机构提出的取消中标资格、终止合同、通报批评等违约</w:t>
      </w:r>
      <w:r>
        <w:rPr>
          <w:rFonts w:ascii="宋体" w:hAnsi="宋体" w:eastAsia="宋体" w:cs="宋体"/>
          <w:spacing w:val="-1"/>
          <w:sz w:val="24"/>
          <w:szCs w:val="24"/>
        </w:rPr>
        <w:t>金表示理解并无条件接受。</w:t>
      </w:r>
    </w:p>
    <w:p w14:paraId="0110B6FD">
      <w:pPr>
        <w:spacing w:line="310" w:lineRule="auto"/>
        <w:ind w:left="8" w:right="80" w:firstLine="480"/>
        <w:jc w:val="both"/>
        <w:rPr>
          <w:rFonts w:ascii="宋体" w:hAnsi="宋体" w:eastAsia="宋体" w:cs="宋体"/>
          <w:sz w:val="24"/>
          <w:szCs w:val="24"/>
        </w:rPr>
      </w:pPr>
      <w:r>
        <w:rPr>
          <w:rFonts w:ascii="宋体" w:hAnsi="宋体" w:eastAsia="宋体" w:cs="宋体"/>
          <w:spacing w:val="-2"/>
          <w:sz w:val="24"/>
          <w:szCs w:val="24"/>
        </w:rPr>
        <w:t>十一、本保证书作为本项目施工承包合同的有效组成部分，纳入合同一并签署，在承包人法定代表人或委托代理人签署并加盖公章后生效，并保证在施工承包合同有效期内一直保持有效。</w:t>
      </w:r>
    </w:p>
    <w:p w14:paraId="7AE65D82">
      <w:pPr>
        <w:spacing w:before="1" w:line="218" w:lineRule="auto"/>
        <w:ind w:left="4568"/>
        <w:rPr>
          <w:rFonts w:ascii="宋体" w:hAnsi="宋体" w:eastAsia="宋体" w:cs="宋体"/>
          <w:sz w:val="24"/>
          <w:szCs w:val="24"/>
        </w:rPr>
      </w:pPr>
      <w:r>
        <w:rPr>
          <w:rFonts w:ascii="宋体" w:hAnsi="宋体" w:eastAsia="宋体" w:cs="宋体"/>
          <w:spacing w:val="-3"/>
          <w:sz w:val="24"/>
          <w:szCs w:val="24"/>
        </w:rPr>
        <w:t>承 包</w:t>
      </w:r>
      <w:r>
        <w:rPr>
          <w:rFonts w:ascii="宋体" w:hAnsi="宋体" w:eastAsia="宋体" w:cs="宋体"/>
          <w:spacing w:val="11"/>
          <w:sz w:val="24"/>
          <w:szCs w:val="24"/>
        </w:rPr>
        <w:t xml:space="preserve"> </w:t>
      </w:r>
      <w:r>
        <w:rPr>
          <w:rFonts w:ascii="宋体" w:hAnsi="宋体" w:eastAsia="宋体" w:cs="宋体"/>
          <w:spacing w:val="-3"/>
          <w:sz w:val="24"/>
          <w:szCs w:val="24"/>
        </w:rPr>
        <w:t>人（盖章</w:t>
      </w:r>
      <w:r>
        <w:rPr>
          <w:rFonts w:ascii="宋体" w:hAnsi="宋体" w:eastAsia="宋体" w:cs="宋体"/>
          <w:sz w:val="24"/>
          <w:szCs w:val="24"/>
        </w:rPr>
        <w:t>）：</w:t>
      </w:r>
      <w:r>
        <w:rPr>
          <w:rFonts w:ascii="宋体" w:hAnsi="宋体" w:eastAsia="宋体" w:cs="宋体"/>
          <w:sz w:val="24"/>
          <w:szCs w:val="24"/>
          <w:u w:val="single" w:color="auto"/>
        </w:rPr>
        <w:t xml:space="preserve">                 </w:t>
      </w:r>
    </w:p>
    <w:p w14:paraId="4558AE71">
      <w:pPr>
        <w:spacing w:before="182" w:line="219" w:lineRule="auto"/>
        <w:ind w:left="3462"/>
        <w:rPr>
          <w:rFonts w:ascii="宋体" w:hAnsi="宋体" w:eastAsia="宋体" w:cs="宋体"/>
          <w:sz w:val="24"/>
          <w:szCs w:val="24"/>
        </w:rPr>
      </w:pPr>
      <w:r>
        <w:rPr>
          <w:rFonts w:ascii="宋体" w:hAnsi="宋体" w:eastAsia="宋体" w:cs="宋体"/>
          <w:sz w:val="24"/>
          <w:szCs w:val="24"/>
        </w:rPr>
        <w:t>法定代表人或其委托代理人</w:t>
      </w:r>
      <w:r>
        <w:rPr>
          <w:rFonts w:ascii="宋体" w:hAnsi="宋体" w:eastAsia="宋体" w:cs="宋体"/>
          <w:spacing w:val="-17"/>
          <w:sz w:val="24"/>
          <w:szCs w:val="24"/>
        </w:rPr>
        <w:t>：（</w:t>
      </w:r>
      <w:r>
        <w:rPr>
          <w:rFonts w:ascii="宋体" w:hAnsi="宋体" w:eastAsia="宋体" w:cs="宋体"/>
          <w:sz w:val="24"/>
          <w:szCs w:val="24"/>
        </w:rPr>
        <w:t>签字）</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p>
    <w:p w14:paraId="44ED67ED">
      <w:pPr>
        <w:spacing w:before="183" w:line="219" w:lineRule="auto"/>
        <w:ind w:right="29"/>
        <w:jc w:val="right"/>
        <w:rPr>
          <w:rFonts w:ascii="宋体" w:hAnsi="宋体" w:eastAsia="宋体" w:cs="宋体"/>
          <w:sz w:val="24"/>
          <w:szCs w:val="24"/>
        </w:rPr>
      </w:pPr>
      <w:bookmarkStart w:id="66" w:name="bookmark221"/>
      <w:bookmarkEnd w:id="66"/>
      <w:r>
        <w:rPr>
          <w:rFonts w:ascii="宋体" w:hAnsi="宋体" w:eastAsia="宋体" w:cs="宋体"/>
          <w:spacing w:val="-9"/>
          <w:sz w:val="24"/>
          <w:szCs w:val="24"/>
        </w:rPr>
        <w:t>年</w:t>
      </w:r>
      <w:r>
        <w:rPr>
          <w:rFonts w:ascii="宋体" w:hAnsi="宋体" w:eastAsia="宋体" w:cs="宋体"/>
          <w:spacing w:val="7"/>
          <w:sz w:val="24"/>
          <w:szCs w:val="24"/>
        </w:rPr>
        <w:t xml:space="preserve">  </w:t>
      </w:r>
      <w:r>
        <w:rPr>
          <w:rFonts w:ascii="宋体" w:hAnsi="宋体" w:eastAsia="宋体" w:cs="宋体"/>
          <w:spacing w:val="-9"/>
          <w:sz w:val="24"/>
          <w:szCs w:val="24"/>
        </w:rPr>
        <w:t>月</w:t>
      </w:r>
      <w:r>
        <w:rPr>
          <w:rFonts w:ascii="宋体" w:hAnsi="宋体" w:eastAsia="宋体" w:cs="宋体"/>
          <w:spacing w:val="26"/>
          <w:sz w:val="24"/>
          <w:szCs w:val="24"/>
        </w:rPr>
        <w:t xml:space="preserve">  </w:t>
      </w:r>
      <w:r>
        <w:rPr>
          <w:rFonts w:ascii="宋体" w:hAnsi="宋体" w:eastAsia="宋体" w:cs="宋体"/>
          <w:spacing w:val="-9"/>
          <w:sz w:val="24"/>
          <w:szCs w:val="24"/>
        </w:rPr>
        <w:t>日</w:t>
      </w:r>
    </w:p>
    <w:p w14:paraId="347CB3C5">
      <w:pPr>
        <w:spacing w:line="336" w:lineRule="auto"/>
        <w:rPr>
          <w:rFonts w:hint="eastAsia" w:ascii="Arial" w:eastAsia="宋体"/>
          <w:sz w:val="21"/>
          <w:lang w:eastAsia="zh-CN"/>
        </w:rPr>
      </w:pPr>
      <w:r>
        <w:rPr>
          <w:rFonts w:hint="eastAsia" w:ascii="Arial" w:eastAsia="宋体"/>
          <w:sz w:val="21"/>
          <w:lang w:eastAsia="zh-CN"/>
        </w:rPr>
        <w:br w:type="page"/>
      </w:r>
    </w:p>
    <w:p w14:paraId="42720E93">
      <w:pPr>
        <w:spacing w:line="337" w:lineRule="auto"/>
        <w:rPr>
          <w:rFonts w:ascii="Arial"/>
          <w:sz w:val="21"/>
        </w:rPr>
      </w:pPr>
    </w:p>
    <w:p w14:paraId="65D092CA">
      <w:pPr>
        <w:spacing w:before="78" w:line="219" w:lineRule="auto"/>
        <w:ind w:left="481"/>
        <w:rPr>
          <w:rFonts w:ascii="宋体" w:hAnsi="宋体" w:eastAsia="宋体" w:cs="宋体"/>
          <w:sz w:val="24"/>
          <w:szCs w:val="24"/>
        </w:rPr>
      </w:pPr>
      <w:r>
        <w:rPr>
          <w:rFonts w:ascii="宋体" w:hAnsi="宋体" w:eastAsia="宋体" w:cs="宋体"/>
          <w:b/>
          <w:bCs/>
          <w:spacing w:val="-4"/>
          <w:sz w:val="24"/>
          <w:szCs w:val="24"/>
        </w:rPr>
        <w:t>附件十一：承包人违约金一览表</w:t>
      </w:r>
    </w:p>
    <w:p w14:paraId="6F656AEE">
      <w:pPr>
        <w:spacing w:line="311" w:lineRule="auto"/>
        <w:rPr>
          <w:rFonts w:ascii="Arial"/>
          <w:sz w:val="21"/>
        </w:rPr>
      </w:pPr>
    </w:p>
    <w:p w14:paraId="547A901C">
      <w:pPr>
        <w:spacing w:before="97" w:line="234" w:lineRule="auto"/>
        <w:ind w:left="3568"/>
        <w:rPr>
          <w:rFonts w:ascii="宋体" w:hAnsi="宋体" w:eastAsia="宋体" w:cs="宋体"/>
          <w:sz w:val="14"/>
          <w:szCs w:val="14"/>
        </w:rPr>
      </w:pPr>
      <w:r>
        <w:rPr>
          <w:rFonts w:ascii="宋体" w:hAnsi="宋体" w:eastAsia="宋体" w:cs="宋体"/>
          <w:b/>
          <w:bCs/>
          <w:spacing w:val="-3"/>
          <w:sz w:val="30"/>
          <w:szCs w:val="30"/>
        </w:rPr>
        <w:t>承包人违约金一览表</w:t>
      </w:r>
      <w:r>
        <w:fldChar w:fldCharType="begin"/>
      </w:r>
      <w:r>
        <w:instrText xml:space="preserve"> HYPERLINK \l "bookmark223" </w:instrText>
      </w:r>
      <w:r>
        <w:fldChar w:fldCharType="separate"/>
      </w:r>
      <w:r>
        <w:rPr>
          <w:rFonts w:ascii="宋体" w:hAnsi="宋体" w:eastAsia="宋体" w:cs="宋体"/>
          <w:b/>
          <w:bCs/>
          <w:spacing w:val="-3"/>
          <w:position w:val="14"/>
          <w:sz w:val="14"/>
          <w:szCs w:val="14"/>
        </w:rPr>
        <w:t>①</w:t>
      </w:r>
      <w:r>
        <w:rPr>
          <w:rFonts w:ascii="宋体" w:hAnsi="宋体" w:eastAsia="宋体" w:cs="宋体"/>
          <w:b/>
          <w:bCs/>
          <w:spacing w:val="-3"/>
          <w:position w:val="14"/>
          <w:sz w:val="14"/>
          <w:szCs w:val="14"/>
        </w:rPr>
        <w:fldChar w:fldCharType="end"/>
      </w:r>
    </w:p>
    <w:p w14:paraId="1066FF10">
      <w:pPr>
        <w:spacing w:before="60"/>
      </w:pPr>
    </w:p>
    <w:tbl>
      <w:tblPr>
        <w:tblStyle w:val="13"/>
        <w:tblW w:w="99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827"/>
        <w:gridCol w:w="817"/>
        <w:gridCol w:w="1979"/>
        <w:gridCol w:w="3344"/>
        <w:gridCol w:w="1103"/>
        <w:gridCol w:w="1284"/>
      </w:tblGrid>
      <w:tr w14:paraId="06C71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443" w:type="dxa"/>
            <w:gridSpan w:val="2"/>
            <w:vMerge w:val="restart"/>
            <w:tcBorders>
              <w:bottom w:val="nil"/>
            </w:tcBorders>
            <w:vAlign w:val="top"/>
          </w:tcPr>
          <w:p w14:paraId="25581662">
            <w:pPr>
              <w:spacing w:line="402" w:lineRule="auto"/>
              <w:rPr>
                <w:rFonts w:ascii="Arial"/>
                <w:sz w:val="21"/>
              </w:rPr>
            </w:pPr>
          </w:p>
          <w:p w14:paraId="3D6BBFFD">
            <w:pPr>
              <w:pStyle w:val="14"/>
              <w:spacing w:before="65" w:line="228" w:lineRule="auto"/>
              <w:ind w:left="516"/>
            </w:pPr>
            <w:r>
              <w:rPr>
                <w:spacing w:val="4"/>
              </w:rPr>
              <w:t>类别</w:t>
            </w:r>
          </w:p>
        </w:tc>
        <w:tc>
          <w:tcPr>
            <w:tcW w:w="817" w:type="dxa"/>
            <w:vMerge w:val="restart"/>
            <w:tcBorders>
              <w:bottom w:val="nil"/>
            </w:tcBorders>
            <w:vAlign w:val="top"/>
          </w:tcPr>
          <w:p w14:paraId="5278EAEF">
            <w:pPr>
              <w:spacing w:line="402" w:lineRule="auto"/>
              <w:rPr>
                <w:rFonts w:ascii="Arial"/>
                <w:sz w:val="21"/>
              </w:rPr>
            </w:pPr>
          </w:p>
          <w:p w14:paraId="1A331C11">
            <w:pPr>
              <w:pStyle w:val="14"/>
              <w:spacing w:before="65" w:line="228" w:lineRule="auto"/>
              <w:ind w:left="203"/>
            </w:pPr>
            <w:r>
              <w:rPr>
                <w:spacing w:val="3"/>
              </w:rPr>
              <w:t>编号</w:t>
            </w:r>
          </w:p>
        </w:tc>
        <w:tc>
          <w:tcPr>
            <w:tcW w:w="5323" w:type="dxa"/>
            <w:gridSpan w:val="2"/>
            <w:vMerge w:val="restart"/>
            <w:tcBorders>
              <w:bottom w:val="nil"/>
            </w:tcBorders>
            <w:vAlign w:val="top"/>
          </w:tcPr>
          <w:p w14:paraId="70AD80E3">
            <w:pPr>
              <w:spacing w:line="402" w:lineRule="auto"/>
              <w:rPr>
                <w:rFonts w:ascii="Arial"/>
                <w:sz w:val="21"/>
              </w:rPr>
            </w:pPr>
          </w:p>
          <w:p w14:paraId="214776FE">
            <w:pPr>
              <w:pStyle w:val="14"/>
              <w:spacing w:before="65" w:line="228" w:lineRule="auto"/>
              <w:ind w:left="2245"/>
            </w:pPr>
            <w:r>
              <w:rPr>
                <w:spacing w:val="7"/>
              </w:rPr>
              <w:t>违约内容</w:t>
            </w:r>
          </w:p>
        </w:tc>
        <w:tc>
          <w:tcPr>
            <w:tcW w:w="2387" w:type="dxa"/>
            <w:gridSpan w:val="2"/>
            <w:vAlign w:val="top"/>
          </w:tcPr>
          <w:p w14:paraId="7FC34FD4">
            <w:pPr>
              <w:pStyle w:val="14"/>
              <w:spacing w:before="183" w:line="228" w:lineRule="auto"/>
              <w:ind w:left="673"/>
            </w:pPr>
            <w:r>
              <w:rPr>
                <w:spacing w:val="8"/>
              </w:rPr>
              <w:t>违约金标准</w:t>
            </w:r>
          </w:p>
        </w:tc>
      </w:tr>
      <w:tr w14:paraId="153EB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443" w:type="dxa"/>
            <w:gridSpan w:val="2"/>
            <w:vMerge w:val="continue"/>
            <w:tcBorders>
              <w:top w:val="nil"/>
            </w:tcBorders>
            <w:vAlign w:val="top"/>
          </w:tcPr>
          <w:p w14:paraId="230B74E4">
            <w:pPr>
              <w:rPr>
                <w:rFonts w:ascii="Arial"/>
                <w:sz w:val="21"/>
              </w:rPr>
            </w:pPr>
          </w:p>
        </w:tc>
        <w:tc>
          <w:tcPr>
            <w:tcW w:w="817" w:type="dxa"/>
            <w:vMerge w:val="continue"/>
            <w:tcBorders>
              <w:top w:val="nil"/>
            </w:tcBorders>
            <w:vAlign w:val="top"/>
          </w:tcPr>
          <w:p w14:paraId="2B1067A2">
            <w:pPr>
              <w:rPr>
                <w:rFonts w:ascii="Arial"/>
                <w:sz w:val="21"/>
              </w:rPr>
            </w:pPr>
          </w:p>
        </w:tc>
        <w:tc>
          <w:tcPr>
            <w:tcW w:w="5323" w:type="dxa"/>
            <w:gridSpan w:val="2"/>
            <w:vMerge w:val="continue"/>
            <w:tcBorders>
              <w:top w:val="nil"/>
            </w:tcBorders>
            <w:vAlign w:val="top"/>
          </w:tcPr>
          <w:p w14:paraId="5F30C386">
            <w:pPr>
              <w:rPr>
                <w:rFonts w:ascii="Arial"/>
                <w:sz w:val="21"/>
              </w:rPr>
            </w:pPr>
          </w:p>
        </w:tc>
        <w:tc>
          <w:tcPr>
            <w:tcW w:w="1103" w:type="dxa"/>
            <w:vAlign w:val="top"/>
          </w:tcPr>
          <w:p w14:paraId="7EDFA0F4">
            <w:pPr>
              <w:pStyle w:val="14"/>
              <w:spacing w:before="178" w:line="228" w:lineRule="auto"/>
              <w:ind w:left="351"/>
            </w:pPr>
            <w:r>
              <w:rPr>
                <w:spacing w:val="3"/>
              </w:rPr>
              <w:t>单位</w:t>
            </w:r>
          </w:p>
        </w:tc>
        <w:tc>
          <w:tcPr>
            <w:tcW w:w="1284" w:type="dxa"/>
            <w:vAlign w:val="top"/>
          </w:tcPr>
          <w:p w14:paraId="0E15B93D">
            <w:pPr>
              <w:pStyle w:val="14"/>
              <w:spacing w:before="177" w:line="228" w:lineRule="auto"/>
              <w:ind w:left="439"/>
            </w:pPr>
            <w:r>
              <w:rPr>
                <w:spacing w:val="3"/>
              </w:rPr>
              <w:t>金额</w:t>
            </w:r>
          </w:p>
        </w:tc>
      </w:tr>
      <w:tr w14:paraId="790073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restart"/>
            <w:tcBorders>
              <w:bottom w:val="nil"/>
            </w:tcBorders>
            <w:vAlign w:val="top"/>
          </w:tcPr>
          <w:p w14:paraId="75C329D3">
            <w:pPr>
              <w:spacing w:line="241" w:lineRule="auto"/>
              <w:rPr>
                <w:rFonts w:ascii="Arial"/>
                <w:sz w:val="21"/>
              </w:rPr>
            </w:pPr>
          </w:p>
          <w:p w14:paraId="5761C884">
            <w:pPr>
              <w:spacing w:line="241" w:lineRule="auto"/>
              <w:rPr>
                <w:rFonts w:ascii="Arial"/>
                <w:sz w:val="21"/>
              </w:rPr>
            </w:pPr>
          </w:p>
          <w:p w14:paraId="08682812">
            <w:pPr>
              <w:spacing w:line="241" w:lineRule="auto"/>
              <w:rPr>
                <w:rFonts w:ascii="Arial"/>
                <w:sz w:val="21"/>
              </w:rPr>
            </w:pPr>
          </w:p>
          <w:p w14:paraId="6DE14FDB">
            <w:pPr>
              <w:spacing w:line="241" w:lineRule="auto"/>
              <w:rPr>
                <w:rFonts w:ascii="Arial"/>
                <w:sz w:val="21"/>
              </w:rPr>
            </w:pPr>
          </w:p>
          <w:p w14:paraId="00ADDE5A">
            <w:pPr>
              <w:spacing w:line="241" w:lineRule="auto"/>
              <w:rPr>
                <w:rFonts w:ascii="Arial"/>
                <w:sz w:val="21"/>
              </w:rPr>
            </w:pPr>
          </w:p>
          <w:p w14:paraId="783FCEC7">
            <w:pPr>
              <w:spacing w:line="241" w:lineRule="auto"/>
              <w:rPr>
                <w:rFonts w:ascii="Arial"/>
                <w:sz w:val="21"/>
              </w:rPr>
            </w:pPr>
          </w:p>
          <w:p w14:paraId="7F320A1B">
            <w:pPr>
              <w:spacing w:line="241" w:lineRule="auto"/>
              <w:rPr>
                <w:rFonts w:ascii="Arial"/>
                <w:sz w:val="21"/>
              </w:rPr>
            </w:pPr>
          </w:p>
          <w:p w14:paraId="3EEF8BB3">
            <w:pPr>
              <w:spacing w:line="241" w:lineRule="auto"/>
              <w:rPr>
                <w:rFonts w:ascii="Arial"/>
                <w:sz w:val="21"/>
              </w:rPr>
            </w:pPr>
          </w:p>
          <w:p w14:paraId="6D5F7D5D">
            <w:pPr>
              <w:spacing w:line="242" w:lineRule="auto"/>
              <w:rPr>
                <w:rFonts w:ascii="Arial"/>
                <w:sz w:val="21"/>
              </w:rPr>
            </w:pPr>
          </w:p>
          <w:p w14:paraId="36F797A6">
            <w:pPr>
              <w:spacing w:line="242" w:lineRule="auto"/>
              <w:rPr>
                <w:rFonts w:ascii="Arial"/>
                <w:sz w:val="21"/>
              </w:rPr>
            </w:pPr>
          </w:p>
          <w:p w14:paraId="78B140DC">
            <w:pPr>
              <w:spacing w:line="242" w:lineRule="auto"/>
              <w:rPr>
                <w:rFonts w:ascii="Arial"/>
                <w:sz w:val="21"/>
              </w:rPr>
            </w:pPr>
          </w:p>
          <w:p w14:paraId="49E6BE1B">
            <w:pPr>
              <w:spacing w:line="242" w:lineRule="auto"/>
              <w:rPr>
                <w:rFonts w:ascii="Arial"/>
                <w:sz w:val="21"/>
              </w:rPr>
            </w:pPr>
          </w:p>
          <w:p w14:paraId="4FE9AFBF">
            <w:pPr>
              <w:spacing w:line="242" w:lineRule="auto"/>
              <w:rPr>
                <w:rFonts w:ascii="Arial"/>
                <w:sz w:val="21"/>
              </w:rPr>
            </w:pPr>
          </w:p>
          <w:p w14:paraId="7C7E80BC">
            <w:pPr>
              <w:spacing w:line="242" w:lineRule="auto"/>
              <w:rPr>
                <w:rFonts w:ascii="Arial"/>
                <w:sz w:val="21"/>
              </w:rPr>
            </w:pPr>
          </w:p>
          <w:p w14:paraId="3AA197B8">
            <w:pPr>
              <w:spacing w:line="242" w:lineRule="auto"/>
              <w:rPr>
                <w:rFonts w:ascii="Arial"/>
                <w:sz w:val="21"/>
              </w:rPr>
            </w:pPr>
          </w:p>
          <w:p w14:paraId="0D666A45">
            <w:pPr>
              <w:spacing w:line="242" w:lineRule="auto"/>
              <w:rPr>
                <w:rFonts w:ascii="Arial"/>
                <w:sz w:val="21"/>
              </w:rPr>
            </w:pPr>
          </w:p>
          <w:p w14:paraId="0F13FFFB">
            <w:pPr>
              <w:spacing w:line="242" w:lineRule="auto"/>
              <w:rPr>
                <w:rFonts w:ascii="Arial"/>
                <w:sz w:val="21"/>
              </w:rPr>
            </w:pPr>
          </w:p>
          <w:p w14:paraId="74EE7262">
            <w:pPr>
              <w:spacing w:line="242" w:lineRule="auto"/>
              <w:rPr>
                <w:rFonts w:ascii="Arial"/>
                <w:sz w:val="21"/>
              </w:rPr>
            </w:pPr>
          </w:p>
          <w:p w14:paraId="2682E4BE">
            <w:pPr>
              <w:spacing w:line="242" w:lineRule="auto"/>
              <w:rPr>
                <w:rFonts w:ascii="Arial"/>
                <w:sz w:val="21"/>
              </w:rPr>
            </w:pPr>
          </w:p>
          <w:p w14:paraId="7A58A595">
            <w:pPr>
              <w:pStyle w:val="14"/>
              <w:spacing w:before="65" w:line="249" w:lineRule="auto"/>
              <w:ind w:left="210" w:right="199" w:hanging="7"/>
              <w:jc w:val="both"/>
            </w:pPr>
            <w:r>
              <w:rPr>
                <w:spacing w:val="4"/>
              </w:rPr>
              <w:t>A.</w:t>
            </w:r>
            <w:r>
              <w:t>合同管理</w:t>
            </w:r>
          </w:p>
        </w:tc>
        <w:tc>
          <w:tcPr>
            <w:tcW w:w="827" w:type="dxa"/>
            <w:vMerge w:val="restart"/>
            <w:tcBorders>
              <w:bottom w:val="nil"/>
            </w:tcBorders>
            <w:vAlign w:val="top"/>
          </w:tcPr>
          <w:p w14:paraId="66108B7D">
            <w:pPr>
              <w:spacing w:line="274" w:lineRule="auto"/>
              <w:rPr>
                <w:rFonts w:ascii="Arial"/>
                <w:sz w:val="21"/>
              </w:rPr>
            </w:pPr>
          </w:p>
          <w:p w14:paraId="57136EDA">
            <w:pPr>
              <w:spacing w:line="275" w:lineRule="auto"/>
              <w:rPr>
                <w:rFonts w:ascii="Arial"/>
                <w:sz w:val="21"/>
              </w:rPr>
            </w:pPr>
          </w:p>
          <w:p w14:paraId="64D6A663">
            <w:pPr>
              <w:pStyle w:val="14"/>
              <w:spacing w:before="65" w:line="255" w:lineRule="auto"/>
              <w:ind w:left="116" w:right="113" w:firstLine="16"/>
            </w:pPr>
            <w:r>
              <w:rPr>
                <w:spacing w:val="-4"/>
              </w:rPr>
              <w:t>1.</w:t>
            </w:r>
            <w:r>
              <w:rPr>
                <w:spacing w:val="88"/>
              </w:rPr>
              <w:t xml:space="preserve"> </w:t>
            </w:r>
            <w:r>
              <w:rPr>
                <w:spacing w:val="-4"/>
              </w:rPr>
              <w:t>程</w:t>
            </w:r>
            <w:r>
              <w:rPr>
                <w:spacing w:val="1"/>
              </w:rPr>
              <w:t>序</w:t>
            </w:r>
          </w:p>
        </w:tc>
        <w:tc>
          <w:tcPr>
            <w:tcW w:w="817" w:type="dxa"/>
            <w:vAlign w:val="top"/>
          </w:tcPr>
          <w:p w14:paraId="6E9405CF">
            <w:pPr>
              <w:pStyle w:val="14"/>
              <w:spacing w:before="179" w:line="268" w:lineRule="exact"/>
              <w:ind w:left="111"/>
            </w:pPr>
            <w:r>
              <w:rPr>
                <w:spacing w:val="4"/>
                <w:position w:val="1"/>
              </w:rPr>
              <w:t>A101</w:t>
            </w:r>
          </w:p>
        </w:tc>
        <w:tc>
          <w:tcPr>
            <w:tcW w:w="5323" w:type="dxa"/>
            <w:gridSpan w:val="2"/>
            <w:vAlign w:val="top"/>
          </w:tcPr>
          <w:p w14:paraId="533AECDE">
            <w:pPr>
              <w:pStyle w:val="14"/>
              <w:spacing w:before="179" w:line="228" w:lineRule="auto"/>
              <w:ind w:left="116"/>
            </w:pPr>
            <w:r>
              <w:rPr>
                <w:spacing w:val="7"/>
              </w:rPr>
              <w:t>违规分包或转包。</w:t>
            </w:r>
          </w:p>
        </w:tc>
        <w:tc>
          <w:tcPr>
            <w:tcW w:w="1103" w:type="dxa"/>
            <w:vAlign w:val="top"/>
          </w:tcPr>
          <w:p w14:paraId="0EA6B3ED">
            <w:pPr>
              <w:pStyle w:val="14"/>
              <w:spacing w:before="179" w:line="228" w:lineRule="auto"/>
              <w:ind w:left="121"/>
            </w:pPr>
            <w:r>
              <w:rPr>
                <w:spacing w:val="4"/>
              </w:rPr>
              <w:t>元/宗</w:t>
            </w:r>
          </w:p>
        </w:tc>
        <w:tc>
          <w:tcPr>
            <w:tcW w:w="1284" w:type="dxa"/>
            <w:vAlign w:val="top"/>
          </w:tcPr>
          <w:p w14:paraId="2D8684CE">
            <w:pPr>
              <w:pStyle w:val="14"/>
              <w:spacing w:before="178" w:line="225" w:lineRule="auto"/>
              <w:ind w:left="123"/>
            </w:pPr>
            <w:r>
              <w:rPr>
                <w:spacing w:val="3"/>
              </w:rPr>
              <w:t>2,000,000</w:t>
            </w:r>
          </w:p>
        </w:tc>
      </w:tr>
      <w:tr w14:paraId="7971AC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38E773E2">
            <w:pPr>
              <w:rPr>
                <w:rFonts w:ascii="Arial"/>
                <w:sz w:val="21"/>
              </w:rPr>
            </w:pPr>
          </w:p>
        </w:tc>
        <w:tc>
          <w:tcPr>
            <w:tcW w:w="827" w:type="dxa"/>
            <w:vMerge w:val="continue"/>
            <w:tcBorders>
              <w:top w:val="nil"/>
              <w:bottom w:val="nil"/>
            </w:tcBorders>
            <w:vAlign w:val="top"/>
          </w:tcPr>
          <w:p w14:paraId="174FC150">
            <w:pPr>
              <w:rPr>
                <w:rFonts w:ascii="Arial"/>
                <w:sz w:val="21"/>
              </w:rPr>
            </w:pPr>
          </w:p>
        </w:tc>
        <w:tc>
          <w:tcPr>
            <w:tcW w:w="817" w:type="dxa"/>
            <w:vAlign w:val="top"/>
          </w:tcPr>
          <w:p w14:paraId="2C950927">
            <w:pPr>
              <w:pStyle w:val="14"/>
              <w:spacing w:before="178" w:line="268" w:lineRule="exact"/>
              <w:ind w:left="111"/>
            </w:pPr>
            <w:r>
              <w:rPr>
                <w:spacing w:val="4"/>
                <w:position w:val="1"/>
              </w:rPr>
              <w:t>A102</w:t>
            </w:r>
          </w:p>
        </w:tc>
        <w:tc>
          <w:tcPr>
            <w:tcW w:w="5323" w:type="dxa"/>
            <w:gridSpan w:val="2"/>
            <w:vAlign w:val="top"/>
          </w:tcPr>
          <w:p w14:paraId="7F69AB57">
            <w:pPr>
              <w:pStyle w:val="14"/>
              <w:spacing w:before="178" w:line="227" w:lineRule="auto"/>
              <w:ind w:left="116"/>
            </w:pPr>
            <w:r>
              <w:rPr>
                <w:spacing w:val="8"/>
              </w:rPr>
              <w:t>对监理人、发包人指令未及时反馈。</w:t>
            </w:r>
          </w:p>
        </w:tc>
        <w:tc>
          <w:tcPr>
            <w:tcW w:w="1103" w:type="dxa"/>
            <w:vAlign w:val="top"/>
          </w:tcPr>
          <w:p w14:paraId="654CFB1C">
            <w:pPr>
              <w:pStyle w:val="14"/>
              <w:spacing w:before="177" w:line="228" w:lineRule="auto"/>
              <w:ind w:left="121"/>
            </w:pPr>
            <w:r>
              <w:rPr>
                <w:spacing w:val="4"/>
              </w:rPr>
              <w:t>元/次</w:t>
            </w:r>
          </w:p>
        </w:tc>
        <w:tc>
          <w:tcPr>
            <w:tcW w:w="1284" w:type="dxa"/>
            <w:vAlign w:val="top"/>
          </w:tcPr>
          <w:p w14:paraId="672B22BB">
            <w:pPr>
              <w:pStyle w:val="14"/>
              <w:spacing w:before="177" w:line="225" w:lineRule="auto"/>
              <w:ind w:left="124"/>
            </w:pPr>
            <w:r>
              <w:rPr>
                <w:spacing w:val="2"/>
              </w:rPr>
              <w:t>3,000</w:t>
            </w:r>
          </w:p>
        </w:tc>
      </w:tr>
      <w:tr w14:paraId="7FC30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624FF5A1">
            <w:pPr>
              <w:rPr>
                <w:rFonts w:ascii="Arial"/>
                <w:sz w:val="21"/>
              </w:rPr>
            </w:pPr>
          </w:p>
        </w:tc>
        <w:tc>
          <w:tcPr>
            <w:tcW w:w="827" w:type="dxa"/>
            <w:vMerge w:val="continue"/>
            <w:tcBorders>
              <w:top w:val="nil"/>
            </w:tcBorders>
            <w:vAlign w:val="top"/>
          </w:tcPr>
          <w:p w14:paraId="5EFE6F0F">
            <w:pPr>
              <w:rPr>
                <w:rFonts w:ascii="Arial"/>
                <w:sz w:val="21"/>
              </w:rPr>
            </w:pPr>
          </w:p>
        </w:tc>
        <w:tc>
          <w:tcPr>
            <w:tcW w:w="817" w:type="dxa"/>
            <w:vAlign w:val="top"/>
          </w:tcPr>
          <w:p w14:paraId="6315B47F">
            <w:pPr>
              <w:pStyle w:val="14"/>
              <w:spacing w:before="177" w:line="268" w:lineRule="exact"/>
              <w:ind w:left="111"/>
            </w:pPr>
            <w:r>
              <w:rPr>
                <w:spacing w:val="4"/>
                <w:position w:val="1"/>
              </w:rPr>
              <w:t>A103</w:t>
            </w:r>
          </w:p>
        </w:tc>
        <w:tc>
          <w:tcPr>
            <w:tcW w:w="5323" w:type="dxa"/>
            <w:gridSpan w:val="2"/>
            <w:vAlign w:val="top"/>
          </w:tcPr>
          <w:p w14:paraId="3CDD8187">
            <w:pPr>
              <w:pStyle w:val="14"/>
              <w:spacing w:before="41"/>
              <w:ind w:left="119" w:right="111"/>
            </w:pPr>
            <w:r>
              <w:rPr>
                <w:spacing w:val="12"/>
              </w:rPr>
              <w:t>未经监理人同意，将本工程专用的材料、工程设</w:t>
            </w:r>
            <w:r>
              <w:rPr>
                <w:spacing w:val="11"/>
              </w:rPr>
              <w:t>备、施</w:t>
            </w:r>
            <w:r>
              <w:rPr>
                <w:spacing w:val="8"/>
              </w:rPr>
              <w:t>工设备和临时设施运离场或挪作他用。</w:t>
            </w:r>
          </w:p>
        </w:tc>
        <w:tc>
          <w:tcPr>
            <w:tcW w:w="1103" w:type="dxa"/>
            <w:vAlign w:val="top"/>
          </w:tcPr>
          <w:p w14:paraId="38C129E0">
            <w:pPr>
              <w:pStyle w:val="14"/>
              <w:spacing w:before="177" w:line="228" w:lineRule="auto"/>
              <w:ind w:left="121"/>
            </w:pPr>
            <w:r>
              <w:rPr>
                <w:spacing w:val="4"/>
              </w:rPr>
              <w:t>元/宗</w:t>
            </w:r>
          </w:p>
        </w:tc>
        <w:tc>
          <w:tcPr>
            <w:tcW w:w="1284" w:type="dxa"/>
            <w:vAlign w:val="top"/>
          </w:tcPr>
          <w:p w14:paraId="16D1B8D2">
            <w:pPr>
              <w:pStyle w:val="14"/>
              <w:spacing w:before="177" w:line="225" w:lineRule="auto"/>
              <w:ind w:left="136"/>
            </w:pPr>
            <w:r>
              <w:rPr>
                <w:spacing w:val="1"/>
              </w:rPr>
              <w:t>10,000</w:t>
            </w:r>
          </w:p>
        </w:tc>
      </w:tr>
      <w:tr w14:paraId="76B2D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3017FEC1">
            <w:pPr>
              <w:rPr>
                <w:rFonts w:ascii="Arial"/>
                <w:sz w:val="21"/>
              </w:rPr>
            </w:pPr>
          </w:p>
        </w:tc>
        <w:tc>
          <w:tcPr>
            <w:tcW w:w="827" w:type="dxa"/>
            <w:vMerge w:val="restart"/>
            <w:tcBorders>
              <w:bottom w:val="nil"/>
            </w:tcBorders>
            <w:vAlign w:val="top"/>
          </w:tcPr>
          <w:p w14:paraId="472C6462">
            <w:pPr>
              <w:spacing w:line="241" w:lineRule="auto"/>
              <w:rPr>
                <w:rFonts w:ascii="Arial"/>
                <w:sz w:val="21"/>
              </w:rPr>
            </w:pPr>
          </w:p>
          <w:p w14:paraId="2D40A995">
            <w:pPr>
              <w:spacing w:line="241" w:lineRule="auto"/>
              <w:rPr>
                <w:rFonts w:ascii="Arial"/>
                <w:sz w:val="21"/>
              </w:rPr>
            </w:pPr>
          </w:p>
          <w:p w14:paraId="6D1E14B0">
            <w:pPr>
              <w:spacing w:line="241" w:lineRule="auto"/>
              <w:rPr>
                <w:rFonts w:ascii="Arial"/>
                <w:sz w:val="21"/>
              </w:rPr>
            </w:pPr>
          </w:p>
          <w:p w14:paraId="7CE614D9">
            <w:pPr>
              <w:spacing w:line="241" w:lineRule="auto"/>
              <w:rPr>
                <w:rFonts w:ascii="Arial"/>
                <w:sz w:val="21"/>
              </w:rPr>
            </w:pPr>
          </w:p>
          <w:p w14:paraId="54FB52BD">
            <w:pPr>
              <w:spacing w:line="241" w:lineRule="auto"/>
              <w:rPr>
                <w:rFonts w:ascii="Arial"/>
                <w:sz w:val="21"/>
              </w:rPr>
            </w:pPr>
          </w:p>
          <w:p w14:paraId="5148F30E">
            <w:pPr>
              <w:spacing w:line="241" w:lineRule="auto"/>
              <w:rPr>
                <w:rFonts w:ascii="Arial"/>
                <w:sz w:val="21"/>
              </w:rPr>
            </w:pPr>
          </w:p>
          <w:p w14:paraId="72AF718C">
            <w:pPr>
              <w:spacing w:line="241" w:lineRule="auto"/>
              <w:rPr>
                <w:rFonts w:ascii="Arial"/>
                <w:sz w:val="21"/>
              </w:rPr>
            </w:pPr>
          </w:p>
          <w:p w14:paraId="74752C5E">
            <w:pPr>
              <w:spacing w:line="241" w:lineRule="auto"/>
              <w:rPr>
                <w:rFonts w:ascii="Arial"/>
                <w:sz w:val="21"/>
              </w:rPr>
            </w:pPr>
          </w:p>
          <w:p w14:paraId="281F4613">
            <w:pPr>
              <w:spacing w:line="242" w:lineRule="auto"/>
              <w:rPr>
                <w:rFonts w:ascii="Arial"/>
                <w:sz w:val="21"/>
              </w:rPr>
            </w:pPr>
          </w:p>
          <w:p w14:paraId="5DEBB4DB">
            <w:pPr>
              <w:spacing w:line="242" w:lineRule="auto"/>
              <w:rPr>
                <w:rFonts w:ascii="Arial"/>
                <w:sz w:val="21"/>
              </w:rPr>
            </w:pPr>
          </w:p>
          <w:p w14:paraId="0A1254A6">
            <w:pPr>
              <w:spacing w:line="242" w:lineRule="auto"/>
              <w:rPr>
                <w:rFonts w:ascii="Arial"/>
                <w:sz w:val="21"/>
              </w:rPr>
            </w:pPr>
          </w:p>
          <w:p w14:paraId="50585537">
            <w:pPr>
              <w:spacing w:line="242" w:lineRule="auto"/>
              <w:rPr>
                <w:rFonts w:ascii="Arial"/>
                <w:sz w:val="21"/>
              </w:rPr>
            </w:pPr>
          </w:p>
          <w:p w14:paraId="7D8DC0F4">
            <w:pPr>
              <w:spacing w:line="242" w:lineRule="auto"/>
              <w:rPr>
                <w:rFonts w:ascii="Arial"/>
                <w:sz w:val="21"/>
              </w:rPr>
            </w:pPr>
          </w:p>
          <w:p w14:paraId="568DC9E4">
            <w:pPr>
              <w:spacing w:line="242" w:lineRule="auto"/>
              <w:rPr>
                <w:rFonts w:ascii="Arial"/>
                <w:sz w:val="21"/>
              </w:rPr>
            </w:pPr>
          </w:p>
          <w:p w14:paraId="2191E5B3">
            <w:pPr>
              <w:spacing w:line="242" w:lineRule="auto"/>
              <w:rPr>
                <w:rFonts w:ascii="Arial"/>
                <w:sz w:val="21"/>
              </w:rPr>
            </w:pPr>
          </w:p>
          <w:p w14:paraId="58218720">
            <w:pPr>
              <w:spacing w:line="242" w:lineRule="auto"/>
              <w:rPr>
                <w:rFonts w:ascii="Arial"/>
                <w:sz w:val="21"/>
              </w:rPr>
            </w:pPr>
          </w:p>
          <w:p w14:paraId="0D8CCEF1">
            <w:pPr>
              <w:spacing w:line="242" w:lineRule="auto"/>
              <w:rPr>
                <w:rFonts w:ascii="Arial"/>
                <w:sz w:val="21"/>
              </w:rPr>
            </w:pPr>
          </w:p>
          <w:p w14:paraId="203B7F2E">
            <w:pPr>
              <w:pStyle w:val="14"/>
              <w:spacing w:before="65" w:line="252" w:lineRule="auto"/>
              <w:ind w:left="124" w:right="113" w:hanging="5"/>
            </w:pPr>
            <w:r>
              <w:rPr>
                <w:spacing w:val="-1"/>
              </w:rPr>
              <w:t>2.</w:t>
            </w:r>
            <w:r>
              <w:rPr>
                <w:spacing w:val="91"/>
              </w:rPr>
              <w:t xml:space="preserve"> </w:t>
            </w:r>
            <w:r>
              <w:rPr>
                <w:spacing w:val="-1"/>
              </w:rPr>
              <w:t>人</w:t>
            </w:r>
            <w:r>
              <w:t>员</w:t>
            </w:r>
          </w:p>
        </w:tc>
        <w:tc>
          <w:tcPr>
            <w:tcW w:w="817" w:type="dxa"/>
            <w:vMerge w:val="restart"/>
            <w:tcBorders>
              <w:bottom w:val="nil"/>
            </w:tcBorders>
            <w:vAlign w:val="top"/>
          </w:tcPr>
          <w:p w14:paraId="26DE3B05">
            <w:pPr>
              <w:spacing w:line="399" w:lineRule="auto"/>
              <w:rPr>
                <w:rFonts w:ascii="Arial"/>
                <w:sz w:val="21"/>
              </w:rPr>
            </w:pPr>
          </w:p>
          <w:p w14:paraId="3C94D0A7">
            <w:pPr>
              <w:pStyle w:val="14"/>
              <w:spacing w:before="65" w:line="268" w:lineRule="exact"/>
              <w:ind w:left="111"/>
            </w:pPr>
            <w:r>
              <w:rPr>
                <w:spacing w:val="4"/>
                <w:position w:val="1"/>
              </w:rPr>
              <w:t>A201</w:t>
            </w:r>
          </w:p>
        </w:tc>
        <w:tc>
          <w:tcPr>
            <w:tcW w:w="1979" w:type="dxa"/>
            <w:vMerge w:val="restart"/>
            <w:tcBorders>
              <w:bottom w:val="nil"/>
            </w:tcBorders>
            <w:vAlign w:val="top"/>
          </w:tcPr>
          <w:p w14:paraId="76ACBD83">
            <w:pPr>
              <w:spacing w:line="263" w:lineRule="auto"/>
              <w:rPr>
                <w:rFonts w:ascii="Arial"/>
                <w:sz w:val="21"/>
              </w:rPr>
            </w:pPr>
          </w:p>
          <w:p w14:paraId="4C7305CC">
            <w:pPr>
              <w:pStyle w:val="14"/>
              <w:spacing w:before="65" w:line="254" w:lineRule="auto"/>
              <w:ind w:left="133" w:right="113" w:hanging="15"/>
            </w:pPr>
            <w:r>
              <w:rPr>
                <w:spacing w:val="17"/>
              </w:rPr>
              <w:t>主要人员未按要求</w:t>
            </w:r>
            <w:r>
              <w:rPr>
                <w:spacing w:val="6"/>
              </w:rPr>
              <w:t>的条件和时间到位</w:t>
            </w:r>
          </w:p>
        </w:tc>
        <w:tc>
          <w:tcPr>
            <w:tcW w:w="3344" w:type="dxa"/>
            <w:vAlign w:val="top"/>
          </w:tcPr>
          <w:p w14:paraId="69092291">
            <w:pPr>
              <w:pStyle w:val="14"/>
              <w:spacing w:before="178" w:line="228" w:lineRule="auto"/>
              <w:ind w:left="121"/>
            </w:pPr>
            <w:r>
              <w:rPr>
                <w:spacing w:val="8"/>
              </w:rPr>
              <w:t>项目负责人、项目技术负责人。</w:t>
            </w:r>
          </w:p>
        </w:tc>
        <w:tc>
          <w:tcPr>
            <w:tcW w:w="1103" w:type="dxa"/>
            <w:vAlign w:val="top"/>
          </w:tcPr>
          <w:p w14:paraId="1D070127">
            <w:pPr>
              <w:pStyle w:val="14"/>
              <w:spacing w:before="179" w:line="228" w:lineRule="auto"/>
              <w:ind w:left="121"/>
            </w:pPr>
            <w:r>
              <w:rPr>
                <w:spacing w:val="6"/>
              </w:rPr>
              <w:t>元/人.天</w:t>
            </w:r>
          </w:p>
        </w:tc>
        <w:tc>
          <w:tcPr>
            <w:tcW w:w="1284" w:type="dxa"/>
            <w:vAlign w:val="top"/>
          </w:tcPr>
          <w:p w14:paraId="3F26253B">
            <w:pPr>
              <w:pStyle w:val="14"/>
              <w:spacing w:before="178" w:line="225" w:lineRule="auto"/>
              <w:ind w:left="124"/>
            </w:pPr>
            <w:r>
              <w:rPr>
                <w:spacing w:val="2"/>
              </w:rPr>
              <w:t>5,000</w:t>
            </w:r>
          </w:p>
        </w:tc>
      </w:tr>
      <w:tr w14:paraId="55642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145F203E">
            <w:pPr>
              <w:rPr>
                <w:rFonts w:ascii="Arial"/>
                <w:sz w:val="21"/>
              </w:rPr>
            </w:pPr>
          </w:p>
        </w:tc>
        <w:tc>
          <w:tcPr>
            <w:tcW w:w="827" w:type="dxa"/>
            <w:vMerge w:val="continue"/>
            <w:tcBorders>
              <w:top w:val="nil"/>
              <w:bottom w:val="nil"/>
            </w:tcBorders>
            <w:vAlign w:val="top"/>
          </w:tcPr>
          <w:p w14:paraId="0E117436">
            <w:pPr>
              <w:rPr>
                <w:rFonts w:ascii="Arial"/>
                <w:sz w:val="21"/>
              </w:rPr>
            </w:pPr>
          </w:p>
        </w:tc>
        <w:tc>
          <w:tcPr>
            <w:tcW w:w="817" w:type="dxa"/>
            <w:vMerge w:val="continue"/>
            <w:tcBorders>
              <w:top w:val="nil"/>
            </w:tcBorders>
            <w:vAlign w:val="top"/>
          </w:tcPr>
          <w:p w14:paraId="4395ED31">
            <w:pPr>
              <w:rPr>
                <w:rFonts w:ascii="Arial"/>
                <w:sz w:val="21"/>
              </w:rPr>
            </w:pPr>
          </w:p>
        </w:tc>
        <w:tc>
          <w:tcPr>
            <w:tcW w:w="1979" w:type="dxa"/>
            <w:vMerge w:val="continue"/>
            <w:tcBorders>
              <w:top w:val="nil"/>
            </w:tcBorders>
            <w:vAlign w:val="top"/>
          </w:tcPr>
          <w:p w14:paraId="507DA1F0">
            <w:pPr>
              <w:rPr>
                <w:rFonts w:ascii="Arial"/>
                <w:sz w:val="21"/>
              </w:rPr>
            </w:pPr>
          </w:p>
        </w:tc>
        <w:tc>
          <w:tcPr>
            <w:tcW w:w="3344" w:type="dxa"/>
            <w:vAlign w:val="top"/>
          </w:tcPr>
          <w:p w14:paraId="00FC5D7C">
            <w:pPr>
              <w:pStyle w:val="14"/>
              <w:spacing w:before="44" w:line="239" w:lineRule="auto"/>
              <w:ind w:left="118" w:right="111"/>
            </w:pPr>
            <w:r>
              <w:rPr>
                <w:spacing w:val="7"/>
              </w:rPr>
              <w:t>其他主要技术人员（投标承诺到位</w:t>
            </w:r>
            <w:r>
              <w:rPr>
                <w:spacing w:val="1"/>
              </w:rPr>
              <w:t>人员）。</w:t>
            </w:r>
          </w:p>
        </w:tc>
        <w:tc>
          <w:tcPr>
            <w:tcW w:w="1103" w:type="dxa"/>
            <w:vAlign w:val="top"/>
          </w:tcPr>
          <w:p w14:paraId="5D0468FB">
            <w:pPr>
              <w:pStyle w:val="14"/>
              <w:spacing w:before="178" w:line="228" w:lineRule="auto"/>
              <w:ind w:left="121"/>
            </w:pPr>
            <w:r>
              <w:rPr>
                <w:spacing w:val="6"/>
              </w:rPr>
              <w:t>元/人.天</w:t>
            </w:r>
          </w:p>
        </w:tc>
        <w:tc>
          <w:tcPr>
            <w:tcW w:w="1284" w:type="dxa"/>
            <w:vAlign w:val="top"/>
          </w:tcPr>
          <w:p w14:paraId="74775B7F">
            <w:pPr>
              <w:pStyle w:val="14"/>
              <w:spacing w:before="177" w:line="225" w:lineRule="auto"/>
              <w:ind w:left="123"/>
            </w:pPr>
            <w:r>
              <w:rPr>
                <w:spacing w:val="2"/>
              </w:rPr>
              <w:t>2,000</w:t>
            </w:r>
          </w:p>
        </w:tc>
      </w:tr>
      <w:tr w14:paraId="0A1A5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6BB31D35">
            <w:pPr>
              <w:rPr>
                <w:rFonts w:ascii="Arial"/>
                <w:sz w:val="21"/>
              </w:rPr>
            </w:pPr>
          </w:p>
        </w:tc>
        <w:tc>
          <w:tcPr>
            <w:tcW w:w="827" w:type="dxa"/>
            <w:vMerge w:val="continue"/>
            <w:tcBorders>
              <w:top w:val="nil"/>
              <w:bottom w:val="nil"/>
            </w:tcBorders>
            <w:vAlign w:val="top"/>
          </w:tcPr>
          <w:p w14:paraId="4F276A14">
            <w:pPr>
              <w:rPr>
                <w:rFonts w:ascii="Arial"/>
                <w:sz w:val="21"/>
              </w:rPr>
            </w:pPr>
          </w:p>
        </w:tc>
        <w:tc>
          <w:tcPr>
            <w:tcW w:w="817" w:type="dxa"/>
            <w:vAlign w:val="top"/>
          </w:tcPr>
          <w:p w14:paraId="7EB62BFD">
            <w:pPr>
              <w:pStyle w:val="14"/>
              <w:spacing w:before="179" w:line="268" w:lineRule="exact"/>
              <w:ind w:left="111"/>
            </w:pPr>
            <w:r>
              <w:rPr>
                <w:spacing w:val="4"/>
                <w:position w:val="1"/>
              </w:rPr>
              <w:t>A202</w:t>
            </w:r>
          </w:p>
        </w:tc>
        <w:tc>
          <w:tcPr>
            <w:tcW w:w="5323" w:type="dxa"/>
            <w:gridSpan w:val="2"/>
            <w:vAlign w:val="top"/>
          </w:tcPr>
          <w:p w14:paraId="69213B54">
            <w:pPr>
              <w:pStyle w:val="14"/>
              <w:spacing w:before="178" w:line="227" w:lineRule="auto"/>
              <w:ind w:left="117"/>
            </w:pPr>
            <w:r>
              <w:rPr>
                <w:spacing w:val="7"/>
              </w:rPr>
              <w:t>档案资料负责人在本合同段连续工作不足</w:t>
            </w:r>
            <w:r>
              <w:rPr>
                <w:spacing w:val="-20"/>
              </w:rPr>
              <w:t xml:space="preserve"> </w:t>
            </w:r>
            <w:r>
              <w:rPr>
                <w:spacing w:val="7"/>
              </w:rPr>
              <w:t>3</w:t>
            </w:r>
            <w:r>
              <w:rPr>
                <w:spacing w:val="-40"/>
              </w:rPr>
              <w:t xml:space="preserve"> </w:t>
            </w:r>
            <w:r>
              <w:rPr>
                <w:spacing w:val="7"/>
              </w:rPr>
              <w:t>年。</w:t>
            </w:r>
          </w:p>
        </w:tc>
        <w:tc>
          <w:tcPr>
            <w:tcW w:w="1103" w:type="dxa"/>
            <w:vAlign w:val="top"/>
          </w:tcPr>
          <w:p w14:paraId="56CA3F01">
            <w:pPr>
              <w:pStyle w:val="14"/>
              <w:spacing w:before="178" w:line="228" w:lineRule="auto"/>
              <w:ind w:left="121"/>
            </w:pPr>
            <w:r>
              <w:rPr>
                <w:spacing w:val="7"/>
              </w:rPr>
              <w:t>元/人.次</w:t>
            </w:r>
          </w:p>
        </w:tc>
        <w:tc>
          <w:tcPr>
            <w:tcW w:w="1284" w:type="dxa"/>
            <w:vAlign w:val="top"/>
          </w:tcPr>
          <w:p w14:paraId="0B6B2837">
            <w:pPr>
              <w:pStyle w:val="14"/>
              <w:spacing w:before="178" w:line="225" w:lineRule="auto"/>
              <w:ind w:left="123"/>
            </w:pPr>
            <w:r>
              <w:rPr>
                <w:spacing w:val="3"/>
              </w:rPr>
              <w:t>20,000</w:t>
            </w:r>
          </w:p>
        </w:tc>
      </w:tr>
      <w:tr w14:paraId="5CA09F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3" w:hRule="atLeast"/>
        </w:trPr>
        <w:tc>
          <w:tcPr>
            <w:tcW w:w="616" w:type="dxa"/>
            <w:vMerge w:val="continue"/>
            <w:tcBorders>
              <w:top w:val="nil"/>
              <w:bottom w:val="nil"/>
            </w:tcBorders>
            <w:vAlign w:val="top"/>
          </w:tcPr>
          <w:p w14:paraId="0C46FC08">
            <w:pPr>
              <w:rPr>
                <w:rFonts w:ascii="Arial"/>
                <w:sz w:val="21"/>
              </w:rPr>
            </w:pPr>
          </w:p>
        </w:tc>
        <w:tc>
          <w:tcPr>
            <w:tcW w:w="827" w:type="dxa"/>
            <w:vMerge w:val="continue"/>
            <w:tcBorders>
              <w:top w:val="nil"/>
              <w:bottom w:val="nil"/>
            </w:tcBorders>
            <w:vAlign w:val="top"/>
          </w:tcPr>
          <w:p w14:paraId="2E1F4FA5">
            <w:pPr>
              <w:rPr>
                <w:rFonts w:ascii="Arial"/>
                <w:sz w:val="21"/>
              </w:rPr>
            </w:pPr>
          </w:p>
        </w:tc>
        <w:tc>
          <w:tcPr>
            <w:tcW w:w="817" w:type="dxa"/>
            <w:vAlign w:val="top"/>
          </w:tcPr>
          <w:p w14:paraId="61589008">
            <w:pPr>
              <w:spacing w:line="255" w:lineRule="auto"/>
              <w:rPr>
                <w:rFonts w:ascii="Arial"/>
                <w:sz w:val="21"/>
              </w:rPr>
            </w:pPr>
          </w:p>
          <w:p w14:paraId="4370624B">
            <w:pPr>
              <w:spacing w:line="255" w:lineRule="auto"/>
              <w:rPr>
                <w:rFonts w:ascii="Arial"/>
                <w:sz w:val="21"/>
              </w:rPr>
            </w:pPr>
          </w:p>
          <w:p w14:paraId="3E9163B5">
            <w:pPr>
              <w:spacing w:line="255" w:lineRule="auto"/>
              <w:rPr>
                <w:rFonts w:ascii="Arial"/>
                <w:sz w:val="21"/>
              </w:rPr>
            </w:pPr>
          </w:p>
          <w:p w14:paraId="271C9FC4">
            <w:pPr>
              <w:spacing w:line="255" w:lineRule="auto"/>
              <w:rPr>
                <w:rFonts w:ascii="Arial"/>
                <w:sz w:val="21"/>
              </w:rPr>
            </w:pPr>
          </w:p>
          <w:p w14:paraId="6DD066E3">
            <w:pPr>
              <w:spacing w:line="255" w:lineRule="auto"/>
              <w:rPr>
                <w:rFonts w:ascii="Arial"/>
                <w:sz w:val="21"/>
              </w:rPr>
            </w:pPr>
          </w:p>
          <w:p w14:paraId="6792A641">
            <w:pPr>
              <w:spacing w:line="255" w:lineRule="auto"/>
              <w:rPr>
                <w:rFonts w:ascii="Arial"/>
                <w:sz w:val="21"/>
              </w:rPr>
            </w:pPr>
          </w:p>
          <w:p w14:paraId="73EC6A1D">
            <w:pPr>
              <w:spacing w:line="255" w:lineRule="auto"/>
              <w:rPr>
                <w:rFonts w:ascii="Arial"/>
                <w:sz w:val="21"/>
              </w:rPr>
            </w:pPr>
          </w:p>
          <w:p w14:paraId="4536CE59">
            <w:pPr>
              <w:spacing w:line="255" w:lineRule="auto"/>
              <w:rPr>
                <w:rFonts w:ascii="Arial"/>
                <w:sz w:val="21"/>
              </w:rPr>
            </w:pPr>
          </w:p>
          <w:p w14:paraId="1C493F8D">
            <w:pPr>
              <w:spacing w:line="255" w:lineRule="auto"/>
              <w:rPr>
                <w:rFonts w:ascii="Arial"/>
                <w:sz w:val="21"/>
              </w:rPr>
            </w:pPr>
          </w:p>
          <w:p w14:paraId="6D5C5053">
            <w:pPr>
              <w:spacing w:line="256" w:lineRule="auto"/>
              <w:rPr>
                <w:rFonts w:ascii="Arial"/>
                <w:sz w:val="21"/>
              </w:rPr>
            </w:pPr>
          </w:p>
          <w:p w14:paraId="48DF3AB3">
            <w:pPr>
              <w:spacing w:line="256" w:lineRule="auto"/>
              <w:rPr>
                <w:rFonts w:ascii="Arial"/>
                <w:sz w:val="21"/>
              </w:rPr>
            </w:pPr>
          </w:p>
          <w:p w14:paraId="26B91D8C">
            <w:pPr>
              <w:pStyle w:val="14"/>
              <w:spacing w:before="65" w:line="269" w:lineRule="exact"/>
              <w:ind w:left="111"/>
            </w:pPr>
            <w:r>
              <w:rPr>
                <w:spacing w:val="4"/>
                <w:position w:val="1"/>
              </w:rPr>
              <w:t>A203</w:t>
            </w:r>
          </w:p>
        </w:tc>
        <w:tc>
          <w:tcPr>
            <w:tcW w:w="5323" w:type="dxa"/>
            <w:gridSpan w:val="2"/>
            <w:vAlign w:val="top"/>
          </w:tcPr>
          <w:p w14:paraId="74A30D1D">
            <w:pPr>
              <w:spacing w:line="242" w:lineRule="auto"/>
              <w:rPr>
                <w:rFonts w:ascii="Arial"/>
                <w:sz w:val="21"/>
              </w:rPr>
            </w:pPr>
          </w:p>
          <w:p w14:paraId="0752161E">
            <w:pPr>
              <w:spacing w:line="242" w:lineRule="auto"/>
              <w:rPr>
                <w:rFonts w:ascii="Arial"/>
                <w:sz w:val="21"/>
              </w:rPr>
            </w:pPr>
          </w:p>
          <w:p w14:paraId="3E5361B0">
            <w:pPr>
              <w:spacing w:line="243" w:lineRule="auto"/>
              <w:rPr>
                <w:rFonts w:ascii="Arial"/>
                <w:sz w:val="21"/>
              </w:rPr>
            </w:pPr>
          </w:p>
          <w:p w14:paraId="21E590F4">
            <w:pPr>
              <w:spacing w:line="243" w:lineRule="auto"/>
              <w:rPr>
                <w:rFonts w:ascii="Arial"/>
                <w:sz w:val="21"/>
              </w:rPr>
            </w:pPr>
          </w:p>
          <w:p w14:paraId="76B503D3">
            <w:pPr>
              <w:spacing w:line="243" w:lineRule="auto"/>
              <w:rPr>
                <w:rFonts w:ascii="Arial"/>
                <w:sz w:val="21"/>
              </w:rPr>
            </w:pPr>
          </w:p>
          <w:p w14:paraId="71802AD8">
            <w:pPr>
              <w:spacing w:line="243" w:lineRule="auto"/>
              <w:rPr>
                <w:rFonts w:ascii="Arial"/>
                <w:sz w:val="21"/>
              </w:rPr>
            </w:pPr>
          </w:p>
          <w:p w14:paraId="542F7EC7">
            <w:pPr>
              <w:spacing w:line="243" w:lineRule="auto"/>
              <w:rPr>
                <w:rFonts w:ascii="Arial"/>
                <w:sz w:val="21"/>
              </w:rPr>
            </w:pPr>
          </w:p>
          <w:p w14:paraId="16841B3D">
            <w:pPr>
              <w:spacing w:line="243" w:lineRule="auto"/>
              <w:rPr>
                <w:rFonts w:ascii="Arial"/>
                <w:sz w:val="21"/>
              </w:rPr>
            </w:pPr>
          </w:p>
          <w:p w14:paraId="11E7E182">
            <w:pPr>
              <w:spacing w:line="243" w:lineRule="auto"/>
              <w:rPr>
                <w:rFonts w:ascii="Arial"/>
                <w:sz w:val="21"/>
              </w:rPr>
            </w:pPr>
          </w:p>
          <w:p w14:paraId="7B0E68B6">
            <w:pPr>
              <w:spacing w:line="243" w:lineRule="auto"/>
              <w:rPr>
                <w:rFonts w:ascii="Arial"/>
                <w:sz w:val="21"/>
              </w:rPr>
            </w:pPr>
          </w:p>
          <w:p w14:paraId="0E1257DA">
            <w:pPr>
              <w:spacing w:line="243" w:lineRule="auto"/>
              <w:rPr>
                <w:rFonts w:ascii="Arial"/>
                <w:sz w:val="21"/>
              </w:rPr>
            </w:pPr>
          </w:p>
          <w:p w14:paraId="02E497AC">
            <w:pPr>
              <w:pStyle w:val="14"/>
              <w:spacing w:before="65" w:line="254" w:lineRule="auto"/>
              <w:ind w:left="120" w:right="109"/>
            </w:pPr>
            <w:r>
              <w:rPr>
                <w:spacing w:val="12"/>
              </w:rPr>
              <w:t>项目负责人、项目技术负责人或其他主要技术人员无故</w:t>
            </w:r>
            <w:r>
              <w:rPr>
                <w:spacing w:val="7"/>
              </w:rPr>
              <w:t>不到位或被替换。</w:t>
            </w:r>
          </w:p>
        </w:tc>
        <w:tc>
          <w:tcPr>
            <w:tcW w:w="2387" w:type="dxa"/>
            <w:gridSpan w:val="2"/>
            <w:vAlign w:val="top"/>
          </w:tcPr>
          <w:p w14:paraId="0DB8011F">
            <w:pPr>
              <w:pStyle w:val="14"/>
              <w:spacing w:before="33" w:line="251" w:lineRule="auto"/>
              <w:ind w:left="119" w:right="58"/>
            </w:pPr>
            <w:r>
              <w:rPr>
                <w:spacing w:val="14"/>
              </w:rPr>
              <w:t>根据施工合同段规模调</w:t>
            </w:r>
            <w:r>
              <w:rPr>
                <w:spacing w:val="5"/>
              </w:rPr>
              <w:t>整，例如：规模在</w:t>
            </w:r>
            <w:r>
              <w:rPr>
                <w:spacing w:val="-19"/>
              </w:rPr>
              <w:t xml:space="preserve"> </w:t>
            </w:r>
            <w:r>
              <w:rPr>
                <w:spacing w:val="5"/>
              </w:rPr>
              <w:t>1000</w:t>
            </w:r>
            <w:r>
              <w:rPr>
                <w:spacing w:val="-5"/>
              </w:rPr>
              <w:t>万以上，5000</w:t>
            </w:r>
            <w:r>
              <w:rPr>
                <w:spacing w:val="-33"/>
              </w:rPr>
              <w:t xml:space="preserve"> </w:t>
            </w:r>
            <w:r>
              <w:rPr>
                <w:spacing w:val="-5"/>
              </w:rPr>
              <w:t>万以下的，</w:t>
            </w:r>
            <w:r>
              <w:rPr>
                <w:spacing w:val="16"/>
              </w:rPr>
              <w:t>分别处以项目负责人、</w:t>
            </w:r>
            <w:r>
              <w:rPr>
                <w:spacing w:val="9"/>
              </w:rPr>
              <w:t>项目技术负责人</w:t>
            </w:r>
            <w:r>
              <w:rPr>
                <w:spacing w:val="-25"/>
              </w:rPr>
              <w:t xml:space="preserve"> </w:t>
            </w:r>
            <w:r>
              <w:rPr>
                <w:spacing w:val="9"/>
              </w:rPr>
              <w:t>20</w:t>
            </w:r>
            <w:r>
              <w:rPr>
                <w:spacing w:val="-28"/>
              </w:rPr>
              <w:t xml:space="preserve"> </w:t>
            </w:r>
            <w:r>
              <w:rPr>
                <w:spacing w:val="9"/>
              </w:rPr>
              <w:t>万/</w:t>
            </w:r>
            <w:r>
              <w:rPr>
                <w:spacing w:val="14"/>
              </w:rPr>
              <w:t>人次；其他主要技术人</w:t>
            </w:r>
            <w:r>
              <w:rPr>
                <w:spacing w:val="3"/>
              </w:rPr>
              <w:t>员</w:t>
            </w:r>
            <w:r>
              <w:rPr>
                <w:spacing w:val="-32"/>
              </w:rPr>
              <w:t xml:space="preserve"> </w:t>
            </w:r>
            <w:r>
              <w:rPr>
                <w:spacing w:val="3"/>
              </w:rPr>
              <w:t>2</w:t>
            </w:r>
            <w:r>
              <w:rPr>
                <w:spacing w:val="-33"/>
              </w:rPr>
              <w:t xml:space="preserve"> </w:t>
            </w:r>
            <w:r>
              <w:rPr>
                <w:spacing w:val="3"/>
              </w:rPr>
              <w:t>万/人次罚款。</w:t>
            </w:r>
          </w:p>
          <w:p w14:paraId="3EAF0AC7">
            <w:pPr>
              <w:pStyle w:val="14"/>
              <w:spacing w:before="2" w:line="251" w:lineRule="auto"/>
              <w:ind w:left="120" w:right="112"/>
            </w:pPr>
            <w:r>
              <w:rPr>
                <w:spacing w:val="3"/>
              </w:rPr>
              <w:t>规模在</w:t>
            </w:r>
            <w:r>
              <w:rPr>
                <w:spacing w:val="-35"/>
              </w:rPr>
              <w:t xml:space="preserve"> </w:t>
            </w:r>
            <w:r>
              <w:rPr>
                <w:spacing w:val="3"/>
              </w:rPr>
              <w:t>5000</w:t>
            </w:r>
            <w:r>
              <w:rPr>
                <w:spacing w:val="-17"/>
              </w:rPr>
              <w:t xml:space="preserve"> </w:t>
            </w:r>
            <w:r>
              <w:rPr>
                <w:spacing w:val="3"/>
              </w:rPr>
              <w:t>以上、1</w:t>
            </w:r>
            <w:r>
              <w:rPr>
                <w:spacing w:val="-39"/>
              </w:rPr>
              <w:t xml:space="preserve"> </w:t>
            </w:r>
            <w:r>
              <w:rPr>
                <w:spacing w:val="3"/>
              </w:rPr>
              <w:t>亿</w:t>
            </w:r>
            <w:r>
              <w:rPr>
                <w:spacing w:val="14"/>
              </w:rPr>
              <w:t>以下的，分别处以项目负责人、项目技术负责</w:t>
            </w:r>
            <w:r>
              <w:t>人</w:t>
            </w:r>
            <w:r>
              <w:rPr>
                <w:spacing w:val="-20"/>
              </w:rPr>
              <w:t xml:space="preserve"> </w:t>
            </w:r>
            <w:r>
              <w:t>100</w:t>
            </w:r>
            <w:r>
              <w:rPr>
                <w:spacing w:val="-33"/>
              </w:rPr>
              <w:t xml:space="preserve"> </w:t>
            </w:r>
            <w:r>
              <w:t>万/人次；其他主</w:t>
            </w:r>
            <w:r>
              <w:rPr>
                <w:spacing w:val="9"/>
              </w:rPr>
              <w:t>要技术人员10</w:t>
            </w:r>
            <w:r>
              <w:rPr>
                <w:spacing w:val="-54"/>
              </w:rPr>
              <w:t xml:space="preserve"> </w:t>
            </w:r>
            <w:r>
              <w:rPr>
                <w:spacing w:val="9"/>
              </w:rPr>
              <w:t>万人次罚</w:t>
            </w:r>
            <w:r>
              <w:t>款。</w:t>
            </w:r>
          </w:p>
          <w:p w14:paraId="3A84A1F1">
            <w:pPr>
              <w:pStyle w:val="14"/>
              <w:spacing w:before="1" w:line="251" w:lineRule="auto"/>
              <w:ind w:left="121" w:right="112" w:hanging="1"/>
            </w:pPr>
            <w:r>
              <w:rPr>
                <w:spacing w:val="9"/>
              </w:rPr>
              <w:t>规模在</w:t>
            </w:r>
            <w:r>
              <w:rPr>
                <w:spacing w:val="-13"/>
              </w:rPr>
              <w:t xml:space="preserve"> </w:t>
            </w:r>
            <w:r>
              <w:rPr>
                <w:spacing w:val="9"/>
              </w:rPr>
              <w:t>1</w:t>
            </w:r>
            <w:r>
              <w:rPr>
                <w:spacing w:val="-30"/>
              </w:rPr>
              <w:t xml:space="preserve"> </w:t>
            </w:r>
            <w:r>
              <w:rPr>
                <w:spacing w:val="9"/>
              </w:rPr>
              <w:t>亿以上的，分</w:t>
            </w:r>
            <w:r>
              <w:rPr>
                <w:spacing w:val="14"/>
              </w:rPr>
              <w:t>别处以项目负责人、项</w:t>
            </w:r>
            <w:r>
              <w:rPr>
                <w:spacing w:val="8"/>
              </w:rPr>
              <w:t>目技术负责人200</w:t>
            </w:r>
            <w:r>
              <w:rPr>
                <w:spacing w:val="-50"/>
              </w:rPr>
              <w:t xml:space="preserve"> </w:t>
            </w:r>
            <w:r>
              <w:rPr>
                <w:spacing w:val="8"/>
              </w:rPr>
              <w:t>万/人</w:t>
            </w:r>
            <w:r>
              <w:rPr>
                <w:spacing w:val="14"/>
              </w:rPr>
              <w:t>次；其他主要技术人员</w:t>
            </w:r>
            <w:r>
              <w:rPr>
                <w:spacing w:val="4"/>
              </w:rPr>
              <w:t>20</w:t>
            </w:r>
            <w:r>
              <w:rPr>
                <w:spacing w:val="-34"/>
              </w:rPr>
              <w:t xml:space="preserve"> </w:t>
            </w:r>
            <w:r>
              <w:rPr>
                <w:spacing w:val="4"/>
              </w:rPr>
              <w:t>万人次罚款。</w:t>
            </w:r>
          </w:p>
          <w:p w14:paraId="770D0123">
            <w:pPr>
              <w:pStyle w:val="14"/>
              <w:spacing w:before="1" w:line="252" w:lineRule="auto"/>
              <w:ind w:left="119" w:right="112"/>
            </w:pPr>
            <w:r>
              <w:rPr>
                <w:spacing w:val="14"/>
              </w:rPr>
              <w:t>注：上述罚款额供招标人结合项目实际情况参</w:t>
            </w:r>
            <w:r>
              <w:rPr>
                <w:spacing w:val="7"/>
              </w:rPr>
              <w:t>考使用，合理设置。</w:t>
            </w:r>
          </w:p>
        </w:tc>
      </w:tr>
      <w:tr w14:paraId="0991C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16" w:type="dxa"/>
            <w:vMerge w:val="continue"/>
            <w:tcBorders>
              <w:top w:val="nil"/>
              <w:bottom w:val="nil"/>
            </w:tcBorders>
            <w:vAlign w:val="top"/>
          </w:tcPr>
          <w:p w14:paraId="1C66A9A2">
            <w:pPr>
              <w:rPr>
                <w:rFonts w:ascii="Arial"/>
                <w:sz w:val="21"/>
              </w:rPr>
            </w:pPr>
          </w:p>
        </w:tc>
        <w:tc>
          <w:tcPr>
            <w:tcW w:w="827" w:type="dxa"/>
            <w:vMerge w:val="continue"/>
            <w:tcBorders>
              <w:top w:val="nil"/>
              <w:bottom w:val="nil"/>
            </w:tcBorders>
            <w:vAlign w:val="top"/>
          </w:tcPr>
          <w:p w14:paraId="13DB6DDE">
            <w:pPr>
              <w:rPr>
                <w:rFonts w:ascii="Arial"/>
                <w:sz w:val="21"/>
              </w:rPr>
            </w:pPr>
          </w:p>
        </w:tc>
        <w:tc>
          <w:tcPr>
            <w:tcW w:w="817" w:type="dxa"/>
            <w:vAlign w:val="top"/>
          </w:tcPr>
          <w:p w14:paraId="3D3CA12E">
            <w:pPr>
              <w:pStyle w:val="14"/>
              <w:spacing w:before="182" w:line="268" w:lineRule="exact"/>
              <w:ind w:left="111"/>
            </w:pPr>
            <w:r>
              <w:rPr>
                <w:spacing w:val="4"/>
                <w:position w:val="1"/>
              </w:rPr>
              <w:t>A204</w:t>
            </w:r>
          </w:p>
        </w:tc>
        <w:tc>
          <w:tcPr>
            <w:tcW w:w="5323" w:type="dxa"/>
            <w:gridSpan w:val="2"/>
            <w:vAlign w:val="top"/>
          </w:tcPr>
          <w:p w14:paraId="3EEAA6BF">
            <w:pPr>
              <w:pStyle w:val="14"/>
              <w:spacing w:before="45" w:line="238" w:lineRule="auto"/>
              <w:ind w:left="120" w:right="109"/>
            </w:pPr>
            <w:r>
              <w:rPr>
                <w:spacing w:val="12"/>
              </w:rPr>
              <w:t>项目负责人、项目技术负责人、爆破负责人驻守现场不</w:t>
            </w:r>
            <w:r>
              <w:rPr>
                <w:spacing w:val="1"/>
              </w:rPr>
              <w:t>足</w:t>
            </w:r>
            <w:r>
              <w:rPr>
                <w:spacing w:val="-37"/>
              </w:rPr>
              <w:t xml:space="preserve"> </w:t>
            </w:r>
            <w:r>
              <w:rPr>
                <w:spacing w:val="1"/>
              </w:rPr>
              <w:t>22</w:t>
            </w:r>
            <w:r>
              <w:rPr>
                <w:spacing w:val="-34"/>
              </w:rPr>
              <w:t xml:space="preserve"> </w:t>
            </w:r>
            <w:r>
              <w:rPr>
                <w:spacing w:val="1"/>
              </w:rPr>
              <w:t>天/月。</w:t>
            </w:r>
          </w:p>
        </w:tc>
        <w:tc>
          <w:tcPr>
            <w:tcW w:w="1103" w:type="dxa"/>
            <w:vAlign w:val="top"/>
          </w:tcPr>
          <w:p w14:paraId="2D775758">
            <w:pPr>
              <w:pStyle w:val="14"/>
              <w:spacing w:before="182" w:line="228" w:lineRule="auto"/>
              <w:ind w:left="121"/>
            </w:pPr>
            <w:r>
              <w:rPr>
                <w:spacing w:val="6"/>
              </w:rPr>
              <w:t>元/人.天</w:t>
            </w:r>
          </w:p>
        </w:tc>
        <w:tc>
          <w:tcPr>
            <w:tcW w:w="1284" w:type="dxa"/>
            <w:vAlign w:val="top"/>
          </w:tcPr>
          <w:p w14:paraId="72322635">
            <w:pPr>
              <w:pStyle w:val="14"/>
              <w:spacing w:before="182" w:line="225" w:lineRule="auto"/>
              <w:ind w:left="136"/>
            </w:pPr>
            <w:r>
              <w:rPr>
                <w:spacing w:val="1"/>
              </w:rPr>
              <w:t>10,000</w:t>
            </w:r>
          </w:p>
        </w:tc>
      </w:tr>
      <w:tr w14:paraId="758F9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616" w:type="dxa"/>
            <w:vMerge w:val="continue"/>
            <w:tcBorders>
              <w:top w:val="nil"/>
            </w:tcBorders>
            <w:vAlign w:val="top"/>
          </w:tcPr>
          <w:p w14:paraId="79478B93">
            <w:pPr>
              <w:rPr>
                <w:rFonts w:ascii="Arial"/>
                <w:sz w:val="21"/>
              </w:rPr>
            </w:pPr>
          </w:p>
        </w:tc>
        <w:tc>
          <w:tcPr>
            <w:tcW w:w="827" w:type="dxa"/>
            <w:vMerge w:val="continue"/>
            <w:tcBorders>
              <w:top w:val="nil"/>
            </w:tcBorders>
            <w:vAlign w:val="top"/>
          </w:tcPr>
          <w:p w14:paraId="5098B7E2">
            <w:pPr>
              <w:rPr>
                <w:rFonts w:ascii="Arial"/>
                <w:sz w:val="21"/>
              </w:rPr>
            </w:pPr>
          </w:p>
        </w:tc>
        <w:tc>
          <w:tcPr>
            <w:tcW w:w="817" w:type="dxa"/>
            <w:vAlign w:val="top"/>
          </w:tcPr>
          <w:p w14:paraId="75229DF5">
            <w:pPr>
              <w:pStyle w:val="14"/>
              <w:spacing w:before="182" w:line="268" w:lineRule="exact"/>
              <w:ind w:left="111"/>
            </w:pPr>
            <w:r>
              <w:rPr>
                <w:spacing w:val="4"/>
                <w:position w:val="1"/>
              </w:rPr>
              <w:t>A205</w:t>
            </w:r>
          </w:p>
        </w:tc>
        <w:tc>
          <w:tcPr>
            <w:tcW w:w="5323" w:type="dxa"/>
            <w:gridSpan w:val="2"/>
            <w:vAlign w:val="top"/>
          </w:tcPr>
          <w:p w14:paraId="6DD8947D">
            <w:pPr>
              <w:pStyle w:val="14"/>
              <w:spacing w:before="48" w:line="238" w:lineRule="auto"/>
              <w:ind w:left="117" w:right="111" w:firstLine="2"/>
            </w:pPr>
            <w:r>
              <w:rPr>
                <w:spacing w:val="12"/>
              </w:rPr>
              <w:t>未按规定配备专职安全生产管理人员或人员资质</w:t>
            </w:r>
            <w:r>
              <w:rPr>
                <w:spacing w:val="11"/>
              </w:rPr>
              <w:t>不符合</w:t>
            </w:r>
            <w:bookmarkStart w:id="67" w:name="bookmark223"/>
            <w:bookmarkEnd w:id="67"/>
            <w:r>
              <w:rPr>
                <w:spacing w:val="2"/>
              </w:rPr>
              <w:t>要求。</w:t>
            </w:r>
          </w:p>
        </w:tc>
        <w:tc>
          <w:tcPr>
            <w:tcW w:w="1103" w:type="dxa"/>
            <w:vAlign w:val="top"/>
          </w:tcPr>
          <w:p w14:paraId="24A601BE">
            <w:pPr>
              <w:pStyle w:val="14"/>
              <w:spacing w:before="182" w:line="228" w:lineRule="auto"/>
              <w:ind w:left="121"/>
            </w:pPr>
            <w:r>
              <w:rPr>
                <w:spacing w:val="6"/>
              </w:rPr>
              <w:t>元/人.月</w:t>
            </w:r>
          </w:p>
        </w:tc>
        <w:tc>
          <w:tcPr>
            <w:tcW w:w="1284" w:type="dxa"/>
            <w:vAlign w:val="top"/>
          </w:tcPr>
          <w:p w14:paraId="44DE1A1D">
            <w:pPr>
              <w:pStyle w:val="14"/>
              <w:spacing w:before="182" w:line="225" w:lineRule="auto"/>
              <w:ind w:left="124"/>
            </w:pPr>
            <w:r>
              <w:rPr>
                <w:spacing w:val="2"/>
              </w:rPr>
              <w:t>5,000</w:t>
            </w:r>
          </w:p>
        </w:tc>
      </w:tr>
    </w:tbl>
    <w:p w14:paraId="11169DB1">
      <w:pPr>
        <w:spacing w:before="204"/>
        <w:rPr>
          <w:rFonts w:hint="eastAsia" w:eastAsia="宋体"/>
          <w:lang w:eastAsia="zh-CN"/>
        </w:rPr>
      </w:pPr>
      <w:r>
        <w:rPr>
          <w:rFonts w:hint="eastAsia" w:eastAsia="宋体"/>
          <w:lang w:eastAsia="zh-CN"/>
        </w:rPr>
        <w:br w:type="page"/>
      </w:r>
    </w:p>
    <w:tbl>
      <w:tblPr>
        <w:tblStyle w:val="13"/>
        <w:tblW w:w="99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827"/>
        <w:gridCol w:w="817"/>
        <w:gridCol w:w="5323"/>
        <w:gridCol w:w="1103"/>
        <w:gridCol w:w="1284"/>
      </w:tblGrid>
      <w:tr w14:paraId="29725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16" w:type="dxa"/>
            <w:vMerge w:val="restart"/>
            <w:tcBorders>
              <w:bottom w:val="nil"/>
            </w:tcBorders>
            <w:vAlign w:val="top"/>
          </w:tcPr>
          <w:p w14:paraId="2E0761E9">
            <w:pPr>
              <w:rPr>
                <w:rFonts w:ascii="Arial"/>
                <w:sz w:val="21"/>
              </w:rPr>
            </w:pPr>
          </w:p>
        </w:tc>
        <w:tc>
          <w:tcPr>
            <w:tcW w:w="827" w:type="dxa"/>
            <w:vMerge w:val="restart"/>
            <w:tcBorders>
              <w:bottom w:val="nil"/>
            </w:tcBorders>
            <w:vAlign w:val="top"/>
          </w:tcPr>
          <w:p w14:paraId="2D276CF0">
            <w:pPr>
              <w:spacing w:line="282" w:lineRule="auto"/>
              <w:rPr>
                <w:rFonts w:ascii="Arial"/>
                <w:sz w:val="21"/>
              </w:rPr>
            </w:pPr>
          </w:p>
          <w:p w14:paraId="24A5893D">
            <w:pPr>
              <w:spacing w:line="282" w:lineRule="auto"/>
              <w:rPr>
                <w:rFonts w:ascii="Arial"/>
                <w:sz w:val="21"/>
              </w:rPr>
            </w:pPr>
          </w:p>
          <w:p w14:paraId="378CFEBB">
            <w:pPr>
              <w:spacing w:line="282" w:lineRule="auto"/>
              <w:rPr>
                <w:rFonts w:ascii="Arial"/>
                <w:sz w:val="21"/>
              </w:rPr>
            </w:pPr>
          </w:p>
          <w:p w14:paraId="0470A138">
            <w:pPr>
              <w:spacing w:line="282" w:lineRule="auto"/>
              <w:rPr>
                <w:rFonts w:ascii="Arial"/>
                <w:sz w:val="21"/>
              </w:rPr>
            </w:pPr>
          </w:p>
          <w:p w14:paraId="765643F8">
            <w:pPr>
              <w:pStyle w:val="14"/>
              <w:spacing w:before="65" w:line="255" w:lineRule="auto"/>
              <w:ind w:left="116" w:right="113" w:firstLine="5"/>
            </w:pPr>
            <w:r>
              <w:rPr>
                <w:spacing w:val="-1"/>
              </w:rPr>
              <w:t>3.</w:t>
            </w:r>
            <w:r>
              <w:rPr>
                <w:spacing w:val="89"/>
              </w:rPr>
              <w:t xml:space="preserve"> </w:t>
            </w:r>
            <w:r>
              <w:rPr>
                <w:spacing w:val="-1"/>
              </w:rPr>
              <w:t>计</w:t>
            </w:r>
            <w:r>
              <w:rPr>
                <w:spacing w:val="1"/>
              </w:rPr>
              <w:t>划</w:t>
            </w:r>
          </w:p>
        </w:tc>
        <w:tc>
          <w:tcPr>
            <w:tcW w:w="817" w:type="dxa"/>
            <w:vAlign w:val="top"/>
          </w:tcPr>
          <w:p w14:paraId="52DC97DF">
            <w:pPr>
              <w:pStyle w:val="14"/>
              <w:spacing w:before="182" w:line="269" w:lineRule="exact"/>
              <w:ind w:left="111"/>
            </w:pPr>
            <w:r>
              <w:rPr>
                <w:spacing w:val="4"/>
                <w:position w:val="1"/>
              </w:rPr>
              <w:t>A301</w:t>
            </w:r>
          </w:p>
        </w:tc>
        <w:tc>
          <w:tcPr>
            <w:tcW w:w="5323" w:type="dxa"/>
            <w:vAlign w:val="top"/>
          </w:tcPr>
          <w:p w14:paraId="46393E67">
            <w:pPr>
              <w:pStyle w:val="14"/>
              <w:spacing w:before="182" w:line="228" w:lineRule="auto"/>
              <w:ind w:left="151"/>
            </w:pPr>
            <w:r>
              <w:rPr>
                <w:spacing w:val="5"/>
              </w:rPr>
              <w:t>自身原因导致未按期开工。</w:t>
            </w:r>
          </w:p>
        </w:tc>
        <w:tc>
          <w:tcPr>
            <w:tcW w:w="1103" w:type="dxa"/>
            <w:vAlign w:val="top"/>
          </w:tcPr>
          <w:p w14:paraId="299ABE80">
            <w:pPr>
              <w:pStyle w:val="14"/>
              <w:spacing w:before="183" w:line="228" w:lineRule="auto"/>
              <w:ind w:left="121"/>
            </w:pPr>
            <w:r>
              <w:rPr>
                <w:spacing w:val="4"/>
              </w:rPr>
              <w:t>元/天</w:t>
            </w:r>
          </w:p>
        </w:tc>
        <w:tc>
          <w:tcPr>
            <w:tcW w:w="1284" w:type="dxa"/>
            <w:vAlign w:val="top"/>
          </w:tcPr>
          <w:p w14:paraId="63FEC952">
            <w:pPr>
              <w:pStyle w:val="14"/>
              <w:spacing w:before="182" w:line="225" w:lineRule="auto"/>
              <w:ind w:left="123"/>
            </w:pPr>
            <w:r>
              <w:rPr>
                <w:spacing w:val="3"/>
              </w:rPr>
              <w:t>20,000</w:t>
            </w:r>
          </w:p>
        </w:tc>
      </w:tr>
      <w:tr w14:paraId="52A6B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64DB0BDC">
            <w:pPr>
              <w:rPr>
                <w:rFonts w:ascii="Arial"/>
                <w:sz w:val="21"/>
              </w:rPr>
            </w:pPr>
          </w:p>
        </w:tc>
        <w:tc>
          <w:tcPr>
            <w:tcW w:w="827" w:type="dxa"/>
            <w:vMerge w:val="continue"/>
            <w:tcBorders>
              <w:top w:val="nil"/>
              <w:bottom w:val="nil"/>
            </w:tcBorders>
            <w:vAlign w:val="top"/>
          </w:tcPr>
          <w:p w14:paraId="291AA966">
            <w:pPr>
              <w:rPr>
                <w:rFonts w:ascii="Arial"/>
                <w:sz w:val="21"/>
              </w:rPr>
            </w:pPr>
          </w:p>
        </w:tc>
        <w:tc>
          <w:tcPr>
            <w:tcW w:w="817" w:type="dxa"/>
            <w:vAlign w:val="top"/>
          </w:tcPr>
          <w:p w14:paraId="0B84AFAA">
            <w:pPr>
              <w:pStyle w:val="14"/>
              <w:spacing w:before="180" w:line="268" w:lineRule="exact"/>
              <w:ind w:left="111"/>
            </w:pPr>
            <w:r>
              <w:rPr>
                <w:spacing w:val="4"/>
                <w:position w:val="1"/>
              </w:rPr>
              <w:t>A302</w:t>
            </w:r>
          </w:p>
        </w:tc>
        <w:tc>
          <w:tcPr>
            <w:tcW w:w="5323" w:type="dxa"/>
            <w:vAlign w:val="top"/>
          </w:tcPr>
          <w:p w14:paraId="5F366896">
            <w:pPr>
              <w:pStyle w:val="14"/>
              <w:spacing w:before="179" w:line="227" w:lineRule="auto"/>
              <w:ind w:left="116"/>
            </w:pPr>
            <w:r>
              <w:rPr>
                <w:spacing w:val="7"/>
              </w:rPr>
              <w:t>每月进度滞后</w:t>
            </w:r>
            <w:r>
              <w:rPr>
                <w:spacing w:val="-19"/>
              </w:rPr>
              <w:t xml:space="preserve"> </w:t>
            </w:r>
            <w:r>
              <w:rPr>
                <w:spacing w:val="7"/>
              </w:rPr>
              <w:t>10%以上而未采取相应补救措施。</w:t>
            </w:r>
          </w:p>
        </w:tc>
        <w:tc>
          <w:tcPr>
            <w:tcW w:w="1103" w:type="dxa"/>
            <w:vAlign w:val="top"/>
          </w:tcPr>
          <w:p w14:paraId="36182E80">
            <w:pPr>
              <w:pStyle w:val="14"/>
              <w:spacing w:before="179" w:line="228" w:lineRule="auto"/>
              <w:ind w:left="121"/>
            </w:pPr>
            <w:r>
              <w:rPr>
                <w:spacing w:val="4"/>
              </w:rPr>
              <w:t>元/月</w:t>
            </w:r>
          </w:p>
        </w:tc>
        <w:tc>
          <w:tcPr>
            <w:tcW w:w="1284" w:type="dxa"/>
            <w:vAlign w:val="top"/>
          </w:tcPr>
          <w:p w14:paraId="6315EB6B">
            <w:pPr>
              <w:pStyle w:val="14"/>
              <w:spacing w:before="179" w:line="225" w:lineRule="auto"/>
              <w:ind w:left="124"/>
            </w:pPr>
            <w:r>
              <w:rPr>
                <w:spacing w:val="2"/>
              </w:rPr>
              <w:t>50,000</w:t>
            </w:r>
          </w:p>
        </w:tc>
      </w:tr>
      <w:tr w14:paraId="321DD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16" w:type="dxa"/>
            <w:vMerge w:val="continue"/>
            <w:tcBorders>
              <w:top w:val="nil"/>
              <w:bottom w:val="nil"/>
            </w:tcBorders>
            <w:vAlign w:val="top"/>
          </w:tcPr>
          <w:p w14:paraId="295224C7">
            <w:pPr>
              <w:rPr>
                <w:rFonts w:ascii="Arial"/>
                <w:sz w:val="21"/>
              </w:rPr>
            </w:pPr>
          </w:p>
        </w:tc>
        <w:tc>
          <w:tcPr>
            <w:tcW w:w="827" w:type="dxa"/>
            <w:vMerge w:val="continue"/>
            <w:tcBorders>
              <w:top w:val="nil"/>
              <w:bottom w:val="nil"/>
            </w:tcBorders>
            <w:vAlign w:val="top"/>
          </w:tcPr>
          <w:p w14:paraId="39F8FBA4">
            <w:pPr>
              <w:rPr>
                <w:rFonts w:ascii="Arial"/>
                <w:sz w:val="21"/>
              </w:rPr>
            </w:pPr>
          </w:p>
        </w:tc>
        <w:tc>
          <w:tcPr>
            <w:tcW w:w="817" w:type="dxa"/>
            <w:vAlign w:val="top"/>
          </w:tcPr>
          <w:p w14:paraId="2E34724A">
            <w:pPr>
              <w:pStyle w:val="14"/>
              <w:spacing w:before="179" w:line="268" w:lineRule="exact"/>
              <w:ind w:left="111"/>
            </w:pPr>
            <w:r>
              <w:rPr>
                <w:spacing w:val="4"/>
                <w:position w:val="1"/>
              </w:rPr>
              <w:t>A303</w:t>
            </w:r>
          </w:p>
        </w:tc>
        <w:tc>
          <w:tcPr>
            <w:tcW w:w="5323" w:type="dxa"/>
            <w:vAlign w:val="top"/>
          </w:tcPr>
          <w:p w14:paraId="1D49B62F">
            <w:pPr>
              <w:pStyle w:val="14"/>
              <w:spacing w:before="178" w:line="228" w:lineRule="auto"/>
              <w:ind w:left="120"/>
            </w:pPr>
            <w:r>
              <w:rPr>
                <w:spacing w:val="8"/>
              </w:rPr>
              <w:t>未按规定要求编制、上报和评审施工计划。</w:t>
            </w:r>
          </w:p>
        </w:tc>
        <w:tc>
          <w:tcPr>
            <w:tcW w:w="1103" w:type="dxa"/>
            <w:vAlign w:val="top"/>
          </w:tcPr>
          <w:p w14:paraId="480494AA">
            <w:pPr>
              <w:pStyle w:val="14"/>
              <w:spacing w:before="178" w:line="228" w:lineRule="auto"/>
              <w:ind w:left="121"/>
            </w:pPr>
            <w:r>
              <w:rPr>
                <w:spacing w:val="4"/>
              </w:rPr>
              <w:t>元/次</w:t>
            </w:r>
          </w:p>
        </w:tc>
        <w:tc>
          <w:tcPr>
            <w:tcW w:w="1284" w:type="dxa"/>
            <w:vAlign w:val="top"/>
          </w:tcPr>
          <w:p w14:paraId="395FD7C2">
            <w:pPr>
              <w:pStyle w:val="14"/>
              <w:spacing w:before="178" w:line="225" w:lineRule="auto"/>
              <w:ind w:left="124"/>
            </w:pPr>
            <w:r>
              <w:rPr>
                <w:spacing w:val="2"/>
              </w:rPr>
              <w:t>5,000</w:t>
            </w:r>
          </w:p>
        </w:tc>
      </w:tr>
      <w:tr w14:paraId="10E75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16" w:type="dxa"/>
            <w:vMerge w:val="continue"/>
            <w:tcBorders>
              <w:top w:val="nil"/>
              <w:bottom w:val="nil"/>
            </w:tcBorders>
            <w:vAlign w:val="top"/>
          </w:tcPr>
          <w:p w14:paraId="27E8744F">
            <w:pPr>
              <w:rPr>
                <w:rFonts w:ascii="Arial"/>
                <w:sz w:val="21"/>
              </w:rPr>
            </w:pPr>
          </w:p>
        </w:tc>
        <w:tc>
          <w:tcPr>
            <w:tcW w:w="827" w:type="dxa"/>
            <w:vMerge w:val="continue"/>
            <w:tcBorders>
              <w:top w:val="nil"/>
              <w:bottom w:val="nil"/>
            </w:tcBorders>
            <w:vAlign w:val="top"/>
          </w:tcPr>
          <w:p w14:paraId="34302833">
            <w:pPr>
              <w:rPr>
                <w:rFonts w:ascii="Arial"/>
                <w:sz w:val="21"/>
              </w:rPr>
            </w:pPr>
          </w:p>
        </w:tc>
        <w:tc>
          <w:tcPr>
            <w:tcW w:w="817" w:type="dxa"/>
            <w:vAlign w:val="top"/>
          </w:tcPr>
          <w:p w14:paraId="4B05343C">
            <w:pPr>
              <w:pStyle w:val="14"/>
              <w:spacing w:before="181" w:line="268" w:lineRule="exact"/>
              <w:ind w:left="111"/>
            </w:pPr>
            <w:r>
              <w:rPr>
                <w:spacing w:val="4"/>
                <w:position w:val="1"/>
              </w:rPr>
              <w:t>A304</w:t>
            </w:r>
          </w:p>
        </w:tc>
        <w:tc>
          <w:tcPr>
            <w:tcW w:w="5323" w:type="dxa"/>
            <w:vAlign w:val="top"/>
          </w:tcPr>
          <w:p w14:paraId="3A1ADFF5">
            <w:pPr>
              <w:pStyle w:val="14"/>
              <w:spacing w:before="181" w:line="228" w:lineRule="auto"/>
              <w:ind w:left="120"/>
            </w:pPr>
            <w:r>
              <w:rPr>
                <w:spacing w:val="8"/>
              </w:rPr>
              <w:t>未按要求编制分部分项工程施工方案。</w:t>
            </w:r>
          </w:p>
        </w:tc>
        <w:tc>
          <w:tcPr>
            <w:tcW w:w="1103" w:type="dxa"/>
            <w:vAlign w:val="top"/>
          </w:tcPr>
          <w:p w14:paraId="01A965F1">
            <w:pPr>
              <w:pStyle w:val="14"/>
              <w:spacing w:before="181" w:line="228" w:lineRule="auto"/>
              <w:ind w:left="121"/>
            </w:pPr>
            <w:r>
              <w:rPr>
                <w:spacing w:val="7"/>
              </w:rPr>
              <w:t>元/项.次</w:t>
            </w:r>
          </w:p>
        </w:tc>
        <w:tc>
          <w:tcPr>
            <w:tcW w:w="1284" w:type="dxa"/>
            <w:vAlign w:val="top"/>
          </w:tcPr>
          <w:p w14:paraId="460E84E0">
            <w:pPr>
              <w:pStyle w:val="14"/>
              <w:spacing w:before="181" w:line="225" w:lineRule="auto"/>
              <w:ind w:left="124"/>
            </w:pPr>
            <w:r>
              <w:rPr>
                <w:spacing w:val="2"/>
              </w:rPr>
              <w:t>5,000</w:t>
            </w:r>
          </w:p>
        </w:tc>
      </w:tr>
      <w:tr w14:paraId="45204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16" w:type="dxa"/>
            <w:vMerge w:val="continue"/>
            <w:tcBorders>
              <w:top w:val="nil"/>
              <w:bottom w:val="nil"/>
            </w:tcBorders>
            <w:vAlign w:val="top"/>
          </w:tcPr>
          <w:p w14:paraId="1EA51986">
            <w:pPr>
              <w:rPr>
                <w:rFonts w:ascii="Arial"/>
                <w:sz w:val="21"/>
              </w:rPr>
            </w:pPr>
          </w:p>
        </w:tc>
        <w:tc>
          <w:tcPr>
            <w:tcW w:w="827" w:type="dxa"/>
            <w:vMerge w:val="continue"/>
            <w:tcBorders>
              <w:top w:val="nil"/>
            </w:tcBorders>
            <w:vAlign w:val="top"/>
          </w:tcPr>
          <w:p w14:paraId="302F7EBA">
            <w:pPr>
              <w:rPr>
                <w:rFonts w:ascii="Arial"/>
                <w:sz w:val="21"/>
              </w:rPr>
            </w:pPr>
          </w:p>
        </w:tc>
        <w:tc>
          <w:tcPr>
            <w:tcW w:w="817" w:type="dxa"/>
            <w:vAlign w:val="top"/>
          </w:tcPr>
          <w:p w14:paraId="6480BDAB">
            <w:pPr>
              <w:pStyle w:val="14"/>
              <w:spacing w:before="181" w:line="268" w:lineRule="exact"/>
              <w:ind w:left="111"/>
            </w:pPr>
            <w:r>
              <w:rPr>
                <w:spacing w:val="4"/>
                <w:position w:val="1"/>
              </w:rPr>
              <w:t>A305</w:t>
            </w:r>
          </w:p>
        </w:tc>
        <w:tc>
          <w:tcPr>
            <w:tcW w:w="5323" w:type="dxa"/>
            <w:vAlign w:val="top"/>
          </w:tcPr>
          <w:p w14:paraId="4F56889D">
            <w:pPr>
              <w:pStyle w:val="14"/>
              <w:spacing w:before="45" w:line="238" w:lineRule="auto"/>
              <w:ind w:left="119" w:right="111"/>
            </w:pPr>
            <w:r>
              <w:rPr>
                <w:spacing w:val="12"/>
              </w:rPr>
              <w:t>关键分部、分项工程及危险性较大的分部分项工</w:t>
            </w:r>
            <w:r>
              <w:rPr>
                <w:spacing w:val="11"/>
              </w:rPr>
              <w:t>程的施</w:t>
            </w:r>
            <w:r>
              <w:rPr>
                <w:spacing w:val="8"/>
              </w:rPr>
              <w:t>工方案未组织专家审查论证。</w:t>
            </w:r>
          </w:p>
        </w:tc>
        <w:tc>
          <w:tcPr>
            <w:tcW w:w="1103" w:type="dxa"/>
            <w:vAlign w:val="top"/>
          </w:tcPr>
          <w:p w14:paraId="7145351D">
            <w:pPr>
              <w:pStyle w:val="14"/>
              <w:spacing w:before="181" w:line="228" w:lineRule="auto"/>
              <w:ind w:left="121"/>
            </w:pPr>
            <w:r>
              <w:rPr>
                <w:spacing w:val="7"/>
              </w:rPr>
              <w:t>元/项.次</w:t>
            </w:r>
          </w:p>
        </w:tc>
        <w:tc>
          <w:tcPr>
            <w:tcW w:w="1284" w:type="dxa"/>
            <w:vAlign w:val="top"/>
          </w:tcPr>
          <w:p w14:paraId="2073A511">
            <w:pPr>
              <w:pStyle w:val="14"/>
              <w:spacing w:before="181" w:line="225" w:lineRule="auto"/>
              <w:ind w:left="136"/>
            </w:pPr>
            <w:r>
              <w:rPr>
                <w:spacing w:val="1"/>
              </w:rPr>
              <w:t>10,000</w:t>
            </w:r>
          </w:p>
        </w:tc>
      </w:tr>
      <w:tr w14:paraId="46D6F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37E3A29C">
            <w:pPr>
              <w:rPr>
                <w:rFonts w:ascii="Arial"/>
                <w:sz w:val="21"/>
              </w:rPr>
            </w:pPr>
          </w:p>
        </w:tc>
        <w:tc>
          <w:tcPr>
            <w:tcW w:w="827" w:type="dxa"/>
            <w:vMerge w:val="restart"/>
            <w:tcBorders>
              <w:bottom w:val="nil"/>
            </w:tcBorders>
            <w:vAlign w:val="top"/>
          </w:tcPr>
          <w:p w14:paraId="7F6AB3C0">
            <w:pPr>
              <w:spacing w:line="248" w:lineRule="auto"/>
              <w:rPr>
                <w:rFonts w:ascii="Arial"/>
                <w:sz w:val="21"/>
              </w:rPr>
            </w:pPr>
          </w:p>
          <w:p w14:paraId="270BE3F4">
            <w:pPr>
              <w:spacing w:line="248" w:lineRule="auto"/>
              <w:rPr>
                <w:rFonts w:ascii="Arial"/>
                <w:sz w:val="21"/>
              </w:rPr>
            </w:pPr>
          </w:p>
          <w:p w14:paraId="562F9406">
            <w:pPr>
              <w:spacing w:line="248" w:lineRule="auto"/>
              <w:rPr>
                <w:rFonts w:ascii="Arial"/>
                <w:sz w:val="21"/>
              </w:rPr>
            </w:pPr>
          </w:p>
          <w:p w14:paraId="2CD8AACC">
            <w:pPr>
              <w:spacing w:line="248" w:lineRule="auto"/>
              <w:rPr>
                <w:rFonts w:ascii="Arial"/>
                <w:sz w:val="21"/>
              </w:rPr>
            </w:pPr>
          </w:p>
          <w:p w14:paraId="5E3686A8">
            <w:pPr>
              <w:spacing w:line="249" w:lineRule="auto"/>
              <w:rPr>
                <w:rFonts w:ascii="Arial"/>
                <w:sz w:val="21"/>
              </w:rPr>
            </w:pPr>
          </w:p>
          <w:p w14:paraId="4C6EC80E">
            <w:pPr>
              <w:spacing w:line="249" w:lineRule="auto"/>
              <w:rPr>
                <w:rFonts w:ascii="Arial"/>
                <w:sz w:val="21"/>
              </w:rPr>
            </w:pPr>
          </w:p>
          <w:p w14:paraId="0038107D">
            <w:pPr>
              <w:spacing w:line="249" w:lineRule="auto"/>
              <w:rPr>
                <w:rFonts w:ascii="Arial"/>
                <w:sz w:val="21"/>
              </w:rPr>
            </w:pPr>
          </w:p>
          <w:p w14:paraId="661BABCF">
            <w:pPr>
              <w:spacing w:line="249" w:lineRule="auto"/>
              <w:rPr>
                <w:rFonts w:ascii="Arial"/>
                <w:sz w:val="21"/>
              </w:rPr>
            </w:pPr>
          </w:p>
          <w:p w14:paraId="3C064A27">
            <w:pPr>
              <w:pStyle w:val="14"/>
              <w:spacing w:before="65" w:line="252" w:lineRule="auto"/>
              <w:ind w:left="116" w:right="113"/>
            </w:pPr>
            <w:r>
              <w:rPr>
                <w:spacing w:val="-2"/>
              </w:rPr>
              <w:t>4.  资</w:t>
            </w:r>
            <w:r>
              <w:t>料</w:t>
            </w:r>
          </w:p>
        </w:tc>
        <w:tc>
          <w:tcPr>
            <w:tcW w:w="817" w:type="dxa"/>
            <w:vAlign w:val="top"/>
          </w:tcPr>
          <w:p w14:paraId="64ED4DE0">
            <w:pPr>
              <w:pStyle w:val="14"/>
              <w:spacing w:before="181" w:line="268" w:lineRule="exact"/>
              <w:ind w:left="111"/>
            </w:pPr>
            <w:r>
              <w:rPr>
                <w:spacing w:val="4"/>
                <w:position w:val="1"/>
              </w:rPr>
              <w:t>A401</w:t>
            </w:r>
          </w:p>
        </w:tc>
        <w:tc>
          <w:tcPr>
            <w:tcW w:w="5323" w:type="dxa"/>
            <w:vAlign w:val="top"/>
          </w:tcPr>
          <w:p w14:paraId="04E19DDE">
            <w:pPr>
              <w:pStyle w:val="14"/>
              <w:spacing w:before="46" w:line="238" w:lineRule="auto"/>
              <w:ind w:left="116" w:right="100" w:firstLine="3"/>
            </w:pPr>
            <w:r>
              <w:rPr>
                <w:spacing w:val="8"/>
              </w:rPr>
              <w:t>未履行规定程序而擅自改变设计(包括设计方案</w:t>
            </w:r>
            <w:r>
              <w:rPr>
                <w:spacing w:val="7"/>
              </w:rPr>
              <w:t>、尺寸、</w:t>
            </w:r>
            <w:r>
              <w:rPr>
                <w:spacing w:val="5"/>
              </w:rPr>
              <w:t>位置)</w:t>
            </w:r>
          </w:p>
        </w:tc>
        <w:tc>
          <w:tcPr>
            <w:tcW w:w="1103" w:type="dxa"/>
            <w:vAlign w:val="top"/>
          </w:tcPr>
          <w:p w14:paraId="6585C4F9">
            <w:pPr>
              <w:pStyle w:val="14"/>
              <w:spacing w:before="181" w:line="228" w:lineRule="auto"/>
              <w:ind w:left="121"/>
            </w:pPr>
            <w:r>
              <w:rPr>
                <w:spacing w:val="4"/>
              </w:rPr>
              <w:t>元/次</w:t>
            </w:r>
          </w:p>
        </w:tc>
        <w:tc>
          <w:tcPr>
            <w:tcW w:w="1284" w:type="dxa"/>
            <w:vAlign w:val="top"/>
          </w:tcPr>
          <w:p w14:paraId="4A133368">
            <w:pPr>
              <w:pStyle w:val="14"/>
              <w:spacing w:before="181" w:line="225" w:lineRule="auto"/>
              <w:ind w:left="123"/>
            </w:pPr>
            <w:r>
              <w:rPr>
                <w:spacing w:val="3"/>
              </w:rPr>
              <w:t>200,000</w:t>
            </w:r>
          </w:p>
        </w:tc>
      </w:tr>
      <w:tr w14:paraId="3730B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0E18CE6A">
            <w:pPr>
              <w:rPr>
                <w:rFonts w:ascii="Arial"/>
                <w:sz w:val="21"/>
              </w:rPr>
            </w:pPr>
          </w:p>
        </w:tc>
        <w:tc>
          <w:tcPr>
            <w:tcW w:w="827" w:type="dxa"/>
            <w:vMerge w:val="continue"/>
            <w:tcBorders>
              <w:top w:val="nil"/>
              <w:bottom w:val="nil"/>
            </w:tcBorders>
            <w:vAlign w:val="top"/>
          </w:tcPr>
          <w:p w14:paraId="4097884F">
            <w:pPr>
              <w:rPr>
                <w:rFonts w:ascii="Arial"/>
                <w:sz w:val="21"/>
              </w:rPr>
            </w:pPr>
          </w:p>
        </w:tc>
        <w:tc>
          <w:tcPr>
            <w:tcW w:w="817" w:type="dxa"/>
            <w:vAlign w:val="top"/>
          </w:tcPr>
          <w:p w14:paraId="0880F04F">
            <w:pPr>
              <w:pStyle w:val="14"/>
              <w:spacing w:before="182" w:line="269" w:lineRule="exact"/>
              <w:ind w:left="111"/>
            </w:pPr>
            <w:r>
              <w:rPr>
                <w:spacing w:val="4"/>
                <w:position w:val="1"/>
              </w:rPr>
              <w:t>A402</w:t>
            </w:r>
          </w:p>
        </w:tc>
        <w:tc>
          <w:tcPr>
            <w:tcW w:w="5323" w:type="dxa"/>
            <w:vAlign w:val="top"/>
          </w:tcPr>
          <w:p w14:paraId="7CEADB0E">
            <w:pPr>
              <w:pStyle w:val="14"/>
              <w:spacing w:before="182" w:line="228" w:lineRule="auto"/>
              <w:ind w:left="120"/>
            </w:pPr>
            <w:r>
              <w:rPr>
                <w:spacing w:val="8"/>
              </w:rPr>
              <w:t>设备和试验室无管理台帐。</w:t>
            </w:r>
          </w:p>
        </w:tc>
        <w:tc>
          <w:tcPr>
            <w:tcW w:w="1103" w:type="dxa"/>
            <w:vAlign w:val="top"/>
          </w:tcPr>
          <w:p w14:paraId="61DB701B">
            <w:pPr>
              <w:pStyle w:val="14"/>
              <w:spacing w:before="182" w:line="228" w:lineRule="auto"/>
              <w:ind w:left="121"/>
            </w:pPr>
            <w:r>
              <w:rPr>
                <w:spacing w:val="4"/>
              </w:rPr>
              <w:t>元/次</w:t>
            </w:r>
          </w:p>
        </w:tc>
        <w:tc>
          <w:tcPr>
            <w:tcW w:w="1284" w:type="dxa"/>
            <w:vAlign w:val="top"/>
          </w:tcPr>
          <w:p w14:paraId="4AFF9BEB">
            <w:pPr>
              <w:pStyle w:val="14"/>
              <w:spacing w:before="182" w:line="225" w:lineRule="auto"/>
              <w:ind w:left="123"/>
            </w:pPr>
            <w:r>
              <w:rPr>
                <w:spacing w:val="2"/>
              </w:rPr>
              <w:t>2,000</w:t>
            </w:r>
          </w:p>
        </w:tc>
      </w:tr>
      <w:tr w14:paraId="2E2A3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6D5DBC2A">
            <w:pPr>
              <w:rPr>
                <w:rFonts w:ascii="Arial"/>
                <w:sz w:val="21"/>
              </w:rPr>
            </w:pPr>
          </w:p>
        </w:tc>
        <w:tc>
          <w:tcPr>
            <w:tcW w:w="827" w:type="dxa"/>
            <w:vMerge w:val="continue"/>
            <w:tcBorders>
              <w:top w:val="nil"/>
              <w:bottom w:val="nil"/>
            </w:tcBorders>
            <w:vAlign w:val="top"/>
          </w:tcPr>
          <w:p w14:paraId="7EE0C8EB">
            <w:pPr>
              <w:rPr>
                <w:rFonts w:ascii="Arial"/>
                <w:sz w:val="21"/>
              </w:rPr>
            </w:pPr>
          </w:p>
        </w:tc>
        <w:tc>
          <w:tcPr>
            <w:tcW w:w="817" w:type="dxa"/>
            <w:vAlign w:val="top"/>
          </w:tcPr>
          <w:p w14:paraId="48C2B908">
            <w:pPr>
              <w:pStyle w:val="14"/>
              <w:spacing w:before="181" w:line="269" w:lineRule="exact"/>
              <w:ind w:left="111"/>
            </w:pPr>
            <w:r>
              <w:rPr>
                <w:spacing w:val="4"/>
                <w:position w:val="1"/>
              </w:rPr>
              <w:t>A403</w:t>
            </w:r>
          </w:p>
        </w:tc>
        <w:tc>
          <w:tcPr>
            <w:tcW w:w="5323" w:type="dxa"/>
            <w:vAlign w:val="top"/>
          </w:tcPr>
          <w:p w14:paraId="697FD143">
            <w:pPr>
              <w:pStyle w:val="14"/>
              <w:spacing w:before="181" w:line="228" w:lineRule="auto"/>
              <w:ind w:left="116"/>
            </w:pPr>
            <w:r>
              <w:rPr>
                <w:spacing w:val="8"/>
              </w:rPr>
              <w:t>试验资料不齐全，填写不标准，签字不全。</w:t>
            </w:r>
          </w:p>
        </w:tc>
        <w:tc>
          <w:tcPr>
            <w:tcW w:w="1103" w:type="dxa"/>
            <w:vAlign w:val="top"/>
          </w:tcPr>
          <w:p w14:paraId="7543FE45">
            <w:pPr>
              <w:pStyle w:val="14"/>
              <w:spacing w:before="181" w:line="228" w:lineRule="auto"/>
              <w:ind w:left="121"/>
            </w:pPr>
            <w:r>
              <w:rPr>
                <w:spacing w:val="4"/>
              </w:rPr>
              <w:t>元/次</w:t>
            </w:r>
          </w:p>
        </w:tc>
        <w:tc>
          <w:tcPr>
            <w:tcW w:w="1284" w:type="dxa"/>
            <w:vAlign w:val="top"/>
          </w:tcPr>
          <w:p w14:paraId="3B487D47">
            <w:pPr>
              <w:pStyle w:val="14"/>
              <w:spacing w:before="181" w:line="225" w:lineRule="auto"/>
              <w:ind w:left="136"/>
            </w:pPr>
            <w:r>
              <w:t>1,000</w:t>
            </w:r>
          </w:p>
        </w:tc>
      </w:tr>
      <w:tr w14:paraId="61A34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6EA8BDB7">
            <w:pPr>
              <w:rPr>
                <w:rFonts w:ascii="Arial"/>
                <w:sz w:val="21"/>
              </w:rPr>
            </w:pPr>
          </w:p>
        </w:tc>
        <w:tc>
          <w:tcPr>
            <w:tcW w:w="827" w:type="dxa"/>
            <w:vMerge w:val="continue"/>
            <w:tcBorders>
              <w:top w:val="nil"/>
              <w:bottom w:val="nil"/>
            </w:tcBorders>
            <w:vAlign w:val="top"/>
          </w:tcPr>
          <w:p w14:paraId="139D8352">
            <w:pPr>
              <w:rPr>
                <w:rFonts w:ascii="Arial"/>
                <w:sz w:val="21"/>
              </w:rPr>
            </w:pPr>
          </w:p>
        </w:tc>
        <w:tc>
          <w:tcPr>
            <w:tcW w:w="817" w:type="dxa"/>
            <w:vAlign w:val="top"/>
          </w:tcPr>
          <w:p w14:paraId="0B4E1623">
            <w:pPr>
              <w:pStyle w:val="14"/>
              <w:spacing w:before="183" w:line="268" w:lineRule="exact"/>
              <w:ind w:left="111"/>
            </w:pPr>
            <w:r>
              <w:rPr>
                <w:spacing w:val="4"/>
                <w:position w:val="1"/>
              </w:rPr>
              <w:t>A404</w:t>
            </w:r>
          </w:p>
        </w:tc>
        <w:tc>
          <w:tcPr>
            <w:tcW w:w="5323" w:type="dxa"/>
            <w:vAlign w:val="top"/>
          </w:tcPr>
          <w:p w14:paraId="7E7AB67C">
            <w:pPr>
              <w:pStyle w:val="14"/>
              <w:spacing w:before="182" w:line="228" w:lineRule="auto"/>
              <w:ind w:left="117"/>
            </w:pPr>
            <w:r>
              <w:rPr>
                <w:spacing w:val="8"/>
              </w:rPr>
              <w:t>测试资料不真实、有涂改的。</w:t>
            </w:r>
          </w:p>
        </w:tc>
        <w:tc>
          <w:tcPr>
            <w:tcW w:w="1103" w:type="dxa"/>
            <w:vAlign w:val="top"/>
          </w:tcPr>
          <w:p w14:paraId="2DAE7C42">
            <w:pPr>
              <w:pStyle w:val="14"/>
              <w:spacing w:before="182" w:line="228" w:lineRule="auto"/>
              <w:ind w:left="121"/>
            </w:pPr>
            <w:r>
              <w:rPr>
                <w:spacing w:val="4"/>
              </w:rPr>
              <w:t>元/次</w:t>
            </w:r>
          </w:p>
        </w:tc>
        <w:tc>
          <w:tcPr>
            <w:tcW w:w="1284" w:type="dxa"/>
            <w:vAlign w:val="top"/>
          </w:tcPr>
          <w:p w14:paraId="12E4A88C">
            <w:pPr>
              <w:pStyle w:val="14"/>
              <w:spacing w:before="183" w:line="225" w:lineRule="auto"/>
              <w:ind w:left="123"/>
            </w:pPr>
            <w:r>
              <w:rPr>
                <w:spacing w:val="2"/>
              </w:rPr>
              <w:t>2,000</w:t>
            </w:r>
          </w:p>
        </w:tc>
      </w:tr>
      <w:tr w14:paraId="72213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2F8FF5A8">
            <w:pPr>
              <w:rPr>
                <w:rFonts w:ascii="Arial"/>
                <w:sz w:val="21"/>
              </w:rPr>
            </w:pPr>
          </w:p>
        </w:tc>
        <w:tc>
          <w:tcPr>
            <w:tcW w:w="827" w:type="dxa"/>
            <w:vMerge w:val="continue"/>
            <w:tcBorders>
              <w:top w:val="nil"/>
              <w:bottom w:val="nil"/>
            </w:tcBorders>
            <w:vAlign w:val="top"/>
          </w:tcPr>
          <w:p w14:paraId="4F1298BA">
            <w:pPr>
              <w:rPr>
                <w:rFonts w:ascii="Arial"/>
                <w:sz w:val="21"/>
              </w:rPr>
            </w:pPr>
          </w:p>
        </w:tc>
        <w:tc>
          <w:tcPr>
            <w:tcW w:w="817" w:type="dxa"/>
            <w:vAlign w:val="top"/>
          </w:tcPr>
          <w:p w14:paraId="7717CB16">
            <w:pPr>
              <w:pStyle w:val="14"/>
              <w:spacing w:before="182" w:line="268" w:lineRule="exact"/>
              <w:ind w:left="111"/>
            </w:pPr>
            <w:r>
              <w:rPr>
                <w:spacing w:val="4"/>
                <w:position w:val="1"/>
              </w:rPr>
              <w:t>A405</w:t>
            </w:r>
          </w:p>
        </w:tc>
        <w:tc>
          <w:tcPr>
            <w:tcW w:w="5323" w:type="dxa"/>
            <w:vAlign w:val="top"/>
          </w:tcPr>
          <w:p w14:paraId="474DA83B">
            <w:pPr>
              <w:pStyle w:val="14"/>
              <w:spacing w:before="181" w:line="228" w:lineRule="auto"/>
              <w:ind w:left="120"/>
            </w:pPr>
            <w:r>
              <w:rPr>
                <w:spacing w:val="9"/>
              </w:rPr>
              <w:t>未按规定做好各项资料的编制，又未按要求整改</w:t>
            </w:r>
            <w:r>
              <w:rPr>
                <w:spacing w:val="8"/>
              </w:rPr>
              <w:t>的。</w:t>
            </w:r>
          </w:p>
        </w:tc>
        <w:tc>
          <w:tcPr>
            <w:tcW w:w="1103" w:type="dxa"/>
            <w:vAlign w:val="top"/>
          </w:tcPr>
          <w:p w14:paraId="64EA6191">
            <w:pPr>
              <w:pStyle w:val="14"/>
              <w:spacing w:before="181" w:line="228" w:lineRule="auto"/>
              <w:ind w:left="121"/>
            </w:pPr>
            <w:r>
              <w:rPr>
                <w:spacing w:val="4"/>
              </w:rPr>
              <w:t>元/次</w:t>
            </w:r>
          </w:p>
        </w:tc>
        <w:tc>
          <w:tcPr>
            <w:tcW w:w="1284" w:type="dxa"/>
            <w:vAlign w:val="top"/>
          </w:tcPr>
          <w:p w14:paraId="145A95CC">
            <w:pPr>
              <w:pStyle w:val="14"/>
              <w:spacing w:before="182" w:line="225" w:lineRule="auto"/>
              <w:ind w:left="123"/>
            </w:pPr>
            <w:r>
              <w:rPr>
                <w:spacing w:val="2"/>
              </w:rPr>
              <w:t>2,000</w:t>
            </w:r>
          </w:p>
        </w:tc>
      </w:tr>
      <w:tr w14:paraId="5BAED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77FAE27D">
            <w:pPr>
              <w:rPr>
                <w:rFonts w:ascii="Arial"/>
                <w:sz w:val="21"/>
              </w:rPr>
            </w:pPr>
          </w:p>
        </w:tc>
        <w:tc>
          <w:tcPr>
            <w:tcW w:w="827" w:type="dxa"/>
            <w:vMerge w:val="continue"/>
            <w:tcBorders>
              <w:top w:val="nil"/>
              <w:bottom w:val="nil"/>
            </w:tcBorders>
            <w:vAlign w:val="top"/>
          </w:tcPr>
          <w:p w14:paraId="5D98F90A">
            <w:pPr>
              <w:rPr>
                <w:rFonts w:ascii="Arial"/>
                <w:sz w:val="21"/>
              </w:rPr>
            </w:pPr>
          </w:p>
        </w:tc>
        <w:tc>
          <w:tcPr>
            <w:tcW w:w="817" w:type="dxa"/>
            <w:vAlign w:val="top"/>
          </w:tcPr>
          <w:p w14:paraId="25D9A75A">
            <w:pPr>
              <w:pStyle w:val="14"/>
              <w:spacing w:before="181" w:line="268" w:lineRule="exact"/>
              <w:ind w:left="111"/>
            </w:pPr>
            <w:r>
              <w:rPr>
                <w:spacing w:val="4"/>
                <w:position w:val="1"/>
              </w:rPr>
              <w:t>A406</w:t>
            </w:r>
          </w:p>
        </w:tc>
        <w:tc>
          <w:tcPr>
            <w:tcW w:w="5323" w:type="dxa"/>
            <w:vAlign w:val="top"/>
          </w:tcPr>
          <w:p w14:paraId="43374774">
            <w:pPr>
              <w:pStyle w:val="14"/>
              <w:spacing w:before="181" w:line="227" w:lineRule="auto"/>
              <w:ind w:left="121"/>
            </w:pPr>
            <w:r>
              <w:rPr>
                <w:spacing w:val="7"/>
              </w:rPr>
              <w:t>原始资料弄虚作假。</w:t>
            </w:r>
          </w:p>
        </w:tc>
        <w:tc>
          <w:tcPr>
            <w:tcW w:w="1103" w:type="dxa"/>
            <w:vAlign w:val="top"/>
          </w:tcPr>
          <w:p w14:paraId="3E238A04">
            <w:pPr>
              <w:pStyle w:val="14"/>
              <w:spacing w:before="180" w:line="228" w:lineRule="auto"/>
              <w:ind w:left="121"/>
            </w:pPr>
            <w:r>
              <w:rPr>
                <w:spacing w:val="4"/>
              </w:rPr>
              <w:t>元/次</w:t>
            </w:r>
          </w:p>
        </w:tc>
        <w:tc>
          <w:tcPr>
            <w:tcW w:w="1284" w:type="dxa"/>
            <w:vAlign w:val="top"/>
          </w:tcPr>
          <w:p w14:paraId="3A3A0D48">
            <w:pPr>
              <w:pStyle w:val="14"/>
              <w:spacing w:before="181" w:line="225" w:lineRule="auto"/>
              <w:ind w:left="123"/>
            </w:pPr>
            <w:r>
              <w:rPr>
                <w:spacing w:val="2"/>
              </w:rPr>
              <w:t>2,000</w:t>
            </w:r>
          </w:p>
        </w:tc>
      </w:tr>
      <w:tr w14:paraId="65A66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467B1D69">
            <w:pPr>
              <w:rPr>
                <w:rFonts w:ascii="Arial"/>
                <w:sz w:val="21"/>
              </w:rPr>
            </w:pPr>
          </w:p>
        </w:tc>
        <w:tc>
          <w:tcPr>
            <w:tcW w:w="827" w:type="dxa"/>
            <w:vMerge w:val="continue"/>
            <w:tcBorders>
              <w:top w:val="nil"/>
              <w:bottom w:val="nil"/>
            </w:tcBorders>
            <w:vAlign w:val="top"/>
          </w:tcPr>
          <w:p w14:paraId="61328CE0">
            <w:pPr>
              <w:rPr>
                <w:rFonts w:ascii="Arial"/>
                <w:sz w:val="21"/>
              </w:rPr>
            </w:pPr>
          </w:p>
        </w:tc>
        <w:tc>
          <w:tcPr>
            <w:tcW w:w="817" w:type="dxa"/>
            <w:vAlign w:val="top"/>
          </w:tcPr>
          <w:p w14:paraId="3E8A392B">
            <w:pPr>
              <w:pStyle w:val="14"/>
              <w:spacing w:before="182" w:line="269" w:lineRule="exact"/>
              <w:ind w:left="111"/>
            </w:pPr>
            <w:r>
              <w:rPr>
                <w:spacing w:val="4"/>
                <w:position w:val="1"/>
              </w:rPr>
              <w:t>A407</w:t>
            </w:r>
          </w:p>
        </w:tc>
        <w:tc>
          <w:tcPr>
            <w:tcW w:w="5323" w:type="dxa"/>
            <w:vAlign w:val="top"/>
          </w:tcPr>
          <w:p w14:paraId="546BB37A">
            <w:pPr>
              <w:pStyle w:val="14"/>
              <w:spacing w:before="182" w:line="228" w:lineRule="auto"/>
              <w:ind w:left="120"/>
            </w:pPr>
            <w:r>
              <w:rPr>
                <w:spacing w:val="8"/>
              </w:rPr>
              <w:t>未按规定时间、路径或程序上报文件。</w:t>
            </w:r>
          </w:p>
        </w:tc>
        <w:tc>
          <w:tcPr>
            <w:tcW w:w="1103" w:type="dxa"/>
            <w:vAlign w:val="top"/>
          </w:tcPr>
          <w:p w14:paraId="7F6D9B87">
            <w:pPr>
              <w:pStyle w:val="14"/>
              <w:spacing w:before="182" w:line="228" w:lineRule="auto"/>
              <w:ind w:left="121"/>
            </w:pPr>
            <w:r>
              <w:rPr>
                <w:spacing w:val="4"/>
              </w:rPr>
              <w:t>元/次</w:t>
            </w:r>
          </w:p>
        </w:tc>
        <w:tc>
          <w:tcPr>
            <w:tcW w:w="1284" w:type="dxa"/>
            <w:vAlign w:val="top"/>
          </w:tcPr>
          <w:p w14:paraId="303F5629">
            <w:pPr>
              <w:pStyle w:val="14"/>
              <w:spacing w:before="182" w:line="225" w:lineRule="auto"/>
              <w:ind w:left="124"/>
            </w:pPr>
            <w:r>
              <w:rPr>
                <w:spacing w:val="2"/>
              </w:rPr>
              <w:t>3,000</w:t>
            </w:r>
          </w:p>
        </w:tc>
      </w:tr>
      <w:tr w14:paraId="032E8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6A69DD55">
            <w:pPr>
              <w:rPr>
                <w:rFonts w:ascii="Arial"/>
                <w:sz w:val="21"/>
              </w:rPr>
            </w:pPr>
          </w:p>
        </w:tc>
        <w:tc>
          <w:tcPr>
            <w:tcW w:w="827" w:type="dxa"/>
            <w:vMerge w:val="continue"/>
            <w:tcBorders>
              <w:top w:val="nil"/>
            </w:tcBorders>
            <w:vAlign w:val="top"/>
          </w:tcPr>
          <w:p w14:paraId="37F9F44A">
            <w:pPr>
              <w:rPr>
                <w:rFonts w:ascii="Arial"/>
                <w:sz w:val="21"/>
              </w:rPr>
            </w:pPr>
          </w:p>
        </w:tc>
        <w:tc>
          <w:tcPr>
            <w:tcW w:w="817" w:type="dxa"/>
            <w:vAlign w:val="top"/>
          </w:tcPr>
          <w:p w14:paraId="297B934C">
            <w:pPr>
              <w:pStyle w:val="14"/>
              <w:spacing w:before="181" w:line="269" w:lineRule="exact"/>
              <w:ind w:left="111"/>
            </w:pPr>
            <w:r>
              <w:rPr>
                <w:spacing w:val="4"/>
                <w:position w:val="1"/>
              </w:rPr>
              <w:t>A408</w:t>
            </w:r>
          </w:p>
        </w:tc>
        <w:tc>
          <w:tcPr>
            <w:tcW w:w="5323" w:type="dxa"/>
            <w:vAlign w:val="top"/>
          </w:tcPr>
          <w:p w14:paraId="43F1F4F8">
            <w:pPr>
              <w:pStyle w:val="14"/>
              <w:spacing w:before="46" w:line="238" w:lineRule="auto"/>
              <w:ind w:left="116" w:right="111"/>
            </w:pPr>
            <w:r>
              <w:rPr>
                <w:spacing w:val="10"/>
              </w:rPr>
              <w:t>检验批、分项、分部、试验等施工资料编制，</w:t>
            </w:r>
            <w:r>
              <w:rPr>
                <w:spacing w:val="-52"/>
              </w:rPr>
              <w:t xml:space="preserve"> </w:t>
            </w:r>
            <w:r>
              <w:rPr>
                <w:spacing w:val="10"/>
              </w:rPr>
              <w:t>比工程进</w:t>
            </w:r>
            <w:r>
              <w:rPr>
                <w:spacing w:val="5"/>
              </w:rPr>
              <w:t>度滞后达</w:t>
            </w:r>
            <w:r>
              <w:rPr>
                <w:spacing w:val="-21"/>
              </w:rPr>
              <w:t xml:space="preserve"> </w:t>
            </w:r>
            <w:r>
              <w:rPr>
                <w:spacing w:val="5"/>
              </w:rPr>
              <w:t>1</w:t>
            </w:r>
            <w:r>
              <w:rPr>
                <w:spacing w:val="-40"/>
              </w:rPr>
              <w:t xml:space="preserve"> </w:t>
            </w:r>
            <w:r>
              <w:rPr>
                <w:spacing w:val="5"/>
              </w:rPr>
              <w:t>个月以上的</w:t>
            </w:r>
          </w:p>
        </w:tc>
        <w:tc>
          <w:tcPr>
            <w:tcW w:w="1103" w:type="dxa"/>
            <w:vAlign w:val="top"/>
          </w:tcPr>
          <w:p w14:paraId="5927DF07">
            <w:pPr>
              <w:pStyle w:val="14"/>
              <w:spacing w:before="181" w:line="228" w:lineRule="auto"/>
              <w:ind w:left="121"/>
            </w:pPr>
            <w:r>
              <w:rPr>
                <w:spacing w:val="4"/>
              </w:rPr>
              <w:t>元/次</w:t>
            </w:r>
          </w:p>
        </w:tc>
        <w:tc>
          <w:tcPr>
            <w:tcW w:w="1284" w:type="dxa"/>
            <w:vAlign w:val="top"/>
          </w:tcPr>
          <w:p w14:paraId="1F19DC14">
            <w:pPr>
              <w:pStyle w:val="14"/>
              <w:spacing w:before="181" w:line="225" w:lineRule="auto"/>
              <w:ind w:left="123"/>
            </w:pPr>
            <w:r>
              <w:rPr>
                <w:spacing w:val="2"/>
              </w:rPr>
              <w:t>2,000</w:t>
            </w:r>
          </w:p>
        </w:tc>
      </w:tr>
      <w:tr w14:paraId="6E186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16CAF397">
            <w:pPr>
              <w:rPr>
                <w:rFonts w:ascii="Arial"/>
                <w:sz w:val="21"/>
              </w:rPr>
            </w:pPr>
          </w:p>
        </w:tc>
        <w:tc>
          <w:tcPr>
            <w:tcW w:w="827" w:type="dxa"/>
            <w:vMerge w:val="restart"/>
            <w:tcBorders>
              <w:bottom w:val="nil"/>
            </w:tcBorders>
            <w:vAlign w:val="top"/>
          </w:tcPr>
          <w:p w14:paraId="589986B6">
            <w:pPr>
              <w:spacing w:line="280" w:lineRule="auto"/>
              <w:rPr>
                <w:rFonts w:ascii="Arial"/>
                <w:sz w:val="21"/>
              </w:rPr>
            </w:pPr>
          </w:p>
          <w:p w14:paraId="53DB4C71">
            <w:pPr>
              <w:spacing w:line="280" w:lineRule="auto"/>
              <w:rPr>
                <w:rFonts w:ascii="Arial"/>
                <w:sz w:val="21"/>
              </w:rPr>
            </w:pPr>
          </w:p>
          <w:p w14:paraId="1D04CA7D">
            <w:pPr>
              <w:spacing w:line="280" w:lineRule="auto"/>
              <w:rPr>
                <w:rFonts w:ascii="Arial"/>
                <w:sz w:val="21"/>
              </w:rPr>
            </w:pPr>
          </w:p>
          <w:p w14:paraId="2EE9FD44">
            <w:pPr>
              <w:pStyle w:val="14"/>
              <w:spacing w:before="65" w:line="258" w:lineRule="auto"/>
              <w:ind w:left="121" w:right="113"/>
            </w:pPr>
            <w:r>
              <w:rPr>
                <w:spacing w:val="-1"/>
              </w:rPr>
              <w:t>5.</w:t>
            </w:r>
            <w:r>
              <w:rPr>
                <w:spacing w:val="90"/>
              </w:rPr>
              <w:t xml:space="preserve"> </w:t>
            </w:r>
            <w:r>
              <w:rPr>
                <w:spacing w:val="-1"/>
              </w:rPr>
              <w:t>其</w:t>
            </w:r>
            <w:r>
              <w:t>它</w:t>
            </w:r>
          </w:p>
        </w:tc>
        <w:tc>
          <w:tcPr>
            <w:tcW w:w="817" w:type="dxa"/>
            <w:vAlign w:val="top"/>
          </w:tcPr>
          <w:p w14:paraId="19971AA5">
            <w:pPr>
              <w:pStyle w:val="14"/>
              <w:spacing w:before="183" w:line="268" w:lineRule="exact"/>
              <w:ind w:left="111"/>
            </w:pPr>
            <w:r>
              <w:rPr>
                <w:spacing w:val="4"/>
                <w:position w:val="1"/>
              </w:rPr>
              <w:t>A501</w:t>
            </w:r>
          </w:p>
        </w:tc>
        <w:tc>
          <w:tcPr>
            <w:tcW w:w="5323" w:type="dxa"/>
            <w:vAlign w:val="top"/>
          </w:tcPr>
          <w:p w14:paraId="2B90F32F">
            <w:pPr>
              <w:pStyle w:val="14"/>
              <w:spacing w:before="182" w:line="228" w:lineRule="auto"/>
              <w:ind w:left="116"/>
            </w:pPr>
            <w:r>
              <w:rPr>
                <w:spacing w:val="7"/>
              </w:rPr>
              <w:t>施工现场管理混乱，不符合“双标管理</w:t>
            </w:r>
            <w:r>
              <w:rPr>
                <w:spacing w:val="-54"/>
              </w:rPr>
              <w:t xml:space="preserve"> </w:t>
            </w:r>
            <w:r>
              <w:rPr>
                <w:spacing w:val="7"/>
              </w:rPr>
              <w:t>”的要求。</w:t>
            </w:r>
          </w:p>
        </w:tc>
        <w:tc>
          <w:tcPr>
            <w:tcW w:w="1103" w:type="dxa"/>
            <w:vAlign w:val="top"/>
          </w:tcPr>
          <w:p w14:paraId="5E74482A">
            <w:pPr>
              <w:pStyle w:val="14"/>
              <w:spacing w:before="182" w:line="228" w:lineRule="auto"/>
              <w:ind w:left="121"/>
            </w:pPr>
            <w:r>
              <w:rPr>
                <w:spacing w:val="4"/>
              </w:rPr>
              <w:t>元/次</w:t>
            </w:r>
          </w:p>
        </w:tc>
        <w:tc>
          <w:tcPr>
            <w:tcW w:w="1284" w:type="dxa"/>
            <w:vAlign w:val="top"/>
          </w:tcPr>
          <w:p w14:paraId="7572A697">
            <w:pPr>
              <w:pStyle w:val="14"/>
              <w:spacing w:before="182" w:line="225" w:lineRule="auto"/>
              <w:ind w:left="124"/>
            </w:pPr>
            <w:r>
              <w:rPr>
                <w:spacing w:val="2"/>
              </w:rPr>
              <w:t>3,000</w:t>
            </w:r>
          </w:p>
        </w:tc>
      </w:tr>
      <w:tr w14:paraId="03F03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069E1517">
            <w:pPr>
              <w:rPr>
                <w:rFonts w:ascii="Arial"/>
                <w:sz w:val="21"/>
              </w:rPr>
            </w:pPr>
          </w:p>
        </w:tc>
        <w:tc>
          <w:tcPr>
            <w:tcW w:w="827" w:type="dxa"/>
            <w:vMerge w:val="continue"/>
            <w:tcBorders>
              <w:top w:val="nil"/>
              <w:bottom w:val="nil"/>
            </w:tcBorders>
            <w:vAlign w:val="top"/>
          </w:tcPr>
          <w:p w14:paraId="291236F3">
            <w:pPr>
              <w:rPr>
                <w:rFonts w:ascii="Arial"/>
                <w:sz w:val="21"/>
              </w:rPr>
            </w:pPr>
          </w:p>
        </w:tc>
        <w:tc>
          <w:tcPr>
            <w:tcW w:w="817" w:type="dxa"/>
            <w:vAlign w:val="top"/>
          </w:tcPr>
          <w:p w14:paraId="1BF4A95D">
            <w:pPr>
              <w:pStyle w:val="14"/>
              <w:spacing w:before="182" w:line="268" w:lineRule="exact"/>
              <w:ind w:left="111"/>
            </w:pPr>
            <w:r>
              <w:rPr>
                <w:spacing w:val="4"/>
                <w:position w:val="1"/>
              </w:rPr>
              <w:t>A502</w:t>
            </w:r>
          </w:p>
        </w:tc>
        <w:tc>
          <w:tcPr>
            <w:tcW w:w="5323" w:type="dxa"/>
            <w:vAlign w:val="top"/>
          </w:tcPr>
          <w:p w14:paraId="0C79A849">
            <w:pPr>
              <w:pStyle w:val="14"/>
              <w:spacing w:before="46" w:line="238" w:lineRule="auto"/>
              <w:ind w:left="133" w:right="111" w:hanging="13"/>
            </w:pPr>
            <w:r>
              <w:rPr>
                <w:spacing w:val="11"/>
              </w:rPr>
              <w:t>未经批准（请假</w:t>
            </w:r>
            <w:r>
              <w:rPr>
                <w:spacing w:val="1"/>
              </w:rPr>
              <w:t>）</w:t>
            </w:r>
            <w:r>
              <w:rPr>
                <w:spacing w:val="-59"/>
              </w:rPr>
              <w:t xml:space="preserve"> </w:t>
            </w:r>
            <w:r>
              <w:rPr>
                <w:spacing w:val="1"/>
              </w:rPr>
              <w:t>，</w:t>
            </w:r>
            <w:r>
              <w:rPr>
                <w:spacing w:val="11"/>
              </w:rPr>
              <w:t>相关人员缺席发包人或监理人召集</w:t>
            </w:r>
            <w:r>
              <w:rPr>
                <w:spacing w:val="3"/>
              </w:rPr>
              <w:t>的重要会议。</w:t>
            </w:r>
          </w:p>
        </w:tc>
        <w:tc>
          <w:tcPr>
            <w:tcW w:w="1103" w:type="dxa"/>
            <w:vAlign w:val="top"/>
          </w:tcPr>
          <w:p w14:paraId="2B2410B1">
            <w:pPr>
              <w:pStyle w:val="14"/>
              <w:spacing w:before="181" w:line="228" w:lineRule="auto"/>
              <w:ind w:left="121"/>
            </w:pPr>
            <w:r>
              <w:rPr>
                <w:spacing w:val="7"/>
              </w:rPr>
              <w:t>元/人.次</w:t>
            </w:r>
          </w:p>
        </w:tc>
        <w:tc>
          <w:tcPr>
            <w:tcW w:w="1284" w:type="dxa"/>
            <w:vAlign w:val="top"/>
          </w:tcPr>
          <w:p w14:paraId="74506027">
            <w:pPr>
              <w:pStyle w:val="14"/>
              <w:spacing w:before="181" w:line="225" w:lineRule="auto"/>
              <w:ind w:left="124"/>
            </w:pPr>
            <w:r>
              <w:rPr>
                <w:spacing w:val="2"/>
              </w:rPr>
              <w:t>5,000</w:t>
            </w:r>
          </w:p>
        </w:tc>
      </w:tr>
      <w:tr w14:paraId="52243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101CA9B3">
            <w:pPr>
              <w:rPr>
                <w:rFonts w:ascii="Arial"/>
                <w:sz w:val="21"/>
              </w:rPr>
            </w:pPr>
          </w:p>
        </w:tc>
        <w:tc>
          <w:tcPr>
            <w:tcW w:w="827" w:type="dxa"/>
            <w:vMerge w:val="continue"/>
            <w:tcBorders>
              <w:top w:val="nil"/>
              <w:bottom w:val="nil"/>
            </w:tcBorders>
            <w:vAlign w:val="top"/>
          </w:tcPr>
          <w:p w14:paraId="4547D9AB">
            <w:pPr>
              <w:rPr>
                <w:rFonts w:ascii="Arial"/>
                <w:sz w:val="21"/>
              </w:rPr>
            </w:pPr>
          </w:p>
        </w:tc>
        <w:tc>
          <w:tcPr>
            <w:tcW w:w="817" w:type="dxa"/>
            <w:vAlign w:val="top"/>
          </w:tcPr>
          <w:p w14:paraId="41FD8E5D">
            <w:pPr>
              <w:pStyle w:val="14"/>
              <w:spacing w:before="183" w:line="268" w:lineRule="exact"/>
              <w:ind w:left="111"/>
            </w:pPr>
            <w:r>
              <w:rPr>
                <w:spacing w:val="4"/>
                <w:position w:val="1"/>
              </w:rPr>
              <w:t>A503</w:t>
            </w:r>
          </w:p>
        </w:tc>
        <w:tc>
          <w:tcPr>
            <w:tcW w:w="5323" w:type="dxa"/>
            <w:vAlign w:val="top"/>
          </w:tcPr>
          <w:p w14:paraId="49E27AEC">
            <w:pPr>
              <w:pStyle w:val="14"/>
              <w:spacing w:before="46" w:line="238" w:lineRule="auto"/>
              <w:ind w:left="121" w:right="111" w:hanging="1"/>
            </w:pPr>
            <w:r>
              <w:rPr>
                <w:spacing w:val="10"/>
              </w:rPr>
              <w:t>非法使用农民工，或拖欠农民工工资，</w:t>
            </w:r>
            <w:r>
              <w:rPr>
                <w:spacing w:val="-55"/>
              </w:rPr>
              <w:t xml:space="preserve"> </w:t>
            </w:r>
            <w:r>
              <w:rPr>
                <w:spacing w:val="10"/>
              </w:rPr>
              <w:t>由此造成上访或</w:t>
            </w:r>
            <w:r>
              <w:rPr>
                <w:spacing w:val="5"/>
              </w:rPr>
              <w:t>劳动纠纷的。</w:t>
            </w:r>
          </w:p>
        </w:tc>
        <w:tc>
          <w:tcPr>
            <w:tcW w:w="1103" w:type="dxa"/>
            <w:vAlign w:val="top"/>
          </w:tcPr>
          <w:p w14:paraId="38DCC533">
            <w:pPr>
              <w:pStyle w:val="14"/>
              <w:spacing w:before="183" w:line="228" w:lineRule="auto"/>
              <w:ind w:left="121"/>
            </w:pPr>
            <w:r>
              <w:rPr>
                <w:spacing w:val="4"/>
              </w:rPr>
              <w:t>元/次</w:t>
            </w:r>
          </w:p>
        </w:tc>
        <w:tc>
          <w:tcPr>
            <w:tcW w:w="1284" w:type="dxa"/>
            <w:vAlign w:val="top"/>
          </w:tcPr>
          <w:p w14:paraId="6280ED12">
            <w:pPr>
              <w:pStyle w:val="14"/>
              <w:spacing w:before="183" w:line="225" w:lineRule="auto"/>
              <w:ind w:left="136"/>
            </w:pPr>
            <w:r>
              <w:rPr>
                <w:spacing w:val="1"/>
              </w:rPr>
              <w:t>10,000</w:t>
            </w:r>
          </w:p>
        </w:tc>
      </w:tr>
      <w:tr w14:paraId="1675A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tcBorders>
            <w:vAlign w:val="top"/>
          </w:tcPr>
          <w:p w14:paraId="62833E80">
            <w:pPr>
              <w:rPr>
                <w:rFonts w:ascii="Arial"/>
                <w:sz w:val="21"/>
              </w:rPr>
            </w:pPr>
          </w:p>
        </w:tc>
        <w:tc>
          <w:tcPr>
            <w:tcW w:w="827" w:type="dxa"/>
            <w:vMerge w:val="continue"/>
            <w:tcBorders>
              <w:top w:val="nil"/>
            </w:tcBorders>
            <w:vAlign w:val="top"/>
          </w:tcPr>
          <w:p w14:paraId="77CAFC16">
            <w:pPr>
              <w:rPr>
                <w:rFonts w:ascii="Arial"/>
                <w:sz w:val="21"/>
              </w:rPr>
            </w:pPr>
          </w:p>
        </w:tc>
        <w:tc>
          <w:tcPr>
            <w:tcW w:w="817" w:type="dxa"/>
            <w:vAlign w:val="top"/>
          </w:tcPr>
          <w:p w14:paraId="2D7C630D">
            <w:pPr>
              <w:pStyle w:val="14"/>
              <w:spacing w:before="182" w:line="268" w:lineRule="exact"/>
              <w:ind w:left="111"/>
            </w:pPr>
            <w:r>
              <w:rPr>
                <w:spacing w:val="4"/>
                <w:position w:val="1"/>
              </w:rPr>
              <w:t>A504</w:t>
            </w:r>
          </w:p>
        </w:tc>
        <w:tc>
          <w:tcPr>
            <w:tcW w:w="5323" w:type="dxa"/>
            <w:vAlign w:val="top"/>
          </w:tcPr>
          <w:p w14:paraId="6F1D195E">
            <w:pPr>
              <w:pStyle w:val="14"/>
              <w:spacing w:before="182" w:line="228" w:lineRule="auto"/>
              <w:ind w:left="120"/>
            </w:pPr>
            <w:r>
              <w:rPr>
                <w:spacing w:val="8"/>
              </w:rPr>
              <w:t>未按规定做好缺陷责任期的留守安排。</w:t>
            </w:r>
          </w:p>
        </w:tc>
        <w:tc>
          <w:tcPr>
            <w:tcW w:w="1103" w:type="dxa"/>
            <w:vAlign w:val="top"/>
          </w:tcPr>
          <w:p w14:paraId="2AD472B3">
            <w:pPr>
              <w:pStyle w:val="14"/>
              <w:spacing w:before="182" w:line="228" w:lineRule="auto"/>
              <w:ind w:left="121"/>
            </w:pPr>
            <w:r>
              <w:rPr>
                <w:spacing w:val="4"/>
              </w:rPr>
              <w:t>元/月</w:t>
            </w:r>
          </w:p>
        </w:tc>
        <w:tc>
          <w:tcPr>
            <w:tcW w:w="1284" w:type="dxa"/>
            <w:vAlign w:val="top"/>
          </w:tcPr>
          <w:p w14:paraId="261A3552">
            <w:pPr>
              <w:pStyle w:val="14"/>
              <w:spacing w:before="182" w:line="225" w:lineRule="auto"/>
              <w:ind w:left="136"/>
            </w:pPr>
            <w:r>
              <w:rPr>
                <w:spacing w:val="1"/>
              </w:rPr>
              <w:t>100,000</w:t>
            </w:r>
          </w:p>
        </w:tc>
      </w:tr>
      <w:tr w14:paraId="5DD21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restart"/>
            <w:tcBorders>
              <w:bottom w:val="nil"/>
            </w:tcBorders>
            <w:vAlign w:val="top"/>
          </w:tcPr>
          <w:p w14:paraId="2DF951C5">
            <w:pPr>
              <w:spacing w:line="265" w:lineRule="auto"/>
              <w:rPr>
                <w:rFonts w:ascii="Arial"/>
                <w:sz w:val="21"/>
              </w:rPr>
            </w:pPr>
          </w:p>
          <w:p w14:paraId="03D0C56D">
            <w:pPr>
              <w:spacing w:line="266" w:lineRule="auto"/>
              <w:rPr>
                <w:rFonts w:ascii="Arial"/>
                <w:sz w:val="21"/>
              </w:rPr>
            </w:pPr>
          </w:p>
          <w:p w14:paraId="33CC9641">
            <w:pPr>
              <w:spacing w:line="266" w:lineRule="auto"/>
              <w:rPr>
                <w:rFonts w:ascii="Arial"/>
                <w:sz w:val="21"/>
              </w:rPr>
            </w:pPr>
          </w:p>
          <w:p w14:paraId="08CBFFC2">
            <w:pPr>
              <w:spacing w:line="266" w:lineRule="auto"/>
              <w:rPr>
                <w:rFonts w:ascii="Arial"/>
                <w:sz w:val="21"/>
              </w:rPr>
            </w:pPr>
          </w:p>
          <w:p w14:paraId="3E90ADBA">
            <w:pPr>
              <w:spacing w:line="266" w:lineRule="auto"/>
              <w:rPr>
                <w:rFonts w:ascii="Arial"/>
                <w:sz w:val="21"/>
              </w:rPr>
            </w:pPr>
          </w:p>
          <w:p w14:paraId="50712B91">
            <w:pPr>
              <w:pStyle w:val="14"/>
              <w:spacing w:before="65" w:line="248" w:lineRule="auto"/>
              <w:ind w:left="208" w:right="199" w:hanging="4"/>
              <w:jc w:val="both"/>
            </w:pPr>
            <w:r>
              <w:rPr>
                <w:spacing w:val="3"/>
              </w:rPr>
              <w:t>B.</w:t>
            </w:r>
            <w:r>
              <w:t>质量管理</w:t>
            </w:r>
          </w:p>
        </w:tc>
        <w:tc>
          <w:tcPr>
            <w:tcW w:w="827" w:type="dxa"/>
            <w:vMerge w:val="restart"/>
            <w:tcBorders>
              <w:bottom w:val="nil"/>
            </w:tcBorders>
            <w:vAlign w:val="top"/>
          </w:tcPr>
          <w:p w14:paraId="112CDA3E">
            <w:pPr>
              <w:spacing w:line="282" w:lineRule="auto"/>
              <w:rPr>
                <w:rFonts w:ascii="Arial"/>
                <w:sz w:val="21"/>
              </w:rPr>
            </w:pPr>
          </w:p>
          <w:p w14:paraId="36D580C9">
            <w:pPr>
              <w:spacing w:line="282" w:lineRule="auto"/>
              <w:rPr>
                <w:rFonts w:ascii="Arial"/>
                <w:sz w:val="21"/>
              </w:rPr>
            </w:pPr>
          </w:p>
          <w:p w14:paraId="3B17CCE9">
            <w:pPr>
              <w:spacing w:line="283" w:lineRule="auto"/>
              <w:rPr>
                <w:rFonts w:ascii="Arial"/>
                <w:sz w:val="21"/>
              </w:rPr>
            </w:pPr>
          </w:p>
          <w:p w14:paraId="25498281">
            <w:pPr>
              <w:spacing w:line="283" w:lineRule="auto"/>
              <w:rPr>
                <w:rFonts w:ascii="Arial"/>
                <w:sz w:val="21"/>
              </w:rPr>
            </w:pPr>
          </w:p>
          <w:p w14:paraId="55EEE227">
            <w:pPr>
              <w:pStyle w:val="14"/>
              <w:spacing w:before="65" w:line="252" w:lineRule="auto"/>
              <w:ind w:left="116" w:right="113" w:firstLine="16"/>
            </w:pPr>
            <w:r>
              <w:rPr>
                <w:spacing w:val="-4"/>
              </w:rPr>
              <w:t>1.</w:t>
            </w:r>
            <w:r>
              <w:rPr>
                <w:spacing w:val="88"/>
              </w:rPr>
              <w:t xml:space="preserve"> </w:t>
            </w:r>
            <w:r>
              <w:rPr>
                <w:spacing w:val="-4"/>
              </w:rPr>
              <w:t>程</w:t>
            </w:r>
            <w:r>
              <w:rPr>
                <w:spacing w:val="1"/>
              </w:rPr>
              <w:t>序</w:t>
            </w:r>
          </w:p>
        </w:tc>
        <w:tc>
          <w:tcPr>
            <w:tcW w:w="817" w:type="dxa"/>
            <w:vAlign w:val="top"/>
          </w:tcPr>
          <w:p w14:paraId="4F80BDA7">
            <w:pPr>
              <w:pStyle w:val="14"/>
              <w:spacing w:before="181" w:line="268" w:lineRule="exact"/>
              <w:ind w:left="113"/>
            </w:pPr>
            <w:r>
              <w:rPr>
                <w:spacing w:val="3"/>
                <w:position w:val="1"/>
              </w:rPr>
              <w:t>B101</w:t>
            </w:r>
          </w:p>
        </w:tc>
        <w:tc>
          <w:tcPr>
            <w:tcW w:w="5323" w:type="dxa"/>
            <w:vAlign w:val="top"/>
          </w:tcPr>
          <w:p w14:paraId="00162343">
            <w:pPr>
              <w:pStyle w:val="14"/>
              <w:spacing w:before="181" w:line="227" w:lineRule="auto"/>
              <w:ind w:left="120"/>
            </w:pPr>
            <w:r>
              <w:rPr>
                <w:spacing w:val="9"/>
              </w:rPr>
              <w:t>未执行监理人关于缺陷工程修补、修复或返工的指令。</w:t>
            </w:r>
          </w:p>
        </w:tc>
        <w:tc>
          <w:tcPr>
            <w:tcW w:w="1103" w:type="dxa"/>
            <w:vAlign w:val="top"/>
          </w:tcPr>
          <w:p w14:paraId="02AFDBCA">
            <w:pPr>
              <w:pStyle w:val="14"/>
              <w:spacing w:before="181" w:line="228" w:lineRule="auto"/>
              <w:ind w:left="121"/>
            </w:pPr>
            <w:r>
              <w:rPr>
                <w:spacing w:val="4"/>
              </w:rPr>
              <w:t>元/次</w:t>
            </w:r>
          </w:p>
        </w:tc>
        <w:tc>
          <w:tcPr>
            <w:tcW w:w="1284" w:type="dxa"/>
            <w:vAlign w:val="top"/>
          </w:tcPr>
          <w:p w14:paraId="2B6C8F3D">
            <w:pPr>
              <w:pStyle w:val="14"/>
              <w:spacing w:before="181" w:line="225" w:lineRule="auto"/>
              <w:ind w:left="124"/>
            </w:pPr>
            <w:r>
              <w:rPr>
                <w:spacing w:val="2"/>
              </w:rPr>
              <w:t>5,000</w:t>
            </w:r>
          </w:p>
        </w:tc>
      </w:tr>
      <w:tr w14:paraId="7F3CB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36F66998">
            <w:pPr>
              <w:rPr>
                <w:rFonts w:ascii="Arial"/>
                <w:sz w:val="21"/>
              </w:rPr>
            </w:pPr>
          </w:p>
        </w:tc>
        <w:tc>
          <w:tcPr>
            <w:tcW w:w="827" w:type="dxa"/>
            <w:vMerge w:val="continue"/>
            <w:tcBorders>
              <w:top w:val="nil"/>
              <w:bottom w:val="nil"/>
            </w:tcBorders>
            <w:vAlign w:val="top"/>
          </w:tcPr>
          <w:p w14:paraId="59AF69E6">
            <w:pPr>
              <w:rPr>
                <w:rFonts w:ascii="Arial"/>
                <w:sz w:val="21"/>
              </w:rPr>
            </w:pPr>
          </w:p>
        </w:tc>
        <w:tc>
          <w:tcPr>
            <w:tcW w:w="817" w:type="dxa"/>
            <w:vAlign w:val="top"/>
          </w:tcPr>
          <w:p w14:paraId="50FD114D">
            <w:pPr>
              <w:pStyle w:val="14"/>
              <w:spacing w:before="182" w:line="269" w:lineRule="exact"/>
              <w:ind w:left="113"/>
            </w:pPr>
            <w:r>
              <w:rPr>
                <w:spacing w:val="3"/>
                <w:position w:val="1"/>
              </w:rPr>
              <w:t>B102</w:t>
            </w:r>
          </w:p>
        </w:tc>
        <w:tc>
          <w:tcPr>
            <w:tcW w:w="5323" w:type="dxa"/>
            <w:vAlign w:val="top"/>
          </w:tcPr>
          <w:p w14:paraId="4BF0A2A4">
            <w:pPr>
              <w:pStyle w:val="14"/>
              <w:spacing w:before="46" w:line="238" w:lineRule="auto"/>
              <w:ind w:left="118" w:right="129"/>
            </w:pPr>
            <w:r>
              <w:rPr>
                <w:spacing w:val="11"/>
              </w:rPr>
              <w:t>工序完工后未向监理报验，或未经监理抽检（或同意）</w:t>
            </w:r>
            <w:r>
              <w:rPr>
                <w:spacing w:val="7"/>
              </w:rPr>
              <w:t>就进行下道工序施工。</w:t>
            </w:r>
          </w:p>
        </w:tc>
        <w:tc>
          <w:tcPr>
            <w:tcW w:w="1103" w:type="dxa"/>
            <w:vAlign w:val="top"/>
          </w:tcPr>
          <w:p w14:paraId="7651B977">
            <w:pPr>
              <w:pStyle w:val="14"/>
              <w:spacing w:before="182" w:line="228" w:lineRule="auto"/>
              <w:ind w:left="121"/>
            </w:pPr>
            <w:r>
              <w:rPr>
                <w:spacing w:val="4"/>
              </w:rPr>
              <w:t>元/次</w:t>
            </w:r>
          </w:p>
        </w:tc>
        <w:tc>
          <w:tcPr>
            <w:tcW w:w="1284" w:type="dxa"/>
            <w:vAlign w:val="top"/>
          </w:tcPr>
          <w:p w14:paraId="57A2011B">
            <w:pPr>
              <w:pStyle w:val="14"/>
              <w:spacing w:before="182" w:line="225" w:lineRule="auto"/>
              <w:ind w:left="124"/>
            </w:pPr>
            <w:r>
              <w:rPr>
                <w:spacing w:val="2"/>
              </w:rPr>
              <w:t>5,000</w:t>
            </w:r>
          </w:p>
        </w:tc>
      </w:tr>
      <w:tr w14:paraId="205A27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11C49846">
            <w:pPr>
              <w:rPr>
                <w:rFonts w:ascii="Arial"/>
                <w:sz w:val="21"/>
              </w:rPr>
            </w:pPr>
          </w:p>
        </w:tc>
        <w:tc>
          <w:tcPr>
            <w:tcW w:w="827" w:type="dxa"/>
            <w:vMerge w:val="continue"/>
            <w:tcBorders>
              <w:top w:val="nil"/>
              <w:bottom w:val="nil"/>
            </w:tcBorders>
            <w:vAlign w:val="top"/>
          </w:tcPr>
          <w:p w14:paraId="730EBA6B">
            <w:pPr>
              <w:rPr>
                <w:rFonts w:ascii="Arial"/>
                <w:sz w:val="21"/>
              </w:rPr>
            </w:pPr>
          </w:p>
        </w:tc>
        <w:tc>
          <w:tcPr>
            <w:tcW w:w="817" w:type="dxa"/>
            <w:vAlign w:val="top"/>
          </w:tcPr>
          <w:p w14:paraId="47F061A0">
            <w:pPr>
              <w:pStyle w:val="14"/>
              <w:spacing w:before="181" w:line="269" w:lineRule="exact"/>
              <w:ind w:left="113"/>
            </w:pPr>
            <w:r>
              <w:rPr>
                <w:spacing w:val="3"/>
                <w:position w:val="1"/>
              </w:rPr>
              <w:t>B103</w:t>
            </w:r>
          </w:p>
        </w:tc>
        <w:tc>
          <w:tcPr>
            <w:tcW w:w="5323" w:type="dxa"/>
            <w:vAlign w:val="top"/>
          </w:tcPr>
          <w:p w14:paraId="32C2C776">
            <w:pPr>
              <w:pStyle w:val="14"/>
              <w:spacing w:before="181" w:line="228" w:lineRule="auto"/>
              <w:ind w:left="119"/>
            </w:pPr>
            <w:r>
              <w:rPr>
                <w:spacing w:val="8"/>
              </w:rPr>
              <w:t>分项工程的施工现场没有技术管理人员。</w:t>
            </w:r>
          </w:p>
        </w:tc>
        <w:tc>
          <w:tcPr>
            <w:tcW w:w="1103" w:type="dxa"/>
            <w:vAlign w:val="top"/>
          </w:tcPr>
          <w:p w14:paraId="745C352A">
            <w:pPr>
              <w:pStyle w:val="14"/>
              <w:spacing w:before="181" w:line="228" w:lineRule="auto"/>
              <w:ind w:left="121"/>
            </w:pPr>
            <w:r>
              <w:rPr>
                <w:spacing w:val="4"/>
              </w:rPr>
              <w:t>元/次</w:t>
            </w:r>
          </w:p>
        </w:tc>
        <w:tc>
          <w:tcPr>
            <w:tcW w:w="1284" w:type="dxa"/>
            <w:vAlign w:val="top"/>
          </w:tcPr>
          <w:p w14:paraId="6AA4D6F4">
            <w:pPr>
              <w:pStyle w:val="14"/>
              <w:spacing w:before="181" w:line="225" w:lineRule="auto"/>
              <w:ind w:left="136"/>
            </w:pPr>
            <w:r>
              <w:t>1,000</w:t>
            </w:r>
          </w:p>
        </w:tc>
      </w:tr>
      <w:tr w14:paraId="26996B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44930430">
            <w:pPr>
              <w:rPr>
                <w:rFonts w:ascii="Arial"/>
                <w:sz w:val="21"/>
              </w:rPr>
            </w:pPr>
          </w:p>
        </w:tc>
        <w:tc>
          <w:tcPr>
            <w:tcW w:w="827" w:type="dxa"/>
            <w:vMerge w:val="continue"/>
            <w:tcBorders>
              <w:top w:val="nil"/>
              <w:bottom w:val="nil"/>
            </w:tcBorders>
            <w:vAlign w:val="top"/>
          </w:tcPr>
          <w:p w14:paraId="78100157">
            <w:pPr>
              <w:rPr>
                <w:rFonts w:ascii="Arial"/>
                <w:sz w:val="21"/>
              </w:rPr>
            </w:pPr>
          </w:p>
        </w:tc>
        <w:tc>
          <w:tcPr>
            <w:tcW w:w="817" w:type="dxa"/>
            <w:vAlign w:val="top"/>
          </w:tcPr>
          <w:p w14:paraId="0B19975F">
            <w:pPr>
              <w:pStyle w:val="14"/>
              <w:spacing w:before="183" w:line="268" w:lineRule="exact"/>
              <w:ind w:left="113"/>
            </w:pPr>
            <w:r>
              <w:rPr>
                <w:spacing w:val="3"/>
                <w:position w:val="1"/>
              </w:rPr>
              <w:t>B104</w:t>
            </w:r>
          </w:p>
        </w:tc>
        <w:tc>
          <w:tcPr>
            <w:tcW w:w="5323" w:type="dxa"/>
            <w:vAlign w:val="top"/>
          </w:tcPr>
          <w:p w14:paraId="63719140">
            <w:pPr>
              <w:pStyle w:val="14"/>
              <w:spacing w:before="182" w:line="228" w:lineRule="auto"/>
              <w:ind w:left="117"/>
            </w:pPr>
            <w:r>
              <w:rPr>
                <w:spacing w:val="8"/>
              </w:rPr>
              <w:t>重要工序的施工现场没有技术管理员。</w:t>
            </w:r>
          </w:p>
        </w:tc>
        <w:tc>
          <w:tcPr>
            <w:tcW w:w="1103" w:type="dxa"/>
            <w:vAlign w:val="top"/>
          </w:tcPr>
          <w:p w14:paraId="12E2F314">
            <w:pPr>
              <w:pStyle w:val="14"/>
              <w:spacing w:before="182" w:line="228" w:lineRule="auto"/>
              <w:ind w:left="121"/>
            </w:pPr>
            <w:r>
              <w:rPr>
                <w:spacing w:val="4"/>
              </w:rPr>
              <w:t>元/次</w:t>
            </w:r>
          </w:p>
        </w:tc>
        <w:tc>
          <w:tcPr>
            <w:tcW w:w="1284" w:type="dxa"/>
            <w:vAlign w:val="top"/>
          </w:tcPr>
          <w:p w14:paraId="6C6D5326">
            <w:pPr>
              <w:pStyle w:val="14"/>
              <w:spacing w:before="183" w:line="225" w:lineRule="auto"/>
              <w:ind w:left="123"/>
            </w:pPr>
            <w:r>
              <w:rPr>
                <w:spacing w:val="2"/>
              </w:rPr>
              <w:t>2,000</w:t>
            </w:r>
          </w:p>
        </w:tc>
      </w:tr>
      <w:tr w14:paraId="1209E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0587DF57">
            <w:pPr>
              <w:rPr>
                <w:rFonts w:ascii="Arial"/>
                <w:sz w:val="21"/>
              </w:rPr>
            </w:pPr>
          </w:p>
        </w:tc>
        <w:tc>
          <w:tcPr>
            <w:tcW w:w="827" w:type="dxa"/>
            <w:vMerge w:val="continue"/>
            <w:tcBorders>
              <w:top w:val="nil"/>
            </w:tcBorders>
            <w:vAlign w:val="top"/>
          </w:tcPr>
          <w:p w14:paraId="4EB8BCB2">
            <w:pPr>
              <w:rPr>
                <w:rFonts w:ascii="Arial"/>
                <w:sz w:val="21"/>
              </w:rPr>
            </w:pPr>
          </w:p>
        </w:tc>
        <w:tc>
          <w:tcPr>
            <w:tcW w:w="817" w:type="dxa"/>
            <w:vAlign w:val="top"/>
          </w:tcPr>
          <w:p w14:paraId="3C8E7710">
            <w:pPr>
              <w:pStyle w:val="14"/>
              <w:spacing w:before="182" w:line="268" w:lineRule="exact"/>
              <w:ind w:left="113"/>
            </w:pPr>
            <w:r>
              <w:rPr>
                <w:spacing w:val="3"/>
                <w:position w:val="1"/>
              </w:rPr>
              <w:t>B105</w:t>
            </w:r>
          </w:p>
        </w:tc>
        <w:tc>
          <w:tcPr>
            <w:tcW w:w="5323" w:type="dxa"/>
            <w:vAlign w:val="top"/>
          </w:tcPr>
          <w:p w14:paraId="385E90AA">
            <w:pPr>
              <w:pStyle w:val="14"/>
              <w:spacing w:before="181" w:line="228" w:lineRule="auto"/>
              <w:ind w:left="120"/>
            </w:pPr>
            <w:r>
              <w:rPr>
                <w:spacing w:val="8"/>
              </w:rPr>
              <w:t>没有技术管理员在场而在施工。</w:t>
            </w:r>
          </w:p>
        </w:tc>
        <w:tc>
          <w:tcPr>
            <w:tcW w:w="1103" w:type="dxa"/>
            <w:vAlign w:val="top"/>
          </w:tcPr>
          <w:p w14:paraId="7AF92781">
            <w:pPr>
              <w:pStyle w:val="14"/>
              <w:spacing w:before="181" w:line="228" w:lineRule="auto"/>
              <w:ind w:left="121"/>
            </w:pPr>
            <w:r>
              <w:rPr>
                <w:spacing w:val="4"/>
              </w:rPr>
              <w:t>元/次</w:t>
            </w:r>
          </w:p>
        </w:tc>
        <w:tc>
          <w:tcPr>
            <w:tcW w:w="1284" w:type="dxa"/>
            <w:vAlign w:val="top"/>
          </w:tcPr>
          <w:p w14:paraId="2AD1E534">
            <w:pPr>
              <w:pStyle w:val="14"/>
              <w:spacing w:before="181" w:line="225" w:lineRule="auto"/>
              <w:ind w:left="124"/>
            </w:pPr>
            <w:r>
              <w:rPr>
                <w:spacing w:val="2"/>
              </w:rPr>
              <w:t>5,000</w:t>
            </w:r>
          </w:p>
        </w:tc>
      </w:tr>
      <w:tr w14:paraId="7FC64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16" w:type="dxa"/>
            <w:vMerge w:val="continue"/>
            <w:tcBorders>
              <w:top w:val="nil"/>
              <w:bottom w:val="nil"/>
            </w:tcBorders>
            <w:vAlign w:val="top"/>
          </w:tcPr>
          <w:p w14:paraId="6BDCCD19">
            <w:pPr>
              <w:rPr>
                <w:rFonts w:ascii="Arial"/>
                <w:sz w:val="21"/>
              </w:rPr>
            </w:pPr>
          </w:p>
        </w:tc>
        <w:tc>
          <w:tcPr>
            <w:tcW w:w="827" w:type="dxa"/>
            <w:vMerge w:val="restart"/>
            <w:tcBorders>
              <w:bottom w:val="nil"/>
            </w:tcBorders>
            <w:vAlign w:val="top"/>
          </w:tcPr>
          <w:p w14:paraId="64261846">
            <w:pPr>
              <w:spacing w:line="268" w:lineRule="auto"/>
              <w:rPr>
                <w:rFonts w:ascii="Arial"/>
                <w:sz w:val="21"/>
              </w:rPr>
            </w:pPr>
          </w:p>
          <w:p w14:paraId="69575513">
            <w:pPr>
              <w:pStyle w:val="14"/>
              <w:spacing w:before="65" w:line="252" w:lineRule="auto"/>
              <w:ind w:left="116" w:right="113" w:firstLine="2"/>
            </w:pPr>
            <w:r>
              <w:t>2.</w:t>
            </w:r>
            <w:r>
              <w:rPr>
                <w:spacing w:val="89"/>
              </w:rPr>
              <w:t xml:space="preserve"> </w:t>
            </w:r>
            <w:r>
              <w:t>材料</w:t>
            </w:r>
          </w:p>
        </w:tc>
        <w:tc>
          <w:tcPr>
            <w:tcW w:w="817" w:type="dxa"/>
            <w:vAlign w:val="top"/>
          </w:tcPr>
          <w:p w14:paraId="29288914">
            <w:pPr>
              <w:pStyle w:val="14"/>
              <w:spacing w:before="181" w:line="268" w:lineRule="exact"/>
              <w:ind w:left="113"/>
            </w:pPr>
            <w:r>
              <w:rPr>
                <w:spacing w:val="3"/>
                <w:position w:val="1"/>
              </w:rPr>
              <w:t>B201</w:t>
            </w:r>
          </w:p>
        </w:tc>
        <w:tc>
          <w:tcPr>
            <w:tcW w:w="5323" w:type="dxa"/>
            <w:vAlign w:val="top"/>
          </w:tcPr>
          <w:p w14:paraId="57E4A8FD">
            <w:pPr>
              <w:pStyle w:val="14"/>
              <w:spacing w:before="181" w:line="227" w:lineRule="auto"/>
              <w:ind w:left="117"/>
            </w:pPr>
            <w:r>
              <w:rPr>
                <w:spacing w:val="8"/>
              </w:rPr>
              <w:t>使用不合格材料或未经检验的材料。</w:t>
            </w:r>
          </w:p>
        </w:tc>
        <w:tc>
          <w:tcPr>
            <w:tcW w:w="1103" w:type="dxa"/>
            <w:vAlign w:val="top"/>
          </w:tcPr>
          <w:p w14:paraId="5D148FBD">
            <w:pPr>
              <w:pStyle w:val="14"/>
              <w:spacing w:before="180" w:line="228" w:lineRule="auto"/>
              <w:ind w:left="121"/>
            </w:pPr>
            <w:r>
              <w:rPr>
                <w:spacing w:val="4"/>
              </w:rPr>
              <w:t>元/次</w:t>
            </w:r>
          </w:p>
        </w:tc>
        <w:tc>
          <w:tcPr>
            <w:tcW w:w="1284" w:type="dxa"/>
            <w:vAlign w:val="top"/>
          </w:tcPr>
          <w:p w14:paraId="7F3859F4">
            <w:pPr>
              <w:pStyle w:val="14"/>
              <w:spacing w:before="180" w:line="225" w:lineRule="auto"/>
              <w:ind w:left="124"/>
            </w:pPr>
            <w:r>
              <w:rPr>
                <w:spacing w:val="2"/>
              </w:rPr>
              <w:t>5,000</w:t>
            </w:r>
          </w:p>
        </w:tc>
      </w:tr>
      <w:tr w14:paraId="0F2B4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616" w:type="dxa"/>
            <w:vMerge w:val="continue"/>
            <w:tcBorders>
              <w:top w:val="nil"/>
            </w:tcBorders>
            <w:vAlign w:val="top"/>
          </w:tcPr>
          <w:p w14:paraId="0FE3F624">
            <w:pPr>
              <w:rPr>
                <w:rFonts w:ascii="Arial"/>
                <w:sz w:val="21"/>
              </w:rPr>
            </w:pPr>
          </w:p>
        </w:tc>
        <w:tc>
          <w:tcPr>
            <w:tcW w:w="827" w:type="dxa"/>
            <w:vMerge w:val="continue"/>
            <w:tcBorders>
              <w:top w:val="nil"/>
            </w:tcBorders>
            <w:vAlign w:val="top"/>
          </w:tcPr>
          <w:p w14:paraId="66B32DD9">
            <w:pPr>
              <w:rPr>
                <w:rFonts w:ascii="Arial"/>
                <w:sz w:val="21"/>
              </w:rPr>
            </w:pPr>
          </w:p>
        </w:tc>
        <w:tc>
          <w:tcPr>
            <w:tcW w:w="817" w:type="dxa"/>
            <w:vAlign w:val="top"/>
          </w:tcPr>
          <w:p w14:paraId="1C5066FA">
            <w:pPr>
              <w:pStyle w:val="14"/>
              <w:spacing w:before="183" w:line="269" w:lineRule="exact"/>
              <w:ind w:left="113"/>
            </w:pPr>
            <w:r>
              <w:rPr>
                <w:spacing w:val="3"/>
                <w:position w:val="1"/>
              </w:rPr>
              <w:t>B202</w:t>
            </w:r>
          </w:p>
        </w:tc>
        <w:tc>
          <w:tcPr>
            <w:tcW w:w="5323" w:type="dxa"/>
            <w:vAlign w:val="top"/>
          </w:tcPr>
          <w:p w14:paraId="3A460D13">
            <w:pPr>
              <w:pStyle w:val="14"/>
              <w:spacing w:before="183" w:line="227" w:lineRule="auto"/>
              <w:ind w:left="116"/>
            </w:pPr>
            <w:r>
              <w:rPr>
                <w:spacing w:val="9"/>
              </w:rPr>
              <w:t>材料管理混乱，未按要求分类存放、标志和防护。</w:t>
            </w:r>
          </w:p>
        </w:tc>
        <w:tc>
          <w:tcPr>
            <w:tcW w:w="1103" w:type="dxa"/>
            <w:vAlign w:val="top"/>
          </w:tcPr>
          <w:p w14:paraId="0AB0DE07">
            <w:pPr>
              <w:pStyle w:val="14"/>
              <w:spacing w:before="183" w:line="228" w:lineRule="auto"/>
              <w:ind w:left="121"/>
            </w:pPr>
            <w:r>
              <w:rPr>
                <w:spacing w:val="4"/>
              </w:rPr>
              <w:t>元/次</w:t>
            </w:r>
          </w:p>
        </w:tc>
        <w:tc>
          <w:tcPr>
            <w:tcW w:w="1284" w:type="dxa"/>
            <w:vAlign w:val="top"/>
          </w:tcPr>
          <w:p w14:paraId="78B3F888">
            <w:pPr>
              <w:pStyle w:val="14"/>
              <w:spacing w:before="183" w:line="225" w:lineRule="auto"/>
              <w:ind w:left="123"/>
            </w:pPr>
            <w:r>
              <w:rPr>
                <w:spacing w:val="2"/>
              </w:rPr>
              <w:t>2,000</w:t>
            </w:r>
          </w:p>
        </w:tc>
      </w:tr>
    </w:tbl>
    <w:p w14:paraId="16510CF6">
      <w:pPr>
        <w:rPr>
          <w:rFonts w:ascii="Arial"/>
          <w:sz w:val="21"/>
        </w:rPr>
      </w:pPr>
    </w:p>
    <w:p w14:paraId="4F2F82EB">
      <w:pPr>
        <w:spacing w:before="204"/>
        <w:rPr>
          <w:rFonts w:hint="eastAsia" w:eastAsia="宋体"/>
          <w:lang w:eastAsia="zh-CN"/>
        </w:rPr>
      </w:pPr>
      <w:r>
        <w:rPr>
          <w:rFonts w:hint="eastAsia" w:eastAsia="宋体"/>
          <w:lang w:eastAsia="zh-CN"/>
        </w:rPr>
        <w:br w:type="page"/>
      </w:r>
    </w:p>
    <w:tbl>
      <w:tblPr>
        <w:tblStyle w:val="13"/>
        <w:tblW w:w="99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827"/>
        <w:gridCol w:w="817"/>
        <w:gridCol w:w="5323"/>
        <w:gridCol w:w="1103"/>
        <w:gridCol w:w="1284"/>
      </w:tblGrid>
      <w:tr w14:paraId="6550A3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16" w:type="dxa"/>
            <w:vMerge w:val="restart"/>
            <w:tcBorders>
              <w:bottom w:val="nil"/>
            </w:tcBorders>
            <w:vAlign w:val="top"/>
          </w:tcPr>
          <w:p w14:paraId="30C723CC">
            <w:pPr>
              <w:rPr>
                <w:rFonts w:ascii="Arial"/>
                <w:sz w:val="21"/>
              </w:rPr>
            </w:pPr>
          </w:p>
        </w:tc>
        <w:tc>
          <w:tcPr>
            <w:tcW w:w="827" w:type="dxa"/>
            <w:vAlign w:val="top"/>
          </w:tcPr>
          <w:p w14:paraId="43259242">
            <w:pPr>
              <w:pStyle w:val="14"/>
              <w:spacing w:before="48" w:line="239" w:lineRule="auto"/>
              <w:ind w:left="119" w:right="113" w:firstLine="1"/>
            </w:pPr>
            <w:r>
              <w:rPr>
                <w:spacing w:val="-2"/>
              </w:rPr>
              <w:t>3.</w:t>
            </w:r>
            <w:r>
              <w:rPr>
                <w:spacing w:val="92"/>
              </w:rPr>
              <w:t xml:space="preserve"> </w:t>
            </w:r>
            <w:r>
              <w:rPr>
                <w:spacing w:val="-2"/>
              </w:rPr>
              <w:t>设</w:t>
            </w:r>
            <w:r>
              <w:t>备</w:t>
            </w:r>
          </w:p>
        </w:tc>
        <w:tc>
          <w:tcPr>
            <w:tcW w:w="817" w:type="dxa"/>
            <w:vAlign w:val="top"/>
          </w:tcPr>
          <w:p w14:paraId="6A2319AB">
            <w:pPr>
              <w:pStyle w:val="14"/>
              <w:spacing w:before="182" w:line="269" w:lineRule="exact"/>
              <w:ind w:left="113"/>
            </w:pPr>
            <w:r>
              <w:rPr>
                <w:spacing w:val="3"/>
                <w:position w:val="1"/>
              </w:rPr>
              <w:t>B301</w:t>
            </w:r>
          </w:p>
        </w:tc>
        <w:tc>
          <w:tcPr>
            <w:tcW w:w="5323" w:type="dxa"/>
            <w:vAlign w:val="top"/>
          </w:tcPr>
          <w:p w14:paraId="2F4D8A30">
            <w:pPr>
              <w:pStyle w:val="14"/>
              <w:spacing w:before="48" w:line="239" w:lineRule="auto"/>
              <w:ind w:left="117" w:right="111" w:firstLine="2"/>
            </w:pPr>
            <w:r>
              <w:rPr>
                <w:spacing w:val="12"/>
              </w:rPr>
              <w:t>未按监理人要求增加或更换施工设备，影响工程</w:t>
            </w:r>
            <w:r>
              <w:rPr>
                <w:spacing w:val="11"/>
              </w:rPr>
              <w:t>进度或</w:t>
            </w:r>
            <w:r>
              <w:rPr>
                <w:spacing w:val="2"/>
              </w:rPr>
              <w:t>质量。</w:t>
            </w:r>
          </w:p>
        </w:tc>
        <w:tc>
          <w:tcPr>
            <w:tcW w:w="1103" w:type="dxa"/>
            <w:vAlign w:val="top"/>
          </w:tcPr>
          <w:p w14:paraId="24DB6EC5">
            <w:pPr>
              <w:pStyle w:val="14"/>
              <w:spacing w:before="182" w:line="228" w:lineRule="auto"/>
              <w:ind w:left="121"/>
            </w:pPr>
            <w:r>
              <w:rPr>
                <w:spacing w:val="4"/>
              </w:rPr>
              <w:t>元/次</w:t>
            </w:r>
          </w:p>
        </w:tc>
        <w:tc>
          <w:tcPr>
            <w:tcW w:w="1284" w:type="dxa"/>
            <w:vAlign w:val="top"/>
          </w:tcPr>
          <w:p w14:paraId="2E8DD6AE">
            <w:pPr>
              <w:pStyle w:val="14"/>
              <w:spacing w:before="182" w:line="225" w:lineRule="auto"/>
              <w:ind w:left="123"/>
            </w:pPr>
            <w:r>
              <w:rPr>
                <w:spacing w:val="2"/>
              </w:rPr>
              <w:t>2,000</w:t>
            </w:r>
          </w:p>
        </w:tc>
      </w:tr>
      <w:tr w14:paraId="28432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1DF63879">
            <w:pPr>
              <w:rPr>
                <w:rFonts w:ascii="Arial"/>
                <w:sz w:val="21"/>
              </w:rPr>
            </w:pPr>
          </w:p>
        </w:tc>
        <w:tc>
          <w:tcPr>
            <w:tcW w:w="827" w:type="dxa"/>
            <w:vMerge w:val="restart"/>
            <w:tcBorders>
              <w:bottom w:val="nil"/>
            </w:tcBorders>
            <w:vAlign w:val="top"/>
          </w:tcPr>
          <w:p w14:paraId="5760E1F9">
            <w:pPr>
              <w:spacing w:line="264" w:lineRule="auto"/>
              <w:rPr>
                <w:rFonts w:ascii="Arial"/>
                <w:sz w:val="21"/>
              </w:rPr>
            </w:pPr>
          </w:p>
          <w:p w14:paraId="63D60A3D">
            <w:pPr>
              <w:pStyle w:val="14"/>
              <w:spacing w:before="65" w:line="257" w:lineRule="auto"/>
              <w:ind w:left="121" w:right="113" w:hanging="5"/>
            </w:pPr>
            <w:r>
              <w:t>4.</w:t>
            </w:r>
            <w:r>
              <w:rPr>
                <w:spacing w:val="91"/>
              </w:rPr>
              <w:t xml:space="preserve"> </w:t>
            </w:r>
            <w:r>
              <w:t>工艺</w:t>
            </w:r>
          </w:p>
        </w:tc>
        <w:tc>
          <w:tcPr>
            <w:tcW w:w="817" w:type="dxa"/>
            <w:vAlign w:val="top"/>
          </w:tcPr>
          <w:p w14:paraId="61AB4322">
            <w:pPr>
              <w:pStyle w:val="14"/>
              <w:spacing w:before="180" w:line="268" w:lineRule="exact"/>
              <w:ind w:left="113"/>
            </w:pPr>
            <w:r>
              <w:rPr>
                <w:spacing w:val="3"/>
                <w:position w:val="1"/>
              </w:rPr>
              <w:t>B401</w:t>
            </w:r>
          </w:p>
        </w:tc>
        <w:tc>
          <w:tcPr>
            <w:tcW w:w="5323" w:type="dxa"/>
            <w:vAlign w:val="top"/>
          </w:tcPr>
          <w:p w14:paraId="4CD7CC09">
            <w:pPr>
              <w:pStyle w:val="14"/>
              <w:spacing w:before="180" w:line="228" w:lineRule="auto"/>
              <w:ind w:left="116"/>
            </w:pPr>
            <w:r>
              <w:rPr>
                <w:spacing w:val="9"/>
              </w:rPr>
              <w:t>施工流程或施工工艺违反施工规范而不及时纠正。</w:t>
            </w:r>
          </w:p>
        </w:tc>
        <w:tc>
          <w:tcPr>
            <w:tcW w:w="1103" w:type="dxa"/>
            <w:vAlign w:val="top"/>
          </w:tcPr>
          <w:p w14:paraId="084B3D97">
            <w:pPr>
              <w:pStyle w:val="14"/>
              <w:spacing w:before="179" w:line="228" w:lineRule="auto"/>
              <w:ind w:left="121"/>
            </w:pPr>
            <w:r>
              <w:rPr>
                <w:spacing w:val="4"/>
              </w:rPr>
              <w:t>元/次</w:t>
            </w:r>
          </w:p>
        </w:tc>
        <w:tc>
          <w:tcPr>
            <w:tcW w:w="1284" w:type="dxa"/>
            <w:vAlign w:val="top"/>
          </w:tcPr>
          <w:p w14:paraId="2C5BBBCC">
            <w:pPr>
              <w:pStyle w:val="14"/>
              <w:spacing w:before="179" w:line="225" w:lineRule="auto"/>
              <w:ind w:left="123"/>
            </w:pPr>
            <w:r>
              <w:rPr>
                <w:spacing w:val="2"/>
              </w:rPr>
              <w:t>2,000</w:t>
            </w:r>
          </w:p>
        </w:tc>
      </w:tr>
      <w:tr w14:paraId="3106D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16" w:type="dxa"/>
            <w:vMerge w:val="continue"/>
            <w:tcBorders>
              <w:top w:val="nil"/>
              <w:bottom w:val="nil"/>
            </w:tcBorders>
            <w:vAlign w:val="top"/>
          </w:tcPr>
          <w:p w14:paraId="4007EA55">
            <w:pPr>
              <w:rPr>
                <w:rFonts w:ascii="Arial"/>
                <w:sz w:val="21"/>
              </w:rPr>
            </w:pPr>
          </w:p>
        </w:tc>
        <w:tc>
          <w:tcPr>
            <w:tcW w:w="827" w:type="dxa"/>
            <w:vMerge w:val="continue"/>
            <w:tcBorders>
              <w:top w:val="nil"/>
            </w:tcBorders>
            <w:vAlign w:val="top"/>
          </w:tcPr>
          <w:p w14:paraId="4900BFCE">
            <w:pPr>
              <w:rPr>
                <w:rFonts w:ascii="Arial"/>
                <w:sz w:val="21"/>
              </w:rPr>
            </w:pPr>
          </w:p>
        </w:tc>
        <w:tc>
          <w:tcPr>
            <w:tcW w:w="817" w:type="dxa"/>
            <w:vAlign w:val="top"/>
          </w:tcPr>
          <w:p w14:paraId="17EAA4CB">
            <w:pPr>
              <w:pStyle w:val="14"/>
              <w:spacing w:before="179" w:line="268" w:lineRule="exact"/>
              <w:ind w:left="113"/>
            </w:pPr>
            <w:r>
              <w:rPr>
                <w:spacing w:val="3"/>
                <w:position w:val="1"/>
              </w:rPr>
              <w:t>B402</w:t>
            </w:r>
          </w:p>
        </w:tc>
        <w:tc>
          <w:tcPr>
            <w:tcW w:w="5323" w:type="dxa"/>
            <w:vAlign w:val="top"/>
          </w:tcPr>
          <w:p w14:paraId="1DB177A6">
            <w:pPr>
              <w:pStyle w:val="14"/>
              <w:spacing w:before="43" w:line="239" w:lineRule="auto"/>
              <w:ind w:left="117" w:right="111" w:firstLine="4"/>
            </w:pPr>
            <w:r>
              <w:rPr>
                <w:spacing w:val="12"/>
              </w:rPr>
              <w:t>实体工程自检合格，但经监理或业主抽检不</w:t>
            </w:r>
            <w:r>
              <w:rPr>
                <w:spacing w:val="11"/>
              </w:rPr>
              <w:t>合格，有弄</w:t>
            </w:r>
            <w:r>
              <w:rPr>
                <w:spacing w:val="6"/>
              </w:rPr>
              <w:t>虚作假嫌疑的。</w:t>
            </w:r>
          </w:p>
        </w:tc>
        <w:tc>
          <w:tcPr>
            <w:tcW w:w="1103" w:type="dxa"/>
            <w:vAlign w:val="top"/>
          </w:tcPr>
          <w:p w14:paraId="06DBAC3C">
            <w:pPr>
              <w:pStyle w:val="14"/>
              <w:spacing w:before="178" w:line="228" w:lineRule="auto"/>
              <w:ind w:left="121"/>
            </w:pPr>
            <w:r>
              <w:rPr>
                <w:spacing w:val="4"/>
              </w:rPr>
              <w:t>元/次</w:t>
            </w:r>
          </w:p>
        </w:tc>
        <w:tc>
          <w:tcPr>
            <w:tcW w:w="1284" w:type="dxa"/>
            <w:vAlign w:val="top"/>
          </w:tcPr>
          <w:p w14:paraId="6FF6AE56">
            <w:pPr>
              <w:pStyle w:val="14"/>
              <w:spacing w:before="178" w:line="225" w:lineRule="auto"/>
              <w:ind w:left="124"/>
            </w:pPr>
            <w:r>
              <w:rPr>
                <w:spacing w:val="2"/>
              </w:rPr>
              <w:t>5,000</w:t>
            </w:r>
          </w:p>
        </w:tc>
      </w:tr>
      <w:tr w14:paraId="6333B5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16" w:type="dxa"/>
            <w:vMerge w:val="continue"/>
            <w:tcBorders>
              <w:top w:val="nil"/>
              <w:bottom w:val="nil"/>
            </w:tcBorders>
            <w:vAlign w:val="top"/>
          </w:tcPr>
          <w:p w14:paraId="0A56303B">
            <w:pPr>
              <w:rPr>
                <w:rFonts w:ascii="Arial"/>
                <w:sz w:val="21"/>
              </w:rPr>
            </w:pPr>
          </w:p>
        </w:tc>
        <w:tc>
          <w:tcPr>
            <w:tcW w:w="827" w:type="dxa"/>
            <w:vMerge w:val="restart"/>
            <w:tcBorders>
              <w:bottom w:val="nil"/>
            </w:tcBorders>
            <w:vAlign w:val="top"/>
          </w:tcPr>
          <w:p w14:paraId="5B694CE6">
            <w:pPr>
              <w:spacing w:line="279" w:lineRule="auto"/>
              <w:rPr>
                <w:rFonts w:ascii="Arial"/>
                <w:sz w:val="21"/>
              </w:rPr>
            </w:pPr>
          </w:p>
          <w:p w14:paraId="6A9F73E9">
            <w:pPr>
              <w:spacing w:line="280" w:lineRule="auto"/>
              <w:rPr>
                <w:rFonts w:ascii="Arial"/>
                <w:sz w:val="21"/>
              </w:rPr>
            </w:pPr>
          </w:p>
          <w:p w14:paraId="542439E6">
            <w:pPr>
              <w:spacing w:line="280" w:lineRule="auto"/>
              <w:rPr>
                <w:rFonts w:ascii="Arial"/>
                <w:sz w:val="21"/>
              </w:rPr>
            </w:pPr>
          </w:p>
          <w:p w14:paraId="733665CA">
            <w:pPr>
              <w:pStyle w:val="14"/>
              <w:spacing w:before="65" w:line="256" w:lineRule="auto"/>
              <w:ind w:left="116" w:right="113" w:firstLine="5"/>
            </w:pPr>
            <w:r>
              <w:rPr>
                <w:spacing w:val="-1"/>
              </w:rPr>
              <w:t>5.</w:t>
            </w:r>
            <w:r>
              <w:rPr>
                <w:spacing w:val="89"/>
              </w:rPr>
              <w:t xml:space="preserve"> </w:t>
            </w:r>
            <w:r>
              <w:rPr>
                <w:spacing w:val="-1"/>
              </w:rPr>
              <w:t>检</w:t>
            </w:r>
            <w:r>
              <w:rPr>
                <w:spacing w:val="1"/>
              </w:rPr>
              <w:t>验</w:t>
            </w:r>
          </w:p>
        </w:tc>
        <w:tc>
          <w:tcPr>
            <w:tcW w:w="817" w:type="dxa"/>
            <w:vAlign w:val="top"/>
          </w:tcPr>
          <w:p w14:paraId="5FA25C04">
            <w:pPr>
              <w:pStyle w:val="14"/>
              <w:spacing w:before="181" w:line="268" w:lineRule="exact"/>
              <w:ind w:left="113"/>
            </w:pPr>
            <w:r>
              <w:rPr>
                <w:spacing w:val="3"/>
                <w:position w:val="1"/>
              </w:rPr>
              <w:t>B501</w:t>
            </w:r>
          </w:p>
        </w:tc>
        <w:tc>
          <w:tcPr>
            <w:tcW w:w="5323" w:type="dxa"/>
            <w:vAlign w:val="top"/>
          </w:tcPr>
          <w:p w14:paraId="6B2D794E">
            <w:pPr>
              <w:pStyle w:val="14"/>
              <w:spacing w:before="181" w:line="228" w:lineRule="auto"/>
              <w:ind w:left="116"/>
            </w:pPr>
            <w:r>
              <w:rPr>
                <w:spacing w:val="8"/>
              </w:rPr>
              <w:t>试验检测操作未按规定程序进行。</w:t>
            </w:r>
          </w:p>
        </w:tc>
        <w:tc>
          <w:tcPr>
            <w:tcW w:w="1103" w:type="dxa"/>
            <w:vAlign w:val="top"/>
          </w:tcPr>
          <w:p w14:paraId="04D54FFB">
            <w:pPr>
              <w:pStyle w:val="14"/>
              <w:spacing w:before="181" w:line="228" w:lineRule="auto"/>
              <w:ind w:left="121"/>
            </w:pPr>
            <w:r>
              <w:rPr>
                <w:spacing w:val="4"/>
              </w:rPr>
              <w:t>元/次</w:t>
            </w:r>
          </w:p>
        </w:tc>
        <w:tc>
          <w:tcPr>
            <w:tcW w:w="1284" w:type="dxa"/>
            <w:vAlign w:val="top"/>
          </w:tcPr>
          <w:p w14:paraId="37FEB03D">
            <w:pPr>
              <w:pStyle w:val="14"/>
              <w:spacing w:before="181" w:line="225" w:lineRule="auto"/>
              <w:ind w:left="136"/>
            </w:pPr>
            <w:r>
              <w:t>1,000</w:t>
            </w:r>
          </w:p>
        </w:tc>
      </w:tr>
      <w:tr w14:paraId="2D8C5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16" w:type="dxa"/>
            <w:vMerge w:val="continue"/>
            <w:tcBorders>
              <w:top w:val="nil"/>
              <w:bottom w:val="nil"/>
            </w:tcBorders>
            <w:vAlign w:val="top"/>
          </w:tcPr>
          <w:p w14:paraId="608261E1">
            <w:pPr>
              <w:rPr>
                <w:rFonts w:ascii="Arial"/>
                <w:sz w:val="21"/>
              </w:rPr>
            </w:pPr>
          </w:p>
        </w:tc>
        <w:tc>
          <w:tcPr>
            <w:tcW w:w="827" w:type="dxa"/>
            <w:vMerge w:val="continue"/>
            <w:tcBorders>
              <w:top w:val="nil"/>
              <w:bottom w:val="nil"/>
            </w:tcBorders>
            <w:vAlign w:val="top"/>
          </w:tcPr>
          <w:p w14:paraId="540D0988">
            <w:pPr>
              <w:rPr>
                <w:rFonts w:ascii="Arial"/>
                <w:sz w:val="21"/>
              </w:rPr>
            </w:pPr>
          </w:p>
        </w:tc>
        <w:tc>
          <w:tcPr>
            <w:tcW w:w="817" w:type="dxa"/>
            <w:vAlign w:val="top"/>
          </w:tcPr>
          <w:p w14:paraId="30FFEF11">
            <w:pPr>
              <w:pStyle w:val="14"/>
              <w:spacing w:before="181" w:line="268" w:lineRule="exact"/>
              <w:ind w:left="113"/>
            </w:pPr>
            <w:r>
              <w:rPr>
                <w:spacing w:val="3"/>
                <w:position w:val="1"/>
              </w:rPr>
              <w:t>B502</w:t>
            </w:r>
          </w:p>
        </w:tc>
        <w:tc>
          <w:tcPr>
            <w:tcW w:w="5323" w:type="dxa"/>
            <w:vAlign w:val="top"/>
          </w:tcPr>
          <w:p w14:paraId="4412CB1E">
            <w:pPr>
              <w:pStyle w:val="14"/>
              <w:spacing w:before="181" w:line="228" w:lineRule="auto"/>
              <w:ind w:left="116"/>
            </w:pPr>
            <w:r>
              <w:rPr>
                <w:spacing w:val="8"/>
              </w:rPr>
              <w:t>检测频率不够，项目不全，报检不及时。</w:t>
            </w:r>
          </w:p>
        </w:tc>
        <w:tc>
          <w:tcPr>
            <w:tcW w:w="1103" w:type="dxa"/>
            <w:vAlign w:val="top"/>
          </w:tcPr>
          <w:p w14:paraId="5543273C">
            <w:pPr>
              <w:pStyle w:val="14"/>
              <w:spacing w:before="181" w:line="228" w:lineRule="auto"/>
              <w:ind w:left="121"/>
            </w:pPr>
            <w:r>
              <w:rPr>
                <w:spacing w:val="4"/>
              </w:rPr>
              <w:t>元/次</w:t>
            </w:r>
          </w:p>
        </w:tc>
        <w:tc>
          <w:tcPr>
            <w:tcW w:w="1284" w:type="dxa"/>
            <w:vAlign w:val="top"/>
          </w:tcPr>
          <w:p w14:paraId="4E6F1BE4">
            <w:pPr>
              <w:pStyle w:val="14"/>
              <w:spacing w:before="181" w:line="225" w:lineRule="auto"/>
              <w:ind w:left="123"/>
            </w:pPr>
            <w:r>
              <w:rPr>
                <w:spacing w:val="2"/>
              </w:rPr>
              <w:t>2,000</w:t>
            </w:r>
          </w:p>
        </w:tc>
      </w:tr>
      <w:tr w14:paraId="70D5A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193A3773">
            <w:pPr>
              <w:rPr>
                <w:rFonts w:ascii="Arial"/>
                <w:sz w:val="21"/>
              </w:rPr>
            </w:pPr>
          </w:p>
        </w:tc>
        <w:tc>
          <w:tcPr>
            <w:tcW w:w="827" w:type="dxa"/>
            <w:vMerge w:val="continue"/>
            <w:tcBorders>
              <w:top w:val="nil"/>
              <w:bottom w:val="nil"/>
            </w:tcBorders>
            <w:vAlign w:val="top"/>
          </w:tcPr>
          <w:p w14:paraId="32A3AF07">
            <w:pPr>
              <w:rPr>
                <w:rFonts w:ascii="Arial"/>
                <w:sz w:val="21"/>
              </w:rPr>
            </w:pPr>
          </w:p>
        </w:tc>
        <w:tc>
          <w:tcPr>
            <w:tcW w:w="817" w:type="dxa"/>
            <w:vAlign w:val="top"/>
          </w:tcPr>
          <w:p w14:paraId="4FE148FA">
            <w:pPr>
              <w:pStyle w:val="14"/>
              <w:spacing w:before="181" w:line="268" w:lineRule="exact"/>
              <w:ind w:left="113"/>
            </w:pPr>
            <w:r>
              <w:rPr>
                <w:spacing w:val="3"/>
                <w:position w:val="1"/>
              </w:rPr>
              <w:t>B503</w:t>
            </w:r>
          </w:p>
        </w:tc>
        <w:tc>
          <w:tcPr>
            <w:tcW w:w="5323" w:type="dxa"/>
            <w:vAlign w:val="top"/>
          </w:tcPr>
          <w:p w14:paraId="3CC74F14">
            <w:pPr>
              <w:pStyle w:val="14"/>
              <w:spacing w:before="181" w:line="228" w:lineRule="auto"/>
              <w:ind w:left="116"/>
            </w:pPr>
            <w:r>
              <w:rPr>
                <w:spacing w:val="8"/>
              </w:rPr>
              <w:t>试验仪器、器具逾期未标定。</w:t>
            </w:r>
          </w:p>
        </w:tc>
        <w:tc>
          <w:tcPr>
            <w:tcW w:w="1103" w:type="dxa"/>
            <w:vAlign w:val="top"/>
          </w:tcPr>
          <w:p w14:paraId="0F2B0D23">
            <w:pPr>
              <w:pStyle w:val="14"/>
              <w:spacing w:before="181" w:line="228" w:lineRule="auto"/>
              <w:ind w:left="121"/>
            </w:pPr>
            <w:r>
              <w:rPr>
                <w:spacing w:val="4"/>
              </w:rPr>
              <w:t>元/件</w:t>
            </w:r>
          </w:p>
        </w:tc>
        <w:tc>
          <w:tcPr>
            <w:tcW w:w="1284" w:type="dxa"/>
            <w:vAlign w:val="top"/>
          </w:tcPr>
          <w:p w14:paraId="40F84388">
            <w:pPr>
              <w:pStyle w:val="14"/>
              <w:spacing w:before="181" w:line="268" w:lineRule="exact"/>
              <w:ind w:left="124"/>
            </w:pPr>
            <w:r>
              <w:rPr>
                <w:spacing w:val="1"/>
                <w:position w:val="1"/>
              </w:rPr>
              <w:t>500</w:t>
            </w:r>
          </w:p>
        </w:tc>
      </w:tr>
      <w:tr w14:paraId="0DB92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3884FC4C">
            <w:pPr>
              <w:rPr>
                <w:rFonts w:ascii="Arial"/>
                <w:sz w:val="21"/>
              </w:rPr>
            </w:pPr>
          </w:p>
        </w:tc>
        <w:tc>
          <w:tcPr>
            <w:tcW w:w="827" w:type="dxa"/>
            <w:vMerge w:val="continue"/>
            <w:tcBorders>
              <w:top w:val="nil"/>
            </w:tcBorders>
            <w:vAlign w:val="top"/>
          </w:tcPr>
          <w:p w14:paraId="47F6398D">
            <w:pPr>
              <w:rPr>
                <w:rFonts w:ascii="Arial"/>
                <w:sz w:val="21"/>
              </w:rPr>
            </w:pPr>
          </w:p>
        </w:tc>
        <w:tc>
          <w:tcPr>
            <w:tcW w:w="817" w:type="dxa"/>
            <w:vAlign w:val="top"/>
          </w:tcPr>
          <w:p w14:paraId="46E6C681">
            <w:pPr>
              <w:pStyle w:val="14"/>
              <w:spacing w:before="182" w:line="269" w:lineRule="exact"/>
              <w:ind w:left="113"/>
            </w:pPr>
            <w:r>
              <w:rPr>
                <w:spacing w:val="3"/>
                <w:position w:val="1"/>
              </w:rPr>
              <w:t>B504</w:t>
            </w:r>
          </w:p>
        </w:tc>
        <w:tc>
          <w:tcPr>
            <w:tcW w:w="5323" w:type="dxa"/>
            <w:vAlign w:val="top"/>
          </w:tcPr>
          <w:p w14:paraId="544A8848">
            <w:pPr>
              <w:pStyle w:val="14"/>
              <w:spacing w:before="46" w:line="238" w:lineRule="auto"/>
              <w:ind w:left="118" w:right="111" w:hanging="3"/>
            </w:pPr>
            <w:r>
              <w:rPr>
                <w:spacing w:val="12"/>
              </w:rPr>
              <w:t>进场设备、材料验收程序不符合规范及项目管理制度要</w:t>
            </w:r>
            <w:r>
              <w:rPr>
                <w:spacing w:val="-1"/>
              </w:rPr>
              <w:t>求。</w:t>
            </w:r>
          </w:p>
        </w:tc>
        <w:tc>
          <w:tcPr>
            <w:tcW w:w="1103" w:type="dxa"/>
            <w:vAlign w:val="top"/>
          </w:tcPr>
          <w:p w14:paraId="1E966859">
            <w:pPr>
              <w:pStyle w:val="14"/>
              <w:spacing w:before="182" w:line="228" w:lineRule="auto"/>
              <w:ind w:left="121"/>
            </w:pPr>
            <w:r>
              <w:rPr>
                <w:spacing w:val="4"/>
              </w:rPr>
              <w:t>元/次</w:t>
            </w:r>
          </w:p>
        </w:tc>
        <w:tc>
          <w:tcPr>
            <w:tcW w:w="1284" w:type="dxa"/>
            <w:vAlign w:val="top"/>
          </w:tcPr>
          <w:p w14:paraId="38E6F0A3">
            <w:pPr>
              <w:pStyle w:val="14"/>
              <w:spacing w:before="182" w:line="225" w:lineRule="auto"/>
              <w:ind w:left="123"/>
            </w:pPr>
            <w:r>
              <w:rPr>
                <w:spacing w:val="2"/>
              </w:rPr>
              <w:t>2,000</w:t>
            </w:r>
          </w:p>
        </w:tc>
      </w:tr>
      <w:tr w14:paraId="48B10E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362C536C">
            <w:pPr>
              <w:rPr>
                <w:rFonts w:ascii="Arial"/>
                <w:sz w:val="21"/>
              </w:rPr>
            </w:pPr>
          </w:p>
        </w:tc>
        <w:tc>
          <w:tcPr>
            <w:tcW w:w="827" w:type="dxa"/>
            <w:vMerge w:val="restart"/>
            <w:tcBorders>
              <w:bottom w:val="nil"/>
            </w:tcBorders>
            <w:vAlign w:val="top"/>
          </w:tcPr>
          <w:p w14:paraId="202E81BD">
            <w:pPr>
              <w:spacing w:line="268" w:lineRule="auto"/>
              <w:rPr>
                <w:rFonts w:ascii="Arial"/>
                <w:sz w:val="21"/>
              </w:rPr>
            </w:pPr>
          </w:p>
          <w:p w14:paraId="17693B62">
            <w:pPr>
              <w:pStyle w:val="14"/>
              <w:spacing w:before="65" w:line="256" w:lineRule="auto"/>
              <w:ind w:left="120" w:right="113" w:hanging="2"/>
            </w:pPr>
            <w:r>
              <w:t>6.</w:t>
            </w:r>
            <w:r>
              <w:rPr>
                <w:spacing w:val="90"/>
              </w:rPr>
              <w:t xml:space="preserve"> </w:t>
            </w:r>
            <w:r>
              <w:t>其它</w:t>
            </w:r>
          </w:p>
        </w:tc>
        <w:tc>
          <w:tcPr>
            <w:tcW w:w="817" w:type="dxa"/>
            <w:vAlign w:val="top"/>
          </w:tcPr>
          <w:p w14:paraId="53135C9E">
            <w:pPr>
              <w:pStyle w:val="14"/>
              <w:spacing w:before="181" w:line="269" w:lineRule="exact"/>
              <w:ind w:left="113"/>
            </w:pPr>
            <w:r>
              <w:rPr>
                <w:spacing w:val="3"/>
                <w:position w:val="1"/>
              </w:rPr>
              <w:t>B601</w:t>
            </w:r>
          </w:p>
        </w:tc>
        <w:tc>
          <w:tcPr>
            <w:tcW w:w="5323" w:type="dxa"/>
            <w:vAlign w:val="top"/>
          </w:tcPr>
          <w:p w14:paraId="05269A07">
            <w:pPr>
              <w:pStyle w:val="14"/>
              <w:spacing w:before="181" w:line="228" w:lineRule="auto"/>
              <w:ind w:left="117"/>
            </w:pPr>
            <w:r>
              <w:rPr>
                <w:spacing w:val="8"/>
              </w:rPr>
              <w:t>质量问题整改不力、不及时。</w:t>
            </w:r>
          </w:p>
        </w:tc>
        <w:tc>
          <w:tcPr>
            <w:tcW w:w="1103" w:type="dxa"/>
            <w:vAlign w:val="top"/>
          </w:tcPr>
          <w:p w14:paraId="30E25678">
            <w:pPr>
              <w:pStyle w:val="14"/>
              <w:spacing w:before="181" w:line="228" w:lineRule="auto"/>
              <w:ind w:left="121"/>
            </w:pPr>
            <w:r>
              <w:rPr>
                <w:spacing w:val="4"/>
              </w:rPr>
              <w:t>元/次</w:t>
            </w:r>
          </w:p>
        </w:tc>
        <w:tc>
          <w:tcPr>
            <w:tcW w:w="1284" w:type="dxa"/>
            <w:vAlign w:val="top"/>
          </w:tcPr>
          <w:p w14:paraId="16B021ED">
            <w:pPr>
              <w:pStyle w:val="14"/>
              <w:spacing w:before="181" w:line="225" w:lineRule="auto"/>
              <w:ind w:left="124"/>
            </w:pPr>
            <w:r>
              <w:rPr>
                <w:spacing w:val="2"/>
              </w:rPr>
              <w:t>3,000</w:t>
            </w:r>
          </w:p>
        </w:tc>
      </w:tr>
      <w:tr w14:paraId="48AE4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tcBorders>
            <w:vAlign w:val="top"/>
          </w:tcPr>
          <w:p w14:paraId="2C4859EC">
            <w:pPr>
              <w:rPr>
                <w:rFonts w:ascii="Arial"/>
                <w:sz w:val="21"/>
              </w:rPr>
            </w:pPr>
          </w:p>
        </w:tc>
        <w:tc>
          <w:tcPr>
            <w:tcW w:w="827" w:type="dxa"/>
            <w:vMerge w:val="continue"/>
            <w:tcBorders>
              <w:top w:val="nil"/>
            </w:tcBorders>
            <w:vAlign w:val="top"/>
          </w:tcPr>
          <w:p w14:paraId="5346C44F">
            <w:pPr>
              <w:rPr>
                <w:rFonts w:ascii="Arial"/>
                <w:sz w:val="21"/>
              </w:rPr>
            </w:pPr>
          </w:p>
        </w:tc>
        <w:tc>
          <w:tcPr>
            <w:tcW w:w="817" w:type="dxa"/>
            <w:vAlign w:val="top"/>
          </w:tcPr>
          <w:p w14:paraId="6E7398DB">
            <w:pPr>
              <w:pStyle w:val="14"/>
              <w:spacing w:before="183" w:line="268" w:lineRule="exact"/>
              <w:ind w:left="113"/>
            </w:pPr>
            <w:r>
              <w:rPr>
                <w:spacing w:val="3"/>
                <w:position w:val="1"/>
              </w:rPr>
              <w:t>B602</w:t>
            </w:r>
          </w:p>
        </w:tc>
        <w:tc>
          <w:tcPr>
            <w:tcW w:w="5323" w:type="dxa"/>
            <w:vAlign w:val="top"/>
          </w:tcPr>
          <w:p w14:paraId="5DCAA513">
            <w:pPr>
              <w:pStyle w:val="14"/>
              <w:spacing w:before="182" w:line="228" w:lineRule="auto"/>
              <w:ind w:left="119"/>
            </w:pPr>
            <w:r>
              <w:rPr>
                <w:spacing w:val="8"/>
              </w:rPr>
              <w:t>工程质量受到省级主管部门通报批评。</w:t>
            </w:r>
          </w:p>
        </w:tc>
        <w:tc>
          <w:tcPr>
            <w:tcW w:w="1103" w:type="dxa"/>
            <w:vAlign w:val="top"/>
          </w:tcPr>
          <w:p w14:paraId="70303938">
            <w:pPr>
              <w:pStyle w:val="14"/>
              <w:spacing w:before="182" w:line="228" w:lineRule="auto"/>
              <w:ind w:left="121"/>
            </w:pPr>
            <w:r>
              <w:rPr>
                <w:spacing w:val="4"/>
              </w:rPr>
              <w:t>元/次</w:t>
            </w:r>
          </w:p>
        </w:tc>
        <w:tc>
          <w:tcPr>
            <w:tcW w:w="1284" w:type="dxa"/>
            <w:vAlign w:val="top"/>
          </w:tcPr>
          <w:p w14:paraId="411F57B6">
            <w:pPr>
              <w:pStyle w:val="14"/>
              <w:spacing w:before="183" w:line="225" w:lineRule="auto"/>
              <w:ind w:left="124"/>
            </w:pPr>
            <w:r>
              <w:rPr>
                <w:spacing w:val="2"/>
              </w:rPr>
              <w:t>30,000</w:t>
            </w:r>
          </w:p>
        </w:tc>
      </w:tr>
      <w:tr w14:paraId="026198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restart"/>
            <w:tcBorders>
              <w:bottom w:val="nil"/>
            </w:tcBorders>
            <w:vAlign w:val="top"/>
          </w:tcPr>
          <w:p w14:paraId="272F628C">
            <w:pPr>
              <w:spacing w:line="246" w:lineRule="auto"/>
              <w:rPr>
                <w:rFonts w:ascii="Arial"/>
                <w:sz w:val="21"/>
              </w:rPr>
            </w:pPr>
          </w:p>
          <w:p w14:paraId="07BDD202">
            <w:pPr>
              <w:spacing w:line="247" w:lineRule="auto"/>
              <w:rPr>
                <w:rFonts w:ascii="Arial"/>
                <w:sz w:val="21"/>
              </w:rPr>
            </w:pPr>
          </w:p>
          <w:p w14:paraId="4A86FB67">
            <w:pPr>
              <w:spacing w:line="247" w:lineRule="auto"/>
              <w:rPr>
                <w:rFonts w:ascii="Arial"/>
                <w:sz w:val="21"/>
              </w:rPr>
            </w:pPr>
          </w:p>
          <w:p w14:paraId="7B96E728">
            <w:pPr>
              <w:spacing w:line="247" w:lineRule="auto"/>
              <w:rPr>
                <w:rFonts w:ascii="Arial"/>
                <w:sz w:val="21"/>
              </w:rPr>
            </w:pPr>
          </w:p>
          <w:p w14:paraId="3904B44A">
            <w:pPr>
              <w:spacing w:line="247" w:lineRule="auto"/>
              <w:rPr>
                <w:rFonts w:ascii="Arial"/>
                <w:sz w:val="21"/>
              </w:rPr>
            </w:pPr>
          </w:p>
          <w:p w14:paraId="687BC290">
            <w:pPr>
              <w:spacing w:line="247" w:lineRule="auto"/>
              <w:rPr>
                <w:rFonts w:ascii="Arial"/>
                <w:sz w:val="21"/>
              </w:rPr>
            </w:pPr>
          </w:p>
          <w:p w14:paraId="4316024F">
            <w:pPr>
              <w:spacing w:line="247" w:lineRule="auto"/>
              <w:rPr>
                <w:rFonts w:ascii="Arial"/>
                <w:sz w:val="21"/>
              </w:rPr>
            </w:pPr>
          </w:p>
          <w:p w14:paraId="0064D226">
            <w:pPr>
              <w:spacing w:line="247" w:lineRule="auto"/>
              <w:rPr>
                <w:rFonts w:ascii="Arial"/>
                <w:sz w:val="21"/>
              </w:rPr>
            </w:pPr>
          </w:p>
          <w:p w14:paraId="6552203A">
            <w:pPr>
              <w:spacing w:line="247" w:lineRule="auto"/>
              <w:rPr>
                <w:rFonts w:ascii="Arial"/>
                <w:sz w:val="21"/>
              </w:rPr>
            </w:pPr>
          </w:p>
          <w:p w14:paraId="3FB255D2">
            <w:pPr>
              <w:spacing w:line="247" w:lineRule="auto"/>
              <w:rPr>
                <w:rFonts w:ascii="Arial"/>
                <w:sz w:val="21"/>
              </w:rPr>
            </w:pPr>
          </w:p>
          <w:p w14:paraId="1E8919C3">
            <w:pPr>
              <w:spacing w:line="247" w:lineRule="auto"/>
              <w:rPr>
                <w:rFonts w:ascii="Arial"/>
                <w:sz w:val="21"/>
              </w:rPr>
            </w:pPr>
          </w:p>
          <w:p w14:paraId="6D1C2DAA">
            <w:pPr>
              <w:spacing w:line="247" w:lineRule="auto"/>
              <w:rPr>
                <w:rFonts w:ascii="Arial"/>
                <w:sz w:val="21"/>
              </w:rPr>
            </w:pPr>
          </w:p>
          <w:p w14:paraId="7DB6FF28">
            <w:pPr>
              <w:spacing w:line="247" w:lineRule="auto"/>
              <w:rPr>
                <w:rFonts w:ascii="Arial"/>
                <w:sz w:val="21"/>
              </w:rPr>
            </w:pPr>
          </w:p>
          <w:p w14:paraId="648A9829">
            <w:pPr>
              <w:spacing w:line="247" w:lineRule="auto"/>
              <w:rPr>
                <w:rFonts w:ascii="Arial"/>
                <w:sz w:val="21"/>
              </w:rPr>
            </w:pPr>
          </w:p>
          <w:p w14:paraId="2106D2E4">
            <w:pPr>
              <w:pStyle w:val="14"/>
              <w:spacing w:before="65" w:line="247" w:lineRule="auto"/>
              <w:ind w:left="209" w:right="199" w:hanging="1"/>
              <w:jc w:val="both"/>
            </w:pPr>
            <w:r>
              <w:rPr>
                <w:spacing w:val="1"/>
              </w:rPr>
              <w:t>C.</w:t>
            </w:r>
            <w:r>
              <w:t>安全生产</w:t>
            </w:r>
          </w:p>
        </w:tc>
        <w:tc>
          <w:tcPr>
            <w:tcW w:w="827" w:type="dxa"/>
            <w:vMerge w:val="restart"/>
            <w:tcBorders>
              <w:bottom w:val="nil"/>
            </w:tcBorders>
            <w:vAlign w:val="top"/>
          </w:tcPr>
          <w:p w14:paraId="4C6C8456">
            <w:pPr>
              <w:spacing w:line="253" w:lineRule="auto"/>
              <w:rPr>
                <w:rFonts w:ascii="Arial"/>
                <w:sz w:val="21"/>
              </w:rPr>
            </w:pPr>
          </w:p>
          <w:p w14:paraId="30887C5F">
            <w:pPr>
              <w:spacing w:line="253" w:lineRule="auto"/>
              <w:rPr>
                <w:rFonts w:ascii="Arial"/>
                <w:sz w:val="21"/>
              </w:rPr>
            </w:pPr>
          </w:p>
          <w:p w14:paraId="5D3429C0">
            <w:pPr>
              <w:spacing w:line="253" w:lineRule="auto"/>
              <w:rPr>
                <w:rFonts w:ascii="Arial"/>
                <w:sz w:val="21"/>
              </w:rPr>
            </w:pPr>
          </w:p>
          <w:p w14:paraId="3FABED0C">
            <w:pPr>
              <w:spacing w:line="253" w:lineRule="auto"/>
              <w:rPr>
                <w:rFonts w:ascii="Arial"/>
                <w:sz w:val="21"/>
              </w:rPr>
            </w:pPr>
          </w:p>
          <w:p w14:paraId="2457A164">
            <w:pPr>
              <w:spacing w:line="253" w:lineRule="auto"/>
              <w:rPr>
                <w:rFonts w:ascii="Arial"/>
                <w:sz w:val="21"/>
              </w:rPr>
            </w:pPr>
          </w:p>
          <w:p w14:paraId="1A00813D">
            <w:pPr>
              <w:spacing w:line="253" w:lineRule="auto"/>
              <w:rPr>
                <w:rFonts w:ascii="Arial"/>
                <w:sz w:val="21"/>
              </w:rPr>
            </w:pPr>
          </w:p>
          <w:p w14:paraId="621C7677">
            <w:pPr>
              <w:spacing w:line="253" w:lineRule="auto"/>
              <w:rPr>
                <w:rFonts w:ascii="Arial"/>
                <w:sz w:val="21"/>
              </w:rPr>
            </w:pPr>
          </w:p>
          <w:p w14:paraId="0A6AF37F">
            <w:pPr>
              <w:spacing w:line="253" w:lineRule="auto"/>
              <w:rPr>
                <w:rFonts w:ascii="Arial"/>
                <w:sz w:val="21"/>
              </w:rPr>
            </w:pPr>
          </w:p>
          <w:p w14:paraId="6BC9C167">
            <w:pPr>
              <w:spacing w:line="253" w:lineRule="auto"/>
              <w:rPr>
                <w:rFonts w:ascii="Arial"/>
                <w:sz w:val="21"/>
              </w:rPr>
            </w:pPr>
          </w:p>
          <w:p w14:paraId="59072FD9">
            <w:pPr>
              <w:spacing w:line="254" w:lineRule="auto"/>
              <w:rPr>
                <w:rFonts w:ascii="Arial"/>
                <w:sz w:val="21"/>
              </w:rPr>
            </w:pPr>
          </w:p>
          <w:p w14:paraId="46475988">
            <w:pPr>
              <w:spacing w:line="254" w:lineRule="auto"/>
              <w:rPr>
                <w:rFonts w:ascii="Arial"/>
                <w:sz w:val="21"/>
              </w:rPr>
            </w:pPr>
          </w:p>
          <w:p w14:paraId="23E1EA4C">
            <w:pPr>
              <w:spacing w:line="254" w:lineRule="auto"/>
              <w:rPr>
                <w:rFonts w:ascii="Arial"/>
                <w:sz w:val="21"/>
              </w:rPr>
            </w:pPr>
          </w:p>
          <w:p w14:paraId="625D20D9">
            <w:pPr>
              <w:spacing w:line="254" w:lineRule="auto"/>
              <w:rPr>
                <w:rFonts w:ascii="Arial"/>
                <w:sz w:val="21"/>
              </w:rPr>
            </w:pPr>
          </w:p>
          <w:p w14:paraId="244038EB">
            <w:pPr>
              <w:spacing w:line="254" w:lineRule="auto"/>
              <w:rPr>
                <w:rFonts w:ascii="Arial"/>
                <w:sz w:val="21"/>
              </w:rPr>
            </w:pPr>
          </w:p>
          <w:p w14:paraId="643B1D1E">
            <w:pPr>
              <w:pStyle w:val="14"/>
              <w:spacing w:before="65" w:line="252" w:lineRule="auto"/>
              <w:ind w:left="116" w:right="113" w:firstLine="16"/>
            </w:pPr>
            <w:r>
              <w:rPr>
                <w:spacing w:val="-4"/>
              </w:rPr>
              <w:t>1.</w:t>
            </w:r>
            <w:r>
              <w:rPr>
                <w:spacing w:val="88"/>
              </w:rPr>
              <w:t xml:space="preserve"> </w:t>
            </w:r>
            <w:r>
              <w:rPr>
                <w:spacing w:val="-4"/>
              </w:rPr>
              <w:t>程</w:t>
            </w:r>
            <w:r>
              <w:rPr>
                <w:spacing w:val="1"/>
              </w:rPr>
              <w:t>序</w:t>
            </w:r>
          </w:p>
        </w:tc>
        <w:tc>
          <w:tcPr>
            <w:tcW w:w="817" w:type="dxa"/>
            <w:vAlign w:val="top"/>
          </w:tcPr>
          <w:p w14:paraId="2490E1CA">
            <w:pPr>
              <w:pStyle w:val="14"/>
              <w:spacing w:before="182" w:line="268" w:lineRule="exact"/>
              <w:ind w:left="116"/>
            </w:pPr>
            <w:r>
              <w:rPr>
                <w:spacing w:val="3"/>
                <w:position w:val="1"/>
              </w:rPr>
              <w:t>C101</w:t>
            </w:r>
          </w:p>
        </w:tc>
        <w:tc>
          <w:tcPr>
            <w:tcW w:w="5323" w:type="dxa"/>
            <w:vAlign w:val="top"/>
          </w:tcPr>
          <w:p w14:paraId="41ED2CB4">
            <w:pPr>
              <w:pStyle w:val="14"/>
              <w:spacing w:before="46" w:line="238" w:lineRule="auto"/>
              <w:ind w:left="119" w:right="109"/>
            </w:pPr>
            <w:r>
              <w:rPr>
                <w:spacing w:val="12"/>
              </w:rPr>
              <w:t>分部分项工程施工安全方案未向施工班组交底或方案未</w:t>
            </w:r>
            <w:r>
              <w:rPr>
                <w:spacing w:val="8"/>
              </w:rPr>
              <w:t>履行审批手续先行施工的。</w:t>
            </w:r>
          </w:p>
        </w:tc>
        <w:tc>
          <w:tcPr>
            <w:tcW w:w="1103" w:type="dxa"/>
            <w:vAlign w:val="top"/>
          </w:tcPr>
          <w:p w14:paraId="400BE60B">
            <w:pPr>
              <w:pStyle w:val="14"/>
              <w:spacing w:before="181" w:line="228" w:lineRule="auto"/>
              <w:ind w:left="121"/>
            </w:pPr>
            <w:r>
              <w:rPr>
                <w:spacing w:val="4"/>
              </w:rPr>
              <w:t>元/次</w:t>
            </w:r>
          </w:p>
        </w:tc>
        <w:tc>
          <w:tcPr>
            <w:tcW w:w="1284" w:type="dxa"/>
            <w:vAlign w:val="top"/>
          </w:tcPr>
          <w:p w14:paraId="6C09863A">
            <w:pPr>
              <w:pStyle w:val="14"/>
              <w:spacing w:before="182" w:line="225" w:lineRule="auto"/>
              <w:ind w:left="124"/>
            </w:pPr>
            <w:r>
              <w:rPr>
                <w:spacing w:val="2"/>
              </w:rPr>
              <w:t>5,000</w:t>
            </w:r>
          </w:p>
        </w:tc>
      </w:tr>
      <w:tr w14:paraId="695E55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71B17A1E">
            <w:pPr>
              <w:rPr>
                <w:rFonts w:ascii="Arial"/>
                <w:sz w:val="21"/>
              </w:rPr>
            </w:pPr>
          </w:p>
        </w:tc>
        <w:tc>
          <w:tcPr>
            <w:tcW w:w="827" w:type="dxa"/>
            <w:vMerge w:val="continue"/>
            <w:tcBorders>
              <w:top w:val="nil"/>
              <w:bottom w:val="nil"/>
            </w:tcBorders>
            <w:vAlign w:val="top"/>
          </w:tcPr>
          <w:p w14:paraId="4D50D9C1">
            <w:pPr>
              <w:rPr>
                <w:rFonts w:ascii="Arial"/>
                <w:sz w:val="21"/>
              </w:rPr>
            </w:pPr>
          </w:p>
        </w:tc>
        <w:tc>
          <w:tcPr>
            <w:tcW w:w="817" w:type="dxa"/>
            <w:vAlign w:val="top"/>
          </w:tcPr>
          <w:p w14:paraId="233E6463">
            <w:pPr>
              <w:pStyle w:val="14"/>
              <w:spacing w:before="181" w:line="268" w:lineRule="exact"/>
              <w:ind w:left="116"/>
            </w:pPr>
            <w:r>
              <w:rPr>
                <w:spacing w:val="3"/>
                <w:position w:val="1"/>
              </w:rPr>
              <w:t>C102</w:t>
            </w:r>
          </w:p>
        </w:tc>
        <w:tc>
          <w:tcPr>
            <w:tcW w:w="5323" w:type="dxa"/>
            <w:vAlign w:val="top"/>
          </w:tcPr>
          <w:p w14:paraId="015AD125">
            <w:pPr>
              <w:pStyle w:val="14"/>
              <w:spacing w:before="180" w:line="228" w:lineRule="auto"/>
              <w:ind w:left="121"/>
            </w:pPr>
            <w:r>
              <w:rPr>
                <w:spacing w:val="9"/>
              </w:rPr>
              <w:t>安全生产体系（制度）不健全又未按要求完善整改的。</w:t>
            </w:r>
          </w:p>
        </w:tc>
        <w:tc>
          <w:tcPr>
            <w:tcW w:w="1103" w:type="dxa"/>
            <w:vAlign w:val="top"/>
          </w:tcPr>
          <w:p w14:paraId="209C46B2">
            <w:pPr>
              <w:pStyle w:val="14"/>
              <w:spacing w:before="180" w:line="228" w:lineRule="auto"/>
              <w:ind w:left="121"/>
            </w:pPr>
            <w:r>
              <w:rPr>
                <w:spacing w:val="4"/>
              </w:rPr>
              <w:t>元/次</w:t>
            </w:r>
          </w:p>
        </w:tc>
        <w:tc>
          <w:tcPr>
            <w:tcW w:w="1284" w:type="dxa"/>
            <w:vAlign w:val="top"/>
          </w:tcPr>
          <w:p w14:paraId="043632A0">
            <w:pPr>
              <w:pStyle w:val="14"/>
              <w:spacing w:before="181" w:line="225" w:lineRule="auto"/>
              <w:ind w:left="124"/>
            </w:pPr>
            <w:r>
              <w:rPr>
                <w:spacing w:val="2"/>
              </w:rPr>
              <w:t>3,000</w:t>
            </w:r>
          </w:p>
        </w:tc>
      </w:tr>
      <w:tr w14:paraId="17434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13B02E00">
            <w:pPr>
              <w:rPr>
                <w:rFonts w:ascii="Arial"/>
                <w:sz w:val="21"/>
              </w:rPr>
            </w:pPr>
          </w:p>
        </w:tc>
        <w:tc>
          <w:tcPr>
            <w:tcW w:w="827" w:type="dxa"/>
            <w:vMerge w:val="continue"/>
            <w:tcBorders>
              <w:top w:val="nil"/>
              <w:bottom w:val="nil"/>
            </w:tcBorders>
            <w:vAlign w:val="top"/>
          </w:tcPr>
          <w:p w14:paraId="106365C8">
            <w:pPr>
              <w:rPr>
                <w:rFonts w:ascii="Arial"/>
                <w:sz w:val="21"/>
              </w:rPr>
            </w:pPr>
          </w:p>
        </w:tc>
        <w:tc>
          <w:tcPr>
            <w:tcW w:w="817" w:type="dxa"/>
            <w:vAlign w:val="top"/>
          </w:tcPr>
          <w:p w14:paraId="16D5BFDD">
            <w:pPr>
              <w:pStyle w:val="14"/>
              <w:spacing w:before="182" w:line="269" w:lineRule="exact"/>
              <w:ind w:left="116"/>
            </w:pPr>
            <w:r>
              <w:rPr>
                <w:spacing w:val="3"/>
                <w:position w:val="1"/>
              </w:rPr>
              <w:t>C103</w:t>
            </w:r>
          </w:p>
        </w:tc>
        <w:tc>
          <w:tcPr>
            <w:tcW w:w="5323" w:type="dxa"/>
            <w:vAlign w:val="top"/>
          </w:tcPr>
          <w:p w14:paraId="78734A90">
            <w:pPr>
              <w:pStyle w:val="14"/>
              <w:spacing w:before="182" w:line="227" w:lineRule="auto"/>
              <w:ind w:left="120"/>
            </w:pPr>
            <w:r>
              <w:rPr>
                <w:spacing w:val="8"/>
              </w:rPr>
              <w:t>未按要求逐级签订年度安全责任书。</w:t>
            </w:r>
          </w:p>
        </w:tc>
        <w:tc>
          <w:tcPr>
            <w:tcW w:w="1103" w:type="dxa"/>
            <w:vAlign w:val="top"/>
          </w:tcPr>
          <w:p w14:paraId="6288C6BC">
            <w:pPr>
              <w:pStyle w:val="14"/>
              <w:spacing w:before="182" w:line="228" w:lineRule="auto"/>
              <w:ind w:left="121"/>
            </w:pPr>
            <w:r>
              <w:rPr>
                <w:spacing w:val="4"/>
              </w:rPr>
              <w:t>元/次</w:t>
            </w:r>
          </w:p>
        </w:tc>
        <w:tc>
          <w:tcPr>
            <w:tcW w:w="1284" w:type="dxa"/>
            <w:vAlign w:val="top"/>
          </w:tcPr>
          <w:p w14:paraId="5B37E8F1">
            <w:pPr>
              <w:pStyle w:val="14"/>
              <w:spacing w:before="182" w:line="225" w:lineRule="auto"/>
              <w:ind w:left="123"/>
            </w:pPr>
            <w:r>
              <w:rPr>
                <w:spacing w:val="2"/>
              </w:rPr>
              <w:t>2,000</w:t>
            </w:r>
          </w:p>
        </w:tc>
      </w:tr>
      <w:tr w14:paraId="2CD1E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6DC457F8">
            <w:pPr>
              <w:rPr>
                <w:rFonts w:ascii="Arial"/>
                <w:sz w:val="21"/>
              </w:rPr>
            </w:pPr>
          </w:p>
        </w:tc>
        <w:tc>
          <w:tcPr>
            <w:tcW w:w="827" w:type="dxa"/>
            <w:vMerge w:val="continue"/>
            <w:tcBorders>
              <w:top w:val="nil"/>
              <w:bottom w:val="nil"/>
            </w:tcBorders>
            <w:vAlign w:val="top"/>
          </w:tcPr>
          <w:p w14:paraId="08B6CB0E">
            <w:pPr>
              <w:rPr>
                <w:rFonts w:ascii="Arial"/>
                <w:sz w:val="21"/>
              </w:rPr>
            </w:pPr>
          </w:p>
        </w:tc>
        <w:tc>
          <w:tcPr>
            <w:tcW w:w="817" w:type="dxa"/>
            <w:vAlign w:val="top"/>
          </w:tcPr>
          <w:p w14:paraId="0A54B864">
            <w:pPr>
              <w:pStyle w:val="14"/>
              <w:spacing w:before="181" w:line="269" w:lineRule="exact"/>
              <w:ind w:left="116"/>
            </w:pPr>
            <w:r>
              <w:rPr>
                <w:spacing w:val="3"/>
                <w:position w:val="1"/>
              </w:rPr>
              <w:t>C104</w:t>
            </w:r>
          </w:p>
        </w:tc>
        <w:tc>
          <w:tcPr>
            <w:tcW w:w="5323" w:type="dxa"/>
            <w:vAlign w:val="top"/>
          </w:tcPr>
          <w:p w14:paraId="5D32645F">
            <w:pPr>
              <w:pStyle w:val="14"/>
              <w:spacing w:before="46" w:line="238" w:lineRule="auto"/>
              <w:ind w:left="118" w:right="111" w:firstLine="1"/>
            </w:pPr>
            <w:r>
              <w:rPr>
                <w:spacing w:val="12"/>
              </w:rPr>
              <w:t>未建立健全安全生产应急预案，或未在规定期间</w:t>
            </w:r>
            <w:r>
              <w:rPr>
                <w:spacing w:val="11"/>
              </w:rPr>
              <w:t>内组织</w:t>
            </w:r>
            <w:r>
              <w:rPr>
                <w:spacing w:val="5"/>
              </w:rPr>
              <w:t>预案演练。</w:t>
            </w:r>
          </w:p>
        </w:tc>
        <w:tc>
          <w:tcPr>
            <w:tcW w:w="1103" w:type="dxa"/>
            <w:vAlign w:val="top"/>
          </w:tcPr>
          <w:p w14:paraId="272A67AD">
            <w:pPr>
              <w:pStyle w:val="14"/>
              <w:spacing w:before="181" w:line="228" w:lineRule="auto"/>
              <w:ind w:left="121"/>
            </w:pPr>
            <w:r>
              <w:rPr>
                <w:spacing w:val="4"/>
              </w:rPr>
              <w:t>元/次</w:t>
            </w:r>
          </w:p>
        </w:tc>
        <w:tc>
          <w:tcPr>
            <w:tcW w:w="1284" w:type="dxa"/>
            <w:vAlign w:val="top"/>
          </w:tcPr>
          <w:p w14:paraId="7724D29B">
            <w:pPr>
              <w:pStyle w:val="14"/>
              <w:spacing w:before="181" w:line="225" w:lineRule="auto"/>
              <w:ind w:left="123"/>
            </w:pPr>
            <w:r>
              <w:rPr>
                <w:spacing w:val="2"/>
              </w:rPr>
              <w:t>2,000</w:t>
            </w:r>
          </w:p>
        </w:tc>
      </w:tr>
      <w:tr w14:paraId="09678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5A35D6DF">
            <w:pPr>
              <w:rPr>
                <w:rFonts w:ascii="Arial"/>
                <w:sz w:val="21"/>
              </w:rPr>
            </w:pPr>
          </w:p>
        </w:tc>
        <w:tc>
          <w:tcPr>
            <w:tcW w:w="827" w:type="dxa"/>
            <w:vMerge w:val="continue"/>
            <w:tcBorders>
              <w:top w:val="nil"/>
              <w:bottom w:val="nil"/>
            </w:tcBorders>
            <w:vAlign w:val="top"/>
          </w:tcPr>
          <w:p w14:paraId="779FC800">
            <w:pPr>
              <w:rPr>
                <w:rFonts w:ascii="Arial"/>
                <w:sz w:val="21"/>
              </w:rPr>
            </w:pPr>
          </w:p>
        </w:tc>
        <w:tc>
          <w:tcPr>
            <w:tcW w:w="817" w:type="dxa"/>
            <w:vAlign w:val="top"/>
          </w:tcPr>
          <w:p w14:paraId="0D3638BD">
            <w:pPr>
              <w:pStyle w:val="14"/>
              <w:spacing w:before="183" w:line="268" w:lineRule="exact"/>
              <w:ind w:left="116"/>
            </w:pPr>
            <w:r>
              <w:rPr>
                <w:spacing w:val="3"/>
                <w:position w:val="1"/>
              </w:rPr>
              <w:t>C105</w:t>
            </w:r>
          </w:p>
        </w:tc>
        <w:tc>
          <w:tcPr>
            <w:tcW w:w="5323" w:type="dxa"/>
            <w:vAlign w:val="top"/>
          </w:tcPr>
          <w:p w14:paraId="13DD5927">
            <w:pPr>
              <w:pStyle w:val="14"/>
              <w:spacing w:before="46" w:line="238" w:lineRule="auto"/>
              <w:ind w:left="137" w:right="111" w:hanging="21"/>
            </w:pPr>
            <w:r>
              <w:rPr>
                <w:spacing w:val="12"/>
              </w:rPr>
              <w:t>对业主、代建单位或监理发出的隐患整改通知书未及时</w:t>
            </w:r>
            <w:r>
              <w:rPr>
                <w:spacing w:val="5"/>
              </w:rPr>
              <w:t>回复或按期整改。</w:t>
            </w:r>
          </w:p>
        </w:tc>
        <w:tc>
          <w:tcPr>
            <w:tcW w:w="1103" w:type="dxa"/>
            <w:vAlign w:val="top"/>
          </w:tcPr>
          <w:p w14:paraId="065EFFE3">
            <w:pPr>
              <w:pStyle w:val="14"/>
              <w:spacing w:before="182" w:line="228" w:lineRule="auto"/>
              <w:ind w:left="121"/>
            </w:pPr>
            <w:r>
              <w:rPr>
                <w:spacing w:val="4"/>
              </w:rPr>
              <w:t>元/次</w:t>
            </w:r>
          </w:p>
        </w:tc>
        <w:tc>
          <w:tcPr>
            <w:tcW w:w="1284" w:type="dxa"/>
            <w:vAlign w:val="top"/>
          </w:tcPr>
          <w:p w14:paraId="26C9C030">
            <w:pPr>
              <w:pStyle w:val="14"/>
              <w:spacing w:before="182" w:line="225" w:lineRule="auto"/>
              <w:ind w:left="123"/>
            </w:pPr>
            <w:r>
              <w:rPr>
                <w:spacing w:val="2"/>
              </w:rPr>
              <w:t>2,000</w:t>
            </w:r>
          </w:p>
        </w:tc>
      </w:tr>
      <w:tr w14:paraId="29317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69C511A5">
            <w:pPr>
              <w:rPr>
                <w:rFonts w:ascii="Arial"/>
                <w:sz w:val="21"/>
              </w:rPr>
            </w:pPr>
          </w:p>
        </w:tc>
        <w:tc>
          <w:tcPr>
            <w:tcW w:w="827" w:type="dxa"/>
            <w:vMerge w:val="continue"/>
            <w:tcBorders>
              <w:top w:val="nil"/>
              <w:bottom w:val="nil"/>
            </w:tcBorders>
            <w:vAlign w:val="top"/>
          </w:tcPr>
          <w:p w14:paraId="6CEE2C35">
            <w:pPr>
              <w:rPr>
                <w:rFonts w:ascii="Arial"/>
                <w:sz w:val="21"/>
              </w:rPr>
            </w:pPr>
          </w:p>
        </w:tc>
        <w:tc>
          <w:tcPr>
            <w:tcW w:w="817" w:type="dxa"/>
            <w:vAlign w:val="top"/>
          </w:tcPr>
          <w:p w14:paraId="22D780E9">
            <w:pPr>
              <w:pStyle w:val="14"/>
              <w:spacing w:before="182" w:line="268" w:lineRule="exact"/>
              <w:ind w:left="116"/>
            </w:pPr>
            <w:r>
              <w:rPr>
                <w:spacing w:val="3"/>
                <w:position w:val="1"/>
              </w:rPr>
              <w:t>C106</w:t>
            </w:r>
          </w:p>
        </w:tc>
        <w:tc>
          <w:tcPr>
            <w:tcW w:w="5323" w:type="dxa"/>
            <w:vAlign w:val="top"/>
          </w:tcPr>
          <w:p w14:paraId="24204E20">
            <w:pPr>
              <w:pStyle w:val="14"/>
              <w:spacing w:before="181" w:line="227" w:lineRule="auto"/>
              <w:ind w:left="121"/>
            </w:pPr>
            <w:r>
              <w:rPr>
                <w:spacing w:val="7"/>
              </w:rPr>
              <w:t>安全隐患整改弄虚作假。</w:t>
            </w:r>
          </w:p>
        </w:tc>
        <w:tc>
          <w:tcPr>
            <w:tcW w:w="1103" w:type="dxa"/>
            <w:vAlign w:val="top"/>
          </w:tcPr>
          <w:p w14:paraId="77CA864F">
            <w:pPr>
              <w:pStyle w:val="14"/>
              <w:spacing w:before="181" w:line="228" w:lineRule="auto"/>
              <w:ind w:left="121"/>
            </w:pPr>
            <w:r>
              <w:rPr>
                <w:spacing w:val="4"/>
              </w:rPr>
              <w:t>元/次</w:t>
            </w:r>
          </w:p>
        </w:tc>
        <w:tc>
          <w:tcPr>
            <w:tcW w:w="1284" w:type="dxa"/>
            <w:vAlign w:val="top"/>
          </w:tcPr>
          <w:p w14:paraId="3C9B0CA6">
            <w:pPr>
              <w:pStyle w:val="14"/>
              <w:spacing w:before="181" w:line="225" w:lineRule="auto"/>
              <w:ind w:left="124"/>
            </w:pPr>
            <w:r>
              <w:rPr>
                <w:spacing w:val="2"/>
              </w:rPr>
              <w:t>5,000</w:t>
            </w:r>
          </w:p>
        </w:tc>
      </w:tr>
      <w:tr w14:paraId="20EE2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5444BE7A">
            <w:pPr>
              <w:rPr>
                <w:rFonts w:ascii="Arial"/>
                <w:sz w:val="21"/>
              </w:rPr>
            </w:pPr>
          </w:p>
        </w:tc>
        <w:tc>
          <w:tcPr>
            <w:tcW w:w="827" w:type="dxa"/>
            <w:vMerge w:val="continue"/>
            <w:tcBorders>
              <w:top w:val="nil"/>
              <w:bottom w:val="nil"/>
            </w:tcBorders>
            <w:vAlign w:val="top"/>
          </w:tcPr>
          <w:p w14:paraId="2EB6E68D">
            <w:pPr>
              <w:rPr>
                <w:rFonts w:ascii="Arial"/>
                <w:sz w:val="21"/>
              </w:rPr>
            </w:pPr>
          </w:p>
        </w:tc>
        <w:tc>
          <w:tcPr>
            <w:tcW w:w="817" w:type="dxa"/>
            <w:vAlign w:val="top"/>
          </w:tcPr>
          <w:p w14:paraId="7871EEE0">
            <w:pPr>
              <w:pStyle w:val="14"/>
              <w:spacing w:before="183" w:line="268" w:lineRule="exact"/>
              <w:ind w:left="116"/>
            </w:pPr>
            <w:r>
              <w:rPr>
                <w:spacing w:val="3"/>
                <w:position w:val="1"/>
              </w:rPr>
              <w:t>C107</w:t>
            </w:r>
          </w:p>
        </w:tc>
        <w:tc>
          <w:tcPr>
            <w:tcW w:w="5323" w:type="dxa"/>
            <w:vAlign w:val="top"/>
          </w:tcPr>
          <w:p w14:paraId="7781F84E">
            <w:pPr>
              <w:pStyle w:val="14"/>
              <w:spacing w:before="46" w:line="238" w:lineRule="auto"/>
              <w:ind w:left="119" w:right="111"/>
            </w:pPr>
            <w:r>
              <w:rPr>
                <w:spacing w:val="12"/>
              </w:rPr>
              <w:t>未按要求编制安全专项施工方案，需组织专家评</w:t>
            </w:r>
            <w:r>
              <w:rPr>
                <w:spacing w:val="11"/>
              </w:rPr>
              <w:t>审而未</w:t>
            </w:r>
            <w:r>
              <w:rPr>
                <w:spacing w:val="6"/>
              </w:rPr>
              <w:t>组织专家评审。</w:t>
            </w:r>
          </w:p>
        </w:tc>
        <w:tc>
          <w:tcPr>
            <w:tcW w:w="1103" w:type="dxa"/>
            <w:vAlign w:val="top"/>
          </w:tcPr>
          <w:p w14:paraId="7032B6ED">
            <w:pPr>
              <w:pStyle w:val="14"/>
              <w:spacing w:before="183" w:line="228" w:lineRule="auto"/>
              <w:ind w:left="121"/>
            </w:pPr>
            <w:r>
              <w:rPr>
                <w:spacing w:val="4"/>
              </w:rPr>
              <w:t>元/次</w:t>
            </w:r>
          </w:p>
        </w:tc>
        <w:tc>
          <w:tcPr>
            <w:tcW w:w="1284" w:type="dxa"/>
            <w:vAlign w:val="top"/>
          </w:tcPr>
          <w:p w14:paraId="34B6286C">
            <w:pPr>
              <w:pStyle w:val="14"/>
              <w:spacing w:before="183" w:line="225" w:lineRule="auto"/>
              <w:ind w:left="124"/>
            </w:pPr>
            <w:r>
              <w:rPr>
                <w:spacing w:val="2"/>
              </w:rPr>
              <w:t>3,000</w:t>
            </w:r>
          </w:p>
        </w:tc>
      </w:tr>
      <w:tr w14:paraId="403D7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27AB82BF">
            <w:pPr>
              <w:rPr>
                <w:rFonts w:ascii="Arial"/>
                <w:sz w:val="21"/>
              </w:rPr>
            </w:pPr>
          </w:p>
        </w:tc>
        <w:tc>
          <w:tcPr>
            <w:tcW w:w="827" w:type="dxa"/>
            <w:vMerge w:val="continue"/>
            <w:tcBorders>
              <w:top w:val="nil"/>
              <w:bottom w:val="nil"/>
            </w:tcBorders>
            <w:vAlign w:val="top"/>
          </w:tcPr>
          <w:p w14:paraId="327D4623">
            <w:pPr>
              <w:rPr>
                <w:rFonts w:ascii="Arial"/>
                <w:sz w:val="21"/>
              </w:rPr>
            </w:pPr>
          </w:p>
        </w:tc>
        <w:tc>
          <w:tcPr>
            <w:tcW w:w="817" w:type="dxa"/>
            <w:vAlign w:val="top"/>
          </w:tcPr>
          <w:p w14:paraId="5E49C49B">
            <w:pPr>
              <w:pStyle w:val="14"/>
              <w:spacing w:before="182" w:line="268" w:lineRule="exact"/>
              <w:ind w:left="116"/>
            </w:pPr>
            <w:r>
              <w:rPr>
                <w:spacing w:val="3"/>
                <w:position w:val="1"/>
              </w:rPr>
              <w:t>C108</w:t>
            </w:r>
          </w:p>
        </w:tc>
        <w:tc>
          <w:tcPr>
            <w:tcW w:w="5323" w:type="dxa"/>
            <w:vAlign w:val="top"/>
          </w:tcPr>
          <w:p w14:paraId="338EBCCC">
            <w:pPr>
              <w:pStyle w:val="14"/>
              <w:spacing w:before="182" w:line="228" w:lineRule="auto"/>
              <w:ind w:left="119"/>
            </w:pPr>
            <w:r>
              <w:rPr>
                <w:spacing w:val="9"/>
              </w:rPr>
              <w:t>工程船舶未按规定办法审核批准手续而擅自施工</w:t>
            </w:r>
            <w:r>
              <w:rPr>
                <w:spacing w:val="8"/>
              </w:rPr>
              <w:t>的。</w:t>
            </w:r>
          </w:p>
        </w:tc>
        <w:tc>
          <w:tcPr>
            <w:tcW w:w="1103" w:type="dxa"/>
            <w:vAlign w:val="top"/>
          </w:tcPr>
          <w:p w14:paraId="56ED851F">
            <w:pPr>
              <w:pStyle w:val="14"/>
              <w:spacing w:before="182" w:line="228" w:lineRule="auto"/>
              <w:ind w:left="121"/>
            </w:pPr>
            <w:r>
              <w:rPr>
                <w:spacing w:val="6"/>
              </w:rPr>
              <w:t>元/艘.天</w:t>
            </w:r>
          </w:p>
        </w:tc>
        <w:tc>
          <w:tcPr>
            <w:tcW w:w="1284" w:type="dxa"/>
            <w:vAlign w:val="top"/>
          </w:tcPr>
          <w:p w14:paraId="4BC7F58B">
            <w:pPr>
              <w:pStyle w:val="14"/>
              <w:spacing w:before="182" w:line="225" w:lineRule="auto"/>
              <w:ind w:left="124"/>
            </w:pPr>
            <w:r>
              <w:rPr>
                <w:spacing w:val="2"/>
              </w:rPr>
              <w:t>3,000</w:t>
            </w:r>
          </w:p>
        </w:tc>
      </w:tr>
      <w:tr w14:paraId="59DEA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5EEDA45A">
            <w:pPr>
              <w:rPr>
                <w:rFonts w:ascii="Arial"/>
                <w:sz w:val="21"/>
              </w:rPr>
            </w:pPr>
          </w:p>
        </w:tc>
        <w:tc>
          <w:tcPr>
            <w:tcW w:w="827" w:type="dxa"/>
            <w:vMerge w:val="continue"/>
            <w:tcBorders>
              <w:top w:val="nil"/>
              <w:bottom w:val="nil"/>
            </w:tcBorders>
            <w:vAlign w:val="top"/>
          </w:tcPr>
          <w:p w14:paraId="16CBC966">
            <w:pPr>
              <w:rPr>
                <w:rFonts w:ascii="Arial"/>
                <w:sz w:val="21"/>
              </w:rPr>
            </w:pPr>
          </w:p>
        </w:tc>
        <w:tc>
          <w:tcPr>
            <w:tcW w:w="817" w:type="dxa"/>
            <w:vAlign w:val="top"/>
          </w:tcPr>
          <w:p w14:paraId="0DDD64F5">
            <w:pPr>
              <w:pStyle w:val="14"/>
              <w:spacing w:before="181" w:line="268" w:lineRule="exact"/>
              <w:ind w:left="116"/>
            </w:pPr>
            <w:r>
              <w:rPr>
                <w:spacing w:val="3"/>
                <w:position w:val="1"/>
              </w:rPr>
              <w:t>C109</w:t>
            </w:r>
          </w:p>
        </w:tc>
        <w:tc>
          <w:tcPr>
            <w:tcW w:w="5323" w:type="dxa"/>
            <w:vAlign w:val="top"/>
          </w:tcPr>
          <w:p w14:paraId="5ACE0AB7">
            <w:pPr>
              <w:pStyle w:val="14"/>
              <w:spacing w:before="46" w:line="238" w:lineRule="auto"/>
              <w:ind w:left="116" w:right="111"/>
            </w:pPr>
            <w:r>
              <w:rPr>
                <w:spacing w:val="12"/>
              </w:rPr>
              <w:t>特种设备或其它应检验设施、材料未经过相关部门检查</w:t>
            </w:r>
            <w:r>
              <w:rPr>
                <w:spacing w:val="8"/>
              </w:rPr>
              <w:t>合格或未办理审核批准手续而直接施工作业。</w:t>
            </w:r>
          </w:p>
        </w:tc>
        <w:tc>
          <w:tcPr>
            <w:tcW w:w="1103" w:type="dxa"/>
            <w:vAlign w:val="top"/>
          </w:tcPr>
          <w:p w14:paraId="53B72B59">
            <w:pPr>
              <w:pStyle w:val="14"/>
              <w:spacing w:before="181" w:line="228" w:lineRule="auto"/>
              <w:ind w:left="121"/>
            </w:pPr>
            <w:r>
              <w:rPr>
                <w:spacing w:val="4"/>
              </w:rPr>
              <w:t>元/台</w:t>
            </w:r>
          </w:p>
        </w:tc>
        <w:tc>
          <w:tcPr>
            <w:tcW w:w="1284" w:type="dxa"/>
            <w:vAlign w:val="top"/>
          </w:tcPr>
          <w:p w14:paraId="5E20767D">
            <w:pPr>
              <w:pStyle w:val="14"/>
              <w:spacing w:before="181" w:line="225" w:lineRule="auto"/>
              <w:ind w:left="123"/>
            </w:pPr>
            <w:r>
              <w:rPr>
                <w:spacing w:val="2"/>
              </w:rPr>
              <w:t>2,000</w:t>
            </w:r>
          </w:p>
        </w:tc>
      </w:tr>
      <w:tr w14:paraId="63836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7F4666AD">
            <w:pPr>
              <w:rPr>
                <w:rFonts w:ascii="Arial"/>
                <w:sz w:val="21"/>
              </w:rPr>
            </w:pPr>
          </w:p>
        </w:tc>
        <w:tc>
          <w:tcPr>
            <w:tcW w:w="827" w:type="dxa"/>
            <w:vMerge w:val="continue"/>
            <w:tcBorders>
              <w:top w:val="nil"/>
              <w:bottom w:val="nil"/>
            </w:tcBorders>
            <w:vAlign w:val="top"/>
          </w:tcPr>
          <w:p w14:paraId="5397F7AF">
            <w:pPr>
              <w:rPr>
                <w:rFonts w:ascii="Arial"/>
                <w:sz w:val="21"/>
              </w:rPr>
            </w:pPr>
          </w:p>
        </w:tc>
        <w:tc>
          <w:tcPr>
            <w:tcW w:w="817" w:type="dxa"/>
            <w:vAlign w:val="top"/>
          </w:tcPr>
          <w:p w14:paraId="69949182">
            <w:pPr>
              <w:pStyle w:val="14"/>
              <w:spacing w:before="182" w:line="269" w:lineRule="exact"/>
              <w:ind w:left="116"/>
            </w:pPr>
            <w:r>
              <w:rPr>
                <w:spacing w:val="3"/>
                <w:position w:val="1"/>
              </w:rPr>
              <w:t>C110</w:t>
            </w:r>
          </w:p>
        </w:tc>
        <w:tc>
          <w:tcPr>
            <w:tcW w:w="5323" w:type="dxa"/>
            <w:vAlign w:val="top"/>
          </w:tcPr>
          <w:p w14:paraId="31F83027">
            <w:pPr>
              <w:pStyle w:val="14"/>
              <w:spacing w:before="46" w:line="238" w:lineRule="auto"/>
              <w:ind w:left="120" w:right="111"/>
            </w:pPr>
            <w:r>
              <w:rPr>
                <w:spacing w:val="12"/>
              </w:rPr>
              <w:t>发生安全事故后未按规定时限和程序上报，或隐</w:t>
            </w:r>
            <w:r>
              <w:rPr>
                <w:spacing w:val="11"/>
              </w:rPr>
              <w:t>瞒事故</w:t>
            </w:r>
            <w:r>
              <w:rPr>
                <w:spacing w:val="2"/>
              </w:rPr>
              <w:t>不报。</w:t>
            </w:r>
          </w:p>
        </w:tc>
        <w:tc>
          <w:tcPr>
            <w:tcW w:w="1103" w:type="dxa"/>
            <w:vAlign w:val="top"/>
          </w:tcPr>
          <w:p w14:paraId="5D69FF80">
            <w:pPr>
              <w:pStyle w:val="14"/>
              <w:spacing w:before="182" w:line="228" w:lineRule="auto"/>
              <w:ind w:left="121"/>
            </w:pPr>
            <w:r>
              <w:rPr>
                <w:spacing w:val="4"/>
              </w:rPr>
              <w:t>元/次</w:t>
            </w:r>
          </w:p>
        </w:tc>
        <w:tc>
          <w:tcPr>
            <w:tcW w:w="1284" w:type="dxa"/>
            <w:vAlign w:val="top"/>
          </w:tcPr>
          <w:p w14:paraId="38EA0A73">
            <w:pPr>
              <w:pStyle w:val="14"/>
              <w:spacing w:before="182" w:line="225" w:lineRule="auto"/>
              <w:ind w:left="124"/>
            </w:pPr>
            <w:r>
              <w:rPr>
                <w:spacing w:val="2"/>
              </w:rPr>
              <w:t>30,000</w:t>
            </w:r>
          </w:p>
        </w:tc>
      </w:tr>
      <w:tr w14:paraId="23F96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029BB7BD">
            <w:pPr>
              <w:rPr>
                <w:rFonts w:ascii="Arial"/>
                <w:sz w:val="21"/>
              </w:rPr>
            </w:pPr>
          </w:p>
        </w:tc>
        <w:tc>
          <w:tcPr>
            <w:tcW w:w="827" w:type="dxa"/>
            <w:vMerge w:val="continue"/>
            <w:tcBorders>
              <w:top w:val="nil"/>
              <w:bottom w:val="nil"/>
            </w:tcBorders>
            <w:vAlign w:val="top"/>
          </w:tcPr>
          <w:p w14:paraId="0E9C0DD8">
            <w:pPr>
              <w:rPr>
                <w:rFonts w:ascii="Arial"/>
                <w:sz w:val="21"/>
              </w:rPr>
            </w:pPr>
          </w:p>
        </w:tc>
        <w:tc>
          <w:tcPr>
            <w:tcW w:w="817" w:type="dxa"/>
            <w:vAlign w:val="top"/>
          </w:tcPr>
          <w:p w14:paraId="7F732FBC">
            <w:pPr>
              <w:pStyle w:val="14"/>
              <w:spacing w:before="181" w:line="269" w:lineRule="exact"/>
              <w:ind w:left="116"/>
            </w:pPr>
            <w:r>
              <w:rPr>
                <w:spacing w:val="3"/>
                <w:position w:val="1"/>
              </w:rPr>
              <w:t>C111</w:t>
            </w:r>
          </w:p>
        </w:tc>
        <w:tc>
          <w:tcPr>
            <w:tcW w:w="5323" w:type="dxa"/>
            <w:vAlign w:val="top"/>
          </w:tcPr>
          <w:p w14:paraId="00BAD158">
            <w:pPr>
              <w:pStyle w:val="14"/>
              <w:spacing w:before="181" w:line="228" w:lineRule="auto"/>
              <w:ind w:left="121"/>
            </w:pPr>
            <w:r>
              <w:rPr>
                <w:spacing w:val="8"/>
              </w:rPr>
              <w:t>安全生产措施费用未按照规定做好计划或审报。</w:t>
            </w:r>
          </w:p>
        </w:tc>
        <w:tc>
          <w:tcPr>
            <w:tcW w:w="1103" w:type="dxa"/>
            <w:vAlign w:val="top"/>
          </w:tcPr>
          <w:p w14:paraId="2A83C6E6">
            <w:pPr>
              <w:pStyle w:val="14"/>
              <w:spacing w:before="181" w:line="228" w:lineRule="auto"/>
              <w:ind w:left="121"/>
            </w:pPr>
            <w:r>
              <w:rPr>
                <w:spacing w:val="4"/>
              </w:rPr>
              <w:t>元/次</w:t>
            </w:r>
          </w:p>
        </w:tc>
        <w:tc>
          <w:tcPr>
            <w:tcW w:w="1284" w:type="dxa"/>
            <w:vAlign w:val="top"/>
          </w:tcPr>
          <w:p w14:paraId="2ACDB6DE">
            <w:pPr>
              <w:pStyle w:val="14"/>
              <w:spacing w:before="181" w:line="225" w:lineRule="auto"/>
              <w:ind w:left="136"/>
            </w:pPr>
            <w:r>
              <w:t>1,000</w:t>
            </w:r>
          </w:p>
        </w:tc>
      </w:tr>
      <w:tr w14:paraId="0697B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1567D6CA">
            <w:pPr>
              <w:rPr>
                <w:rFonts w:ascii="Arial"/>
                <w:sz w:val="21"/>
              </w:rPr>
            </w:pPr>
          </w:p>
        </w:tc>
        <w:tc>
          <w:tcPr>
            <w:tcW w:w="827" w:type="dxa"/>
            <w:vMerge w:val="continue"/>
            <w:tcBorders>
              <w:top w:val="nil"/>
              <w:bottom w:val="nil"/>
            </w:tcBorders>
            <w:vAlign w:val="top"/>
          </w:tcPr>
          <w:p w14:paraId="7CDF5C07">
            <w:pPr>
              <w:rPr>
                <w:rFonts w:ascii="Arial"/>
                <w:sz w:val="21"/>
              </w:rPr>
            </w:pPr>
          </w:p>
        </w:tc>
        <w:tc>
          <w:tcPr>
            <w:tcW w:w="817" w:type="dxa"/>
            <w:vAlign w:val="top"/>
          </w:tcPr>
          <w:p w14:paraId="5DB57213">
            <w:pPr>
              <w:pStyle w:val="14"/>
              <w:spacing w:before="183" w:line="268" w:lineRule="exact"/>
              <w:ind w:left="116"/>
            </w:pPr>
            <w:r>
              <w:rPr>
                <w:spacing w:val="3"/>
                <w:position w:val="1"/>
              </w:rPr>
              <w:t>C112</w:t>
            </w:r>
          </w:p>
        </w:tc>
        <w:tc>
          <w:tcPr>
            <w:tcW w:w="5323" w:type="dxa"/>
            <w:vAlign w:val="top"/>
          </w:tcPr>
          <w:p w14:paraId="40130F70">
            <w:pPr>
              <w:pStyle w:val="14"/>
              <w:spacing w:before="46" w:line="238" w:lineRule="auto"/>
              <w:ind w:left="120" w:right="111"/>
            </w:pPr>
            <w:r>
              <w:rPr>
                <w:spacing w:val="12"/>
              </w:rPr>
              <w:t>安全生产检查、会议、考核，教育培训等未按</w:t>
            </w:r>
            <w:r>
              <w:rPr>
                <w:spacing w:val="11"/>
              </w:rPr>
              <w:t>上级部门</w:t>
            </w:r>
            <w:r>
              <w:rPr>
                <w:spacing w:val="8"/>
              </w:rPr>
              <w:t>关于安全生产工作的部署和要求执行落实的。</w:t>
            </w:r>
          </w:p>
        </w:tc>
        <w:tc>
          <w:tcPr>
            <w:tcW w:w="1103" w:type="dxa"/>
            <w:vAlign w:val="top"/>
          </w:tcPr>
          <w:p w14:paraId="28287B85">
            <w:pPr>
              <w:pStyle w:val="14"/>
              <w:spacing w:before="182" w:line="228" w:lineRule="auto"/>
              <w:ind w:left="121"/>
            </w:pPr>
            <w:r>
              <w:rPr>
                <w:spacing w:val="4"/>
              </w:rPr>
              <w:t>元/次</w:t>
            </w:r>
          </w:p>
        </w:tc>
        <w:tc>
          <w:tcPr>
            <w:tcW w:w="1284" w:type="dxa"/>
            <w:vAlign w:val="top"/>
          </w:tcPr>
          <w:p w14:paraId="1DE32FF3">
            <w:pPr>
              <w:pStyle w:val="14"/>
              <w:spacing w:before="183" w:line="225" w:lineRule="auto"/>
              <w:ind w:left="136"/>
            </w:pPr>
            <w:r>
              <w:t>1,000</w:t>
            </w:r>
          </w:p>
        </w:tc>
      </w:tr>
      <w:tr w14:paraId="64014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16" w:type="dxa"/>
            <w:vMerge w:val="continue"/>
            <w:tcBorders>
              <w:top w:val="nil"/>
              <w:bottom w:val="nil"/>
            </w:tcBorders>
            <w:vAlign w:val="top"/>
          </w:tcPr>
          <w:p w14:paraId="58BDF635">
            <w:pPr>
              <w:rPr>
                <w:rFonts w:ascii="Arial"/>
                <w:sz w:val="21"/>
              </w:rPr>
            </w:pPr>
          </w:p>
        </w:tc>
        <w:tc>
          <w:tcPr>
            <w:tcW w:w="827" w:type="dxa"/>
            <w:vMerge w:val="continue"/>
            <w:tcBorders>
              <w:top w:val="nil"/>
            </w:tcBorders>
            <w:vAlign w:val="top"/>
          </w:tcPr>
          <w:p w14:paraId="254284C5">
            <w:pPr>
              <w:rPr>
                <w:rFonts w:ascii="Arial"/>
                <w:sz w:val="21"/>
              </w:rPr>
            </w:pPr>
          </w:p>
        </w:tc>
        <w:tc>
          <w:tcPr>
            <w:tcW w:w="817" w:type="dxa"/>
            <w:vAlign w:val="top"/>
          </w:tcPr>
          <w:p w14:paraId="57A1B992">
            <w:pPr>
              <w:rPr>
                <w:rFonts w:ascii="Arial"/>
                <w:sz w:val="21"/>
              </w:rPr>
            </w:pPr>
          </w:p>
          <w:p w14:paraId="7BB541FB">
            <w:pPr>
              <w:pStyle w:val="14"/>
              <w:spacing w:before="65" w:line="269" w:lineRule="exact"/>
              <w:ind w:left="116"/>
            </w:pPr>
            <w:r>
              <w:rPr>
                <w:spacing w:val="3"/>
                <w:position w:val="1"/>
              </w:rPr>
              <w:t>C113</w:t>
            </w:r>
          </w:p>
        </w:tc>
        <w:tc>
          <w:tcPr>
            <w:tcW w:w="5323" w:type="dxa"/>
            <w:vAlign w:val="top"/>
          </w:tcPr>
          <w:p w14:paraId="7076B552">
            <w:pPr>
              <w:pStyle w:val="14"/>
              <w:spacing w:before="34" w:line="239" w:lineRule="auto"/>
              <w:ind w:left="118" w:right="111" w:hanging="2"/>
              <w:jc w:val="both"/>
            </w:pPr>
            <w:r>
              <w:rPr>
                <w:spacing w:val="12"/>
              </w:rPr>
              <w:t>被上级部门监督检查、暗访，因违反法律法规等受到警告、通报批评等行政处罚导致建设（代建）单位</w:t>
            </w:r>
            <w:r>
              <w:rPr>
                <w:spacing w:val="11"/>
              </w:rPr>
              <w:t>财产或</w:t>
            </w:r>
            <w:r>
              <w:rPr>
                <w:spacing w:val="8"/>
              </w:rPr>
              <w:t>名誉受损的.</w:t>
            </w:r>
          </w:p>
        </w:tc>
        <w:tc>
          <w:tcPr>
            <w:tcW w:w="1103" w:type="dxa"/>
            <w:vAlign w:val="top"/>
          </w:tcPr>
          <w:p w14:paraId="7D361A94">
            <w:pPr>
              <w:rPr>
                <w:rFonts w:ascii="Arial"/>
                <w:sz w:val="21"/>
              </w:rPr>
            </w:pPr>
          </w:p>
          <w:p w14:paraId="6C3BAA55">
            <w:pPr>
              <w:pStyle w:val="14"/>
              <w:spacing w:before="65" w:line="228" w:lineRule="auto"/>
              <w:ind w:left="121"/>
            </w:pPr>
            <w:r>
              <w:rPr>
                <w:spacing w:val="4"/>
              </w:rPr>
              <w:t>元/次</w:t>
            </w:r>
          </w:p>
        </w:tc>
        <w:tc>
          <w:tcPr>
            <w:tcW w:w="1284" w:type="dxa"/>
            <w:vAlign w:val="top"/>
          </w:tcPr>
          <w:p w14:paraId="778ED679">
            <w:pPr>
              <w:rPr>
                <w:rFonts w:ascii="Arial"/>
                <w:sz w:val="21"/>
              </w:rPr>
            </w:pPr>
          </w:p>
          <w:p w14:paraId="265178D1">
            <w:pPr>
              <w:pStyle w:val="14"/>
              <w:spacing w:before="65" w:line="225" w:lineRule="auto"/>
              <w:ind w:left="136"/>
            </w:pPr>
            <w:r>
              <w:rPr>
                <w:spacing w:val="1"/>
              </w:rPr>
              <w:t>10,000</w:t>
            </w:r>
          </w:p>
        </w:tc>
      </w:tr>
      <w:tr w14:paraId="2FA4F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616" w:type="dxa"/>
            <w:vMerge w:val="continue"/>
            <w:tcBorders>
              <w:top w:val="nil"/>
            </w:tcBorders>
            <w:vAlign w:val="top"/>
          </w:tcPr>
          <w:p w14:paraId="63C0019B">
            <w:pPr>
              <w:rPr>
                <w:rFonts w:ascii="Arial"/>
                <w:sz w:val="21"/>
              </w:rPr>
            </w:pPr>
          </w:p>
        </w:tc>
        <w:tc>
          <w:tcPr>
            <w:tcW w:w="827" w:type="dxa"/>
            <w:vAlign w:val="top"/>
          </w:tcPr>
          <w:p w14:paraId="137581CE">
            <w:pPr>
              <w:pStyle w:val="14"/>
              <w:spacing w:before="48" w:line="238" w:lineRule="auto"/>
              <w:ind w:left="124" w:right="113" w:hanging="5"/>
            </w:pPr>
            <w:r>
              <w:rPr>
                <w:spacing w:val="-1"/>
              </w:rPr>
              <w:t>2.</w:t>
            </w:r>
            <w:r>
              <w:rPr>
                <w:spacing w:val="91"/>
              </w:rPr>
              <w:t xml:space="preserve"> </w:t>
            </w:r>
            <w:r>
              <w:rPr>
                <w:spacing w:val="-1"/>
              </w:rPr>
              <w:t>人</w:t>
            </w:r>
            <w:r>
              <w:t>员</w:t>
            </w:r>
          </w:p>
        </w:tc>
        <w:tc>
          <w:tcPr>
            <w:tcW w:w="817" w:type="dxa"/>
            <w:vAlign w:val="top"/>
          </w:tcPr>
          <w:p w14:paraId="13BFFE0B">
            <w:pPr>
              <w:pStyle w:val="14"/>
              <w:spacing w:before="184" w:line="268" w:lineRule="exact"/>
              <w:ind w:left="116"/>
            </w:pPr>
            <w:r>
              <w:rPr>
                <w:spacing w:val="3"/>
                <w:position w:val="1"/>
              </w:rPr>
              <w:t>C201</w:t>
            </w:r>
          </w:p>
        </w:tc>
        <w:tc>
          <w:tcPr>
            <w:tcW w:w="5323" w:type="dxa"/>
            <w:vAlign w:val="top"/>
          </w:tcPr>
          <w:p w14:paraId="31CDCA60">
            <w:pPr>
              <w:pStyle w:val="14"/>
              <w:spacing w:before="48" w:line="238" w:lineRule="auto"/>
              <w:ind w:left="124" w:right="111" w:hanging="4"/>
            </w:pPr>
            <w:r>
              <w:rPr>
                <w:spacing w:val="12"/>
              </w:rPr>
              <w:t>未按要求组织新进场施工人员上岗前安全教育、</w:t>
            </w:r>
            <w:r>
              <w:rPr>
                <w:spacing w:val="11"/>
              </w:rPr>
              <w:t>班前教</w:t>
            </w:r>
            <w:r>
              <w:rPr>
                <w:spacing w:val="6"/>
              </w:rPr>
              <w:t>育、安全技术交底。</w:t>
            </w:r>
          </w:p>
        </w:tc>
        <w:tc>
          <w:tcPr>
            <w:tcW w:w="1103" w:type="dxa"/>
            <w:vAlign w:val="top"/>
          </w:tcPr>
          <w:p w14:paraId="067FCB3C">
            <w:pPr>
              <w:pStyle w:val="14"/>
              <w:spacing w:before="183" w:line="228" w:lineRule="auto"/>
              <w:ind w:left="121"/>
            </w:pPr>
            <w:r>
              <w:rPr>
                <w:spacing w:val="4"/>
              </w:rPr>
              <w:t>元/次</w:t>
            </w:r>
          </w:p>
        </w:tc>
        <w:tc>
          <w:tcPr>
            <w:tcW w:w="1284" w:type="dxa"/>
            <w:vAlign w:val="top"/>
          </w:tcPr>
          <w:p w14:paraId="687CB1E4">
            <w:pPr>
              <w:pStyle w:val="14"/>
              <w:spacing w:before="184" w:line="225" w:lineRule="auto"/>
              <w:ind w:left="123"/>
            </w:pPr>
            <w:r>
              <w:rPr>
                <w:spacing w:val="2"/>
              </w:rPr>
              <w:t>2,000</w:t>
            </w:r>
          </w:p>
        </w:tc>
      </w:tr>
    </w:tbl>
    <w:p w14:paraId="76A0F4B6">
      <w:pPr>
        <w:rPr>
          <w:rFonts w:ascii="Arial"/>
          <w:sz w:val="21"/>
        </w:rPr>
      </w:pPr>
    </w:p>
    <w:p w14:paraId="19A34E9D">
      <w:pPr>
        <w:spacing w:before="204"/>
        <w:rPr>
          <w:rFonts w:hint="eastAsia" w:eastAsia="宋体"/>
          <w:lang w:eastAsia="zh-CN"/>
        </w:rPr>
      </w:pPr>
      <w:r>
        <w:rPr>
          <w:rFonts w:hint="eastAsia" w:eastAsia="宋体"/>
          <w:lang w:eastAsia="zh-CN"/>
        </w:rPr>
        <w:br w:type="page"/>
      </w:r>
    </w:p>
    <w:tbl>
      <w:tblPr>
        <w:tblStyle w:val="13"/>
        <w:tblW w:w="99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827"/>
        <w:gridCol w:w="817"/>
        <w:gridCol w:w="5323"/>
        <w:gridCol w:w="1103"/>
        <w:gridCol w:w="1284"/>
      </w:tblGrid>
      <w:tr w14:paraId="59AD1D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16" w:type="dxa"/>
            <w:vMerge w:val="restart"/>
            <w:tcBorders>
              <w:bottom w:val="nil"/>
            </w:tcBorders>
            <w:vAlign w:val="top"/>
          </w:tcPr>
          <w:p w14:paraId="12F8A956">
            <w:pPr>
              <w:rPr>
                <w:rFonts w:ascii="Arial"/>
                <w:sz w:val="21"/>
              </w:rPr>
            </w:pPr>
          </w:p>
        </w:tc>
        <w:tc>
          <w:tcPr>
            <w:tcW w:w="827" w:type="dxa"/>
            <w:vMerge w:val="restart"/>
            <w:tcBorders>
              <w:bottom w:val="nil"/>
            </w:tcBorders>
            <w:vAlign w:val="top"/>
          </w:tcPr>
          <w:p w14:paraId="2287C982">
            <w:pPr>
              <w:rPr>
                <w:rFonts w:ascii="Arial"/>
                <w:sz w:val="21"/>
              </w:rPr>
            </w:pPr>
          </w:p>
        </w:tc>
        <w:tc>
          <w:tcPr>
            <w:tcW w:w="817" w:type="dxa"/>
            <w:vAlign w:val="top"/>
          </w:tcPr>
          <w:p w14:paraId="58CE9ED7">
            <w:pPr>
              <w:pStyle w:val="14"/>
              <w:spacing w:before="182" w:line="269" w:lineRule="exact"/>
              <w:ind w:left="116"/>
            </w:pPr>
            <w:r>
              <w:rPr>
                <w:spacing w:val="3"/>
                <w:position w:val="1"/>
              </w:rPr>
              <w:t>C202</w:t>
            </w:r>
          </w:p>
        </w:tc>
        <w:tc>
          <w:tcPr>
            <w:tcW w:w="5323" w:type="dxa"/>
            <w:vAlign w:val="top"/>
          </w:tcPr>
          <w:p w14:paraId="00591179">
            <w:pPr>
              <w:pStyle w:val="14"/>
              <w:spacing w:before="48" w:line="239" w:lineRule="auto"/>
              <w:ind w:left="116" w:right="111"/>
            </w:pPr>
            <w:r>
              <w:rPr>
                <w:spacing w:val="12"/>
              </w:rPr>
              <w:t>施工点无安全管理员，或安全大检查时安全管理人员不</w:t>
            </w:r>
            <w:r>
              <w:rPr>
                <w:spacing w:val="3"/>
              </w:rPr>
              <w:t>在岗。</w:t>
            </w:r>
          </w:p>
        </w:tc>
        <w:tc>
          <w:tcPr>
            <w:tcW w:w="1103" w:type="dxa"/>
            <w:vAlign w:val="top"/>
          </w:tcPr>
          <w:p w14:paraId="7464F63E">
            <w:pPr>
              <w:pStyle w:val="14"/>
              <w:spacing w:before="182" w:line="228" w:lineRule="auto"/>
              <w:ind w:left="121"/>
            </w:pPr>
            <w:r>
              <w:rPr>
                <w:spacing w:val="7"/>
              </w:rPr>
              <w:t>元/人.次</w:t>
            </w:r>
          </w:p>
        </w:tc>
        <w:tc>
          <w:tcPr>
            <w:tcW w:w="1284" w:type="dxa"/>
            <w:vAlign w:val="top"/>
          </w:tcPr>
          <w:p w14:paraId="77236A4A">
            <w:pPr>
              <w:pStyle w:val="14"/>
              <w:spacing w:before="182" w:line="225" w:lineRule="auto"/>
              <w:ind w:left="136"/>
            </w:pPr>
            <w:r>
              <w:t>1,000</w:t>
            </w:r>
          </w:p>
        </w:tc>
      </w:tr>
      <w:tr w14:paraId="408E9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0D6A6CDF">
            <w:pPr>
              <w:rPr>
                <w:rFonts w:ascii="Arial"/>
                <w:sz w:val="21"/>
              </w:rPr>
            </w:pPr>
          </w:p>
        </w:tc>
        <w:tc>
          <w:tcPr>
            <w:tcW w:w="827" w:type="dxa"/>
            <w:vMerge w:val="continue"/>
            <w:tcBorders>
              <w:top w:val="nil"/>
              <w:bottom w:val="nil"/>
            </w:tcBorders>
            <w:vAlign w:val="top"/>
          </w:tcPr>
          <w:p w14:paraId="2E057B2E">
            <w:pPr>
              <w:rPr>
                <w:rFonts w:ascii="Arial"/>
                <w:sz w:val="21"/>
              </w:rPr>
            </w:pPr>
          </w:p>
        </w:tc>
        <w:tc>
          <w:tcPr>
            <w:tcW w:w="817" w:type="dxa"/>
            <w:vAlign w:val="top"/>
          </w:tcPr>
          <w:p w14:paraId="1D49810A">
            <w:pPr>
              <w:pStyle w:val="14"/>
              <w:spacing w:before="180" w:line="268" w:lineRule="exact"/>
              <w:ind w:left="116"/>
            </w:pPr>
            <w:r>
              <w:rPr>
                <w:spacing w:val="3"/>
                <w:position w:val="1"/>
              </w:rPr>
              <w:t>C203</w:t>
            </w:r>
          </w:p>
        </w:tc>
        <w:tc>
          <w:tcPr>
            <w:tcW w:w="5323" w:type="dxa"/>
            <w:vAlign w:val="top"/>
          </w:tcPr>
          <w:p w14:paraId="6AA96187">
            <w:pPr>
              <w:pStyle w:val="14"/>
              <w:spacing w:before="44" w:line="239" w:lineRule="auto"/>
              <w:ind w:left="116" w:right="111" w:firstLine="1"/>
            </w:pPr>
            <w:r>
              <w:rPr>
                <w:spacing w:val="21"/>
              </w:rPr>
              <w:t>起重吊装作业未安排司索指挥人员和安全管理人员在</w:t>
            </w:r>
            <w:r>
              <w:t>场。</w:t>
            </w:r>
          </w:p>
        </w:tc>
        <w:tc>
          <w:tcPr>
            <w:tcW w:w="1103" w:type="dxa"/>
            <w:vAlign w:val="top"/>
          </w:tcPr>
          <w:p w14:paraId="6BF007EE">
            <w:pPr>
              <w:pStyle w:val="14"/>
              <w:spacing w:before="179" w:line="228" w:lineRule="auto"/>
              <w:ind w:left="121"/>
            </w:pPr>
            <w:r>
              <w:rPr>
                <w:spacing w:val="4"/>
              </w:rPr>
              <w:t>元/次</w:t>
            </w:r>
          </w:p>
        </w:tc>
        <w:tc>
          <w:tcPr>
            <w:tcW w:w="1284" w:type="dxa"/>
            <w:vAlign w:val="top"/>
          </w:tcPr>
          <w:p w14:paraId="01139F8F">
            <w:pPr>
              <w:pStyle w:val="14"/>
              <w:spacing w:before="179" w:line="225" w:lineRule="auto"/>
              <w:ind w:left="136"/>
            </w:pPr>
            <w:r>
              <w:t>1,000</w:t>
            </w:r>
          </w:p>
        </w:tc>
      </w:tr>
      <w:tr w14:paraId="4ECA3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16" w:type="dxa"/>
            <w:vMerge w:val="continue"/>
            <w:tcBorders>
              <w:top w:val="nil"/>
              <w:bottom w:val="nil"/>
            </w:tcBorders>
            <w:vAlign w:val="top"/>
          </w:tcPr>
          <w:p w14:paraId="1DD45CEE">
            <w:pPr>
              <w:rPr>
                <w:rFonts w:ascii="Arial"/>
                <w:sz w:val="21"/>
              </w:rPr>
            </w:pPr>
          </w:p>
        </w:tc>
        <w:tc>
          <w:tcPr>
            <w:tcW w:w="827" w:type="dxa"/>
            <w:vMerge w:val="continue"/>
            <w:tcBorders>
              <w:top w:val="nil"/>
              <w:bottom w:val="nil"/>
            </w:tcBorders>
            <w:vAlign w:val="top"/>
          </w:tcPr>
          <w:p w14:paraId="7EFC6133">
            <w:pPr>
              <w:rPr>
                <w:rFonts w:ascii="Arial"/>
                <w:sz w:val="21"/>
              </w:rPr>
            </w:pPr>
          </w:p>
        </w:tc>
        <w:tc>
          <w:tcPr>
            <w:tcW w:w="817" w:type="dxa"/>
            <w:vAlign w:val="top"/>
          </w:tcPr>
          <w:p w14:paraId="308546AA">
            <w:pPr>
              <w:pStyle w:val="14"/>
              <w:spacing w:before="179" w:line="268" w:lineRule="exact"/>
              <w:ind w:left="116"/>
            </w:pPr>
            <w:r>
              <w:rPr>
                <w:spacing w:val="3"/>
                <w:position w:val="1"/>
              </w:rPr>
              <w:t>C204</w:t>
            </w:r>
          </w:p>
        </w:tc>
        <w:tc>
          <w:tcPr>
            <w:tcW w:w="5323" w:type="dxa"/>
            <w:vAlign w:val="top"/>
          </w:tcPr>
          <w:p w14:paraId="2ED903A2">
            <w:pPr>
              <w:pStyle w:val="14"/>
              <w:spacing w:before="178" w:line="228" w:lineRule="auto"/>
              <w:ind w:left="116"/>
            </w:pPr>
            <w:r>
              <w:rPr>
                <w:spacing w:val="8"/>
              </w:rPr>
              <w:t>施工作业人员未按规定佩戴安全防护用品。</w:t>
            </w:r>
          </w:p>
        </w:tc>
        <w:tc>
          <w:tcPr>
            <w:tcW w:w="1103" w:type="dxa"/>
            <w:vAlign w:val="top"/>
          </w:tcPr>
          <w:p w14:paraId="1D2E176B">
            <w:pPr>
              <w:pStyle w:val="14"/>
              <w:spacing w:before="178" w:line="228" w:lineRule="auto"/>
              <w:ind w:left="121"/>
            </w:pPr>
            <w:r>
              <w:rPr>
                <w:spacing w:val="7"/>
              </w:rPr>
              <w:t>元/人.次</w:t>
            </w:r>
          </w:p>
        </w:tc>
        <w:tc>
          <w:tcPr>
            <w:tcW w:w="1284" w:type="dxa"/>
            <w:vAlign w:val="top"/>
          </w:tcPr>
          <w:p w14:paraId="57096B73">
            <w:pPr>
              <w:pStyle w:val="14"/>
              <w:spacing w:before="178" w:line="225" w:lineRule="auto"/>
              <w:ind w:left="136"/>
            </w:pPr>
            <w:r>
              <w:t>1,000</w:t>
            </w:r>
          </w:p>
        </w:tc>
      </w:tr>
      <w:tr w14:paraId="5C4B91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16" w:type="dxa"/>
            <w:vMerge w:val="continue"/>
            <w:tcBorders>
              <w:top w:val="nil"/>
              <w:bottom w:val="nil"/>
            </w:tcBorders>
            <w:vAlign w:val="top"/>
          </w:tcPr>
          <w:p w14:paraId="2935B6FC">
            <w:pPr>
              <w:rPr>
                <w:rFonts w:ascii="Arial"/>
                <w:sz w:val="21"/>
              </w:rPr>
            </w:pPr>
          </w:p>
        </w:tc>
        <w:tc>
          <w:tcPr>
            <w:tcW w:w="827" w:type="dxa"/>
            <w:vMerge w:val="continue"/>
            <w:tcBorders>
              <w:top w:val="nil"/>
              <w:bottom w:val="nil"/>
            </w:tcBorders>
            <w:vAlign w:val="top"/>
          </w:tcPr>
          <w:p w14:paraId="3ADBBD9A">
            <w:pPr>
              <w:rPr>
                <w:rFonts w:ascii="Arial"/>
                <w:sz w:val="21"/>
              </w:rPr>
            </w:pPr>
          </w:p>
        </w:tc>
        <w:tc>
          <w:tcPr>
            <w:tcW w:w="817" w:type="dxa"/>
            <w:vAlign w:val="top"/>
          </w:tcPr>
          <w:p w14:paraId="618C60DA">
            <w:pPr>
              <w:pStyle w:val="14"/>
              <w:spacing w:before="181" w:line="268" w:lineRule="exact"/>
              <w:ind w:left="116"/>
            </w:pPr>
            <w:r>
              <w:rPr>
                <w:spacing w:val="3"/>
                <w:position w:val="1"/>
              </w:rPr>
              <w:t>C205</w:t>
            </w:r>
          </w:p>
        </w:tc>
        <w:tc>
          <w:tcPr>
            <w:tcW w:w="5323" w:type="dxa"/>
            <w:vAlign w:val="top"/>
          </w:tcPr>
          <w:p w14:paraId="7E08B874">
            <w:pPr>
              <w:pStyle w:val="14"/>
              <w:spacing w:before="45" w:line="238" w:lineRule="auto"/>
              <w:ind w:left="120" w:right="111" w:hanging="4"/>
            </w:pPr>
            <w:r>
              <w:rPr>
                <w:spacing w:val="12"/>
              </w:rPr>
              <w:t>施工作业现场使用的安全防护用品无检验合格证或属于</w:t>
            </w:r>
            <w:r>
              <w:rPr>
                <w:spacing w:val="6"/>
              </w:rPr>
              <w:t>不合格产品。</w:t>
            </w:r>
          </w:p>
        </w:tc>
        <w:tc>
          <w:tcPr>
            <w:tcW w:w="1103" w:type="dxa"/>
            <w:vAlign w:val="top"/>
          </w:tcPr>
          <w:p w14:paraId="084DE11A">
            <w:pPr>
              <w:pStyle w:val="14"/>
              <w:spacing w:before="181" w:line="228" w:lineRule="auto"/>
              <w:ind w:left="125"/>
            </w:pPr>
            <w:r>
              <w:t>次</w:t>
            </w:r>
          </w:p>
        </w:tc>
        <w:tc>
          <w:tcPr>
            <w:tcW w:w="1284" w:type="dxa"/>
            <w:vAlign w:val="top"/>
          </w:tcPr>
          <w:p w14:paraId="163BE3FF">
            <w:pPr>
              <w:pStyle w:val="14"/>
              <w:spacing w:before="181" w:line="225" w:lineRule="auto"/>
              <w:ind w:left="123"/>
            </w:pPr>
            <w:r>
              <w:rPr>
                <w:spacing w:val="2"/>
              </w:rPr>
              <w:t>2,000</w:t>
            </w:r>
          </w:p>
        </w:tc>
      </w:tr>
      <w:tr w14:paraId="0B114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16" w:type="dxa"/>
            <w:vMerge w:val="continue"/>
            <w:tcBorders>
              <w:top w:val="nil"/>
              <w:bottom w:val="nil"/>
            </w:tcBorders>
            <w:vAlign w:val="top"/>
          </w:tcPr>
          <w:p w14:paraId="5C895EFC">
            <w:pPr>
              <w:rPr>
                <w:rFonts w:ascii="Arial"/>
                <w:sz w:val="21"/>
              </w:rPr>
            </w:pPr>
          </w:p>
        </w:tc>
        <w:tc>
          <w:tcPr>
            <w:tcW w:w="827" w:type="dxa"/>
            <w:vMerge w:val="continue"/>
            <w:tcBorders>
              <w:top w:val="nil"/>
              <w:bottom w:val="nil"/>
            </w:tcBorders>
            <w:vAlign w:val="top"/>
          </w:tcPr>
          <w:p w14:paraId="1861D1C7">
            <w:pPr>
              <w:rPr>
                <w:rFonts w:ascii="Arial"/>
                <w:sz w:val="21"/>
              </w:rPr>
            </w:pPr>
          </w:p>
        </w:tc>
        <w:tc>
          <w:tcPr>
            <w:tcW w:w="817" w:type="dxa"/>
            <w:vAlign w:val="top"/>
          </w:tcPr>
          <w:p w14:paraId="00F69629">
            <w:pPr>
              <w:pStyle w:val="14"/>
              <w:spacing w:before="181" w:line="268" w:lineRule="exact"/>
              <w:ind w:left="116"/>
            </w:pPr>
            <w:r>
              <w:rPr>
                <w:spacing w:val="3"/>
                <w:position w:val="1"/>
              </w:rPr>
              <w:t>C206</w:t>
            </w:r>
          </w:p>
        </w:tc>
        <w:tc>
          <w:tcPr>
            <w:tcW w:w="5323" w:type="dxa"/>
            <w:vAlign w:val="top"/>
          </w:tcPr>
          <w:p w14:paraId="6E89D8A5">
            <w:pPr>
              <w:pStyle w:val="14"/>
              <w:spacing w:before="181" w:line="228" w:lineRule="auto"/>
              <w:ind w:left="116"/>
            </w:pPr>
            <w:r>
              <w:rPr>
                <w:spacing w:val="8"/>
              </w:rPr>
              <w:t>特种设备作业人员违规作业。</w:t>
            </w:r>
          </w:p>
        </w:tc>
        <w:tc>
          <w:tcPr>
            <w:tcW w:w="1103" w:type="dxa"/>
            <w:vAlign w:val="top"/>
          </w:tcPr>
          <w:p w14:paraId="4EF9829B">
            <w:pPr>
              <w:pStyle w:val="14"/>
              <w:spacing w:before="181" w:line="228" w:lineRule="auto"/>
              <w:ind w:left="121"/>
            </w:pPr>
            <w:r>
              <w:rPr>
                <w:spacing w:val="4"/>
              </w:rPr>
              <w:t>元/次</w:t>
            </w:r>
          </w:p>
        </w:tc>
        <w:tc>
          <w:tcPr>
            <w:tcW w:w="1284" w:type="dxa"/>
            <w:vAlign w:val="top"/>
          </w:tcPr>
          <w:p w14:paraId="35DCCE8E">
            <w:pPr>
              <w:pStyle w:val="14"/>
              <w:spacing w:before="181" w:line="225" w:lineRule="auto"/>
              <w:ind w:left="123"/>
            </w:pPr>
            <w:r>
              <w:rPr>
                <w:spacing w:val="2"/>
              </w:rPr>
              <w:t>2,000</w:t>
            </w:r>
          </w:p>
        </w:tc>
      </w:tr>
      <w:tr w14:paraId="06067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02497BF0">
            <w:pPr>
              <w:rPr>
                <w:rFonts w:ascii="Arial"/>
                <w:sz w:val="21"/>
              </w:rPr>
            </w:pPr>
          </w:p>
        </w:tc>
        <w:tc>
          <w:tcPr>
            <w:tcW w:w="827" w:type="dxa"/>
            <w:vMerge w:val="continue"/>
            <w:tcBorders>
              <w:top w:val="nil"/>
              <w:bottom w:val="nil"/>
            </w:tcBorders>
            <w:vAlign w:val="top"/>
          </w:tcPr>
          <w:p w14:paraId="4B3EED01">
            <w:pPr>
              <w:rPr>
                <w:rFonts w:ascii="Arial"/>
                <w:sz w:val="21"/>
              </w:rPr>
            </w:pPr>
          </w:p>
        </w:tc>
        <w:tc>
          <w:tcPr>
            <w:tcW w:w="817" w:type="dxa"/>
            <w:vAlign w:val="top"/>
          </w:tcPr>
          <w:p w14:paraId="539DC223">
            <w:pPr>
              <w:pStyle w:val="14"/>
              <w:spacing w:before="181" w:line="268" w:lineRule="exact"/>
              <w:ind w:left="116"/>
            </w:pPr>
            <w:r>
              <w:rPr>
                <w:spacing w:val="3"/>
                <w:position w:val="1"/>
              </w:rPr>
              <w:t>C207</w:t>
            </w:r>
          </w:p>
        </w:tc>
        <w:tc>
          <w:tcPr>
            <w:tcW w:w="5323" w:type="dxa"/>
            <w:vAlign w:val="top"/>
          </w:tcPr>
          <w:p w14:paraId="351C8AC4">
            <w:pPr>
              <w:pStyle w:val="14"/>
              <w:spacing w:before="181" w:line="228" w:lineRule="auto"/>
              <w:ind w:left="116"/>
            </w:pPr>
            <w:r>
              <w:rPr>
                <w:spacing w:val="7"/>
              </w:rPr>
              <w:t>特种人员无证上岗。</w:t>
            </w:r>
          </w:p>
        </w:tc>
        <w:tc>
          <w:tcPr>
            <w:tcW w:w="1103" w:type="dxa"/>
            <w:vAlign w:val="top"/>
          </w:tcPr>
          <w:p w14:paraId="38AB87D0">
            <w:pPr>
              <w:pStyle w:val="14"/>
              <w:spacing w:before="181" w:line="228" w:lineRule="auto"/>
              <w:ind w:left="121"/>
            </w:pPr>
            <w:r>
              <w:rPr>
                <w:spacing w:val="7"/>
              </w:rPr>
              <w:t>元/人.次</w:t>
            </w:r>
          </w:p>
        </w:tc>
        <w:tc>
          <w:tcPr>
            <w:tcW w:w="1284" w:type="dxa"/>
            <w:vAlign w:val="top"/>
          </w:tcPr>
          <w:p w14:paraId="28F7006B">
            <w:pPr>
              <w:pStyle w:val="14"/>
              <w:spacing w:before="181" w:line="225" w:lineRule="auto"/>
              <w:ind w:left="123"/>
            </w:pPr>
            <w:r>
              <w:rPr>
                <w:spacing w:val="3"/>
              </w:rPr>
              <w:t>2,000</w:t>
            </w:r>
          </w:p>
        </w:tc>
      </w:tr>
      <w:tr w14:paraId="48BB3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02C5CDD2">
            <w:pPr>
              <w:rPr>
                <w:rFonts w:ascii="Arial"/>
                <w:sz w:val="21"/>
              </w:rPr>
            </w:pPr>
          </w:p>
        </w:tc>
        <w:tc>
          <w:tcPr>
            <w:tcW w:w="827" w:type="dxa"/>
            <w:vMerge w:val="continue"/>
            <w:tcBorders>
              <w:top w:val="nil"/>
              <w:bottom w:val="nil"/>
            </w:tcBorders>
            <w:vAlign w:val="top"/>
          </w:tcPr>
          <w:p w14:paraId="39889048">
            <w:pPr>
              <w:rPr>
                <w:rFonts w:ascii="Arial"/>
                <w:sz w:val="21"/>
              </w:rPr>
            </w:pPr>
          </w:p>
        </w:tc>
        <w:tc>
          <w:tcPr>
            <w:tcW w:w="817" w:type="dxa"/>
            <w:vAlign w:val="top"/>
          </w:tcPr>
          <w:p w14:paraId="347AD173">
            <w:pPr>
              <w:pStyle w:val="14"/>
              <w:spacing w:before="182" w:line="269" w:lineRule="exact"/>
              <w:ind w:left="116"/>
            </w:pPr>
            <w:r>
              <w:rPr>
                <w:spacing w:val="3"/>
                <w:position w:val="1"/>
              </w:rPr>
              <w:t>C208</w:t>
            </w:r>
          </w:p>
        </w:tc>
        <w:tc>
          <w:tcPr>
            <w:tcW w:w="5323" w:type="dxa"/>
            <w:vAlign w:val="top"/>
          </w:tcPr>
          <w:p w14:paraId="3231E454">
            <w:pPr>
              <w:pStyle w:val="14"/>
              <w:spacing w:before="46" w:line="238" w:lineRule="auto"/>
              <w:ind w:left="116" w:right="109" w:firstLine="4"/>
            </w:pPr>
            <w:r>
              <w:rPr>
                <w:spacing w:val="12"/>
              </w:rPr>
              <w:t>项目领导、安全总监、安全部长未按要求参加安全生产</w:t>
            </w:r>
            <w:r>
              <w:rPr>
                <w:spacing w:val="5"/>
              </w:rPr>
              <w:t>会议</w:t>
            </w:r>
          </w:p>
        </w:tc>
        <w:tc>
          <w:tcPr>
            <w:tcW w:w="1103" w:type="dxa"/>
            <w:vAlign w:val="top"/>
          </w:tcPr>
          <w:p w14:paraId="1E7F4892">
            <w:pPr>
              <w:pStyle w:val="14"/>
              <w:spacing w:before="182" w:line="228" w:lineRule="auto"/>
              <w:ind w:left="125"/>
            </w:pPr>
            <w:r>
              <w:t>次</w:t>
            </w:r>
          </w:p>
        </w:tc>
        <w:tc>
          <w:tcPr>
            <w:tcW w:w="1284" w:type="dxa"/>
            <w:vAlign w:val="top"/>
          </w:tcPr>
          <w:p w14:paraId="3041F5EA">
            <w:pPr>
              <w:pStyle w:val="14"/>
              <w:spacing w:before="182" w:line="225" w:lineRule="auto"/>
              <w:ind w:left="124"/>
            </w:pPr>
            <w:r>
              <w:rPr>
                <w:spacing w:val="2"/>
              </w:rPr>
              <w:t>5,000</w:t>
            </w:r>
          </w:p>
        </w:tc>
      </w:tr>
      <w:tr w14:paraId="5E17E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228406FB">
            <w:pPr>
              <w:rPr>
                <w:rFonts w:ascii="Arial"/>
                <w:sz w:val="21"/>
              </w:rPr>
            </w:pPr>
          </w:p>
        </w:tc>
        <w:tc>
          <w:tcPr>
            <w:tcW w:w="827" w:type="dxa"/>
            <w:vMerge w:val="continue"/>
            <w:tcBorders>
              <w:top w:val="nil"/>
              <w:bottom w:val="nil"/>
            </w:tcBorders>
            <w:vAlign w:val="top"/>
          </w:tcPr>
          <w:p w14:paraId="353616C5">
            <w:pPr>
              <w:rPr>
                <w:rFonts w:ascii="Arial"/>
                <w:sz w:val="21"/>
              </w:rPr>
            </w:pPr>
          </w:p>
        </w:tc>
        <w:tc>
          <w:tcPr>
            <w:tcW w:w="817" w:type="dxa"/>
            <w:vAlign w:val="top"/>
          </w:tcPr>
          <w:p w14:paraId="33C94F24">
            <w:pPr>
              <w:pStyle w:val="14"/>
              <w:spacing w:before="181" w:line="269" w:lineRule="exact"/>
              <w:ind w:left="116"/>
            </w:pPr>
            <w:r>
              <w:rPr>
                <w:spacing w:val="3"/>
                <w:position w:val="1"/>
              </w:rPr>
              <w:t>C209</w:t>
            </w:r>
          </w:p>
        </w:tc>
        <w:tc>
          <w:tcPr>
            <w:tcW w:w="5323" w:type="dxa"/>
            <w:vAlign w:val="top"/>
          </w:tcPr>
          <w:p w14:paraId="5DB6FB6D">
            <w:pPr>
              <w:pStyle w:val="14"/>
              <w:spacing w:before="48" w:line="237" w:lineRule="auto"/>
              <w:ind w:left="116" w:right="109" w:firstLine="4"/>
            </w:pPr>
            <w:r>
              <w:rPr>
                <w:spacing w:val="12"/>
              </w:rPr>
              <w:t>项目领导、安全总监、安全部长在发包人安全检查时不</w:t>
            </w:r>
            <w:r>
              <w:rPr>
                <w:spacing w:val="5"/>
              </w:rPr>
              <w:t>在位</w:t>
            </w:r>
          </w:p>
        </w:tc>
        <w:tc>
          <w:tcPr>
            <w:tcW w:w="1103" w:type="dxa"/>
            <w:vAlign w:val="top"/>
          </w:tcPr>
          <w:p w14:paraId="6F8B591B">
            <w:pPr>
              <w:pStyle w:val="14"/>
              <w:spacing w:before="181" w:line="228" w:lineRule="auto"/>
              <w:ind w:left="125"/>
            </w:pPr>
            <w:r>
              <w:t>次</w:t>
            </w:r>
          </w:p>
        </w:tc>
        <w:tc>
          <w:tcPr>
            <w:tcW w:w="1284" w:type="dxa"/>
            <w:vAlign w:val="top"/>
          </w:tcPr>
          <w:p w14:paraId="7D74904B">
            <w:pPr>
              <w:pStyle w:val="14"/>
              <w:spacing w:before="181" w:line="225" w:lineRule="auto"/>
              <w:ind w:left="123"/>
            </w:pPr>
            <w:r>
              <w:rPr>
                <w:spacing w:val="2"/>
              </w:rPr>
              <w:t>2,000</w:t>
            </w:r>
          </w:p>
        </w:tc>
      </w:tr>
      <w:tr w14:paraId="6BDE2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77691A26">
            <w:pPr>
              <w:rPr>
                <w:rFonts w:ascii="Arial"/>
                <w:sz w:val="21"/>
              </w:rPr>
            </w:pPr>
          </w:p>
        </w:tc>
        <w:tc>
          <w:tcPr>
            <w:tcW w:w="827" w:type="dxa"/>
            <w:vMerge w:val="continue"/>
            <w:tcBorders>
              <w:top w:val="nil"/>
              <w:bottom w:val="nil"/>
            </w:tcBorders>
            <w:vAlign w:val="top"/>
          </w:tcPr>
          <w:p w14:paraId="12DA3CDF">
            <w:pPr>
              <w:rPr>
                <w:rFonts w:ascii="Arial"/>
                <w:sz w:val="21"/>
              </w:rPr>
            </w:pPr>
          </w:p>
        </w:tc>
        <w:tc>
          <w:tcPr>
            <w:tcW w:w="817" w:type="dxa"/>
            <w:vAlign w:val="top"/>
          </w:tcPr>
          <w:p w14:paraId="3E4E661B">
            <w:pPr>
              <w:pStyle w:val="14"/>
              <w:spacing w:before="183" w:line="268" w:lineRule="exact"/>
              <w:ind w:left="116"/>
            </w:pPr>
            <w:r>
              <w:rPr>
                <w:spacing w:val="3"/>
                <w:position w:val="1"/>
              </w:rPr>
              <w:t>C210</w:t>
            </w:r>
          </w:p>
        </w:tc>
        <w:tc>
          <w:tcPr>
            <w:tcW w:w="5323" w:type="dxa"/>
            <w:vAlign w:val="top"/>
          </w:tcPr>
          <w:p w14:paraId="217CCB1B">
            <w:pPr>
              <w:pStyle w:val="14"/>
              <w:spacing w:before="46" w:line="238" w:lineRule="auto"/>
              <w:ind w:left="116" w:right="111" w:firstLine="14"/>
            </w:pPr>
            <w:r>
              <w:rPr>
                <w:spacing w:val="11"/>
              </w:rPr>
              <w:t>防汛及节假日值班电话无人接听，值班领导不在施工现</w:t>
            </w:r>
            <w:r>
              <w:rPr>
                <w:spacing w:val="1"/>
              </w:rPr>
              <w:t>场</w:t>
            </w:r>
          </w:p>
        </w:tc>
        <w:tc>
          <w:tcPr>
            <w:tcW w:w="1103" w:type="dxa"/>
            <w:vAlign w:val="top"/>
          </w:tcPr>
          <w:p w14:paraId="2FC81BE8">
            <w:pPr>
              <w:pStyle w:val="14"/>
              <w:spacing w:before="182" w:line="228" w:lineRule="auto"/>
              <w:ind w:left="125"/>
            </w:pPr>
            <w:r>
              <w:t>次</w:t>
            </w:r>
          </w:p>
        </w:tc>
        <w:tc>
          <w:tcPr>
            <w:tcW w:w="1284" w:type="dxa"/>
            <w:vAlign w:val="top"/>
          </w:tcPr>
          <w:p w14:paraId="2C35BEB3">
            <w:pPr>
              <w:pStyle w:val="14"/>
              <w:spacing w:before="183" w:line="225" w:lineRule="auto"/>
              <w:ind w:left="124"/>
            </w:pPr>
            <w:r>
              <w:rPr>
                <w:spacing w:val="2"/>
              </w:rPr>
              <w:t>5,000</w:t>
            </w:r>
          </w:p>
        </w:tc>
      </w:tr>
      <w:tr w14:paraId="6D6CC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698A4ED9">
            <w:pPr>
              <w:rPr>
                <w:rFonts w:ascii="Arial"/>
                <w:sz w:val="21"/>
              </w:rPr>
            </w:pPr>
          </w:p>
        </w:tc>
        <w:tc>
          <w:tcPr>
            <w:tcW w:w="827" w:type="dxa"/>
            <w:vMerge w:val="continue"/>
            <w:tcBorders>
              <w:top w:val="nil"/>
            </w:tcBorders>
            <w:vAlign w:val="top"/>
          </w:tcPr>
          <w:p w14:paraId="4F030357">
            <w:pPr>
              <w:rPr>
                <w:rFonts w:ascii="Arial"/>
                <w:sz w:val="21"/>
              </w:rPr>
            </w:pPr>
          </w:p>
        </w:tc>
        <w:tc>
          <w:tcPr>
            <w:tcW w:w="817" w:type="dxa"/>
            <w:vAlign w:val="top"/>
          </w:tcPr>
          <w:p w14:paraId="1CA25395">
            <w:pPr>
              <w:pStyle w:val="14"/>
              <w:spacing w:before="182" w:line="268" w:lineRule="exact"/>
              <w:ind w:left="116"/>
            </w:pPr>
            <w:r>
              <w:rPr>
                <w:spacing w:val="3"/>
                <w:position w:val="1"/>
              </w:rPr>
              <w:t>C211</w:t>
            </w:r>
          </w:p>
        </w:tc>
        <w:tc>
          <w:tcPr>
            <w:tcW w:w="5323" w:type="dxa"/>
            <w:vAlign w:val="top"/>
          </w:tcPr>
          <w:p w14:paraId="7DDCC202">
            <w:pPr>
              <w:pStyle w:val="14"/>
              <w:spacing w:before="181" w:line="228" w:lineRule="auto"/>
              <w:ind w:left="120"/>
            </w:pPr>
            <w:r>
              <w:rPr>
                <w:spacing w:val="8"/>
              </w:rPr>
              <w:t>项目未按要求执行领导带班工作。</w:t>
            </w:r>
          </w:p>
        </w:tc>
        <w:tc>
          <w:tcPr>
            <w:tcW w:w="1103" w:type="dxa"/>
            <w:vAlign w:val="top"/>
          </w:tcPr>
          <w:p w14:paraId="3C027C1D">
            <w:pPr>
              <w:pStyle w:val="14"/>
              <w:spacing w:before="181" w:line="228" w:lineRule="auto"/>
              <w:ind w:left="125"/>
            </w:pPr>
            <w:r>
              <w:t>次</w:t>
            </w:r>
          </w:p>
        </w:tc>
        <w:tc>
          <w:tcPr>
            <w:tcW w:w="1284" w:type="dxa"/>
            <w:vAlign w:val="top"/>
          </w:tcPr>
          <w:p w14:paraId="559A23B9">
            <w:pPr>
              <w:pStyle w:val="14"/>
              <w:spacing w:before="182" w:line="225" w:lineRule="auto"/>
              <w:ind w:left="124"/>
            </w:pPr>
            <w:r>
              <w:rPr>
                <w:spacing w:val="2"/>
              </w:rPr>
              <w:t>3,000</w:t>
            </w:r>
          </w:p>
        </w:tc>
      </w:tr>
      <w:tr w14:paraId="298E1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69265BE2">
            <w:pPr>
              <w:rPr>
                <w:rFonts w:ascii="Arial"/>
                <w:sz w:val="21"/>
              </w:rPr>
            </w:pPr>
          </w:p>
        </w:tc>
        <w:tc>
          <w:tcPr>
            <w:tcW w:w="827" w:type="dxa"/>
            <w:vMerge w:val="restart"/>
            <w:tcBorders>
              <w:bottom w:val="nil"/>
            </w:tcBorders>
            <w:vAlign w:val="top"/>
          </w:tcPr>
          <w:p w14:paraId="3DBCDDF5">
            <w:pPr>
              <w:spacing w:line="247" w:lineRule="auto"/>
              <w:rPr>
                <w:rFonts w:ascii="Arial"/>
                <w:sz w:val="21"/>
              </w:rPr>
            </w:pPr>
          </w:p>
          <w:p w14:paraId="44FE6057">
            <w:pPr>
              <w:spacing w:line="247" w:lineRule="auto"/>
              <w:rPr>
                <w:rFonts w:ascii="Arial"/>
                <w:sz w:val="21"/>
              </w:rPr>
            </w:pPr>
          </w:p>
          <w:p w14:paraId="60756349">
            <w:pPr>
              <w:spacing w:line="247" w:lineRule="auto"/>
              <w:rPr>
                <w:rFonts w:ascii="Arial"/>
                <w:sz w:val="21"/>
              </w:rPr>
            </w:pPr>
          </w:p>
          <w:p w14:paraId="11BD9D58">
            <w:pPr>
              <w:spacing w:line="247" w:lineRule="auto"/>
              <w:rPr>
                <w:rFonts w:ascii="Arial"/>
                <w:sz w:val="21"/>
              </w:rPr>
            </w:pPr>
          </w:p>
          <w:p w14:paraId="14E38B35">
            <w:pPr>
              <w:spacing w:line="248" w:lineRule="auto"/>
              <w:rPr>
                <w:rFonts w:ascii="Arial"/>
                <w:sz w:val="21"/>
              </w:rPr>
            </w:pPr>
          </w:p>
          <w:p w14:paraId="44D27374">
            <w:pPr>
              <w:spacing w:line="248" w:lineRule="auto"/>
              <w:rPr>
                <w:rFonts w:ascii="Arial"/>
                <w:sz w:val="21"/>
              </w:rPr>
            </w:pPr>
          </w:p>
          <w:p w14:paraId="59F668A9">
            <w:pPr>
              <w:spacing w:line="248" w:lineRule="auto"/>
              <w:rPr>
                <w:rFonts w:ascii="Arial"/>
                <w:sz w:val="21"/>
              </w:rPr>
            </w:pPr>
          </w:p>
          <w:p w14:paraId="15C4B410">
            <w:pPr>
              <w:spacing w:line="248" w:lineRule="auto"/>
              <w:rPr>
                <w:rFonts w:ascii="Arial"/>
                <w:sz w:val="21"/>
              </w:rPr>
            </w:pPr>
          </w:p>
          <w:p w14:paraId="21EE02C4">
            <w:pPr>
              <w:spacing w:line="248" w:lineRule="auto"/>
              <w:rPr>
                <w:rFonts w:ascii="Arial"/>
                <w:sz w:val="21"/>
              </w:rPr>
            </w:pPr>
          </w:p>
          <w:p w14:paraId="3E6BCA88">
            <w:pPr>
              <w:spacing w:line="248" w:lineRule="auto"/>
              <w:rPr>
                <w:rFonts w:ascii="Arial"/>
                <w:sz w:val="21"/>
              </w:rPr>
            </w:pPr>
          </w:p>
          <w:p w14:paraId="1439008E">
            <w:pPr>
              <w:spacing w:line="248" w:lineRule="auto"/>
              <w:rPr>
                <w:rFonts w:ascii="Arial"/>
                <w:sz w:val="21"/>
              </w:rPr>
            </w:pPr>
          </w:p>
          <w:p w14:paraId="786E27A6">
            <w:pPr>
              <w:spacing w:line="248" w:lineRule="auto"/>
              <w:rPr>
                <w:rFonts w:ascii="Arial"/>
                <w:sz w:val="21"/>
              </w:rPr>
            </w:pPr>
          </w:p>
          <w:p w14:paraId="6BE9ADC8">
            <w:pPr>
              <w:pStyle w:val="14"/>
              <w:spacing w:before="65" w:line="258" w:lineRule="auto"/>
              <w:ind w:left="116" w:right="113" w:firstLine="5"/>
            </w:pPr>
            <w:r>
              <w:rPr>
                <w:spacing w:val="-1"/>
              </w:rPr>
              <w:t>3.</w:t>
            </w:r>
            <w:r>
              <w:rPr>
                <w:spacing w:val="90"/>
              </w:rPr>
              <w:t xml:space="preserve"> </w:t>
            </w:r>
            <w:r>
              <w:rPr>
                <w:spacing w:val="-1"/>
              </w:rPr>
              <w:t>作</w:t>
            </w:r>
            <w:r>
              <w:rPr>
                <w:spacing w:val="1"/>
              </w:rPr>
              <w:t>业</w:t>
            </w:r>
          </w:p>
        </w:tc>
        <w:tc>
          <w:tcPr>
            <w:tcW w:w="817" w:type="dxa"/>
            <w:vAlign w:val="top"/>
          </w:tcPr>
          <w:p w14:paraId="22B5C354">
            <w:pPr>
              <w:pStyle w:val="14"/>
              <w:spacing w:before="181" w:line="268" w:lineRule="exact"/>
              <w:ind w:left="116"/>
            </w:pPr>
            <w:r>
              <w:rPr>
                <w:spacing w:val="3"/>
                <w:position w:val="1"/>
              </w:rPr>
              <w:t>C301</w:t>
            </w:r>
          </w:p>
        </w:tc>
        <w:tc>
          <w:tcPr>
            <w:tcW w:w="5323" w:type="dxa"/>
            <w:vAlign w:val="top"/>
          </w:tcPr>
          <w:p w14:paraId="5D42538E">
            <w:pPr>
              <w:pStyle w:val="14"/>
              <w:spacing w:before="46" w:line="238" w:lineRule="auto"/>
              <w:ind w:left="116" w:right="111"/>
            </w:pPr>
            <w:r>
              <w:rPr>
                <w:spacing w:val="12"/>
              </w:rPr>
              <w:t>施工临时用电未按规定执行，存在违规作业行为，且不</w:t>
            </w:r>
            <w:r>
              <w:rPr>
                <w:spacing w:val="6"/>
              </w:rPr>
              <w:t>及时整改。</w:t>
            </w:r>
          </w:p>
        </w:tc>
        <w:tc>
          <w:tcPr>
            <w:tcW w:w="1103" w:type="dxa"/>
            <w:vAlign w:val="top"/>
          </w:tcPr>
          <w:p w14:paraId="0DA92FF6">
            <w:pPr>
              <w:pStyle w:val="14"/>
              <w:spacing w:before="180" w:line="228" w:lineRule="auto"/>
              <w:ind w:left="121"/>
            </w:pPr>
            <w:r>
              <w:rPr>
                <w:spacing w:val="4"/>
              </w:rPr>
              <w:t>元/次</w:t>
            </w:r>
          </w:p>
        </w:tc>
        <w:tc>
          <w:tcPr>
            <w:tcW w:w="1284" w:type="dxa"/>
            <w:vAlign w:val="top"/>
          </w:tcPr>
          <w:p w14:paraId="0E71E701">
            <w:pPr>
              <w:pStyle w:val="14"/>
              <w:spacing w:before="181" w:line="225" w:lineRule="auto"/>
              <w:ind w:left="123"/>
            </w:pPr>
            <w:r>
              <w:rPr>
                <w:spacing w:val="2"/>
              </w:rPr>
              <w:t>2,000</w:t>
            </w:r>
          </w:p>
        </w:tc>
      </w:tr>
      <w:tr w14:paraId="79BDA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4A790058">
            <w:pPr>
              <w:rPr>
                <w:rFonts w:ascii="Arial"/>
                <w:sz w:val="21"/>
              </w:rPr>
            </w:pPr>
          </w:p>
        </w:tc>
        <w:tc>
          <w:tcPr>
            <w:tcW w:w="827" w:type="dxa"/>
            <w:vMerge w:val="continue"/>
            <w:tcBorders>
              <w:top w:val="nil"/>
              <w:bottom w:val="nil"/>
            </w:tcBorders>
            <w:vAlign w:val="top"/>
          </w:tcPr>
          <w:p w14:paraId="38671AB4">
            <w:pPr>
              <w:rPr>
                <w:rFonts w:ascii="Arial"/>
                <w:sz w:val="21"/>
              </w:rPr>
            </w:pPr>
          </w:p>
        </w:tc>
        <w:tc>
          <w:tcPr>
            <w:tcW w:w="817" w:type="dxa"/>
            <w:vAlign w:val="top"/>
          </w:tcPr>
          <w:p w14:paraId="2B918CC7">
            <w:pPr>
              <w:pStyle w:val="14"/>
              <w:spacing w:before="182" w:line="269" w:lineRule="exact"/>
              <w:ind w:left="116"/>
            </w:pPr>
            <w:r>
              <w:rPr>
                <w:spacing w:val="3"/>
                <w:position w:val="1"/>
              </w:rPr>
              <w:t>C302</w:t>
            </w:r>
          </w:p>
        </w:tc>
        <w:tc>
          <w:tcPr>
            <w:tcW w:w="5323" w:type="dxa"/>
            <w:vAlign w:val="top"/>
          </w:tcPr>
          <w:p w14:paraId="52C135A3">
            <w:pPr>
              <w:pStyle w:val="14"/>
              <w:spacing w:before="46" w:line="238" w:lineRule="auto"/>
              <w:ind w:left="116" w:right="111" w:firstLine="1"/>
            </w:pPr>
            <w:r>
              <w:rPr>
                <w:spacing w:val="12"/>
              </w:rPr>
              <w:t>动火等特殊作业未办理作业票或作业未按规定执行，存</w:t>
            </w:r>
            <w:r>
              <w:rPr>
                <w:spacing w:val="7"/>
              </w:rPr>
              <w:t>在违规作业行为的。</w:t>
            </w:r>
          </w:p>
        </w:tc>
        <w:tc>
          <w:tcPr>
            <w:tcW w:w="1103" w:type="dxa"/>
            <w:vAlign w:val="top"/>
          </w:tcPr>
          <w:p w14:paraId="035E619D">
            <w:pPr>
              <w:pStyle w:val="14"/>
              <w:spacing w:before="182" w:line="228" w:lineRule="auto"/>
              <w:ind w:left="121"/>
            </w:pPr>
            <w:r>
              <w:rPr>
                <w:spacing w:val="4"/>
              </w:rPr>
              <w:t>元/次</w:t>
            </w:r>
          </w:p>
        </w:tc>
        <w:tc>
          <w:tcPr>
            <w:tcW w:w="1284" w:type="dxa"/>
            <w:vAlign w:val="top"/>
          </w:tcPr>
          <w:p w14:paraId="77775BBE">
            <w:pPr>
              <w:pStyle w:val="14"/>
              <w:spacing w:before="182" w:line="225" w:lineRule="auto"/>
              <w:ind w:left="123"/>
            </w:pPr>
            <w:r>
              <w:rPr>
                <w:spacing w:val="3"/>
              </w:rPr>
              <w:t>2,000</w:t>
            </w:r>
          </w:p>
        </w:tc>
      </w:tr>
      <w:tr w14:paraId="4B8A5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585236D5">
            <w:pPr>
              <w:rPr>
                <w:rFonts w:ascii="Arial"/>
                <w:sz w:val="21"/>
              </w:rPr>
            </w:pPr>
          </w:p>
        </w:tc>
        <w:tc>
          <w:tcPr>
            <w:tcW w:w="827" w:type="dxa"/>
            <w:vMerge w:val="continue"/>
            <w:tcBorders>
              <w:top w:val="nil"/>
              <w:bottom w:val="nil"/>
            </w:tcBorders>
            <w:vAlign w:val="top"/>
          </w:tcPr>
          <w:p w14:paraId="4597A99A">
            <w:pPr>
              <w:rPr>
                <w:rFonts w:ascii="Arial"/>
                <w:sz w:val="21"/>
              </w:rPr>
            </w:pPr>
          </w:p>
        </w:tc>
        <w:tc>
          <w:tcPr>
            <w:tcW w:w="817" w:type="dxa"/>
            <w:vAlign w:val="top"/>
          </w:tcPr>
          <w:p w14:paraId="2DFC367F">
            <w:pPr>
              <w:pStyle w:val="14"/>
              <w:spacing w:before="181" w:line="269" w:lineRule="exact"/>
              <w:ind w:left="116"/>
            </w:pPr>
            <w:r>
              <w:rPr>
                <w:spacing w:val="3"/>
                <w:position w:val="1"/>
              </w:rPr>
              <w:t>C303</w:t>
            </w:r>
          </w:p>
        </w:tc>
        <w:tc>
          <w:tcPr>
            <w:tcW w:w="5323" w:type="dxa"/>
            <w:vAlign w:val="top"/>
          </w:tcPr>
          <w:p w14:paraId="384AAEBC">
            <w:pPr>
              <w:pStyle w:val="14"/>
              <w:spacing w:before="181" w:line="228" w:lineRule="auto"/>
              <w:ind w:left="116"/>
            </w:pPr>
            <w:r>
              <w:rPr>
                <w:spacing w:val="8"/>
              </w:rPr>
              <w:t>施工作业违反安全操作规程且不及时纠正。</w:t>
            </w:r>
          </w:p>
        </w:tc>
        <w:tc>
          <w:tcPr>
            <w:tcW w:w="1103" w:type="dxa"/>
            <w:vAlign w:val="top"/>
          </w:tcPr>
          <w:p w14:paraId="636B08B0">
            <w:pPr>
              <w:pStyle w:val="14"/>
              <w:spacing w:before="181" w:line="228" w:lineRule="auto"/>
              <w:ind w:left="121"/>
            </w:pPr>
            <w:r>
              <w:rPr>
                <w:spacing w:val="4"/>
              </w:rPr>
              <w:t>元/次</w:t>
            </w:r>
          </w:p>
        </w:tc>
        <w:tc>
          <w:tcPr>
            <w:tcW w:w="1284" w:type="dxa"/>
            <w:vAlign w:val="top"/>
          </w:tcPr>
          <w:p w14:paraId="1131D644">
            <w:pPr>
              <w:pStyle w:val="14"/>
              <w:spacing w:before="181" w:line="225" w:lineRule="auto"/>
              <w:ind w:left="136"/>
            </w:pPr>
            <w:r>
              <w:t>1,000</w:t>
            </w:r>
          </w:p>
        </w:tc>
      </w:tr>
      <w:tr w14:paraId="1A3CCC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2CB373E8">
            <w:pPr>
              <w:rPr>
                <w:rFonts w:ascii="Arial"/>
                <w:sz w:val="21"/>
              </w:rPr>
            </w:pPr>
          </w:p>
        </w:tc>
        <w:tc>
          <w:tcPr>
            <w:tcW w:w="827" w:type="dxa"/>
            <w:vMerge w:val="continue"/>
            <w:tcBorders>
              <w:top w:val="nil"/>
              <w:bottom w:val="nil"/>
            </w:tcBorders>
            <w:vAlign w:val="top"/>
          </w:tcPr>
          <w:p w14:paraId="6C38E998">
            <w:pPr>
              <w:rPr>
                <w:rFonts w:ascii="Arial"/>
                <w:sz w:val="21"/>
              </w:rPr>
            </w:pPr>
          </w:p>
        </w:tc>
        <w:tc>
          <w:tcPr>
            <w:tcW w:w="817" w:type="dxa"/>
            <w:vAlign w:val="top"/>
          </w:tcPr>
          <w:p w14:paraId="4B705822">
            <w:pPr>
              <w:pStyle w:val="14"/>
              <w:spacing w:before="183" w:line="268" w:lineRule="exact"/>
              <w:ind w:left="116"/>
            </w:pPr>
            <w:r>
              <w:rPr>
                <w:spacing w:val="3"/>
                <w:position w:val="1"/>
              </w:rPr>
              <w:t>C304</w:t>
            </w:r>
          </w:p>
        </w:tc>
        <w:tc>
          <w:tcPr>
            <w:tcW w:w="5323" w:type="dxa"/>
            <w:vAlign w:val="top"/>
          </w:tcPr>
          <w:p w14:paraId="7B013387">
            <w:pPr>
              <w:pStyle w:val="14"/>
              <w:spacing w:before="46" w:line="238" w:lineRule="auto"/>
              <w:ind w:left="118" w:right="111" w:hanging="2"/>
            </w:pPr>
            <w:r>
              <w:rPr>
                <w:spacing w:val="12"/>
              </w:rPr>
              <w:t>爆破作业及其它作业未按照专项方案内容进行，违反施</w:t>
            </w:r>
            <w:r>
              <w:rPr>
                <w:spacing w:val="8"/>
              </w:rPr>
              <w:t>工安全技术规程或未采取保护措施。</w:t>
            </w:r>
          </w:p>
        </w:tc>
        <w:tc>
          <w:tcPr>
            <w:tcW w:w="1103" w:type="dxa"/>
            <w:vAlign w:val="top"/>
          </w:tcPr>
          <w:p w14:paraId="717A5DB6">
            <w:pPr>
              <w:pStyle w:val="14"/>
              <w:spacing w:before="182" w:line="228" w:lineRule="auto"/>
              <w:ind w:left="121"/>
            </w:pPr>
            <w:r>
              <w:rPr>
                <w:spacing w:val="4"/>
              </w:rPr>
              <w:t>元/次</w:t>
            </w:r>
          </w:p>
        </w:tc>
        <w:tc>
          <w:tcPr>
            <w:tcW w:w="1284" w:type="dxa"/>
            <w:vAlign w:val="top"/>
          </w:tcPr>
          <w:p w14:paraId="14AD0389">
            <w:pPr>
              <w:pStyle w:val="14"/>
              <w:spacing w:before="182" w:line="225" w:lineRule="auto"/>
              <w:ind w:left="123"/>
            </w:pPr>
            <w:r>
              <w:rPr>
                <w:spacing w:val="2"/>
              </w:rPr>
              <w:t>2,000</w:t>
            </w:r>
          </w:p>
        </w:tc>
      </w:tr>
      <w:tr w14:paraId="71922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69F9855D">
            <w:pPr>
              <w:rPr>
                <w:rFonts w:ascii="Arial"/>
                <w:sz w:val="21"/>
              </w:rPr>
            </w:pPr>
          </w:p>
        </w:tc>
        <w:tc>
          <w:tcPr>
            <w:tcW w:w="827" w:type="dxa"/>
            <w:vMerge w:val="continue"/>
            <w:tcBorders>
              <w:top w:val="nil"/>
              <w:bottom w:val="nil"/>
            </w:tcBorders>
            <w:vAlign w:val="top"/>
          </w:tcPr>
          <w:p w14:paraId="59166BB3">
            <w:pPr>
              <w:rPr>
                <w:rFonts w:ascii="Arial"/>
                <w:sz w:val="21"/>
              </w:rPr>
            </w:pPr>
          </w:p>
        </w:tc>
        <w:tc>
          <w:tcPr>
            <w:tcW w:w="817" w:type="dxa"/>
            <w:vAlign w:val="top"/>
          </w:tcPr>
          <w:p w14:paraId="7A3D0782">
            <w:pPr>
              <w:pStyle w:val="14"/>
              <w:spacing w:before="182" w:line="268" w:lineRule="exact"/>
              <w:ind w:left="116"/>
            </w:pPr>
            <w:r>
              <w:rPr>
                <w:spacing w:val="3"/>
                <w:position w:val="1"/>
              </w:rPr>
              <w:t>C305</w:t>
            </w:r>
          </w:p>
        </w:tc>
        <w:tc>
          <w:tcPr>
            <w:tcW w:w="5323" w:type="dxa"/>
            <w:vAlign w:val="top"/>
          </w:tcPr>
          <w:p w14:paraId="2477E167">
            <w:pPr>
              <w:pStyle w:val="14"/>
              <w:spacing w:before="181" w:line="228" w:lineRule="auto"/>
              <w:ind w:left="116"/>
            </w:pPr>
            <w:r>
              <w:rPr>
                <w:spacing w:val="8"/>
              </w:rPr>
              <w:t>野蛮施工导致水利枢纽设施损坏（破坏）</w:t>
            </w:r>
          </w:p>
        </w:tc>
        <w:tc>
          <w:tcPr>
            <w:tcW w:w="1103" w:type="dxa"/>
            <w:vAlign w:val="top"/>
          </w:tcPr>
          <w:p w14:paraId="3C86BEB2">
            <w:pPr>
              <w:pStyle w:val="14"/>
              <w:spacing w:before="182" w:line="228" w:lineRule="auto"/>
              <w:ind w:left="121"/>
            </w:pPr>
            <w:r>
              <w:rPr>
                <w:spacing w:val="4"/>
              </w:rPr>
              <w:t>元/宗</w:t>
            </w:r>
          </w:p>
        </w:tc>
        <w:tc>
          <w:tcPr>
            <w:tcW w:w="1284" w:type="dxa"/>
            <w:vAlign w:val="top"/>
          </w:tcPr>
          <w:p w14:paraId="3F4835BA">
            <w:pPr>
              <w:pStyle w:val="14"/>
              <w:spacing w:before="181" w:line="225" w:lineRule="auto"/>
              <w:ind w:left="124"/>
            </w:pPr>
            <w:r>
              <w:rPr>
                <w:spacing w:val="2"/>
              </w:rPr>
              <w:t>5,000</w:t>
            </w:r>
          </w:p>
        </w:tc>
      </w:tr>
      <w:tr w14:paraId="37664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3124FD6E">
            <w:pPr>
              <w:rPr>
                <w:rFonts w:ascii="Arial"/>
                <w:sz w:val="21"/>
              </w:rPr>
            </w:pPr>
          </w:p>
        </w:tc>
        <w:tc>
          <w:tcPr>
            <w:tcW w:w="827" w:type="dxa"/>
            <w:vMerge w:val="continue"/>
            <w:tcBorders>
              <w:top w:val="nil"/>
              <w:bottom w:val="nil"/>
            </w:tcBorders>
            <w:vAlign w:val="top"/>
          </w:tcPr>
          <w:p w14:paraId="48D0E6F6">
            <w:pPr>
              <w:rPr>
                <w:rFonts w:ascii="Arial"/>
                <w:sz w:val="21"/>
              </w:rPr>
            </w:pPr>
          </w:p>
        </w:tc>
        <w:tc>
          <w:tcPr>
            <w:tcW w:w="817" w:type="dxa"/>
            <w:vAlign w:val="top"/>
          </w:tcPr>
          <w:p w14:paraId="3A4D64FB">
            <w:pPr>
              <w:pStyle w:val="14"/>
              <w:spacing w:before="183" w:line="268" w:lineRule="exact"/>
              <w:ind w:left="116"/>
            </w:pPr>
            <w:r>
              <w:rPr>
                <w:spacing w:val="3"/>
                <w:position w:val="1"/>
              </w:rPr>
              <w:t>C306</w:t>
            </w:r>
          </w:p>
        </w:tc>
        <w:tc>
          <w:tcPr>
            <w:tcW w:w="5323" w:type="dxa"/>
            <w:vAlign w:val="top"/>
          </w:tcPr>
          <w:p w14:paraId="1264CEBB">
            <w:pPr>
              <w:pStyle w:val="14"/>
              <w:spacing w:before="46" w:line="238" w:lineRule="auto"/>
              <w:ind w:left="118" w:right="111" w:hanging="2"/>
            </w:pPr>
            <w:r>
              <w:rPr>
                <w:spacing w:val="12"/>
              </w:rPr>
              <w:t>拆除、交叉、起重吊装等特殊作业未按施工方案组织施</w:t>
            </w:r>
            <w:r>
              <w:rPr>
                <w:spacing w:val="8"/>
              </w:rPr>
              <w:t>工，无安全员值守，无设置安全警戒区域。</w:t>
            </w:r>
          </w:p>
        </w:tc>
        <w:tc>
          <w:tcPr>
            <w:tcW w:w="1103" w:type="dxa"/>
            <w:vAlign w:val="top"/>
          </w:tcPr>
          <w:p w14:paraId="0B3AE9ED">
            <w:pPr>
              <w:pStyle w:val="14"/>
              <w:spacing w:before="183" w:line="228" w:lineRule="auto"/>
              <w:ind w:left="121"/>
            </w:pPr>
            <w:r>
              <w:rPr>
                <w:spacing w:val="4"/>
              </w:rPr>
              <w:t>元/次</w:t>
            </w:r>
          </w:p>
        </w:tc>
        <w:tc>
          <w:tcPr>
            <w:tcW w:w="1284" w:type="dxa"/>
            <w:vAlign w:val="top"/>
          </w:tcPr>
          <w:p w14:paraId="4FD9E3E6">
            <w:pPr>
              <w:pStyle w:val="14"/>
              <w:spacing w:before="183" w:line="225" w:lineRule="auto"/>
              <w:ind w:left="124"/>
            </w:pPr>
            <w:r>
              <w:rPr>
                <w:spacing w:val="2"/>
              </w:rPr>
              <w:t>3,000</w:t>
            </w:r>
          </w:p>
        </w:tc>
      </w:tr>
      <w:tr w14:paraId="07339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616" w:type="dxa"/>
            <w:vMerge w:val="continue"/>
            <w:tcBorders>
              <w:top w:val="nil"/>
              <w:bottom w:val="nil"/>
            </w:tcBorders>
            <w:vAlign w:val="top"/>
          </w:tcPr>
          <w:p w14:paraId="2A8997DA">
            <w:pPr>
              <w:rPr>
                <w:rFonts w:ascii="Arial"/>
                <w:sz w:val="21"/>
              </w:rPr>
            </w:pPr>
          </w:p>
        </w:tc>
        <w:tc>
          <w:tcPr>
            <w:tcW w:w="827" w:type="dxa"/>
            <w:vMerge w:val="continue"/>
            <w:tcBorders>
              <w:top w:val="nil"/>
              <w:bottom w:val="nil"/>
            </w:tcBorders>
            <w:vAlign w:val="top"/>
          </w:tcPr>
          <w:p w14:paraId="498B00A6">
            <w:pPr>
              <w:rPr>
                <w:rFonts w:ascii="Arial"/>
                <w:sz w:val="21"/>
              </w:rPr>
            </w:pPr>
          </w:p>
        </w:tc>
        <w:tc>
          <w:tcPr>
            <w:tcW w:w="817" w:type="dxa"/>
            <w:vAlign w:val="top"/>
          </w:tcPr>
          <w:p w14:paraId="08512B33">
            <w:pPr>
              <w:rPr>
                <w:rFonts w:ascii="Arial"/>
                <w:sz w:val="21"/>
              </w:rPr>
            </w:pPr>
          </w:p>
          <w:p w14:paraId="51BC320D">
            <w:pPr>
              <w:pStyle w:val="14"/>
              <w:spacing w:before="65" w:line="269" w:lineRule="exact"/>
              <w:ind w:left="116"/>
            </w:pPr>
            <w:r>
              <w:rPr>
                <w:spacing w:val="3"/>
                <w:position w:val="1"/>
              </w:rPr>
              <w:t>C307</w:t>
            </w:r>
          </w:p>
        </w:tc>
        <w:tc>
          <w:tcPr>
            <w:tcW w:w="5323" w:type="dxa"/>
            <w:vAlign w:val="top"/>
          </w:tcPr>
          <w:p w14:paraId="35CD8D1F">
            <w:pPr>
              <w:pStyle w:val="14"/>
              <w:spacing w:before="37" w:line="238" w:lineRule="auto"/>
              <w:ind w:left="118" w:right="111"/>
              <w:jc w:val="both"/>
            </w:pPr>
            <w:r>
              <w:rPr>
                <w:spacing w:val="21"/>
              </w:rPr>
              <w:t>危险性较大的分部分项工程施工时未落实安全专项方</w:t>
            </w:r>
            <w:r>
              <w:rPr>
                <w:spacing w:val="12"/>
              </w:rPr>
              <w:t>案，无安全和技术人员值守，项目技术负责人未定</w:t>
            </w:r>
            <w:r>
              <w:rPr>
                <w:spacing w:val="11"/>
              </w:rPr>
              <w:t>期巡</w:t>
            </w:r>
            <w:r>
              <w:rPr>
                <w:spacing w:val="7"/>
              </w:rPr>
              <w:t>查专项方案实施情况。</w:t>
            </w:r>
          </w:p>
        </w:tc>
        <w:tc>
          <w:tcPr>
            <w:tcW w:w="1103" w:type="dxa"/>
            <w:vAlign w:val="top"/>
          </w:tcPr>
          <w:p w14:paraId="5D07122D">
            <w:pPr>
              <w:rPr>
                <w:rFonts w:ascii="Arial"/>
                <w:sz w:val="21"/>
              </w:rPr>
            </w:pPr>
          </w:p>
          <w:p w14:paraId="62AB4CEC">
            <w:pPr>
              <w:pStyle w:val="14"/>
              <w:spacing w:before="65" w:line="228" w:lineRule="auto"/>
              <w:ind w:left="121"/>
            </w:pPr>
            <w:r>
              <w:rPr>
                <w:spacing w:val="4"/>
              </w:rPr>
              <w:t>元/次</w:t>
            </w:r>
          </w:p>
        </w:tc>
        <w:tc>
          <w:tcPr>
            <w:tcW w:w="1284" w:type="dxa"/>
            <w:vAlign w:val="top"/>
          </w:tcPr>
          <w:p w14:paraId="363F03EB">
            <w:pPr>
              <w:rPr>
                <w:rFonts w:ascii="Arial"/>
                <w:sz w:val="21"/>
              </w:rPr>
            </w:pPr>
          </w:p>
          <w:p w14:paraId="6F8B069F">
            <w:pPr>
              <w:pStyle w:val="14"/>
              <w:spacing w:before="65" w:line="225" w:lineRule="auto"/>
              <w:ind w:left="124"/>
            </w:pPr>
            <w:r>
              <w:rPr>
                <w:spacing w:val="2"/>
              </w:rPr>
              <w:t>5,000</w:t>
            </w:r>
          </w:p>
        </w:tc>
      </w:tr>
      <w:tr w14:paraId="5DFFC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3738C3FB">
            <w:pPr>
              <w:rPr>
                <w:rFonts w:ascii="Arial"/>
                <w:sz w:val="21"/>
              </w:rPr>
            </w:pPr>
          </w:p>
        </w:tc>
        <w:tc>
          <w:tcPr>
            <w:tcW w:w="827" w:type="dxa"/>
            <w:vMerge w:val="continue"/>
            <w:tcBorders>
              <w:top w:val="nil"/>
              <w:bottom w:val="nil"/>
            </w:tcBorders>
            <w:vAlign w:val="top"/>
          </w:tcPr>
          <w:p w14:paraId="77E2E7A2">
            <w:pPr>
              <w:rPr>
                <w:rFonts w:ascii="Arial"/>
                <w:sz w:val="21"/>
              </w:rPr>
            </w:pPr>
          </w:p>
        </w:tc>
        <w:tc>
          <w:tcPr>
            <w:tcW w:w="817" w:type="dxa"/>
            <w:vAlign w:val="top"/>
          </w:tcPr>
          <w:p w14:paraId="3DD8BB9C">
            <w:pPr>
              <w:pStyle w:val="14"/>
              <w:spacing w:before="184" w:line="268" w:lineRule="exact"/>
              <w:ind w:left="116"/>
            </w:pPr>
            <w:r>
              <w:rPr>
                <w:spacing w:val="3"/>
                <w:position w:val="1"/>
              </w:rPr>
              <w:t>C308</w:t>
            </w:r>
          </w:p>
        </w:tc>
        <w:tc>
          <w:tcPr>
            <w:tcW w:w="5323" w:type="dxa"/>
            <w:vAlign w:val="top"/>
          </w:tcPr>
          <w:p w14:paraId="4E11910C">
            <w:pPr>
              <w:pStyle w:val="14"/>
              <w:spacing w:before="48" w:line="237" w:lineRule="auto"/>
              <w:ind w:left="124" w:right="111" w:hanging="2"/>
            </w:pPr>
            <w:r>
              <w:rPr>
                <w:spacing w:val="11"/>
              </w:rPr>
              <w:t>高处作业施工未搭设脚手架及作业平台，未设置作业人</w:t>
            </w:r>
            <w:r>
              <w:rPr>
                <w:spacing w:val="8"/>
              </w:rPr>
              <w:t>员安全作业空间，未设置人员专用上下通道。</w:t>
            </w:r>
          </w:p>
        </w:tc>
        <w:tc>
          <w:tcPr>
            <w:tcW w:w="1103" w:type="dxa"/>
            <w:vAlign w:val="top"/>
          </w:tcPr>
          <w:p w14:paraId="1EA85323">
            <w:pPr>
              <w:pStyle w:val="14"/>
              <w:spacing w:before="184" w:line="228" w:lineRule="auto"/>
              <w:ind w:left="121"/>
            </w:pPr>
            <w:r>
              <w:rPr>
                <w:spacing w:val="4"/>
              </w:rPr>
              <w:t>元/次</w:t>
            </w:r>
          </w:p>
        </w:tc>
        <w:tc>
          <w:tcPr>
            <w:tcW w:w="1284" w:type="dxa"/>
            <w:vAlign w:val="top"/>
          </w:tcPr>
          <w:p w14:paraId="79FC009B">
            <w:pPr>
              <w:pStyle w:val="14"/>
              <w:spacing w:before="184" w:line="225" w:lineRule="auto"/>
              <w:ind w:left="124"/>
            </w:pPr>
            <w:r>
              <w:rPr>
                <w:spacing w:val="2"/>
              </w:rPr>
              <w:t>5,000</w:t>
            </w:r>
          </w:p>
        </w:tc>
      </w:tr>
      <w:tr w14:paraId="640FD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154846AF">
            <w:pPr>
              <w:rPr>
                <w:rFonts w:ascii="Arial"/>
                <w:sz w:val="21"/>
              </w:rPr>
            </w:pPr>
          </w:p>
        </w:tc>
        <w:tc>
          <w:tcPr>
            <w:tcW w:w="827" w:type="dxa"/>
            <w:vMerge w:val="continue"/>
            <w:tcBorders>
              <w:top w:val="nil"/>
              <w:bottom w:val="nil"/>
            </w:tcBorders>
            <w:vAlign w:val="top"/>
          </w:tcPr>
          <w:p w14:paraId="133A840F">
            <w:pPr>
              <w:rPr>
                <w:rFonts w:ascii="Arial"/>
                <w:sz w:val="21"/>
              </w:rPr>
            </w:pPr>
          </w:p>
        </w:tc>
        <w:tc>
          <w:tcPr>
            <w:tcW w:w="817" w:type="dxa"/>
            <w:vAlign w:val="top"/>
          </w:tcPr>
          <w:p w14:paraId="32165C25">
            <w:pPr>
              <w:pStyle w:val="14"/>
              <w:spacing w:before="183" w:line="268" w:lineRule="exact"/>
              <w:ind w:left="116"/>
            </w:pPr>
            <w:r>
              <w:rPr>
                <w:spacing w:val="3"/>
                <w:position w:val="1"/>
              </w:rPr>
              <w:t>C309</w:t>
            </w:r>
          </w:p>
        </w:tc>
        <w:tc>
          <w:tcPr>
            <w:tcW w:w="5323" w:type="dxa"/>
            <w:vAlign w:val="top"/>
          </w:tcPr>
          <w:p w14:paraId="74E510CC">
            <w:pPr>
              <w:pStyle w:val="14"/>
              <w:spacing w:before="46" w:line="238" w:lineRule="auto"/>
              <w:ind w:left="119" w:right="111"/>
            </w:pPr>
            <w:r>
              <w:rPr>
                <w:spacing w:val="12"/>
              </w:rPr>
              <w:t>水上水下作业未办理水上水下作业许可，未编制</w:t>
            </w:r>
            <w:r>
              <w:rPr>
                <w:spacing w:val="11"/>
              </w:rPr>
              <w:t>安全专</w:t>
            </w:r>
            <w:r>
              <w:rPr>
                <w:spacing w:val="8"/>
              </w:rPr>
              <w:t>项方案，未落实安全技术交底。</w:t>
            </w:r>
          </w:p>
        </w:tc>
        <w:tc>
          <w:tcPr>
            <w:tcW w:w="1103" w:type="dxa"/>
            <w:vAlign w:val="top"/>
          </w:tcPr>
          <w:p w14:paraId="5CACED3E">
            <w:pPr>
              <w:pStyle w:val="14"/>
              <w:spacing w:before="183" w:line="228" w:lineRule="auto"/>
              <w:ind w:left="121"/>
            </w:pPr>
            <w:r>
              <w:rPr>
                <w:spacing w:val="4"/>
              </w:rPr>
              <w:t>元/次</w:t>
            </w:r>
          </w:p>
        </w:tc>
        <w:tc>
          <w:tcPr>
            <w:tcW w:w="1284" w:type="dxa"/>
            <w:vAlign w:val="top"/>
          </w:tcPr>
          <w:p w14:paraId="62D7187D">
            <w:pPr>
              <w:pStyle w:val="14"/>
              <w:spacing w:before="183" w:line="225" w:lineRule="auto"/>
              <w:ind w:left="123"/>
            </w:pPr>
            <w:r>
              <w:rPr>
                <w:spacing w:val="2"/>
              </w:rPr>
              <w:t>2,000</w:t>
            </w:r>
          </w:p>
        </w:tc>
      </w:tr>
      <w:tr w14:paraId="3CAF86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5A204550">
            <w:pPr>
              <w:rPr>
                <w:rFonts w:ascii="Arial"/>
                <w:sz w:val="21"/>
              </w:rPr>
            </w:pPr>
          </w:p>
        </w:tc>
        <w:tc>
          <w:tcPr>
            <w:tcW w:w="827" w:type="dxa"/>
            <w:vMerge w:val="continue"/>
            <w:tcBorders>
              <w:top w:val="nil"/>
              <w:bottom w:val="nil"/>
            </w:tcBorders>
            <w:vAlign w:val="top"/>
          </w:tcPr>
          <w:p w14:paraId="0A0D87D2">
            <w:pPr>
              <w:rPr>
                <w:rFonts w:ascii="Arial"/>
                <w:sz w:val="21"/>
              </w:rPr>
            </w:pPr>
          </w:p>
        </w:tc>
        <w:tc>
          <w:tcPr>
            <w:tcW w:w="817" w:type="dxa"/>
            <w:vAlign w:val="top"/>
          </w:tcPr>
          <w:p w14:paraId="04FF6406">
            <w:pPr>
              <w:pStyle w:val="14"/>
              <w:spacing w:before="182" w:line="268" w:lineRule="exact"/>
              <w:ind w:left="116"/>
            </w:pPr>
            <w:r>
              <w:rPr>
                <w:spacing w:val="3"/>
                <w:position w:val="1"/>
              </w:rPr>
              <w:t>C310</w:t>
            </w:r>
          </w:p>
        </w:tc>
        <w:tc>
          <w:tcPr>
            <w:tcW w:w="5323" w:type="dxa"/>
            <w:vAlign w:val="top"/>
          </w:tcPr>
          <w:p w14:paraId="42329B65">
            <w:pPr>
              <w:pStyle w:val="14"/>
              <w:spacing w:before="48" w:line="237" w:lineRule="auto"/>
              <w:ind w:left="132" w:right="111" w:hanging="10"/>
            </w:pPr>
            <w:r>
              <w:rPr>
                <w:spacing w:val="11"/>
              </w:rPr>
              <w:t>高处和临边作业施工未按规定设置安全防护栏杆及安全</w:t>
            </w:r>
            <w:r>
              <w:t>网</w:t>
            </w:r>
          </w:p>
        </w:tc>
        <w:tc>
          <w:tcPr>
            <w:tcW w:w="1103" w:type="dxa"/>
            <w:vAlign w:val="top"/>
          </w:tcPr>
          <w:p w14:paraId="3A3BA239">
            <w:pPr>
              <w:pStyle w:val="14"/>
              <w:spacing w:before="182" w:line="228" w:lineRule="auto"/>
              <w:ind w:left="121"/>
            </w:pPr>
            <w:r>
              <w:rPr>
                <w:spacing w:val="4"/>
              </w:rPr>
              <w:t>元/次</w:t>
            </w:r>
          </w:p>
        </w:tc>
        <w:tc>
          <w:tcPr>
            <w:tcW w:w="1284" w:type="dxa"/>
            <w:vAlign w:val="top"/>
          </w:tcPr>
          <w:p w14:paraId="57A732CF">
            <w:pPr>
              <w:pStyle w:val="14"/>
              <w:spacing w:before="182" w:line="225" w:lineRule="auto"/>
              <w:ind w:left="123"/>
            </w:pPr>
            <w:r>
              <w:rPr>
                <w:spacing w:val="2"/>
              </w:rPr>
              <w:t>2,000</w:t>
            </w:r>
          </w:p>
        </w:tc>
      </w:tr>
      <w:tr w14:paraId="364B1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54C1EA5F">
            <w:pPr>
              <w:rPr>
                <w:rFonts w:ascii="Arial"/>
                <w:sz w:val="21"/>
              </w:rPr>
            </w:pPr>
          </w:p>
        </w:tc>
        <w:tc>
          <w:tcPr>
            <w:tcW w:w="827" w:type="dxa"/>
            <w:vMerge w:val="continue"/>
            <w:tcBorders>
              <w:top w:val="nil"/>
            </w:tcBorders>
            <w:vAlign w:val="top"/>
          </w:tcPr>
          <w:p w14:paraId="113BC190">
            <w:pPr>
              <w:rPr>
                <w:rFonts w:ascii="Arial"/>
                <w:sz w:val="21"/>
              </w:rPr>
            </w:pPr>
          </w:p>
        </w:tc>
        <w:tc>
          <w:tcPr>
            <w:tcW w:w="817" w:type="dxa"/>
            <w:vAlign w:val="top"/>
          </w:tcPr>
          <w:p w14:paraId="73C9A59D">
            <w:pPr>
              <w:pStyle w:val="14"/>
              <w:spacing w:before="183" w:line="269" w:lineRule="exact"/>
              <w:ind w:left="116"/>
            </w:pPr>
            <w:r>
              <w:rPr>
                <w:spacing w:val="3"/>
                <w:position w:val="1"/>
              </w:rPr>
              <w:t>C311</w:t>
            </w:r>
          </w:p>
        </w:tc>
        <w:tc>
          <w:tcPr>
            <w:tcW w:w="5323" w:type="dxa"/>
            <w:vAlign w:val="top"/>
          </w:tcPr>
          <w:p w14:paraId="33C76B2F">
            <w:pPr>
              <w:pStyle w:val="14"/>
              <w:spacing w:before="46" w:line="238" w:lineRule="auto"/>
              <w:ind w:left="119" w:right="111" w:hanging="3"/>
            </w:pPr>
            <w:r>
              <w:rPr>
                <w:spacing w:val="12"/>
              </w:rPr>
              <w:t>施工船舶、机械等特种设备安全防护配置不足或未配置</w:t>
            </w:r>
            <w:r>
              <w:rPr>
                <w:spacing w:val="4"/>
              </w:rPr>
              <w:t>或失效。</w:t>
            </w:r>
          </w:p>
        </w:tc>
        <w:tc>
          <w:tcPr>
            <w:tcW w:w="1103" w:type="dxa"/>
            <w:vAlign w:val="top"/>
          </w:tcPr>
          <w:p w14:paraId="15ABCFF1">
            <w:pPr>
              <w:pStyle w:val="14"/>
              <w:spacing w:before="183" w:line="228" w:lineRule="auto"/>
              <w:ind w:left="121"/>
            </w:pPr>
            <w:r>
              <w:rPr>
                <w:spacing w:val="4"/>
              </w:rPr>
              <w:t>元/次</w:t>
            </w:r>
          </w:p>
        </w:tc>
        <w:tc>
          <w:tcPr>
            <w:tcW w:w="1284" w:type="dxa"/>
            <w:vAlign w:val="top"/>
          </w:tcPr>
          <w:p w14:paraId="01A371A7">
            <w:pPr>
              <w:pStyle w:val="14"/>
              <w:spacing w:before="183" w:line="225" w:lineRule="auto"/>
              <w:ind w:left="124"/>
            </w:pPr>
            <w:r>
              <w:rPr>
                <w:spacing w:val="2"/>
              </w:rPr>
              <w:t>3,000</w:t>
            </w:r>
          </w:p>
        </w:tc>
      </w:tr>
      <w:tr w14:paraId="5D77F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073E627A">
            <w:pPr>
              <w:rPr>
                <w:rFonts w:ascii="Arial"/>
                <w:sz w:val="21"/>
              </w:rPr>
            </w:pPr>
          </w:p>
        </w:tc>
        <w:tc>
          <w:tcPr>
            <w:tcW w:w="827" w:type="dxa"/>
            <w:vMerge w:val="restart"/>
            <w:tcBorders>
              <w:bottom w:val="nil"/>
            </w:tcBorders>
            <w:vAlign w:val="top"/>
          </w:tcPr>
          <w:p w14:paraId="61436328">
            <w:pPr>
              <w:spacing w:line="270" w:lineRule="auto"/>
              <w:rPr>
                <w:rFonts w:ascii="Arial"/>
                <w:sz w:val="21"/>
              </w:rPr>
            </w:pPr>
          </w:p>
          <w:p w14:paraId="205EFEA1">
            <w:pPr>
              <w:pStyle w:val="14"/>
              <w:spacing w:before="65" w:line="253" w:lineRule="auto"/>
              <w:ind w:left="116" w:right="113"/>
            </w:pPr>
            <w:r>
              <w:rPr>
                <w:spacing w:val="1"/>
              </w:rPr>
              <w:t>4.</w:t>
            </w:r>
            <w:r>
              <w:rPr>
                <w:spacing w:val="89"/>
              </w:rPr>
              <w:t xml:space="preserve"> </w:t>
            </w:r>
            <w:r>
              <w:rPr>
                <w:spacing w:val="1"/>
              </w:rPr>
              <w:t>措施</w:t>
            </w:r>
          </w:p>
        </w:tc>
        <w:tc>
          <w:tcPr>
            <w:tcW w:w="817" w:type="dxa"/>
            <w:vAlign w:val="top"/>
          </w:tcPr>
          <w:p w14:paraId="07221596">
            <w:pPr>
              <w:pStyle w:val="14"/>
              <w:spacing w:before="182" w:line="269" w:lineRule="exact"/>
              <w:ind w:left="116"/>
            </w:pPr>
            <w:r>
              <w:rPr>
                <w:spacing w:val="3"/>
                <w:position w:val="1"/>
              </w:rPr>
              <w:t>C401</w:t>
            </w:r>
          </w:p>
        </w:tc>
        <w:tc>
          <w:tcPr>
            <w:tcW w:w="5323" w:type="dxa"/>
            <w:vAlign w:val="top"/>
          </w:tcPr>
          <w:p w14:paraId="585579CC">
            <w:pPr>
              <w:pStyle w:val="14"/>
              <w:spacing w:before="48" w:line="237" w:lineRule="auto"/>
              <w:ind w:left="116" w:right="111"/>
            </w:pPr>
            <w:r>
              <w:rPr>
                <w:spacing w:val="12"/>
              </w:rPr>
              <w:t>氧气乙炔、炸药、雷管等易燃易爆物品未按规定地点存</w:t>
            </w:r>
            <w:r>
              <w:rPr>
                <w:spacing w:val="8"/>
              </w:rPr>
              <w:t>放，或未采取预防措施，或未指定责任人。</w:t>
            </w:r>
          </w:p>
        </w:tc>
        <w:tc>
          <w:tcPr>
            <w:tcW w:w="1103" w:type="dxa"/>
            <w:vAlign w:val="top"/>
          </w:tcPr>
          <w:p w14:paraId="70B41DDB">
            <w:pPr>
              <w:pStyle w:val="14"/>
              <w:spacing w:before="182" w:line="228" w:lineRule="auto"/>
              <w:ind w:left="121"/>
            </w:pPr>
            <w:r>
              <w:rPr>
                <w:spacing w:val="4"/>
              </w:rPr>
              <w:t>元/次</w:t>
            </w:r>
          </w:p>
        </w:tc>
        <w:tc>
          <w:tcPr>
            <w:tcW w:w="1284" w:type="dxa"/>
            <w:vAlign w:val="top"/>
          </w:tcPr>
          <w:p w14:paraId="6AB6B0D6">
            <w:pPr>
              <w:pStyle w:val="14"/>
              <w:spacing w:before="182" w:line="225" w:lineRule="auto"/>
              <w:ind w:left="123"/>
            </w:pPr>
            <w:r>
              <w:rPr>
                <w:spacing w:val="2"/>
              </w:rPr>
              <w:t>2,000</w:t>
            </w:r>
          </w:p>
        </w:tc>
      </w:tr>
      <w:tr w14:paraId="360EB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616" w:type="dxa"/>
            <w:vMerge w:val="continue"/>
            <w:tcBorders>
              <w:top w:val="nil"/>
            </w:tcBorders>
            <w:vAlign w:val="top"/>
          </w:tcPr>
          <w:p w14:paraId="143DC17C">
            <w:pPr>
              <w:rPr>
                <w:rFonts w:ascii="Arial"/>
                <w:sz w:val="21"/>
              </w:rPr>
            </w:pPr>
          </w:p>
        </w:tc>
        <w:tc>
          <w:tcPr>
            <w:tcW w:w="827" w:type="dxa"/>
            <w:vMerge w:val="continue"/>
            <w:tcBorders>
              <w:top w:val="nil"/>
            </w:tcBorders>
            <w:vAlign w:val="top"/>
          </w:tcPr>
          <w:p w14:paraId="61B4F5A0">
            <w:pPr>
              <w:rPr>
                <w:rFonts w:ascii="Arial"/>
                <w:sz w:val="21"/>
              </w:rPr>
            </w:pPr>
          </w:p>
        </w:tc>
        <w:tc>
          <w:tcPr>
            <w:tcW w:w="817" w:type="dxa"/>
            <w:vAlign w:val="top"/>
          </w:tcPr>
          <w:p w14:paraId="3447DA3B">
            <w:pPr>
              <w:pStyle w:val="14"/>
              <w:spacing w:before="184" w:line="268" w:lineRule="exact"/>
              <w:ind w:left="116"/>
            </w:pPr>
            <w:r>
              <w:rPr>
                <w:spacing w:val="3"/>
                <w:position w:val="1"/>
              </w:rPr>
              <w:t>C402</w:t>
            </w:r>
          </w:p>
        </w:tc>
        <w:tc>
          <w:tcPr>
            <w:tcW w:w="5323" w:type="dxa"/>
            <w:vAlign w:val="top"/>
          </w:tcPr>
          <w:p w14:paraId="19899A88">
            <w:pPr>
              <w:pStyle w:val="14"/>
              <w:spacing w:before="48" w:line="238" w:lineRule="auto"/>
              <w:ind w:left="116" w:right="40"/>
            </w:pPr>
            <w:r>
              <w:rPr>
                <w:spacing w:val="12"/>
              </w:rPr>
              <w:t>驻地、作业区、仓库、油库及其他易燃易爆工作场所未</w:t>
            </w:r>
            <w:r>
              <w:rPr>
                <w:spacing w:val="6"/>
              </w:rPr>
              <w:t>配备足够数量的消防器材，或仓库管理人员未持证上岗。</w:t>
            </w:r>
          </w:p>
        </w:tc>
        <w:tc>
          <w:tcPr>
            <w:tcW w:w="1103" w:type="dxa"/>
            <w:vAlign w:val="top"/>
          </w:tcPr>
          <w:p w14:paraId="5E3C9BE8">
            <w:pPr>
              <w:pStyle w:val="14"/>
              <w:spacing w:before="184" w:line="228" w:lineRule="auto"/>
              <w:ind w:left="121"/>
            </w:pPr>
            <w:r>
              <w:rPr>
                <w:spacing w:val="4"/>
              </w:rPr>
              <w:t>元/处</w:t>
            </w:r>
          </w:p>
        </w:tc>
        <w:tc>
          <w:tcPr>
            <w:tcW w:w="1284" w:type="dxa"/>
            <w:vAlign w:val="top"/>
          </w:tcPr>
          <w:p w14:paraId="74D34037">
            <w:pPr>
              <w:pStyle w:val="14"/>
              <w:spacing w:before="184" w:line="225" w:lineRule="auto"/>
              <w:ind w:left="123"/>
            </w:pPr>
            <w:r>
              <w:rPr>
                <w:spacing w:val="3"/>
              </w:rPr>
              <w:t>2,000</w:t>
            </w:r>
          </w:p>
        </w:tc>
      </w:tr>
    </w:tbl>
    <w:p w14:paraId="3730D27B">
      <w:pPr>
        <w:rPr>
          <w:rFonts w:ascii="Arial"/>
          <w:sz w:val="21"/>
        </w:rPr>
      </w:pPr>
    </w:p>
    <w:p w14:paraId="73579AE9">
      <w:pPr>
        <w:spacing w:before="204"/>
        <w:rPr>
          <w:rFonts w:hint="eastAsia" w:eastAsia="宋体"/>
          <w:lang w:eastAsia="zh-CN"/>
        </w:rPr>
      </w:pPr>
      <w:r>
        <w:rPr>
          <w:rFonts w:hint="eastAsia" w:eastAsia="宋体"/>
          <w:lang w:eastAsia="zh-CN"/>
        </w:rPr>
        <w:br w:type="page"/>
      </w:r>
    </w:p>
    <w:tbl>
      <w:tblPr>
        <w:tblStyle w:val="13"/>
        <w:tblW w:w="99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827"/>
        <w:gridCol w:w="817"/>
        <w:gridCol w:w="5323"/>
        <w:gridCol w:w="1103"/>
        <w:gridCol w:w="1284"/>
      </w:tblGrid>
      <w:tr w14:paraId="75DBD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16" w:type="dxa"/>
            <w:vMerge w:val="restart"/>
            <w:tcBorders>
              <w:bottom w:val="nil"/>
            </w:tcBorders>
            <w:vAlign w:val="top"/>
          </w:tcPr>
          <w:p w14:paraId="41BE5837">
            <w:pPr>
              <w:rPr>
                <w:rFonts w:ascii="Arial"/>
                <w:sz w:val="21"/>
              </w:rPr>
            </w:pPr>
          </w:p>
        </w:tc>
        <w:tc>
          <w:tcPr>
            <w:tcW w:w="827" w:type="dxa"/>
            <w:vMerge w:val="restart"/>
            <w:tcBorders>
              <w:bottom w:val="nil"/>
            </w:tcBorders>
            <w:vAlign w:val="top"/>
          </w:tcPr>
          <w:p w14:paraId="6566F0E4">
            <w:pPr>
              <w:rPr>
                <w:rFonts w:ascii="Arial"/>
                <w:sz w:val="21"/>
              </w:rPr>
            </w:pPr>
          </w:p>
        </w:tc>
        <w:tc>
          <w:tcPr>
            <w:tcW w:w="817" w:type="dxa"/>
            <w:vAlign w:val="top"/>
          </w:tcPr>
          <w:p w14:paraId="465802C8">
            <w:pPr>
              <w:pStyle w:val="14"/>
              <w:spacing w:before="182" w:line="269" w:lineRule="exact"/>
              <w:ind w:left="116"/>
            </w:pPr>
            <w:r>
              <w:rPr>
                <w:spacing w:val="3"/>
                <w:position w:val="1"/>
              </w:rPr>
              <w:t>C403</w:t>
            </w:r>
          </w:p>
        </w:tc>
        <w:tc>
          <w:tcPr>
            <w:tcW w:w="5323" w:type="dxa"/>
            <w:vAlign w:val="top"/>
          </w:tcPr>
          <w:p w14:paraId="779FF68B">
            <w:pPr>
              <w:pStyle w:val="14"/>
              <w:spacing w:before="182" w:line="228" w:lineRule="auto"/>
              <w:ind w:left="120"/>
            </w:pPr>
            <w:r>
              <w:rPr>
                <w:spacing w:val="9"/>
              </w:rPr>
              <w:t>没有贯彻执行安全专项施工方案又没有按期落实整改。</w:t>
            </w:r>
          </w:p>
        </w:tc>
        <w:tc>
          <w:tcPr>
            <w:tcW w:w="1103" w:type="dxa"/>
            <w:vAlign w:val="top"/>
          </w:tcPr>
          <w:p w14:paraId="4E8FEBC2">
            <w:pPr>
              <w:pStyle w:val="14"/>
              <w:spacing w:before="183" w:line="228" w:lineRule="auto"/>
              <w:ind w:left="121"/>
            </w:pPr>
            <w:r>
              <w:rPr>
                <w:spacing w:val="4"/>
              </w:rPr>
              <w:t>元/宗</w:t>
            </w:r>
          </w:p>
        </w:tc>
        <w:tc>
          <w:tcPr>
            <w:tcW w:w="1284" w:type="dxa"/>
            <w:vAlign w:val="top"/>
          </w:tcPr>
          <w:p w14:paraId="658AA482">
            <w:pPr>
              <w:pStyle w:val="14"/>
              <w:spacing w:before="182" w:line="225" w:lineRule="auto"/>
              <w:ind w:left="123"/>
            </w:pPr>
            <w:r>
              <w:rPr>
                <w:spacing w:val="2"/>
              </w:rPr>
              <w:t>2,000</w:t>
            </w:r>
          </w:p>
        </w:tc>
      </w:tr>
      <w:tr w14:paraId="08D97E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rPr>
        <w:tc>
          <w:tcPr>
            <w:tcW w:w="616" w:type="dxa"/>
            <w:vMerge w:val="continue"/>
            <w:tcBorders>
              <w:top w:val="nil"/>
              <w:bottom w:val="nil"/>
            </w:tcBorders>
            <w:vAlign w:val="top"/>
          </w:tcPr>
          <w:p w14:paraId="7E6C31C7">
            <w:pPr>
              <w:rPr>
                <w:rFonts w:ascii="Arial"/>
                <w:sz w:val="21"/>
              </w:rPr>
            </w:pPr>
          </w:p>
        </w:tc>
        <w:tc>
          <w:tcPr>
            <w:tcW w:w="827" w:type="dxa"/>
            <w:vMerge w:val="continue"/>
            <w:tcBorders>
              <w:top w:val="nil"/>
              <w:bottom w:val="nil"/>
            </w:tcBorders>
            <w:vAlign w:val="top"/>
          </w:tcPr>
          <w:p w14:paraId="57F98D3E">
            <w:pPr>
              <w:rPr>
                <w:rFonts w:ascii="Arial"/>
                <w:sz w:val="21"/>
              </w:rPr>
            </w:pPr>
          </w:p>
        </w:tc>
        <w:tc>
          <w:tcPr>
            <w:tcW w:w="817" w:type="dxa"/>
            <w:vAlign w:val="top"/>
          </w:tcPr>
          <w:p w14:paraId="03AAE4B8">
            <w:pPr>
              <w:pStyle w:val="14"/>
              <w:spacing w:before="115" w:line="268" w:lineRule="exact"/>
              <w:ind w:left="116"/>
            </w:pPr>
            <w:r>
              <w:rPr>
                <w:spacing w:val="3"/>
                <w:position w:val="1"/>
              </w:rPr>
              <w:t>C404</w:t>
            </w:r>
          </w:p>
        </w:tc>
        <w:tc>
          <w:tcPr>
            <w:tcW w:w="5323" w:type="dxa"/>
            <w:vAlign w:val="top"/>
          </w:tcPr>
          <w:p w14:paraId="5D53901E">
            <w:pPr>
              <w:pStyle w:val="14"/>
              <w:spacing w:before="114" w:line="228" w:lineRule="auto"/>
              <w:ind w:left="116"/>
            </w:pPr>
            <w:r>
              <w:rPr>
                <w:spacing w:val="8"/>
              </w:rPr>
              <w:t>施工废料乱堆乱放未按规定处理。</w:t>
            </w:r>
          </w:p>
        </w:tc>
        <w:tc>
          <w:tcPr>
            <w:tcW w:w="1103" w:type="dxa"/>
            <w:vAlign w:val="top"/>
          </w:tcPr>
          <w:p w14:paraId="4080B945">
            <w:pPr>
              <w:pStyle w:val="14"/>
              <w:spacing w:before="115" w:line="228" w:lineRule="auto"/>
              <w:ind w:left="121"/>
            </w:pPr>
            <w:r>
              <w:rPr>
                <w:spacing w:val="4"/>
              </w:rPr>
              <w:t>元/处</w:t>
            </w:r>
          </w:p>
        </w:tc>
        <w:tc>
          <w:tcPr>
            <w:tcW w:w="1284" w:type="dxa"/>
            <w:vAlign w:val="top"/>
          </w:tcPr>
          <w:p w14:paraId="1AB64F30">
            <w:pPr>
              <w:pStyle w:val="14"/>
              <w:spacing w:before="114" w:line="225" w:lineRule="auto"/>
              <w:ind w:left="123"/>
            </w:pPr>
            <w:r>
              <w:rPr>
                <w:spacing w:val="3"/>
              </w:rPr>
              <w:t>2,000</w:t>
            </w:r>
          </w:p>
        </w:tc>
      </w:tr>
      <w:tr w14:paraId="05124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5DB86D3D">
            <w:pPr>
              <w:rPr>
                <w:rFonts w:ascii="Arial"/>
                <w:sz w:val="21"/>
              </w:rPr>
            </w:pPr>
          </w:p>
        </w:tc>
        <w:tc>
          <w:tcPr>
            <w:tcW w:w="827" w:type="dxa"/>
            <w:vMerge w:val="continue"/>
            <w:tcBorders>
              <w:top w:val="nil"/>
              <w:bottom w:val="nil"/>
            </w:tcBorders>
            <w:vAlign w:val="top"/>
          </w:tcPr>
          <w:p w14:paraId="0BD868D5">
            <w:pPr>
              <w:rPr>
                <w:rFonts w:ascii="Arial"/>
                <w:sz w:val="21"/>
              </w:rPr>
            </w:pPr>
          </w:p>
        </w:tc>
        <w:tc>
          <w:tcPr>
            <w:tcW w:w="817" w:type="dxa"/>
            <w:vAlign w:val="top"/>
          </w:tcPr>
          <w:p w14:paraId="1CCE1E5A">
            <w:pPr>
              <w:pStyle w:val="14"/>
              <w:spacing w:before="179" w:line="268" w:lineRule="exact"/>
              <w:ind w:left="116"/>
            </w:pPr>
            <w:r>
              <w:rPr>
                <w:spacing w:val="3"/>
                <w:position w:val="1"/>
              </w:rPr>
              <w:t>C405</w:t>
            </w:r>
          </w:p>
        </w:tc>
        <w:tc>
          <w:tcPr>
            <w:tcW w:w="5323" w:type="dxa"/>
            <w:vAlign w:val="top"/>
          </w:tcPr>
          <w:p w14:paraId="0C716212">
            <w:pPr>
              <w:pStyle w:val="14"/>
              <w:spacing w:before="179" w:line="228" w:lineRule="auto"/>
              <w:ind w:left="116"/>
            </w:pPr>
            <w:r>
              <w:rPr>
                <w:spacing w:val="9"/>
              </w:rPr>
              <w:t>施工作业区域未按规定做好防尘、降尘措施。</w:t>
            </w:r>
          </w:p>
        </w:tc>
        <w:tc>
          <w:tcPr>
            <w:tcW w:w="1103" w:type="dxa"/>
            <w:vAlign w:val="top"/>
          </w:tcPr>
          <w:p w14:paraId="282F78AB">
            <w:pPr>
              <w:pStyle w:val="14"/>
              <w:spacing w:before="179" w:line="228" w:lineRule="auto"/>
              <w:ind w:left="121"/>
            </w:pPr>
            <w:r>
              <w:rPr>
                <w:spacing w:val="4"/>
              </w:rPr>
              <w:t>元/处</w:t>
            </w:r>
          </w:p>
        </w:tc>
        <w:tc>
          <w:tcPr>
            <w:tcW w:w="1284" w:type="dxa"/>
            <w:vAlign w:val="top"/>
          </w:tcPr>
          <w:p w14:paraId="373B16D6">
            <w:pPr>
              <w:pStyle w:val="14"/>
              <w:spacing w:before="179" w:line="225" w:lineRule="auto"/>
              <w:ind w:left="123"/>
            </w:pPr>
            <w:r>
              <w:rPr>
                <w:spacing w:val="3"/>
              </w:rPr>
              <w:t>2,000</w:t>
            </w:r>
          </w:p>
        </w:tc>
      </w:tr>
      <w:tr w14:paraId="0ECD7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16" w:type="dxa"/>
            <w:vMerge w:val="continue"/>
            <w:tcBorders>
              <w:top w:val="nil"/>
              <w:bottom w:val="nil"/>
            </w:tcBorders>
            <w:vAlign w:val="top"/>
          </w:tcPr>
          <w:p w14:paraId="17A30EEF">
            <w:pPr>
              <w:rPr>
                <w:rFonts w:ascii="Arial"/>
                <w:sz w:val="21"/>
              </w:rPr>
            </w:pPr>
          </w:p>
        </w:tc>
        <w:tc>
          <w:tcPr>
            <w:tcW w:w="827" w:type="dxa"/>
            <w:vMerge w:val="continue"/>
            <w:tcBorders>
              <w:top w:val="nil"/>
              <w:bottom w:val="nil"/>
            </w:tcBorders>
            <w:vAlign w:val="top"/>
          </w:tcPr>
          <w:p w14:paraId="42CB6818">
            <w:pPr>
              <w:rPr>
                <w:rFonts w:ascii="Arial"/>
                <w:sz w:val="21"/>
              </w:rPr>
            </w:pPr>
          </w:p>
        </w:tc>
        <w:tc>
          <w:tcPr>
            <w:tcW w:w="817" w:type="dxa"/>
            <w:vAlign w:val="top"/>
          </w:tcPr>
          <w:p w14:paraId="033F9283">
            <w:pPr>
              <w:pStyle w:val="14"/>
              <w:spacing w:before="178" w:line="268" w:lineRule="exact"/>
              <w:ind w:left="116"/>
            </w:pPr>
            <w:r>
              <w:rPr>
                <w:spacing w:val="3"/>
                <w:position w:val="1"/>
              </w:rPr>
              <w:t>C406</w:t>
            </w:r>
          </w:p>
        </w:tc>
        <w:tc>
          <w:tcPr>
            <w:tcW w:w="5323" w:type="dxa"/>
            <w:vAlign w:val="top"/>
          </w:tcPr>
          <w:p w14:paraId="2A9F35C9">
            <w:pPr>
              <w:pStyle w:val="14"/>
              <w:spacing w:before="43" w:line="239" w:lineRule="auto"/>
              <w:ind w:left="117" w:right="111"/>
            </w:pPr>
            <w:r>
              <w:rPr>
                <w:spacing w:val="12"/>
              </w:rPr>
              <w:t>生产区域、重点区域未悬挂安全生产标牌，或未明</w:t>
            </w:r>
            <w:r>
              <w:rPr>
                <w:spacing w:val="11"/>
              </w:rPr>
              <w:t>确工</w:t>
            </w:r>
            <w:r>
              <w:rPr>
                <w:spacing w:val="8"/>
              </w:rPr>
              <w:t>作责任人、安全监护人和安全措施等。</w:t>
            </w:r>
          </w:p>
        </w:tc>
        <w:tc>
          <w:tcPr>
            <w:tcW w:w="1103" w:type="dxa"/>
            <w:vAlign w:val="top"/>
          </w:tcPr>
          <w:p w14:paraId="50E26AFC">
            <w:pPr>
              <w:pStyle w:val="14"/>
              <w:spacing w:before="178" w:line="228" w:lineRule="auto"/>
              <w:ind w:left="121"/>
            </w:pPr>
            <w:r>
              <w:rPr>
                <w:spacing w:val="4"/>
              </w:rPr>
              <w:t>元/次</w:t>
            </w:r>
          </w:p>
        </w:tc>
        <w:tc>
          <w:tcPr>
            <w:tcW w:w="1284" w:type="dxa"/>
            <w:vAlign w:val="top"/>
          </w:tcPr>
          <w:p w14:paraId="148EBFF5">
            <w:pPr>
              <w:pStyle w:val="14"/>
              <w:spacing w:before="178" w:line="225" w:lineRule="auto"/>
              <w:ind w:left="123"/>
            </w:pPr>
            <w:r>
              <w:rPr>
                <w:spacing w:val="3"/>
              </w:rPr>
              <w:t>2,000</w:t>
            </w:r>
          </w:p>
        </w:tc>
      </w:tr>
      <w:tr w14:paraId="5F4AFE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16" w:type="dxa"/>
            <w:vMerge w:val="continue"/>
            <w:tcBorders>
              <w:top w:val="nil"/>
              <w:bottom w:val="nil"/>
            </w:tcBorders>
            <w:vAlign w:val="top"/>
          </w:tcPr>
          <w:p w14:paraId="36E827F3">
            <w:pPr>
              <w:rPr>
                <w:rFonts w:ascii="Arial"/>
                <w:sz w:val="21"/>
              </w:rPr>
            </w:pPr>
          </w:p>
        </w:tc>
        <w:tc>
          <w:tcPr>
            <w:tcW w:w="827" w:type="dxa"/>
            <w:vMerge w:val="continue"/>
            <w:tcBorders>
              <w:top w:val="nil"/>
              <w:bottom w:val="nil"/>
            </w:tcBorders>
            <w:vAlign w:val="top"/>
          </w:tcPr>
          <w:p w14:paraId="5DF50C31">
            <w:pPr>
              <w:rPr>
                <w:rFonts w:ascii="Arial"/>
                <w:sz w:val="21"/>
              </w:rPr>
            </w:pPr>
          </w:p>
        </w:tc>
        <w:tc>
          <w:tcPr>
            <w:tcW w:w="817" w:type="dxa"/>
            <w:vAlign w:val="top"/>
          </w:tcPr>
          <w:p w14:paraId="6B6E4592">
            <w:pPr>
              <w:pStyle w:val="14"/>
              <w:spacing w:before="180" w:line="269" w:lineRule="exact"/>
              <w:ind w:left="116"/>
            </w:pPr>
            <w:r>
              <w:rPr>
                <w:spacing w:val="3"/>
                <w:position w:val="1"/>
              </w:rPr>
              <w:t>C407</w:t>
            </w:r>
          </w:p>
        </w:tc>
        <w:tc>
          <w:tcPr>
            <w:tcW w:w="5323" w:type="dxa"/>
            <w:vAlign w:val="top"/>
          </w:tcPr>
          <w:p w14:paraId="4503C627">
            <w:pPr>
              <w:pStyle w:val="14"/>
              <w:spacing w:before="180" w:line="228" w:lineRule="auto"/>
              <w:ind w:left="116"/>
            </w:pPr>
            <w:r>
              <w:rPr>
                <w:spacing w:val="6"/>
              </w:rPr>
              <w:t>基坑周边</w:t>
            </w:r>
            <w:r>
              <w:rPr>
                <w:spacing w:val="-11"/>
              </w:rPr>
              <w:t xml:space="preserve"> </w:t>
            </w:r>
            <w:r>
              <w:rPr>
                <w:spacing w:val="6"/>
              </w:rPr>
              <w:t>1.5m</w:t>
            </w:r>
            <w:r>
              <w:rPr>
                <w:spacing w:val="-33"/>
              </w:rPr>
              <w:t xml:space="preserve"> </w:t>
            </w:r>
            <w:r>
              <w:rPr>
                <w:spacing w:val="6"/>
              </w:rPr>
              <w:t>范围内随意堆载、停放大型设备。</w:t>
            </w:r>
          </w:p>
        </w:tc>
        <w:tc>
          <w:tcPr>
            <w:tcW w:w="1103" w:type="dxa"/>
            <w:vAlign w:val="top"/>
          </w:tcPr>
          <w:p w14:paraId="65AC0325">
            <w:pPr>
              <w:pStyle w:val="14"/>
              <w:spacing w:before="181" w:line="228" w:lineRule="auto"/>
              <w:ind w:left="121"/>
            </w:pPr>
            <w:r>
              <w:rPr>
                <w:spacing w:val="4"/>
              </w:rPr>
              <w:t>元/处</w:t>
            </w:r>
          </w:p>
        </w:tc>
        <w:tc>
          <w:tcPr>
            <w:tcW w:w="1284" w:type="dxa"/>
            <w:vAlign w:val="top"/>
          </w:tcPr>
          <w:p w14:paraId="5D446C53">
            <w:pPr>
              <w:pStyle w:val="14"/>
              <w:spacing w:before="180" w:line="225" w:lineRule="auto"/>
              <w:ind w:left="123"/>
            </w:pPr>
            <w:r>
              <w:rPr>
                <w:spacing w:val="2"/>
              </w:rPr>
              <w:t>2,000</w:t>
            </w:r>
          </w:p>
        </w:tc>
      </w:tr>
      <w:tr w14:paraId="22F7A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055A2B1E">
            <w:pPr>
              <w:rPr>
                <w:rFonts w:ascii="Arial"/>
                <w:sz w:val="21"/>
              </w:rPr>
            </w:pPr>
          </w:p>
        </w:tc>
        <w:tc>
          <w:tcPr>
            <w:tcW w:w="827" w:type="dxa"/>
            <w:vMerge w:val="continue"/>
            <w:tcBorders>
              <w:top w:val="nil"/>
              <w:bottom w:val="nil"/>
            </w:tcBorders>
            <w:vAlign w:val="top"/>
          </w:tcPr>
          <w:p w14:paraId="7F090B05">
            <w:pPr>
              <w:rPr>
                <w:rFonts w:ascii="Arial"/>
                <w:sz w:val="21"/>
              </w:rPr>
            </w:pPr>
          </w:p>
        </w:tc>
        <w:tc>
          <w:tcPr>
            <w:tcW w:w="817" w:type="dxa"/>
            <w:vAlign w:val="top"/>
          </w:tcPr>
          <w:p w14:paraId="79FB9426">
            <w:pPr>
              <w:pStyle w:val="14"/>
              <w:spacing w:before="180" w:line="269" w:lineRule="exact"/>
              <w:ind w:left="116"/>
            </w:pPr>
            <w:r>
              <w:rPr>
                <w:spacing w:val="3"/>
                <w:position w:val="1"/>
              </w:rPr>
              <w:t>C408</w:t>
            </w:r>
          </w:p>
        </w:tc>
        <w:tc>
          <w:tcPr>
            <w:tcW w:w="5323" w:type="dxa"/>
            <w:vAlign w:val="top"/>
          </w:tcPr>
          <w:p w14:paraId="3157D2DF">
            <w:pPr>
              <w:pStyle w:val="14"/>
              <w:spacing w:before="46" w:line="238" w:lineRule="auto"/>
              <w:ind w:left="122" w:right="162" w:hanging="6"/>
            </w:pPr>
            <w:r>
              <w:rPr>
                <w:spacing w:val="10"/>
              </w:rPr>
              <w:t>施工作业时有岩粉、水泥浆液等未按规定排入沉淀</w:t>
            </w:r>
            <w:r>
              <w:rPr>
                <w:spacing w:val="9"/>
              </w:rPr>
              <w:t>池，</w:t>
            </w:r>
            <w:r>
              <w:rPr>
                <w:spacing w:val="6"/>
              </w:rPr>
              <w:t>导致污水乱流。</w:t>
            </w:r>
          </w:p>
        </w:tc>
        <w:tc>
          <w:tcPr>
            <w:tcW w:w="1103" w:type="dxa"/>
            <w:vAlign w:val="top"/>
          </w:tcPr>
          <w:p w14:paraId="62CBF1E9">
            <w:pPr>
              <w:pStyle w:val="14"/>
              <w:spacing w:before="181" w:line="228" w:lineRule="auto"/>
              <w:ind w:left="121"/>
            </w:pPr>
            <w:r>
              <w:rPr>
                <w:spacing w:val="4"/>
              </w:rPr>
              <w:t>元/宗</w:t>
            </w:r>
          </w:p>
        </w:tc>
        <w:tc>
          <w:tcPr>
            <w:tcW w:w="1284" w:type="dxa"/>
            <w:vAlign w:val="top"/>
          </w:tcPr>
          <w:p w14:paraId="622977DA">
            <w:pPr>
              <w:pStyle w:val="14"/>
              <w:spacing w:before="180" w:line="225" w:lineRule="auto"/>
              <w:ind w:left="123"/>
            </w:pPr>
            <w:r>
              <w:rPr>
                <w:spacing w:val="3"/>
              </w:rPr>
              <w:t>2,000</w:t>
            </w:r>
          </w:p>
        </w:tc>
      </w:tr>
      <w:tr w14:paraId="24964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43908F86">
            <w:pPr>
              <w:rPr>
                <w:rFonts w:ascii="Arial"/>
                <w:sz w:val="21"/>
              </w:rPr>
            </w:pPr>
          </w:p>
        </w:tc>
        <w:tc>
          <w:tcPr>
            <w:tcW w:w="827" w:type="dxa"/>
            <w:vMerge w:val="continue"/>
            <w:tcBorders>
              <w:top w:val="nil"/>
              <w:bottom w:val="nil"/>
            </w:tcBorders>
            <w:vAlign w:val="top"/>
          </w:tcPr>
          <w:p w14:paraId="28CCCF2D">
            <w:pPr>
              <w:rPr>
                <w:rFonts w:ascii="Arial"/>
                <w:sz w:val="21"/>
              </w:rPr>
            </w:pPr>
          </w:p>
        </w:tc>
        <w:tc>
          <w:tcPr>
            <w:tcW w:w="817" w:type="dxa"/>
            <w:vAlign w:val="top"/>
          </w:tcPr>
          <w:p w14:paraId="1921C507">
            <w:pPr>
              <w:pStyle w:val="14"/>
              <w:spacing w:before="182" w:line="268" w:lineRule="exact"/>
              <w:ind w:left="116"/>
            </w:pPr>
            <w:r>
              <w:rPr>
                <w:spacing w:val="3"/>
                <w:position w:val="1"/>
              </w:rPr>
              <w:t>C409</w:t>
            </w:r>
          </w:p>
        </w:tc>
        <w:tc>
          <w:tcPr>
            <w:tcW w:w="5323" w:type="dxa"/>
            <w:vAlign w:val="top"/>
          </w:tcPr>
          <w:p w14:paraId="37323AF5">
            <w:pPr>
              <w:pStyle w:val="14"/>
              <w:spacing w:before="46" w:line="238" w:lineRule="auto"/>
              <w:ind w:left="116" w:right="111"/>
            </w:pPr>
            <w:r>
              <w:rPr>
                <w:spacing w:val="12"/>
              </w:rPr>
              <w:t>驻地及其他临时设施存在雷击、山体滑坡可能，但未做</w:t>
            </w:r>
            <w:r>
              <w:rPr>
                <w:spacing w:val="6"/>
              </w:rPr>
              <w:t>好防护措施。</w:t>
            </w:r>
          </w:p>
        </w:tc>
        <w:tc>
          <w:tcPr>
            <w:tcW w:w="1103" w:type="dxa"/>
            <w:vAlign w:val="top"/>
          </w:tcPr>
          <w:p w14:paraId="3859226C">
            <w:pPr>
              <w:pStyle w:val="14"/>
              <w:spacing w:before="182" w:line="228" w:lineRule="auto"/>
              <w:ind w:left="121"/>
            </w:pPr>
            <w:r>
              <w:rPr>
                <w:spacing w:val="4"/>
              </w:rPr>
              <w:t>元/处</w:t>
            </w:r>
          </w:p>
        </w:tc>
        <w:tc>
          <w:tcPr>
            <w:tcW w:w="1284" w:type="dxa"/>
            <w:vAlign w:val="top"/>
          </w:tcPr>
          <w:p w14:paraId="3D5B8AA0">
            <w:pPr>
              <w:pStyle w:val="14"/>
              <w:spacing w:before="182" w:line="225" w:lineRule="auto"/>
              <w:ind w:left="123"/>
            </w:pPr>
            <w:r>
              <w:rPr>
                <w:spacing w:val="2"/>
              </w:rPr>
              <w:t>2,000</w:t>
            </w:r>
          </w:p>
        </w:tc>
      </w:tr>
      <w:tr w14:paraId="65C5A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16" w:type="dxa"/>
            <w:vMerge w:val="continue"/>
            <w:tcBorders>
              <w:top w:val="nil"/>
              <w:bottom w:val="nil"/>
            </w:tcBorders>
            <w:vAlign w:val="top"/>
          </w:tcPr>
          <w:p w14:paraId="6517ACE5">
            <w:pPr>
              <w:rPr>
                <w:rFonts w:ascii="Arial"/>
                <w:sz w:val="21"/>
              </w:rPr>
            </w:pPr>
          </w:p>
        </w:tc>
        <w:tc>
          <w:tcPr>
            <w:tcW w:w="827" w:type="dxa"/>
            <w:vMerge w:val="continue"/>
            <w:tcBorders>
              <w:top w:val="nil"/>
              <w:bottom w:val="nil"/>
            </w:tcBorders>
            <w:vAlign w:val="top"/>
          </w:tcPr>
          <w:p w14:paraId="71A78835">
            <w:pPr>
              <w:rPr>
                <w:rFonts w:ascii="Arial"/>
                <w:sz w:val="21"/>
              </w:rPr>
            </w:pPr>
          </w:p>
        </w:tc>
        <w:tc>
          <w:tcPr>
            <w:tcW w:w="817" w:type="dxa"/>
            <w:vAlign w:val="top"/>
          </w:tcPr>
          <w:p w14:paraId="0923C515">
            <w:pPr>
              <w:pStyle w:val="14"/>
              <w:spacing w:before="181" w:line="268" w:lineRule="exact"/>
              <w:ind w:left="116"/>
            </w:pPr>
            <w:r>
              <w:rPr>
                <w:spacing w:val="3"/>
                <w:position w:val="1"/>
              </w:rPr>
              <w:t>C410</w:t>
            </w:r>
          </w:p>
        </w:tc>
        <w:tc>
          <w:tcPr>
            <w:tcW w:w="5323" w:type="dxa"/>
            <w:vAlign w:val="top"/>
          </w:tcPr>
          <w:p w14:paraId="76347B27">
            <w:pPr>
              <w:pStyle w:val="14"/>
              <w:spacing w:before="45" w:line="238" w:lineRule="auto"/>
              <w:ind w:left="119" w:right="56" w:hanging="3"/>
            </w:pPr>
            <w:r>
              <w:rPr>
                <w:spacing w:val="3"/>
              </w:rPr>
              <w:t>施工现场</w:t>
            </w:r>
            <w:r>
              <w:rPr>
                <w:spacing w:val="-59"/>
              </w:rPr>
              <w:t xml:space="preserve"> </w:t>
            </w:r>
            <w:r>
              <w:rPr>
                <w:spacing w:val="3"/>
              </w:rPr>
              <w:t>“三宝、四口、五临边</w:t>
            </w:r>
            <w:r>
              <w:rPr>
                <w:spacing w:val="-73"/>
              </w:rPr>
              <w:t xml:space="preserve"> </w:t>
            </w:r>
            <w:r>
              <w:rPr>
                <w:spacing w:val="3"/>
              </w:rPr>
              <w:t>”未做好安全防护措施，</w:t>
            </w:r>
            <w:r>
              <w:rPr>
                <w:spacing w:val="9"/>
              </w:rPr>
              <w:t>或安全护栏高度不够或未设立踢脚板或孔洞未加</w:t>
            </w:r>
            <w:r>
              <w:rPr>
                <w:spacing w:val="8"/>
              </w:rPr>
              <w:t>盖。</w:t>
            </w:r>
          </w:p>
        </w:tc>
        <w:tc>
          <w:tcPr>
            <w:tcW w:w="1103" w:type="dxa"/>
            <w:vAlign w:val="top"/>
          </w:tcPr>
          <w:p w14:paraId="680C2CF6">
            <w:pPr>
              <w:pStyle w:val="14"/>
              <w:spacing w:before="181" w:line="228" w:lineRule="auto"/>
              <w:ind w:left="121"/>
            </w:pPr>
            <w:r>
              <w:rPr>
                <w:spacing w:val="4"/>
              </w:rPr>
              <w:t>元/处</w:t>
            </w:r>
          </w:p>
        </w:tc>
        <w:tc>
          <w:tcPr>
            <w:tcW w:w="1284" w:type="dxa"/>
            <w:vAlign w:val="top"/>
          </w:tcPr>
          <w:p w14:paraId="68009538">
            <w:pPr>
              <w:pStyle w:val="14"/>
              <w:spacing w:before="181" w:line="225" w:lineRule="auto"/>
              <w:ind w:left="123"/>
            </w:pPr>
            <w:r>
              <w:rPr>
                <w:spacing w:val="3"/>
              </w:rPr>
              <w:t>2,000</w:t>
            </w:r>
          </w:p>
        </w:tc>
      </w:tr>
      <w:tr w14:paraId="787D5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16" w:type="dxa"/>
            <w:vMerge w:val="continue"/>
            <w:tcBorders>
              <w:top w:val="nil"/>
              <w:bottom w:val="nil"/>
            </w:tcBorders>
            <w:vAlign w:val="top"/>
          </w:tcPr>
          <w:p w14:paraId="4EC07F35">
            <w:pPr>
              <w:rPr>
                <w:rFonts w:ascii="Arial"/>
                <w:sz w:val="21"/>
              </w:rPr>
            </w:pPr>
          </w:p>
        </w:tc>
        <w:tc>
          <w:tcPr>
            <w:tcW w:w="827" w:type="dxa"/>
            <w:vMerge w:val="continue"/>
            <w:tcBorders>
              <w:top w:val="nil"/>
              <w:bottom w:val="nil"/>
            </w:tcBorders>
            <w:vAlign w:val="top"/>
          </w:tcPr>
          <w:p w14:paraId="78F1FD40">
            <w:pPr>
              <w:rPr>
                <w:rFonts w:ascii="Arial"/>
                <w:sz w:val="21"/>
              </w:rPr>
            </w:pPr>
          </w:p>
        </w:tc>
        <w:tc>
          <w:tcPr>
            <w:tcW w:w="817" w:type="dxa"/>
            <w:vAlign w:val="top"/>
          </w:tcPr>
          <w:p w14:paraId="0A84424B">
            <w:pPr>
              <w:pStyle w:val="14"/>
              <w:spacing w:before="181" w:line="268" w:lineRule="exact"/>
              <w:ind w:left="116"/>
            </w:pPr>
            <w:r>
              <w:rPr>
                <w:spacing w:val="3"/>
                <w:position w:val="1"/>
              </w:rPr>
              <w:t>C411</w:t>
            </w:r>
          </w:p>
        </w:tc>
        <w:tc>
          <w:tcPr>
            <w:tcW w:w="5323" w:type="dxa"/>
            <w:vAlign w:val="top"/>
          </w:tcPr>
          <w:p w14:paraId="344E8C6C">
            <w:pPr>
              <w:pStyle w:val="14"/>
              <w:spacing w:before="47" w:line="237" w:lineRule="auto"/>
              <w:ind w:left="120" w:right="40" w:firstLine="2"/>
            </w:pPr>
            <w:r>
              <w:rPr>
                <w:spacing w:val="6"/>
              </w:rPr>
              <w:t>高空作业区域未按规定挂设安全网，或未设置稳固爬梯、</w:t>
            </w:r>
            <w:r>
              <w:rPr>
                <w:spacing w:val="8"/>
              </w:rPr>
              <w:t>设围栏、安全网、兜底网等。</w:t>
            </w:r>
          </w:p>
        </w:tc>
        <w:tc>
          <w:tcPr>
            <w:tcW w:w="1103" w:type="dxa"/>
            <w:vAlign w:val="top"/>
          </w:tcPr>
          <w:p w14:paraId="493846DF">
            <w:pPr>
              <w:pStyle w:val="14"/>
              <w:spacing w:before="181" w:line="228" w:lineRule="auto"/>
              <w:ind w:left="121"/>
            </w:pPr>
            <w:r>
              <w:rPr>
                <w:spacing w:val="4"/>
              </w:rPr>
              <w:t>元/处</w:t>
            </w:r>
          </w:p>
        </w:tc>
        <w:tc>
          <w:tcPr>
            <w:tcW w:w="1284" w:type="dxa"/>
            <w:vAlign w:val="top"/>
          </w:tcPr>
          <w:p w14:paraId="6970C6C5">
            <w:pPr>
              <w:pStyle w:val="14"/>
              <w:spacing w:before="181" w:line="225" w:lineRule="auto"/>
              <w:ind w:left="123"/>
            </w:pPr>
            <w:r>
              <w:rPr>
                <w:spacing w:val="2"/>
              </w:rPr>
              <w:t>2,000</w:t>
            </w:r>
          </w:p>
        </w:tc>
      </w:tr>
      <w:tr w14:paraId="49205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06E68FEE">
            <w:pPr>
              <w:rPr>
                <w:rFonts w:ascii="Arial"/>
                <w:sz w:val="21"/>
              </w:rPr>
            </w:pPr>
          </w:p>
        </w:tc>
        <w:tc>
          <w:tcPr>
            <w:tcW w:w="827" w:type="dxa"/>
            <w:vMerge w:val="continue"/>
            <w:tcBorders>
              <w:top w:val="nil"/>
              <w:bottom w:val="nil"/>
            </w:tcBorders>
            <w:vAlign w:val="top"/>
          </w:tcPr>
          <w:p w14:paraId="0AE44508">
            <w:pPr>
              <w:rPr>
                <w:rFonts w:ascii="Arial"/>
                <w:sz w:val="21"/>
              </w:rPr>
            </w:pPr>
          </w:p>
        </w:tc>
        <w:tc>
          <w:tcPr>
            <w:tcW w:w="817" w:type="dxa"/>
            <w:vAlign w:val="top"/>
          </w:tcPr>
          <w:p w14:paraId="27FF50A3">
            <w:pPr>
              <w:pStyle w:val="14"/>
              <w:spacing w:before="183" w:line="269" w:lineRule="exact"/>
              <w:ind w:left="116"/>
            </w:pPr>
            <w:r>
              <w:rPr>
                <w:spacing w:val="3"/>
                <w:position w:val="1"/>
              </w:rPr>
              <w:t>C412</w:t>
            </w:r>
          </w:p>
        </w:tc>
        <w:tc>
          <w:tcPr>
            <w:tcW w:w="5323" w:type="dxa"/>
            <w:vAlign w:val="top"/>
          </w:tcPr>
          <w:p w14:paraId="607E3461">
            <w:pPr>
              <w:pStyle w:val="14"/>
              <w:spacing w:before="46" w:line="238" w:lineRule="auto"/>
              <w:ind w:left="119" w:right="56"/>
            </w:pPr>
            <w:r>
              <w:rPr>
                <w:spacing w:val="5"/>
              </w:rPr>
              <w:t>工程船舶未安装信号灯，没有设置足够的施工照明设备，</w:t>
            </w:r>
            <w:r>
              <w:rPr>
                <w:spacing w:val="8"/>
              </w:rPr>
              <w:t>或船舶工作区域未按规定设置有效防护设施。</w:t>
            </w:r>
          </w:p>
        </w:tc>
        <w:tc>
          <w:tcPr>
            <w:tcW w:w="1103" w:type="dxa"/>
            <w:vAlign w:val="top"/>
          </w:tcPr>
          <w:p w14:paraId="638769FA">
            <w:pPr>
              <w:pStyle w:val="14"/>
              <w:spacing w:before="183" w:line="228" w:lineRule="auto"/>
              <w:ind w:left="121"/>
            </w:pPr>
            <w:r>
              <w:rPr>
                <w:spacing w:val="4"/>
              </w:rPr>
              <w:t>元/次</w:t>
            </w:r>
          </w:p>
        </w:tc>
        <w:tc>
          <w:tcPr>
            <w:tcW w:w="1284" w:type="dxa"/>
            <w:vAlign w:val="top"/>
          </w:tcPr>
          <w:p w14:paraId="70CE2889">
            <w:pPr>
              <w:pStyle w:val="14"/>
              <w:spacing w:before="183" w:line="225" w:lineRule="auto"/>
              <w:ind w:left="123"/>
            </w:pPr>
            <w:r>
              <w:rPr>
                <w:spacing w:val="2"/>
              </w:rPr>
              <w:t>2,000</w:t>
            </w:r>
          </w:p>
        </w:tc>
      </w:tr>
      <w:tr w14:paraId="57D00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01CE9B4B">
            <w:pPr>
              <w:rPr>
                <w:rFonts w:ascii="Arial"/>
                <w:sz w:val="21"/>
              </w:rPr>
            </w:pPr>
          </w:p>
        </w:tc>
        <w:tc>
          <w:tcPr>
            <w:tcW w:w="827" w:type="dxa"/>
            <w:vMerge w:val="continue"/>
            <w:tcBorders>
              <w:top w:val="nil"/>
              <w:bottom w:val="nil"/>
            </w:tcBorders>
            <w:vAlign w:val="top"/>
          </w:tcPr>
          <w:p w14:paraId="042FC590">
            <w:pPr>
              <w:rPr>
                <w:rFonts w:ascii="Arial"/>
                <w:sz w:val="21"/>
              </w:rPr>
            </w:pPr>
          </w:p>
        </w:tc>
        <w:tc>
          <w:tcPr>
            <w:tcW w:w="817" w:type="dxa"/>
            <w:vAlign w:val="top"/>
          </w:tcPr>
          <w:p w14:paraId="71B44C3B">
            <w:pPr>
              <w:pStyle w:val="14"/>
              <w:spacing w:before="182" w:line="269" w:lineRule="exact"/>
              <w:ind w:left="116"/>
            </w:pPr>
            <w:r>
              <w:rPr>
                <w:spacing w:val="3"/>
                <w:position w:val="1"/>
              </w:rPr>
              <w:t>C413</w:t>
            </w:r>
          </w:p>
        </w:tc>
        <w:tc>
          <w:tcPr>
            <w:tcW w:w="5323" w:type="dxa"/>
            <w:vAlign w:val="top"/>
          </w:tcPr>
          <w:p w14:paraId="3A0AF704">
            <w:pPr>
              <w:pStyle w:val="14"/>
              <w:spacing w:before="182" w:line="228" w:lineRule="auto"/>
              <w:ind w:left="116"/>
            </w:pPr>
            <w:r>
              <w:rPr>
                <w:spacing w:val="9"/>
              </w:rPr>
              <w:t>对造成周边水源污染、空气污染等严重后果负有责任。</w:t>
            </w:r>
          </w:p>
        </w:tc>
        <w:tc>
          <w:tcPr>
            <w:tcW w:w="1103" w:type="dxa"/>
            <w:vAlign w:val="top"/>
          </w:tcPr>
          <w:p w14:paraId="68BA568F">
            <w:pPr>
              <w:pStyle w:val="14"/>
              <w:spacing w:before="183" w:line="228" w:lineRule="auto"/>
              <w:ind w:left="121"/>
            </w:pPr>
            <w:r>
              <w:rPr>
                <w:spacing w:val="4"/>
              </w:rPr>
              <w:t>元/宗</w:t>
            </w:r>
          </w:p>
        </w:tc>
        <w:tc>
          <w:tcPr>
            <w:tcW w:w="1284" w:type="dxa"/>
            <w:vAlign w:val="top"/>
          </w:tcPr>
          <w:p w14:paraId="2C128051">
            <w:pPr>
              <w:pStyle w:val="14"/>
              <w:spacing w:before="182" w:line="225" w:lineRule="auto"/>
              <w:ind w:left="124"/>
            </w:pPr>
            <w:r>
              <w:rPr>
                <w:spacing w:val="2"/>
              </w:rPr>
              <w:t>5,000</w:t>
            </w:r>
          </w:p>
        </w:tc>
      </w:tr>
      <w:tr w14:paraId="14E4B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540CB74B">
            <w:pPr>
              <w:rPr>
                <w:rFonts w:ascii="Arial"/>
                <w:sz w:val="21"/>
              </w:rPr>
            </w:pPr>
          </w:p>
        </w:tc>
        <w:tc>
          <w:tcPr>
            <w:tcW w:w="827" w:type="dxa"/>
            <w:vMerge w:val="continue"/>
            <w:tcBorders>
              <w:top w:val="nil"/>
              <w:bottom w:val="nil"/>
            </w:tcBorders>
            <w:vAlign w:val="top"/>
          </w:tcPr>
          <w:p w14:paraId="1D3F78CA">
            <w:pPr>
              <w:rPr>
                <w:rFonts w:ascii="Arial"/>
                <w:sz w:val="21"/>
              </w:rPr>
            </w:pPr>
          </w:p>
        </w:tc>
        <w:tc>
          <w:tcPr>
            <w:tcW w:w="817" w:type="dxa"/>
            <w:vAlign w:val="top"/>
          </w:tcPr>
          <w:p w14:paraId="608BD9DD">
            <w:pPr>
              <w:pStyle w:val="14"/>
              <w:spacing w:before="184" w:line="268" w:lineRule="exact"/>
              <w:ind w:left="116"/>
            </w:pPr>
            <w:r>
              <w:rPr>
                <w:spacing w:val="3"/>
                <w:position w:val="1"/>
              </w:rPr>
              <w:t>C414</w:t>
            </w:r>
          </w:p>
        </w:tc>
        <w:tc>
          <w:tcPr>
            <w:tcW w:w="5323" w:type="dxa"/>
            <w:vAlign w:val="top"/>
          </w:tcPr>
          <w:p w14:paraId="312CD14D">
            <w:pPr>
              <w:pStyle w:val="14"/>
              <w:spacing w:before="183" w:line="228" w:lineRule="auto"/>
              <w:ind w:left="120"/>
            </w:pPr>
            <w:r>
              <w:rPr>
                <w:spacing w:val="9"/>
              </w:rPr>
              <w:t>未按规定要求做好各项消防安全和职业病防护工</w:t>
            </w:r>
            <w:r>
              <w:rPr>
                <w:spacing w:val="8"/>
              </w:rPr>
              <w:t>作。</w:t>
            </w:r>
          </w:p>
        </w:tc>
        <w:tc>
          <w:tcPr>
            <w:tcW w:w="1103" w:type="dxa"/>
            <w:vAlign w:val="top"/>
          </w:tcPr>
          <w:p w14:paraId="10EA77E6">
            <w:pPr>
              <w:pStyle w:val="14"/>
              <w:spacing w:before="183" w:line="228" w:lineRule="auto"/>
              <w:ind w:left="121"/>
            </w:pPr>
            <w:r>
              <w:rPr>
                <w:spacing w:val="4"/>
              </w:rPr>
              <w:t>元/次</w:t>
            </w:r>
          </w:p>
        </w:tc>
        <w:tc>
          <w:tcPr>
            <w:tcW w:w="1284" w:type="dxa"/>
            <w:vAlign w:val="top"/>
          </w:tcPr>
          <w:p w14:paraId="042C78EE">
            <w:pPr>
              <w:pStyle w:val="14"/>
              <w:spacing w:before="183" w:line="225" w:lineRule="auto"/>
              <w:ind w:left="124"/>
            </w:pPr>
            <w:r>
              <w:rPr>
                <w:spacing w:val="2"/>
              </w:rPr>
              <w:t>5,000</w:t>
            </w:r>
          </w:p>
        </w:tc>
      </w:tr>
      <w:tr w14:paraId="31D25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78DC8D7D">
            <w:pPr>
              <w:rPr>
                <w:rFonts w:ascii="Arial"/>
                <w:sz w:val="21"/>
              </w:rPr>
            </w:pPr>
          </w:p>
        </w:tc>
        <w:tc>
          <w:tcPr>
            <w:tcW w:w="827" w:type="dxa"/>
            <w:vMerge w:val="continue"/>
            <w:tcBorders>
              <w:top w:val="nil"/>
              <w:bottom w:val="nil"/>
            </w:tcBorders>
            <w:vAlign w:val="top"/>
          </w:tcPr>
          <w:p w14:paraId="2935220C">
            <w:pPr>
              <w:rPr>
                <w:rFonts w:ascii="Arial"/>
                <w:sz w:val="21"/>
              </w:rPr>
            </w:pPr>
          </w:p>
        </w:tc>
        <w:tc>
          <w:tcPr>
            <w:tcW w:w="817" w:type="dxa"/>
            <w:vAlign w:val="top"/>
          </w:tcPr>
          <w:p w14:paraId="1916BAE4">
            <w:pPr>
              <w:pStyle w:val="14"/>
              <w:spacing w:before="183" w:line="268" w:lineRule="exact"/>
              <w:ind w:left="116"/>
            </w:pPr>
            <w:r>
              <w:rPr>
                <w:spacing w:val="3"/>
                <w:position w:val="1"/>
              </w:rPr>
              <w:t>C415</w:t>
            </w:r>
          </w:p>
        </w:tc>
        <w:tc>
          <w:tcPr>
            <w:tcW w:w="5323" w:type="dxa"/>
            <w:vAlign w:val="top"/>
          </w:tcPr>
          <w:p w14:paraId="6E78A631">
            <w:pPr>
              <w:pStyle w:val="14"/>
              <w:spacing w:before="46" w:line="238" w:lineRule="auto"/>
              <w:ind w:left="118" w:right="146"/>
            </w:pPr>
            <w:r>
              <w:rPr>
                <w:spacing w:val="10"/>
              </w:rPr>
              <w:t>水下爆破作业未安排警戒人员和警戒船以及未设置声、</w:t>
            </w:r>
            <w:r>
              <w:rPr>
                <w:spacing w:val="6"/>
              </w:rPr>
              <w:t>光等警示信号。</w:t>
            </w:r>
          </w:p>
        </w:tc>
        <w:tc>
          <w:tcPr>
            <w:tcW w:w="1103" w:type="dxa"/>
            <w:vAlign w:val="top"/>
          </w:tcPr>
          <w:p w14:paraId="1F0DD6B0">
            <w:pPr>
              <w:pStyle w:val="14"/>
              <w:spacing w:before="182" w:line="228" w:lineRule="auto"/>
              <w:ind w:left="121"/>
            </w:pPr>
            <w:r>
              <w:rPr>
                <w:spacing w:val="4"/>
              </w:rPr>
              <w:t>元/次</w:t>
            </w:r>
          </w:p>
        </w:tc>
        <w:tc>
          <w:tcPr>
            <w:tcW w:w="1284" w:type="dxa"/>
            <w:vAlign w:val="top"/>
          </w:tcPr>
          <w:p w14:paraId="206417D4">
            <w:pPr>
              <w:pStyle w:val="14"/>
              <w:spacing w:before="182" w:line="225" w:lineRule="auto"/>
              <w:ind w:left="123"/>
            </w:pPr>
            <w:r>
              <w:rPr>
                <w:spacing w:val="3"/>
              </w:rPr>
              <w:t>2,000</w:t>
            </w:r>
          </w:p>
        </w:tc>
      </w:tr>
      <w:tr w14:paraId="1D3C0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4580F424">
            <w:pPr>
              <w:rPr>
                <w:rFonts w:ascii="Arial"/>
                <w:sz w:val="21"/>
              </w:rPr>
            </w:pPr>
          </w:p>
        </w:tc>
        <w:tc>
          <w:tcPr>
            <w:tcW w:w="827" w:type="dxa"/>
            <w:vMerge w:val="continue"/>
            <w:tcBorders>
              <w:top w:val="nil"/>
              <w:bottom w:val="nil"/>
            </w:tcBorders>
            <w:vAlign w:val="top"/>
          </w:tcPr>
          <w:p w14:paraId="13B012F6">
            <w:pPr>
              <w:rPr>
                <w:rFonts w:ascii="Arial"/>
                <w:sz w:val="21"/>
              </w:rPr>
            </w:pPr>
          </w:p>
        </w:tc>
        <w:tc>
          <w:tcPr>
            <w:tcW w:w="817" w:type="dxa"/>
            <w:vAlign w:val="top"/>
          </w:tcPr>
          <w:p w14:paraId="34289FA5">
            <w:pPr>
              <w:pStyle w:val="14"/>
              <w:spacing w:before="184" w:line="268" w:lineRule="exact"/>
              <w:ind w:left="116"/>
            </w:pPr>
            <w:r>
              <w:rPr>
                <w:spacing w:val="3"/>
                <w:position w:val="1"/>
              </w:rPr>
              <w:t>C416</w:t>
            </w:r>
          </w:p>
        </w:tc>
        <w:tc>
          <w:tcPr>
            <w:tcW w:w="5323" w:type="dxa"/>
            <w:vAlign w:val="top"/>
          </w:tcPr>
          <w:p w14:paraId="0594F1E3">
            <w:pPr>
              <w:pStyle w:val="14"/>
              <w:spacing w:before="48" w:line="237" w:lineRule="auto"/>
              <w:ind w:left="119" w:right="111" w:hanging="3"/>
            </w:pPr>
            <w:r>
              <w:rPr>
                <w:spacing w:val="12"/>
              </w:rPr>
              <w:t>施工前对水利枢纽的隐蔽设施缺乏了解和联系，导致施</w:t>
            </w:r>
            <w:r>
              <w:rPr>
                <w:spacing w:val="8"/>
              </w:rPr>
              <w:t>工中的损坏（破坏）而被投诉。</w:t>
            </w:r>
          </w:p>
        </w:tc>
        <w:tc>
          <w:tcPr>
            <w:tcW w:w="1103" w:type="dxa"/>
            <w:vAlign w:val="top"/>
          </w:tcPr>
          <w:p w14:paraId="3B3D5613">
            <w:pPr>
              <w:pStyle w:val="14"/>
              <w:spacing w:before="184" w:line="228" w:lineRule="auto"/>
              <w:ind w:left="121"/>
            </w:pPr>
            <w:r>
              <w:rPr>
                <w:spacing w:val="4"/>
              </w:rPr>
              <w:t>元/宗</w:t>
            </w:r>
          </w:p>
        </w:tc>
        <w:tc>
          <w:tcPr>
            <w:tcW w:w="1284" w:type="dxa"/>
            <w:vAlign w:val="top"/>
          </w:tcPr>
          <w:p w14:paraId="3B89BA9A">
            <w:pPr>
              <w:pStyle w:val="14"/>
              <w:spacing w:before="184" w:line="225" w:lineRule="auto"/>
              <w:ind w:left="124"/>
            </w:pPr>
            <w:r>
              <w:rPr>
                <w:spacing w:val="2"/>
              </w:rPr>
              <w:t>3,000</w:t>
            </w:r>
          </w:p>
        </w:tc>
      </w:tr>
      <w:tr w14:paraId="75E33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4DD8DA9D">
            <w:pPr>
              <w:rPr>
                <w:rFonts w:ascii="Arial"/>
                <w:sz w:val="21"/>
              </w:rPr>
            </w:pPr>
          </w:p>
        </w:tc>
        <w:tc>
          <w:tcPr>
            <w:tcW w:w="827" w:type="dxa"/>
            <w:vMerge w:val="continue"/>
            <w:tcBorders>
              <w:top w:val="nil"/>
            </w:tcBorders>
            <w:vAlign w:val="top"/>
          </w:tcPr>
          <w:p w14:paraId="3DA1ACA2">
            <w:pPr>
              <w:rPr>
                <w:rFonts w:ascii="Arial"/>
                <w:sz w:val="21"/>
              </w:rPr>
            </w:pPr>
          </w:p>
        </w:tc>
        <w:tc>
          <w:tcPr>
            <w:tcW w:w="817" w:type="dxa"/>
            <w:vAlign w:val="top"/>
          </w:tcPr>
          <w:p w14:paraId="2EC41A82">
            <w:pPr>
              <w:pStyle w:val="14"/>
              <w:spacing w:before="183" w:line="268" w:lineRule="exact"/>
              <w:ind w:left="116"/>
            </w:pPr>
            <w:r>
              <w:rPr>
                <w:spacing w:val="3"/>
                <w:position w:val="1"/>
              </w:rPr>
              <w:t>C417</w:t>
            </w:r>
          </w:p>
        </w:tc>
        <w:tc>
          <w:tcPr>
            <w:tcW w:w="5323" w:type="dxa"/>
            <w:vAlign w:val="top"/>
          </w:tcPr>
          <w:p w14:paraId="06061698">
            <w:pPr>
              <w:pStyle w:val="14"/>
              <w:spacing w:before="46" w:line="238" w:lineRule="auto"/>
              <w:ind w:left="117" w:right="111" w:hanging="1"/>
            </w:pPr>
            <w:r>
              <w:rPr>
                <w:spacing w:val="12"/>
              </w:rPr>
              <w:t>对水利枢纽或施工现场附近有关设施，没有采取有效的</w:t>
            </w:r>
            <w:r>
              <w:rPr>
                <w:spacing w:val="9"/>
              </w:rPr>
              <w:t>保护措施而导致施工中的损坏（破坏）而被投诉的。</w:t>
            </w:r>
          </w:p>
        </w:tc>
        <w:tc>
          <w:tcPr>
            <w:tcW w:w="1103" w:type="dxa"/>
            <w:vAlign w:val="top"/>
          </w:tcPr>
          <w:p w14:paraId="799B79B2">
            <w:pPr>
              <w:pStyle w:val="14"/>
              <w:spacing w:before="183" w:line="228" w:lineRule="auto"/>
              <w:ind w:left="121"/>
            </w:pPr>
            <w:r>
              <w:rPr>
                <w:spacing w:val="4"/>
              </w:rPr>
              <w:t>元/宗</w:t>
            </w:r>
          </w:p>
        </w:tc>
        <w:tc>
          <w:tcPr>
            <w:tcW w:w="1284" w:type="dxa"/>
            <w:vAlign w:val="top"/>
          </w:tcPr>
          <w:p w14:paraId="41B1DCF9">
            <w:pPr>
              <w:pStyle w:val="14"/>
              <w:spacing w:before="183" w:line="225" w:lineRule="auto"/>
              <w:ind w:left="123"/>
            </w:pPr>
            <w:r>
              <w:rPr>
                <w:spacing w:val="2"/>
              </w:rPr>
              <w:t>2,000</w:t>
            </w:r>
          </w:p>
        </w:tc>
      </w:tr>
      <w:tr w14:paraId="6B7B3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5A91064E">
            <w:pPr>
              <w:rPr>
                <w:rFonts w:ascii="Arial"/>
                <w:sz w:val="21"/>
              </w:rPr>
            </w:pPr>
          </w:p>
        </w:tc>
        <w:tc>
          <w:tcPr>
            <w:tcW w:w="827" w:type="dxa"/>
            <w:vMerge w:val="restart"/>
            <w:tcBorders>
              <w:bottom w:val="nil"/>
            </w:tcBorders>
            <w:vAlign w:val="top"/>
          </w:tcPr>
          <w:p w14:paraId="450E56EA">
            <w:pPr>
              <w:spacing w:line="270" w:lineRule="auto"/>
              <w:rPr>
                <w:rFonts w:ascii="Arial"/>
                <w:sz w:val="21"/>
              </w:rPr>
            </w:pPr>
          </w:p>
          <w:p w14:paraId="48D2CF72">
            <w:pPr>
              <w:pStyle w:val="14"/>
              <w:spacing w:before="65" w:line="252" w:lineRule="auto"/>
              <w:ind w:left="117" w:right="113" w:firstLine="3"/>
            </w:pPr>
            <w:r>
              <w:rPr>
                <w:spacing w:val="-1"/>
              </w:rPr>
              <w:t>5.</w:t>
            </w:r>
            <w:r>
              <w:rPr>
                <w:spacing w:val="90"/>
              </w:rPr>
              <w:t xml:space="preserve"> </w:t>
            </w:r>
            <w:r>
              <w:rPr>
                <w:spacing w:val="-1"/>
              </w:rPr>
              <w:t>标</w:t>
            </w:r>
            <w:r>
              <w:t>示</w:t>
            </w:r>
          </w:p>
        </w:tc>
        <w:tc>
          <w:tcPr>
            <w:tcW w:w="817" w:type="dxa"/>
            <w:vAlign w:val="top"/>
          </w:tcPr>
          <w:p w14:paraId="3CB057BE">
            <w:pPr>
              <w:pStyle w:val="14"/>
              <w:spacing w:before="182" w:line="268" w:lineRule="exact"/>
              <w:ind w:left="116"/>
            </w:pPr>
            <w:r>
              <w:rPr>
                <w:spacing w:val="3"/>
                <w:position w:val="1"/>
              </w:rPr>
              <w:t>C501</w:t>
            </w:r>
          </w:p>
        </w:tc>
        <w:tc>
          <w:tcPr>
            <w:tcW w:w="5323" w:type="dxa"/>
            <w:vAlign w:val="top"/>
          </w:tcPr>
          <w:p w14:paraId="2CAE3F9D">
            <w:pPr>
              <w:pStyle w:val="14"/>
              <w:spacing w:before="48" w:line="237" w:lineRule="auto"/>
              <w:ind w:left="120" w:right="111" w:hanging="4"/>
            </w:pPr>
            <w:r>
              <w:rPr>
                <w:spacing w:val="12"/>
              </w:rPr>
              <w:t>施工现场未设立重大危险源公示，或主要施工机械设备</w:t>
            </w:r>
            <w:r>
              <w:rPr>
                <w:spacing w:val="7"/>
              </w:rPr>
              <w:t>未悬挂操作规程。</w:t>
            </w:r>
          </w:p>
        </w:tc>
        <w:tc>
          <w:tcPr>
            <w:tcW w:w="1103" w:type="dxa"/>
            <w:vAlign w:val="top"/>
          </w:tcPr>
          <w:p w14:paraId="244868E5">
            <w:pPr>
              <w:pStyle w:val="14"/>
              <w:spacing w:before="182" w:line="228" w:lineRule="auto"/>
              <w:ind w:left="121"/>
            </w:pPr>
            <w:r>
              <w:rPr>
                <w:spacing w:val="4"/>
              </w:rPr>
              <w:t>元/宗</w:t>
            </w:r>
          </w:p>
        </w:tc>
        <w:tc>
          <w:tcPr>
            <w:tcW w:w="1284" w:type="dxa"/>
            <w:vAlign w:val="top"/>
          </w:tcPr>
          <w:p w14:paraId="331DA876">
            <w:pPr>
              <w:pStyle w:val="14"/>
              <w:spacing w:before="182" w:line="225" w:lineRule="auto"/>
              <w:ind w:left="136"/>
            </w:pPr>
            <w:r>
              <w:t>1,000</w:t>
            </w:r>
          </w:p>
        </w:tc>
      </w:tr>
      <w:tr w14:paraId="4909B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6699F119">
            <w:pPr>
              <w:rPr>
                <w:rFonts w:ascii="Arial"/>
                <w:sz w:val="21"/>
              </w:rPr>
            </w:pPr>
          </w:p>
        </w:tc>
        <w:tc>
          <w:tcPr>
            <w:tcW w:w="827" w:type="dxa"/>
            <w:vMerge w:val="continue"/>
            <w:tcBorders>
              <w:top w:val="nil"/>
            </w:tcBorders>
            <w:vAlign w:val="top"/>
          </w:tcPr>
          <w:p w14:paraId="1BB1AEA3">
            <w:pPr>
              <w:rPr>
                <w:rFonts w:ascii="Arial"/>
                <w:sz w:val="21"/>
              </w:rPr>
            </w:pPr>
          </w:p>
        </w:tc>
        <w:tc>
          <w:tcPr>
            <w:tcW w:w="817" w:type="dxa"/>
            <w:vAlign w:val="top"/>
          </w:tcPr>
          <w:p w14:paraId="21975C05">
            <w:pPr>
              <w:pStyle w:val="14"/>
              <w:spacing w:before="183" w:line="269" w:lineRule="exact"/>
              <w:ind w:left="116"/>
            </w:pPr>
            <w:r>
              <w:rPr>
                <w:spacing w:val="3"/>
                <w:position w:val="1"/>
              </w:rPr>
              <w:t>C502</w:t>
            </w:r>
          </w:p>
        </w:tc>
        <w:tc>
          <w:tcPr>
            <w:tcW w:w="5323" w:type="dxa"/>
            <w:vAlign w:val="top"/>
          </w:tcPr>
          <w:p w14:paraId="09055B64">
            <w:pPr>
              <w:pStyle w:val="14"/>
              <w:spacing w:before="46" w:line="238" w:lineRule="auto"/>
              <w:ind w:left="120" w:right="109"/>
            </w:pPr>
            <w:r>
              <w:rPr>
                <w:spacing w:val="10"/>
              </w:rPr>
              <w:t>未按规定设立“五牌一图</w:t>
            </w:r>
            <w:r>
              <w:rPr>
                <w:spacing w:val="-53"/>
              </w:rPr>
              <w:t xml:space="preserve"> </w:t>
            </w:r>
            <w:r>
              <w:rPr>
                <w:spacing w:val="10"/>
              </w:rPr>
              <w:t>”，施工现场和住宿办公区域</w:t>
            </w:r>
            <w:r>
              <w:rPr>
                <w:spacing w:val="8"/>
              </w:rPr>
              <w:t>未悬挂安全标识标牌或警示标识。</w:t>
            </w:r>
          </w:p>
        </w:tc>
        <w:tc>
          <w:tcPr>
            <w:tcW w:w="1103" w:type="dxa"/>
            <w:vAlign w:val="top"/>
          </w:tcPr>
          <w:p w14:paraId="0013F265">
            <w:pPr>
              <w:pStyle w:val="14"/>
              <w:spacing w:before="184" w:line="228" w:lineRule="auto"/>
              <w:ind w:left="121"/>
            </w:pPr>
            <w:r>
              <w:rPr>
                <w:spacing w:val="4"/>
              </w:rPr>
              <w:t>元/宗</w:t>
            </w:r>
          </w:p>
        </w:tc>
        <w:tc>
          <w:tcPr>
            <w:tcW w:w="1284" w:type="dxa"/>
            <w:vAlign w:val="top"/>
          </w:tcPr>
          <w:p w14:paraId="6637504D">
            <w:pPr>
              <w:pStyle w:val="14"/>
              <w:spacing w:before="183" w:line="225" w:lineRule="auto"/>
              <w:ind w:left="136"/>
            </w:pPr>
            <w:r>
              <w:t>1,000</w:t>
            </w:r>
          </w:p>
        </w:tc>
      </w:tr>
      <w:tr w14:paraId="789B8B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55FA12C1">
            <w:pPr>
              <w:rPr>
                <w:rFonts w:ascii="Arial"/>
                <w:sz w:val="21"/>
              </w:rPr>
            </w:pPr>
          </w:p>
        </w:tc>
        <w:tc>
          <w:tcPr>
            <w:tcW w:w="827" w:type="dxa"/>
            <w:vMerge w:val="restart"/>
            <w:tcBorders>
              <w:bottom w:val="nil"/>
            </w:tcBorders>
            <w:vAlign w:val="top"/>
          </w:tcPr>
          <w:p w14:paraId="29040827">
            <w:pPr>
              <w:spacing w:line="261" w:lineRule="auto"/>
              <w:rPr>
                <w:rFonts w:ascii="Arial"/>
                <w:sz w:val="21"/>
              </w:rPr>
            </w:pPr>
          </w:p>
          <w:p w14:paraId="160D733C">
            <w:pPr>
              <w:spacing w:line="261" w:lineRule="auto"/>
              <w:rPr>
                <w:rFonts w:ascii="Arial"/>
                <w:sz w:val="21"/>
              </w:rPr>
            </w:pPr>
          </w:p>
          <w:p w14:paraId="3930CC54">
            <w:pPr>
              <w:spacing w:line="262" w:lineRule="auto"/>
              <w:rPr>
                <w:rFonts w:ascii="Arial"/>
                <w:sz w:val="21"/>
              </w:rPr>
            </w:pPr>
          </w:p>
          <w:p w14:paraId="7C71C34C">
            <w:pPr>
              <w:spacing w:line="262" w:lineRule="auto"/>
              <w:rPr>
                <w:rFonts w:ascii="Arial"/>
                <w:sz w:val="21"/>
              </w:rPr>
            </w:pPr>
          </w:p>
          <w:p w14:paraId="227D0937">
            <w:pPr>
              <w:spacing w:line="262" w:lineRule="auto"/>
              <w:rPr>
                <w:rFonts w:ascii="Arial"/>
                <w:sz w:val="21"/>
              </w:rPr>
            </w:pPr>
          </w:p>
          <w:p w14:paraId="37D680A5">
            <w:pPr>
              <w:spacing w:line="262" w:lineRule="auto"/>
              <w:rPr>
                <w:rFonts w:ascii="Arial"/>
                <w:sz w:val="21"/>
              </w:rPr>
            </w:pPr>
          </w:p>
          <w:p w14:paraId="7AC9CDFC">
            <w:pPr>
              <w:pStyle w:val="14"/>
              <w:spacing w:before="65" w:line="258" w:lineRule="auto"/>
              <w:ind w:left="120" w:right="113" w:hanging="2"/>
            </w:pPr>
            <w:r>
              <w:t>6.</w:t>
            </w:r>
            <w:r>
              <w:rPr>
                <w:spacing w:val="90"/>
              </w:rPr>
              <w:t xml:space="preserve"> </w:t>
            </w:r>
            <w:r>
              <w:t>其它</w:t>
            </w:r>
          </w:p>
        </w:tc>
        <w:tc>
          <w:tcPr>
            <w:tcW w:w="817" w:type="dxa"/>
            <w:vAlign w:val="top"/>
          </w:tcPr>
          <w:p w14:paraId="27F4DF13">
            <w:pPr>
              <w:pStyle w:val="14"/>
              <w:spacing w:before="182" w:line="269" w:lineRule="exact"/>
              <w:ind w:left="116"/>
            </w:pPr>
            <w:r>
              <w:rPr>
                <w:spacing w:val="3"/>
                <w:position w:val="1"/>
              </w:rPr>
              <w:t>C601</w:t>
            </w:r>
          </w:p>
        </w:tc>
        <w:tc>
          <w:tcPr>
            <w:tcW w:w="5323" w:type="dxa"/>
            <w:vAlign w:val="top"/>
          </w:tcPr>
          <w:p w14:paraId="6D66881A">
            <w:pPr>
              <w:pStyle w:val="14"/>
              <w:spacing w:before="183" w:line="226" w:lineRule="auto"/>
              <w:ind w:left="117"/>
            </w:pPr>
            <w:r>
              <w:rPr>
                <w:spacing w:val="8"/>
              </w:rPr>
              <w:t>年度和半年度“平安工地</w:t>
            </w:r>
            <w:r>
              <w:rPr>
                <w:spacing w:val="-70"/>
              </w:rPr>
              <w:t xml:space="preserve"> </w:t>
            </w:r>
            <w:r>
              <w:rPr>
                <w:spacing w:val="8"/>
              </w:rPr>
              <w:t>”考核评价考核结果</w:t>
            </w:r>
            <w:r>
              <w:rPr>
                <w:spacing w:val="7"/>
              </w:rPr>
              <w:t>不达标。</w:t>
            </w:r>
          </w:p>
        </w:tc>
        <w:tc>
          <w:tcPr>
            <w:tcW w:w="1103" w:type="dxa"/>
            <w:vAlign w:val="top"/>
          </w:tcPr>
          <w:p w14:paraId="7972E274">
            <w:pPr>
              <w:pStyle w:val="14"/>
              <w:spacing w:before="182" w:line="228" w:lineRule="auto"/>
              <w:ind w:left="121"/>
            </w:pPr>
            <w:r>
              <w:rPr>
                <w:spacing w:val="4"/>
              </w:rPr>
              <w:t>元/次</w:t>
            </w:r>
          </w:p>
        </w:tc>
        <w:tc>
          <w:tcPr>
            <w:tcW w:w="1284" w:type="dxa"/>
            <w:vAlign w:val="top"/>
          </w:tcPr>
          <w:p w14:paraId="18386797">
            <w:pPr>
              <w:pStyle w:val="14"/>
              <w:spacing w:before="182" w:line="225" w:lineRule="auto"/>
              <w:ind w:left="136"/>
            </w:pPr>
            <w:r>
              <w:rPr>
                <w:spacing w:val="1"/>
              </w:rPr>
              <w:t>100,000</w:t>
            </w:r>
          </w:p>
        </w:tc>
      </w:tr>
      <w:tr w14:paraId="70528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275F577F">
            <w:pPr>
              <w:rPr>
                <w:rFonts w:ascii="Arial"/>
                <w:sz w:val="21"/>
              </w:rPr>
            </w:pPr>
          </w:p>
        </w:tc>
        <w:tc>
          <w:tcPr>
            <w:tcW w:w="827" w:type="dxa"/>
            <w:vMerge w:val="continue"/>
            <w:tcBorders>
              <w:top w:val="nil"/>
              <w:bottom w:val="nil"/>
            </w:tcBorders>
            <w:vAlign w:val="top"/>
          </w:tcPr>
          <w:p w14:paraId="0819933A">
            <w:pPr>
              <w:rPr>
                <w:rFonts w:ascii="Arial"/>
                <w:sz w:val="21"/>
              </w:rPr>
            </w:pPr>
          </w:p>
        </w:tc>
        <w:tc>
          <w:tcPr>
            <w:tcW w:w="817" w:type="dxa"/>
            <w:vAlign w:val="top"/>
          </w:tcPr>
          <w:p w14:paraId="7454D657">
            <w:pPr>
              <w:pStyle w:val="14"/>
              <w:spacing w:before="184" w:line="268" w:lineRule="exact"/>
              <w:ind w:left="116"/>
            </w:pPr>
            <w:r>
              <w:rPr>
                <w:spacing w:val="3"/>
                <w:position w:val="1"/>
              </w:rPr>
              <w:t>C602</w:t>
            </w:r>
          </w:p>
        </w:tc>
        <w:tc>
          <w:tcPr>
            <w:tcW w:w="5323" w:type="dxa"/>
            <w:vAlign w:val="top"/>
          </w:tcPr>
          <w:p w14:paraId="5CC6F4E8">
            <w:pPr>
              <w:pStyle w:val="14"/>
              <w:spacing w:before="183" w:line="228" w:lineRule="auto"/>
              <w:ind w:left="120"/>
            </w:pPr>
            <w:r>
              <w:rPr>
                <w:spacing w:val="8"/>
              </w:rPr>
              <w:t>发生安全特别重大责任事故。</w:t>
            </w:r>
          </w:p>
        </w:tc>
        <w:tc>
          <w:tcPr>
            <w:tcW w:w="1103" w:type="dxa"/>
            <w:vAlign w:val="top"/>
          </w:tcPr>
          <w:p w14:paraId="075C1249">
            <w:pPr>
              <w:pStyle w:val="14"/>
              <w:spacing w:before="184" w:line="228" w:lineRule="auto"/>
              <w:ind w:left="121"/>
            </w:pPr>
            <w:r>
              <w:rPr>
                <w:spacing w:val="4"/>
              </w:rPr>
              <w:t>元/宗</w:t>
            </w:r>
          </w:p>
        </w:tc>
        <w:tc>
          <w:tcPr>
            <w:tcW w:w="1284" w:type="dxa"/>
            <w:vAlign w:val="top"/>
          </w:tcPr>
          <w:p w14:paraId="58EAA863">
            <w:pPr>
              <w:pStyle w:val="14"/>
              <w:spacing w:before="184" w:line="225" w:lineRule="auto"/>
              <w:ind w:left="124"/>
            </w:pPr>
            <w:r>
              <w:rPr>
                <w:spacing w:val="3"/>
              </w:rPr>
              <w:t>500,000</w:t>
            </w:r>
          </w:p>
        </w:tc>
      </w:tr>
      <w:tr w14:paraId="33D07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7F1EB927">
            <w:pPr>
              <w:rPr>
                <w:rFonts w:ascii="Arial"/>
                <w:sz w:val="21"/>
              </w:rPr>
            </w:pPr>
          </w:p>
        </w:tc>
        <w:tc>
          <w:tcPr>
            <w:tcW w:w="827" w:type="dxa"/>
            <w:vMerge w:val="continue"/>
            <w:tcBorders>
              <w:top w:val="nil"/>
              <w:bottom w:val="nil"/>
            </w:tcBorders>
            <w:vAlign w:val="top"/>
          </w:tcPr>
          <w:p w14:paraId="0B8439C2">
            <w:pPr>
              <w:rPr>
                <w:rFonts w:ascii="Arial"/>
                <w:sz w:val="21"/>
              </w:rPr>
            </w:pPr>
          </w:p>
        </w:tc>
        <w:tc>
          <w:tcPr>
            <w:tcW w:w="817" w:type="dxa"/>
            <w:vAlign w:val="top"/>
          </w:tcPr>
          <w:p w14:paraId="7F555F96">
            <w:pPr>
              <w:pStyle w:val="14"/>
              <w:spacing w:before="183" w:line="268" w:lineRule="exact"/>
              <w:ind w:left="116"/>
            </w:pPr>
            <w:r>
              <w:rPr>
                <w:spacing w:val="3"/>
                <w:position w:val="1"/>
              </w:rPr>
              <w:t>C603</w:t>
            </w:r>
          </w:p>
        </w:tc>
        <w:tc>
          <w:tcPr>
            <w:tcW w:w="5323" w:type="dxa"/>
            <w:vAlign w:val="top"/>
          </w:tcPr>
          <w:p w14:paraId="6459AA59">
            <w:pPr>
              <w:pStyle w:val="14"/>
              <w:spacing w:before="182" w:line="228" w:lineRule="auto"/>
              <w:ind w:left="120"/>
            </w:pPr>
            <w:r>
              <w:rPr>
                <w:spacing w:val="7"/>
              </w:rPr>
              <w:t>发生安全重大责任事故。</w:t>
            </w:r>
          </w:p>
        </w:tc>
        <w:tc>
          <w:tcPr>
            <w:tcW w:w="1103" w:type="dxa"/>
            <w:vAlign w:val="top"/>
          </w:tcPr>
          <w:p w14:paraId="0735C17F">
            <w:pPr>
              <w:pStyle w:val="14"/>
              <w:spacing w:before="183" w:line="228" w:lineRule="auto"/>
              <w:ind w:left="121"/>
            </w:pPr>
            <w:r>
              <w:rPr>
                <w:spacing w:val="4"/>
              </w:rPr>
              <w:t>元/宗</w:t>
            </w:r>
          </w:p>
        </w:tc>
        <w:tc>
          <w:tcPr>
            <w:tcW w:w="1284" w:type="dxa"/>
            <w:vAlign w:val="top"/>
          </w:tcPr>
          <w:p w14:paraId="34546739">
            <w:pPr>
              <w:pStyle w:val="14"/>
              <w:spacing w:before="183" w:line="225" w:lineRule="auto"/>
              <w:ind w:left="124"/>
            </w:pPr>
            <w:r>
              <w:rPr>
                <w:spacing w:val="3"/>
              </w:rPr>
              <w:t>300,000</w:t>
            </w:r>
          </w:p>
        </w:tc>
      </w:tr>
      <w:tr w14:paraId="10E1B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2DECC949">
            <w:pPr>
              <w:rPr>
                <w:rFonts w:ascii="Arial"/>
                <w:sz w:val="21"/>
              </w:rPr>
            </w:pPr>
          </w:p>
        </w:tc>
        <w:tc>
          <w:tcPr>
            <w:tcW w:w="827" w:type="dxa"/>
            <w:vMerge w:val="continue"/>
            <w:tcBorders>
              <w:top w:val="nil"/>
              <w:bottom w:val="nil"/>
            </w:tcBorders>
            <w:vAlign w:val="top"/>
          </w:tcPr>
          <w:p w14:paraId="1314C6B8">
            <w:pPr>
              <w:rPr>
                <w:rFonts w:ascii="Arial"/>
                <w:sz w:val="21"/>
              </w:rPr>
            </w:pPr>
          </w:p>
        </w:tc>
        <w:tc>
          <w:tcPr>
            <w:tcW w:w="817" w:type="dxa"/>
            <w:vAlign w:val="top"/>
          </w:tcPr>
          <w:p w14:paraId="1C022957">
            <w:pPr>
              <w:pStyle w:val="14"/>
              <w:spacing w:before="182" w:line="268" w:lineRule="exact"/>
              <w:ind w:left="116"/>
            </w:pPr>
            <w:r>
              <w:rPr>
                <w:spacing w:val="3"/>
                <w:position w:val="1"/>
              </w:rPr>
              <w:t>C604</w:t>
            </w:r>
          </w:p>
        </w:tc>
        <w:tc>
          <w:tcPr>
            <w:tcW w:w="5323" w:type="dxa"/>
            <w:vAlign w:val="top"/>
          </w:tcPr>
          <w:p w14:paraId="378EB80F">
            <w:pPr>
              <w:pStyle w:val="14"/>
              <w:spacing w:before="181" w:line="228" w:lineRule="auto"/>
              <w:ind w:left="120"/>
            </w:pPr>
            <w:r>
              <w:rPr>
                <w:spacing w:val="7"/>
              </w:rPr>
              <w:t>发生安全较大责任事故。</w:t>
            </w:r>
          </w:p>
        </w:tc>
        <w:tc>
          <w:tcPr>
            <w:tcW w:w="1103" w:type="dxa"/>
            <w:vAlign w:val="top"/>
          </w:tcPr>
          <w:p w14:paraId="57B19F6B">
            <w:pPr>
              <w:pStyle w:val="14"/>
              <w:spacing w:before="182" w:line="228" w:lineRule="auto"/>
              <w:ind w:left="121"/>
            </w:pPr>
            <w:r>
              <w:rPr>
                <w:spacing w:val="4"/>
              </w:rPr>
              <w:t>元/宗</w:t>
            </w:r>
          </w:p>
        </w:tc>
        <w:tc>
          <w:tcPr>
            <w:tcW w:w="1284" w:type="dxa"/>
            <w:vAlign w:val="top"/>
          </w:tcPr>
          <w:p w14:paraId="11289268">
            <w:pPr>
              <w:pStyle w:val="14"/>
              <w:spacing w:before="181" w:line="225" w:lineRule="auto"/>
              <w:ind w:left="136"/>
            </w:pPr>
            <w:r>
              <w:rPr>
                <w:spacing w:val="1"/>
              </w:rPr>
              <w:t>100,000</w:t>
            </w:r>
          </w:p>
        </w:tc>
      </w:tr>
      <w:tr w14:paraId="304CC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16" w:type="dxa"/>
            <w:vMerge w:val="continue"/>
            <w:tcBorders>
              <w:top w:val="nil"/>
              <w:bottom w:val="nil"/>
            </w:tcBorders>
            <w:vAlign w:val="top"/>
          </w:tcPr>
          <w:p w14:paraId="3EBDA463">
            <w:pPr>
              <w:rPr>
                <w:rFonts w:ascii="Arial"/>
                <w:sz w:val="21"/>
              </w:rPr>
            </w:pPr>
          </w:p>
        </w:tc>
        <w:tc>
          <w:tcPr>
            <w:tcW w:w="827" w:type="dxa"/>
            <w:vMerge w:val="continue"/>
            <w:tcBorders>
              <w:top w:val="nil"/>
              <w:bottom w:val="nil"/>
            </w:tcBorders>
            <w:vAlign w:val="top"/>
          </w:tcPr>
          <w:p w14:paraId="131EA3D3">
            <w:pPr>
              <w:rPr>
                <w:rFonts w:ascii="Arial"/>
                <w:sz w:val="21"/>
              </w:rPr>
            </w:pPr>
          </w:p>
        </w:tc>
        <w:tc>
          <w:tcPr>
            <w:tcW w:w="817" w:type="dxa"/>
            <w:vAlign w:val="top"/>
          </w:tcPr>
          <w:p w14:paraId="6DCD6D11">
            <w:pPr>
              <w:pStyle w:val="14"/>
              <w:spacing w:before="183" w:line="269" w:lineRule="exact"/>
              <w:ind w:left="116"/>
            </w:pPr>
            <w:r>
              <w:rPr>
                <w:spacing w:val="3"/>
                <w:position w:val="1"/>
              </w:rPr>
              <w:t>C605</w:t>
            </w:r>
          </w:p>
        </w:tc>
        <w:tc>
          <w:tcPr>
            <w:tcW w:w="5323" w:type="dxa"/>
            <w:vAlign w:val="top"/>
          </w:tcPr>
          <w:p w14:paraId="2BCFBB00">
            <w:pPr>
              <w:pStyle w:val="14"/>
              <w:spacing w:before="183" w:line="228" w:lineRule="auto"/>
              <w:ind w:left="120"/>
            </w:pPr>
            <w:r>
              <w:rPr>
                <w:spacing w:val="7"/>
              </w:rPr>
              <w:t>发生安全一般责任事故。</w:t>
            </w:r>
          </w:p>
        </w:tc>
        <w:tc>
          <w:tcPr>
            <w:tcW w:w="1103" w:type="dxa"/>
            <w:vAlign w:val="top"/>
          </w:tcPr>
          <w:p w14:paraId="16F7F76F">
            <w:pPr>
              <w:pStyle w:val="14"/>
              <w:spacing w:before="184" w:line="228" w:lineRule="auto"/>
              <w:ind w:left="121"/>
            </w:pPr>
            <w:r>
              <w:rPr>
                <w:spacing w:val="4"/>
              </w:rPr>
              <w:t>元/宗</w:t>
            </w:r>
          </w:p>
        </w:tc>
        <w:tc>
          <w:tcPr>
            <w:tcW w:w="1284" w:type="dxa"/>
            <w:vAlign w:val="top"/>
          </w:tcPr>
          <w:p w14:paraId="494E20A2">
            <w:pPr>
              <w:pStyle w:val="14"/>
              <w:spacing w:before="183" w:line="225" w:lineRule="auto"/>
              <w:ind w:left="124"/>
            </w:pPr>
            <w:r>
              <w:rPr>
                <w:spacing w:val="2"/>
              </w:rPr>
              <w:t>50,000</w:t>
            </w:r>
          </w:p>
        </w:tc>
      </w:tr>
      <w:tr w14:paraId="0C9D73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16" w:type="dxa"/>
            <w:vMerge w:val="continue"/>
            <w:tcBorders>
              <w:top w:val="nil"/>
              <w:bottom w:val="nil"/>
            </w:tcBorders>
            <w:vAlign w:val="top"/>
          </w:tcPr>
          <w:p w14:paraId="750C70D2">
            <w:pPr>
              <w:rPr>
                <w:rFonts w:ascii="Arial"/>
                <w:sz w:val="21"/>
              </w:rPr>
            </w:pPr>
          </w:p>
        </w:tc>
        <w:tc>
          <w:tcPr>
            <w:tcW w:w="827" w:type="dxa"/>
            <w:vMerge w:val="continue"/>
            <w:tcBorders>
              <w:top w:val="nil"/>
              <w:bottom w:val="nil"/>
            </w:tcBorders>
            <w:vAlign w:val="top"/>
          </w:tcPr>
          <w:p w14:paraId="5E432562">
            <w:pPr>
              <w:rPr>
                <w:rFonts w:ascii="Arial"/>
                <w:sz w:val="21"/>
              </w:rPr>
            </w:pPr>
          </w:p>
        </w:tc>
        <w:tc>
          <w:tcPr>
            <w:tcW w:w="817" w:type="dxa"/>
            <w:vAlign w:val="top"/>
          </w:tcPr>
          <w:p w14:paraId="7E00CB2E">
            <w:pPr>
              <w:pStyle w:val="14"/>
              <w:spacing w:before="110" w:line="269" w:lineRule="exact"/>
              <w:ind w:left="116"/>
            </w:pPr>
            <w:r>
              <w:rPr>
                <w:spacing w:val="3"/>
                <w:position w:val="1"/>
              </w:rPr>
              <w:t>C606</w:t>
            </w:r>
          </w:p>
        </w:tc>
        <w:tc>
          <w:tcPr>
            <w:tcW w:w="5323" w:type="dxa"/>
            <w:vAlign w:val="top"/>
          </w:tcPr>
          <w:p w14:paraId="6D94CE99">
            <w:pPr>
              <w:pStyle w:val="14"/>
              <w:spacing w:before="110" w:line="228" w:lineRule="auto"/>
              <w:ind w:left="120"/>
            </w:pPr>
            <w:r>
              <w:rPr>
                <w:spacing w:val="8"/>
              </w:rPr>
              <w:t>发生安全重大交通责任事故。</w:t>
            </w:r>
          </w:p>
        </w:tc>
        <w:tc>
          <w:tcPr>
            <w:tcW w:w="1103" w:type="dxa"/>
            <w:vAlign w:val="top"/>
          </w:tcPr>
          <w:p w14:paraId="582E0BFA">
            <w:pPr>
              <w:pStyle w:val="14"/>
              <w:spacing w:before="111" w:line="228" w:lineRule="auto"/>
              <w:ind w:left="121"/>
            </w:pPr>
            <w:r>
              <w:rPr>
                <w:spacing w:val="4"/>
              </w:rPr>
              <w:t>元/宗</w:t>
            </w:r>
          </w:p>
        </w:tc>
        <w:tc>
          <w:tcPr>
            <w:tcW w:w="1284" w:type="dxa"/>
            <w:vAlign w:val="top"/>
          </w:tcPr>
          <w:p w14:paraId="0B9A6B00">
            <w:pPr>
              <w:pStyle w:val="14"/>
              <w:spacing w:before="110" w:line="225" w:lineRule="auto"/>
              <w:ind w:left="136"/>
            </w:pPr>
            <w:r>
              <w:rPr>
                <w:spacing w:val="1"/>
              </w:rPr>
              <w:t>100,000</w:t>
            </w:r>
          </w:p>
        </w:tc>
      </w:tr>
      <w:tr w14:paraId="5D132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16" w:type="dxa"/>
            <w:vMerge w:val="continue"/>
            <w:tcBorders>
              <w:top w:val="nil"/>
            </w:tcBorders>
            <w:vAlign w:val="top"/>
          </w:tcPr>
          <w:p w14:paraId="292EB729">
            <w:pPr>
              <w:rPr>
                <w:rFonts w:ascii="Arial"/>
                <w:sz w:val="21"/>
              </w:rPr>
            </w:pPr>
          </w:p>
        </w:tc>
        <w:tc>
          <w:tcPr>
            <w:tcW w:w="827" w:type="dxa"/>
            <w:vMerge w:val="continue"/>
            <w:tcBorders>
              <w:top w:val="nil"/>
            </w:tcBorders>
            <w:vAlign w:val="top"/>
          </w:tcPr>
          <w:p w14:paraId="3D0E0E54">
            <w:pPr>
              <w:rPr>
                <w:rFonts w:ascii="Arial"/>
                <w:sz w:val="21"/>
              </w:rPr>
            </w:pPr>
          </w:p>
        </w:tc>
        <w:tc>
          <w:tcPr>
            <w:tcW w:w="817" w:type="dxa"/>
            <w:vAlign w:val="top"/>
          </w:tcPr>
          <w:p w14:paraId="1414AA6C">
            <w:pPr>
              <w:pStyle w:val="14"/>
              <w:spacing w:before="122" w:line="269" w:lineRule="exact"/>
              <w:ind w:left="116"/>
            </w:pPr>
            <w:r>
              <w:rPr>
                <w:spacing w:val="3"/>
                <w:position w:val="1"/>
              </w:rPr>
              <w:t>C607</w:t>
            </w:r>
          </w:p>
        </w:tc>
        <w:tc>
          <w:tcPr>
            <w:tcW w:w="5323" w:type="dxa"/>
            <w:vAlign w:val="top"/>
          </w:tcPr>
          <w:p w14:paraId="74790FD1">
            <w:pPr>
              <w:pStyle w:val="14"/>
              <w:spacing w:before="122" w:line="228" w:lineRule="auto"/>
              <w:ind w:left="120"/>
            </w:pPr>
            <w:r>
              <w:rPr>
                <w:spacing w:val="9"/>
              </w:rPr>
              <w:t>项目驻地和施工现场存在安全重大事故隐患</w:t>
            </w:r>
          </w:p>
        </w:tc>
        <w:tc>
          <w:tcPr>
            <w:tcW w:w="1103" w:type="dxa"/>
            <w:vAlign w:val="top"/>
          </w:tcPr>
          <w:p w14:paraId="278E9E40">
            <w:pPr>
              <w:pStyle w:val="14"/>
              <w:spacing w:before="123" w:line="228" w:lineRule="auto"/>
              <w:ind w:left="121"/>
            </w:pPr>
            <w:r>
              <w:rPr>
                <w:spacing w:val="4"/>
              </w:rPr>
              <w:t>元/宗</w:t>
            </w:r>
          </w:p>
        </w:tc>
        <w:tc>
          <w:tcPr>
            <w:tcW w:w="1284" w:type="dxa"/>
            <w:vAlign w:val="top"/>
          </w:tcPr>
          <w:p w14:paraId="5F704606">
            <w:pPr>
              <w:pStyle w:val="14"/>
              <w:spacing w:before="122" w:line="225" w:lineRule="auto"/>
              <w:ind w:left="123"/>
            </w:pPr>
            <w:r>
              <w:rPr>
                <w:spacing w:val="3"/>
              </w:rPr>
              <w:t>20,000</w:t>
            </w:r>
          </w:p>
        </w:tc>
      </w:tr>
    </w:tbl>
    <w:p w14:paraId="237DF2F4">
      <w:pPr>
        <w:rPr>
          <w:rFonts w:ascii="Arial"/>
          <w:sz w:val="21"/>
        </w:rPr>
      </w:pPr>
    </w:p>
    <w:p w14:paraId="38FB25E4">
      <w:pPr>
        <w:spacing w:line="401" w:lineRule="auto"/>
        <w:rPr>
          <w:rFonts w:hint="eastAsia" w:ascii="Arial" w:eastAsia="宋体"/>
          <w:sz w:val="21"/>
          <w:lang w:eastAsia="zh-CN"/>
        </w:rPr>
      </w:pPr>
      <w:r>
        <w:rPr>
          <w:rFonts w:hint="eastAsia" w:ascii="Arial" w:eastAsia="宋体"/>
          <w:sz w:val="21"/>
          <w:lang w:eastAsia="zh-CN"/>
        </w:rPr>
        <w:br w:type="page"/>
      </w:r>
    </w:p>
    <w:p w14:paraId="6A2B1C14">
      <w:pPr>
        <w:spacing w:before="78" w:line="219" w:lineRule="auto"/>
        <w:ind w:left="139"/>
        <w:rPr>
          <w:rFonts w:ascii="宋体" w:hAnsi="宋体" w:eastAsia="宋体" w:cs="宋体"/>
          <w:sz w:val="24"/>
          <w:szCs w:val="24"/>
        </w:rPr>
      </w:pPr>
      <w:r>
        <w:rPr>
          <w:rFonts w:ascii="宋体" w:hAnsi="宋体" w:eastAsia="宋体" w:cs="宋体"/>
          <w:b/>
          <w:bCs/>
          <w:spacing w:val="-4"/>
          <w:sz w:val="24"/>
          <w:szCs w:val="24"/>
        </w:rPr>
        <w:t>附件十二：统一采购供应材料一览表</w:t>
      </w:r>
    </w:p>
    <w:p w14:paraId="40DF3B2B">
      <w:pPr>
        <w:spacing w:line="332" w:lineRule="auto"/>
        <w:rPr>
          <w:rFonts w:ascii="Arial"/>
          <w:sz w:val="21"/>
        </w:rPr>
      </w:pPr>
    </w:p>
    <w:p w14:paraId="767531B2">
      <w:pPr>
        <w:spacing w:before="97" w:line="219" w:lineRule="auto"/>
        <w:ind w:left="3008"/>
        <w:rPr>
          <w:rFonts w:ascii="宋体" w:hAnsi="宋体" w:eastAsia="宋体" w:cs="宋体"/>
          <w:sz w:val="30"/>
          <w:szCs w:val="30"/>
        </w:rPr>
      </w:pPr>
      <w:r>
        <w:rPr>
          <w:rFonts w:ascii="宋体" w:hAnsi="宋体" w:eastAsia="宋体" w:cs="宋体"/>
          <w:b/>
          <w:bCs/>
          <w:spacing w:val="-4"/>
          <w:sz w:val="30"/>
          <w:szCs w:val="30"/>
        </w:rPr>
        <w:t>统一采购供应材料一览表</w:t>
      </w:r>
    </w:p>
    <w:p w14:paraId="50022C0F">
      <w:pPr>
        <w:spacing w:before="61"/>
      </w:pPr>
    </w:p>
    <w:tbl>
      <w:tblPr>
        <w:tblStyle w:val="13"/>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1"/>
        <w:gridCol w:w="1356"/>
        <w:gridCol w:w="802"/>
        <w:gridCol w:w="735"/>
        <w:gridCol w:w="2444"/>
        <w:gridCol w:w="750"/>
        <w:gridCol w:w="705"/>
        <w:gridCol w:w="753"/>
        <w:gridCol w:w="1036"/>
      </w:tblGrid>
      <w:tr w14:paraId="3726FC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11" w:type="dxa"/>
            <w:vAlign w:val="top"/>
          </w:tcPr>
          <w:p w14:paraId="2E8496B7">
            <w:pPr>
              <w:pStyle w:val="14"/>
              <w:spacing w:before="182" w:line="229" w:lineRule="auto"/>
              <w:ind w:left="150"/>
            </w:pPr>
            <w:r>
              <w:rPr>
                <w:spacing w:val="5"/>
              </w:rPr>
              <w:t>序号</w:t>
            </w:r>
          </w:p>
        </w:tc>
        <w:tc>
          <w:tcPr>
            <w:tcW w:w="1356" w:type="dxa"/>
            <w:vAlign w:val="top"/>
          </w:tcPr>
          <w:p w14:paraId="370CC0E1">
            <w:pPr>
              <w:pStyle w:val="14"/>
              <w:spacing w:before="45"/>
              <w:ind w:left="263" w:right="152" w:hanging="106"/>
            </w:pPr>
            <w:r>
              <w:rPr>
                <w:spacing w:val="8"/>
              </w:rPr>
              <w:t>材料品种或</w:t>
            </w:r>
            <w:r>
              <w:rPr>
                <w:spacing w:val="6"/>
              </w:rPr>
              <w:t>设备型号</w:t>
            </w:r>
          </w:p>
        </w:tc>
        <w:tc>
          <w:tcPr>
            <w:tcW w:w="802" w:type="dxa"/>
            <w:vAlign w:val="top"/>
          </w:tcPr>
          <w:p w14:paraId="010A1699">
            <w:pPr>
              <w:pStyle w:val="14"/>
              <w:spacing w:before="183" w:line="228" w:lineRule="auto"/>
              <w:ind w:left="197"/>
            </w:pPr>
            <w:r>
              <w:rPr>
                <w:spacing w:val="3"/>
              </w:rPr>
              <w:t>单位</w:t>
            </w:r>
          </w:p>
        </w:tc>
        <w:tc>
          <w:tcPr>
            <w:tcW w:w="735" w:type="dxa"/>
            <w:vAlign w:val="top"/>
          </w:tcPr>
          <w:p w14:paraId="3C3D39AE">
            <w:pPr>
              <w:pStyle w:val="14"/>
              <w:spacing w:before="182" w:line="228" w:lineRule="auto"/>
              <w:ind w:left="163"/>
            </w:pPr>
            <w:r>
              <w:rPr>
                <w:spacing w:val="3"/>
              </w:rPr>
              <w:t>数量</w:t>
            </w:r>
          </w:p>
        </w:tc>
        <w:tc>
          <w:tcPr>
            <w:tcW w:w="2444" w:type="dxa"/>
            <w:vAlign w:val="top"/>
          </w:tcPr>
          <w:p w14:paraId="3F8A5075">
            <w:pPr>
              <w:pStyle w:val="14"/>
              <w:spacing w:before="150" w:line="273" w:lineRule="exact"/>
              <w:ind w:left="236"/>
              <w:rPr>
                <w:sz w:val="10"/>
                <w:szCs w:val="10"/>
              </w:rPr>
            </w:pPr>
            <w:r>
              <w:rPr>
                <w:spacing w:val="8"/>
              </w:rPr>
              <w:t>到达工地价格（元）</w:t>
            </w:r>
            <w:r>
              <w:fldChar w:fldCharType="begin"/>
            </w:r>
            <w:r>
              <w:instrText xml:space="preserve"> HYPERLINK \l "bookmark225" </w:instrText>
            </w:r>
            <w:r>
              <w:fldChar w:fldCharType="separate"/>
            </w:r>
            <w:r>
              <w:rPr>
                <w:spacing w:val="8"/>
                <w:position w:val="10"/>
                <w:sz w:val="10"/>
                <w:szCs w:val="10"/>
              </w:rPr>
              <w:t>①</w:t>
            </w:r>
            <w:r>
              <w:rPr>
                <w:spacing w:val="8"/>
                <w:position w:val="10"/>
                <w:sz w:val="10"/>
                <w:szCs w:val="10"/>
              </w:rPr>
              <w:fldChar w:fldCharType="end"/>
            </w:r>
          </w:p>
        </w:tc>
        <w:tc>
          <w:tcPr>
            <w:tcW w:w="750" w:type="dxa"/>
            <w:vAlign w:val="top"/>
          </w:tcPr>
          <w:p w14:paraId="3C51287D">
            <w:pPr>
              <w:pStyle w:val="14"/>
              <w:spacing w:before="46" w:line="228" w:lineRule="auto"/>
              <w:ind w:left="173"/>
            </w:pPr>
            <w:r>
              <w:rPr>
                <w:spacing w:val="4"/>
              </w:rPr>
              <w:t>质量</w:t>
            </w:r>
          </w:p>
          <w:p w14:paraId="5A76B02A">
            <w:pPr>
              <w:pStyle w:val="14"/>
              <w:spacing w:before="23" w:line="228" w:lineRule="auto"/>
              <w:ind w:left="174"/>
            </w:pPr>
            <w:r>
              <w:rPr>
                <w:spacing w:val="3"/>
              </w:rPr>
              <w:t>等级</w:t>
            </w:r>
          </w:p>
        </w:tc>
        <w:tc>
          <w:tcPr>
            <w:tcW w:w="705" w:type="dxa"/>
            <w:vAlign w:val="top"/>
          </w:tcPr>
          <w:p w14:paraId="243A9815">
            <w:pPr>
              <w:pStyle w:val="14"/>
              <w:spacing w:before="45" w:line="227" w:lineRule="auto"/>
              <w:ind w:left="149"/>
            </w:pPr>
            <w:r>
              <w:rPr>
                <w:spacing w:val="4"/>
              </w:rPr>
              <w:t>供应</w:t>
            </w:r>
          </w:p>
          <w:p w14:paraId="0E993914">
            <w:pPr>
              <w:pStyle w:val="14"/>
              <w:spacing w:before="24" w:line="230" w:lineRule="auto"/>
              <w:ind w:left="159"/>
            </w:pPr>
            <w:r>
              <w:rPr>
                <w:spacing w:val="-1"/>
              </w:rPr>
              <w:t>时间</w:t>
            </w:r>
          </w:p>
        </w:tc>
        <w:tc>
          <w:tcPr>
            <w:tcW w:w="753" w:type="dxa"/>
            <w:vAlign w:val="top"/>
          </w:tcPr>
          <w:p w14:paraId="22040A52">
            <w:pPr>
              <w:pStyle w:val="14"/>
              <w:spacing w:before="45" w:line="235" w:lineRule="auto"/>
              <w:ind w:left="172"/>
            </w:pPr>
            <w:r>
              <w:rPr>
                <w:spacing w:val="5"/>
              </w:rPr>
              <w:t>送达</w:t>
            </w:r>
          </w:p>
          <w:p w14:paraId="32DE65AC">
            <w:pPr>
              <w:pStyle w:val="14"/>
              <w:spacing w:before="16" w:line="230" w:lineRule="auto"/>
              <w:ind w:left="174"/>
            </w:pPr>
            <w:r>
              <w:rPr>
                <w:spacing w:val="4"/>
              </w:rPr>
              <w:t>地点</w:t>
            </w:r>
          </w:p>
        </w:tc>
        <w:tc>
          <w:tcPr>
            <w:tcW w:w="1036" w:type="dxa"/>
            <w:vAlign w:val="top"/>
          </w:tcPr>
          <w:p w14:paraId="220F787F">
            <w:pPr>
              <w:pStyle w:val="14"/>
              <w:spacing w:before="182" w:line="229" w:lineRule="auto"/>
              <w:ind w:left="316"/>
            </w:pPr>
            <w:r>
              <w:rPr>
                <w:spacing w:val="3"/>
              </w:rPr>
              <w:t>备注</w:t>
            </w:r>
          </w:p>
        </w:tc>
      </w:tr>
      <w:tr w14:paraId="5F763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vAlign w:val="top"/>
          </w:tcPr>
          <w:p w14:paraId="1022AE4D">
            <w:pPr>
              <w:rPr>
                <w:rFonts w:ascii="Arial"/>
                <w:sz w:val="21"/>
              </w:rPr>
            </w:pPr>
          </w:p>
        </w:tc>
        <w:tc>
          <w:tcPr>
            <w:tcW w:w="1356" w:type="dxa"/>
            <w:vAlign w:val="top"/>
          </w:tcPr>
          <w:p w14:paraId="72223D21">
            <w:pPr>
              <w:rPr>
                <w:rFonts w:ascii="Arial"/>
                <w:sz w:val="21"/>
              </w:rPr>
            </w:pPr>
          </w:p>
        </w:tc>
        <w:tc>
          <w:tcPr>
            <w:tcW w:w="802" w:type="dxa"/>
            <w:vAlign w:val="top"/>
          </w:tcPr>
          <w:p w14:paraId="2826017A">
            <w:pPr>
              <w:rPr>
                <w:rFonts w:ascii="Arial"/>
                <w:sz w:val="21"/>
              </w:rPr>
            </w:pPr>
          </w:p>
        </w:tc>
        <w:tc>
          <w:tcPr>
            <w:tcW w:w="735" w:type="dxa"/>
            <w:vAlign w:val="top"/>
          </w:tcPr>
          <w:p w14:paraId="5E4CEDD8">
            <w:pPr>
              <w:rPr>
                <w:rFonts w:ascii="Arial"/>
                <w:sz w:val="21"/>
              </w:rPr>
            </w:pPr>
          </w:p>
        </w:tc>
        <w:tc>
          <w:tcPr>
            <w:tcW w:w="2444" w:type="dxa"/>
            <w:vAlign w:val="top"/>
          </w:tcPr>
          <w:p w14:paraId="1474CDBC">
            <w:pPr>
              <w:rPr>
                <w:rFonts w:ascii="Arial"/>
                <w:sz w:val="21"/>
              </w:rPr>
            </w:pPr>
          </w:p>
        </w:tc>
        <w:tc>
          <w:tcPr>
            <w:tcW w:w="750" w:type="dxa"/>
            <w:vAlign w:val="top"/>
          </w:tcPr>
          <w:p w14:paraId="0E183AF0">
            <w:pPr>
              <w:rPr>
                <w:rFonts w:ascii="Arial"/>
                <w:sz w:val="21"/>
              </w:rPr>
            </w:pPr>
          </w:p>
        </w:tc>
        <w:tc>
          <w:tcPr>
            <w:tcW w:w="705" w:type="dxa"/>
            <w:vAlign w:val="top"/>
          </w:tcPr>
          <w:p w14:paraId="6534725D">
            <w:pPr>
              <w:rPr>
                <w:rFonts w:ascii="Arial"/>
                <w:sz w:val="21"/>
              </w:rPr>
            </w:pPr>
          </w:p>
        </w:tc>
        <w:tc>
          <w:tcPr>
            <w:tcW w:w="753" w:type="dxa"/>
            <w:vAlign w:val="top"/>
          </w:tcPr>
          <w:p w14:paraId="617C5F17">
            <w:pPr>
              <w:rPr>
                <w:rFonts w:ascii="Arial"/>
                <w:sz w:val="21"/>
              </w:rPr>
            </w:pPr>
          </w:p>
        </w:tc>
        <w:tc>
          <w:tcPr>
            <w:tcW w:w="1036" w:type="dxa"/>
            <w:vAlign w:val="top"/>
          </w:tcPr>
          <w:p w14:paraId="3F3079AA">
            <w:pPr>
              <w:rPr>
                <w:rFonts w:ascii="Arial"/>
                <w:sz w:val="21"/>
              </w:rPr>
            </w:pPr>
          </w:p>
        </w:tc>
      </w:tr>
      <w:tr w14:paraId="7D40A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vAlign w:val="top"/>
          </w:tcPr>
          <w:p w14:paraId="5859AA37">
            <w:pPr>
              <w:rPr>
                <w:rFonts w:ascii="Arial"/>
                <w:sz w:val="21"/>
              </w:rPr>
            </w:pPr>
          </w:p>
        </w:tc>
        <w:tc>
          <w:tcPr>
            <w:tcW w:w="1356" w:type="dxa"/>
            <w:vAlign w:val="top"/>
          </w:tcPr>
          <w:p w14:paraId="772D71C7">
            <w:pPr>
              <w:rPr>
                <w:rFonts w:ascii="Arial"/>
                <w:sz w:val="21"/>
              </w:rPr>
            </w:pPr>
          </w:p>
        </w:tc>
        <w:tc>
          <w:tcPr>
            <w:tcW w:w="802" w:type="dxa"/>
            <w:vAlign w:val="top"/>
          </w:tcPr>
          <w:p w14:paraId="66D23974">
            <w:pPr>
              <w:rPr>
                <w:rFonts w:ascii="Arial"/>
                <w:sz w:val="21"/>
              </w:rPr>
            </w:pPr>
          </w:p>
        </w:tc>
        <w:tc>
          <w:tcPr>
            <w:tcW w:w="735" w:type="dxa"/>
            <w:vAlign w:val="top"/>
          </w:tcPr>
          <w:p w14:paraId="6FA84821">
            <w:pPr>
              <w:rPr>
                <w:rFonts w:ascii="Arial"/>
                <w:sz w:val="21"/>
              </w:rPr>
            </w:pPr>
          </w:p>
        </w:tc>
        <w:tc>
          <w:tcPr>
            <w:tcW w:w="2444" w:type="dxa"/>
            <w:vAlign w:val="top"/>
          </w:tcPr>
          <w:p w14:paraId="6600EF3B">
            <w:pPr>
              <w:rPr>
                <w:rFonts w:ascii="Arial"/>
                <w:sz w:val="21"/>
              </w:rPr>
            </w:pPr>
          </w:p>
        </w:tc>
        <w:tc>
          <w:tcPr>
            <w:tcW w:w="750" w:type="dxa"/>
            <w:vAlign w:val="top"/>
          </w:tcPr>
          <w:p w14:paraId="4A3932CB">
            <w:pPr>
              <w:rPr>
                <w:rFonts w:ascii="Arial"/>
                <w:sz w:val="21"/>
              </w:rPr>
            </w:pPr>
          </w:p>
        </w:tc>
        <w:tc>
          <w:tcPr>
            <w:tcW w:w="705" w:type="dxa"/>
            <w:vAlign w:val="top"/>
          </w:tcPr>
          <w:p w14:paraId="4FA3D530">
            <w:pPr>
              <w:rPr>
                <w:rFonts w:ascii="Arial"/>
                <w:sz w:val="21"/>
              </w:rPr>
            </w:pPr>
          </w:p>
        </w:tc>
        <w:tc>
          <w:tcPr>
            <w:tcW w:w="753" w:type="dxa"/>
            <w:vAlign w:val="top"/>
          </w:tcPr>
          <w:p w14:paraId="321F10E0">
            <w:pPr>
              <w:rPr>
                <w:rFonts w:ascii="Arial"/>
                <w:sz w:val="21"/>
              </w:rPr>
            </w:pPr>
          </w:p>
        </w:tc>
        <w:tc>
          <w:tcPr>
            <w:tcW w:w="1036" w:type="dxa"/>
            <w:vAlign w:val="top"/>
          </w:tcPr>
          <w:p w14:paraId="507FCCBA">
            <w:pPr>
              <w:rPr>
                <w:rFonts w:ascii="Arial"/>
                <w:sz w:val="21"/>
              </w:rPr>
            </w:pPr>
          </w:p>
        </w:tc>
      </w:tr>
      <w:tr w14:paraId="49B27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vAlign w:val="top"/>
          </w:tcPr>
          <w:p w14:paraId="03CCDDA5">
            <w:pPr>
              <w:rPr>
                <w:rFonts w:ascii="Arial"/>
                <w:sz w:val="21"/>
              </w:rPr>
            </w:pPr>
          </w:p>
        </w:tc>
        <w:tc>
          <w:tcPr>
            <w:tcW w:w="1356" w:type="dxa"/>
            <w:vAlign w:val="top"/>
          </w:tcPr>
          <w:p w14:paraId="4CA303D0">
            <w:pPr>
              <w:rPr>
                <w:rFonts w:ascii="Arial"/>
                <w:sz w:val="21"/>
              </w:rPr>
            </w:pPr>
          </w:p>
        </w:tc>
        <w:tc>
          <w:tcPr>
            <w:tcW w:w="802" w:type="dxa"/>
            <w:vAlign w:val="top"/>
          </w:tcPr>
          <w:p w14:paraId="713EFBA4">
            <w:pPr>
              <w:rPr>
                <w:rFonts w:ascii="Arial"/>
                <w:sz w:val="21"/>
              </w:rPr>
            </w:pPr>
          </w:p>
        </w:tc>
        <w:tc>
          <w:tcPr>
            <w:tcW w:w="735" w:type="dxa"/>
            <w:vAlign w:val="top"/>
          </w:tcPr>
          <w:p w14:paraId="6BCCEB5F">
            <w:pPr>
              <w:rPr>
                <w:rFonts w:ascii="Arial"/>
                <w:sz w:val="21"/>
              </w:rPr>
            </w:pPr>
          </w:p>
        </w:tc>
        <w:tc>
          <w:tcPr>
            <w:tcW w:w="2444" w:type="dxa"/>
            <w:vAlign w:val="top"/>
          </w:tcPr>
          <w:p w14:paraId="19D705BE">
            <w:pPr>
              <w:rPr>
                <w:rFonts w:ascii="Arial"/>
                <w:sz w:val="21"/>
              </w:rPr>
            </w:pPr>
          </w:p>
        </w:tc>
        <w:tc>
          <w:tcPr>
            <w:tcW w:w="750" w:type="dxa"/>
            <w:vAlign w:val="top"/>
          </w:tcPr>
          <w:p w14:paraId="6855C84A">
            <w:pPr>
              <w:rPr>
                <w:rFonts w:ascii="Arial"/>
                <w:sz w:val="21"/>
              </w:rPr>
            </w:pPr>
          </w:p>
        </w:tc>
        <w:tc>
          <w:tcPr>
            <w:tcW w:w="705" w:type="dxa"/>
            <w:vAlign w:val="top"/>
          </w:tcPr>
          <w:p w14:paraId="434FC138">
            <w:pPr>
              <w:rPr>
                <w:rFonts w:ascii="Arial"/>
                <w:sz w:val="21"/>
              </w:rPr>
            </w:pPr>
          </w:p>
        </w:tc>
        <w:tc>
          <w:tcPr>
            <w:tcW w:w="753" w:type="dxa"/>
            <w:vAlign w:val="top"/>
          </w:tcPr>
          <w:p w14:paraId="5398AB24">
            <w:pPr>
              <w:rPr>
                <w:rFonts w:ascii="Arial"/>
                <w:sz w:val="21"/>
              </w:rPr>
            </w:pPr>
          </w:p>
        </w:tc>
        <w:tc>
          <w:tcPr>
            <w:tcW w:w="1036" w:type="dxa"/>
            <w:vAlign w:val="top"/>
          </w:tcPr>
          <w:p w14:paraId="61992644">
            <w:pPr>
              <w:rPr>
                <w:rFonts w:ascii="Arial"/>
                <w:sz w:val="21"/>
              </w:rPr>
            </w:pPr>
          </w:p>
        </w:tc>
      </w:tr>
      <w:tr w14:paraId="7B86D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vAlign w:val="top"/>
          </w:tcPr>
          <w:p w14:paraId="551663E0">
            <w:pPr>
              <w:rPr>
                <w:rFonts w:ascii="Arial"/>
                <w:sz w:val="21"/>
              </w:rPr>
            </w:pPr>
          </w:p>
        </w:tc>
        <w:tc>
          <w:tcPr>
            <w:tcW w:w="1356" w:type="dxa"/>
            <w:vAlign w:val="top"/>
          </w:tcPr>
          <w:p w14:paraId="7055E859">
            <w:pPr>
              <w:rPr>
                <w:rFonts w:ascii="Arial"/>
                <w:sz w:val="21"/>
              </w:rPr>
            </w:pPr>
          </w:p>
        </w:tc>
        <w:tc>
          <w:tcPr>
            <w:tcW w:w="802" w:type="dxa"/>
            <w:vAlign w:val="top"/>
          </w:tcPr>
          <w:p w14:paraId="435C58C3">
            <w:pPr>
              <w:rPr>
                <w:rFonts w:ascii="Arial"/>
                <w:sz w:val="21"/>
              </w:rPr>
            </w:pPr>
          </w:p>
        </w:tc>
        <w:tc>
          <w:tcPr>
            <w:tcW w:w="735" w:type="dxa"/>
            <w:vAlign w:val="top"/>
          </w:tcPr>
          <w:p w14:paraId="4DC4182C">
            <w:pPr>
              <w:rPr>
                <w:rFonts w:ascii="Arial"/>
                <w:sz w:val="21"/>
              </w:rPr>
            </w:pPr>
          </w:p>
        </w:tc>
        <w:tc>
          <w:tcPr>
            <w:tcW w:w="2444" w:type="dxa"/>
            <w:vAlign w:val="top"/>
          </w:tcPr>
          <w:p w14:paraId="305598AC">
            <w:pPr>
              <w:rPr>
                <w:rFonts w:ascii="Arial"/>
                <w:sz w:val="21"/>
              </w:rPr>
            </w:pPr>
          </w:p>
        </w:tc>
        <w:tc>
          <w:tcPr>
            <w:tcW w:w="750" w:type="dxa"/>
            <w:vAlign w:val="top"/>
          </w:tcPr>
          <w:p w14:paraId="0881E19D">
            <w:pPr>
              <w:rPr>
                <w:rFonts w:ascii="Arial"/>
                <w:sz w:val="21"/>
              </w:rPr>
            </w:pPr>
          </w:p>
        </w:tc>
        <w:tc>
          <w:tcPr>
            <w:tcW w:w="705" w:type="dxa"/>
            <w:vAlign w:val="top"/>
          </w:tcPr>
          <w:p w14:paraId="18C8CDE7">
            <w:pPr>
              <w:rPr>
                <w:rFonts w:ascii="Arial"/>
                <w:sz w:val="21"/>
              </w:rPr>
            </w:pPr>
          </w:p>
        </w:tc>
        <w:tc>
          <w:tcPr>
            <w:tcW w:w="753" w:type="dxa"/>
            <w:vAlign w:val="top"/>
          </w:tcPr>
          <w:p w14:paraId="660C67D3">
            <w:pPr>
              <w:rPr>
                <w:rFonts w:ascii="Arial"/>
                <w:sz w:val="21"/>
              </w:rPr>
            </w:pPr>
          </w:p>
        </w:tc>
        <w:tc>
          <w:tcPr>
            <w:tcW w:w="1036" w:type="dxa"/>
            <w:vAlign w:val="top"/>
          </w:tcPr>
          <w:p w14:paraId="106D2B79">
            <w:pPr>
              <w:rPr>
                <w:rFonts w:ascii="Arial"/>
                <w:sz w:val="21"/>
              </w:rPr>
            </w:pPr>
          </w:p>
        </w:tc>
      </w:tr>
      <w:tr w14:paraId="1A243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vAlign w:val="top"/>
          </w:tcPr>
          <w:p w14:paraId="60C611DA">
            <w:pPr>
              <w:rPr>
                <w:rFonts w:ascii="Arial"/>
                <w:sz w:val="21"/>
              </w:rPr>
            </w:pPr>
          </w:p>
        </w:tc>
        <w:tc>
          <w:tcPr>
            <w:tcW w:w="1356" w:type="dxa"/>
            <w:vAlign w:val="top"/>
          </w:tcPr>
          <w:p w14:paraId="0B600D5D">
            <w:pPr>
              <w:rPr>
                <w:rFonts w:ascii="Arial"/>
                <w:sz w:val="21"/>
              </w:rPr>
            </w:pPr>
          </w:p>
        </w:tc>
        <w:tc>
          <w:tcPr>
            <w:tcW w:w="802" w:type="dxa"/>
            <w:vAlign w:val="top"/>
          </w:tcPr>
          <w:p w14:paraId="344348C9">
            <w:pPr>
              <w:rPr>
                <w:rFonts w:ascii="Arial"/>
                <w:sz w:val="21"/>
              </w:rPr>
            </w:pPr>
          </w:p>
        </w:tc>
        <w:tc>
          <w:tcPr>
            <w:tcW w:w="735" w:type="dxa"/>
            <w:vAlign w:val="top"/>
          </w:tcPr>
          <w:p w14:paraId="589B4210">
            <w:pPr>
              <w:rPr>
                <w:rFonts w:ascii="Arial"/>
                <w:sz w:val="21"/>
              </w:rPr>
            </w:pPr>
          </w:p>
        </w:tc>
        <w:tc>
          <w:tcPr>
            <w:tcW w:w="2444" w:type="dxa"/>
            <w:vAlign w:val="top"/>
          </w:tcPr>
          <w:p w14:paraId="595BF999">
            <w:pPr>
              <w:rPr>
                <w:rFonts w:ascii="Arial"/>
                <w:sz w:val="21"/>
              </w:rPr>
            </w:pPr>
          </w:p>
        </w:tc>
        <w:tc>
          <w:tcPr>
            <w:tcW w:w="750" w:type="dxa"/>
            <w:vAlign w:val="top"/>
          </w:tcPr>
          <w:p w14:paraId="00EB4CD3">
            <w:pPr>
              <w:rPr>
                <w:rFonts w:ascii="Arial"/>
                <w:sz w:val="21"/>
              </w:rPr>
            </w:pPr>
          </w:p>
        </w:tc>
        <w:tc>
          <w:tcPr>
            <w:tcW w:w="705" w:type="dxa"/>
            <w:vAlign w:val="top"/>
          </w:tcPr>
          <w:p w14:paraId="17AA6D81">
            <w:pPr>
              <w:rPr>
                <w:rFonts w:ascii="Arial"/>
                <w:sz w:val="21"/>
              </w:rPr>
            </w:pPr>
          </w:p>
        </w:tc>
        <w:tc>
          <w:tcPr>
            <w:tcW w:w="753" w:type="dxa"/>
            <w:vAlign w:val="top"/>
          </w:tcPr>
          <w:p w14:paraId="3596516F">
            <w:pPr>
              <w:rPr>
                <w:rFonts w:ascii="Arial"/>
                <w:sz w:val="21"/>
              </w:rPr>
            </w:pPr>
          </w:p>
        </w:tc>
        <w:tc>
          <w:tcPr>
            <w:tcW w:w="1036" w:type="dxa"/>
            <w:vAlign w:val="top"/>
          </w:tcPr>
          <w:p w14:paraId="6EE50AAF">
            <w:pPr>
              <w:rPr>
                <w:rFonts w:ascii="Arial"/>
                <w:sz w:val="21"/>
              </w:rPr>
            </w:pPr>
          </w:p>
        </w:tc>
      </w:tr>
      <w:tr w14:paraId="0DC72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vAlign w:val="top"/>
          </w:tcPr>
          <w:p w14:paraId="0537E20D">
            <w:pPr>
              <w:rPr>
                <w:rFonts w:ascii="Arial"/>
                <w:sz w:val="21"/>
              </w:rPr>
            </w:pPr>
          </w:p>
        </w:tc>
        <w:tc>
          <w:tcPr>
            <w:tcW w:w="1356" w:type="dxa"/>
            <w:vAlign w:val="top"/>
          </w:tcPr>
          <w:p w14:paraId="0EAA77D6">
            <w:pPr>
              <w:rPr>
                <w:rFonts w:ascii="Arial"/>
                <w:sz w:val="21"/>
              </w:rPr>
            </w:pPr>
          </w:p>
        </w:tc>
        <w:tc>
          <w:tcPr>
            <w:tcW w:w="802" w:type="dxa"/>
            <w:vAlign w:val="top"/>
          </w:tcPr>
          <w:p w14:paraId="374DF48B">
            <w:pPr>
              <w:rPr>
                <w:rFonts w:ascii="Arial"/>
                <w:sz w:val="21"/>
              </w:rPr>
            </w:pPr>
          </w:p>
        </w:tc>
        <w:tc>
          <w:tcPr>
            <w:tcW w:w="735" w:type="dxa"/>
            <w:vAlign w:val="top"/>
          </w:tcPr>
          <w:p w14:paraId="11E05F2E">
            <w:pPr>
              <w:rPr>
                <w:rFonts w:ascii="Arial"/>
                <w:sz w:val="21"/>
              </w:rPr>
            </w:pPr>
          </w:p>
        </w:tc>
        <w:tc>
          <w:tcPr>
            <w:tcW w:w="2444" w:type="dxa"/>
            <w:vAlign w:val="top"/>
          </w:tcPr>
          <w:p w14:paraId="3A4D076D">
            <w:pPr>
              <w:rPr>
                <w:rFonts w:ascii="Arial"/>
                <w:sz w:val="21"/>
              </w:rPr>
            </w:pPr>
          </w:p>
        </w:tc>
        <w:tc>
          <w:tcPr>
            <w:tcW w:w="750" w:type="dxa"/>
            <w:vAlign w:val="top"/>
          </w:tcPr>
          <w:p w14:paraId="646951DB">
            <w:pPr>
              <w:rPr>
                <w:rFonts w:ascii="Arial"/>
                <w:sz w:val="21"/>
              </w:rPr>
            </w:pPr>
          </w:p>
        </w:tc>
        <w:tc>
          <w:tcPr>
            <w:tcW w:w="705" w:type="dxa"/>
            <w:vAlign w:val="top"/>
          </w:tcPr>
          <w:p w14:paraId="46FC73B8">
            <w:pPr>
              <w:rPr>
                <w:rFonts w:ascii="Arial"/>
                <w:sz w:val="21"/>
              </w:rPr>
            </w:pPr>
          </w:p>
        </w:tc>
        <w:tc>
          <w:tcPr>
            <w:tcW w:w="753" w:type="dxa"/>
            <w:vAlign w:val="top"/>
          </w:tcPr>
          <w:p w14:paraId="611CCA6E">
            <w:pPr>
              <w:rPr>
                <w:rFonts w:ascii="Arial"/>
                <w:sz w:val="21"/>
              </w:rPr>
            </w:pPr>
          </w:p>
        </w:tc>
        <w:tc>
          <w:tcPr>
            <w:tcW w:w="1036" w:type="dxa"/>
            <w:vAlign w:val="top"/>
          </w:tcPr>
          <w:p w14:paraId="5E0ECFCA">
            <w:pPr>
              <w:rPr>
                <w:rFonts w:ascii="Arial"/>
                <w:sz w:val="21"/>
              </w:rPr>
            </w:pPr>
          </w:p>
        </w:tc>
      </w:tr>
      <w:tr w14:paraId="5C956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vAlign w:val="top"/>
          </w:tcPr>
          <w:p w14:paraId="109A4C79">
            <w:pPr>
              <w:rPr>
                <w:rFonts w:ascii="Arial"/>
                <w:sz w:val="21"/>
              </w:rPr>
            </w:pPr>
          </w:p>
        </w:tc>
        <w:tc>
          <w:tcPr>
            <w:tcW w:w="1356" w:type="dxa"/>
            <w:vAlign w:val="top"/>
          </w:tcPr>
          <w:p w14:paraId="4D026D6B">
            <w:pPr>
              <w:rPr>
                <w:rFonts w:ascii="Arial"/>
                <w:sz w:val="21"/>
              </w:rPr>
            </w:pPr>
          </w:p>
        </w:tc>
        <w:tc>
          <w:tcPr>
            <w:tcW w:w="802" w:type="dxa"/>
            <w:vAlign w:val="top"/>
          </w:tcPr>
          <w:p w14:paraId="56C573CC">
            <w:pPr>
              <w:rPr>
                <w:rFonts w:ascii="Arial"/>
                <w:sz w:val="21"/>
              </w:rPr>
            </w:pPr>
          </w:p>
        </w:tc>
        <w:tc>
          <w:tcPr>
            <w:tcW w:w="735" w:type="dxa"/>
            <w:vAlign w:val="top"/>
          </w:tcPr>
          <w:p w14:paraId="62E9A95A">
            <w:pPr>
              <w:rPr>
                <w:rFonts w:ascii="Arial"/>
                <w:sz w:val="21"/>
              </w:rPr>
            </w:pPr>
          </w:p>
        </w:tc>
        <w:tc>
          <w:tcPr>
            <w:tcW w:w="2444" w:type="dxa"/>
            <w:vAlign w:val="top"/>
          </w:tcPr>
          <w:p w14:paraId="5B6EE774">
            <w:pPr>
              <w:rPr>
                <w:rFonts w:ascii="Arial"/>
                <w:sz w:val="21"/>
              </w:rPr>
            </w:pPr>
          </w:p>
        </w:tc>
        <w:tc>
          <w:tcPr>
            <w:tcW w:w="750" w:type="dxa"/>
            <w:vAlign w:val="top"/>
          </w:tcPr>
          <w:p w14:paraId="59AA6410">
            <w:pPr>
              <w:rPr>
                <w:rFonts w:ascii="Arial"/>
                <w:sz w:val="21"/>
              </w:rPr>
            </w:pPr>
          </w:p>
        </w:tc>
        <w:tc>
          <w:tcPr>
            <w:tcW w:w="705" w:type="dxa"/>
            <w:vAlign w:val="top"/>
          </w:tcPr>
          <w:p w14:paraId="3D0A1430">
            <w:pPr>
              <w:rPr>
                <w:rFonts w:ascii="Arial"/>
                <w:sz w:val="21"/>
              </w:rPr>
            </w:pPr>
          </w:p>
        </w:tc>
        <w:tc>
          <w:tcPr>
            <w:tcW w:w="753" w:type="dxa"/>
            <w:vAlign w:val="top"/>
          </w:tcPr>
          <w:p w14:paraId="167D0E0A">
            <w:pPr>
              <w:rPr>
                <w:rFonts w:ascii="Arial"/>
                <w:sz w:val="21"/>
              </w:rPr>
            </w:pPr>
          </w:p>
        </w:tc>
        <w:tc>
          <w:tcPr>
            <w:tcW w:w="1036" w:type="dxa"/>
            <w:vAlign w:val="top"/>
          </w:tcPr>
          <w:p w14:paraId="58F17569">
            <w:pPr>
              <w:rPr>
                <w:rFonts w:ascii="Arial"/>
                <w:sz w:val="21"/>
              </w:rPr>
            </w:pPr>
          </w:p>
        </w:tc>
      </w:tr>
      <w:tr w14:paraId="609AB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vAlign w:val="top"/>
          </w:tcPr>
          <w:p w14:paraId="360294A9">
            <w:pPr>
              <w:rPr>
                <w:rFonts w:ascii="Arial"/>
                <w:sz w:val="21"/>
              </w:rPr>
            </w:pPr>
          </w:p>
        </w:tc>
        <w:tc>
          <w:tcPr>
            <w:tcW w:w="1356" w:type="dxa"/>
            <w:vAlign w:val="top"/>
          </w:tcPr>
          <w:p w14:paraId="7CDC371A">
            <w:pPr>
              <w:rPr>
                <w:rFonts w:ascii="Arial"/>
                <w:sz w:val="21"/>
              </w:rPr>
            </w:pPr>
          </w:p>
        </w:tc>
        <w:tc>
          <w:tcPr>
            <w:tcW w:w="802" w:type="dxa"/>
            <w:vAlign w:val="top"/>
          </w:tcPr>
          <w:p w14:paraId="67F60BD4">
            <w:pPr>
              <w:rPr>
                <w:rFonts w:ascii="Arial"/>
                <w:sz w:val="21"/>
              </w:rPr>
            </w:pPr>
          </w:p>
        </w:tc>
        <w:tc>
          <w:tcPr>
            <w:tcW w:w="735" w:type="dxa"/>
            <w:vAlign w:val="top"/>
          </w:tcPr>
          <w:p w14:paraId="0CA739D7">
            <w:pPr>
              <w:rPr>
                <w:rFonts w:ascii="Arial"/>
                <w:sz w:val="21"/>
              </w:rPr>
            </w:pPr>
          </w:p>
        </w:tc>
        <w:tc>
          <w:tcPr>
            <w:tcW w:w="2444" w:type="dxa"/>
            <w:vAlign w:val="top"/>
          </w:tcPr>
          <w:p w14:paraId="22CCE8F5">
            <w:pPr>
              <w:rPr>
                <w:rFonts w:ascii="Arial"/>
                <w:sz w:val="21"/>
              </w:rPr>
            </w:pPr>
          </w:p>
        </w:tc>
        <w:tc>
          <w:tcPr>
            <w:tcW w:w="750" w:type="dxa"/>
            <w:vAlign w:val="top"/>
          </w:tcPr>
          <w:p w14:paraId="7FE9BB35">
            <w:pPr>
              <w:rPr>
                <w:rFonts w:ascii="Arial"/>
                <w:sz w:val="21"/>
              </w:rPr>
            </w:pPr>
          </w:p>
        </w:tc>
        <w:tc>
          <w:tcPr>
            <w:tcW w:w="705" w:type="dxa"/>
            <w:vAlign w:val="top"/>
          </w:tcPr>
          <w:p w14:paraId="216AB153">
            <w:pPr>
              <w:rPr>
                <w:rFonts w:ascii="Arial"/>
                <w:sz w:val="21"/>
              </w:rPr>
            </w:pPr>
          </w:p>
        </w:tc>
        <w:tc>
          <w:tcPr>
            <w:tcW w:w="753" w:type="dxa"/>
            <w:vAlign w:val="top"/>
          </w:tcPr>
          <w:p w14:paraId="63D35C67">
            <w:pPr>
              <w:rPr>
                <w:rFonts w:ascii="Arial"/>
                <w:sz w:val="21"/>
              </w:rPr>
            </w:pPr>
          </w:p>
        </w:tc>
        <w:tc>
          <w:tcPr>
            <w:tcW w:w="1036" w:type="dxa"/>
            <w:vAlign w:val="top"/>
          </w:tcPr>
          <w:p w14:paraId="569C1A0F">
            <w:pPr>
              <w:rPr>
                <w:rFonts w:ascii="Arial"/>
                <w:sz w:val="21"/>
              </w:rPr>
            </w:pPr>
          </w:p>
        </w:tc>
      </w:tr>
      <w:tr w14:paraId="1F471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vAlign w:val="top"/>
          </w:tcPr>
          <w:p w14:paraId="6F1B4E50">
            <w:pPr>
              <w:rPr>
                <w:rFonts w:ascii="Arial"/>
                <w:sz w:val="21"/>
              </w:rPr>
            </w:pPr>
          </w:p>
        </w:tc>
        <w:tc>
          <w:tcPr>
            <w:tcW w:w="1356" w:type="dxa"/>
            <w:vAlign w:val="top"/>
          </w:tcPr>
          <w:p w14:paraId="7BEC2792">
            <w:pPr>
              <w:rPr>
                <w:rFonts w:ascii="Arial"/>
                <w:sz w:val="21"/>
              </w:rPr>
            </w:pPr>
          </w:p>
        </w:tc>
        <w:tc>
          <w:tcPr>
            <w:tcW w:w="802" w:type="dxa"/>
            <w:vAlign w:val="top"/>
          </w:tcPr>
          <w:p w14:paraId="518490E1">
            <w:pPr>
              <w:rPr>
                <w:rFonts w:ascii="Arial"/>
                <w:sz w:val="21"/>
              </w:rPr>
            </w:pPr>
          </w:p>
        </w:tc>
        <w:tc>
          <w:tcPr>
            <w:tcW w:w="735" w:type="dxa"/>
            <w:vAlign w:val="top"/>
          </w:tcPr>
          <w:p w14:paraId="2F603846">
            <w:pPr>
              <w:rPr>
                <w:rFonts w:ascii="Arial"/>
                <w:sz w:val="21"/>
              </w:rPr>
            </w:pPr>
          </w:p>
        </w:tc>
        <w:tc>
          <w:tcPr>
            <w:tcW w:w="2444" w:type="dxa"/>
            <w:vAlign w:val="top"/>
          </w:tcPr>
          <w:p w14:paraId="74B66796">
            <w:pPr>
              <w:rPr>
                <w:rFonts w:ascii="Arial"/>
                <w:sz w:val="21"/>
              </w:rPr>
            </w:pPr>
          </w:p>
        </w:tc>
        <w:tc>
          <w:tcPr>
            <w:tcW w:w="750" w:type="dxa"/>
            <w:vAlign w:val="top"/>
          </w:tcPr>
          <w:p w14:paraId="43F09A60">
            <w:pPr>
              <w:rPr>
                <w:rFonts w:ascii="Arial"/>
                <w:sz w:val="21"/>
              </w:rPr>
            </w:pPr>
          </w:p>
        </w:tc>
        <w:tc>
          <w:tcPr>
            <w:tcW w:w="705" w:type="dxa"/>
            <w:vAlign w:val="top"/>
          </w:tcPr>
          <w:p w14:paraId="0D12005B">
            <w:pPr>
              <w:rPr>
                <w:rFonts w:ascii="Arial"/>
                <w:sz w:val="21"/>
              </w:rPr>
            </w:pPr>
          </w:p>
        </w:tc>
        <w:tc>
          <w:tcPr>
            <w:tcW w:w="753" w:type="dxa"/>
            <w:vAlign w:val="top"/>
          </w:tcPr>
          <w:p w14:paraId="70EE4C92">
            <w:pPr>
              <w:rPr>
                <w:rFonts w:ascii="Arial"/>
                <w:sz w:val="21"/>
              </w:rPr>
            </w:pPr>
          </w:p>
        </w:tc>
        <w:tc>
          <w:tcPr>
            <w:tcW w:w="1036" w:type="dxa"/>
            <w:vAlign w:val="top"/>
          </w:tcPr>
          <w:p w14:paraId="178D1138">
            <w:pPr>
              <w:rPr>
                <w:rFonts w:ascii="Arial"/>
                <w:sz w:val="21"/>
              </w:rPr>
            </w:pPr>
          </w:p>
        </w:tc>
      </w:tr>
      <w:tr w14:paraId="3A20B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11" w:type="dxa"/>
            <w:vAlign w:val="top"/>
          </w:tcPr>
          <w:p w14:paraId="16CEA5D3">
            <w:pPr>
              <w:rPr>
                <w:rFonts w:ascii="Arial"/>
                <w:sz w:val="21"/>
              </w:rPr>
            </w:pPr>
          </w:p>
        </w:tc>
        <w:tc>
          <w:tcPr>
            <w:tcW w:w="1356" w:type="dxa"/>
            <w:vAlign w:val="top"/>
          </w:tcPr>
          <w:p w14:paraId="1C253266">
            <w:pPr>
              <w:rPr>
                <w:rFonts w:ascii="Arial"/>
                <w:sz w:val="21"/>
              </w:rPr>
            </w:pPr>
          </w:p>
        </w:tc>
        <w:tc>
          <w:tcPr>
            <w:tcW w:w="802" w:type="dxa"/>
            <w:vAlign w:val="top"/>
          </w:tcPr>
          <w:p w14:paraId="1167E008">
            <w:pPr>
              <w:rPr>
                <w:rFonts w:ascii="Arial"/>
                <w:sz w:val="21"/>
              </w:rPr>
            </w:pPr>
          </w:p>
        </w:tc>
        <w:tc>
          <w:tcPr>
            <w:tcW w:w="735" w:type="dxa"/>
            <w:vAlign w:val="top"/>
          </w:tcPr>
          <w:p w14:paraId="36EA6038">
            <w:pPr>
              <w:rPr>
                <w:rFonts w:ascii="Arial"/>
                <w:sz w:val="21"/>
              </w:rPr>
            </w:pPr>
          </w:p>
        </w:tc>
        <w:tc>
          <w:tcPr>
            <w:tcW w:w="2444" w:type="dxa"/>
            <w:vAlign w:val="top"/>
          </w:tcPr>
          <w:p w14:paraId="2F9E20AA">
            <w:pPr>
              <w:rPr>
                <w:rFonts w:ascii="Arial"/>
                <w:sz w:val="21"/>
              </w:rPr>
            </w:pPr>
          </w:p>
        </w:tc>
        <w:tc>
          <w:tcPr>
            <w:tcW w:w="750" w:type="dxa"/>
            <w:vAlign w:val="top"/>
          </w:tcPr>
          <w:p w14:paraId="57AAF0F0">
            <w:pPr>
              <w:rPr>
                <w:rFonts w:ascii="Arial"/>
                <w:sz w:val="21"/>
              </w:rPr>
            </w:pPr>
          </w:p>
        </w:tc>
        <w:tc>
          <w:tcPr>
            <w:tcW w:w="705" w:type="dxa"/>
            <w:vAlign w:val="top"/>
          </w:tcPr>
          <w:p w14:paraId="6367F5A9">
            <w:pPr>
              <w:rPr>
                <w:rFonts w:ascii="Arial"/>
                <w:sz w:val="21"/>
              </w:rPr>
            </w:pPr>
          </w:p>
        </w:tc>
        <w:tc>
          <w:tcPr>
            <w:tcW w:w="753" w:type="dxa"/>
            <w:vAlign w:val="top"/>
          </w:tcPr>
          <w:p w14:paraId="64668611">
            <w:pPr>
              <w:rPr>
                <w:rFonts w:ascii="Arial"/>
                <w:sz w:val="21"/>
              </w:rPr>
            </w:pPr>
          </w:p>
        </w:tc>
        <w:tc>
          <w:tcPr>
            <w:tcW w:w="1036" w:type="dxa"/>
            <w:vAlign w:val="top"/>
          </w:tcPr>
          <w:p w14:paraId="52B5C641">
            <w:pPr>
              <w:rPr>
                <w:rFonts w:ascii="Arial"/>
                <w:sz w:val="21"/>
              </w:rPr>
            </w:pPr>
          </w:p>
        </w:tc>
      </w:tr>
      <w:tr w14:paraId="4F762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711" w:type="dxa"/>
            <w:vAlign w:val="top"/>
          </w:tcPr>
          <w:p w14:paraId="7383917B">
            <w:pPr>
              <w:rPr>
                <w:rFonts w:ascii="Arial"/>
                <w:sz w:val="21"/>
              </w:rPr>
            </w:pPr>
          </w:p>
        </w:tc>
        <w:tc>
          <w:tcPr>
            <w:tcW w:w="1356" w:type="dxa"/>
            <w:vAlign w:val="top"/>
          </w:tcPr>
          <w:p w14:paraId="375C6080">
            <w:pPr>
              <w:rPr>
                <w:rFonts w:ascii="Arial"/>
                <w:sz w:val="21"/>
              </w:rPr>
            </w:pPr>
          </w:p>
        </w:tc>
        <w:tc>
          <w:tcPr>
            <w:tcW w:w="802" w:type="dxa"/>
            <w:vAlign w:val="top"/>
          </w:tcPr>
          <w:p w14:paraId="445F82DA">
            <w:pPr>
              <w:rPr>
                <w:rFonts w:ascii="Arial"/>
                <w:sz w:val="21"/>
              </w:rPr>
            </w:pPr>
          </w:p>
        </w:tc>
        <w:tc>
          <w:tcPr>
            <w:tcW w:w="735" w:type="dxa"/>
            <w:vAlign w:val="top"/>
          </w:tcPr>
          <w:p w14:paraId="024AB5BC">
            <w:pPr>
              <w:rPr>
                <w:rFonts w:ascii="Arial"/>
                <w:sz w:val="21"/>
              </w:rPr>
            </w:pPr>
          </w:p>
        </w:tc>
        <w:tc>
          <w:tcPr>
            <w:tcW w:w="2444" w:type="dxa"/>
            <w:vAlign w:val="top"/>
          </w:tcPr>
          <w:p w14:paraId="6ACCDFAD">
            <w:pPr>
              <w:rPr>
                <w:rFonts w:ascii="Arial"/>
                <w:sz w:val="21"/>
              </w:rPr>
            </w:pPr>
          </w:p>
        </w:tc>
        <w:tc>
          <w:tcPr>
            <w:tcW w:w="750" w:type="dxa"/>
            <w:vAlign w:val="top"/>
          </w:tcPr>
          <w:p w14:paraId="17BD69D1">
            <w:pPr>
              <w:rPr>
                <w:rFonts w:ascii="Arial"/>
                <w:sz w:val="21"/>
              </w:rPr>
            </w:pPr>
          </w:p>
        </w:tc>
        <w:tc>
          <w:tcPr>
            <w:tcW w:w="705" w:type="dxa"/>
            <w:vAlign w:val="top"/>
          </w:tcPr>
          <w:p w14:paraId="1A4FA5DB">
            <w:pPr>
              <w:rPr>
                <w:rFonts w:ascii="Arial"/>
                <w:sz w:val="21"/>
              </w:rPr>
            </w:pPr>
          </w:p>
        </w:tc>
        <w:tc>
          <w:tcPr>
            <w:tcW w:w="753" w:type="dxa"/>
            <w:vAlign w:val="top"/>
          </w:tcPr>
          <w:p w14:paraId="5960B5C9">
            <w:pPr>
              <w:rPr>
                <w:rFonts w:ascii="Arial"/>
                <w:sz w:val="21"/>
              </w:rPr>
            </w:pPr>
          </w:p>
        </w:tc>
        <w:tc>
          <w:tcPr>
            <w:tcW w:w="1036" w:type="dxa"/>
            <w:vAlign w:val="top"/>
          </w:tcPr>
          <w:p w14:paraId="386C7147">
            <w:pPr>
              <w:rPr>
                <w:rFonts w:ascii="Arial"/>
                <w:sz w:val="21"/>
              </w:rPr>
            </w:pPr>
          </w:p>
        </w:tc>
      </w:tr>
      <w:tr w14:paraId="79964A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11" w:type="dxa"/>
            <w:vAlign w:val="top"/>
          </w:tcPr>
          <w:p w14:paraId="5886EB43">
            <w:pPr>
              <w:rPr>
                <w:rFonts w:ascii="Arial"/>
                <w:sz w:val="21"/>
              </w:rPr>
            </w:pPr>
          </w:p>
        </w:tc>
        <w:tc>
          <w:tcPr>
            <w:tcW w:w="1356" w:type="dxa"/>
            <w:vAlign w:val="top"/>
          </w:tcPr>
          <w:p w14:paraId="45C3F7FC">
            <w:pPr>
              <w:rPr>
                <w:rFonts w:ascii="Arial"/>
                <w:sz w:val="21"/>
              </w:rPr>
            </w:pPr>
          </w:p>
        </w:tc>
        <w:tc>
          <w:tcPr>
            <w:tcW w:w="802" w:type="dxa"/>
            <w:vAlign w:val="top"/>
          </w:tcPr>
          <w:p w14:paraId="77D34767">
            <w:pPr>
              <w:rPr>
                <w:rFonts w:ascii="Arial"/>
                <w:sz w:val="21"/>
              </w:rPr>
            </w:pPr>
          </w:p>
        </w:tc>
        <w:tc>
          <w:tcPr>
            <w:tcW w:w="735" w:type="dxa"/>
            <w:vAlign w:val="top"/>
          </w:tcPr>
          <w:p w14:paraId="34A17EF9">
            <w:pPr>
              <w:rPr>
                <w:rFonts w:ascii="Arial"/>
                <w:sz w:val="21"/>
              </w:rPr>
            </w:pPr>
          </w:p>
        </w:tc>
        <w:tc>
          <w:tcPr>
            <w:tcW w:w="2444" w:type="dxa"/>
            <w:vAlign w:val="top"/>
          </w:tcPr>
          <w:p w14:paraId="43C1C68E">
            <w:pPr>
              <w:rPr>
                <w:rFonts w:ascii="Arial"/>
                <w:sz w:val="21"/>
              </w:rPr>
            </w:pPr>
          </w:p>
        </w:tc>
        <w:tc>
          <w:tcPr>
            <w:tcW w:w="750" w:type="dxa"/>
            <w:vAlign w:val="top"/>
          </w:tcPr>
          <w:p w14:paraId="6B6969A9">
            <w:pPr>
              <w:rPr>
                <w:rFonts w:ascii="Arial"/>
                <w:sz w:val="21"/>
              </w:rPr>
            </w:pPr>
          </w:p>
        </w:tc>
        <w:tc>
          <w:tcPr>
            <w:tcW w:w="705" w:type="dxa"/>
            <w:vAlign w:val="top"/>
          </w:tcPr>
          <w:p w14:paraId="13842863">
            <w:pPr>
              <w:rPr>
                <w:rFonts w:ascii="Arial"/>
                <w:sz w:val="21"/>
              </w:rPr>
            </w:pPr>
          </w:p>
        </w:tc>
        <w:tc>
          <w:tcPr>
            <w:tcW w:w="753" w:type="dxa"/>
            <w:vAlign w:val="top"/>
          </w:tcPr>
          <w:p w14:paraId="6AFCFC67">
            <w:pPr>
              <w:rPr>
                <w:rFonts w:ascii="Arial"/>
                <w:sz w:val="21"/>
              </w:rPr>
            </w:pPr>
          </w:p>
        </w:tc>
        <w:tc>
          <w:tcPr>
            <w:tcW w:w="1036" w:type="dxa"/>
            <w:vAlign w:val="top"/>
          </w:tcPr>
          <w:p w14:paraId="1B8AA2FC">
            <w:pPr>
              <w:rPr>
                <w:rFonts w:ascii="Arial"/>
                <w:sz w:val="21"/>
              </w:rPr>
            </w:pPr>
          </w:p>
        </w:tc>
      </w:tr>
    </w:tbl>
    <w:p w14:paraId="2F4D4517">
      <w:pPr>
        <w:spacing w:line="251" w:lineRule="auto"/>
        <w:rPr>
          <w:rFonts w:ascii="Arial"/>
          <w:sz w:val="21"/>
        </w:rPr>
      </w:pPr>
    </w:p>
    <w:p w14:paraId="7D2B29CC">
      <w:pPr>
        <w:spacing w:line="251" w:lineRule="auto"/>
        <w:rPr>
          <w:rFonts w:ascii="Arial"/>
          <w:sz w:val="21"/>
        </w:rPr>
      </w:pPr>
    </w:p>
    <w:p w14:paraId="525023D5">
      <w:pPr>
        <w:spacing w:line="252" w:lineRule="auto"/>
        <w:rPr>
          <w:rFonts w:ascii="Arial"/>
          <w:sz w:val="21"/>
        </w:rPr>
      </w:pPr>
    </w:p>
    <w:p w14:paraId="7F3D04C9">
      <w:pPr>
        <w:spacing w:line="252" w:lineRule="auto"/>
        <w:rPr>
          <w:rFonts w:ascii="Arial"/>
          <w:sz w:val="21"/>
        </w:rPr>
      </w:pPr>
    </w:p>
    <w:p w14:paraId="42D13EED">
      <w:pPr>
        <w:spacing w:line="252" w:lineRule="auto"/>
        <w:rPr>
          <w:rFonts w:ascii="Arial"/>
          <w:sz w:val="21"/>
        </w:rPr>
      </w:pPr>
    </w:p>
    <w:p w14:paraId="77085662">
      <w:pPr>
        <w:spacing w:line="252" w:lineRule="auto"/>
        <w:rPr>
          <w:rFonts w:ascii="Arial"/>
          <w:sz w:val="21"/>
        </w:rPr>
      </w:pPr>
    </w:p>
    <w:p w14:paraId="0BFF9D0C">
      <w:pPr>
        <w:spacing w:line="252" w:lineRule="auto"/>
        <w:rPr>
          <w:rFonts w:ascii="Arial"/>
          <w:sz w:val="21"/>
        </w:rPr>
      </w:pPr>
    </w:p>
    <w:p w14:paraId="0CE4CDE4">
      <w:pPr>
        <w:spacing w:line="252" w:lineRule="auto"/>
        <w:rPr>
          <w:rFonts w:ascii="Arial"/>
          <w:sz w:val="21"/>
        </w:rPr>
      </w:pPr>
    </w:p>
    <w:p w14:paraId="26E76A03">
      <w:pPr>
        <w:spacing w:line="252" w:lineRule="auto"/>
        <w:rPr>
          <w:rFonts w:ascii="Arial"/>
          <w:sz w:val="21"/>
        </w:rPr>
      </w:pPr>
    </w:p>
    <w:p w14:paraId="3933A8DD">
      <w:pPr>
        <w:spacing w:line="252" w:lineRule="auto"/>
        <w:rPr>
          <w:rFonts w:ascii="Arial"/>
          <w:sz w:val="21"/>
        </w:rPr>
      </w:pPr>
    </w:p>
    <w:p w14:paraId="5A7B6F9F">
      <w:pPr>
        <w:spacing w:line="252" w:lineRule="auto"/>
        <w:rPr>
          <w:rFonts w:ascii="Arial"/>
          <w:sz w:val="21"/>
        </w:rPr>
      </w:pPr>
    </w:p>
    <w:p w14:paraId="44211633">
      <w:pPr>
        <w:spacing w:line="252" w:lineRule="auto"/>
        <w:rPr>
          <w:rFonts w:ascii="Arial"/>
          <w:sz w:val="21"/>
        </w:rPr>
      </w:pPr>
    </w:p>
    <w:p w14:paraId="1F06521A">
      <w:pPr>
        <w:spacing w:line="252" w:lineRule="auto"/>
        <w:rPr>
          <w:rFonts w:ascii="Arial"/>
          <w:sz w:val="21"/>
        </w:rPr>
      </w:pPr>
    </w:p>
    <w:p w14:paraId="5E64F8A3">
      <w:pPr>
        <w:spacing w:line="252" w:lineRule="auto"/>
        <w:rPr>
          <w:rFonts w:ascii="Arial"/>
          <w:sz w:val="21"/>
        </w:rPr>
      </w:pPr>
    </w:p>
    <w:p w14:paraId="59FB7CEA">
      <w:pPr>
        <w:spacing w:line="252" w:lineRule="auto"/>
        <w:rPr>
          <w:rFonts w:ascii="Arial"/>
          <w:sz w:val="21"/>
        </w:rPr>
      </w:pPr>
    </w:p>
    <w:p w14:paraId="5699E50C">
      <w:pPr>
        <w:spacing w:line="252" w:lineRule="auto"/>
        <w:rPr>
          <w:rFonts w:ascii="Arial"/>
          <w:sz w:val="21"/>
        </w:rPr>
      </w:pPr>
    </w:p>
    <w:p w14:paraId="69CD0F07">
      <w:pPr>
        <w:spacing w:line="252" w:lineRule="auto"/>
        <w:rPr>
          <w:rFonts w:ascii="Arial"/>
          <w:sz w:val="21"/>
        </w:rPr>
      </w:pPr>
    </w:p>
    <w:p w14:paraId="22866A7B">
      <w:pPr>
        <w:spacing w:line="252" w:lineRule="auto"/>
        <w:rPr>
          <w:rFonts w:ascii="Arial"/>
          <w:sz w:val="21"/>
        </w:rPr>
      </w:pPr>
    </w:p>
    <w:p w14:paraId="3D3B4166">
      <w:pPr>
        <w:spacing w:line="401" w:lineRule="auto"/>
        <w:rPr>
          <w:rFonts w:hint="eastAsia" w:ascii="Arial" w:eastAsia="宋体"/>
          <w:sz w:val="21"/>
          <w:lang w:eastAsia="zh-CN"/>
        </w:rPr>
      </w:pPr>
      <w:r>
        <w:rPr>
          <w:rFonts w:hint="eastAsia" w:ascii="Arial" w:eastAsia="宋体"/>
          <w:sz w:val="21"/>
          <w:lang w:eastAsia="zh-CN"/>
        </w:rPr>
        <w:br w:type="page"/>
      </w:r>
    </w:p>
    <w:p w14:paraId="2E0FDE95">
      <w:pPr>
        <w:spacing w:before="78" w:line="219" w:lineRule="auto"/>
        <w:ind w:left="27"/>
        <w:rPr>
          <w:rFonts w:ascii="宋体" w:hAnsi="宋体" w:eastAsia="宋体" w:cs="宋体"/>
          <w:sz w:val="24"/>
          <w:szCs w:val="24"/>
        </w:rPr>
      </w:pPr>
      <w:r>
        <w:rPr>
          <w:rFonts w:ascii="宋体" w:hAnsi="宋体" w:eastAsia="宋体" w:cs="宋体"/>
          <w:b/>
          <w:bCs/>
          <w:spacing w:val="-4"/>
          <w:sz w:val="24"/>
          <w:szCs w:val="24"/>
        </w:rPr>
        <w:t>附件十三：甲控乙购材料一览表</w:t>
      </w:r>
    </w:p>
    <w:p w14:paraId="4A75E1C0">
      <w:pPr>
        <w:spacing w:line="365" w:lineRule="auto"/>
        <w:rPr>
          <w:rFonts w:ascii="Arial"/>
          <w:sz w:val="21"/>
        </w:rPr>
      </w:pPr>
    </w:p>
    <w:p w14:paraId="5434F91F">
      <w:pPr>
        <w:spacing w:before="97" w:line="219" w:lineRule="auto"/>
        <w:ind w:left="3227"/>
        <w:rPr>
          <w:rFonts w:ascii="宋体" w:hAnsi="宋体" w:eastAsia="宋体" w:cs="宋体"/>
          <w:sz w:val="30"/>
          <w:szCs w:val="30"/>
        </w:rPr>
      </w:pPr>
      <w:r>
        <w:rPr>
          <w:rFonts w:ascii="宋体" w:hAnsi="宋体" w:eastAsia="宋体" w:cs="宋体"/>
          <w:b/>
          <w:bCs/>
          <w:spacing w:val="-8"/>
          <w:sz w:val="30"/>
          <w:szCs w:val="30"/>
        </w:rPr>
        <w:t>甲控乙购材料一览表</w:t>
      </w:r>
    </w:p>
    <w:p w14:paraId="6C98CAB4">
      <w:pPr>
        <w:spacing w:before="62"/>
      </w:pPr>
    </w:p>
    <w:tbl>
      <w:tblPr>
        <w:tblStyle w:val="13"/>
        <w:tblW w:w="9008" w:type="dxa"/>
        <w:tblInd w:w="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926"/>
        <w:gridCol w:w="2249"/>
        <w:gridCol w:w="1032"/>
        <w:gridCol w:w="2717"/>
      </w:tblGrid>
      <w:tr w14:paraId="500A1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1084" w:type="dxa"/>
            <w:vAlign w:val="top"/>
          </w:tcPr>
          <w:p w14:paraId="596942D5">
            <w:pPr>
              <w:spacing w:line="265" w:lineRule="auto"/>
              <w:rPr>
                <w:rFonts w:ascii="Arial"/>
                <w:sz w:val="21"/>
              </w:rPr>
            </w:pPr>
          </w:p>
          <w:p w14:paraId="2964AD46">
            <w:pPr>
              <w:spacing w:line="265" w:lineRule="auto"/>
              <w:rPr>
                <w:rFonts w:ascii="Arial"/>
                <w:sz w:val="21"/>
              </w:rPr>
            </w:pPr>
          </w:p>
          <w:p w14:paraId="61D16E4E">
            <w:pPr>
              <w:pStyle w:val="14"/>
              <w:spacing w:before="65" w:line="229" w:lineRule="auto"/>
              <w:ind w:left="337"/>
            </w:pPr>
            <w:r>
              <w:rPr>
                <w:spacing w:val="5"/>
              </w:rPr>
              <w:t>序号</w:t>
            </w:r>
          </w:p>
        </w:tc>
        <w:tc>
          <w:tcPr>
            <w:tcW w:w="1926" w:type="dxa"/>
            <w:vAlign w:val="top"/>
          </w:tcPr>
          <w:p w14:paraId="0A4EE431">
            <w:pPr>
              <w:spacing w:line="265" w:lineRule="auto"/>
              <w:rPr>
                <w:rFonts w:ascii="Arial"/>
                <w:sz w:val="21"/>
              </w:rPr>
            </w:pPr>
          </w:p>
          <w:p w14:paraId="67591328">
            <w:pPr>
              <w:spacing w:line="265" w:lineRule="auto"/>
              <w:rPr>
                <w:rFonts w:ascii="Arial"/>
                <w:sz w:val="21"/>
              </w:rPr>
            </w:pPr>
          </w:p>
          <w:p w14:paraId="183E53FD">
            <w:pPr>
              <w:pStyle w:val="14"/>
              <w:spacing w:before="65" w:line="227" w:lineRule="auto"/>
              <w:ind w:left="547"/>
            </w:pPr>
            <w:r>
              <w:rPr>
                <w:spacing w:val="7"/>
              </w:rPr>
              <w:t>材料名称</w:t>
            </w:r>
          </w:p>
        </w:tc>
        <w:tc>
          <w:tcPr>
            <w:tcW w:w="2249" w:type="dxa"/>
            <w:vAlign w:val="top"/>
          </w:tcPr>
          <w:p w14:paraId="6E499E4A">
            <w:pPr>
              <w:spacing w:line="265" w:lineRule="auto"/>
              <w:rPr>
                <w:rFonts w:ascii="Arial"/>
                <w:sz w:val="21"/>
              </w:rPr>
            </w:pPr>
          </w:p>
          <w:p w14:paraId="73B42E7A">
            <w:pPr>
              <w:spacing w:line="265" w:lineRule="auto"/>
              <w:rPr>
                <w:rFonts w:ascii="Arial"/>
                <w:sz w:val="21"/>
              </w:rPr>
            </w:pPr>
          </w:p>
          <w:p w14:paraId="60E8816F">
            <w:pPr>
              <w:pStyle w:val="14"/>
              <w:spacing w:before="65" w:line="229" w:lineRule="auto"/>
              <w:ind w:left="925"/>
            </w:pPr>
            <w:r>
              <w:rPr>
                <w:spacing w:val="1"/>
              </w:rPr>
              <w:t>型号</w:t>
            </w:r>
          </w:p>
        </w:tc>
        <w:tc>
          <w:tcPr>
            <w:tcW w:w="1032" w:type="dxa"/>
            <w:vAlign w:val="top"/>
          </w:tcPr>
          <w:p w14:paraId="5D656C11">
            <w:pPr>
              <w:spacing w:line="265" w:lineRule="auto"/>
              <w:rPr>
                <w:rFonts w:ascii="Arial"/>
                <w:sz w:val="21"/>
              </w:rPr>
            </w:pPr>
          </w:p>
          <w:p w14:paraId="2548F476">
            <w:pPr>
              <w:spacing w:line="266" w:lineRule="auto"/>
              <w:rPr>
                <w:rFonts w:ascii="Arial"/>
                <w:sz w:val="21"/>
              </w:rPr>
            </w:pPr>
          </w:p>
          <w:p w14:paraId="08D7C6CE">
            <w:pPr>
              <w:pStyle w:val="14"/>
              <w:spacing w:before="65" w:line="228" w:lineRule="auto"/>
              <w:ind w:left="313"/>
            </w:pPr>
            <w:r>
              <w:rPr>
                <w:spacing w:val="3"/>
              </w:rPr>
              <w:t>单位</w:t>
            </w:r>
          </w:p>
        </w:tc>
        <w:tc>
          <w:tcPr>
            <w:tcW w:w="2717" w:type="dxa"/>
            <w:vAlign w:val="top"/>
          </w:tcPr>
          <w:p w14:paraId="11E64DCC">
            <w:pPr>
              <w:spacing w:line="395" w:lineRule="auto"/>
              <w:rPr>
                <w:rFonts w:ascii="Arial"/>
                <w:sz w:val="21"/>
              </w:rPr>
            </w:pPr>
          </w:p>
          <w:p w14:paraId="7D872ADF">
            <w:pPr>
              <w:pStyle w:val="14"/>
              <w:spacing w:before="65" w:line="253" w:lineRule="auto"/>
              <w:ind w:left="948" w:right="746" w:hanging="208"/>
            </w:pPr>
            <w:r>
              <w:rPr>
                <w:spacing w:val="4"/>
              </w:rPr>
              <w:t>暂扣价（元）</w:t>
            </w:r>
            <w:r>
              <w:rPr>
                <w:spacing w:val="6"/>
              </w:rPr>
              <w:t>不含税价</w:t>
            </w:r>
          </w:p>
        </w:tc>
      </w:tr>
      <w:tr w14:paraId="1AFB3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vAlign w:val="top"/>
          </w:tcPr>
          <w:p w14:paraId="748CB56A">
            <w:pPr>
              <w:pStyle w:val="14"/>
              <w:spacing w:before="169" w:line="270" w:lineRule="exact"/>
              <w:ind w:left="509"/>
            </w:pPr>
            <w:r>
              <w:rPr>
                <w:position w:val="1"/>
              </w:rPr>
              <w:t>1</w:t>
            </w:r>
          </w:p>
        </w:tc>
        <w:tc>
          <w:tcPr>
            <w:tcW w:w="1926" w:type="dxa"/>
            <w:vAlign w:val="top"/>
          </w:tcPr>
          <w:p w14:paraId="4DC0CBF9">
            <w:pPr>
              <w:rPr>
                <w:rFonts w:ascii="Arial"/>
                <w:sz w:val="21"/>
              </w:rPr>
            </w:pPr>
          </w:p>
        </w:tc>
        <w:tc>
          <w:tcPr>
            <w:tcW w:w="2249" w:type="dxa"/>
            <w:vAlign w:val="top"/>
          </w:tcPr>
          <w:p w14:paraId="4130B7B9">
            <w:pPr>
              <w:rPr>
                <w:rFonts w:ascii="Arial"/>
                <w:sz w:val="21"/>
              </w:rPr>
            </w:pPr>
          </w:p>
        </w:tc>
        <w:tc>
          <w:tcPr>
            <w:tcW w:w="1032" w:type="dxa"/>
            <w:vAlign w:val="top"/>
          </w:tcPr>
          <w:p w14:paraId="75A4D386">
            <w:pPr>
              <w:rPr>
                <w:rFonts w:ascii="Arial"/>
                <w:sz w:val="21"/>
              </w:rPr>
            </w:pPr>
          </w:p>
        </w:tc>
        <w:tc>
          <w:tcPr>
            <w:tcW w:w="2717" w:type="dxa"/>
            <w:vAlign w:val="top"/>
          </w:tcPr>
          <w:p w14:paraId="6443AAA3">
            <w:pPr>
              <w:rPr>
                <w:rFonts w:ascii="Arial"/>
                <w:sz w:val="21"/>
              </w:rPr>
            </w:pPr>
          </w:p>
        </w:tc>
      </w:tr>
      <w:tr w14:paraId="012C7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vAlign w:val="top"/>
          </w:tcPr>
          <w:p w14:paraId="52F3B4D2">
            <w:pPr>
              <w:pStyle w:val="14"/>
              <w:spacing w:before="170" w:line="270" w:lineRule="exact"/>
              <w:ind w:left="496"/>
            </w:pPr>
            <w:r>
              <w:rPr>
                <w:position w:val="1"/>
              </w:rPr>
              <w:t>2</w:t>
            </w:r>
          </w:p>
        </w:tc>
        <w:tc>
          <w:tcPr>
            <w:tcW w:w="1926" w:type="dxa"/>
            <w:vAlign w:val="top"/>
          </w:tcPr>
          <w:p w14:paraId="2C7A5C64">
            <w:pPr>
              <w:rPr>
                <w:rFonts w:ascii="Arial"/>
                <w:sz w:val="21"/>
              </w:rPr>
            </w:pPr>
          </w:p>
        </w:tc>
        <w:tc>
          <w:tcPr>
            <w:tcW w:w="2249" w:type="dxa"/>
            <w:vAlign w:val="top"/>
          </w:tcPr>
          <w:p w14:paraId="1D788B8F">
            <w:pPr>
              <w:rPr>
                <w:rFonts w:ascii="Arial"/>
                <w:sz w:val="21"/>
              </w:rPr>
            </w:pPr>
          </w:p>
        </w:tc>
        <w:tc>
          <w:tcPr>
            <w:tcW w:w="1032" w:type="dxa"/>
            <w:vAlign w:val="top"/>
          </w:tcPr>
          <w:p w14:paraId="66C567D5">
            <w:pPr>
              <w:rPr>
                <w:rFonts w:ascii="Arial"/>
                <w:sz w:val="21"/>
              </w:rPr>
            </w:pPr>
          </w:p>
        </w:tc>
        <w:tc>
          <w:tcPr>
            <w:tcW w:w="2717" w:type="dxa"/>
            <w:vAlign w:val="top"/>
          </w:tcPr>
          <w:p w14:paraId="01A53A1F">
            <w:pPr>
              <w:rPr>
                <w:rFonts w:ascii="Arial"/>
                <w:sz w:val="21"/>
              </w:rPr>
            </w:pPr>
          </w:p>
        </w:tc>
      </w:tr>
      <w:tr w14:paraId="4BCF4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1084" w:type="dxa"/>
            <w:vAlign w:val="top"/>
          </w:tcPr>
          <w:p w14:paraId="4076DB64">
            <w:pPr>
              <w:pStyle w:val="14"/>
              <w:spacing w:before="171" w:line="268" w:lineRule="exact"/>
              <w:ind w:left="498"/>
            </w:pPr>
            <w:r>
              <w:rPr>
                <w:position w:val="1"/>
              </w:rPr>
              <w:t>3</w:t>
            </w:r>
          </w:p>
        </w:tc>
        <w:tc>
          <w:tcPr>
            <w:tcW w:w="1926" w:type="dxa"/>
            <w:vAlign w:val="top"/>
          </w:tcPr>
          <w:p w14:paraId="3852FCB9">
            <w:pPr>
              <w:rPr>
                <w:rFonts w:ascii="Arial"/>
                <w:sz w:val="21"/>
              </w:rPr>
            </w:pPr>
          </w:p>
        </w:tc>
        <w:tc>
          <w:tcPr>
            <w:tcW w:w="2249" w:type="dxa"/>
            <w:vAlign w:val="top"/>
          </w:tcPr>
          <w:p w14:paraId="65966790">
            <w:pPr>
              <w:rPr>
                <w:rFonts w:ascii="Arial"/>
                <w:sz w:val="21"/>
              </w:rPr>
            </w:pPr>
          </w:p>
        </w:tc>
        <w:tc>
          <w:tcPr>
            <w:tcW w:w="1032" w:type="dxa"/>
            <w:vAlign w:val="top"/>
          </w:tcPr>
          <w:p w14:paraId="76E5F882">
            <w:pPr>
              <w:rPr>
                <w:rFonts w:ascii="Arial"/>
                <w:sz w:val="21"/>
              </w:rPr>
            </w:pPr>
          </w:p>
        </w:tc>
        <w:tc>
          <w:tcPr>
            <w:tcW w:w="2717" w:type="dxa"/>
            <w:vAlign w:val="top"/>
          </w:tcPr>
          <w:p w14:paraId="3A77FF5E">
            <w:pPr>
              <w:rPr>
                <w:rFonts w:ascii="Arial"/>
                <w:sz w:val="21"/>
              </w:rPr>
            </w:pPr>
          </w:p>
        </w:tc>
      </w:tr>
      <w:tr w14:paraId="6F713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1084" w:type="dxa"/>
            <w:vAlign w:val="top"/>
          </w:tcPr>
          <w:p w14:paraId="5C2CC277">
            <w:pPr>
              <w:pStyle w:val="14"/>
              <w:spacing w:before="173" w:line="270" w:lineRule="exact"/>
              <w:ind w:left="493"/>
            </w:pPr>
            <w:r>
              <w:rPr>
                <w:position w:val="1"/>
              </w:rPr>
              <w:t>4</w:t>
            </w:r>
          </w:p>
        </w:tc>
        <w:tc>
          <w:tcPr>
            <w:tcW w:w="1926" w:type="dxa"/>
            <w:vAlign w:val="top"/>
          </w:tcPr>
          <w:p w14:paraId="33D1A8ED">
            <w:pPr>
              <w:rPr>
                <w:rFonts w:ascii="Arial"/>
                <w:sz w:val="21"/>
              </w:rPr>
            </w:pPr>
          </w:p>
        </w:tc>
        <w:tc>
          <w:tcPr>
            <w:tcW w:w="2249" w:type="dxa"/>
            <w:vAlign w:val="top"/>
          </w:tcPr>
          <w:p w14:paraId="294C606D">
            <w:pPr>
              <w:rPr>
                <w:rFonts w:ascii="Arial"/>
                <w:sz w:val="21"/>
              </w:rPr>
            </w:pPr>
          </w:p>
        </w:tc>
        <w:tc>
          <w:tcPr>
            <w:tcW w:w="1032" w:type="dxa"/>
            <w:vAlign w:val="top"/>
          </w:tcPr>
          <w:p w14:paraId="5FEC1386">
            <w:pPr>
              <w:rPr>
                <w:rFonts w:ascii="Arial"/>
                <w:sz w:val="21"/>
              </w:rPr>
            </w:pPr>
          </w:p>
        </w:tc>
        <w:tc>
          <w:tcPr>
            <w:tcW w:w="2717" w:type="dxa"/>
            <w:vAlign w:val="top"/>
          </w:tcPr>
          <w:p w14:paraId="37EC6659">
            <w:pPr>
              <w:rPr>
                <w:rFonts w:ascii="Arial"/>
                <w:sz w:val="21"/>
              </w:rPr>
            </w:pPr>
          </w:p>
        </w:tc>
      </w:tr>
      <w:tr w14:paraId="49EA5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vAlign w:val="top"/>
          </w:tcPr>
          <w:p w14:paraId="422F0C10">
            <w:pPr>
              <w:pStyle w:val="14"/>
              <w:spacing w:before="173" w:line="268" w:lineRule="exact"/>
              <w:ind w:left="498"/>
            </w:pPr>
            <w:r>
              <w:rPr>
                <w:position w:val="1"/>
              </w:rPr>
              <w:t>5</w:t>
            </w:r>
          </w:p>
        </w:tc>
        <w:tc>
          <w:tcPr>
            <w:tcW w:w="1926" w:type="dxa"/>
            <w:vAlign w:val="top"/>
          </w:tcPr>
          <w:p w14:paraId="451900B5">
            <w:pPr>
              <w:rPr>
                <w:rFonts w:ascii="Arial"/>
                <w:sz w:val="21"/>
              </w:rPr>
            </w:pPr>
          </w:p>
        </w:tc>
        <w:tc>
          <w:tcPr>
            <w:tcW w:w="2249" w:type="dxa"/>
            <w:vAlign w:val="top"/>
          </w:tcPr>
          <w:p w14:paraId="2979DA03">
            <w:pPr>
              <w:rPr>
                <w:rFonts w:ascii="Arial"/>
                <w:sz w:val="21"/>
              </w:rPr>
            </w:pPr>
          </w:p>
        </w:tc>
        <w:tc>
          <w:tcPr>
            <w:tcW w:w="1032" w:type="dxa"/>
            <w:vAlign w:val="top"/>
          </w:tcPr>
          <w:p w14:paraId="49D56581">
            <w:pPr>
              <w:rPr>
                <w:rFonts w:ascii="Arial"/>
                <w:sz w:val="21"/>
              </w:rPr>
            </w:pPr>
          </w:p>
        </w:tc>
        <w:tc>
          <w:tcPr>
            <w:tcW w:w="2717" w:type="dxa"/>
            <w:vAlign w:val="top"/>
          </w:tcPr>
          <w:p w14:paraId="751E274C">
            <w:pPr>
              <w:rPr>
                <w:rFonts w:ascii="Arial"/>
                <w:sz w:val="21"/>
              </w:rPr>
            </w:pPr>
          </w:p>
        </w:tc>
      </w:tr>
      <w:tr w14:paraId="53049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1084" w:type="dxa"/>
            <w:vAlign w:val="top"/>
          </w:tcPr>
          <w:p w14:paraId="12AD52A2">
            <w:pPr>
              <w:pStyle w:val="14"/>
              <w:spacing w:before="174" w:line="268" w:lineRule="exact"/>
              <w:ind w:left="496"/>
            </w:pPr>
            <w:r>
              <w:rPr>
                <w:position w:val="1"/>
              </w:rPr>
              <w:t>6</w:t>
            </w:r>
          </w:p>
        </w:tc>
        <w:tc>
          <w:tcPr>
            <w:tcW w:w="1926" w:type="dxa"/>
            <w:vAlign w:val="top"/>
          </w:tcPr>
          <w:p w14:paraId="3F2FA4D3">
            <w:pPr>
              <w:rPr>
                <w:rFonts w:ascii="Arial"/>
                <w:sz w:val="21"/>
              </w:rPr>
            </w:pPr>
          </w:p>
        </w:tc>
        <w:tc>
          <w:tcPr>
            <w:tcW w:w="2249" w:type="dxa"/>
            <w:vAlign w:val="top"/>
          </w:tcPr>
          <w:p w14:paraId="726EE126">
            <w:pPr>
              <w:rPr>
                <w:rFonts w:ascii="Arial"/>
                <w:sz w:val="21"/>
              </w:rPr>
            </w:pPr>
          </w:p>
        </w:tc>
        <w:tc>
          <w:tcPr>
            <w:tcW w:w="1032" w:type="dxa"/>
            <w:vAlign w:val="top"/>
          </w:tcPr>
          <w:p w14:paraId="08017E03">
            <w:pPr>
              <w:rPr>
                <w:rFonts w:ascii="Arial"/>
                <w:sz w:val="21"/>
              </w:rPr>
            </w:pPr>
          </w:p>
        </w:tc>
        <w:tc>
          <w:tcPr>
            <w:tcW w:w="2717" w:type="dxa"/>
            <w:vAlign w:val="top"/>
          </w:tcPr>
          <w:p w14:paraId="4E628744">
            <w:pPr>
              <w:rPr>
                <w:rFonts w:ascii="Arial"/>
                <w:sz w:val="21"/>
              </w:rPr>
            </w:pPr>
          </w:p>
        </w:tc>
      </w:tr>
      <w:tr w14:paraId="65710B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084" w:type="dxa"/>
            <w:vAlign w:val="top"/>
          </w:tcPr>
          <w:p w14:paraId="3E9085DE">
            <w:pPr>
              <w:pStyle w:val="14"/>
              <w:spacing w:before="173" w:line="269" w:lineRule="exact"/>
              <w:ind w:left="499"/>
            </w:pPr>
            <w:r>
              <w:rPr>
                <w:position w:val="1"/>
              </w:rPr>
              <w:t>7</w:t>
            </w:r>
          </w:p>
        </w:tc>
        <w:tc>
          <w:tcPr>
            <w:tcW w:w="1926" w:type="dxa"/>
            <w:vAlign w:val="top"/>
          </w:tcPr>
          <w:p w14:paraId="4DE25EDF">
            <w:pPr>
              <w:rPr>
                <w:rFonts w:ascii="Arial"/>
                <w:sz w:val="21"/>
              </w:rPr>
            </w:pPr>
          </w:p>
        </w:tc>
        <w:tc>
          <w:tcPr>
            <w:tcW w:w="2249" w:type="dxa"/>
            <w:vAlign w:val="top"/>
          </w:tcPr>
          <w:p w14:paraId="7B8A74C8">
            <w:pPr>
              <w:rPr>
                <w:rFonts w:ascii="Arial"/>
                <w:sz w:val="21"/>
              </w:rPr>
            </w:pPr>
          </w:p>
        </w:tc>
        <w:tc>
          <w:tcPr>
            <w:tcW w:w="1032" w:type="dxa"/>
            <w:vAlign w:val="top"/>
          </w:tcPr>
          <w:p w14:paraId="6F1CBFC3">
            <w:pPr>
              <w:rPr>
                <w:rFonts w:ascii="Arial"/>
                <w:sz w:val="21"/>
              </w:rPr>
            </w:pPr>
          </w:p>
        </w:tc>
        <w:tc>
          <w:tcPr>
            <w:tcW w:w="2717" w:type="dxa"/>
            <w:vAlign w:val="top"/>
          </w:tcPr>
          <w:p w14:paraId="6EED5936">
            <w:pPr>
              <w:rPr>
                <w:rFonts w:ascii="Arial"/>
                <w:sz w:val="21"/>
              </w:rPr>
            </w:pPr>
          </w:p>
        </w:tc>
      </w:tr>
      <w:tr w14:paraId="42732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084" w:type="dxa"/>
            <w:vAlign w:val="top"/>
          </w:tcPr>
          <w:p w14:paraId="7FAC7539">
            <w:pPr>
              <w:spacing w:line="262" w:lineRule="auto"/>
              <w:rPr>
                <w:rFonts w:ascii="Arial"/>
                <w:sz w:val="21"/>
              </w:rPr>
            </w:pPr>
          </w:p>
          <w:p w14:paraId="72A0D885">
            <w:pPr>
              <w:pStyle w:val="14"/>
              <w:spacing w:before="65" w:line="83" w:lineRule="exact"/>
              <w:ind w:left="343"/>
            </w:pPr>
            <w:r>
              <w:rPr>
                <w:spacing w:val="4"/>
                <w:position w:val="1"/>
              </w:rPr>
              <w:t>....</w:t>
            </w:r>
          </w:p>
        </w:tc>
        <w:tc>
          <w:tcPr>
            <w:tcW w:w="1926" w:type="dxa"/>
            <w:vAlign w:val="top"/>
          </w:tcPr>
          <w:p w14:paraId="3DB76964">
            <w:pPr>
              <w:rPr>
                <w:rFonts w:ascii="Arial"/>
                <w:sz w:val="21"/>
              </w:rPr>
            </w:pPr>
          </w:p>
        </w:tc>
        <w:tc>
          <w:tcPr>
            <w:tcW w:w="2249" w:type="dxa"/>
            <w:vAlign w:val="top"/>
          </w:tcPr>
          <w:p w14:paraId="3F45B027">
            <w:pPr>
              <w:rPr>
                <w:rFonts w:ascii="Arial"/>
                <w:sz w:val="21"/>
              </w:rPr>
            </w:pPr>
          </w:p>
        </w:tc>
        <w:tc>
          <w:tcPr>
            <w:tcW w:w="1032" w:type="dxa"/>
            <w:vAlign w:val="top"/>
          </w:tcPr>
          <w:p w14:paraId="1AED1324">
            <w:pPr>
              <w:rPr>
                <w:rFonts w:ascii="Arial"/>
                <w:sz w:val="21"/>
              </w:rPr>
            </w:pPr>
          </w:p>
        </w:tc>
        <w:tc>
          <w:tcPr>
            <w:tcW w:w="2717" w:type="dxa"/>
            <w:vAlign w:val="top"/>
          </w:tcPr>
          <w:p w14:paraId="08FE15CB">
            <w:pPr>
              <w:rPr>
                <w:rFonts w:ascii="Arial"/>
                <w:sz w:val="21"/>
              </w:rPr>
            </w:pPr>
          </w:p>
        </w:tc>
      </w:tr>
    </w:tbl>
    <w:p w14:paraId="385FC099">
      <w:pPr>
        <w:spacing w:before="36" w:line="241" w:lineRule="auto"/>
        <w:ind w:left="8"/>
        <w:rPr>
          <w:rFonts w:ascii="宋体" w:hAnsi="宋体" w:eastAsia="宋体" w:cs="宋体"/>
          <w:sz w:val="24"/>
          <w:szCs w:val="24"/>
        </w:rPr>
      </w:pPr>
      <w:r>
        <w:rPr>
          <w:rFonts w:ascii="宋体" w:hAnsi="宋体" w:eastAsia="宋体" w:cs="宋体"/>
          <w:spacing w:val="-2"/>
          <w:sz w:val="24"/>
          <w:szCs w:val="24"/>
        </w:rPr>
        <w:t>注：发包人将按上述材料基准价和实际供应数量进行甲控乙购供应材料的扣款，如采购</w:t>
      </w:r>
      <w:r>
        <w:rPr>
          <w:rFonts w:ascii="宋体" w:hAnsi="宋体" w:eastAsia="宋体" w:cs="宋体"/>
          <w:sz w:val="24"/>
          <w:szCs w:val="24"/>
        </w:rPr>
        <w:t>价与基准价有偏差，按调差条款进行调价。</w:t>
      </w:r>
      <w:r>
        <w:rPr>
          <w:rFonts w:ascii="宋体" w:hAnsi="宋体" w:eastAsia="宋体" w:cs="宋体"/>
          <w:spacing w:val="-1"/>
          <w:sz w:val="24"/>
          <w:szCs w:val="24"/>
        </w:rPr>
        <w:t>上述材料价格单位为：元。</w:t>
      </w:r>
    </w:p>
    <w:p w14:paraId="5740F21E">
      <w:pPr>
        <w:spacing w:line="241" w:lineRule="auto"/>
        <w:rPr>
          <w:rFonts w:hint="eastAsia" w:ascii="Arial" w:eastAsia="宋体"/>
          <w:sz w:val="21"/>
          <w:lang w:eastAsia="zh-CN"/>
        </w:rPr>
      </w:pPr>
      <w:r>
        <w:rPr>
          <w:rFonts w:hint="eastAsia" w:ascii="Arial" w:eastAsia="宋体"/>
          <w:sz w:val="21"/>
          <w:lang w:eastAsia="zh-CN"/>
        </w:rPr>
        <w:br w:type="page"/>
      </w:r>
    </w:p>
    <w:p w14:paraId="1BCD6D54">
      <w:pPr>
        <w:spacing w:line="241" w:lineRule="auto"/>
        <w:rPr>
          <w:rFonts w:ascii="Arial"/>
          <w:sz w:val="21"/>
        </w:rPr>
      </w:pPr>
    </w:p>
    <w:p w14:paraId="18CA7F76">
      <w:pPr>
        <w:spacing w:line="241" w:lineRule="auto"/>
        <w:rPr>
          <w:rFonts w:ascii="Arial"/>
          <w:sz w:val="21"/>
        </w:rPr>
      </w:pPr>
    </w:p>
    <w:p w14:paraId="2723A6AD">
      <w:pPr>
        <w:spacing w:line="241" w:lineRule="auto"/>
        <w:rPr>
          <w:rFonts w:ascii="Arial"/>
          <w:sz w:val="21"/>
        </w:rPr>
      </w:pPr>
    </w:p>
    <w:p w14:paraId="3FAB14EF">
      <w:pPr>
        <w:spacing w:line="241" w:lineRule="auto"/>
        <w:rPr>
          <w:rFonts w:ascii="Arial"/>
          <w:sz w:val="21"/>
        </w:rPr>
      </w:pPr>
    </w:p>
    <w:p w14:paraId="62AC2D5F">
      <w:pPr>
        <w:spacing w:line="241" w:lineRule="auto"/>
        <w:rPr>
          <w:rFonts w:ascii="Arial"/>
          <w:sz w:val="21"/>
        </w:rPr>
      </w:pPr>
    </w:p>
    <w:p w14:paraId="58C4F9FF">
      <w:pPr>
        <w:spacing w:line="241" w:lineRule="auto"/>
        <w:rPr>
          <w:rFonts w:ascii="Arial"/>
          <w:sz w:val="21"/>
        </w:rPr>
      </w:pPr>
    </w:p>
    <w:p w14:paraId="7FCFB16D">
      <w:pPr>
        <w:spacing w:line="241" w:lineRule="auto"/>
        <w:rPr>
          <w:rFonts w:ascii="Arial"/>
          <w:sz w:val="21"/>
        </w:rPr>
      </w:pPr>
    </w:p>
    <w:p w14:paraId="1D9BACB8">
      <w:pPr>
        <w:spacing w:line="241" w:lineRule="auto"/>
        <w:rPr>
          <w:rFonts w:ascii="Arial"/>
          <w:sz w:val="21"/>
        </w:rPr>
      </w:pPr>
    </w:p>
    <w:p w14:paraId="16251E91">
      <w:pPr>
        <w:spacing w:line="241" w:lineRule="auto"/>
        <w:rPr>
          <w:rFonts w:ascii="Arial"/>
          <w:sz w:val="21"/>
        </w:rPr>
      </w:pPr>
    </w:p>
    <w:p w14:paraId="20E0EBD3">
      <w:pPr>
        <w:spacing w:line="241" w:lineRule="auto"/>
        <w:rPr>
          <w:rFonts w:ascii="Arial"/>
          <w:sz w:val="21"/>
        </w:rPr>
      </w:pPr>
    </w:p>
    <w:p w14:paraId="53F2071F">
      <w:pPr>
        <w:spacing w:line="241" w:lineRule="auto"/>
        <w:rPr>
          <w:rFonts w:ascii="Arial"/>
          <w:sz w:val="21"/>
        </w:rPr>
      </w:pPr>
    </w:p>
    <w:p w14:paraId="488103D7">
      <w:pPr>
        <w:spacing w:line="241" w:lineRule="auto"/>
        <w:rPr>
          <w:rFonts w:ascii="Arial"/>
          <w:sz w:val="21"/>
        </w:rPr>
      </w:pPr>
    </w:p>
    <w:p w14:paraId="38DC266E">
      <w:pPr>
        <w:spacing w:line="241" w:lineRule="auto"/>
        <w:rPr>
          <w:rFonts w:ascii="Arial"/>
          <w:sz w:val="21"/>
        </w:rPr>
      </w:pPr>
    </w:p>
    <w:p w14:paraId="75CE042D">
      <w:pPr>
        <w:spacing w:line="241" w:lineRule="auto"/>
        <w:rPr>
          <w:rFonts w:ascii="Arial"/>
          <w:sz w:val="21"/>
        </w:rPr>
      </w:pPr>
    </w:p>
    <w:p w14:paraId="7784E936">
      <w:pPr>
        <w:spacing w:line="241" w:lineRule="auto"/>
        <w:rPr>
          <w:rFonts w:ascii="Arial"/>
          <w:sz w:val="21"/>
        </w:rPr>
      </w:pPr>
    </w:p>
    <w:p w14:paraId="13AE1D39">
      <w:pPr>
        <w:spacing w:line="241" w:lineRule="auto"/>
        <w:rPr>
          <w:rFonts w:ascii="Arial"/>
          <w:sz w:val="21"/>
        </w:rPr>
      </w:pPr>
    </w:p>
    <w:p w14:paraId="0C79DEA9">
      <w:pPr>
        <w:spacing w:line="241" w:lineRule="auto"/>
        <w:rPr>
          <w:rFonts w:ascii="Arial"/>
          <w:sz w:val="21"/>
        </w:rPr>
      </w:pPr>
    </w:p>
    <w:p w14:paraId="3B2D089E">
      <w:pPr>
        <w:spacing w:line="242" w:lineRule="auto"/>
        <w:rPr>
          <w:rFonts w:ascii="Arial"/>
          <w:sz w:val="21"/>
        </w:rPr>
      </w:pPr>
    </w:p>
    <w:p w14:paraId="28159FDA">
      <w:pPr>
        <w:spacing w:line="242" w:lineRule="auto"/>
        <w:rPr>
          <w:rFonts w:ascii="Arial"/>
          <w:sz w:val="21"/>
        </w:rPr>
      </w:pPr>
    </w:p>
    <w:p w14:paraId="34563667">
      <w:pPr>
        <w:spacing w:line="242" w:lineRule="auto"/>
        <w:rPr>
          <w:rFonts w:ascii="Arial"/>
          <w:sz w:val="21"/>
        </w:rPr>
      </w:pPr>
    </w:p>
    <w:p w14:paraId="63A8DF45">
      <w:pPr>
        <w:spacing w:line="242" w:lineRule="auto"/>
        <w:rPr>
          <w:rFonts w:ascii="Arial"/>
          <w:sz w:val="21"/>
        </w:rPr>
      </w:pPr>
    </w:p>
    <w:p w14:paraId="36F8A370">
      <w:pPr>
        <w:spacing w:before="140" w:line="222" w:lineRule="auto"/>
        <w:ind w:left="2562"/>
        <w:outlineLvl w:val="0"/>
        <w:rPr>
          <w:rFonts w:hint="eastAsia" w:ascii="Arial" w:eastAsia="宋体"/>
          <w:sz w:val="21"/>
          <w:lang w:eastAsia="zh-CN"/>
        </w:rPr>
      </w:pPr>
      <w:bookmarkStart w:id="68" w:name="_Toc12267"/>
      <w:r>
        <w:rPr>
          <w:rFonts w:ascii="宋体" w:hAnsi="宋体" w:eastAsia="宋体" w:cs="宋体"/>
          <w:b/>
          <w:bCs/>
          <w:spacing w:val="4"/>
          <w:sz w:val="43"/>
          <w:szCs w:val="43"/>
        </w:rPr>
        <w:t>第</w:t>
      </w:r>
      <w:r>
        <w:rPr>
          <w:rFonts w:hint="eastAsia" w:ascii="宋体" w:hAnsi="宋体" w:eastAsia="宋体" w:cs="宋体"/>
          <w:b/>
          <w:bCs/>
          <w:spacing w:val="4"/>
          <w:sz w:val="43"/>
          <w:szCs w:val="43"/>
          <w:lang w:eastAsia="zh-CN"/>
        </w:rPr>
        <w:t>六</w:t>
      </w:r>
      <w:r>
        <w:rPr>
          <w:rFonts w:ascii="宋体" w:hAnsi="宋体" w:eastAsia="宋体" w:cs="宋体"/>
          <w:b/>
          <w:bCs/>
          <w:spacing w:val="4"/>
          <w:sz w:val="43"/>
          <w:szCs w:val="43"/>
        </w:rPr>
        <w:t>章</w:t>
      </w:r>
      <w:r>
        <w:rPr>
          <w:rFonts w:ascii="宋体" w:hAnsi="宋体" w:eastAsia="宋体" w:cs="宋体"/>
          <w:spacing w:val="4"/>
          <w:sz w:val="43"/>
          <w:szCs w:val="43"/>
        </w:rPr>
        <w:t xml:space="preserve">  </w:t>
      </w:r>
      <w:r>
        <w:rPr>
          <w:rFonts w:ascii="宋体" w:hAnsi="宋体" w:eastAsia="宋体" w:cs="宋体"/>
          <w:b/>
          <w:bCs/>
          <w:spacing w:val="4"/>
          <w:sz w:val="43"/>
          <w:szCs w:val="43"/>
        </w:rPr>
        <w:t>工程量清单</w:t>
      </w:r>
      <w:r>
        <w:rPr>
          <w:rFonts w:hint="eastAsia" w:ascii="宋体" w:hAnsi="宋体" w:eastAsia="宋体" w:cs="宋体"/>
          <w:sz w:val="43"/>
          <w:szCs w:val="43"/>
        </w:rPr>
        <w:t>（另册）</w:t>
      </w:r>
      <w:bookmarkEnd w:id="68"/>
      <w:r>
        <w:rPr>
          <w:rFonts w:hint="eastAsia" w:ascii="宋体" w:hAnsi="宋体" w:eastAsia="宋体" w:cs="宋体"/>
          <w:sz w:val="43"/>
          <w:szCs w:val="43"/>
        </w:rPr>
        <w:br w:type="page"/>
      </w:r>
    </w:p>
    <w:p w14:paraId="267E37D2">
      <w:pPr>
        <w:spacing w:line="247" w:lineRule="auto"/>
        <w:rPr>
          <w:rFonts w:ascii="Arial"/>
          <w:sz w:val="21"/>
        </w:rPr>
      </w:pPr>
    </w:p>
    <w:p w14:paraId="0305910A">
      <w:pPr>
        <w:spacing w:line="248" w:lineRule="auto"/>
        <w:rPr>
          <w:rFonts w:ascii="Arial"/>
          <w:sz w:val="21"/>
        </w:rPr>
      </w:pPr>
    </w:p>
    <w:p w14:paraId="3B72F10E">
      <w:pPr>
        <w:spacing w:line="248" w:lineRule="auto"/>
        <w:rPr>
          <w:rFonts w:ascii="Arial"/>
          <w:sz w:val="21"/>
        </w:rPr>
      </w:pPr>
    </w:p>
    <w:p w14:paraId="0A3EEFCE">
      <w:pPr>
        <w:spacing w:line="248" w:lineRule="auto"/>
        <w:rPr>
          <w:rFonts w:ascii="Arial"/>
          <w:sz w:val="21"/>
        </w:rPr>
      </w:pPr>
    </w:p>
    <w:p w14:paraId="28DA3AF2">
      <w:pPr>
        <w:spacing w:line="248" w:lineRule="auto"/>
        <w:rPr>
          <w:rFonts w:ascii="Arial"/>
          <w:sz w:val="21"/>
        </w:rPr>
      </w:pPr>
    </w:p>
    <w:p w14:paraId="6D2452D5">
      <w:pPr>
        <w:spacing w:line="248" w:lineRule="auto"/>
        <w:rPr>
          <w:rFonts w:ascii="Arial"/>
          <w:sz w:val="21"/>
        </w:rPr>
      </w:pPr>
    </w:p>
    <w:p w14:paraId="78EF520A">
      <w:pPr>
        <w:spacing w:line="248" w:lineRule="auto"/>
        <w:rPr>
          <w:rFonts w:ascii="Arial"/>
          <w:sz w:val="21"/>
        </w:rPr>
      </w:pPr>
    </w:p>
    <w:p w14:paraId="2A7195E8">
      <w:pPr>
        <w:spacing w:line="248" w:lineRule="auto"/>
        <w:rPr>
          <w:rFonts w:ascii="Arial"/>
          <w:sz w:val="21"/>
        </w:rPr>
      </w:pPr>
    </w:p>
    <w:p w14:paraId="3E5335C6">
      <w:pPr>
        <w:spacing w:line="248" w:lineRule="auto"/>
        <w:rPr>
          <w:rFonts w:ascii="Arial"/>
          <w:sz w:val="21"/>
        </w:rPr>
      </w:pPr>
    </w:p>
    <w:p w14:paraId="30F92473">
      <w:pPr>
        <w:spacing w:line="248" w:lineRule="auto"/>
        <w:rPr>
          <w:rFonts w:ascii="Arial"/>
          <w:sz w:val="21"/>
        </w:rPr>
      </w:pPr>
    </w:p>
    <w:p w14:paraId="7F986EEA">
      <w:pPr>
        <w:spacing w:line="248" w:lineRule="auto"/>
        <w:rPr>
          <w:rFonts w:ascii="Arial"/>
          <w:sz w:val="21"/>
        </w:rPr>
      </w:pPr>
    </w:p>
    <w:p w14:paraId="7C14C62C">
      <w:pPr>
        <w:spacing w:line="248" w:lineRule="auto"/>
        <w:rPr>
          <w:rFonts w:ascii="Arial"/>
          <w:sz w:val="21"/>
        </w:rPr>
      </w:pPr>
    </w:p>
    <w:p w14:paraId="32179E0B">
      <w:pPr>
        <w:spacing w:line="248" w:lineRule="auto"/>
        <w:rPr>
          <w:rFonts w:ascii="Arial"/>
          <w:sz w:val="21"/>
        </w:rPr>
      </w:pPr>
    </w:p>
    <w:p w14:paraId="7EDBF0E8">
      <w:pPr>
        <w:spacing w:line="248" w:lineRule="auto"/>
        <w:rPr>
          <w:rFonts w:ascii="Arial"/>
          <w:sz w:val="21"/>
        </w:rPr>
      </w:pPr>
    </w:p>
    <w:p w14:paraId="7FBCFAE7">
      <w:pPr>
        <w:spacing w:line="248" w:lineRule="auto"/>
        <w:rPr>
          <w:rFonts w:ascii="Arial"/>
          <w:sz w:val="21"/>
        </w:rPr>
      </w:pPr>
    </w:p>
    <w:p w14:paraId="1C06A1A2">
      <w:pPr>
        <w:spacing w:line="248" w:lineRule="auto"/>
        <w:rPr>
          <w:rFonts w:ascii="Arial"/>
          <w:sz w:val="21"/>
        </w:rPr>
      </w:pPr>
    </w:p>
    <w:p w14:paraId="5E0B9B41">
      <w:pPr>
        <w:spacing w:line="248" w:lineRule="auto"/>
        <w:rPr>
          <w:rFonts w:ascii="Arial"/>
          <w:sz w:val="21"/>
        </w:rPr>
      </w:pPr>
    </w:p>
    <w:p w14:paraId="38FFCA57">
      <w:pPr>
        <w:spacing w:line="248" w:lineRule="auto"/>
        <w:rPr>
          <w:rFonts w:ascii="Arial"/>
          <w:sz w:val="21"/>
        </w:rPr>
      </w:pPr>
    </w:p>
    <w:p w14:paraId="12F5550E">
      <w:pPr>
        <w:spacing w:line="248" w:lineRule="auto"/>
        <w:rPr>
          <w:rFonts w:ascii="Arial"/>
          <w:sz w:val="21"/>
        </w:rPr>
      </w:pPr>
    </w:p>
    <w:p w14:paraId="1E5D8978">
      <w:pPr>
        <w:spacing w:line="248" w:lineRule="auto"/>
        <w:rPr>
          <w:rFonts w:ascii="Arial"/>
          <w:sz w:val="21"/>
        </w:rPr>
      </w:pPr>
    </w:p>
    <w:p w14:paraId="663E10BF">
      <w:pPr>
        <w:pStyle w:val="5"/>
        <w:spacing w:before="231" w:line="224" w:lineRule="auto"/>
        <w:ind w:left="3120"/>
        <w:outlineLvl w:val="0"/>
        <w:rPr>
          <w:sz w:val="71"/>
          <w:szCs w:val="71"/>
        </w:rPr>
      </w:pPr>
      <w:bookmarkStart w:id="69" w:name="_Toc6509"/>
      <w:r>
        <w:rPr>
          <w:spacing w:val="-16"/>
          <w:sz w:val="71"/>
          <w:szCs w:val="71"/>
        </w:rPr>
        <w:t>第</w:t>
      </w:r>
      <w:r>
        <w:rPr>
          <w:spacing w:val="44"/>
          <w:sz w:val="71"/>
          <w:szCs w:val="71"/>
        </w:rPr>
        <w:t xml:space="preserve"> </w:t>
      </w:r>
      <w:r>
        <w:rPr>
          <w:spacing w:val="-16"/>
          <w:sz w:val="71"/>
          <w:szCs w:val="71"/>
        </w:rPr>
        <w:t>二</w:t>
      </w:r>
      <w:r>
        <w:rPr>
          <w:spacing w:val="44"/>
          <w:sz w:val="71"/>
          <w:szCs w:val="71"/>
        </w:rPr>
        <w:t xml:space="preserve"> </w:t>
      </w:r>
      <w:r>
        <w:rPr>
          <w:spacing w:val="-16"/>
          <w:sz w:val="71"/>
          <w:szCs w:val="71"/>
        </w:rPr>
        <w:t>卷</w:t>
      </w:r>
      <w:bookmarkEnd w:id="69"/>
    </w:p>
    <w:p w14:paraId="4C5E2B08">
      <w:pPr>
        <w:spacing w:line="244" w:lineRule="auto"/>
        <w:rPr>
          <w:rFonts w:hint="eastAsia" w:ascii="Arial" w:eastAsia="宋体"/>
          <w:sz w:val="21"/>
          <w:lang w:eastAsia="zh-CN"/>
        </w:rPr>
      </w:pPr>
      <w:r>
        <w:rPr>
          <w:rFonts w:hint="eastAsia" w:ascii="Arial" w:eastAsia="宋体"/>
          <w:sz w:val="21"/>
          <w:lang w:eastAsia="zh-CN"/>
        </w:rPr>
        <w:br w:type="page"/>
      </w:r>
    </w:p>
    <w:p w14:paraId="78BDED89">
      <w:pPr>
        <w:spacing w:line="244" w:lineRule="auto"/>
        <w:rPr>
          <w:rFonts w:ascii="Arial"/>
          <w:sz w:val="21"/>
        </w:rPr>
      </w:pPr>
    </w:p>
    <w:p w14:paraId="75CE2E3C">
      <w:pPr>
        <w:spacing w:line="244" w:lineRule="auto"/>
        <w:rPr>
          <w:rFonts w:ascii="Arial"/>
          <w:sz w:val="21"/>
        </w:rPr>
      </w:pPr>
    </w:p>
    <w:p w14:paraId="5B00E8DB">
      <w:pPr>
        <w:spacing w:line="244" w:lineRule="auto"/>
        <w:rPr>
          <w:rFonts w:ascii="Arial"/>
          <w:sz w:val="21"/>
        </w:rPr>
      </w:pPr>
    </w:p>
    <w:p w14:paraId="758EC682">
      <w:pPr>
        <w:spacing w:line="244" w:lineRule="auto"/>
        <w:rPr>
          <w:rFonts w:ascii="Arial"/>
          <w:sz w:val="21"/>
        </w:rPr>
      </w:pPr>
    </w:p>
    <w:p w14:paraId="7E63F101">
      <w:pPr>
        <w:spacing w:line="244" w:lineRule="auto"/>
        <w:rPr>
          <w:rFonts w:ascii="Arial"/>
          <w:sz w:val="21"/>
        </w:rPr>
      </w:pPr>
    </w:p>
    <w:p w14:paraId="11063098">
      <w:pPr>
        <w:spacing w:line="244" w:lineRule="auto"/>
        <w:rPr>
          <w:rFonts w:ascii="Arial"/>
          <w:sz w:val="21"/>
        </w:rPr>
      </w:pPr>
    </w:p>
    <w:p w14:paraId="3BDDF103">
      <w:pPr>
        <w:spacing w:line="244" w:lineRule="auto"/>
        <w:rPr>
          <w:rFonts w:ascii="Arial"/>
          <w:sz w:val="21"/>
        </w:rPr>
      </w:pPr>
    </w:p>
    <w:p w14:paraId="200CA0ED">
      <w:pPr>
        <w:spacing w:line="244" w:lineRule="auto"/>
        <w:rPr>
          <w:rFonts w:ascii="Arial"/>
          <w:sz w:val="21"/>
        </w:rPr>
      </w:pPr>
    </w:p>
    <w:p w14:paraId="28E97FE9">
      <w:pPr>
        <w:spacing w:line="244" w:lineRule="auto"/>
        <w:rPr>
          <w:rFonts w:ascii="Arial"/>
          <w:sz w:val="21"/>
        </w:rPr>
      </w:pPr>
    </w:p>
    <w:p w14:paraId="7DC20494">
      <w:pPr>
        <w:spacing w:line="244" w:lineRule="auto"/>
        <w:rPr>
          <w:rFonts w:ascii="Arial"/>
          <w:sz w:val="21"/>
        </w:rPr>
      </w:pPr>
    </w:p>
    <w:p w14:paraId="3F309792">
      <w:pPr>
        <w:spacing w:line="244" w:lineRule="auto"/>
        <w:rPr>
          <w:rFonts w:ascii="Arial"/>
          <w:sz w:val="21"/>
        </w:rPr>
      </w:pPr>
    </w:p>
    <w:p w14:paraId="01502748">
      <w:pPr>
        <w:spacing w:line="244" w:lineRule="auto"/>
        <w:rPr>
          <w:rFonts w:ascii="Arial"/>
          <w:sz w:val="21"/>
        </w:rPr>
      </w:pPr>
    </w:p>
    <w:p w14:paraId="2882A983">
      <w:pPr>
        <w:spacing w:line="244" w:lineRule="auto"/>
        <w:rPr>
          <w:rFonts w:ascii="Arial"/>
          <w:sz w:val="21"/>
        </w:rPr>
      </w:pPr>
    </w:p>
    <w:p w14:paraId="1DDC3F59">
      <w:pPr>
        <w:spacing w:line="245" w:lineRule="auto"/>
        <w:rPr>
          <w:rFonts w:ascii="Arial"/>
          <w:sz w:val="21"/>
        </w:rPr>
      </w:pPr>
    </w:p>
    <w:p w14:paraId="3AAEFF18">
      <w:pPr>
        <w:spacing w:line="245" w:lineRule="auto"/>
        <w:rPr>
          <w:rFonts w:ascii="Arial"/>
          <w:sz w:val="21"/>
        </w:rPr>
      </w:pPr>
    </w:p>
    <w:p w14:paraId="5FEEDB59">
      <w:pPr>
        <w:spacing w:before="140" w:line="222" w:lineRule="auto"/>
        <w:ind w:left="3224"/>
        <w:outlineLvl w:val="0"/>
        <w:rPr>
          <w:rFonts w:ascii="宋体" w:hAnsi="宋体" w:eastAsia="宋体" w:cs="宋体"/>
          <w:sz w:val="43"/>
          <w:szCs w:val="43"/>
        </w:rPr>
      </w:pPr>
      <w:bookmarkStart w:id="70" w:name="bookmark12"/>
      <w:bookmarkEnd w:id="70"/>
      <w:bookmarkStart w:id="71" w:name="_Toc21202"/>
      <w:r>
        <w:rPr>
          <w:rFonts w:ascii="宋体" w:hAnsi="宋体" w:eastAsia="宋体" w:cs="宋体"/>
          <w:b/>
          <w:bCs/>
          <w:spacing w:val="-10"/>
          <w:sz w:val="43"/>
          <w:szCs w:val="43"/>
        </w:rPr>
        <w:t>第</w:t>
      </w:r>
      <w:r>
        <w:rPr>
          <w:rFonts w:hint="eastAsia" w:ascii="宋体" w:hAnsi="宋体" w:eastAsia="宋体" w:cs="宋体"/>
          <w:b/>
          <w:bCs/>
          <w:spacing w:val="-10"/>
          <w:sz w:val="43"/>
          <w:szCs w:val="43"/>
          <w:lang w:eastAsia="zh-CN"/>
        </w:rPr>
        <w:t>七</w:t>
      </w:r>
      <w:r>
        <w:rPr>
          <w:rFonts w:ascii="宋体" w:hAnsi="宋体" w:eastAsia="宋体" w:cs="宋体"/>
          <w:b/>
          <w:bCs/>
          <w:spacing w:val="-10"/>
          <w:sz w:val="43"/>
          <w:szCs w:val="43"/>
        </w:rPr>
        <w:t>章</w:t>
      </w:r>
      <w:r>
        <w:rPr>
          <w:rFonts w:ascii="宋体" w:hAnsi="宋体" w:eastAsia="宋体" w:cs="宋体"/>
          <w:spacing w:val="38"/>
          <w:sz w:val="43"/>
          <w:szCs w:val="43"/>
        </w:rPr>
        <w:t xml:space="preserve">  </w:t>
      </w:r>
      <w:r>
        <w:rPr>
          <w:rFonts w:ascii="宋体" w:hAnsi="宋体" w:eastAsia="宋体" w:cs="宋体"/>
          <w:b/>
          <w:bCs/>
          <w:spacing w:val="-10"/>
          <w:sz w:val="43"/>
          <w:szCs w:val="43"/>
        </w:rPr>
        <w:t>图纸</w:t>
      </w:r>
      <w:r>
        <w:rPr>
          <w:rFonts w:hint="eastAsia" w:ascii="宋体" w:hAnsi="宋体" w:eastAsia="宋体" w:cs="宋体"/>
          <w:b/>
          <w:bCs/>
          <w:spacing w:val="-10"/>
          <w:sz w:val="43"/>
          <w:szCs w:val="43"/>
        </w:rPr>
        <w:t>（另册）</w:t>
      </w:r>
      <w:bookmarkEnd w:id="71"/>
    </w:p>
    <w:p w14:paraId="64C3C5F9">
      <w:pPr>
        <w:spacing w:line="315" w:lineRule="auto"/>
        <w:rPr>
          <w:rFonts w:ascii="Arial"/>
          <w:sz w:val="21"/>
        </w:rPr>
      </w:pPr>
    </w:p>
    <w:p w14:paraId="2EC24A30">
      <w:pPr>
        <w:spacing w:line="316" w:lineRule="auto"/>
        <w:rPr>
          <w:rFonts w:ascii="Arial"/>
          <w:sz w:val="21"/>
        </w:rPr>
      </w:pPr>
    </w:p>
    <w:p w14:paraId="70E51148">
      <w:pPr>
        <w:spacing w:line="316" w:lineRule="auto"/>
        <w:rPr>
          <w:rFonts w:ascii="Arial"/>
          <w:sz w:val="21"/>
        </w:rPr>
      </w:pPr>
    </w:p>
    <w:p w14:paraId="68746F25">
      <w:pPr>
        <w:spacing w:line="252" w:lineRule="auto"/>
        <w:rPr>
          <w:rFonts w:hint="eastAsia" w:ascii="Arial" w:eastAsia="宋体"/>
          <w:sz w:val="21"/>
          <w:lang w:eastAsia="zh-CN"/>
        </w:rPr>
      </w:pPr>
      <w:r>
        <w:rPr>
          <w:rFonts w:hint="eastAsia" w:ascii="Arial" w:eastAsia="宋体"/>
          <w:sz w:val="21"/>
          <w:lang w:eastAsia="zh-CN"/>
        </w:rPr>
        <w:br w:type="page"/>
      </w:r>
    </w:p>
    <w:p w14:paraId="22A59987">
      <w:pPr>
        <w:spacing w:line="252" w:lineRule="auto"/>
        <w:rPr>
          <w:rFonts w:ascii="Arial"/>
          <w:sz w:val="21"/>
        </w:rPr>
      </w:pPr>
    </w:p>
    <w:p w14:paraId="0C702C69">
      <w:pPr>
        <w:spacing w:line="252" w:lineRule="auto"/>
        <w:rPr>
          <w:rFonts w:ascii="Arial"/>
          <w:sz w:val="21"/>
        </w:rPr>
      </w:pPr>
    </w:p>
    <w:p w14:paraId="34C09096">
      <w:pPr>
        <w:spacing w:line="252" w:lineRule="auto"/>
        <w:rPr>
          <w:rFonts w:ascii="Arial"/>
          <w:sz w:val="21"/>
        </w:rPr>
      </w:pPr>
    </w:p>
    <w:p w14:paraId="3531986E">
      <w:pPr>
        <w:spacing w:line="252" w:lineRule="auto"/>
        <w:rPr>
          <w:rFonts w:ascii="Arial"/>
          <w:sz w:val="21"/>
        </w:rPr>
      </w:pPr>
    </w:p>
    <w:p w14:paraId="073E4A38">
      <w:pPr>
        <w:spacing w:line="252" w:lineRule="auto"/>
        <w:rPr>
          <w:rFonts w:ascii="Arial"/>
          <w:sz w:val="21"/>
        </w:rPr>
      </w:pPr>
    </w:p>
    <w:p w14:paraId="00BF04A0">
      <w:pPr>
        <w:spacing w:line="252" w:lineRule="auto"/>
        <w:rPr>
          <w:rFonts w:ascii="Arial"/>
          <w:sz w:val="21"/>
        </w:rPr>
      </w:pPr>
    </w:p>
    <w:p w14:paraId="1E845AF3">
      <w:pPr>
        <w:spacing w:line="252" w:lineRule="auto"/>
        <w:rPr>
          <w:rFonts w:ascii="Arial"/>
          <w:sz w:val="21"/>
        </w:rPr>
      </w:pPr>
    </w:p>
    <w:p w14:paraId="04DC8FAE">
      <w:pPr>
        <w:spacing w:line="252" w:lineRule="auto"/>
        <w:rPr>
          <w:rFonts w:ascii="Arial"/>
          <w:sz w:val="21"/>
        </w:rPr>
      </w:pPr>
    </w:p>
    <w:p w14:paraId="781E6C06">
      <w:pPr>
        <w:spacing w:line="252" w:lineRule="auto"/>
        <w:rPr>
          <w:rFonts w:ascii="Arial"/>
          <w:sz w:val="21"/>
        </w:rPr>
      </w:pPr>
    </w:p>
    <w:p w14:paraId="53A0B37E">
      <w:pPr>
        <w:spacing w:line="252" w:lineRule="auto"/>
        <w:rPr>
          <w:rFonts w:ascii="Arial"/>
          <w:sz w:val="21"/>
        </w:rPr>
      </w:pPr>
    </w:p>
    <w:p w14:paraId="2155167E">
      <w:pPr>
        <w:spacing w:line="252" w:lineRule="auto"/>
        <w:rPr>
          <w:rFonts w:ascii="Arial"/>
          <w:sz w:val="21"/>
        </w:rPr>
      </w:pPr>
    </w:p>
    <w:p w14:paraId="2F93F3CD">
      <w:pPr>
        <w:spacing w:line="252" w:lineRule="auto"/>
        <w:rPr>
          <w:rFonts w:ascii="Arial"/>
          <w:sz w:val="21"/>
        </w:rPr>
      </w:pPr>
    </w:p>
    <w:p w14:paraId="2CFABB0F">
      <w:pPr>
        <w:spacing w:line="252" w:lineRule="auto"/>
        <w:rPr>
          <w:rFonts w:ascii="Arial"/>
          <w:sz w:val="21"/>
        </w:rPr>
      </w:pPr>
    </w:p>
    <w:p w14:paraId="7FCD5AED">
      <w:pPr>
        <w:spacing w:line="253" w:lineRule="auto"/>
        <w:rPr>
          <w:rFonts w:ascii="Arial"/>
          <w:sz w:val="21"/>
        </w:rPr>
      </w:pPr>
    </w:p>
    <w:p w14:paraId="56C54B22">
      <w:pPr>
        <w:spacing w:line="253" w:lineRule="auto"/>
        <w:rPr>
          <w:rFonts w:ascii="Arial"/>
          <w:sz w:val="21"/>
        </w:rPr>
      </w:pPr>
    </w:p>
    <w:p w14:paraId="76133185">
      <w:pPr>
        <w:spacing w:line="253" w:lineRule="auto"/>
        <w:rPr>
          <w:rFonts w:ascii="Arial"/>
          <w:sz w:val="21"/>
        </w:rPr>
      </w:pPr>
    </w:p>
    <w:p w14:paraId="02D23293">
      <w:pPr>
        <w:spacing w:line="253" w:lineRule="auto"/>
        <w:rPr>
          <w:rFonts w:ascii="Arial"/>
          <w:sz w:val="21"/>
        </w:rPr>
      </w:pPr>
    </w:p>
    <w:p w14:paraId="2B0DE593">
      <w:pPr>
        <w:pStyle w:val="5"/>
        <w:spacing w:before="230" w:line="224" w:lineRule="auto"/>
        <w:ind w:left="3120"/>
        <w:outlineLvl w:val="0"/>
        <w:rPr>
          <w:sz w:val="71"/>
          <w:szCs w:val="71"/>
        </w:rPr>
      </w:pPr>
      <w:bookmarkStart w:id="72" w:name="_Toc16531"/>
      <w:r>
        <w:rPr>
          <w:spacing w:val="-17"/>
          <w:sz w:val="71"/>
          <w:szCs w:val="71"/>
        </w:rPr>
        <w:t>第</w:t>
      </w:r>
      <w:r>
        <w:rPr>
          <w:spacing w:val="47"/>
          <w:sz w:val="71"/>
          <w:szCs w:val="71"/>
        </w:rPr>
        <w:t xml:space="preserve"> </w:t>
      </w:r>
      <w:r>
        <w:rPr>
          <w:spacing w:val="-17"/>
          <w:sz w:val="71"/>
          <w:szCs w:val="71"/>
        </w:rPr>
        <w:t>三</w:t>
      </w:r>
      <w:r>
        <w:rPr>
          <w:spacing w:val="44"/>
          <w:sz w:val="71"/>
          <w:szCs w:val="71"/>
        </w:rPr>
        <w:t xml:space="preserve"> </w:t>
      </w:r>
      <w:r>
        <w:rPr>
          <w:spacing w:val="-17"/>
          <w:sz w:val="71"/>
          <w:szCs w:val="71"/>
        </w:rPr>
        <w:t>卷</w:t>
      </w:r>
      <w:bookmarkEnd w:id="72"/>
    </w:p>
    <w:p w14:paraId="48641B97">
      <w:pPr>
        <w:spacing w:line="247" w:lineRule="auto"/>
        <w:rPr>
          <w:rFonts w:hint="eastAsia" w:ascii="Arial" w:eastAsia="宋体"/>
          <w:sz w:val="21"/>
          <w:lang w:eastAsia="zh-CN"/>
        </w:rPr>
      </w:pPr>
      <w:r>
        <w:rPr>
          <w:rFonts w:hint="eastAsia" w:ascii="Arial" w:eastAsia="宋体"/>
          <w:sz w:val="21"/>
          <w:lang w:eastAsia="zh-CN"/>
        </w:rPr>
        <w:br w:type="page"/>
      </w:r>
    </w:p>
    <w:p w14:paraId="642A8715">
      <w:pPr>
        <w:spacing w:line="247" w:lineRule="auto"/>
        <w:rPr>
          <w:rFonts w:ascii="Arial"/>
          <w:sz w:val="21"/>
        </w:rPr>
      </w:pPr>
    </w:p>
    <w:p w14:paraId="1C85EBD5">
      <w:pPr>
        <w:spacing w:line="247" w:lineRule="auto"/>
        <w:rPr>
          <w:rFonts w:ascii="Arial"/>
          <w:sz w:val="21"/>
        </w:rPr>
      </w:pPr>
    </w:p>
    <w:p w14:paraId="481AB07F">
      <w:pPr>
        <w:spacing w:line="247" w:lineRule="auto"/>
        <w:rPr>
          <w:rFonts w:ascii="Arial"/>
          <w:sz w:val="21"/>
        </w:rPr>
      </w:pPr>
    </w:p>
    <w:p w14:paraId="17786C7D">
      <w:pPr>
        <w:spacing w:line="247" w:lineRule="auto"/>
        <w:rPr>
          <w:rFonts w:ascii="Arial"/>
          <w:sz w:val="21"/>
        </w:rPr>
      </w:pPr>
    </w:p>
    <w:p w14:paraId="6F1BEA84">
      <w:pPr>
        <w:spacing w:line="247" w:lineRule="auto"/>
        <w:rPr>
          <w:rFonts w:ascii="Arial"/>
          <w:sz w:val="21"/>
        </w:rPr>
      </w:pPr>
    </w:p>
    <w:p w14:paraId="11FB479D">
      <w:pPr>
        <w:spacing w:line="247" w:lineRule="auto"/>
        <w:rPr>
          <w:rFonts w:ascii="Arial"/>
          <w:sz w:val="21"/>
        </w:rPr>
      </w:pPr>
    </w:p>
    <w:p w14:paraId="3702FAB5">
      <w:pPr>
        <w:spacing w:line="247" w:lineRule="auto"/>
        <w:rPr>
          <w:rFonts w:ascii="Arial"/>
          <w:sz w:val="21"/>
        </w:rPr>
      </w:pPr>
    </w:p>
    <w:p w14:paraId="725256F9">
      <w:pPr>
        <w:spacing w:line="247" w:lineRule="auto"/>
        <w:rPr>
          <w:rFonts w:ascii="Arial"/>
          <w:sz w:val="21"/>
        </w:rPr>
      </w:pPr>
    </w:p>
    <w:p w14:paraId="53A803B7">
      <w:pPr>
        <w:spacing w:line="247" w:lineRule="auto"/>
        <w:rPr>
          <w:rFonts w:ascii="Arial"/>
          <w:sz w:val="21"/>
        </w:rPr>
      </w:pPr>
    </w:p>
    <w:p w14:paraId="3BCB445E">
      <w:pPr>
        <w:spacing w:line="247" w:lineRule="auto"/>
        <w:rPr>
          <w:rFonts w:ascii="Arial"/>
          <w:sz w:val="21"/>
        </w:rPr>
      </w:pPr>
    </w:p>
    <w:p w14:paraId="64771781">
      <w:pPr>
        <w:spacing w:line="247" w:lineRule="auto"/>
        <w:rPr>
          <w:rFonts w:ascii="Arial"/>
          <w:sz w:val="21"/>
        </w:rPr>
      </w:pPr>
    </w:p>
    <w:p w14:paraId="7213F36C">
      <w:pPr>
        <w:spacing w:line="247" w:lineRule="auto"/>
        <w:rPr>
          <w:rFonts w:ascii="Arial"/>
          <w:sz w:val="21"/>
        </w:rPr>
      </w:pPr>
    </w:p>
    <w:p w14:paraId="1BC3B9D5">
      <w:pPr>
        <w:spacing w:line="247" w:lineRule="auto"/>
        <w:rPr>
          <w:rFonts w:ascii="Arial"/>
          <w:sz w:val="21"/>
        </w:rPr>
      </w:pPr>
    </w:p>
    <w:p w14:paraId="42EA3F7A">
      <w:pPr>
        <w:spacing w:line="247" w:lineRule="auto"/>
        <w:rPr>
          <w:rFonts w:ascii="Arial"/>
          <w:sz w:val="21"/>
        </w:rPr>
      </w:pPr>
    </w:p>
    <w:p w14:paraId="4B4535EA">
      <w:pPr>
        <w:spacing w:line="247" w:lineRule="auto"/>
        <w:rPr>
          <w:rFonts w:ascii="Arial"/>
          <w:sz w:val="21"/>
        </w:rPr>
      </w:pPr>
    </w:p>
    <w:p w14:paraId="11C3E35A">
      <w:pPr>
        <w:spacing w:line="247" w:lineRule="auto"/>
        <w:rPr>
          <w:rFonts w:ascii="Arial"/>
          <w:sz w:val="21"/>
        </w:rPr>
      </w:pPr>
    </w:p>
    <w:p w14:paraId="70790C79">
      <w:pPr>
        <w:spacing w:line="247" w:lineRule="auto"/>
        <w:rPr>
          <w:rFonts w:ascii="Arial"/>
          <w:sz w:val="21"/>
        </w:rPr>
      </w:pPr>
    </w:p>
    <w:p w14:paraId="79B4CC2B">
      <w:pPr>
        <w:spacing w:line="248" w:lineRule="auto"/>
        <w:rPr>
          <w:rFonts w:ascii="Arial"/>
          <w:sz w:val="21"/>
        </w:rPr>
      </w:pPr>
    </w:p>
    <w:p w14:paraId="4DC40D1F">
      <w:pPr>
        <w:spacing w:line="248" w:lineRule="auto"/>
        <w:rPr>
          <w:rFonts w:ascii="Arial"/>
          <w:sz w:val="21"/>
        </w:rPr>
      </w:pPr>
    </w:p>
    <w:p w14:paraId="556E895F">
      <w:pPr>
        <w:spacing w:line="248" w:lineRule="auto"/>
        <w:rPr>
          <w:rFonts w:ascii="Arial"/>
          <w:sz w:val="21"/>
        </w:rPr>
      </w:pPr>
    </w:p>
    <w:p w14:paraId="50BD31C5">
      <w:pPr>
        <w:spacing w:line="248" w:lineRule="auto"/>
        <w:rPr>
          <w:rFonts w:ascii="Arial"/>
          <w:sz w:val="21"/>
        </w:rPr>
      </w:pPr>
    </w:p>
    <w:p w14:paraId="0B8D8895">
      <w:pPr>
        <w:spacing w:line="248" w:lineRule="auto"/>
        <w:rPr>
          <w:rFonts w:ascii="Arial"/>
          <w:sz w:val="21"/>
        </w:rPr>
      </w:pPr>
    </w:p>
    <w:p w14:paraId="742C5AFB">
      <w:pPr>
        <w:spacing w:before="140" w:line="222" w:lineRule="auto"/>
        <w:ind w:left="2120"/>
        <w:outlineLvl w:val="0"/>
        <w:rPr>
          <w:rFonts w:ascii="宋体" w:hAnsi="宋体" w:eastAsia="宋体" w:cs="宋体"/>
          <w:sz w:val="43"/>
          <w:szCs w:val="43"/>
        </w:rPr>
      </w:pPr>
      <w:bookmarkStart w:id="73" w:name="bookmark13"/>
      <w:bookmarkEnd w:id="73"/>
      <w:bookmarkStart w:id="74" w:name="_Toc30323"/>
      <w:r>
        <w:rPr>
          <w:rFonts w:ascii="宋体" w:hAnsi="宋体" w:eastAsia="宋体" w:cs="宋体"/>
          <w:b/>
          <w:bCs/>
          <w:spacing w:val="5"/>
          <w:sz w:val="43"/>
          <w:szCs w:val="43"/>
        </w:rPr>
        <w:t>第</w:t>
      </w:r>
      <w:r>
        <w:rPr>
          <w:rFonts w:hint="eastAsia" w:ascii="宋体" w:hAnsi="宋体" w:eastAsia="宋体" w:cs="宋体"/>
          <w:b/>
          <w:bCs/>
          <w:spacing w:val="5"/>
          <w:sz w:val="43"/>
          <w:szCs w:val="43"/>
          <w:lang w:eastAsia="zh-CN"/>
        </w:rPr>
        <w:t>八</w:t>
      </w:r>
      <w:r>
        <w:rPr>
          <w:rFonts w:ascii="宋体" w:hAnsi="宋体" w:eastAsia="宋体" w:cs="宋体"/>
          <w:b/>
          <w:bCs/>
          <w:spacing w:val="5"/>
          <w:sz w:val="43"/>
          <w:szCs w:val="43"/>
        </w:rPr>
        <w:t>章</w:t>
      </w:r>
      <w:r>
        <w:rPr>
          <w:rFonts w:ascii="宋体" w:hAnsi="宋体" w:eastAsia="宋体" w:cs="宋体"/>
          <w:spacing w:val="5"/>
          <w:sz w:val="43"/>
          <w:szCs w:val="43"/>
        </w:rPr>
        <w:t xml:space="preserve">  </w:t>
      </w:r>
      <w:r>
        <w:rPr>
          <w:rFonts w:ascii="宋体" w:hAnsi="宋体" w:eastAsia="宋体" w:cs="宋体"/>
          <w:b/>
          <w:bCs/>
          <w:spacing w:val="5"/>
          <w:sz w:val="43"/>
          <w:szCs w:val="43"/>
        </w:rPr>
        <w:t>技术标准和要求</w:t>
      </w:r>
      <w:r>
        <w:rPr>
          <w:rFonts w:hint="eastAsia" w:ascii="宋体" w:hAnsi="宋体" w:eastAsia="宋体" w:cs="宋体"/>
          <w:b/>
          <w:bCs/>
          <w:spacing w:val="5"/>
          <w:sz w:val="43"/>
          <w:szCs w:val="43"/>
        </w:rPr>
        <w:t>（另册）</w:t>
      </w:r>
      <w:bookmarkEnd w:id="74"/>
    </w:p>
    <w:p w14:paraId="6B55AA55">
      <w:pPr>
        <w:spacing w:line="315" w:lineRule="auto"/>
        <w:rPr>
          <w:rFonts w:ascii="Arial"/>
          <w:sz w:val="21"/>
        </w:rPr>
      </w:pPr>
    </w:p>
    <w:p w14:paraId="6BBCE64C">
      <w:pPr>
        <w:spacing w:line="316" w:lineRule="auto"/>
        <w:rPr>
          <w:rFonts w:ascii="Arial"/>
          <w:sz w:val="21"/>
        </w:rPr>
      </w:pPr>
    </w:p>
    <w:p w14:paraId="782B7DAC">
      <w:pPr>
        <w:spacing w:line="316" w:lineRule="auto"/>
        <w:rPr>
          <w:rFonts w:ascii="Arial"/>
          <w:sz w:val="21"/>
        </w:rPr>
      </w:pPr>
    </w:p>
    <w:p w14:paraId="5D0EC457">
      <w:pPr>
        <w:spacing w:line="243" w:lineRule="auto"/>
        <w:rPr>
          <w:rFonts w:hint="eastAsia" w:ascii="Arial" w:eastAsia="宋体"/>
          <w:sz w:val="21"/>
          <w:lang w:eastAsia="zh-CN"/>
        </w:rPr>
      </w:pPr>
      <w:r>
        <w:rPr>
          <w:rFonts w:hint="eastAsia" w:ascii="Arial" w:eastAsia="宋体"/>
          <w:sz w:val="21"/>
          <w:lang w:eastAsia="zh-CN"/>
        </w:rPr>
        <w:br w:type="page"/>
      </w:r>
    </w:p>
    <w:p w14:paraId="340E8381">
      <w:pPr>
        <w:spacing w:line="243" w:lineRule="auto"/>
        <w:rPr>
          <w:rFonts w:ascii="Arial"/>
          <w:sz w:val="21"/>
        </w:rPr>
      </w:pPr>
    </w:p>
    <w:p w14:paraId="29C722E4">
      <w:pPr>
        <w:spacing w:line="243" w:lineRule="auto"/>
        <w:rPr>
          <w:rFonts w:ascii="Arial"/>
          <w:sz w:val="21"/>
        </w:rPr>
      </w:pPr>
    </w:p>
    <w:p w14:paraId="008E12EE">
      <w:pPr>
        <w:spacing w:line="243" w:lineRule="auto"/>
        <w:rPr>
          <w:rFonts w:ascii="Arial"/>
          <w:sz w:val="21"/>
        </w:rPr>
      </w:pPr>
    </w:p>
    <w:p w14:paraId="617AE773">
      <w:pPr>
        <w:spacing w:line="243" w:lineRule="auto"/>
        <w:rPr>
          <w:rFonts w:ascii="Arial"/>
          <w:sz w:val="21"/>
        </w:rPr>
      </w:pPr>
    </w:p>
    <w:p w14:paraId="37689857">
      <w:pPr>
        <w:spacing w:line="244" w:lineRule="auto"/>
        <w:rPr>
          <w:rFonts w:ascii="Arial"/>
          <w:sz w:val="21"/>
        </w:rPr>
      </w:pPr>
    </w:p>
    <w:p w14:paraId="1D312C62">
      <w:pPr>
        <w:spacing w:line="244" w:lineRule="auto"/>
        <w:rPr>
          <w:rFonts w:ascii="Arial"/>
          <w:sz w:val="21"/>
        </w:rPr>
      </w:pPr>
    </w:p>
    <w:p w14:paraId="04A2C075">
      <w:pPr>
        <w:spacing w:line="244" w:lineRule="auto"/>
        <w:rPr>
          <w:rFonts w:ascii="Arial"/>
          <w:sz w:val="21"/>
        </w:rPr>
      </w:pPr>
    </w:p>
    <w:p w14:paraId="07D094EE">
      <w:pPr>
        <w:spacing w:line="244" w:lineRule="auto"/>
        <w:rPr>
          <w:rFonts w:ascii="Arial"/>
          <w:sz w:val="21"/>
        </w:rPr>
      </w:pPr>
    </w:p>
    <w:p w14:paraId="58C64BA0">
      <w:pPr>
        <w:spacing w:line="244" w:lineRule="auto"/>
        <w:rPr>
          <w:rFonts w:ascii="Arial"/>
          <w:sz w:val="21"/>
        </w:rPr>
      </w:pPr>
    </w:p>
    <w:p w14:paraId="0E25484C">
      <w:pPr>
        <w:spacing w:line="244" w:lineRule="auto"/>
        <w:rPr>
          <w:rFonts w:ascii="Arial"/>
          <w:sz w:val="21"/>
        </w:rPr>
      </w:pPr>
    </w:p>
    <w:p w14:paraId="7E240580">
      <w:pPr>
        <w:spacing w:line="244" w:lineRule="auto"/>
        <w:rPr>
          <w:rFonts w:ascii="Arial"/>
          <w:sz w:val="21"/>
        </w:rPr>
      </w:pPr>
    </w:p>
    <w:p w14:paraId="10FD7724">
      <w:pPr>
        <w:spacing w:line="244" w:lineRule="auto"/>
        <w:rPr>
          <w:rFonts w:ascii="Arial"/>
          <w:sz w:val="21"/>
        </w:rPr>
      </w:pPr>
    </w:p>
    <w:p w14:paraId="3F774B2F">
      <w:pPr>
        <w:spacing w:line="244" w:lineRule="auto"/>
        <w:rPr>
          <w:rFonts w:ascii="Arial"/>
          <w:sz w:val="21"/>
        </w:rPr>
      </w:pPr>
    </w:p>
    <w:p w14:paraId="6264D300">
      <w:pPr>
        <w:spacing w:line="244" w:lineRule="auto"/>
        <w:rPr>
          <w:rFonts w:ascii="Arial"/>
          <w:sz w:val="21"/>
        </w:rPr>
      </w:pPr>
    </w:p>
    <w:p w14:paraId="1E58DE71">
      <w:pPr>
        <w:spacing w:line="244" w:lineRule="auto"/>
        <w:rPr>
          <w:rFonts w:ascii="Arial"/>
          <w:sz w:val="21"/>
        </w:rPr>
      </w:pPr>
    </w:p>
    <w:p w14:paraId="38D4DC55">
      <w:pPr>
        <w:spacing w:line="244" w:lineRule="auto"/>
        <w:rPr>
          <w:rFonts w:ascii="Arial"/>
          <w:sz w:val="21"/>
        </w:rPr>
      </w:pPr>
    </w:p>
    <w:p w14:paraId="54DFD8F4">
      <w:pPr>
        <w:spacing w:line="244" w:lineRule="auto"/>
        <w:rPr>
          <w:rFonts w:ascii="Arial"/>
          <w:sz w:val="21"/>
        </w:rPr>
      </w:pPr>
    </w:p>
    <w:p w14:paraId="54848891">
      <w:pPr>
        <w:spacing w:line="244" w:lineRule="auto"/>
        <w:rPr>
          <w:rFonts w:ascii="Arial"/>
          <w:sz w:val="21"/>
        </w:rPr>
      </w:pPr>
    </w:p>
    <w:p w14:paraId="7758C311">
      <w:pPr>
        <w:spacing w:line="244" w:lineRule="auto"/>
        <w:rPr>
          <w:rFonts w:ascii="Arial"/>
          <w:sz w:val="21"/>
        </w:rPr>
      </w:pPr>
    </w:p>
    <w:p w14:paraId="52A40B95">
      <w:pPr>
        <w:spacing w:line="244" w:lineRule="auto"/>
        <w:rPr>
          <w:rFonts w:ascii="Arial"/>
          <w:sz w:val="21"/>
        </w:rPr>
      </w:pPr>
    </w:p>
    <w:p w14:paraId="5BA216D8">
      <w:pPr>
        <w:spacing w:line="244" w:lineRule="auto"/>
        <w:rPr>
          <w:rFonts w:ascii="Arial"/>
          <w:sz w:val="21"/>
        </w:rPr>
      </w:pPr>
    </w:p>
    <w:p w14:paraId="207EF8E2">
      <w:pPr>
        <w:pStyle w:val="5"/>
        <w:spacing w:before="230" w:line="224" w:lineRule="auto"/>
        <w:ind w:left="3120"/>
        <w:outlineLvl w:val="0"/>
        <w:rPr>
          <w:sz w:val="71"/>
          <w:szCs w:val="71"/>
        </w:rPr>
      </w:pPr>
      <w:bookmarkStart w:id="75" w:name="_Toc12438"/>
      <w:r>
        <w:rPr>
          <w:spacing w:val="-27"/>
          <w:sz w:val="71"/>
          <w:szCs w:val="71"/>
        </w:rPr>
        <w:t>第</w:t>
      </w:r>
      <w:r>
        <w:rPr>
          <w:spacing w:val="76"/>
          <w:sz w:val="71"/>
          <w:szCs w:val="71"/>
        </w:rPr>
        <w:t xml:space="preserve"> </w:t>
      </w:r>
      <w:r>
        <w:rPr>
          <w:spacing w:val="-27"/>
          <w:sz w:val="71"/>
          <w:szCs w:val="71"/>
        </w:rPr>
        <w:t>四</w:t>
      </w:r>
      <w:r>
        <w:rPr>
          <w:spacing w:val="45"/>
          <w:sz w:val="71"/>
          <w:szCs w:val="71"/>
        </w:rPr>
        <w:t xml:space="preserve"> </w:t>
      </w:r>
      <w:r>
        <w:rPr>
          <w:spacing w:val="-27"/>
          <w:sz w:val="71"/>
          <w:szCs w:val="71"/>
        </w:rPr>
        <w:t>卷</w:t>
      </w:r>
      <w:bookmarkEnd w:id="75"/>
    </w:p>
    <w:p w14:paraId="3990D775">
      <w:pPr>
        <w:spacing w:line="251" w:lineRule="auto"/>
        <w:rPr>
          <w:rFonts w:hint="eastAsia" w:ascii="Arial" w:eastAsia="宋体"/>
          <w:sz w:val="21"/>
          <w:lang w:eastAsia="zh-CN"/>
        </w:rPr>
      </w:pPr>
      <w:r>
        <w:rPr>
          <w:rFonts w:hint="eastAsia" w:ascii="Arial" w:eastAsia="宋体"/>
          <w:sz w:val="21"/>
          <w:lang w:eastAsia="zh-CN"/>
        </w:rPr>
        <w:br w:type="page"/>
      </w:r>
    </w:p>
    <w:p w14:paraId="7D535676">
      <w:pPr>
        <w:spacing w:line="251" w:lineRule="auto"/>
        <w:rPr>
          <w:rFonts w:ascii="Arial"/>
          <w:sz w:val="21"/>
        </w:rPr>
      </w:pPr>
    </w:p>
    <w:p w14:paraId="4AEF7D17">
      <w:pPr>
        <w:spacing w:line="251" w:lineRule="auto"/>
        <w:rPr>
          <w:rFonts w:ascii="Arial"/>
          <w:sz w:val="21"/>
        </w:rPr>
      </w:pPr>
    </w:p>
    <w:p w14:paraId="5789454F">
      <w:pPr>
        <w:spacing w:line="251" w:lineRule="auto"/>
        <w:rPr>
          <w:rFonts w:ascii="Arial"/>
          <w:sz w:val="21"/>
        </w:rPr>
      </w:pPr>
    </w:p>
    <w:p w14:paraId="2B658AD5">
      <w:pPr>
        <w:spacing w:line="251" w:lineRule="auto"/>
        <w:rPr>
          <w:rFonts w:ascii="Arial"/>
          <w:sz w:val="21"/>
        </w:rPr>
      </w:pPr>
    </w:p>
    <w:p w14:paraId="70BBBC6E">
      <w:pPr>
        <w:spacing w:line="251" w:lineRule="auto"/>
        <w:rPr>
          <w:rFonts w:ascii="Arial"/>
          <w:sz w:val="21"/>
        </w:rPr>
      </w:pPr>
    </w:p>
    <w:p w14:paraId="4A4141B2">
      <w:pPr>
        <w:spacing w:line="251" w:lineRule="auto"/>
        <w:rPr>
          <w:rFonts w:ascii="Arial"/>
          <w:sz w:val="21"/>
        </w:rPr>
      </w:pPr>
    </w:p>
    <w:p w14:paraId="733A6A65">
      <w:pPr>
        <w:spacing w:line="251" w:lineRule="auto"/>
        <w:rPr>
          <w:rFonts w:ascii="Arial"/>
          <w:sz w:val="21"/>
        </w:rPr>
      </w:pPr>
    </w:p>
    <w:p w14:paraId="7AEAEAD2">
      <w:pPr>
        <w:spacing w:line="251" w:lineRule="auto"/>
        <w:rPr>
          <w:rFonts w:ascii="Arial"/>
          <w:sz w:val="21"/>
        </w:rPr>
      </w:pPr>
    </w:p>
    <w:p w14:paraId="65517C98">
      <w:pPr>
        <w:spacing w:line="251" w:lineRule="auto"/>
        <w:rPr>
          <w:rFonts w:ascii="Arial"/>
          <w:sz w:val="21"/>
        </w:rPr>
      </w:pPr>
    </w:p>
    <w:p w14:paraId="769AEC3D">
      <w:pPr>
        <w:spacing w:line="251" w:lineRule="auto"/>
        <w:rPr>
          <w:rFonts w:ascii="Arial"/>
          <w:sz w:val="21"/>
        </w:rPr>
      </w:pPr>
    </w:p>
    <w:p w14:paraId="5E7E0BB6">
      <w:pPr>
        <w:spacing w:line="251" w:lineRule="auto"/>
        <w:rPr>
          <w:rFonts w:ascii="Arial"/>
          <w:sz w:val="21"/>
        </w:rPr>
      </w:pPr>
    </w:p>
    <w:p w14:paraId="47528A01">
      <w:pPr>
        <w:spacing w:line="251" w:lineRule="auto"/>
        <w:rPr>
          <w:rFonts w:ascii="Arial"/>
          <w:sz w:val="21"/>
        </w:rPr>
      </w:pPr>
    </w:p>
    <w:p w14:paraId="7311BBF3">
      <w:pPr>
        <w:spacing w:line="251" w:lineRule="auto"/>
        <w:rPr>
          <w:rFonts w:ascii="Arial"/>
          <w:sz w:val="21"/>
        </w:rPr>
      </w:pPr>
    </w:p>
    <w:p w14:paraId="6882ABD6">
      <w:pPr>
        <w:spacing w:line="251" w:lineRule="auto"/>
        <w:rPr>
          <w:rFonts w:ascii="Arial"/>
          <w:sz w:val="21"/>
        </w:rPr>
      </w:pPr>
    </w:p>
    <w:p w14:paraId="752B48F3">
      <w:pPr>
        <w:spacing w:line="251" w:lineRule="auto"/>
        <w:rPr>
          <w:rFonts w:ascii="Arial"/>
          <w:sz w:val="21"/>
        </w:rPr>
      </w:pPr>
    </w:p>
    <w:p w14:paraId="365B3AC3">
      <w:pPr>
        <w:spacing w:line="251" w:lineRule="auto"/>
        <w:rPr>
          <w:rFonts w:ascii="Arial"/>
          <w:sz w:val="21"/>
        </w:rPr>
      </w:pPr>
    </w:p>
    <w:p w14:paraId="21C20A39">
      <w:pPr>
        <w:spacing w:line="251" w:lineRule="auto"/>
        <w:rPr>
          <w:rFonts w:ascii="Arial"/>
          <w:sz w:val="21"/>
        </w:rPr>
      </w:pPr>
    </w:p>
    <w:p w14:paraId="5B72AD48">
      <w:pPr>
        <w:spacing w:before="140" w:line="237" w:lineRule="auto"/>
        <w:ind w:left="2231"/>
        <w:outlineLvl w:val="0"/>
        <w:rPr>
          <w:rFonts w:ascii="宋体" w:hAnsi="宋体" w:eastAsia="宋体" w:cs="宋体"/>
          <w:sz w:val="22"/>
          <w:szCs w:val="22"/>
        </w:rPr>
      </w:pPr>
      <w:bookmarkStart w:id="76" w:name="bookmark14"/>
      <w:bookmarkEnd w:id="76"/>
      <w:bookmarkStart w:id="77" w:name="_Toc9047"/>
      <w:r>
        <w:rPr>
          <w:rFonts w:ascii="宋体" w:hAnsi="宋体" w:eastAsia="宋体" w:cs="宋体"/>
          <w:b/>
          <w:bCs/>
          <w:spacing w:val="4"/>
          <w:sz w:val="43"/>
          <w:szCs w:val="43"/>
        </w:rPr>
        <w:t>第</w:t>
      </w:r>
      <w:r>
        <w:rPr>
          <w:rFonts w:hint="eastAsia" w:ascii="宋体" w:hAnsi="宋体" w:eastAsia="宋体" w:cs="宋体"/>
          <w:b/>
          <w:bCs/>
          <w:spacing w:val="4"/>
          <w:sz w:val="43"/>
          <w:szCs w:val="43"/>
          <w:lang w:eastAsia="zh-CN"/>
        </w:rPr>
        <w:t>九</w:t>
      </w:r>
      <w:r>
        <w:rPr>
          <w:rFonts w:ascii="宋体" w:hAnsi="宋体" w:eastAsia="宋体" w:cs="宋体"/>
          <w:b/>
          <w:bCs/>
          <w:spacing w:val="4"/>
          <w:sz w:val="43"/>
          <w:szCs w:val="43"/>
        </w:rPr>
        <w:t>章</w:t>
      </w:r>
      <w:r>
        <w:rPr>
          <w:rFonts w:ascii="宋体" w:hAnsi="宋体" w:eastAsia="宋体" w:cs="宋体"/>
          <w:spacing w:val="4"/>
          <w:sz w:val="43"/>
          <w:szCs w:val="43"/>
        </w:rPr>
        <w:t xml:space="preserve">  </w:t>
      </w:r>
      <w:r>
        <w:rPr>
          <w:rFonts w:ascii="宋体" w:hAnsi="宋体" w:eastAsia="宋体" w:cs="宋体"/>
          <w:b/>
          <w:bCs/>
          <w:spacing w:val="4"/>
          <w:sz w:val="43"/>
          <w:szCs w:val="43"/>
        </w:rPr>
        <w:t>投标文件格式</w:t>
      </w:r>
      <w:bookmarkEnd w:id="77"/>
    </w:p>
    <w:p w14:paraId="26E66AE6">
      <w:pPr>
        <w:spacing w:line="242" w:lineRule="auto"/>
        <w:rPr>
          <w:rFonts w:ascii="Arial"/>
          <w:sz w:val="21"/>
        </w:rPr>
      </w:pPr>
    </w:p>
    <w:p w14:paraId="26EC8C99">
      <w:pPr>
        <w:spacing w:line="242" w:lineRule="auto"/>
        <w:rPr>
          <w:rFonts w:ascii="Arial"/>
          <w:sz w:val="21"/>
        </w:rPr>
      </w:pPr>
    </w:p>
    <w:p w14:paraId="36A2D935">
      <w:pPr>
        <w:spacing w:line="242" w:lineRule="auto"/>
        <w:rPr>
          <w:rFonts w:ascii="Arial"/>
          <w:sz w:val="21"/>
        </w:rPr>
      </w:pPr>
    </w:p>
    <w:p w14:paraId="0F6951E2">
      <w:pPr>
        <w:spacing w:line="242" w:lineRule="auto"/>
        <w:rPr>
          <w:rFonts w:ascii="Arial"/>
          <w:sz w:val="21"/>
        </w:rPr>
      </w:pPr>
    </w:p>
    <w:p w14:paraId="34D2E670">
      <w:pPr>
        <w:spacing w:line="242" w:lineRule="auto"/>
        <w:rPr>
          <w:rFonts w:ascii="Arial"/>
          <w:sz w:val="21"/>
        </w:rPr>
      </w:pPr>
    </w:p>
    <w:p w14:paraId="1FBC40E6">
      <w:pPr>
        <w:spacing w:line="242" w:lineRule="auto"/>
        <w:rPr>
          <w:rFonts w:ascii="Arial"/>
          <w:sz w:val="21"/>
        </w:rPr>
      </w:pPr>
    </w:p>
    <w:p w14:paraId="0AB1C9C7">
      <w:pPr>
        <w:spacing w:line="242" w:lineRule="auto"/>
        <w:rPr>
          <w:rFonts w:ascii="Arial"/>
          <w:sz w:val="21"/>
        </w:rPr>
      </w:pPr>
    </w:p>
    <w:p w14:paraId="7B925FD4">
      <w:pPr>
        <w:spacing w:line="242" w:lineRule="auto"/>
        <w:rPr>
          <w:rFonts w:ascii="Arial"/>
          <w:sz w:val="21"/>
        </w:rPr>
      </w:pPr>
    </w:p>
    <w:p w14:paraId="3B06BF89">
      <w:pPr>
        <w:spacing w:line="242" w:lineRule="auto"/>
        <w:rPr>
          <w:rFonts w:ascii="Arial"/>
          <w:sz w:val="21"/>
        </w:rPr>
      </w:pPr>
    </w:p>
    <w:p w14:paraId="7F8139D9">
      <w:pPr>
        <w:spacing w:line="242" w:lineRule="auto"/>
        <w:rPr>
          <w:rFonts w:ascii="Arial"/>
          <w:sz w:val="21"/>
        </w:rPr>
      </w:pPr>
    </w:p>
    <w:p w14:paraId="3C60FAA1">
      <w:pPr>
        <w:spacing w:line="242" w:lineRule="auto"/>
        <w:rPr>
          <w:rFonts w:ascii="Arial"/>
          <w:sz w:val="21"/>
        </w:rPr>
      </w:pPr>
    </w:p>
    <w:p w14:paraId="76468CD2">
      <w:pPr>
        <w:spacing w:line="242" w:lineRule="auto"/>
        <w:rPr>
          <w:rFonts w:ascii="Arial"/>
          <w:sz w:val="21"/>
        </w:rPr>
      </w:pPr>
    </w:p>
    <w:p w14:paraId="475357DA">
      <w:pPr>
        <w:spacing w:line="242" w:lineRule="auto"/>
        <w:rPr>
          <w:rFonts w:ascii="Arial"/>
          <w:sz w:val="21"/>
        </w:rPr>
      </w:pPr>
    </w:p>
    <w:p w14:paraId="4DBB9C5A">
      <w:pPr>
        <w:spacing w:line="242" w:lineRule="auto"/>
        <w:rPr>
          <w:rFonts w:ascii="Arial"/>
          <w:sz w:val="21"/>
        </w:rPr>
      </w:pPr>
    </w:p>
    <w:p w14:paraId="33EDF5D5">
      <w:pPr>
        <w:spacing w:line="242" w:lineRule="auto"/>
        <w:rPr>
          <w:rFonts w:ascii="Arial"/>
          <w:sz w:val="21"/>
        </w:rPr>
      </w:pPr>
    </w:p>
    <w:p w14:paraId="1FD059AA">
      <w:pPr>
        <w:spacing w:line="242" w:lineRule="auto"/>
        <w:rPr>
          <w:rFonts w:ascii="Arial"/>
          <w:sz w:val="21"/>
        </w:rPr>
      </w:pPr>
    </w:p>
    <w:p w14:paraId="01E8A6E7">
      <w:pPr>
        <w:spacing w:line="242" w:lineRule="auto"/>
        <w:rPr>
          <w:rFonts w:ascii="Arial"/>
          <w:sz w:val="21"/>
        </w:rPr>
      </w:pPr>
    </w:p>
    <w:p w14:paraId="44941321">
      <w:pPr>
        <w:spacing w:line="242" w:lineRule="auto"/>
        <w:rPr>
          <w:rFonts w:ascii="Arial"/>
          <w:sz w:val="21"/>
        </w:rPr>
      </w:pPr>
    </w:p>
    <w:p w14:paraId="3DE17E44">
      <w:pPr>
        <w:spacing w:line="242" w:lineRule="auto"/>
        <w:rPr>
          <w:rFonts w:ascii="Arial"/>
          <w:sz w:val="21"/>
        </w:rPr>
      </w:pPr>
    </w:p>
    <w:p w14:paraId="6869B1B9">
      <w:pPr>
        <w:spacing w:line="242" w:lineRule="auto"/>
        <w:rPr>
          <w:rFonts w:ascii="Arial"/>
          <w:sz w:val="21"/>
        </w:rPr>
      </w:pPr>
    </w:p>
    <w:p w14:paraId="0FF98150">
      <w:pPr>
        <w:spacing w:line="242" w:lineRule="auto"/>
        <w:rPr>
          <w:rFonts w:ascii="Arial"/>
          <w:sz w:val="21"/>
        </w:rPr>
      </w:pPr>
    </w:p>
    <w:p w14:paraId="56FCB3C8">
      <w:pPr>
        <w:spacing w:line="242" w:lineRule="auto"/>
        <w:rPr>
          <w:rFonts w:ascii="Arial"/>
          <w:sz w:val="21"/>
        </w:rPr>
      </w:pPr>
    </w:p>
    <w:p w14:paraId="2651EF2B">
      <w:pPr>
        <w:spacing w:line="242" w:lineRule="auto"/>
        <w:rPr>
          <w:rFonts w:ascii="Arial"/>
          <w:sz w:val="21"/>
        </w:rPr>
      </w:pPr>
    </w:p>
    <w:p w14:paraId="3F6FE599">
      <w:pPr>
        <w:spacing w:line="242" w:lineRule="auto"/>
        <w:rPr>
          <w:rFonts w:ascii="Arial"/>
          <w:sz w:val="21"/>
        </w:rPr>
      </w:pPr>
    </w:p>
    <w:p w14:paraId="76195AE5">
      <w:pPr>
        <w:spacing w:line="242" w:lineRule="auto"/>
        <w:rPr>
          <w:rFonts w:ascii="Arial"/>
          <w:sz w:val="21"/>
        </w:rPr>
      </w:pPr>
    </w:p>
    <w:p w14:paraId="3366D921">
      <w:pPr>
        <w:spacing w:line="242" w:lineRule="auto"/>
        <w:rPr>
          <w:rFonts w:ascii="Arial"/>
          <w:sz w:val="21"/>
        </w:rPr>
      </w:pPr>
    </w:p>
    <w:p w14:paraId="05E4D11A">
      <w:pPr>
        <w:spacing w:line="242" w:lineRule="auto"/>
        <w:rPr>
          <w:rFonts w:ascii="Arial"/>
          <w:sz w:val="21"/>
        </w:rPr>
      </w:pPr>
    </w:p>
    <w:p w14:paraId="0067979C">
      <w:pPr>
        <w:spacing w:line="243" w:lineRule="auto"/>
        <w:rPr>
          <w:rFonts w:ascii="Arial"/>
          <w:sz w:val="21"/>
        </w:rPr>
      </w:pPr>
    </w:p>
    <w:p w14:paraId="3A5E1509">
      <w:pPr>
        <w:spacing w:line="243" w:lineRule="auto"/>
        <w:rPr>
          <w:rFonts w:ascii="Arial"/>
          <w:sz w:val="21"/>
        </w:rPr>
      </w:pPr>
    </w:p>
    <w:p w14:paraId="214A056F">
      <w:pPr>
        <w:spacing w:line="243" w:lineRule="auto"/>
        <w:rPr>
          <w:rFonts w:ascii="Arial"/>
          <w:sz w:val="21"/>
        </w:rPr>
      </w:pPr>
    </w:p>
    <w:p w14:paraId="5DA0D93E">
      <w:pPr>
        <w:spacing w:line="243" w:lineRule="auto"/>
        <w:rPr>
          <w:rFonts w:ascii="Arial"/>
          <w:sz w:val="21"/>
        </w:rPr>
      </w:pPr>
    </w:p>
    <w:p w14:paraId="58BCDBF4">
      <w:pPr>
        <w:spacing w:line="243" w:lineRule="auto"/>
        <w:rPr>
          <w:rFonts w:ascii="Arial"/>
          <w:sz w:val="21"/>
        </w:rPr>
      </w:pPr>
    </w:p>
    <w:p w14:paraId="50BA8C8C">
      <w:pPr>
        <w:spacing w:line="243" w:lineRule="auto"/>
        <w:rPr>
          <w:rFonts w:ascii="Arial"/>
          <w:sz w:val="21"/>
        </w:rPr>
      </w:pPr>
    </w:p>
    <w:p w14:paraId="0B771E37">
      <w:pPr>
        <w:spacing w:line="243" w:lineRule="auto"/>
        <w:rPr>
          <w:rFonts w:ascii="Arial"/>
          <w:sz w:val="21"/>
        </w:rPr>
      </w:pPr>
    </w:p>
    <w:p w14:paraId="45E74EE1">
      <w:pPr>
        <w:spacing w:line="243" w:lineRule="auto"/>
        <w:rPr>
          <w:rFonts w:ascii="Arial"/>
          <w:sz w:val="21"/>
        </w:rPr>
      </w:pPr>
    </w:p>
    <w:p w14:paraId="38BD2FF8">
      <w:pPr>
        <w:spacing w:line="273" w:lineRule="auto"/>
        <w:rPr>
          <w:rFonts w:hint="eastAsia" w:ascii="Arial" w:eastAsia="宋体"/>
          <w:sz w:val="21"/>
          <w:lang w:eastAsia="zh-CN"/>
        </w:rPr>
      </w:pPr>
      <w:r>
        <w:rPr>
          <w:rFonts w:hint="eastAsia" w:ascii="Arial" w:eastAsia="宋体"/>
          <w:sz w:val="21"/>
          <w:lang w:eastAsia="zh-CN"/>
        </w:rPr>
        <w:br w:type="page"/>
      </w:r>
    </w:p>
    <w:p w14:paraId="12D9625A">
      <w:pPr>
        <w:spacing w:line="273" w:lineRule="auto"/>
        <w:rPr>
          <w:rFonts w:ascii="Arial"/>
          <w:sz w:val="21"/>
        </w:rPr>
      </w:pPr>
    </w:p>
    <w:p w14:paraId="72367744">
      <w:pPr>
        <w:spacing w:line="273" w:lineRule="auto"/>
        <w:rPr>
          <w:rFonts w:ascii="Arial"/>
          <w:sz w:val="21"/>
        </w:rPr>
      </w:pPr>
    </w:p>
    <w:p w14:paraId="15FC276D">
      <w:pPr>
        <w:spacing w:before="140" w:line="223" w:lineRule="auto"/>
        <w:ind w:left="3889"/>
        <w:rPr>
          <w:rFonts w:ascii="宋体" w:hAnsi="宋体" w:eastAsia="宋体" w:cs="宋体"/>
          <w:sz w:val="43"/>
          <w:szCs w:val="43"/>
        </w:rPr>
      </w:pPr>
      <w:r>
        <w:rPr>
          <w:rFonts w:ascii="宋体" w:hAnsi="宋体" w:eastAsia="宋体" w:cs="宋体"/>
          <w:spacing w:val="4"/>
          <w:sz w:val="43"/>
          <w:szCs w:val="43"/>
        </w:rPr>
        <w:t>广东省</w:t>
      </w:r>
    </w:p>
    <w:p w14:paraId="35758A6E">
      <w:pPr>
        <w:spacing w:line="242" w:lineRule="auto"/>
        <w:rPr>
          <w:rFonts w:ascii="Arial"/>
          <w:sz w:val="21"/>
        </w:rPr>
      </w:pPr>
    </w:p>
    <w:p w14:paraId="6B14DCDB">
      <w:pPr>
        <w:spacing w:line="242" w:lineRule="auto"/>
        <w:rPr>
          <w:rFonts w:ascii="Arial"/>
          <w:sz w:val="21"/>
        </w:rPr>
      </w:pPr>
    </w:p>
    <w:p w14:paraId="75604127">
      <w:pPr>
        <w:spacing w:line="242" w:lineRule="auto"/>
        <w:rPr>
          <w:rFonts w:ascii="Arial"/>
          <w:sz w:val="21"/>
        </w:rPr>
      </w:pPr>
    </w:p>
    <w:p w14:paraId="6138477A">
      <w:pPr>
        <w:spacing w:line="243" w:lineRule="auto"/>
        <w:rPr>
          <w:rFonts w:ascii="Arial"/>
          <w:sz w:val="21"/>
        </w:rPr>
      </w:pPr>
    </w:p>
    <w:p w14:paraId="15883020">
      <w:pPr>
        <w:spacing w:before="130" w:line="220" w:lineRule="auto"/>
        <w:ind w:left="2518"/>
        <w:rPr>
          <w:rFonts w:ascii="宋体" w:hAnsi="宋体" w:eastAsia="宋体" w:cs="宋体"/>
          <w:sz w:val="40"/>
          <w:szCs w:val="40"/>
        </w:rPr>
      </w:pPr>
      <w:r>
        <w:pict>
          <v:shape id="_x0000_s1111" o:spid="_x0000_s1111" style="position:absolute;left:0pt;margin-left:21.65pt;margin-top:25.6pt;height:1pt;width:409.9pt;z-index:251669504;mso-width-relative:page;mso-height-relative:page;" filled="f" stroked="t" coordsize="8197,20" path="m0,9l8197,9e">
            <v:fill on="f" focussize="0,0"/>
            <v:stroke weight="0.96pt" color="#000000" miterlimit="2" joinstyle="bevel"/>
            <v:imagedata o:title=""/>
            <o:lock v:ext="edit"/>
          </v:shape>
        </w:pict>
      </w:r>
      <w:r>
        <w:rPr>
          <w:rFonts w:ascii="宋体" w:hAnsi="宋体" w:eastAsia="宋体" w:cs="宋体"/>
          <w:spacing w:val="-5"/>
          <w:sz w:val="40"/>
          <w:szCs w:val="40"/>
        </w:rPr>
        <w:t>(项目名称)       （标类或标段）</w:t>
      </w:r>
    </w:p>
    <w:p w14:paraId="354BDBE6">
      <w:pPr>
        <w:spacing w:before="300" w:line="221" w:lineRule="auto"/>
        <w:ind w:left="3747"/>
        <w:rPr>
          <w:rFonts w:ascii="宋体" w:hAnsi="宋体" w:eastAsia="宋体" w:cs="宋体"/>
          <w:sz w:val="40"/>
          <w:szCs w:val="40"/>
        </w:rPr>
      </w:pPr>
      <w:r>
        <w:rPr>
          <w:rFonts w:ascii="宋体" w:hAnsi="宋体" w:eastAsia="宋体" w:cs="宋体"/>
          <w:spacing w:val="-4"/>
          <w:sz w:val="40"/>
          <w:szCs w:val="40"/>
        </w:rPr>
        <w:t>施工招标</w:t>
      </w:r>
    </w:p>
    <w:p w14:paraId="0191156C">
      <w:pPr>
        <w:spacing w:line="251" w:lineRule="auto"/>
        <w:rPr>
          <w:rFonts w:ascii="Arial"/>
          <w:sz w:val="21"/>
        </w:rPr>
      </w:pPr>
    </w:p>
    <w:p w14:paraId="0610D4FC">
      <w:pPr>
        <w:spacing w:line="252" w:lineRule="auto"/>
        <w:rPr>
          <w:rFonts w:ascii="Arial"/>
          <w:sz w:val="21"/>
        </w:rPr>
      </w:pPr>
    </w:p>
    <w:p w14:paraId="6377B3CF">
      <w:pPr>
        <w:spacing w:line="252" w:lineRule="auto"/>
        <w:rPr>
          <w:rFonts w:ascii="Arial"/>
          <w:sz w:val="21"/>
        </w:rPr>
      </w:pPr>
    </w:p>
    <w:p w14:paraId="2409E97B">
      <w:pPr>
        <w:spacing w:line="252" w:lineRule="auto"/>
        <w:rPr>
          <w:rFonts w:ascii="Arial"/>
          <w:sz w:val="21"/>
        </w:rPr>
      </w:pPr>
    </w:p>
    <w:p w14:paraId="10D8A2BE">
      <w:pPr>
        <w:spacing w:line="252" w:lineRule="auto"/>
        <w:rPr>
          <w:rFonts w:ascii="Arial"/>
          <w:sz w:val="21"/>
        </w:rPr>
      </w:pPr>
    </w:p>
    <w:p w14:paraId="27DDB598">
      <w:pPr>
        <w:spacing w:line="252" w:lineRule="auto"/>
        <w:rPr>
          <w:rFonts w:ascii="Arial"/>
          <w:sz w:val="21"/>
        </w:rPr>
      </w:pPr>
    </w:p>
    <w:p w14:paraId="1AA3DC56">
      <w:pPr>
        <w:spacing w:line="252" w:lineRule="auto"/>
        <w:rPr>
          <w:rFonts w:ascii="Arial"/>
          <w:sz w:val="21"/>
        </w:rPr>
      </w:pPr>
    </w:p>
    <w:p w14:paraId="0458891E">
      <w:pPr>
        <w:spacing w:before="231" w:line="222" w:lineRule="auto"/>
        <w:ind w:left="3129"/>
        <w:rPr>
          <w:rFonts w:ascii="宋体" w:hAnsi="宋体" w:eastAsia="宋体" w:cs="宋体"/>
          <w:sz w:val="71"/>
          <w:szCs w:val="71"/>
        </w:rPr>
      </w:pPr>
      <w:r>
        <w:rPr>
          <w:rFonts w:ascii="宋体" w:hAnsi="宋体" w:eastAsia="宋体" w:cs="宋体"/>
          <w:sz w:val="71"/>
          <w:szCs w:val="71"/>
        </w:rPr>
        <w:t>投标文件</w:t>
      </w:r>
    </w:p>
    <w:p w14:paraId="2F9F667B">
      <w:pPr>
        <w:spacing w:line="365" w:lineRule="auto"/>
        <w:rPr>
          <w:rFonts w:ascii="Arial"/>
          <w:sz w:val="21"/>
        </w:rPr>
      </w:pPr>
    </w:p>
    <w:p w14:paraId="1FEE575E">
      <w:pPr>
        <w:spacing w:before="131" w:line="220" w:lineRule="auto"/>
        <w:ind w:left="1559"/>
        <w:rPr>
          <w:rFonts w:ascii="宋体" w:hAnsi="宋体" w:eastAsia="宋体" w:cs="宋体"/>
          <w:sz w:val="40"/>
          <w:szCs w:val="40"/>
        </w:rPr>
      </w:pPr>
      <w:r>
        <w:rPr>
          <w:rFonts w:ascii="宋体" w:hAnsi="宋体" w:eastAsia="宋体" w:cs="宋体"/>
          <w:spacing w:val="-2"/>
          <w:sz w:val="40"/>
          <w:szCs w:val="40"/>
        </w:rPr>
        <w:t>（第一个信封：商务及技术文件）</w:t>
      </w:r>
    </w:p>
    <w:p w14:paraId="2F28333D">
      <w:pPr>
        <w:spacing w:line="244" w:lineRule="auto"/>
        <w:rPr>
          <w:rFonts w:ascii="Arial"/>
          <w:sz w:val="21"/>
        </w:rPr>
      </w:pPr>
    </w:p>
    <w:p w14:paraId="56028A22">
      <w:pPr>
        <w:spacing w:line="244" w:lineRule="auto"/>
        <w:rPr>
          <w:rFonts w:ascii="Arial"/>
          <w:sz w:val="21"/>
        </w:rPr>
      </w:pPr>
    </w:p>
    <w:p w14:paraId="16B1B4C9">
      <w:pPr>
        <w:spacing w:line="244" w:lineRule="auto"/>
        <w:rPr>
          <w:rFonts w:ascii="Arial"/>
          <w:sz w:val="21"/>
        </w:rPr>
      </w:pPr>
    </w:p>
    <w:p w14:paraId="00FE56F5">
      <w:pPr>
        <w:spacing w:line="244" w:lineRule="auto"/>
        <w:rPr>
          <w:rFonts w:ascii="Arial"/>
          <w:sz w:val="21"/>
        </w:rPr>
      </w:pPr>
    </w:p>
    <w:p w14:paraId="3EF25B09">
      <w:pPr>
        <w:spacing w:line="244" w:lineRule="auto"/>
        <w:rPr>
          <w:rFonts w:ascii="Arial"/>
          <w:sz w:val="21"/>
        </w:rPr>
      </w:pPr>
    </w:p>
    <w:p w14:paraId="095366F8">
      <w:pPr>
        <w:spacing w:line="244" w:lineRule="auto"/>
        <w:rPr>
          <w:rFonts w:ascii="Arial"/>
          <w:sz w:val="21"/>
        </w:rPr>
      </w:pPr>
    </w:p>
    <w:p w14:paraId="646E6ABB">
      <w:pPr>
        <w:spacing w:line="244" w:lineRule="auto"/>
        <w:rPr>
          <w:rFonts w:ascii="Arial"/>
          <w:sz w:val="21"/>
        </w:rPr>
      </w:pPr>
    </w:p>
    <w:p w14:paraId="7CFD6902">
      <w:pPr>
        <w:spacing w:line="244" w:lineRule="auto"/>
        <w:rPr>
          <w:rFonts w:ascii="Arial"/>
          <w:sz w:val="21"/>
        </w:rPr>
      </w:pPr>
    </w:p>
    <w:p w14:paraId="4C36E8D5">
      <w:pPr>
        <w:spacing w:line="244" w:lineRule="auto"/>
        <w:rPr>
          <w:rFonts w:ascii="Arial"/>
          <w:sz w:val="21"/>
        </w:rPr>
      </w:pPr>
    </w:p>
    <w:p w14:paraId="1E599AF9">
      <w:pPr>
        <w:spacing w:line="244" w:lineRule="auto"/>
        <w:rPr>
          <w:rFonts w:ascii="Arial"/>
          <w:sz w:val="21"/>
        </w:rPr>
      </w:pPr>
    </w:p>
    <w:p w14:paraId="60EDAECE">
      <w:pPr>
        <w:spacing w:line="244" w:lineRule="auto"/>
        <w:rPr>
          <w:rFonts w:ascii="Arial"/>
          <w:sz w:val="21"/>
        </w:rPr>
      </w:pPr>
    </w:p>
    <w:p w14:paraId="7D58B63B">
      <w:pPr>
        <w:spacing w:line="244" w:lineRule="auto"/>
        <w:rPr>
          <w:rFonts w:ascii="Arial"/>
          <w:sz w:val="21"/>
        </w:rPr>
      </w:pPr>
    </w:p>
    <w:p w14:paraId="5FA0FB7A">
      <w:pPr>
        <w:spacing w:line="244" w:lineRule="auto"/>
        <w:rPr>
          <w:rFonts w:ascii="Arial"/>
          <w:sz w:val="21"/>
        </w:rPr>
      </w:pPr>
    </w:p>
    <w:p w14:paraId="568B4833">
      <w:pPr>
        <w:spacing w:line="244" w:lineRule="auto"/>
        <w:rPr>
          <w:rFonts w:ascii="Arial"/>
          <w:sz w:val="21"/>
        </w:rPr>
      </w:pPr>
    </w:p>
    <w:p w14:paraId="1100B964">
      <w:pPr>
        <w:spacing w:line="244" w:lineRule="auto"/>
        <w:rPr>
          <w:rFonts w:ascii="Arial"/>
          <w:sz w:val="21"/>
        </w:rPr>
      </w:pPr>
    </w:p>
    <w:p w14:paraId="482C228A">
      <w:pPr>
        <w:spacing w:line="244" w:lineRule="auto"/>
        <w:rPr>
          <w:rFonts w:ascii="Arial"/>
          <w:sz w:val="21"/>
        </w:rPr>
      </w:pPr>
    </w:p>
    <w:p w14:paraId="32E411E9">
      <w:pPr>
        <w:spacing w:line="244" w:lineRule="auto"/>
        <w:rPr>
          <w:rFonts w:ascii="Arial"/>
          <w:sz w:val="21"/>
        </w:rPr>
      </w:pPr>
    </w:p>
    <w:p w14:paraId="3FF56682">
      <w:pPr>
        <w:spacing w:line="245" w:lineRule="auto"/>
        <w:rPr>
          <w:rFonts w:ascii="Arial"/>
          <w:sz w:val="21"/>
        </w:rPr>
      </w:pPr>
    </w:p>
    <w:p w14:paraId="449BCC57">
      <w:pPr>
        <w:spacing w:line="245" w:lineRule="auto"/>
        <w:rPr>
          <w:rFonts w:ascii="Arial"/>
          <w:sz w:val="21"/>
        </w:rPr>
      </w:pPr>
    </w:p>
    <w:p w14:paraId="3F27938F">
      <w:pPr>
        <w:spacing w:line="245" w:lineRule="auto"/>
        <w:rPr>
          <w:rFonts w:ascii="Arial"/>
          <w:sz w:val="21"/>
        </w:rPr>
      </w:pPr>
    </w:p>
    <w:p w14:paraId="7C40F10D">
      <w:pPr>
        <w:spacing w:line="245" w:lineRule="auto"/>
        <w:rPr>
          <w:rFonts w:ascii="Arial"/>
          <w:sz w:val="21"/>
        </w:rPr>
      </w:pPr>
    </w:p>
    <w:p w14:paraId="7FAE75A1">
      <w:pPr>
        <w:spacing w:before="101" w:line="224" w:lineRule="auto"/>
        <w:ind w:left="485"/>
        <w:rPr>
          <w:rFonts w:ascii="宋体" w:hAnsi="宋体" w:eastAsia="宋体" w:cs="宋体"/>
          <w:sz w:val="31"/>
          <w:szCs w:val="31"/>
        </w:rPr>
      </w:pPr>
      <w:r>
        <w:rPr>
          <w:rFonts w:ascii="宋体" w:hAnsi="宋体" w:eastAsia="宋体" w:cs="宋体"/>
          <w:spacing w:val="12"/>
          <w:sz w:val="31"/>
          <w:szCs w:val="31"/>
        </w:rPr>
        <w:t>投标人</w:t>
      </w:r>
      <w:r>
        <w:rPr>
          <w:rFonts w:ascii="宋体" w:hAnsi="宋体" w:eastAsia="宋体" w:cs="宋体"/>
          <w:spacing w:val="-12"/>
          <w:sz w:val="31"/>
          <w:szCs w:val="31"/>
        </w:rPr>
        <w:t>：</w:t>
      </w:r>
      <w:r>
        <w:rPr>
          <w:rFonts w:ascii="宋体" w:hAnsi="宋体" w:eastAsia="宋体" w:cs="宋体"/>
          <w:spacing w:val="5"/>
          <w:sz w:val="31"/>
          <w:szCs w:val="31"/>
          <w:u w:val="single" w:color="auto"/>
        </w:rPr>
        <w:t xml:space="preserve">                            </w:t>
      </w:r>
      <w:r>
        <w:rPr>
          <w:rFonts w:ascii="宋体" w:hAnsi="宋体" w:eastAsia="宋体" w:cs="宋体"/>
          <w:spacing w:val="4"/>
          <w:sz w:val="31"/>
          <w:szCs w:val="31"/>
          <w:u w:val="single" w:color="auto"/>
        </w:rPr>
        <w:t xml:space="preserve">   </w:t>
      </w:r>
      <w:r>
        <w:rPr>
          <w:rFonts w:ascii="宋体" w:hAnsi="宋体" w:eastAsia="宋体" w:cs="宋体"/>
          <w:spacing w:val="-12"/>
          <w:sz w:val="31"/>
          <w:szCs w:val="31"/>
        </w:rPr>
        <w:t>（</w:t>
      </w:r>
      <w:r>
        <w:rPr>
          <w:rFonts w:ascii="宋体" w:hAnsi="宋体" w:eastAsia="宋体" w:cs="宋体"/>
          <w:spacing w:val="12"/>
          <w:sz w:val="31"/>
          <w:szCs w:val="31"/>
        </w:rPr>
        <w:t>盖单位章）</w:t>
      </w:r>
    </w:p>
    <w:p w14:paraId="44A519C5">
      <w:pPr>
        <w:tabs>
          <w:tab w:val="left" w:pos="3837"/>
        </w:tabs>
        <w:spacing w:before="245" w:line="225" w:lineRule="auto"/>
        <w:ind w:left="2558"/>
        <w:rPr>
          <w:rFonts w:ascii="宋体" w:hAnsi="宋体" w:eastAsia="宋体" w:cs="宋体"/>
          <w:sz w:val="31"/>
          <w:szCs w:val="31"/>
        </w:rPr>
      </w:pPr>
      <w:r>
        <w:rPr>
          <w:rFonts w:ascii="宋体" w:hAnsi="宋体" w:eastAsia="宋体" w:cs="宋体"/>
          <w:sz w:val="31"/>
          <w:szCs w:val="31"/>
          <w:u w:val="single" w:color="auto"/>
        </w:rPr>
        <w:tab/>
      </w:r>
      <w:r>
        <w:rPr>
          <w:rFonts w:ascii="宋体" w:hAnsi="宋体" w:eastAsia="宋体" w:cs="宋体"/>
          <w:spacing w:val="-140"/>
          <w:sz w:val="31"/>
          <w:szCs w:val="31"/>
        </w:rPr>
        <w:t xml:space="preserve"> </w:t>
      </w:r>
      <w:r>
        <w:rPr>
          <w:rFonts w:ascii="宋体" w:hAnsi="宋体" w:eastAsia="宋体" w:cs="宋体"/>
          <w:spacing w:val="-6"/>
          <w:sz w:val="31"/>
          <w:szCs w:val="31"/>
        </w:rPr>
        <w:t>年</w:t>
      </w:r>
      <w:r>
        <w:rPr>
          <w:rFonts w:ascii="宋体" w:hAnsi="宋体" w:eastAsia="宋体" w:cs="宋体"/>
          <w:spacing w:val="-153"/>
          <w:sz w:val="31"/>
          <w:szCs w:val="31"/>
        </w:rPr>
        <w:t xml:space="preserve"> </w:t>
      </w:r>
      <w:r>
        <w:rPr>
          <w:rFonts w:ascii="宋体" w:hAnsi="宋体" w:eastAsia="宋体" w:cs="宋体"/>
          <w:spacing w:val="5"/>
          <w:sz w:val="31"/>
          <w:szCs w:val="31"/>
          <w:u w:val="single" w:color="auto"/>
        </w:rPr>
        <w:t xml:space="preserve">      </w:t>
      </w:r>
      <w:r>
        <w:rPr>
          <w:rFonts w:ascii="宋体" w:hAnsi="宋体" w:eastAsia="宋体" w:cs="宋体"/>
          <w:spacing w:val="-134"/>
          <w:sz w:val="31"/>
          <w:szCs w:val="31"/>
        </w:rPr>
        <w:t xml:space="preserve"> </w:t>
      </w:r>
      <w:r>
        <w:rPr>
          <w:rFonts w:ascii="宋体" w:hAnsi="宋体" w:eastAsia="宋体" w:cs="宋体"/>
          <w:spacing w:val="-6"/>
          <w:sz w:val="31"/>
          <w:szCs w:val="31"/>
        </w:rPr>
        <w:t>月</w:t>
      </w:r>
      <w:r>
        <w:rPr>
          <w:rFonts w:ascii="宋体" w:hAnsi="宋体" w:eastAsia="宋体" w:cs="宋体"/>
          <w:spacing w:val="4"/>
          <w:sz w:val="31"/>
          <w:szCs w:val="31"/>
          <w:u w:val="single" w:color="auto"/>
        </w:rPr>
        <w:t xml:space="preserve">      </w:t>
      </w:r>
      <w:r>
        <w:rPr>
          <w:rFonts w:ascii="宋体" w:hAnsi="宋体" w:eastAsia="宋体" w:cs="宋体"/>
          <w:spacing w:val="-81"/>
          <w:sz w:val="31"/>
          <w:szCs w:val="31"/>
        </w:rPr>
        <w:t xml:space="preserve"> </w:t>
      </w:r>
      <w:r>
        <w:rPr>
          <w:rFonts w:ascii="宋体" w:hAnsi="宋体" w:eastAsia="宋体" w:cs="宋体"/>
          <w:spacing w:val="-6"/>
          <w:sz w:val="31"/>
          <w:szCs w:val="31"/>
        </w:rPr>
        <w:t>日</w:t>
      </w:r>
    </w:p>
    <w:p w14:paraId="6B19754D">
      <w:pPr>
        <w:spacing w:line="267" w:lineRule="auto"/>
        <w:rPr>
          <w:rFonts w:hint="eastAsia" w:ascii="Arial" w:eastAsia="宋体"/>
          <w:sz w:val="21"/>
          <w:lang w:eastAsia="zh-CN"/>
        </w:rPr>
      </w:pPr>
      <w:r>
        <w:rPr>
          <w:rFonts w:hint="eastAsia" w:ascii="Arial" w:eastAsia="宋体"/>
          <w:sz w:val="21"/>
          <w:lang w:eastAsia="zh-CN"/>
        </w:rPr>
        <w:br w:type="page"/>
      </w:r>
    </w:p>
    <w:p w14:paraId="2F84701B">
      <w:pPr>
        <w:spacing w:line="267" w:lineRule="auto"/>
        <w:rPr>
          <w:rFonts w:ascii="Arial"/>
          <w:sz w:val="21"/>
        </w:rPr>
      </w:pPr>
    </w:p>
    <w:p w14:paraId="3FADBA61">
      <w:pPr>
        <w:spacing w:line="268" w:lineRule="auto"/>
        <w:rPr>
          <w:rFonts w:ascii="Arial"/>
          <w:sz w:val="21"/>
        </w:rPr>
      </w:pPr>
    </w:p>
    <w:p w14:paraId="033EE1A9">
      <w:pPr>
        <w:spacing w:before="101" w:line="227" w:lineRule="auto"/>
        <w:ind w:left="4123"/>
        <w:rPr>
          <w:rFonts w:ascii="宋体" w:hAnsi="宋体" w:eastAsia="宋体" w:cs="宋体"/>
          <w:sz w:val="31"/>
          <w:szCs w:val="31"/>
        </w:rPr>
      </w:pPr>
      <w:r>
        <w:rPr>
          <w:rFonts w:ascii="宋体" w:hAnsi="宋体" w:eastAsia="宋体" w:cs="宋体"/>
          <w:b/>
          <w:bCs/>
          <w:spacing w:val="-36"/>
          <w:sz w:val="31"/>
          <w:szCs w:val="31"/>
        </w:rPr>
        <w:t>目</w:t>
      </w:r>
      <w:r>
        <w:rPr>
          <w:rFonts w:ascii="宋体" w:hAnsi="宋体" w:eastAsia="宋体" w:cs="宋体"/>
          <w:spacing w:val="14"/>
          <w:sz w:val="31"/>
          <w:szCs w:val="31"/>
        </w:rPr>
        <w:t xml:space="preserve">  </w:t>
      </w:r>
      <w:r>
        <w:rPr>
          <w:rFonts w:ascii="宋体" w:hAnsi="宋体" w:eastAsia="宋体" w:cs="宋体"/>
          <w:b/>
          <w:bCs/>
          <w:spacing w:val="-36"/>
          <w:sz w:val="31"/>
          <w:szCs w:val="31"/>
        </w:rPr>
        <w:t>录</w:t>
      </w:r>
    </w:p>
    <w:p w14:paraId="2FEE1E0F">
      <w:pPr>
        <w:spacing w:line="342" w:lineRule="auto"/>
        <w:rPr>
          <w:rFonts w:ascii="Arial"/>
          <w:sz w:val="21"/>
        </w:rPr>
      </w:pPr>
    </w:p>
    <w:p w14:paraId="654B7862">
      <w:pPr>
        <w:spacing w:line="342" w:lineRule="auto"/>
        <w:rPr>
          <w:rFonts w:ascii="Arial"/>
          <w:sz w:val="21"/>
        </w:rPr>
      </w:pPr>
    </w:p>
    <w:p w14:paraId="4C40C2E0">
      <w:pPr>
        <w:spacing w:before="91" w:line="220" w:lineRule="auto"/>
        <w:ind w:left="9"/>
        <w:rPr>
          <w:rFonts w:ascii="宋体" w:hAnsi="宋体" w:eastAsia="宋体" w:cs="宋体"/>
          <w:sz w:val="28"/>
          <w:szCs w:val="28"/>
        </w:rPr>
      </w:pPr>
      <w:r>
        <w:rPr>
          <w:rFonts w:ascii="宋体" w:hAnsi="宋体" w:eastAsia="宋体" w:cs="宋体"/>
          <w:spacing w:val="-1"/>
          <w:sz w:val="28"/>
          <w:szCs w:val="28"/>
        </w:rPr>
        <w:t>第一个信封(商务及技术文件)</w:t>
      </w:r>
    </w:p>
    <w:p w14:paraId="40044497">
      <w:pPr>
        <w:spacing w:before="209" w:line="219" w:lineRule="auto"/>
        <w:ind w:left="14"/>
        <w:rPr>
          <w:rFonts w:ascii="宋体" w:hAnsi="宋体" w:eastAsia="宋体" w:cs="宋体"/>
          <w:sz w:val="28"/>
          <w:szCs w:val="28"/>
        </w:rPr>
      </w:pPr>
      <w:r>
        <w:rPr>
          <w:rFonts w:ascii="宋体" w:hAnsi="宋体" w:eastAsia="宋体" w:cs="宋体"/>
          <w:spacing w:val="-2"/>
          <w:sz w:val="28"/>
          <w:szCs w:val="28"/>
        </w:rPr>
        <w:t>一、投标函及投标函附录</w:t>
      </w:r>
    </w:p>
    <w:p w14:paraId="0E8DFBBB">
      <w:pPr>
        <w:spacing w:before="212" w:line="219" w:lineRule="auto"/>
        <w:ind w:left="14"/>
        <w:rPr>
          <w:rFonts w:ascii="宋体" w:hAnsi="宋体" w:eastAsia="宋体" w:cs="宋体"/>
          <w:sz w:val="28"/>
          <w:szCs w:val="28"/>
        </w:rPr>
      </w:pPr>
      <w:r>
        <w:rPr>
          <w:rFonts w:ascii="宋体" w:hAnsi="宋体" w:eastAsia="宋体" w:cs="宋体"/>
          <w:spacing w:val="-1"/>
          <w:sz w:val="28"/>
          <w:szCs w:val="28"/>
        </w:rPr>
        <w:t>二、授权委托书或法定代表人身份证明</w:t>
      </w:r>
    </w:p>
    <w:p w14:paraId="5C5DCCF2">
      <w:pPr>
        <w:spacing w:before="212" w:line="219" w:lineRule="auto"/>
        <w:ind w:left="9"/>
        <w:rPr>
          <w:rFonts w:ascii="宋体" w:hAnsi="宋体" w:eastAsia="宋体" w:cs="宋体"/>
          <w:sz w:val="28"/>
          <w:szCs w:val="28"/>
        </w:rPr>
      </w:pPr>
      <w:r>
        <w:rPr>
          <w:rFonts w:ascii="宋体" w:hAnsi="宋体" w:eastAsia="宋体" w:cs="宋体"/>
          <w:spacing w:val="-1"/>
          <w:sz w:val="28"/>
          <w:szCs w:val="28"/>
        </w:rPr>
        <w:t>三、联合体协议书（如有）</w:t>
      </w:r>
    </w:p>
    <w:p w14:paraId="4C8D3335">
      <w:pPr>
        <w:spacing w:before="212" w:line="221" w:lineRule="auto"/>
        <w:ind w:left="36"/>
        <w:rPr>
          <w:rFonts w:ascii="宋体" w:hAnsi="宋体" w:eastAsia="宋体" w:cs="宋体"/>
          <w:sz w:val="28"/>
          <w:szCs w:val="28"/>
        </w:rPr>
      </w:pPr>
      <w:r>
        <w:rPr>
          <w:rFonts w:ascii="宋体" w:hAnsi="宋体" w:eastAsia="宋体" w:cs="宋体"/>
          <w:spacing w:val="-6"/>
          <w:sz w:val="28"/>
          <w:szCs w:val="28"/>
        </w:rPr>
        <w:t>四、投标保证金</w:t>
      </w:r>
    </w:p>
    <w:p w14:paraId="5242AD62">
      <w:pPr>
        <w:spacing w:before="210" w:line="221" w:lineRule="auto"/>
        <w:ind w:left="14"/>
        <w:rPr>
          <w:rFonts w:ascii="宋体" w:hAnsi="宋体" w:eastAsia="宋体" w:cs="宋体"/>
          <w:sz w:val="28"/>
          <w:szCs w:val="28"/>
        </w:rPr>
      </w:pPr>
      <w:r>
        <w:rPr>
          <w:rFonts w:ascii="宋体" w:hAnsi="宋体" w:eastAsia="宋体" w:cs="宋体"/>
          <w:spacing w:val="-2"/>
          <w:sz w:val="28"/>
          <w:szCs w:val="28"/>
        </w:rPr>
        <w:t>五、施工组织设计</w:t>
      </w:r>
    </w:p>
    <w:p w14:paraId="0D2D11BB">
      <w:pPr>
        <w:spacing w:before="210" w:line="219" w:lineRule="auto"/>
        <w:ind w:left="12"/>
        <w:rPr>
          <w:rFonts w:ascii="宋体" w:hAnsi="宋体" w:eastAsia="宋体" w:cs="宋体"/>
          <w:sz w:val="28"/>
          <w:szCs w:val="28"/>
        </w:rPr>
      </w:pPr>
      <w:r>
        <w:rPr>
          <w:rFonts w:ascii="宋体" w:hAnsi="宋体" w:eastAsia="宋体" w:cs="宋体"/>
          <w:spacing w:val="-2"/>
          <w:sz w:val="28"/>
          <w:szCs w:val="28"/>
        </w:rPr>
        <w:t>六、项目管理机构</w:t>
      </w:r>
    </w:p>
    <w:p w14:paraId="46686B72">
      <w:pPr>
        <w:spacing w:before="212" w:line="219" w:lineRule="auto"/>
        <w:ind w:left="8"/>
        <w:rPr>
          <w:rFonts w:ascii="宋体" w:hAnsi="宋体" w:eastAsia="宋体" w:cs="宋体"/>
          <w:sz w:val="28"/>
          <w:szCs w:val="28"/>
        </w:rPr>
      </w:pPr>
      <w:r>
        <w:rPr>
          <w:rFonts w:ascii="宋体" w:hAnsi="宋体" w:eastAsia="宋体" w:cs="宋体"/>
          <w:spacing w:val="-1"/>
          <w:sz w:val="28"/>
          <w:szCs w:val="28"/>
        </w:rPr>
        <w:t>七、拟分包项目情况表</w:t>
      </w:r>
    </w:p>
    <w:p w14:paraId="44A72B44">
      <w:pPr>
        <w:spacing w:before="213" w:line="220" w:lineRule="auto"/>
        <w:ind w:left="14"/>
        <w:rPr>
          <w:rFonts w:ascii="宋体" w:hAnsi="宋体" w:eastAsia="宋体" w:cs="宋体"/>
          <w:sz w:val="28"/>
          <w:szCs w:val="28"/>
        </w:rPr>
      </w:pPr>
      <w:r>
        <w:rPr>
          <w:rFonts w:ascii="宋体" w:hAnsi="宋体" w:eastAsia="宋体" w:cs="宋体"/>
          <w:spacing w:val="-2"/>
          <w:sz w:val="28"/>
          <w:szCs w:val="28"/>
        </w:rPr>
        <w:t>八、资格审查资料</w:t>
      </w:r>
    </w:p>
    <w:p w14:paraId="3C35D672">
      <w:pPr>
        <w:spacing w:before="210" w:line="221" w:lineRule="auto"/>
        <w:ind w:left="16"/>
        <w:rPr>
          <w:rFonts w:ascii="宋体" w:hAnsi="宋体" w:eastAsia="宋体" w:cs="宋体"/>
          <w:sz w:val="28"/>
          <w:szCs w:val="28"/>
        </w:rPr>
      </w:pPr>
      <w:r>
        <w:rPr>
          <w:rFonts w:ascii="宋体" w:hAnsi="宋体" w:eastAsia="宋体" w:cs="宋体"/>
          <w:spacing w:val="-3"/>
          <w:sz w:val="28"/>
          <w:szCs w:val="28"/>
        </w:rPr>
        <w:t>九、其他资料</w:t>
      </w:r>
    </w:p>
    <w:p w14:paraId="0CC96AB8">
      <w:pPr>
        <w:spacing w:before="318" w:line="219" w:lineRule="auto"/>
        <w:ind w:left="3003"/>
        <w:rPr>
          <w:rFonts w:ascii="宋体" w:hAnsi="宋体" w:eastAsia="宋体" w:cs="宋体"/>
          <w:sz w:val="28"/>
          <w:szCs w:val="28"/>
        </w:rPr>
      </w:pPr>
      <w:r>
        <w:rPr>
          <w:rFonts w:ascii="宋体" w:hAnsi="宋体" w:eastAsia="宋体" w:cs="宋体"/>
          <w:b/>
          <w:bCs/>
          <w:spacing w:val="-4"/>
          <w:sz w:val="28"/>
          <w:szCs w:val="28"/>
        </w:rPr>
        <w:br w:type="page"/>
      </w:r>
      <w:r>
        <w:rPr>
          <w:rFonts w:ascii="宋体" w:hAnsi="宋体" w:eastAsia="宋体" w:cs="宋体"/>
          <w:b/>
          <w:bCs/>
          <w:spacing w:val="-4"/>
          <w:sz w:val="28"/>
          <w:szCs w:val="28"/>
        </w:rPr>
        <w:t>一、投标函及投标函附录</w:t>
      </w:r>
    </w:p>
    <w:p w14:paraId="6E0A2F3E">
      <w:pPr>
        <w:spacing w:before="211" w:line="221" w:lineRule="auto"/>
        <w:ind w:left="3499"/>
        <w:rPr>
          <w:rFonts w:ascii="宋体" w:hAnsi="宋体" w:eastAsia="宋体" w:cs="宋体"/>
          <w:sz w:val="28"/>
          <w:szCs w:val="28"/>
        </w:rPr>
      </w:pPr>
      <w:r>
        <w:rPr>
          <w:rFonts w:ascii="宋体" w:hAnsi="宋体" w:eastAsia="宋体" w:cs="宋体"/>
          <w:b/>
          <w:bCs/>
          <w:spacing w:val="-7"/>
          <w:sz w:val="28"/>
          <w:szCs w:val="28"/>
        </w:rPr>
        <w:t>（一）</w:t>
      </w:r>
      <w:r>
        <w:rPr>
          <w:rFonts w:ascii="宋体" w:hAnsi="宋体" w:eastAsia="宋体" w:cs="宋体"/>
          <w:spacing w:val="16"/>
          <w:sz w:val="28"/>
          <w:szCs w:val="28"/>
        </w:rPr>
        <w:t xml:space="preserve"> </w:t>
      </w:r>
      <w:r>
        <w:rPr>
          <w:rFonts w:ascii="宋体" w:hAnsi="宋体" w:eastAsia="宋体" w:cs="宋体"/>
          <w:b/>
          <w:bCs/>
          <w:spacing w:val="-7"/>
          <w:sz w:val="28"/>
          <w:szCs w:val="28"/>
        </w:rPr>
        <w:t>投</w:t>
      </w:r>
      <w:r>
        <w:rPr>
          <w:rFonts w:ascii="宋体" w:hAnsi="宋体" w:eastAsia="宋体" w:cs="宋体"/>
          <w:spacing w:val="-7"/>
          <w:sz w:val="28"/>
          <w:szCs w:val="28"/>
        </w:rPr>
        <w:t xml:space="preserve"> </w:t>
      </w:r>
      <w:r>
        <w:rPr>
          <w:rFonts w:ascii="宋体" w:hAnsi="宋体" w:eastAsia="宋体" w:cs="宋体"/>
          <w:b/>
          <w:bCs/>
          <w:spacing w:val="-7"/>
          <w:sz w:val="28"/>
          <w:szCs w:val="28"/>
        </w:rPr>
        <w:t>标</w:t>
      </w:r>
      <w:r>
        <w:rPr>
          <w:rFonts w:ascii="宋体" w:hAnsi="宋体" w:eastAsia="宋体" w:cs="宋体"/>
          <w:spacing w:val="31"/>
          <w:sz w:val="28"/>
          <w:szCs w:val="28"/>
        </w:rPr>
        <w:t xml:space="preserve"> </w:t>
      </w:r>
      <w:r>
        <w:rPr>
          <w:rFonts w:ascii="宋体" w:hAnsi="宋体" w:eastAsia="宋体" w:cs="宋体"/>
          <w:b/>
          <w:bCs/>
          <w:spacing w:val="-7"/>
          <w:sz w:val="28"/>
          <w:szCs w:val="28"/>
        </w:rPr>
        <w:t>函</w:t>
      </w:r>
    </w:p>
    <w:p w14:paraId="42939C4A">
      <w:pPr>
        <w:tabs>
          <w:tab w:val="left" w:pos="3360"/>
        </w:tabs>
        <w:spacing w:before="250" w:line="220"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
          <w:sz w:val="24"/>
          <w:szCs w:val="24"/>
        </w:rPr>
        <w:t>（招标人名称</w:t>
      </w:r>
      <w:r>
        <w:rPr>
          <w:rFonts w:ascii="宋体" w:hAnsi="宋体" w:eastAsia="宋体" w:cs="宋体"/>
          <w:spacing w:val="2"/>
          <w:sz w:val="24"/>
          <w:szCs w:val="24"/>
        </w:rPr>
        <w:t>）：</w:t>
      </w:r>
    </w:p>
    <w:p w14:paraId="722EDA42">
      <w:pPr>
        <w:spacing w:before="73" w:line="277" w:lineRule="auto"/>
        <w:ind w:left="10" w:firstLine="496"/>
        <w:rPr>
          <w:rFonts w:ascii="宋体" w:hAnsi="宋体" w:eastAsia="宋体" w:cs="宋体"/>
          <w:sz w:val="24"/>
          <w:szCs w:val="24"/>
        </w:rPr>
      </w:pPr>
      <w:r>
        <w:rPr>
          <w:rFonts w:ascii="宋体" w:hAnsi="宋体" w:eastAsia="宋体" w:cs="宋体"/>
          <w:sz w:val="24"/>
          <w:szCs w:val="24"/>
        </w:rPr>
        <w:t>1.我方已仔细研究</w:t>
      </w:r>
      <w:r>
        <w:rPr>
          <w:rFonts w:ascii="宋体" w:hAnsi="宋体" w:eastAsia="宋体" w:cs="宋体"/>
          <w:spacing w:val="7"/>
          <w:sz w:val="24"/>
          <w:szCs w:val="24"/>
          <w:u w:val="single" w:color="auto"/>
        </w:rPr>
        <w:t xml:space="preserve">               </w:t>
      </w:r>
      <w:r>
        <w:rPr>
          <w:rFonts w:ascii="宋体" w:hAnsi="宋体" w:eastAsia="宋体" w:cs="宋体"/>
          <w:sz w:val="24"/>
          <w:szCs w:val="24"/>
          <w:u w:val="single" w:color="auto"/>
        </w:rPr>
        <w:t>（项目名称</w:t>
      </w:r>
      <w:r>
        <w:rPr>
          <w:rFonts w:ascii="宋体" w:hAnsi="宋体" w:eastAsia="宋体" w:cs="宋体"/>
          <w:spacing w:val="-14"/>
          <w:sz w:val="24"/>
          <w:szCs w:val="24"/>
          <w:u w:val="single" w:color="auto"/>
        </w:rPr>
        <w:t>）</w:t>
      </w:r>
      <w:r>
        <w:rPr>
          <w:rFonts w:ascii="宋体" w:hAnsi="宋体" w:eastAsia="宋体" w:cs="宋体"/>
          <w:spacing w:val="16"/>
          <w:sz w:val="24"/>
          <w:szCs w:val="24"/>
          <w:u w:val="single" w:color="auto"/>
        </w:rPr>
        <w:t xml:space="preserve">        </w:t>
      </w:r>
      <w:r>
        <w:rPr>
          <w:rFonts w:ascii="宋体" w:hAnsi="宋体" w:eastAsia="宋体" w:cs="宋体"/>
          <w:spacing w:val="-14"/>
          <w:sz w:val="24"/>
          <w:szCs w:val="24"/>
          <w:u w:val="single" w:color="auto"/>
        </w:rPr>
        <w:t>（</w:t>
      </w:r>
      <w:r>
        <w:rPr>
          <w:rFonts w:ascii="宋体" w:hAnsi="宋体" w:eastAsia="宋体" w:cs="宋体"/>
          <w:sz w:val="24"/>
          <w:szCs w:val="24"/>
          <w:u w:val="single" w:color="auto"/>
        </w:rPr>
        <w:t>标类或标段）</w:t>
      </w:r>
      <w:r>
        <w:rPr>
          <w:rFonts w:ascii="宋体" w:hAnsi="宋体" w:eastAsia="宋体" w:cs="宋体"/>
          <w:sz w:val="24"/>
          <w:szCs w:val="24"/>
        </w:rPr>
        <w:t>施工</w:t>
      </w:r>
      <w:r>
        <w:rPr>
          <w:rFonts w:ascii="宋体" w:hAnsi="宋体" w:eastAsia="宋体" w:cs="宋体"/>
          <w:spacing w:val="-2"/>
          <w:sz w:val="24"/>
          <w:szCs w:val="24"/>
        </w:rPr>
        <w:t>招标文件的全部内容（含补遗书，如有</w:t>
      </w:r>
      <w:r>
        <w:rPr>
          <w:rFonts w:ascii="宋体" w:hAnsi="宋体" w:eastAsia="宋体" w:cs="宋体"/>
          <w:spacing w:val="3"/>
          <w:sz w:val="24"/>
          <w:szCs w:val="24"/>
        </w:rPr>
        <w:t>），</w:t>
      </w:r>
      <w:r>
        <w:rPr>
          <w:rFonts w:ascii="宋体" w:hAnsi="宋体" w:eastAsia="宋体" w:cs="宋体"/>
          <w:spacing w:val="-2"/>
          <w:sz w:val="24"/>
          <w:szCs w:val="24"/>
        </w:rPr>
        <w:t>在考察工程现场后，愿意以第二个信封（报</w:t>
      </w:r>
      <w:r>
        <w:rPr>
          <w:rFonts w:ascii="宋体" w:hAnsi="宋体" w:eastAsia="宋体" w:cs="宋体"/>
          <w:spacing w:val="-1"/>
          <w:sz w:val="24"/>
          <w:szCs w:val="24"/>
        </w:rPr>
        <w:t>价文件）中的投标总报价（或根据招标文件规定修正</w:t>
      </w:r>
      <w:r>
        <w:rPr>
          <w:rFonts w:ascii="宋体" w:hAnsi="宋体" w:eastAsia="宋体" w:cs="宋体"/>
          <w:spacing w:val="-2"/>
          <w:sz w:val="24"/>
          <w:szCs w:val="24"/>
        </w:rPr>
        <w:t>核实后确定的另一金额</w:t>
      </w:r>
      <w:r>
        <w:rPr>
          <w:rFonts w:ascii="宋体" w:hAnsi="宋体" w:eastAsia="宋体" w:cs="宋体"/>
          <w:spacing w:val="-8"/>
          <w:sz w:val="24"/>
          <w:szCs w:val="24"/>
        </w:rPr>
        <w:t>），</w:t>
      </w:r>
      <w:r>
        <w:rPr>
          <w:rFonts w:ascii="宋体" w:hAnsi="宋体" w:eastAsia="宋体" w:cs="宋体"/>
          <w:spacing w:val="-2"/>
          <w:sz w:val="24"/>
          <w:szCs w:val="24"/>
        </w:rPr>
        <w:t>按合同</w:t>
      </w:r>
      <w:r>
        <w:rPr>
          <w:rFonts w:ascii="宋体" w:hAnsi="宋体" w:eastAsia="宋体" w:cs="宋体"/>
          <w:spacing w:val="-1"/>
          <w:sz w:val="24"/>
          <w:szCs w:val="24"/>
        </w:rPr>
        <w:t>约定实施和完成承包工程，修补工程中的任何缺陷。</w:t>
      </w:r>
    </w:p>
    <w:p w14:paraId="1C10F84C">
      <w:pPr>
        <w:spacing w:line="213" w:lineRule="auto"/>
        <w:ind w:left="492"/>
        <w:rPr>
          <w:rFonts w:ascii="宋体" w:hAnsi="宋体" w:eastAsia="宋体" w:cs="宋体"/>
          <w:sz w:val="24"/>
          <w:szCs w:val="24"/>
        </w:rPr>
      </w:pPr>
      <w:r>
        <w:rPr>
          <w:rFonts w:ascii="宋体" w:hAnsi="宋体" w:eastAsia="宋体" w:cs="宋体"/>
          <w:spacing w:val="-1"/>
          <w:sz w:val="24"/>
          <w:szCs w:val="24"/>
        </w:rPr>
        <w:t>2.我方承诺在招标文件规定的投标有效期内不撤销投标文件。</w:t>
      </w:r>
    </w:p>
    <w:p w14:paraId="57AA1B18">
      <w:pPr>
        <w:spacing w:line="312" w:lineRule="auto"/>
        <w:ind w:left="494"/>
        <w:rPr>
          <w:rFonts w:ascii="宋体" w:hAnsi="宋体" w:eastAsia="宋体" w:cs="宋体"/>
          <w:sz w:val="12"/>
          <w:szCs w:val="12"/>
        </w:rPr>
      </w:pPr>
      <w:r>
        <w:rPr>
          <w:rFonts w:ascii="宋体" w:hAnsi="宋体" w:eastAsia="宋体" w:cs="宋体"/>
          <w:spacing w:val="-5"/>
          <w:sz w:val="24"/>
          <w:szCs w:val="24"/>
        </w:rPr>
        <w:t>3.工程质量</w:t>
      </w:r>
      <w:r>
        <w:rPr>
          <w:rFonts w:ascii="宋体" w:hAnsi="宋体" w:eastAsia="宋体" w:cs="宋体"/>
          <w:spacing w:val="-4"/>
          <w:sz w:val="24"/>
          <w:szCs w:val="24"/>
        </w:rPr>
        <w:t>：</w:t>
      </w:r>
      <w:r>
        <w:rPr>
          <w:rFonts w:ascii="宋体" w:hAnsi="宋体" w:eastAsia="宋体" w:cs="宋体"/>
          <w:sz w:val="24"/>
          <w:szCs w:val="24"/>
          <w:u w:val="single" w:color="auto"/>
        </w:rPr>
        <w:t xml:space="preserve">          </w:t>
      </w:r>
      <w:r>
        <w:rPr>
          <w:rFonts w:ascii="宋体" w:hAnsi="宋体" w:eastAsia="宋体" w:cs="宋体"/>
          <w:spacing w:val="-88"/>
          <w:sz w:val="24"/>
          <w:szCs w:val="24"/>
        </w:rPr>
        <w:t xml:space="preserve"> </w:t>
      </w:r>
      <w:r>
        <w:rPr>
          <w:rFonts w:ascii="宋体" w:hAnsi="宋体" w:eastAsia="宋体" w:cs="宋体"/>
          <w:spacing w:val="-4"/>
          <w:sz w:val="24"/>
          <w:szCs w:val="24"/>
        </w:rPr>
        <w:t>，</w:t>
      </w:r>
      <w:r>
        <w:rPr>
          <w:rFonts w:ascii="宋体" w:hAnsi="宋体" w:eastAsia="宋体" w:cs="宋体"/>
          <w:spacing w:val="-5"/>
          <w:sz w:val="24"/>
          <w:szCs w:val="24"/>
        </w:rPr>
        <w:t>安全目标</w:t>
      </w:r>
      <w:r>
        <w:rPr>
          <w:rFonts w:ascii="宋体" w:hAnsi="宋体" w:eastAsia="宋体" w:cs="宋体"/>
          <w:spacing w:val="-4"/>
          <w:sz w:val="24"/>
          <w:szCs w:val="24"/>
        </w:rPr>
        <w:t>：</w:t>
      </w:r>
      <w:r>
        <w:rPr>
          <w:rFonts w:ascii="宋体" w:hAnsi="宋体" w:eastAsia="宋体" w:cs="宋体"/>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4"/>
          <w:sz w:val="24"/>
          <w:szCs w:val="24"/>
        </w:rPr>
        <w:t>，</w:t>
      </w:r>
      <w:r>
        <w:rPr>
          <w:rFonts w:ascii="宋体" w:hAnsi="宋体" w:eastAsia="宋体" w:cs="宋体"/>
          <w:spacing w:val="-5"/>
          <w:sz w:val="24"/>
          <w:szCs w:val="24"/>
        </w:rPr>
        <w:t>工期</w:t>
      </w:r>
      <w:r>
        <w:rPr>
          <w:rFonts w:ascii="宋体" w:hAnsi="宋体" w:eastAsia="宋体" w:cs="宋体"/>
          <w:spacing w:val="-5"/>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5"/>
          <w:sz w:val="24"/>
          <w:szCs w:val="24"/>
        </w:rPr>
        <w:t>日历天。</w:t>
      </w:r>
    </w:p>
    <w:p w14:paraId="2A8C344A">
      <w:pPr>
        <w:spacing w:before="37" w:line="219" w:lineRule="auto"/>
        <w:ind w:left="488"/>
        <w:rPr>
          <w:rFonts w:ascii="宋体" w:hAnsi="宋体" w:eastAsia="宋体" w:cs="宋体"/>
          <w:sz w:val="24"/>
          <w:szCs w:val="24"/>
        </w:rPr>
      </w:pPr>
      <w:r>
        <w:rPr>
          <w:rFonts w:ascii="宋体" w:hAnsi="宋体" w:eastAsia="宋体" w:cs="宋体"/>
          <w:spacing w:val="-1"/>
          <w:sz w:val="24"/>
          <w:szCs w:val="24"/>
        </w:rPr>
        <w:t>4.如我方中标，我方承诺：</w:t>
      </w:r>
    </w:p>
    <w:p w14:paraId="7DFCCDE5">
      <w:pPr>
        <w:spacing w:before="74" w:line="219" w:lineRule="auto"/>
        <w:ind w:left="500"/>
        <w:rPr>
          <w:rFonts w:ascii="宋体" w:hAnsi="宋体" w:eastAsia="宋体" w:cs="宋体"/>
          <w:sz w:val="24"/>
          <w:szCs w:val="24"/>
        </w:rPr>
      </w:pPr>
      <w:r>
        <w:rPr>
          <w:rFonts w:ascii="宋体" w:hAnsi="宋体" w:eastAsia="宋体" w:cs="宋体"/>
          <w:spacing w:val="-1"/>
          <w:sz w:val="24"/>
          <w:szCs w:val="24"/>
        </w:rPr>
        <w:t>（1）在收到中标通知书后，在规定的期限内与你方签订合同；</w:t>
      </w:r>
    </w:p>
    <w:p w14:paraId="56C7308A">
      <w:pPr>
        <w:spacing w:before="76" w:line="219" w:lineRule="auto"/>
        <w:ind w:left="500"/>
        <w:rPr>
          <w:rFonts w:ascii="宋体" w:hAnsi="宋体" w:eastAsia="宋体" w:cs="宋体"/>
          <w:sz w:val="24"/>
          <w:szCs w:val="24"/>
        </w:rPr>
      </w:pPr>
      <w:r>
        <w:rPr>
          <w:rFonts w:ascii="宋体" w:hAnsi="宋体" w:eastAsia="宋体" w:cs="宋体"/>
          <w:spacing w:val="-2"/>
          <w:sz w:val="24"/>
          <w:szCs w:val="24"/>
        </w:rPr>
        <w:t>（2）在签订合同时不向你方提出附加条件；</w:t>
      </w:r>
    </w:p>
    <w:p w14:paraId="5B2409B0">
      <w:pPr>
        <w:spacing w:before="76" w:line="219" w:lineRule="auto"/>
        <w:ind w:left="500"/>
        <w:rPr>
          <w:rFonts w:ascii="宋体" w:hAnsi="宋体" w:eastAsia="宋体" w:cs="宋体"/>
          <w:sz w:val="24"/>
          <w:szCs w:val="24"/>
        </w:rPr>
      </w:pPr>
      <w:r>
        <w:rPr>
          <w:rFonts w:ascii="宋体" w:hAnsi="宋体" w:eastAsia="宋体" w:cs="宋体"/>
          <w:spacing w:val="-2"/>
          <w:sz w:val="24"/>
          <w:szCs w:val="24"/>
        </w:rPr>
        <w:t>（3）按照招标文件要求提交履约保证金；</w:t>
      </w:r>
    </w:p>
    <w:p w14:paraId="1630FBD2">
      <w:pPr>
        <w:spacing w:before="75" w:line="219" w:lineRule="auto"/>
        <w:ind w:left="500"/>
        <w:rPr>
          <w:rFonts w:ascii="宋体" w:hAnsi="宋体" w:eastAsia="宋体" w:cs="宋体"/>
          <w:sz w:val="24"/>
          <w:szCs w:val="24"/>
        </w:rPr>
      </w:pPr>
      <w:r>
        <w:rPr>
          <w:rFonts w:ascii="宋体" w:hAnsi="宋体" w:eastAsia="宋体" w:cs="宋体"/>
          <w:spacing w:val="-1"/>
          <w:sz w:val="24"/>
          <w:szCs w:val="24"/>
        </w:rPr>
        <w:t>（4）在合同约定的期限内完成合同规定的全部义务；</w:t>
      </w:r>
    </w:p>
    <w:p w14:paraId="6D87B1C4">
      <w:pPr>
        <w:tabs>
          <w:tab w:val="left" w:pos="615"/>
        </w:tabs>
        <w:spacing w:before="74" w:line="274" w:lineRule="auto"/>
        <w:ind w:left="8" w:firstLine="471"/>
        <w:rPr>
          <w:rFonts w:ascii="宋体" w:hAnsi="宋体" w:eastAsia="宋体" w:cs="宋体"/>
          <w:sz w:val="12"/>
          <w:szCs w:val="12"/>
        </w:rPr>
      </w:pPr>
      <w:r>
        <w:rPr>
          <w:rFonts w:ascii="宋体" w:hAnsi="宋体" w:eastAsia="宋体" w:cs="宋体"/>
          <w:sz w:val="24"/>
          <w:szCs w:val="24"/>
          <w:u w:val="single" w:color="auto"/>
        </w:rPr>
        <w:tab/>
      </w:r>
      <w:r>
        <w:rPr>
          <w:rFonts w:ascii="宋体" w:hAnsi="宋体" w:eastAsia="宋体" w:cs="宋体"/>
          <w:spacing w:val="-4"/>
          <w:sz w:val="24"/>
          <w:szCs w:val="24"/>
          <w:u w:val="single" w:color="auto"/>
        </w:rPr>
        <w:t>（5）我方将按照招标文件提出的最低要求填报派驻本标段的其他管理和技术人员</w:t>
      </w:r>
      <w:r>
        <w:rPr>
          <w:rFonts w:ascii="宋体" w:hAnsi="宋体" w:eastAsia="宋体" w:cs="宋体"/>
          <w:spacing w:val="-2"/>
          <w:sz w:val="24"/>
          <w:szCs w:val="24"/>
          <w:u w:val="single" w:color="auto"/>
        </w:rPr>
        <w:t>及主要设备，经你方审批后作为派驻本标段的项目管理机构主要人员和投入到位的主要</w:t>
      </w:r>
      <w:r>
        <w:rPr>
          <w:rFonts w:ascii="宋体" w:hAnsi="宋体" w:eastAsia="宋体" w:cs="宋体"/>
          <w:spacing w:val="-1"/>
          <w:sz w:val="24"/>
          <w:szCs w:val="24"/>
          <w:u w:val="single" w:color="auto"/>
        </w:rPr>
        <w:t>设备且不进行更换。</w:t>
      </w:r>
    </w:p>
    <w:p w14:paraId="15C7534F">
      <w:pPr>
        <w:spacing w:before="12" w:line="277" w:lineRule="auto"/>
        <w:ind w:left="8" w:right="67" w:firstLine="485"/>
        <w:rPr>
          <w:rFonts w:ascii="宋体" w:hAnsi="宋体" w:eastAsia="宋体" w:cs="宋体"/>
          <w:sz w:val="24"/>
          <w:szCs w:val="24"/>
        </w:rPr>
      </w:pPr>
      <w:r>
        <w:rPr>
          <w:rFonts w:ascii="宋体" w:hAnsi="宋体" w:eastAsia="宋体" w:cs="宋体"/>
          <w:sz w:val="24"/>
          <w:szCs w:val="24"/>
        </w:rPr>
        <w:t>5. 我方在此声明，所递交的投标文件及有关</w:t>
      </w:r>
      <w:r>
        <w:rPr>
          <w:rFonts w:ascii="宋体" w:hAnsi="宋体" w:eastAsia="宋体" w:cs="宋体"/>
          <w:spacing w:val="-1"/>
          <w:sz w:val="24"/>
          <w:szCs w:val="24"/>
        </w:rPr>
        <w:t>资料内容完整、真实和准确，且不存</w:t>
      </w:r>
      <w:r>
        <w:rPr>
          <w:rFonts w:ascii="宋体" w:hAnsi="宋体" w:eastAsia="宋体" w:cs="宋体"/>
          <w:spacing w:val="-3"/>
          <w:sz w:val="24"/>
          <w:szCs w:val="24"/>
        </w:rPr>
        <w:t>在招标文件第二章“投标人须知</w:t>
      </w:r>
      <w:r>
        <w:rPr>
          <w:rFonts w:ascii="宋体" w:hAnsi="宋体" w:eastAsia="宋体" w:cs="宋体"/>
          <w:spacing w:val="-89"/>
          <w:sz w:val="24"/>
          <w:szCs w:val="24"/>
        </w:rPr>
        <w:t xml:space="preserve"> </w:t>
      </w:r>
      <w:r>
        <w:rPr>
          <w:rFonts w:ascii="宋体" w:hAnsi="宋体" w:eastAsia="宋体" w:cs="宋体"/>
          <w:spacing w:val="-3"/>
          <w:sz w:val="24"/>
          <w:szCs w:val="24"/>
        </w:rPr>
        <w:t>”第</w:t>
      </w:r>
      <w:r>
        <w:rPr>
          <w:rFonts w:ascii="宋体" w:hAnsi="宋体" w:eastAsia="宋体" w:cs="宋体"/>
          <w:spacing w:val="-32"/>
          <w:sz w:val="24"/>
          <w:szCs w:val="24"/>
        </w:rPr>
        <w:t xml:space="preserve"> </w:t>
      </w:r>
      <w:r>
        <w:rPr>
          <w:rFonts w:ascii="宋体" w:hAnsi="宋体" w:eastAsia="宋体" w:cs="宋体"/>
          <w:spacing w:val="-3"/>
          <w:sz w:val="24"/>
          <w:szCs w:val="24"/>
        </w:rPr>
        <w:t>1.4.3</w:t>
      </w:r>
      <w:r>
        <w:rPr>
          <w:rFonts w:ascii="宋体" w:hAnsi="宋体" w:eastAsia="宋体" w:cs="宋体"/>
          <w:spacing w:val="-47"/>
          <w:sz w:val="24"/>
          <w:szCs w:val="24"/>
        </w:rPr>
        <w:t xml:space="preserve"> </w:t>
      </w:r>
      <w:r>
        <w:rPr>
          <w:rFonts w:ascii="宋体" w:hAnsi="宋体" w:eastAsia="宋体" w:cs="宋体"/>
          <w:spacing w:val="-3"/>
          <w:sz w:val="24"/>
          <w:szCs w:val="24"/>
        </w:rPr>
        <w:t>项和第</w:t>
      </w:r>
      <w:r>
        <w:rPr>
          <w:rFonts w:ascii="宋体" w:hAnsi="宋体" w:eastAsia="宋体" w:cs="宋体"/>
          <w:spacing w:val="-33"/>
          <w:sz w:val="24"/>
          <w:szCs w:val="24"/>
        </w:rPr>
        <w:t xml:space="preserve"> </w:t>
      </w:r>
      <w:r>
        <w:rPr>
          <w:rFonts w:ascii="宋体" w:hAnsi="宋体" w:eastAsia="宋体" w:cs="宋体"/>
          <w:spacing w:val="-3"/>
          <w:sz w:val="24"/>
          <w:szCs w:val="24"/>
        </w:rPr>
        <w:t>1.4.4</w:t>
      </w:r>
      <w:r>
        <w:rPr>
          <w:rFonts w:ascii="宋体" w:hAnsi="宋体" w:eastAsia="宋体" w:cs="宋体"/>
          <w:spacing w:val="-47"/>
          <w:sz w:val="24"/>
          <w:szCs w:val="24"/>
        </w:rPr>
        <w:t xml:space="preserve"> </w:t>
      </w:r>
      <w:r>
        <w:rPr>
          <w:rFonts w:ascii="宋体" w:hAnsi="宋体" w:eastAsia="宋体" w:cs="宋体"/>
          <w:spacing w:val="-3"/>
          <w:sz w:val="24"/>
          <w:szCs w:val="24"/>
        </w:rPr>
        <w:t>项规定的任何一种情</w:t>
      </w:r>
      <w:r>
        <w:rPr>
          <w:rFonts w:ascii="宋体" w:hAnsi="宋体" w:eastAsia="宋体" w:cs="宋体"/>
          <w:spacing w:val="-4"/>
          <w:sz w:val="24"/>
          <w:szCs w:val="24"/>
        </w:rPr>
        <w:t>形。</w:t>
      </w:r>
    </w:p>
    <w:p w14:paraId="2919A064">
      <w:pPr>
        <w:spacing w:before="4" w:line="276" w:lineRule="auto"/>
        <w:ind w:left="16" w:right="2" w:firstLine="474"/>
        <w:rPr>
          <w:rFonts w:ascii="宋体" w:hAnsi="宋体" w:eastAsia="宋体" w:cs="宋体"/>
          <w:sz w:val="24"/>
          <w:szCs w:val="24"/>
        </w:rPr>
      </w:pPr>
      <w:r>
        <w:rPr>
          <w:rFonts w:ascii="宋体" w:hAnsi="宋体" w:eastAsia="宋体" w:cs="宋体"/>
          <w:spacing w:val="-2"/>
          <w:sz w:val="24"/>
          <w:szCs w:val="24"/>
        </w:rPr>
        <w:t>6. 我方在此承诺：拟投入本项目的项目负责人及项目技术负责人无在岗</w:t>
      </w:r>
      <w:r>
        <w:rPr>
          <w:rFonts w:ascii="宋体" w:hAnsi="宋体" w:eastAsia="宋体" w:cs="宋体"/>
          <w:spacing w:val="-3"/>
          <w:sz w:val="24"/>
          <w:szCs w:val="24"/>
        </w:rPr>
        <w:t>项目 (</w:t>
      </w:r>
      <w:r>
        <w:rPr>
          <w:rFonts w:ascii="宋体" w:hAnsi="宋体" w:eastAsia="宋体" w:cs="宋体"/>
          <w:spacing w:val="-52"/>
          <w:sz w:val="24"/>
          <w:szCs w:val="24"/>
        </w:rPr>
        <w:t xml:space="preserve"> </w:t>
      </w:r>
      <w:r>
        <w:rPr>
          <w:rFonts w:ascii="宋体" w:hAnsi="宋体" w:eastAsia="宋体" w:cs="宋体"/>
          <w:spacing w:val="-3"/>
          <w:sz w:val="24"/>
          <w:szCs w:val="24"/>
        </w:rPr>
        <w:t>□</w:t>
      </w:r>
      <w:r>
        <w:rPr>
          <w:rFonts w:ascii="宋体" w:hAnsi="宋体" w:eastAsia="宋体" w:cs="宋体"/>
          <w:spacing w:val="-5"/>
          <w:sz w:val="24"/>
          <w:szCs w:val="24"/>
        </w:rPr>
        <w:t>目前未在其他项目上任职，□虽在其他项目上任职但本项目中标后能够从该项目撤离）,</w:t>
      </w:r>
      <w:r>
        <w:rPr>
          <w:rFonts w:ascii="宋体" w:hAnsi="宋体" w:eastAsia="宋体" w:cs="宋体"/>
          <w:spacing w:val="-1"/>
          <w:sz w:val="24"/>
          <w:szCs w:val="24"/>
        </w:rPr>
        <w:t>否则自愿按照招标人的有关规定接受处理。</w:t>
      </w:r>
    </w:p>
    <w:p w14:paraId="460EE4B6">
      <w:pPr>
        <w:spacing w:line="219" w:lineRule="auto"/>
        <w:ind w:left="495"/>
        <w:rPr>
          <w:rFonts w:ascii="宋体" w:hAnsi="宋体" w:eastAsia="宋体" w:cs="宋体"/>
          <w:sz w:val="24"/>
          <w:szCs w:val="24"/>
        </w:rPr>
      </w:pPr>
      <w:r>
        <w:rPr>
          <w:rFonts w:ascii="宋体" w:hAnsi="宋体" w:eastAsia="宋体" w:cs="宋体"/>
          <w:spacing w:val="-1"/>
          <w:sz w:val="24"/>
          <w:szCs w:val="24"/>
        </w:rPr>
        <w:t>7.我方在此承诺：权利义务满足招标文件规定。</w:t>
      </w:r>
    </w:p>
    <w:p w14:paraId="6529EE14">
      <w:pPr>
        <w:spacing w:before="75" w:line="277" w:lineRule="auto"/>
        <w:ind w:left="10" w:firstLine="480"/>
        <w:rPr>
          <w:rFonts w:ascii="宋体" w:hAnsi="宋体" w:eastAsia="宋体" w:cs="宋体"/>
          <w:sz w:val="24"/>
          <w:szCs w:val="24"/>
        </w:rPr>
      </w:pPr>
      <w:r>
        <w:rPr>
          <w:rFonts w:ascii="宋体" w:hAnsi="宋体" w:eastAsia="宋体" w:cs="宋体"/>
          <w:spacing w:val="-2"/>
          <w:sz w:val="24"/>
          <w:szCs w:val="24"/>
        </w:rPr>
        <w:t>8.在合同协议书正式签署生效之前，本投标函连同你方的中标通知书将构成我们双</w:t>
      </w:r>
      <w:r>
        <w:rPr>
          <w:rFonts w:ascii="宋体" w:hAnsi="宋体" w:eastAsia="宋体" w:cs="宋体"/>
          <w:spacing w:val="-1"/>
          <w:sz w:val="24"/>
          <w:szCs w:val="24"/>
        </w:rPr>
        <w:t>方之间共同遵守的文件，对双方具有约束力。</w:t>
      </w:r>
    </w:p>
    <w:p w14:paraId="5FD152B5">
      <w:pPr>
        <w:spacing w:before="1" w:line="213" w:lineRule="auto"/>
        <w:ind w:left="490"/>
        <w:rPr>
          <w:rFonts w:ascii="宋体" w:hAnsi="宋体" w:eastAsia="宋体" w:cs="宋体"/>
          <w:sz w:val="24"/>
          <w:szCs w:val="24"/>
        </w:rPr>
      </w:pPr>
      <w:r>
        <w:rPr>
          <w:rFonts w:ascii="宋体" w:hAnsi="宋体" w:eastAsia="宋体" w:cs="宋体"/>
          <w:sz w:val="24"/>
          <w:szCs w:val="24"/>
        </w:rPr>
        <w:t>9.</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（其他补充说明）。</w:t>
      </w:r>
    </w:p>
    <w:p w14:paraId="78C62500">
      <w:pPr>
        <w:spacing w:line="311" w:lineRule="auto"/>
        <w:ind w:left="3103"/>
        <w:rPr>
          <w:rFonts w:ascii="宋体" w:hAnsi="宋体" w:eastAsia="宋体" w:cs="宋体"/>
          <w:sz w:val="12"/>
          <w:szCs w:val="12"/>
        </w:rPr>
      </w:pPr>
      <w:r>
        <w:rPr>
          <w:rFonts w:ascii="宋体" w:hAnsi="宋体" w:eastAsia="宋体" w:cs="宋体"/>
          <w:spacing w:val="4"/>
          <w:sz w:val="24"/>
          <w:szCs w:val="24"/>
        </w:rPr>
        <w:t>投 标 人</w:t>
      </w:r>
      <w:r>
        <w:rPr>
          <w:rFonts w:ascii="宋体" w:hAnsi="宋体" w:eastAsia="宋体" w:cs="宋体"/>
          <w:spacing w:val="-29"/>
          <w:sz w:val="24"/>
          <w:szCs w:val="24"/>
        </w:rPr>
        <w:t>：</w:t>
      </w:r>
      <w:r>
        <w:rPr>
          <w:rFonts w:ascii="宋体" w:hAnsi="宋体" w:eastAsia="宋体" w:cs="宋体"/>
          <w:sz w:val="24"/>
          <w:szCs w:val="24"/>
          <w:u w:val="single" w:color="auto"/>
        </w:rPr>
        <w:t xml:space="preserve">                   </w:t>
      </w:r>
      <w:r>
        <w:rPr>
          <w:rFonts w:ascii="宋体" w:hAnsi="宋体" w:eastAsia="宋体" w:cs="宋体"/>
          <w:spacing w:val="-29"/>
          <w:sz w:val="24"/>
          <w:szCs w:val="24"/>
        </w:rPr>
        <w:t>（</w:t>
      </w:r>
      <w:r>
        <w:rPr>
          <w:rFonts w:ascii="宋体" w:hAnsi="宋体" w:eastAsia="宋体" w:cs="宋体"/>
          <w:spacing w:val="4"/>
          <w:sz w:val="24"/>
          <w:szCs w:val="24"/>
        </w:rPr>
        <w:t>盖单位章）</w:t>
      </w:r>
    </w:p>
    <w:p w14:paraId="1AE5B658">
      <w:pPr>
        <w:spacing w:before="38" w:line="219" w:lineRule="auto"/>
        <w:ind w:left="3130"/>
        <w:rPr>
          <w:rFonts w:ascii="宋体" w:hAnsi="宋体" w:eastAsia="宋体" w:cs="宋体"/>
          <w:sz w:val="24"/>
          <w:szCs w:val="24"/>
        </w:rPr>
      </w:pPr>
      <w:r>
        <w:rPr>
          <w:rFonts w:ascii="宋体" w:hAnsi="宋体" w:eastAsia="宋体" w:cs="宋体"/>
          <w:spacing w:val="1"/>
          <w:sz w:val="24"/>
          <w:szCs w:val="24"/>
        </w:rPr>
        <w:t>法定代表人或其委托代理人</w:t>
      </w:r>
      <w:r>
        <w:rPr>
          <w:rFonts w:ascii="宋体" w:hAnsi="宋体" w:eastAsia="宋体" w:cs="宋体"/>
          <w:spacing w:val="-14"/>
          <w:sz w:val="24"/>
          <w:szCs w:val="24"/>
        </w:rPr>
        <w:t>：</w:t>
      </w:r>
      <w:r>
        <w:rPr>
          <w:rFonts w:ascii="宋体" w:hAnsi="宋体" w:eastAsia="宋体" w:cs="宋体"/>
          <w:sz w:val="24"/>
          <w:szCs w:val="24"/>
          <w:u w:val="single" w:color="auto"/>
        </w:rPr>
        <w:t xml:space="preserve">          </w:t>
      </w:r>
      <w:r>
        <w:rPr>
          <w:rFonts w:ascii="宋体" w:hAnsi="宋体" w:eastAsia="宋体" w:cs="宋体"/>
          <w:spacing w:val="-14"/>
          <w:sz w:val="24"/>
          <w:szCs w:val="24"/>
        </w:rPr>
        <w:t>（</w:t>
      </w:r>
      <w:r>
        <w:rPr>
          <w:rFonts w:ascii="宋体" w:hAnsi="宋体" w:eastAsia="宋体" w:cs="宋体"/>
          <w:spacing w:val="1"/>
          <w:sz w:val="24"/>
          <w:szCs w:val="24"/>
        </w:rPr>
        <w:t>签字）</w:t>
      </w:r>
    </w:p>
    <w:p w14:paraId="33626C3A">
      <w:pPr>
        <w:spacing w:before="75" w:line="229" w:lineRule="auto"/>
        <w:ind w:left="3129"/>
        <w:rPr>
          <w:rFonts w:ascii="宋体" w:hAnsi="宋体" w:eastAsia="宋体" w:cs="宋体"/>
          <w:sz w:val="24"/>
          <w:szCs w:val="24"/>
        </w:rPr>
      </w:pPr>
      <w:r>
        <w:rPr>
          <w:rFonts w:ascii="宋体" w:hAnsi="宋体" w:eastAsia="宋体" w:cs="宋体"/>
          <w:spacing w:val="-4"/>
          <w:sz w:val="24"/>
          <w:szCs w:val="24"/>
        </w:rPr>
        <w:t>地址：</w:t>
      </w:r>
      <w:r>
        <w:rPr>
          <w:rFonts w:ascii="宋体" w:hAnsi="宋体" w:eastAsia="宋体" w:cs="宋体"/>
          <w:sz w:val="24"/>
          <w:szCs w:val="24"/>
          <w:u w:val="single" w:color="auto"/>
        </w:rPr>
        <w:t xml:space="preserve">                                         </w:t>
      </w:r>
    </w:p>
    <w:p w14:paraId="7AC9A1E3">
      <w:pPr>
        <w:spacing w:before="63" w:line="224" w:lineRule="auto"/>
        <w:ind w:left="3148"/>
        <w:rPr>
          <w:rFonts w:ascii="宋体" w:hAnsi="宋体" w:eastAsia="宋体" w:cs="宋体"/>
          <w:sz w:val="24"/>
          <w:szCs w:val="24"/>
        </w:rPr>
      </w:pPr>
      <w:r>
        <w:rPr>
          <w:rFonts w:ascii="宋体" w:hAnsi="宋体" w:eastAsia="宋体" w:cs="宋体"/>
          <w:spacing w:val="-6"/>
          <w:sz w:val="24"/>
          <w:szCs w:val="24"/>
        </w:rPr>
        <w:t>网址：</w:t>
      </w:r>
      <w:r>
        <w:rPr>
          <w:rFonts w:ascii="宋体" w:hAnsi="宋体" w:eastAsia="宋体" w:cs="宋体"/>
          <w:spacing w:val="-6"/>
          <w:sz w:val="24"/>
          <w:szCs w:val="24"/>
          <w:u w:val="single" w:color="auto"/>
        </w:rPr>
        <w:t xml:space="preserve">                                           </w:t>
      </w:r>
    </w:p>
    <w:p w14:paraId="2FCA0C00">
      <w:pPr>
        <w:spacing w:before="69" w:line="221" w:lineRule="auto"/>
        <w:ind w:left="3157"/>
        <w:rPr>
          <w:rFonts w:ascii="宋体" w:hAnsi="宋体" w:eastAsia="宋体" w:cs="宋体"/>
          <w:sz w:val="24"/>
          <w:szCs w:val="24"/>
        </w:rPr>
      </w:pPr>
      <w:r>
        <w:rPr>
          <w:rFonts w:ascii="宋体" w:hAnsi="宋体" w:eastAsia="宋体" w:cs="宋体"/>
          <w:spacing w:val="-13"/>
          <w:sz w:val="24"/>
          <w:szCs w:val="24"/>
        </w:rPr>
        <w:t>电话：</w:t>
      </w:r>
      <w:r>
        <w:rPr>
          <w:rFonts w:ascii="宋体" w:hAnsi="宋体" w:eastAsia="宋体" w:cs="宋体"/>
          <w:sz w:val="24"/>
          <w:szCs w:val="24"/>
          <w:u w:val="single" w:color="auto"/>
        </w:rPr>
        <w:t xml:space="preserve">                                         </w:t>
      </w:r>
    </w:p>
    <w:p w14:paraId="45BC1E8B">
      <w:pPr>
        <w:spacing w:before="71" w:line="219" w:lineRule="auto"/>
        <w:ind w:left="3127"/>
        <w:rPr>
          <w:rFonts w:ascii="宋体" w:hAnsi="宋体" w:eastAsia="宋体" w:cs="宋体"/>
          <w:sz w:val="24"/>
          <w:szCs w:val="24"/>
        </w:rPr>
      </w:pPr>
      <w:r>
        <w:rPr>
          <w:rFonts w:ascii="宋体" w:hAnsi="宋体" w:eastAsia="宋体" w:cs="宋体"/>
          <w:spacing w:val="-3"/>
          <w:sz w:val="24"/>
          <w:szCs w:val="24"/>
        </w:rPr>
        <w:t>传真：</w:t>
      </w:r>
      <w:r>
        <w:rPr>
          <w:rFonts w:ascii="宋体" w:hAnsi="宋体" w:eastAsia="宋体" w:cs="宋体"/>
          <w:sz w:val="24"/>
          <w:szCs w:val="24"/>
          <w:u w:val="single" w:color="auto"/>
        </w:rPr>
        <w:t xml:space="preserve">                                        </w:t>
      </w:r>
    </w:p>
    <w:p w14:paraId="549D3626">
      <w:pPr>
        <w:tabs>
          <w:tab w:val="left" w:pos="6719"/>
        </w:tabs>
        <w:spacing w:before="31" w:line="277" w:lineRule="auto"/>
        <w:ind w:left="5999" w:right="427" w:hanging="2852"/>
        <w:rPr>
          <w:rFonts w:ascii="宋体" w:hAnsi="宋体" w:eastAsia="宋体" w:cs="宋体"/>
          <w:sz w:val="24"/>
          <w:szCs w:val="24"/>
        </w:rPr>
      </w:pPr>
      <w:r>
        <w:rPr>
          <w:rFonts w:ascii="宋体" w:hAnsi="宋体" w:eastAsia="宋体" w:cs="宋体"/>
          <w:spacing w:val="-6"/>
          <w:sz w:val="24"/>
          <w:szCs w:val="24"/>
        </w:rPr>
        <w:t>邮政编码：</w:t>
      </w:r>
      <w:r>
        <w:rPr>
          <w:rFonts w:ascii="宋体" w:hAnsi="宋体" w:eastAsia="宋体" w:cs="宋体"/>
          <w:sz w:val="24"/>
          <w:szCs w:val="24"/>
          <w:u w:val="single" w:color="auto"/>
        </w:rPr>
        <w:t xml:space="preserve">                                    </w:t>
      </w: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541F4501">
      <w:pPr>
        <w:spacing w:line="277" w:lineRule="auto"/>
        <w:rPr>
          <w:rFonts w:ascii="Arial"/>
          <w:sz w:val="21"/>
        </w:rPr>
      </w:pPr>
    </w:p>
    <w:p w14:paraId="233C3C05">
      <w:pPr>
        <w:spacing w:line="464" w:lineRule="auto"/>
        <w:rPr>
          <w:rFonts w:hint="eastAsia" w:ascii="Arial" w:eastAsia="宋体"/>
          <w:sz w:val="21"/>
          <w:lang w:eastAsia="zh-CN"/>
        </w:rPr>
      </w:pPr>
      <w:r>
        <w:rPr>
          <w:rFonts w:hint="eastAsia" w:ascii="Arial" w:eastAsia="宋体"/>
          <w:sz w:val="21"/>
          <w:lang w:eastAsia="zh-CN"/>
        </w:rPr>
        <w:br w:type="page"/>
      </w:r>
    </w:p>
    <w:p w14:paraId="06C7B97A">
      <w:pPr>
        <w:spacing w:before="91" w:line="219" w:lineRule="auto"/>
        <w:ind w:left="3627"/>
        <w:rPr>
          <w:rFonts w:ascii="宋体" w:hAnsi="宋体" w:eastAsia="宋体" w:cs="宋体"/>
          <w:sz w:val="28"/>
          <w:szCs w:val="28"/>
        </w:rPr>
      </w:pPr>
      <w:r>
        <w:rPr>
          <w:rFonts w:ascii="宋体" w:hAnsi="宋体" w:eastAsia="宋体" w:cs="宋体"/>
          <w:b/>
          <w:bCs/>
          <w:spacing w:val="-5"/>
          <w:sz w:val="28"/>
          <w:szCs w:val="28"/>
        </w:rPr>
        <w:t>（二）投标函附录</w:t>
      </w:r>
    </w:p>
    <w:p w14:paraId="233EA56B">
      <w:pPr>
        <w:spacing w:line="228" w:lineRule="exact"/>
      </w:pPr>
    </w:p>
    <w:tbl>
      <w:tblPr>
        <w:tblStyle w:val="13"/>
        <w:tblW w:w="945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6"/>
        <w:gridCol w:w="2338"/>
        <w:gridCol w:w="1678"/>
        <w:gridCol w:w="2757"/>
        <w:gridCol w:w="1768"/>
      </w:tblGrid>
      <w:tr w14:paraId="6925B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916" w:type="dxa"/>
            <w:vAlign w:val="top"/>
          </w:tcPr>
          <w:p w14:paraId="299DE8F3">
            <w:pPr>
              <w:pStyle w:val="14"/>
              <w:spacing w:before="195" w:line="221" w:lineRule="auto"/>
              <w:ind w:left="220"/>
              <w:rPr>
                <w:sz w:val="24"/>
                <w:szCs w:val="24"/>
              </w:rPr>
            </w:pPr>
            <w:r>
              <w:rPr>
                <w:spacing w:val="-5"/>
                <w:sz w:val="24"/>
                <w:szCs w:val="24"/>
              </w:rPr>
              <w:t>序号</w:t>
            </w:r>
          </w:p>
        </w:tc>
        <w:tc>
          <w:tcPr>
            <w:tcW w:w="2338" w:type="dxa"/>
            <w:vAlign w:val="top"/>
          </w:tcPr>
          <w:p w14:paraId="50383B26">
            <w:pPr>
              <w:pStyle w:val="14"/>
              <w:spacing w:before="196" w:line="219" w:lineRule="auto"/>
              <w:ind w:left="691"/>
              <w:rPr>
                <w:sz w:val="24"/>
                <w:szCs w:val="24"/>
              </w:rPr>
            </w:pPr>
            <w:r>
              <w:rPr>
                <w:spacing w:val="-3"/>
                <w:sz w:val="24"/>
                <w:szCs w:val="24"/>
              </w:rPr>
              <w:t>条款名称</w:t>
            </w:r>
          </w:p>
        </w:tc>
        <w:tc>
          <w:tcPr>
            <w:tcW w:w="1678" w:type="dxa"/>
            <w:vAlign w:val="top"/>
          </w:tcPr>
          <w:p w14:paraId="56E55EF3">
            <w:pPr>
              <w:pStyle w:val="14"/>
              <w:spacing w:before="196" w:line="219" w:lineRule="auto"/>
              <w:ind w:left="244"/>
              <w:rPr>
                <w:sz w:val="24"/>
                <w:szCs w:val="24"/>
              </w:rPr>
            </w:pPr>
            <w:r>
              <w:rPr>
                <w:spacing w:val="-3"/>
                <w:sz w:val="24"/>
                <w:szCs w:val="24"/>
              </w:rPr>
              <w:t>合同条款号</w:t>
            </w:r>
          </w:p>
        </w:tc>
        <w:tc>
          <w:tcPr>
            <w:tcW w:w="2757" w:type="dxa"/>
            <w:vAlign w:val="top"/>
          </w:tcPr>
          <w:p w14:paraId="6FAE05CE">
            <w:pPr>
              <w:pStyle w:val="14"/>
              <w:spacing w:before="196" w:line="219" w:lineRule="auto"/>
              <w:ind w:left="910"/>
              <w:rPr>
                <w:sz w:val="24"/>
                <w:szCs w:val="24"/>
              </w:rPr>
            </w:pPr>
            <w:r>
              <w:rPr>
                <w:spacing w:val="-4"/>
                <w:sz w:val="24"/>
                <w:szCs w:val="24"/>
              </w:rPr>
              <w:t>约定内容</w:t>
            </w:r>
          </w:p>
        </w:tc>
        <w:tc>
          <w:tcPr>
            <w:tcW w:w="1768" w:type="dxa"/>
            <w:vAlign w:val="top"/>
          </w:tcPr>
          <w:p w14:paraId="781504B8">
            <w:pPr>
              <w:pStyle w:val="14"/>
              <w:spacing w:before="195" w:line="221" w:lineRule="auto"/>
              <w:ind w:left="651"/>
              <w:rPr>
                <w:sz w:val="24"/>
                <w:szCs w:val="24"/>
              </w:rPr>
            </w:pPr>
            <w:r>
              <w:rPr>
                <w:spacing w:val="-7"/>
                <w:sz w:val="24"/>
                <w:szCs w:val="24"/>
              </w:rPr>
              <w:t>备注</w:t>
            </w:r>
          </w:p>
        </w:tc>
      </w:tr>
      <w:tr w14:paraId="5674F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16" w:type="dxa"/>
            <w:vAlign w:val="top"/>
          </w:tcPr>
          <w:p w14:paraId="41E8DDD6">
            <w:pPr>
              <w:pStyle w:val="14"/>
              <w:spacing w:before="191" w:line="241" w:lineRule="auto"/>
              <w:ind w:left="418"/>
              <w:rPr>
                <w:sz w:val="24"/>
                <w:szCs w:val="24"/>
              </w:rPr>
            </w:pPr>
            <w:r>
              <w:rPr>
                <w:sz w:val="24"/>
                <w:szCs w:val="24"/>
              </w:rPr>
              <w:t>1</w:t>
            </w:r>
          </w:p>
        </w:tc>
        <w:tc>
          <w:tcPr>
            <w:tcW w:w="2338" w:type="dxa"/>
            <w:vAlign w:val="top"/>
          </w:tcPr>
          <w:p w14:paraId="2B816103">
            <w:pPr>
              <w:pStyle w:val="14"/>
              <w:spacing w:before="191" w:line="219" w:lineRule="auto"/>
              <w:ind w:left="573"/>
              <w:rPr>
                <w:sz w:val="24"/>
                <w:szCs w:val="24"/>
              </w:rPr>
            </w:pPr>
            <w:r>
              <w:rPr>
                <w:spacing w:val="-3"/>
                <w:sz w:val="24"/>
                <w:szCs w:val="24"/>
              </w:rPr>
              <w:t>项目负责人</w:t>
            </w:r>
          </w:p>
        </w:tc>
        <w:tc>
          <w:tcPr>
            <w:tcW w:w="1678" w:type="dxa"/>
            <w:vAlign w:val="top"/>
          </w:tcPr>
          <w:p w14:paraId="79D9B332">
            <w:pPr>
              <w:pStyle w:val="14"/>
              <w:spacing w:before="190" w:line="239" w:lineRule="auto"/>
              <w:ind w:left="440"/>
              <w:rPr>
                <w:sz w:val="24"/>
                <w:szCs w:val="24"/>
              </w:rPr>
            </w:pPr>
            <w:r>
              <w:rPr>
                <w:spacing w:val="-4"/>
                <w:sz w:val="24"/>
                <w:szCs w:val="24"/>
              </w:rPr>
              <w:t>1.1.2.4</w:t>
            </w:r>
          </w:p>
        </w:tc>
        <w:tc>
          <w:tcPr>
            <w:tcW w:w="2757" w:type="dxa"/>
            <w:vAlign w:val="top"/>
          </w:tcPr>
          <w:p w14:paraId="4EDA5ED0">
            <w:pPr>
              <w:pStyle w:val="14"/>
              <w:spacing w:before="191" w:line="219" w:lineRule="auto"/>
              <w:ind w:left="113"/>
              <w:rPr>
                <w:sz w:val="24"/>
                <w:szCs w:val="24"/>
              </w:rPr>
            </w:pPr>
            <w:r>
              <w:rPr>
                <w:spacing w:val="-4"/>
                <w:sz w:val="24"/>
                <w:szCs w:val="24"/>
              </w:rPr>
              <w:t>姓名：</w:t>
            </w:r>
          </w:p>
        </w:tc>
        <w:tc>
          <w:tcPr>
            <w:tcW w:w="1768" w:type="dxa"/>
            <w:vAlign w:val="top"/>
          </w:tcPr>
          <w:p w14:paraId="050A6317">
            <w:pPr>
              <w:rPr>
                <w:rFonts w:ascii="Arial"/>
                <w:sz w:val="21"/>
              </w:rPr>
            </w:pPr>
          </w:p>
        </w:tc>
      </w:tr>
      <w:tr w14:paraId="4A923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16" w:type="dxa"/>
            <w:vAlign w:val="top"/>
          </w:tcPr>
          <w:p w14:paraId="24E1E5D2">
            <w:pPr>
              <w:pStyle w:val="14"/>
              <w:spacing w:before="190" w:line="241" w:lineRule="auto"/>
              <w:ind w:left="404"/>
              <w:rPr>
                <w:sz w:val="24"/>
                <w:szCs w:val="24"/>
              </w:rPr>
            </w:pPr>
            <w:r>
              <w:rPr>
                <w:sz w:val="24"/>
                <w:szCs w:val="24"/>
              </w:rPr>
              <w:t>2</w:t>
            </w:r>
          </w:p>
        </w:tc>
        <w:tc>
          <w:tcPr>
            <w:tcW w:w="2338" w:type="dxa"/>
            <w:vAlign w:val="top"/>
          </w:tcPr>
          <w:p w14:paraId="2B32DDB3">
            <w:pPr>
              <w:pStyle w:val="14"/>
              <w:spacing w:before="191" w:line="220" w:lineRule="auto"/>
              <w:ind w:left="932"/>
              <w:rPr>
                <w:sz w:val="24"/>
                <w:szCs w:val="24"/>
              </w:rPr>
            </w:pPr>
            <w:r>
              <w:rPr>
                <w:spacing w:val="-7"/>
                <w:sz w:val="24"/>
                <w:szCs w:val="24"/>
              </w:rPr>
              <w:t>工期</w:t>
            </w:r>
          </w:p>
        </w:tc>
        <w:tc>
          <w:tcPr>
            <w:tcW w:w="1678" w:type="dxa"/>
            <w:vAlign w:val="top"/>
          </w:tcPr>
          <w:p w14:paraId="0FF98890">
            <w:pPr>
              <w:pStyle w:val="14"/>
              <w:spacing w:before="190" w:line="239" w:lineRule="auto"/>
              <w:ind w:left="440"/>
              <w:rPr>
                <w:sz w:val="24"/>
                <w:szCs w:val="24"/>
              </w:rPr>
            </w:pPr>
            <w:r>
              <w:rPr>
                <w:spacing w:val="-4"/>
                <w:sz w:val="24"/>
                <w:szCs w:val="24"/>
              </w:rPr>
              <w:t>1.1.4.3</w:t>
            </w:r>
          </w:p>
        </w:tc>
        <w:tc>
          <w:tcPr>
            <w:tcW w:w="2757" w:type="dxa"/>
            <w:vAlign w:val="top"/>
          </w:tcPr>
          <w:p w14:paraId="72959359">
            <w:pPr>
              <w:rPr>
                <w:rFonts w:ascii="Arial"/>
                <w:sz w:val="21"/>
              </w:rPr>
            </w:pPr>
          </w:p>
        </w:tc>
        <w:tc>
          <w:tcPr>
            <w:tcW w:w="1768" w:type="dxa"/>
            <w:vAlign w:val="top"/>
          </w:tcPr>
          <w:p w14:paraId="05D381FC">
            <w:pPr>
              <w:rPr>
                <w:rFonts w:ascii="Arial"/>
                <w:sz w:val="21"/>
              </w:rPr>
            </w:pPr>
          </w:p>
        </w:tc>
      </w:tr>
      <w:tr w14:paraId="47C8C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16" w:type="dxa"/>
            <w:vAlign w:val="top"/>
          </w:tcPr>
          <w:p w14:paraId="4A7BD85B">
            <w:pPr>
              <w:pStyle w:val="14"/>
              <w:spacing w:before="192"/>
              <w:ind w:left="405"/>
              <w:rPr>
                <w:sz w:val="24"/>
                <w:szCs w:val="24"/>
              </w:rPr>
            </w:pPr>
            <w:r>
              <w:rPr>
                <w:sz w:val="24"/>
                <w:szCs w:val="24"/>
              </w:rPr>
              <w:t>3</w:t>
            </w:r>
          </w:p>
        </w:tc>
        <w:tc>
          <w:tcPr>
            <w:tcW w:w="2338" w:type="dxa"/>
            <w:vAlign w:val="top"/>
          </w:tcPr>
          <w:p w14:paraId="1F1A7C0D">
            <w:pPr>
              <w:pStyle w:val="14"/>
              <w:spacing w:before="193" w:line="220" w:lineRule="auto"/>
              <w:ind w:left="573"/>
              <w:rPr>
                <w:sz w:val="24"/>
                <w:szCs w:val="24"/>
              </w:rPr>
            </w:pPr>
            <w:r>
              <w:rPr>
                <w:spacing w:val="-3"/>
                <w:sz w:val="24"/>
                <w:szCs w:val="24"/>
              </w:rPr>
              <w:t>履约保证金</w:t>
            </w:r>
          </w:p>
        </w:tc>
        <w:tc>
          <w:tcPr>
            <w:tcW w:w="1678" w:type="dxa"/>
            <w:vAlign w:val="top"/>
          </w:tcPr>
          <w:p w14:paraId="358CC008">
            <w:pPr>
              <w:pStyle w:val="14"/>
              <w:spacing w:before="192" w:line="239" w:lineRule="auto"/>
              <w:ind w:left="662"/>
              <w:rPr>
                <w:sz w:val="24"/>
                <w:szCs w:val="24"/>
              </w:rPr>
            </w:pPr>
            <w:r>
              <w:rPr>
                <w:spacing w:val="-3"/>
                <w:sz w:val="24"/>
                <w:szCs w:val="24"/>
              </w:rPr>
              <w:t>4.2</w:t>
            </w:r>
          </w:p>
        </w:tc>
        <w:tc>
          <w:tcPr>
            <w:tcW w:w="2757" w:type="dxa"/>
            <w:vAlign w:val="top"/>
          </w:tcPr>
          <w:p w14:paraId="74657EE2">
            <w:pPr>
              <w:pStyle w:val="14"/>
              <w:spacing w:before="193" w:line="219" w:lineRule="auto"/>
              <w:ind w:left="135"/>
              <w:rPr>
                <w:sz w:val="24"/>
                <w:szCs w:val="24"/>
              </w:rPr>
            </w:pPr>
            <w:r>
              <w:rPr>
                <w:spacing w:val="-3"/>
                <w:sz w:val="24"/>
                <w:szCs w:val="24"/>
              </w:rPr>
              <w:t>中标合同额的</w:t>
            </w:r>
            <w:r>
              <w:rPr>
                <w:spacing w:val="-3"/>
                <w:sz w:val="24"/>
                <w:szCs w:val="24"/>
                <w:u w:val="single" w:color="auto"/>
              </w:rPr>
              <w:t xml:space="preserve">  </w:t>
            </w:r>
            <w:r>
              <w:rPr>
                <w:rFonts w:hint="eastAsia"/>
                <w:spacing w:val="-3"/>
                <w:sz w:val="24"/>
                <w:szCs w:val="24"/>
                <w:u w:val="single" w:color="auto"/>
                <w:lang w:val="en-US" w:eastAsia="zh-CN"/>
              </w:rPr>
              <w:t>3</w:t>
            </w:r>
            <w:r>
              <w:rPr>
                <w:spacing w:val="-3"/>
                <w:sz w:val="24"/>
                <w:szCs w:val="24"/>
                <w:u w:val="single" w:color="auto"/>
              </w:rPr>
              <w:t xml:space="preserve">  </w:t>
            </w:r>
            <w:r>
              <w:rPr>
                <w:spacing w:val="-3"/>
                <w:sz w:val="24"/>
                <w:szCs w:val="24"/>
              </w:rPr>
              <w:t xml:space="preserve"> %</w:t>
            </w:r>
          </w:p>
        </w:tc>
        <w:tc>
          <w:tcPr>
            <w:tcW w:w="1768" w:type="dxa"/>
            <w:vAlign w:val="top"/>
          </w:tcPr>
          <w:p w14:paraId="78F80B02">
            <w:pPr>
              <w:rPr>
                <w:rFonts w:ascii="Arial"/>
                <w:sz w:val="21"/>
              </w:rPr>
            </w:pPr>
          </w:p>
        </w:tc>
      </w:tr>
      <w:tr w14:paraId="53DBD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2" w:hRule="atLeast"/>
        </w:trPr>
        <w:tc>
          <w:tcPr>
            <w:tcW w:w="916" w:type="dxa"/>
            <w:vAlign w:val="top"/>
          </w:tcPr>
          <w:p w14:paraId="3ECE2AFC">
            <w:pPr>
              <w:spacing w:line="312" w:lineRule="auto"/>
              <w:rPr>
                <w:rFonts w:ascii="Arial"/>
                <w:sz w:val="21"/>
              </w:rPr>
            </w:pPr>
          </w:p>
          <w:p w14:paraId="11268FE3">
            <w:pPr>
              <w:spacing w:line="312" w:lineRule="auto"/>
              <w:rPr>
                <w:rFonts w:ascii="Arial"/>
                <w:sz w:val="21"/>
              </w:rPr>
            </w:pPr>
          </w:p>
          <w:p w14:paraId="0F6B6521">
            <w:pPr>
              <w:pStyle w:val="14"/>
              <w:spacing w:before="78" w:line="241" w:lineRule="auto"/>
              <w:ind w:left="400"/>
              <w:rPr>
                <w:sz w:val="24"/>
                <w:szCs w:val="24"/>
              </w:rPr>
            </w:pPr>
            <w:r>
              <w:rPr>
                <w:sz w:val="24"/>
                <w:szCs w:val="24"/>
              </w:rPr>
              <w:t>4</w:t>
            </w:r>
          </w:p>
        </w:tc>
        <w:tc>
          <w:tcPr>
            <w:tcW w:w="2338" w:type="dxa"/>
            <w:vAlign w:val="top"/>
          </w:tcPr>
          <w:p w14:paraId="78B228E5">
            <w:pPr>
              <w:spacing w:line="433" w:lineRule="auto"/>
              <w:rPr>
                <w:rFonts w:ascii="Arial"/>
                <w:sz w:val="21"/>
              </w:rPr>
            </w:pPr>
          </w:p>
          <w:p w14:paraId="0C6CA97E">
            <w:pPr>
              <w:pStyle w:val="14"/>
              <w:spacing w:before="78" w:line="295" w:lineRule="auto"/>
              <w:ind w:left="690" w:right="207" w:hanging="462"/>
              <w:rPr>
                <w:sz w:val="24"/>
                <w:szCs w:val="24"/>
              </w:rPr>
            </w:pPr>
            <w:r>
              <w:rPr>
                <w:spacing w:val="-4"/>
                <w:sz w:val="24"/>
                <w:szCs w:val="24"/>
              </w:rPr>
              <w:t>因物价波动引起的</w:t>
            </w:r>
            <w:r>
              <w:rPr>
                <w:spacing w:val="-3"/>
                <w:sz w:val="24"/>
                <w:szCs w:val="24"/>
              </w:rPr>
              <w:t>价格调整</w:t>
            </w:r>
          </w:p>
        </w:tc>
        <w:tc>
          <w:tcPr>
            <w:tcW w:w="1678" w:type="dxa"/>
            <w:vAlign w:val="top"/>
          </w:tcPr>
          <w:p w14:paraId="512E695B">
            <w:pPr>
              <w:spacing w:line="312" w:lineRule="auto"/>
              <w:rPr>
                <w:rFonts w:ascii="Arial"/>
                <w:sz w:val="21"/>
              </w:rPr>
            </w:pPr>
          </w:p>
          <w:p w14:paraId="01FD96BA">
            <w:pPr>
              <w:spacing w:line="312" w:lineRule="auto"/>
              <w:rPr>
                <w:rFonts w:ascii="Arial"/>
                <w:sz w:val="21"/>
              </w:rPr>
            </w:pPr>
          </w:p>
          <w:p w14:paraId="285C98BE">
            <w:pPr>
              <w:pStyle w:val="14"/>
              <w:spacing w:before="78" w:line="239" w:lineRule="auto"/>
              <w:ind w:left="620"/>
              <w:rPr>
                <w:sz w:val="24"/>
                <w:szCs w:val="24"/>
              </w:rPr>
            </w:pPr>
            <w:r>
              <w:rPr>
                <w:spacing w:val="-7"/>
                <w:sz w:val="24"/>
                <w:szCs w:val="24"/>
              </w:rPr>
              <w:t>16.1</w:t>
            </w:r>
          </w:p>
        </w:tc>
        <w:tc>
          <w:tcPr>
            <w:tcW w:w="2757" w:type="dxa"/>
            <w:vAlign w:val="top"/>
          </w:tcPr>
          <w:p w14:paraId="5B5FBF81">
            <w:pPr>
              <w:pStyle w:val="14"/>
              <w:spacing w:before="211" w:line="239" w:lineRule="auto"/>
              <w:ind w:left="113" w:right="99" w:firstLine="24"/>
              <w:rPr>
                <w:sz w:val="24"/>
                <w:szCs w:val="24"/>
              </w:rPr>
            </w:pPr>
            <w:r>
              <w:rPr>
                <w:spacing w:val="10"/>
                <w:sz w:val="24"/>
                <w:szCs w:val="24"/>
              </w:rPr>
              <w:t>□因物价波动引起的价</w:t>
            </w:r>
            <w:r>
              <w:rPr>
                <w:spacing w:val="-2"/>
                <w:sz w:val="24"/>
                <w:szCs w:val="24"/>
              </w:rPr>
              <w:t>格调整按照</w:t>
            </w:r>
            <w:r>
              <w:rPr>
                <w:spacing w:val="-114"/>
                <w:sz w:val="24"/>
                <w:szCs w:val="24"/>
              </w:rPr>
              <w:t xml:space="preserve"> </w:t>
            </w:r>
            <w:r>
              <w:rPr>
                <w:spacing w:val="1"/>
                <w:sz w:val="24"/>
                <w:szCs w:val="24"/>
                <w:u w:val="single" w:color="auto"/>
              </w:rPr>
              <w:t xml:space="preserve">     </w:t>
            </w:r>
            <w:r>
              <w:rPr>
                <w:spacing w:val="-102"/>
                <w:sz w:val="24"/>
                <w:szCs w:val="24"/>
              </w:rPr>
              <w:t xml:space="preserve"> </w:t>
            </w:r>
            <w:r>
              <w:rPr>
                <w:spacing w:val="-2"/>
                <w:sz w:val="24"/>
                <w:szCs w:val="24"/>
              </w:rPr>
              <w:t>项约定的原则处理</w:t>
            </w:r>
          </w:p>
          <w:p w14:paraId="5A36B7FB">
            <w:pPr>
              <w:pStyle w:val="14"/>
              <w:spacing w:before="1" w:line="217" w:lineRule="auto"/>
              <w:ind w:left="137"/>
              <w:rPr>
                <w:sz w:val="24"/>
                <w:szCs w:val="24"/>
              </w:rPr>
            </w:pPr>
            <w:r>
              <w:rPr>
                <w:spacing w:val="-5"/>
                <w:sz w:val="24"/>
                <w:szCs w:val="24"/>
              </w:rPr>
              <w:t>□合同期内不调价</w:t>
            </w:r>
          </w:p>
        </w:tc>
        <w:tc>
          <w:tcPr>
            <w:tcW w:w="1768" w:type="dxa"/>
            <w:vAlign w:val="top"/>
          </w:tcPr>
          <w:p w14:paraId="23DC945E">
            <w:pPr>
              <w:rPr>
                <w:rFonts w:ascii="Arial"/>
                <w:sz w:val="21"/>
              </w:rPr>
            </w:pPr>
          </w:p>
        </w:tc>
      </w:tr>
      <w:tr w14:paraId="2BDB1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trPr>
        <w:tc>
          <w:tcPr>
            <w:tcW w:w="916" w:type="dxa"/>
            <w:vAlign w:val="top"/>
          </w:tcPr>
          <w:p w14:paraId="689B4F89">
            <w:pPr>
              <w:pStyle w:val="14"/>
              <w:spacing w:before="292"/>
              <w:ind w:left="405"/>
              <w:rPr>
                <w:sz w:val="24"/>
                <w:szCs w:val="24"/>
              </w:rPr>
            </w:pPr>
            <w:r>
              <w:rPr>
                <w:sz w:val="24"/>
                <w:szCs w:val="24"/>
              </w:rPr>
              <w:t>5</w:t>
            </w:r>
          </w:p>
        </w:tc>
        <w:tc>
          <w:tcPr>
            <w:tcW w:w="2338" w:type="dxa"/>
            <w:vAlign w:val="top"/>
          </w:tcPr>
          <w:p w14:paraId="1D3470EB">
            <w:pPr>
              <w:pStyle w:val="14"/>
              <w:spacing w:before="293" w:line="219" w:lineRule="auto"/>
              <w:ind w:left="570"/>
              <w:rPr>
                <w:sz w:val="24"/>
                <w:szCs w:val="24"/>
              </w:rPr>
            </w:pPr>
            <w:r>
              <w:rPr>
                <w:spacing w:val="-3"/>
                <w:sz w:val="24"/>
                <w:szCs w:val="24"/>
              </w:rPr>
              <w:t>开工预付款</w:t>
            </w:r>
          </w:p>
        </w:tc>
        <w:tc>
          <w:tcPr>
            <w:tcW w:w="1678" w:type="dxa"/>
            <w:vAlign w:val="top"/>
          </w:tcPr>
          <w:p w14:paraId="669E2F18">
            <w:pPr>
              <w:pStyle w:val="14"/>
              <w:spacing w:before="292" w:line="239" w:lineRule="auto"/>
              <w:ind w:left="500"/>
              <w:rPr>
                <w:sz w:val="24"/>
                <w:szCs w:val="24"/>
              </w:rPr>
            </w:pPr>
            <w:r>
              <w:rPr>
                <w:spacing w:val="-5"/>
                <w:sz w:val="24"/>
                <w:szCs w:val="24"/>
              </w:rPr>
              <w:t>17.2.1</w:t>
            </w:r>
          </w:p>
        </w:tc>
        <w:tc>
          <w:tcPr>
            <w:tcW w:w="2757" w:type="dxa"/>
            <w:vAlign w:val="top"/>
          </w:tcPr>
          <w:p w14:paraId="15B7CD22">
            <w:pPr>
              <w:pStyle w:val="14"/>
              <w:spacing w:before="104" w:line="250" w:lineRule="auto"/>
              <w:ind w:left="114" w:right="40" w:hanging="1"/>
              <w:rPr>
                <w:sz w:val="24"/>
                <w:szCs w:val="24"/>
              </w:rPr>
            </w:pPr>
            <w:r>
              <w:rPr>
                <w:rFonts w:hint="eastAsia"/>
                <w:spacing w:val="6"/>
                <w:sz w:val="24"/>
                <w:szCs w:val="24"/>
              </w:rPr>
              <w:t>合同总价的</w:t>
            </w:r>
            <w:r>
              <w:rPr>
                <w:rFonts w:hint="eastAsia"/>
                <w:spacing w:val="6"/>
                <w:sz w:val="24"/>
                <w:szCs w:val="24"/>
                <w:lang w:val="en-US" w:eastAsia="zh-CN"/>
              </w:rPr>
              <w:t>3</w:t>
            </w:r>
            <w:r>
              <w:rPr>
                <w:rFonts w:hint="eastAsia"/>
                <w:spacing w:val="6"/>
                <w:sz w:val="24"/>
                <w:szCs w:val="24"/>
              </w:rPr>
              <w:t>0%</w:t>
            </w:r>
          </w:p>
        </w:tc>
        <w:tc>
          <w:tcPr>
            <w:tcW w:w="1768" w:type="dxa"/>
            <w:vAlign w:val="top"/>
          </w:tcPr>
          <w:p w14:paraId="2C23C895">
            <w:pPr>
              <w:rPr>
                <w:rFonts w:ascii="Arial"/>
                <w:sz w:val="21"/>
              </w:rPr>
            </w:pPr>
          </w:p>
        </w:tc>
      </w:tr>
      <w:tr w14:paraId="41497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16" w:type="dxa"/>
            <w:vAlign w:val="top"/>
          </w:tcPr>
          <w:p w14:paraId="2119F089">
            <w:pPr>
              <w:pStyle w:val="14"/>
              <w:spacing w:before="197"/>
              <w:ind w:left="403"/>
              <w:rPr>
                <w:sz w:val="24"/>
                <w:szCs w:val="24"/>
              </w:rPr>
            </w:pPr>
            <w:r>
              <w:rPr>
                <w:sz w:val="24"/>
                <w:szCs w:val="24"/>
              </w:rPr>
              <w:t>6</w:t>
            </w:r>
          </w:p>
        </w:tc>
        <w:tc>
          <w:tcPr>
            <w:tcW w:w="2338" w:type="dxa"/>
            <w:vAlign w:val="top"/>
          </w:tcPr>
          <w:p w14:paraId="6929972A">
            <w:pPr>
              <w:pStyle w:val="14"/>
              <w:spacing w:before="198" w:line="219" w:lineRule="auto"/>
              <w:ind w:left="569"/>
              <w:rPr>
                <w:sz w:val="24"/>
                <w:szCs w:val="24"/>
              </w:rPr>
            </w:pPr>
            <w:r>
              <w:rPr>
                <w:spacing w:val="-2"/>
                <w:sz w:val="24"/>
                <w:szCs w:val="24"/>
              </w:rPr>
              <w:t>缺陷责任期</w:t>
            </w:r>
          </w:p>
        </w:tc>
        <w:tc>
          <w:tcPr>
            <w:tcW w:w="1678" w:type="dxa"/>
            <w:vAlign w:val="top"/>
          </w:tcPr>
          <w:p w14:paraId="5901EA43">
            <w:pPr>
              <w:pStyle w:val="14"/>
              <w:spacing w:before="197" w:line="239" w:lineRule="auto"/>
              <w:ind w:left="620"/>
              <w:rPr>
                <w:sz w:val="24"/>
                <w:szCs w:val="24"/>
              </w:rPr>
            </w:pPr>
            <w:r>
              <w:rPr>
                <w:spacing w:val="-7"/>
                <w:sz w:val="24"/>
                <w:szCs w:val="24"/>
              </w:rPr>
              <w:t>19.1</w:t>
            </w:r>
          </w:p>
        </w:tc>
        <w:tc>
          <w:tcPr>
            <w:tcW w:w="2757" w:type="dxa"/>
            <w:vAlign w:val="top"/>
          </w:tcPr>
          <w:p w14:paraId="2232EAE2">
            <w:pPr>
              <w:rPr>
                <w:rFonts w:ascii="Arial"/>
                <w:sz w:val="21"/>
              </w:rPr>
            </w:pPr>
            <w:r>
              <w:rPr>
                <w:rFonts w:hint="eastAsia" w:ascii="宋体" w:hAnsi="宋体" w:eastAsia="宋体" w:cs="宋体"/>
                <w:snapToGrid w:val="0"/>
                <w:color w:val="000000"/>
                <w:spacing w:val="-3"/>
                <w:kern w:val="0"/>
                <w:sz w:val="24"/>
                <w:szCs w:val="24"/>
                <w:lang w:val="en-US" w:eastAsia="en-US" w:bidi="ar-SA"/>
              </w:rPr>
              <w:t>疏浚工程不设缺陷责任期；其余工程缺陷责任期为1年</w:t>
            </w:r>
          </w:p>
        </w:tc>
        <w:tc>
          <w:tcPr>
            <w:tcW w:w="1768" w:type="dxa"/>
            <w:vAlign w:val="top"/>
          </w:tcPr>
          <w:p w14:paraId="49888A2A">
            <w:pPr>
              <w:rPr>
                <w:rFonts w:ascii="Arial"/>
                <w:sz w:val="21"/>
              </w:rPr>
            </w:pPr>
          </w:p>
        </w:tc>
      </w:tr>
      <w:tr w14:paraId="6185E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916" w:type="dxa"/>
            <w:vAlign w:val="top"/>
          </w:tcPr>
          <w:p w14:paraId="5616812E">
            <w:pPr>
              <w:rPr>
                <w:rFonts w:ascii="Arial"/>
                <w:sz w:val="21"/>
              </w:rPr>
            </w:pPr>
          </w:p>
        </w:tc>
        <w:tc>
          <w:tcPr>
            <w:tcW w:w="2338" w:type="dxa"/>
            <w:vAlign w:val="top"/>
          </w:tcPr>
          <w:p w14:paraId="64663A72">
            <w:pPr>
              <w:pStyle w:val="14"/>
              <w:spacing w:before="197" w:line="370" w:lineRule="exact"/>
              <w:ind w:left="945"/>
              <w:rPr>
                <w:sz w:val="24"/>
                <w:szCs w:val="24"/>
              </w:rPr>
            </w:pPr>
            <w:r>
              <w:rPr>
                <w:spacing w:val="-13"/>
                <w:position w:val="2"/>
                <w:sz w:val="24"/>
                <w:szCs w:val="24"/>
              </w:rPr>
              <w:t>……</w:t>
            </w:r>
          </w:p>
        </w:tc>
        <w:tc>
          <w:tcPr>
            <w:tcW w:w="1678" w:type="dxa"/>
            <w:vAlign w:val="top"/>
          </w:tcPr>
          <w:p w14:paraId="5D206A90">
            <w:pPr>
              <w:rPr>
                <w:rFonts w:ascii="Arial"/>
                <w:sz w:val="21"/>
              </w:rPr>
            </w:pPr>
          </w:p>
        </w:tc>
        <w:tc>
          <w:tcPr>
            <w:tcW w:w="2757" w:type="dxa"/>
            <w:vAlign w:val="top"/>
          </w:tcPr>
          <w:p w14:paraId="49637D05">
            <w:pPr>
              <w:rPr>
                <w:rFonts w:ascii="Arial"/>
                <w:sz w:val="21"/>
              </w:rPr>
            </w:pPr>
          </w:p>
        </w:tc>
        <w:tc>
          <w:tcPr>
            <w:tcW w:w="1768" w:type="dxa"/>
            <w:vAlign w:val="top"/>
          </w:tcPr>
          <w:p w14:paraId="4FCD334B">
            <w:pPr>
              <w:rPr>
                <w:rFonts w:ascii="Arial"/>
                <w:sz w:val="21"/>
              </w:rPr>
            </w:pPr>
          </w:p>
        </w:tc>
      </w:tr>
    </w:tbl>
    <w:p w14:paraId="1BD6B49E">
      <w:pPr>
        <w:rPr>
          <w:rFonts w:ascii="Arial"/>
          <w:sz w:val="21"/>
        </w:rPr>
      </w:pPr>
    </w:p>
    <w:p w14:paraId="5DBC5CD1">
      <w:pPr>
        <w:spacing w:line="344" w:lineRule="auto"/>
        <w:rPr>
          <w:rFonts w:hint="eastAsia" w:ascii="Arial" w:eastAsia="宋体"/>
          <w:sz w:val="21"/>
          <w:lang w:eastAsia="zh-CN"/>
        </w:rPr>
      </w:pPr>
      <w:r>
        <w:rPr>
          <w:rFonts w:hint="eastAsia" w:ascii="Arial" w:eastAsia="宋体"/>
          <w:sz w:val="21"/>
          <w:lang w:eastAsia="zh-CN"/>
        </w:rPr>
        <w:br w:type="page"/>
      </w:r>
    </w:p>
    <w:p w14:paraId="37DC125D">
      <w:pPr>
        <w:spacing w:before="91" w:line="219" w:lineRule="auto"/>
        <w:ind w:left="2157"/>
        <w:rPr>
          <w:rFonts w:ascii="宋体" w:hAnsi="宋体" w:eastAsia="宋体" w:cs="宋体"/>
          <w:sz w:val="28"/>
          <w:szCs w:val="28"/>
        </w:rPr>
      </w:pPr>
      <w:r>
        <w:rPr>
          <w:rFonts w:ascii="宋体" w:hAnsi="宋体" w:eastAsia="宋体" w:cs="宋体"/>
          <w:b/>
          <w:bCs/>
          <w:spacing w:val="-3"/>
          <w:sz w:val="28"/>
          <w:szCs w:val="28"/>
        </w:rPr>
        <w:t>二、授权委托书或法定代表人身份证明</w:t>
      </w:r>
    </w:p>
    <w:p w14:paraId="78C37BAC">
      <w:pPr>
        <w:spacing w:before="250" w:line="232" w:lineRule="auto"/>
        <w:ind w:left="3356"/>
        <w:rPr>
          <w:rFonts w:ascii="宋体" w:hAnsi="宋体" w:eastAsia="宋体" w:cs="宋体"/>
          <w:sz w:val="13"/>
          <w:szCs w:val="13"/>
        </w:rPr>
      </w:pPr>
      <w:r>
        <w:rPr>
          <w:rFonts w:ascii="宋体" w:hAnsi="宋体" w:eastAsia="宋体" w:cs="宋体"/>
          <w:b/>
          <w:bCs/>
          <w:spacing w:val="-3"/>
          <w:sz w:val="28"/>
          <w:szCs w:val="28"/>
        </w:rPr>
        <w:t>（一）授权委托书</w:t>
      </w:r>
    </w:p>
    <w:p w14:paraId="46560F8E">
      <w:pPr>
        <w:spacing w:line="347" w:lineRule="auto"/>
        <w:rPr>
          <w:rFonts w:ascii="Arial"/>
          <w:sz w:val="21"/>
        </w:rPr>
      </w:pPr>
    </w:p>
    <w:p w14:paraId="54377440">
      <w:pPr>
        <w:spacing w:before="78" w:line="384" w:lineRule="auto"/>
        <w:ind w:left="10" w:right="16" w:firstLine="479"/>
        <w:jc w:val="both"/>
        <w:rPr>
          <w:rFonts w:ascii="宋体" w:hAnsi="宋体" w:eastAsia="宋体" w:cs="宋体"/>
          <w:sz w:val="24"/>
          <w:szCs w:val="24"/>
        </w:rPr>
      </w:pPr>
      <w:r>
        <w:rPr>
          <w:rFonts w:ascii="宋体" w:hAnsi="宋体" w:eastAsia="宋体" w:cs="宋体"/>
          <w:sz w:val="24"/>
          <w:szCs w:val="24"/>
        </w:rPr>
        <w:t>本人</w:t>
      </w:r>
      <w:r>
        <w:rPr>
          <w:rFonts w:ascii="宋体" w:hAnsi="宋体" w:eastAsia="宋体" w:cs="宋体"/>
          <w:spacing w:val="25"/>
          <w:sz w:val="24"/>
          <w:szCs w:val="24"/>
          <w:u w:val="single" w:color="auto"/>
        </w:rPr>
        <w:t xml:space="preserve">    </w:t>
      </w:r>
      <w:r>
        <w:rPr>
          <w:rFonts w:ascii="宋体" w:hAnsi="宋体" w:eastAsia="宋体" w:cs="宋体"/>
          <w:sz w:val="24"/>
          <w:szCs w:val="24"/>
        </w:rPr>
        <w:t>（姓名）系</w:t>
      </w:r>
      <w:r>
        <w:rPr>
          <w:rFonts w:ascii="宋体" w:hAnsi="宋体" w:eastAsia="宋体" w:cs="宋体"/>
          <w:spacing w:val="25"/>
          <w:sz w:val="24"/>
          <w:szCs w:val="24"/>
          <w:u w:val="single" w:color="auto"/>
        </w:rPr>
        <w:t xml:space="preserve">    </w:t>
      </w:r>
      <w:r>
        <w:rPr>
          <w:rFonts w:ascii="宋体" w:hAnsi="宋体" w:eastAsia="宋体" w:cs="宋体"/>
          <w:sz w:val="24"/>
          <w:szCs w:val="24"/>
        </w:rPr>
        <w:t>（投标人名称）的法定代表</w:t>
      </w:r>
      <w:r>
        <w:rPr>
          <w:rFonts w:ascii="宋体" w:hAnsi="宋体" w:eastAsia="宋体" w:cs="宋体"/>
          <w:spacing w:val="-1"/>
          <w:sz w:val="24"/>
          <w:szCs w:val="24"/>
        </w:rPr>
        <w:t>人，现委托</w:t>
      </w:r>
      <w:r>
        <w:rPr>
          <w:rFonts w:ascii="宋体" w:hAnsi="宋体" w:eastAsia="宋体" w:cs="宋体"/>
          <w:spacing w:val="35"/>
          <w:sz w:val="24"/>
          <w:szCs w:val="24"/>
          <w:u w:val="single" w:color="auto"/>
        </w:rPr>
        <w:t xml:space="preserve">   </w:t>
      </w:r>
      <w:r>
        <w:rPr>
          <w:rFonts w:ascii="宋体" w:hAnsi="宋体" w:eastAsia="宋体" w:cs="宋体"/>
          <w:spacing w:val="-1"/>
          <w:sz w:val="24"/>
          <w:szCs w:val="24"/>
        </w:rPr>
        <w:t>（姓名）为</w:t>
      </w:r>
      <w:r>
        <w:rPr>
          <w:rFonts w:ascii="宋体" w:hAnsi="宋体" w:eastAsia="宋体" w:cs="宋体"/>
          <w:sz w:val="24"/>
          <w:szCs w:val="24"/>
        </w:rPr>
        <w:t>我方代理人。代理人根据授权，以我方名义签署、澄清确认</w:t>
      </w:r>
      <w:r>
        <w:rPr>
          <w:rFonts w:ascii="宋体" w:hAnsi="宋体" w:eastAsia="宋体" w:cs="宋体"/>
          <w:spacing w:val="-1"/>
          <w:sz w:val="24"/>
          <w:szCs w:val="24"/>
        </w:rPr>
        <w:t>、递交、撤回、修改</w:t>
      </w:r>
      <w:r>
        <w:rPr>
          <w:rFonts w:ascii="宋体" w:hAnsi="宋体" w:eastAsia="宋体" w:cs="宋体"/>
          <w:spacing w:val="-1"/>
          <w:sz w:val="24"/>
          <w:szCs w:val="24"/>
          <w:u w:val="single" w:color="auto"/>
        </w:rPr>
        <w:t xml:space="preserve">   项</w:t>
      </w:r>
      <w:r>
        <w:rPr>
          <w:rFonts w:ascii="宋体" w:hAnsi="宋体" w:eastAsia="宋体" w:cs="宋体"/>
          <w:spacing w:val="1"/>
          <w:sz w:val="24"/>
          <w:szCs w:val="24"/>
          <w:u w:val="single" w:color="auto"/>
        </w:rPr>
        <w:t>目名称</w:t>
      </w:r>
      <w:r>
        <w:rPr>
          <w:rFonts w:ascii="宋体" w:hAnsi="宋体" w:eastAsia="宋体" w:cs="宋体"/>
          <w:spacing w:val="-18"/>
          <w:sz w:val="24"/>
          <w:szCs w:val="24"/>
          <w:u w:val="single" w:color="auto"/>
        </w:rPr>
        <w:t>）</w:t>
      </w:r>
      <w:r>
        <w:rPr>
          <w:rFonts w:ascii="宋体" w:hAnsi="宋体" w:eastAsia="宋体" w:cs="宋体"/>
          <w:spacing w:val="30"/>
          <w:sz w:val="24"/>
          <w:szCs w:val="24"/>
          <w:u w:val="single" w:color="auto"/>
        </w:rPr>
        <w:t xml:space="preserve">    </w:t>
      </w:r>
      <w:r>
        <w:rPr>
          <w:rFonts w:ascii="宋体" w:hAnsi="宋体" w:eastAsia="宋体" w:cs="宋体"/>
          <w:spacing w:val="-18"/>
          <w:sz w:val="24"/>
          <w:szCs w:val="24"/>
          <w:u w:val="single" w:color="auto"/>
        </w:rPr>
        <w:t>（</w:t>
      </w:r>
      <w:r>
        <w:rPr>
          <w:rFonts w:ascii="宋体" w:hAnsi="宋体" w:eastAsia="宋体" w:cs="宋体"/>
          <w:spacing w:val="1"/>
          <w:sz w:val="24"/>
          <w:szCs w:val="24"/>
          <w:u w:val="single" w:color="auto"/>
        </w:rPr>
        <w:t>标类或标段）</w:t>
      </w:r>
      <w:r>
        <w:rPr>
          <w:rFonts w:ascii="宋体" w:hAnsi="宋体" w:eastAsia="宋体" w:cs="宋体"/>
          <w:spacing w:val="1"/>
          <w:sz w:val="24"/>
          <w:szCs w:val="24"/>
        </w:rPr>
        <w:t>施工投标文件、签订合同和处</w:t>
      </w:r>
      <w:r>
        <w:rPr>
          <w:rFonts w:ascii="宋体" w:hAnsi="宋体" w:eastAsia="宋体" w:cs="宋体"/>
          <w:sz w:val="24"/>
          <w:szCs w:val="24"/>
        </w:rPr>
        <w:t>理有关事宜，其法律后果</w:t>
      </w:r>
      <w:r>
        <w:rPr>
          <w:rFonts w:ascii="宋体" w:hAnsi="宋体" w:eastAsia="宋体" w:cs="宋体"/>
          <w:spacing w:val="-2"/>
          <w:sz w:val="24"/>
          <w:szCs w:val="24"/>
        </w:rPr>
        <w:t>由我方承担。</w:t>
      </w:r>
    </w:p>
    <w:p w14:paraId="15BE138C">
      <w:pPr>
        <w:spacing w:line="218" w:lineRule="auto"/>
        <w:ind w:left="487"/>
        <w:rPr>
          <w:rFonts w:ascii="宋体" w:hAnsi="宋体" w:eastAsia="宋体" w:cs="宋体"/>
          <w:sz w:val="24"/>
          <w:szCs w:val="24"/>
        </w:rPr>
      </w:pPr>
      <w:r>
        <w:rPr>
          <w:rFonts w:ascii="宋体" w:hAnsi="宋体" w:eastAsia="宋体" w:cs="宋体"/>
          <w:spacing w:val="-3"/>
          <w:sz w:val="24"/>
          <w:szCs w:val="24"/>
        </w:rPr>
        <w:t>委托期限：</w:t>
      </w:r>
      <w:r>
        <w:rPr>
          <w:rFonts w:ascii="宋体" w:hAnsi="宋体" w:eastAsia="宋体" w:cs="宋体"/>
          <w:spacing w:val="-58"/>
          <w:sz w:val="24"/>
          <w:szCs w:val="24"/>
        </w:rPr>
        <w:t xml:space="preserve"> </w:t>
      </w:r>
      <w:r>
        <w:rPr>
          <w:rFonts w:ascii="宋体" w:hAnsi="宋体" w:eastAsia="宋体" w:cs="宋体"/>
          <w:spacing w:val="-3"/>
          <w:sz w:val="24"/>
          <w:szCs w:val="24"/>
        </w:rPr>
        <w:t>自本委托书签署之日起至投标有效期期满。</w:t>
      </w:r>
    </w:p>
    <w:p w14:paraId="6E97920A">
      <w:pPr>
        <w:spacing w:before="216" w:line="219" w:lineRule="auto"/>
        <w:ind w:left="487"/>
        <w:rPr>
          <w:rFonts w:ascii="宋体" w:hAnsi="宋体" w:eastAsia="宋体" w:cs="宋体"/>
          <w:sz w:val="24"/>
          <w:szCs w:val="24"/>
        </w:rPr>
      </w:pPr>
      <w:r>
        <w:rPr>
          <w:rFonts w:ascii="宋体" w:hAnsi="宋体" w:eastAsia="宋体" w:cs="宋体"/>
          <w:spacing w:val="-1"/>
          <w:sz w:val="24"/>
          <w:szCs w:val="24"/>
        </w:rPr>
        <w:t>代理人无转委托权。</w:t>
      </w:r>
    </w:p>
    <w:p w14:paraId="5A9E7B0A">
      <w:pPr>
        <w:spacing w:line="316" w:lineRule="auto"/>
        <w:rPr>
          <w:rFonts w:ascii="Arial"/>
          <w:sz w:val="21"/>
        </w:rPr>
      </w:pPr>
    </w:p>
    <w:p w14:paraId="333FFF83">
      <w:pPr>
        <w:spacing w:line="317" w:lineRule="auto"/>
        <w:rPr>
          <w:rFonts w:ascii="Arial"/>
          <w:sz w:val="21"/>
        </w:rPr>
      </w:pPr>
    </w:p>
    <w:p w14:paraId="3B7C7745">
      <w:pPr>
        <w:spacing w:before="78" w:line="219" w:lineRule="auto"/>
        <w:ind w:left="507"/>
        <w:rPr>
          <w:rFonts w:ascii="宋体" w:hAnsi="宋体" w:eastAsia="宋体" w:cs="宋体"/>
          <w:sz w:val="24"/>
          <w:szCs w:val="24"/>
        </w:rPr>
      </w:pPr>
      <w:r>
        <w:rPr>
          <w:rFonts w:ascii="宋体" w:hAnsi="宋体" w:eastAsia="宋体" w:cs="宋体"/>
          <w:spacing w:val="-1"/>
          <w:sz w:val="24"/>
          <w:szCs w:val="24"/>
        </w:rPr>
        <w:t>附：法定代表人身份证扫描件及委托代理人身份证</w:t>
      </w:r>
      <w:r>
        <w:rPr>
          <w:rFonts w:ascii="宋体" w:hAnsi="宋体" w:eastAsia="宋体" w:cs="宋体"/>
          <w:spacing w:val="-2"/>
          <w:sz w:val="24"/>
          <w:szCs w:val="24"/>
        </w:rPr>
        <w:t>扫描件。</w:t>
      </w:r>
    </w:p>
    <w:p w14:paraId="67D36F35">
      <w:pPr>
        <w:spacing w:line="474" w:lineRule="auto"/>
        <w:rPr>
          <w:rFonts w:ascii="Arial"/>
          <w:sz w:val="21"/>
        </w:rPr>
      </w:pPr>
    </w:p>
    <w:p w14:paraId="175A1FB8">
      <w:pPr>
        <w:spacing w:before="78" w:line="219" w:lineRule="auto"/>
        <w:ind w:left="3851"/>
        <w:rPr>
          <w:rFonts w:ascii="宋体" w:hAnsi="宋体" w:eastAsia="宋体" w:cs="宋体"/>
          <w:sz w:val="24"/>
          <w:szCs w:val="24"/>
        </w:rPr>
      </w:pPr>
      <w:r>
        <w:rPr>
          <w:rFonts w:ascii="宋体" w:hAnsi="宋体" w:eastAsia="宋体" w:cs="宋体"/>
          <w:spacing w:val="2"/>
          <w:sz w:val="24"/>
          <w:szCs w:val="24"/>
        </w:rPr>
        <w:t>投标人</w:t>
      </w:r>
      <w:r>
        <w:rPr>
          <w:rFonts w:ascii="宋体" w:hAnsi="宋体" w:eastAsia="宋体" w:cs="宋体"/>
          <w:spacing w:val="-15"/>
          <w:sz w:val="24"/>
          <w:szCs w:val="24"/>
        </w:rPr>
        <w:t>：</w:t>
      </w:r>
      <w:r>
        <w:rPr>
          <w:rFonts w:ascii="宋体" w:hAnsi="宋体" w:eastAsia="宋体" w:cs="宋体"/>
          <w:sz w:val="24"/>
          <w:szCs w:val="24"/>
          <w:u w:val="single" w:color="auto"/>
        </w:rPr>
        <w:t xml:space="preserve">                   </w:t>
      </w:r>
      <w:r>
        <w:rPr>
          <w:rFonts w:ascii="宋体" w:hAnsi="宋体" w:eastAsia="宋体" w:cs="宋体"/>
          <w:spacing w:val="-15"/>
          <w:sz w:val="24"/>
          <w:szCs w:val="24"/>
        </w:rPr>
        <w:t>（</w:t>
      </w:r>
      <w:r>
        <w:rPr>
          <w:rFonts w:ascii="宋体" w:hAnsi="宋体" w:eastAsia="宋体" w:cs="宋体"/>
          <w:spacing w:val="2"/>
          <w:sz w:val="24"/>
          <w:szCs w:val="24"/>
        </w:rPr>
        <w:t>盖单位章）</w:t>
      </w:r>
    </w:p>
    <w:p w14:paraId="60C65014">
      <w:pPr>
        <w:spacing w:line="258" w:lineRule="auto"/>
        <w:rPr>
          <w:rFonts w:ascii="Arial"/>
          <w:sz w:val="21"/>
        </w:rPr>
      </w:pPr>
    </w:p>
    <w:p w14:paraId="579013E8">
      <w:pPr>
        <w:spacing w:before="78" w:line="219" w:lineRule="auto"/>
        <w:ind w:left="3849"/>
        <w:rPr>
          <w:rFonts w:ascii="宋体" w:hAnsi="宋体" w:eastAsia="宋体" w:cs="宋体"/>
          <w:sz w:val="24"/>
          <w:szCs w:val="24"/>
        </w:rPr>
      </w:pPr>
      <w:r>
        <w:rPr>
          <w:rFonts w:ascii="宋体" w:hAnsi="宋体" w:eastAsia="宋体" w:cs="宋体"/>
          <w:spacing w:val="3"/>
          <w:sz w:val="24"/>
          <w:szCs w:val="24"/>
        </w:rPr>
        <w:t>法定代表人</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18"/>
          <w:sz w:val="24"/>
          <w:szCs w:val="24"/>
        </w:rPr>
        <w:t>（</w:t>
      </w:r>
      <w:r>
        <w:rPr>
          <w:rFonts w:ascii="宋体" w:hAnsi="宋体" w:eastAsia="宋体" w:cs="宋体"/>
          <w:spacing w:val="3"/>
          <w:sz w:val="24"/>
          <w:szCs w:val="24"/>
        </w:rPr>
        <w:t>签字）</w:t>
      </w:r>
    </w:p>
    <w:p w14:paraId="075481E3">
      <w:pPr>
        <w:spacing w:line="259" w:lineRule="auto"/>
        <w:rPr>
          <w:rFonts w:ascii="Arial"/>
          <w:sz w:val="21"/>
        </w:rPr>
      </w:pPr>
    </w:p>
    <w:p w14:paraId="4C898EF6">
      <w:pPr>
        <w:spacing w:before="79" w:line="219" w:lineRule="auto"/>
        <w:ind w:left="3854"/>
        <w:rPr>
          <w:rFonts w:ascii="宋体" w:hAnsi="宋体" w:eastAsia="宋体" w:cs="宋体"/>
          <w:sz w:val="24"/>
          <w:szCs w:val="24"/>
        </w:rPr>
      </w:pPr>
      <w:r>
        <w:rPr>
          <w:rFonts w:ascii="宋体" w:hAnsi="宋体" w:eastAsia="宋体" w:cs="宋体"/>
          <w:spacing w:val="-3"/>
          <w:sz w:val="24"/>
          <w:szCs w:val="24"/>
        </w:rPr>
        <w:t>身份证号码：</w:t>
      </w:r>
      <w:r>
        <w:rPr>
          <w:rFonts w:ascii="宋体" w:hAnsi="宋体" w:eastAsia="宋体" w:cs="宋体"/>
          <w:sz w:val="24"/>
          <w:szCs w:val="24"/>
          <w:u w:val="single" w:color="auto"/>
        </w:rPr>
        <w:t xml:space="preserve">                          </w:t>
      </w:r>
    </w:p>
    <w:p w14:paraId="7448A280">
      <w:pPr>
        <w:spacing w:line="257" w:lineRule="auto"/>
        <w:rPr>
          <w:rFonts w:ascii="Arial"/>
          <w:sz w:val="21"/>
        </w:rPr>
      </w:pPr>
    </w:p>
    <w:p w14:paraId="03DBA526">
      <w:pPr>
        <w:spacing w:before="78" w:line="219" w:lineRule="auto"/>
        <w:ind w:left="3847"/>
        <w:rPr>
          <w:rFonts w:ascii="宋体" w:hAnsi="宋体" w:eastAsia="宋体" w:cs="宋体"/>
          <w:sz w:val="24"/>
          <w:szCs w:val="24"/>
        </w:rPr>
      </w:pPr>
      <w:r>
        <w:rPr>
          <w:rFonts w:ascii="宋体" w:hAnsi="宋体" w:eastAsia="宋体" w:cs="宋体"/>
          <w:spacing w:val="3"/>
          <w:sz w:val="24"/>
          <w:szCs w:val="24"/>
        </w:rPr>
        <w:t>委托代理人</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spacing w:val="-17"/>
          <w:sz w:val="24"/>
          <w:szCs w:val="24"/>
        </w:rPr>
        <w:t>（</w:t>
      </w:r>
      <w:r>
        <w:rPr>
          <w:rFonts w:ascii="宋体" w:hAnsi="宋体" w:eastAsia="宋体" w:cs="宋体"/>
          <w:spacing w:val="3"/>
          <w:sz w:val="24"/>
          <w:szCs w:val="24"/>
        </w:rPr>
        <w:t>签字）</w:t>
      </w:r>
    </w:p>
    <w:p w14:paraId="1C4994DF">
      <w:pPr>
        <w:spacing w:line="259" w:lineRule="auto"/>
        <w:rPr>
          <w:rFonts w:ascii="Arial"/>
          <w:sz w:val="21"/>
        </w:rPr>
      </w:pPr>
    </w:p>
    <w:p w14:paraId="41679240">
      <w:pPr>
        <w:spacing w:before="79" w:line="219" w:lineRule="auto"/>
        <w:ind w:left="3854"/>
        <w:rPr>
          <w:rFonts w:ascii="宋体" w:hAnsi="宋体" w:eastAsia="宋体" w:cs="宋体"/>
          <w:sz w:val="24"/>
          <w:szCs w:val="24"/>
        </w:rPr>
      </w:pPr>
      <w:r>
        <w:rPr>
          <w:rFonts w:ascii="宋体" w:hAnsi="宋体" w:eastAsia="宋体" w:cs="宋体"/>
          <w:spacing w:val="-3"/>
          <w:sz w:val="24"/>
          <w:szCs w:val="24"/>
        </w:rPr>
        <w:t>身份证号码：</w:t>
      </w:r>
      <w:r>
        <w:rPr>
          <w:rFonts w:ascii="宋体" w:hAnsi="宋体" w:eastAsia="宋体" w:cs="宋体"/>
          <w:sz w:val="24"/>
          <w:szCs w:val="24"/>
          <w:u w:val="single" w:color="auto"/>
        </w:rPr>
        <w:t xml:space="preserve">                           </w:t>
      </w:r>
    </w:p>
    <w:p w14:paraId="7CCABAD0">
      <w:pPr>
        <w:spacing w:line="257" w:lineRule="auto"/>
        <w:rPr>
          <w:rFonts w:ascii="Arial"/>
          <w:sz w:val="21"/>
        </w:rPr>
      </w:pPr>
    </w:p>
    <w:p w14:paraId="394EA9C8">
      <w:pPr>
        <w:tabs>
          <w:tab w:val="left" w:pos="6357"/>
        </w:tabs>
        <w:spacing w:before="78" w:line="219" w:lineRule="auto"/>
        <w:ind w:left="551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17C70072">
      <w:pPr>
        <w:spacing w:line="267" w:lineRule="auto"/>
        <w:rPr>
          <w:rFonts w:ascii="Arial"/>
          <w:sz w:val="21"/>
        </w:rPr>
      </w:pPr>
    </w:p>
    <w:p w14:paraId="24BC2F86">
      <w:pPr>
        <w:spacing w:before="66" w:line="232" w:lineRule="auto"/>
        <w:ind w:left="112"/>
        <w:rPr>
          <w:rFonts w:ascii="宋体" w:hAnsi="宋体" w:eastAsia="宋体" w:cs="宋体"/>
          <w:sz w:val="20"/>
          <w:szCs w:val="20"/>
        </w:rPr>
      </w:pPr>
      <w:r>
        <w:rPr>
          <w:rFonts w:ascii="宋体" w:hAnsi="宋体" w:eastAsia="宋体" w:cs="宋体"/>
          <w:sz w:val="20"/>
          <w:szCs w:val="20"/>
        </w:rPr>
        <w:t>注：</w:t>
      </w:r>
    </w:p>
    <w:p w14:paraId="1268A4E9">
      <w:pPr>
        <w:spacing w:before="156" w:line="377" w:lineRule="auto"/>
        <w:ind w:left="11" w:firstLine="431"/>
        <w:rPr>
          <w:rFonts w:ascii="宋体" w:hAnsi="宋体" w:eastAsia="宋体" w:cs="宋体"/>
          <w:sz w:val="20"/>
          <w:szCs w:val="20"/>
        </w:rPr>
      </w:pPr>
      <w:r>
        <w:rPr>
          <w:rFonts w:ascii="宋体" w:hAnsi="宋体" w:eastAsia="宋体" w:cs="宋体"/>
          <w:spacing w:val="8"/>
          <w:sz w:val="20"/>
          <w:szCs w:val="20"/>
        </w:rPr>
        <w:t>1、法定代表人和委托代理人必须在授权书上签名；如果由投标人的委托代理人签署投标文件，则不需提交（二）法定代表人身份证明。</w:t>
      </w:r>
    </w:p>
    <w:p w14:paraId="4877A340">
      <w:pPr>
        <w:spacing w:before="1" w:line="226" w:lineRule="auto"/>
        <w:ind w:left="429"/>
        <w:rPr>
          <w:rFonts w:ascii="宋体" w:hAnsi="宋体" w:eastAsia="宋体" w:cs="宋体"/>
          <w:sz w:val="20"/>
          <w:szCs w:val="20"/>
        </w:rPr>
      </w:pPr>
      <w:bookmarkStart w:id="78" w:name="bookmark229"/>
      <w:bookmarkEnd w:id="78"/>
      <w:r>
        <w:rPr>
          <w:rFonts w:ascii="宋体" w:hAnsi="宋体" w:eastAsia="宋体" w:cs="宋体"/>
          <w:spacing w:val="9"/>
          <w:sz w:val="20"/>
          <w:szCs w:val="20"/>
        </w:rPr>
        <w:t>2、以联合体形式投标的，本授权委托书应由联合体牵头人的法定代表人按上述规定签署。</w:t>
      </w:r>
    </w:p>
    <w:p w14:paraId="0A81FE5D">
      <w:pPr>
        <w:spacing w:line="241" w:lineRule="auto"/>
        <w:rPr>
          <w:rFonts w:ascii="Arial"/>
          <w:sz w:val="21"/>
        </w:rPr>
      </w:pPr>
    </w:p>
    <w:p w14:paraId="1E0B663B">
      <w:pPr>
        <w:spacing w:line="241" w:lineRule="auto"/>
        <w:rPr>
          <w:rFonts w:ascii="Arial"/>
          <w:sz w:val="21"/>
        </w:rPr>
      </w:pPr>
    </w:p>
    <w:p w14:paraId="1BB16FE5">
      <w:pPr>
        <w:spacing w:line="241" w:lineRule="auto"/>
        <w:rPr>
          <w:rFonts w:ascii="Arial"/>
          <w:sz w:val="21"/>
        </w:rPr>
      </w:pPr>
    </w:p>
    <w:p w14:paraId="097CB80D">
      <w:pPr>
        <w:spacing w:line="241" w:lineRule="auto"/>
        <w:rPr>
          <w:rFonts w:ascii="Arial"/>
          <w:sz w:val="21"/>
        </w:rPr>
      </w:pPr>
    </w:p>
    <w:p w14:paraId="6BF46964">
      <w:pPr>
        <w:spacing w:line="242" w:lineRule="auto"/>
        <w:rPr>
          <w:rFonts w:ascii="Arial"/>
          <w:sz w:val="21"/>
        </w:rPr>
      </w:pPr>
    </w:p>
    <w:p w14:paraId="2849F439">
      <w:pPr>
        <w:spacing w:line="242" w:lineRule="auto"/>
        <w:rPr>
          <w:rFonts w:ascii="Arial"/>
          <w:sz w:val="21"/>
        </w:rPr>
      </w:pPr>
    </w:p>
    <w:p w14:paraId="13329503">
      <w:pPr>
        <w:spacing w:line="242" w:lineRule="auto"/>
        <w:rPr>
          <w:rFonts w:ascii="Arial"/>
          <w:sz w:val="21"/>
        </w:rPr>
      </w:pPr>
    </w:p>
    <w:p w14:paraId="24F64222">
      <w:pPr>
        <w:spacing w:line="242" w:lineRule="auto"/>
        <w:rPr>
          <w:rFonts w:ascii="Arial"/>
          <w:sz w:val="21"/>
        </w:rPr>
      </w:pPr>
    </w:p>
    <w:p w14:paraId="02304513">
      <w:pPr>
        <w:spacing w:line="242" w:lineRule="auto"/>
        <w:rPr>
          <w:rFonts w:ascii="Arial"/>
          <w:sz w:val="21"/>
        </w:rPr>
      </w:pPr>
    </w:p>
    <w:p w14:paraId="0E59E13B">
      <w:pPr>
        <w:spacing w:line="242" w:lineRule="auto"/>
        <w:rPr>
          <w:rFonts w:ascii="Arial"/>
          <w:sz w:val="21"/>
        </w:rPr>
      </w:pPr>
    </w:p>
    <w:p w14:paraId="7BED8EC0">
      <w:pPr>
        <w:spacing w:before="317" w:line="220" w:lineRule="auto"/>
        <w:ind w:left="2864"/>
        <w:rPr>
          <w:rFonts w:ascii="宋体" w:hAnsi="宋体" w:eastAsia="宋体" w:cs="宋体"/>
          <w:sz w:val="28"/>
          <w:szCs w:val="28"/>
        </w:rPr>
      </w:pPr>
      <w:r>
        <w:rPr>
          <w:rFonts w:ascii="宋体" w:hAnsi="宋体" w:eastAsia="宋体" w:cs="宋体"/>
          <w:b/>
          <w:bCs/>
          <w:spacing w:val="-4"/>
          <w:sz w:val="28"/>
          <w:szCs w:val="28"/>
        </w:rPr>
        <w:br w:type="page"/>
      </w:r>
      <w:r>
        <w:rPr>
          <w:rFonts w:ascii="宋体" w:hAnsi="宋体" w:eastAsia="宋体" w:cs="宋体"/>
          <w:b/>
          <w:bCs/>
          <w:spacing w:val="-4"/>
          <w:sz w:val="28"/>
          <w:szCs w:val="28"/>
        </w:rPr>
        <w:t>（二）法定代表人身份证明</w:t>
      </w:r>
    </w:p>
    <w:p w14:paraId="28537870">
      <w:pPr>
        <w:spacing w:line="341" w:lineRule="auto"/>
        <w:rPr>
          <w:rFonts w:ascii="Arial"/>
          <w:sz w:val="21"/>
        </w:rPr>
      </w:pPr>
    </w:p>
    <w:p w14:paraId="46798AEF">
      <w:pPr>
        <w:spacing w:before="78" w:line="220" w:lineRule="auto"/>
        <w:ind w:left="11"/>
        <w:rPr>
          <w:rFonts w:ascii="宋体" w:hAnsi="宋体" w:eastAsia="宋体" w:cs="宋体"/>
          <w:sz w:val="24"/>
          <w:szCs w:val="24"/>
        </w:rPr>
      </w:pPr>
      <w:r>
        <w:rPr>
          <w:rFonts w:ascii="宋体" w:hAnsi="宋体" w:eastAsia="宋体" w:cs="宋体"/>
          <w:spacing w:val="-3"/>
          <w:sz w:val="24"/>
          <w:szCs w:val="24"/>
        </w:rPr>
        <w:t>投标人名称：</w:t>
      </w:r>
      <w:r>
        <w:rPr>
          <w:rFonts w:ascii="宋体" w:hAnsi="宋体" w:eastAsia="宋体" w:cs="宋体"/>
          <w:sz w:val="24"/>
          <w:szCs w:val="24"/>
          <w:u w:val="single" w:color="auto"/>
        </w:rPr>
        <w:t xml:space="preserve">                        </w:t>
      </w:r>
    </w:p>
    <w:p w14:paraId="2E14145D">
      <w:pPr>
        <w:spacing w:before="215" w:line="219" w:lineRule="auto"/>
        <w:ind w:left="8"/>
        <w:rPr>
          <w:rFonts w:ascii="宋体" w:hAnsi="宋体" w:eastAsia="宋体" w:cs="宋体"/>
          <w:sz w:val="24"/>
          <w:szCs w:val="24"/>
        </w:rPr>
      </w:pPr>
      <w:r>
        <w:rPr>
          <w:rFonts w:ascii="宋体" w:hAnsi="宋体" w:eastAsia="宋体" w:cs="宋体"/>
          <w:spacing w:val="-1"/>
          <w:sz w:val="24"/>
          <w:szCs w:val="24"/>
        </w:rPr>
        <w:t>姓名</w:t>
      </w:r>
      <w:r>
        <w:rPr>
          <w:rFonts w:ascii="宋体" w:hAnsi="宋体" w:eastAsia="宋体" w:cs="宋体"/>
          <w:spacing w:val="-11"/>
          <w:sz w:val="24"/>
          <w:szCs w:val="24"/>
        </w:rPr>
        <w:t>：</w:t>
      </w:r>
      <w:r>
        <w:rPr>
          <w:rFonts w:ascii="宋体" w:hAnsi="宋体" w:eastAsia="宋体" w:cs="宋体"/>
          <w:sz w:val="24"/>
          <w:szCs w:val="24"/>
          <w:u w:val="single" w:color="auto"/>
        </w:rPr>
        <w:t xml:space="preserve">           </w:t>
      </w:r>
      <w:r>
        <w:rPr>
          <w:rFonts w:ascii="宋体" w:hAnsi="宋体" w:eastAsia="宋体" w:cs="宋体"/>
          <w:spacing w:val="-11"/>
          <w:sz w:val="24"/>
          <w:szCs w:val="24"/>
        </w:rPr>
        <w:t>（</w:t>
      </w:r>
      <w:r>
        <w:rPr>
          <w:rFonts w:ascii="宋体" w:hAnsi="宋体" w:eastAsia="宋体" w:cs="宋体"/>
          <w:spacing w:val="-1"/>
          <w:sz w:val="24"/>
          <w:szCs w:val="24"/>
        </w:rPr>
        <w:t>法定代表人签名）   性别：</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年龄：</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职务：</w:t>
      </w:r>
      <w:r>
        <w:rPr>
          <w:rFonts w:ascii="宋体" w:hAnsi="宋体" w:eastAsia="宋体" w:cs="宋体"/>
          <w:spacing w:val="-1"/>
          <w:sz w:val="24"/>
          <w:szCs w:val="24"/>
          <w:u w:val="single" w:color="auto"/>
        </w:rPr>
        <w:t xml:space="preserve">    </w:t>
      </w:r>
    </w:p>
    <w:p w14:paraId="3AF7FB3B">
      <w:pPr>
        <w:spacing w:before="214" w:line="219" w:lineRule="auto"/>
        <w:ind w:left="13"/>
        <w:rPr>
          <w:rFonts w:ascii="宋体" w:hAnsi="宋体" w:eastAsia="宋体" w:cs="宋体"/>
          <w:sz w:val="24"/>
          <w:szCs w:val="24"/>
        </w:rPr>
      </w:pPr>
      <w:r>
        <w:rPr>
          <w:rFonts w:ascii="宋体" w:hAnsi="宋体" w:eastAsia="宋体" w:cs="宋体"/>
          <w:spacing w:val="-1"/>
          <w:sz w:val="24"/>
          <w:szCs w:val="24"/>
        </w:rPr>
        <w:t>系</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（投标人名称）的法定代表人。</w:t>
      </w:r>
    </w:p>
    <w:p w14:paraId="2C93A091">
      <w:pPr>
        <w:spacing w:before="215" w:line="219" w:lineRule="auto"/>
        <w:ind w:left="488"/>
        <w:rPr>
          <w:rFonts w:ascii="宋体" w:hAnsi="宋体" w:eastAsia="宋体" w:cs="宋体"/>
          <w:sz w:val="24"/>
          <w:szCs w:val="24"/>
        </w:rPr>
      </w:pPr>
      <w:r>
        <w:rPr>
          <w:rFonts w:ascii="宋体" w:hAnsi="宋体" w:eastAsia="宋体" w:cs="宋体"/>
          <w:spacing w:val="-2"/>
          <w:sz w:val="24"/>
          <w:szCs w:val="24"/>
        </w:rPr>
        <w:t>特此证明。</w:t>
      </w:r>
    </w:p>
    <w:p w14:paraId="1D1628CC">
      <w:pPr>
        <w:spacing w:line="316" w:lineRule="auto"/>
        <w:rPr>
          <w:rFonts w:ascii="Arial"/>
          <w:sz w:val="21"/>
        </w:rPr>
      </w:pPr>
    </w:p>
    <w:p w14:paraId="6E931133">
      <w:pPr>
        <w:spacing w:line="317" w:lineRule="auto"/>
        <w:rPr>
          <w:rFonts w:ascii="Arial"/>
          <w:sz w:val="21"/>
        </w:rPr>
      </w:pPr>
    </w:p>
    <w:p w14:paraId="7BC5BAE9">
      <w:pPr>
        <w:spacing w:before="78" w:line="219" w:lineRule="auto"/>
        <w:ind w:left="507"/>
        <w:rPr>
          <w:rFonts w:ascii="宋体" w:hAnsi="宋体" w:eastAsia="宋体" w:cs="宋体"/>
          <w:sz w:val="24"/>
          <w:szCs w:val="24"/>
        </w:rPr>
      </w:pPr>
      <w:r>
        <w:rPr>
          <w:rFonts w:ascii="宋体" w:hAnsi="宋体" w:eastAsia="宋体" w:cs="宋体"/>
          <w:spacing w:val="-3"/>
          <w:sz w:val="24"/>
          <w:szCs w:val="24"/>
        </w:rPr>
        <w:t>附：法定代表人身份证扫描件。</w:t>
      </w:r>
    </w:p>
    <w:p w14:paraId="317F12F5">
      <w:pPr>
        <w:spacing w:line="317" w:lineRule="auto"/>
        <w:rPr>
          <w:rFonts w:ascii="Arial"/>
          <w:sz w:val="21"/>
        </w:rPr>
      </w:pPr>
    </w:p>
    <w:p w14:paraId="0F103A79">
      <w:pPr>
        <w:spacing w:line="318" w:lineRule="auto"/>
        <w:rPr>
          <w:rFonts w:ascii="Arial"/>
          <w:sz w:val="21"/>
        </w:rPr>
      </w:pPr>
    </w:p>
    <w:p w14:paraId="141F1CEB">
      <w:pPr>
        <w:tabs>
          <w:tab w:val="left" w:pos="6117"/>
        </w:tabs>
        <w:spacing w:before="78" w:line="325" w:lineRule="auto"/>
        <w:ind w:left="5158" w:right="1167" w:hanging="1187"/>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18"/>
          <w:sz w:val="24"/>
          <w:szCs w:val="24"/>
        </w:rPr>
        <w:t>（</w:t>
      </w:r>
      <w:r>
        <w:rPr>
          <w:rFonts w:ascii="宋体" w:hAnsi="宋体" w:eastAsia="宋体" w:cs="宋体"/>
          <w:sz w:val="24"/>
          <w:szCs w:val="24"/>
        </w:rPr>
        <w:t>盖单位章）</w:t>
      </w: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40A84417">
      <w:pPr>
        <w:spacing w:line="252" w:lineRule="auto"/>
        <w:rPr>
          <w:rFonts w:ascii="Arial"/>
          <w:sz w:val="21"/>
        </w:rPr>
      </w:pPr>
    </w:p>
    <w:p w14:paraId="523F34A5">
      <w:pPr>
        <w:spacing w:line="252" w:lineRule="auto"/>
        <w:rPr>
          <w:rFonts w:ascii="Arial"/>
          <w:sz w:val="21"/>
        </w:rPr>
      </w:pPr>
    </w:p>
    <w:p w14:paraId="2245EAE2">
      <w:pPr>
        <w:spacing w:line="252" w:lineRule="auto"/>
        <w:rPr>
          <w:rFonts w:ascii="Arial"/>
          <w:sz w:val="21"/>
        </w:rPr>
      </w:pPr>
    </w:p>
    <w:p w14:paraId="74655466">
      <w:pPr>
        <w:spacing w:line="253" w:lineRule="auto"/>
        <w:rPr>
          <w:rFonts w:ascii="Arial"/>
          <w:sz w:val="21"/>
        </w:rPr>
      </w:pPr>
    </w:p>
    <w:p w14:paraId="711CC651">
      <w:pPr>
        <w:spacing w:line="253" w:lineRule="auto"/>
        <w:rPr>
          <w:rFonts w:ascii="Arial"/>
          <w:sz w:val="21"/>
        </w:rPr>
      </w:pPr>
    </w:p>
    <w:p w14:paraId="214E14E0">
      <w:pPr>
        <w:spacing w:line="253" w:lineRule="auto"/>
        <w:rPr>
          <w:rFonts w:ascii="Arial"/>
          <w:sz w:val="21"/>
        </w:rPr>
      </w:pPr>
    </w:p>
    <w:p w14:paraId="536675D6">
      <w:pPr>
        <w:spacing w:line="253" w:lineRule="auto"/>
        <w:rPr>
          <w:rFonts w:ascii="Arial"/>
          <w:sz w:val="21"/>
        </w:rPr>
      </w:pPr>
    </w:p>
    <w:p w14:paraId="4F98C752">
      <w:pPr>
        <w:spacing w:before="66" w:line="228" w:lineRule="auto"/>
        <w:ind w:left="427"/>
        <w:rPr>
          <w:rFonts w:ascii="宋体" w:hAnsi="宋体" w:eastAsia="宋体" w:cs="宋体"/>
          <w:sz w:val="20"/>
          <w:szCs w:val="20"/>
        </w:rPr>
      </w:pPr>
      <w:r>
        <w:rPr>
          <w:rFonts w:ascii="宋体" w:hAnsi="宋体" w:eastAsia="宋体" w:cs="宋体"/>
          <w:spacing w:val="9"/>
          <w:sz w:val="20"/>
          <w:szCs w:val="20"/>
        </w:rPr>
        <w:t>注：法定代表人必须在法定代表人身份证明上签名。</w:t>
      </w:r>
    </w:p>
    <w:p w14:paraId="64FCDF3F">
      <w:pPr>
        <w:spacing w:line="464" w:lineRule="auto"/>
        <w:rPr>
          <w:rFonts w:hint="eastAsia" w:ascii="Arial" w:eastAsia="宋体"/>
          <w:sz w:val="21"/>
          <w:lang w:eastAsia="zh-CN"/>
        </w:rPr>
      </w:pPr>
      <w:r>
        <w:rPr>
          <w:rFonts w:hint="eastAsia" w:ascii="Arial" w:eastAsia="宋体"/>
          <w:sz w:val="21"/>
          <w:lang w:eastAsia="zh-CN"/>
        </w:rPr>
        <w:br w:type="page"/>
      </w:r>
    </w:p>
    <w:p w14:paraId="6ACCA52C">
      <w:pPr>
        <w:spacing w:before="91" w:line="219" w:lineRule="auto"/>
        <w:ind w:left="3417"/>
        <w:rPr>
          <w:rFonts w:ascii="宋体" w:hAnsi="宋体" w:eastAsia="宋体" w:cs="宋体"/>
          <w:sz w:val="28"/>
          <w:szCs w:val="28"/>
        </w:rPr>
      </w:pPr>
      <w:r>
        <w:rPr>
          <w:rFonts w:ascii="宋体" w:hAnsi="宋体" w:eastAsia="宋体" w:cs="宋体"/>
          <w:b/>
          <w:bCs/>
          <w:spacing w:val="-4"/>
          <w:sz w:val="28"/>
          <w:szCs w:val="28"/>
        </w:rPr>
        <w:t>三、联合体协议书</w:t>
      </w:r>
    </w:p>
    <w:p w14:paraId="5C8DB18F">
      <w:pPr>
        <w:spacing w:line="262" w:lineRule="auto"/>
        <w:rPr>
          <w:rFonts w:ascii="Arial"/>
          <w:sz w:val="21"/>
        </w:rPr>
      </w:pPr>
    </w:p>
    <w:p w14:paraId="7FB35991">
      <w:pPr>
        <w:tabs>
          <w:tab w:val="left" w:pos="2637"/>
        </w:tabs>
        <w:spacing w:before="78" w:line="308" w:lineRule="auto"/>
        <w:ind w:left="9" w:right="80" w:firstLine="469"/>
        <w:jc w:val="both"/>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3"/>
          <w:sz w:val="24"/>
          <w:szCs w:val="24"/>
        </w:rPr>
        <w:t>（所有成员单位名称）</w:t>
      </w:r>
      <w:r>
        <w:rPr>
          <w:rFonts w:ascii="宋体" w:hAnsi="宋体" w:eastAsia="宋体" w:cs="宋体"/>
          <w:spacing w:val="-71"/>
          <w:sz w:val="24"/>
          <w:szCs w:val="24"/>
        </w:rPr>
        <w:t xml:space="preserve"> </w:t>
      </w:r>
      <w:r>
        <w:rPr>
          <w:rFonts w:ascii="宋体" w:hAnsi="宋体" w:eastAsia="宋体" w:cs="宋体"/>
          <w:spacing w:val="-3"/>
          <w:sz w:val="24"/>
          <w:szCs w:val="24"/>
        </w:rPr>
        <w:t>自愿组成</w:t>
      </w:r>
      <w:r>
        <w:rPr>
          <w:rFonts w:ascii="宋体" w:hAnsi="宋体" w:eastAsia="宋体" w:cs="宋体"/>
          <w:spacing w:val="-3"/>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3"/>
          <w:sz w:val="24"/>
          <w:szCs w:val="24"/>
        </w:rPr>
        <w:t>(联合</w:t>
      </w:r>
      <w:r>
        <w:rPr>
          <w:rFonts w:ascii="宋体" w:hAnsi="宋体" w:eastAsia="宋体" w:cs="宋体"/>
          <w:spacing w:val="-4"/>
          <w:sz w:val="24"/>
          <w:szCs w:val="24"/>
        </w:rPr>
        <w:t>体名称）联</w:t>
      </w:r>
      <w:r>
        <w:rPr>
          <w:rFonts w:ascii="宋体" w:hAnsi="宋体" w:eastAsia="宋体" w:cs="宋体"/>
          <w:spacing w:val="-1"/>
          <w:sz w:val="24"/>
          <w:szCs w:val="24"/>
        </w:rPr>
        <w:t>合体，共同参加</w:t>
      </w:r>
      <w:r>
        <w:rPr>
          <w:rFonts w:ascii="宋体" w:hAnsi="宋体" w:eastAsia="宋体" w:cs="宋体"/>
          <w:spacing w:val="-1"/>
          <w:sz w:val="24"/>
          <w:szCs w:val="24"/>
          <w:u w:val="single" w:color="auto"/>
        </w:rPr>
        <w:t xml:space="preserve">           (项目名称</w:t>
      </w:r>
      <w:r>
        <w:rPr>
          <w:rFonts w:ascii="宋体" w:hAnsi="宋体" w:eastAsia="宋体" w:cs="宋体"/>
          <w:spacing w:val="-13"/>
          <w:sz w:val="24"/>
          <w:szCs w:val="24"/>
          <w:u w:val="single" w:color="auto"/>
        </w:rPr>
        <w:t>）</w:t>
      </w:r>
      <w:r>
        <w:rPr>
          <w:rFonts w:ascii="宋体" w:hAnsi="宋体" w:eastAsia="宋体" w:cs="宋体"/>
          <w:spacing w:val="24"/>
          <w:sz w:val="24"/>
          <w:szCs w:val="24"/>
          <w:u w:val="single" w:color="auto"/>
        </w:rPr>
        <w:t xml:space="preserve">     </w:t>
      </w:r>
      <w:r>
        <w:rPr>
          <w:rFonts w:ascii="宋体" w:hAnsi="宋体" w:eastAsia="宋体" w:cs="宋体"/>
          <w:spacing w:val="-13"/>
          <w:sz w:val="24"/>
          <w:szCs w:val="24"/>
          <w:u w:val="single" w:color="auto"/>
        </w:rPr>
        <w:t>（</w:t>
      </w:r>
      <w:r>
        <w:rPr>
          <w:rFonts w:ascii="宋体" w:hAnsi="宋体" w:eastAsia="宋体" w:cs="宋体"/>
          <w:spacing w:val="-1"/>
          <w:sz w:val="24"/>
          <w:szCs w:val="24"/>
          <w:u w:val="single" w:color="auto"/>
        </w:rPr>
        <w:t>标类或标段）</w:t>
      </w:r>
      <w:r>
        <w:rPr>
          <w:rFonts w:ascii="宋体" w:hAnsi="宋体" w:eastAsia="宋体" w:cs="宋体"/>
          <w:spacing w:val="-1"/>
          <w:sz w:val="24"/>
          <w:szCs w:val="24"/>
        </w:rPr>
        <w:t>施工投标。现就联合体投标事宜订立如下协议。</w:t>
      </w:r>
    </w:p>
    <w:p w14:paraId="2589D81C">
      <w:pPr>
        <w:spacing w:line="218" w:lineRule="auto"/>
        <w:ind w:left="626"/>
        <w:rPr>
          <w:rFonts w:ascii="宋体" w:hAnsi="宋体" w:eastAsia="宋体" w:cs="宋体"/>
          <w:sz w:val="24"/>
          <w:szCs w:val="24"/>
        </w:rPr>
      </w:pPr>
      <w:r>
        <w:rPr>
          <w:rFonts w:ascii="宋体" w:hAnsi="宋体" w:eastAsia="宋体" w:cs="宋体"/>
          <w:spacing w:val="-2"/>
          <w:sz w:val="24"/>
          <w:szCs w:val="24"/>
        </w:rPr>
        <w:t>1.</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（某成员单位名称）为</w:t>
      </w:r>
      <w:r>
        <w:rPr>
          <w:rFonts w:ascii="宋体" w:hAnsi="宋体" w:eastAsia="宋体" w:cs="宋体"/>
          <w:spacing w:val="-2"/>
          <w:sz w:val="24"/>
          <w:szCs w:val="24"/>
          <w:u w:val="single" w:color="auto"/>
        </w:rPr>
        <w:t xml:space="preserve">          </w:t>
      </w:r>
      <w:r>
        <w:rPr>
          <w:rFonts w:ascii="宋体" w:hAnsi="宋体" w:eastAsia="宋体" w:cs="宋体"/>
          <w:spacing w:val="-67"/>
          <w:sz w:val="24"/>
          <w:szCs w:val="24"/>
        </w:rPr>
        <w:t xml:space="preserve"> </w:t>
      </w:r>
      <w:r>
        <w:rPr>
          <w:rFonts w:ascii="宋体" w:hAnsi="宋体" w:eastAsia="宋体" w:cs="宋体"/>
          <w:spacing w:val="-2"/>
          <w:sz w:val="24"/>
          <w:szCs w:val="24"/>
        </w:rPr>
        <w:t>(联合体名称）牵头人。</w:t>
      </w:r>
    </w:p>
    <w:p w14:paraId="24A88B73">
      <w:pPr>
        <w:spacing w:before="115" w:line="308" w:lineRule="auto"/>
        <w:ind w:left="7" w:right="80" w:firstLine="603"/>
        <w:rPr>
          <w:rFonts w:ascii="宋体" w:hAnsi="宋体" w:eastAsia="宋体" w:cs="宋体"/>
          <w:sz w:val="24"/>
          <w:szCs w:val="24"/>
        </w:rPr>
      </w:pPr>
      <w:r>
        <w:rPr>
          <w:rFonts w:ascii="宋体" w:hAnsi="宋体" w:eastAsia="宋体" w:cs="宋体"/>
          <w:spacing w:val="-1"/>
          <w:sz w:val="24"/>
          <w:szCs w:val="24"/>
        </w:rPr>
        <w:t>2.</w:t>
      </w:r>
      <w:r>
        <w:rPr>
          <w:rFonts w:ascii="宋体" w:hAnsi="宋体" w:eastAsia="宋体" w:cs="宋体"/>
          <w:spacing w:val="-31"/>
          <w:sz w:val="24"/>
          <w:szCs w:val="24"/>
        </w:rPr>
        <w:t xml:space="preserve"> </w:t>
      </w:r>
      <w:r>
        <w:rPr>
          <w:rFonts w:ascii="宋体" w:hAnsi="宋体" w:eastAsia="宋体" w:cs="宋体"/>
          <w:spacing w:val="-1"/>
          <w:sz w:val="24"/>
          <w:szCs w:val="24"/>
        </w:rPr>
        <w:t>联合体各成员授权牵头人代表联合体参加投标活动，签署文件，提交和接收相</w:t>
      </w:r>
      <w:r>
        <w:rPr>
          <w:rFonts w:ascii="宋体" w:hAnsi="宋体" w:eastAsia="宋体" w:cs="宋体"/>
          <w:spacing w:val="-2"/>
          <w:sz w:val="24"/>
          <w:szCs w:val="24"/>
        </w:rPr>
        <w:t>关的资料、信息及指示，进行合同谈判活动，负责合同实施阶段的组织和协调工作，以</w:t>
      </w:r>
      <w:r>
        <w:rPr>
          <w:rFonts w:ascii="宋体" w:hAnsi="宋体" w:eastAsia="宋体" w:cs="宋体"/>
          <w:spacing w:val="-1"/>
          <w:sz w:val="24"/>
          <w:szCs w:val="24"/>
        </w:rPr>
        <w:t>及处理与本招标项目有关的一切事宜。</w:t>
      </w:r>
    </w:p>
    <w:p w14:paraId="13D89BBC">
      <w:pPr>
        <w:spacing w:before="2" w:line="307" w:lineRule="auto"/>
        <w:ind w:left="14" w:right="80" w:firstLine="599"/>
        <w:rPr>
          <w:rFonts w:ascii="宋体" w:hAnsi="宋体" w:eastAsia="宋体" w:cs="宋体"/>
          <w:sz w:val="24"/>
          <w:szCs w:val="24"/>
        </w:rPr>
      </w:pPr>
      <w:r>
        <w:rPr>
          <w:rFonts w:ascii="宋体" w:hAnsi="宋体" w:eastAsia="宋体" w:cs="宋体"/>
          <w:spacing w:val="-1"/>
          <w:sz w:val="24"/>
          <w:szCs w:val="24"/>
        </w:rPr>
        <w:t>3.</w:t>
      </w:r>
      <w:r>
        <w:rPr>
          <w:rFonts w:ascii="宋体" w:hAnsi="宋体" w:eastAsia="宋体" w:cs="宋体"/>
          <w:spacing w:val="-32"/>
          <w:sz w:val="24"/>
          <w:szCs w:val="24"/>
        </w:rPr>
        <w:t xml:space="preserve"> </w:t>
      </w:r>
      <w:r>
        <w:rPr>
          <w:rFonts w:ascii="宋体" w:hAnsi="宋体" w:eastAsia="宋体" w:cs="宋体"/>
          <w:spacing w:val="-1"/>
          <w:sz w:val="24"/>
          <w:szCs w:val="24"/>
        </w:rPr>
        <w:t>联合体牵头人在本项目中签署的一切文件和处理的一切事宜，联合体各成员均</w:t>
      </w:r>
      <w:r>
        <w:rPr>
          <w:rFonts w:ascii="宋体" w:hAnsi="宋体" w:eastAsia="宋体" w:cs="宋体"/>
          <w:spacing w:val="-2"/>
          <w:sz w:val="24"/>
          <w:szCs w:val="24"/>
        </w:rPr>
        <w:t>予以承认。联合体各成员将严格按照招标文件、投标文件和合同的要求全面履行义务，并向招标人承担连带责任。</w:t>
      </w:r>
    </w:p>
    <w:p w14:paraId="06D58821">
      <w:pPr>
        <w:spacing w:before="1" w:line="307" w:lineRule="auto"/>
        <w:ind w:left="7" w:firstLine="600"/>
        <w:rPr>
          <w:rFonts w:ascii="宋体" w:hAnsi="宋体" w:eastAsia="宋体" w:cs="宋体"/>
          <w:sz w:val="24"/>
          <w:szCs w:val="24"/>
        </w:rPr>
      </w:pPr>
      <w:r>
        <w:rPr>
          <w:rFonts w:ascii="宋体" w:hAnsi="宋体" w:eastAsia="宋体" w:cs="宋体"/>
          <w:sz w:val="24"/>
          <w:szCs w:val="24"/>
        </w:rPr>
        <w:t>4.联合体各成员单位内部的职责分工如下</w:t>
      </w:r>
      <w:r>
        <w:rPr>
          <w:rFonts w:ascii="宋体" w:hAnsi="宋体" w:eastAsia="宋体" w:cs="宋体"/>
          <w:spacing w:val="-10"/>
          <w:sz w:val="24"/>
          <w:szCs w:val="24"/>
        </w:rPr>
        <w:t>：</w:t>
      </w:r>
      <w:r>
        <w:rPr>
          <w:rFonts w:ascii="宋体" w:hAnsi="宋体" w:eastAsia="宋体" w:cs="宋体"/>
          <w:sz w:val="24"/>
          <w:szCs w:val="24"/>
          <w:u w:val="single" w:color="auto"/>
        </w:rPr>
        <w:t xml:space="preserve"> </w:t>
      </w:r>
      <w:r>
        <w:rPr>
          <w:rFonts w:ascii="宋体" w:hAnsi="宋体" w:eastAsia="宋体" w:cs="宋体"/>
          <w:spacing w:val="-10"/>
          <w:sz w:val="24"/>
          <w:szCs w:val="24"/>
          <w:u w:val="single" w:color="auto"/>
        </w:rPr>
        <w:t>（</w:t>
      </w:r>
      <w:r>
        <w:rPr>
          <w:rFonts w:ascii="宋体" w:hAnsi="宋体" w:eastAsia="宋体" w:cs="宋体"/>
          <w:sz w:val="24"/>
          <w:szCs w:val="24"/>
          <w:u w:val="single" w:color="auto"/>
        </w:rPr>
        <w:t>牵头人名称）</w:t>
      </w:r>
      <w:r>
        <w:rPr>
          <w:rFonts w:ascii="宋体" w:hAnsi="宋体" w:eastAsia="宋体" w:cs="宋体"/>
          <w:sz w:val="24"/>
          <w:szCs w:val="24"/>
        </w:rPr>
        <w:t>承担</w:t>
      </w:r>
      <w:r>
        <w:rPr>
          <w:rFonts w:ascii="宋体" w:hAnsi="宋体" w:eastAsia="宋体" w:cs="宋体"/>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z w:val="24"/>
          <w:szCs w:val="24"/>
        </w:rPr>
        <w:t>专业工</w:t>
      </w:r>
      <w:r>
        <w:rPr>
          <w:rFonts w:ascii="宋体" w:hAnsi="宋体" w:eastAsia="宋体" w:cs="宋体"/>
          <w:spacing w:val="-3"/>
          <w:sz w:val="24"/>
          <w:szCs w:val="24"/>
        </w:rPr>
        <w:t>程，</w:t>
      </w:r>
      <w:r>
        <w:rPr>
          <w:rFonts w:ascii="宋体" w:hAnsi="宋体" w:eastAsia="宋体" w:cs="宋体"/>
          <w:spacing w:val="-70"/>
          <w:sz w:val="24"/>
          <w:szCs w:val="24"/>
        </w:rPr>
        <w:t xml:space="preserve"> </w:t>
      </w:r>
      <w:r>
        <w:rPr>
          <w:rFonts w:ascii="宋体" w:hAnsi="宋体" w:eastAsia="宋体" w:cs="宋体"/>
          <w:spacing w:val="-3"/>
          <w:sz w:val="24"/>
          <w:szCs w:val="24"/>
        </w:rPr>
        <w:t>占总工程量的</w:t>
      </w:r>
      <w:r>
        <w:rPr>
          <w:rFonts w:ascii="宋体" w:hAnsi="宋体" w:eastAsia="宋体" w:cs="宋体"/>
          <w:spacing w:val="34"/>
          <w:sz w:val="24"/>
          <w:szCs w:val="24"/>
          <w:u w:val="single" w:color="auto"/>
        </w:rPr>
        <w:t xml:space="preserve">  </w:t>
      </w:r>
      <w:r>
        <w:rPr>
          <w:rFonts w:ascii="宋体" w:hAnsi="宋体" w:eastAsia="宋体" w:cs="宋体"/>
          <w:spacing w:val="-115"/>
          <w:sz w:val="24"/>
          <w:szCs w:val="24"/>
        </w:rPr>
        <w:t xml:space="preserve"> </w:t>
      </w:r>
      <w:r>
        <w:rPr>
          <w:rFonts w:ascii="宋体" w:hAnsi="宋体" w:eastAsia="宋体" w:cs="宋体"/>
          <w:spacing w:val="-3"/>
          <w:sz w:val="24"/>
          <w:szCs w:val="24"/>
        </w:rPr>
        <w:t>%</w:t>
      </w:r>
      <w:r>
        <w:rPr>
          <w:rFonts w:ascii="宋体" w:hAnsi="宋体" w:eastAsia="宋体" w:cs="宋体"/>
          <w:spacing w:val="-18"/>
          <w:sz w:val="24"/>
          <w:szCs w:val="24"/>
        </w:rPr>
        <w:t>；</w:t>
      </w:r>
      <w:r>
        <w:rPr>
          <w:rFonts w:ascii="宋体" w:hAnsi="宋体" w:eastAsia="宋体" w:cs="宋体"/>
          <w:spacing w:val="-18"/>
          <w:sz w:val="24"/>
          <w:szCs w:val="24"/>
          <w:u w:val="single" w:color="auto"/>
        </w:rPr>
        <w:t>（</w:t>
      </w:r>
      <w:r>
        <w:rPr>
          <w:rFonts w:ascii="宋体" w:hAnsi="宋体" w:eastAsia="宋体" w:cs="宋体"/>
          <w:spacing w:val="-3"/>
          <w:sz w:val="24"/>
          <w:szCs w:val="24"/>
          <w:u w:val="single" w:color="auto"/>
        </w:rPr>
        <w:t>成员一名称）</w:t>
      </w:r>
      <w:r>
        <w:rPr>
          <w:rFonts w:ascii="宋体" w:hAnsi="宋体" w:eastAsia="宋体" w:cs="宋体"/>
          <w:spacing w:val="-3"/>
          <w:sz w:val="24"/>
          <w:szCs w:val="24"/>
        </w:rPr>
        <w:t>承担</w:t>
      </w:r>
      <w:r>
        <w:rPr>
          <w:rFonts w:ascii="宋体" w:hAnsi="宋体" w:eastAsia="宋体" w:cs="宋体"/>
          <w:spacing w:val="-3"/>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3"/>
          <w:sz w:val="24"/>
          <w:szCs w:val="24"/>
        </w:rPr>
        <w:t>专业工程，</w:t>
      </w:r>
      <w:r>
        <w:rPr>
          <w:rFonts w:ascii="宋体" w:hAnsi="宋体" w:eastAsia="宋体" w:cs="宋体"/>
          <w:spacing w:val="-72"/>
          <w:sz w:val="24"/>
          <w:szCs w:val="24"/>
        </w:rPr>
        <w:t xml:space="preserve"> </w:t>
      </w:r>
      <w:r>
        <w:rPr>
          <w:rFonts w:ascii="宋体" w:hAnsi="宋体" w:eastAsia="宋体" w:cs="宋体"/>
          <w:spacing w:val="-3"/>
          <w:sz w:val="24"/>
          <w:szCs w:val="24"/>
        </w:rPr>
        <w:t>占</w:t>
      </w:r>
      <w:r>
        <w:rPr>
          <w:rFonts w:ascii="宋体" w:hAnsi="宋体" w:eastAsia="宋体" w:cs="宋体"/>
          <w:spacing w:val="-4"/>
          <w:sz w:val="24"/>
          <w:szCs w:val="24"/>
        </w:rPr>
        <w:t>总工程量的</w:t>
      </w:r>
      <w:r>
        <w:rPr>
          <w:rFonts w:ascii="宋体" w:hAnsi="宋体" w:eastAsia="宋体" w:cs="宋体"/>
          <w:spacing w:val="-4"/>
          <w:sz w:val="24"/>
          <w:szCs w:val="24"/>
          <w:u w:val="single" w:color="auto"/>
        </w:rPr>
        <w:t xml:space="preserve">  </w:t>
      </w:r>
      <w:r>
        <w:rPr>
          <w:rFonts w:ascii="宋体" w:hAnsi="宋体" w:eastAsia="宋体" w:cs="宋体"/>
          <w:spacing w:val="-4"/>
          <w:sz w:val="24"/>
          <w:szCs w:val="24"/>
        </w:rPr>
        <w:t>%；……。</w:t>
      </w:r>
    </w:p>
    <w:p w14:paraId="306D7E98">
      <w:pPr>
        <w:spacing w:before="1" w:line="307" w:lineRule="auto"/>
        <w:ind w:left="7" w:right="147" w:firstLine="605"/>
        <w:rPr>
          <w:rFonts w:ascii="宋体" w:hAnsi="宋体" w:eastAsia="宋体" w:cs="宋体"/>
          <w:sz w:val="24"/>
          <w:szCs w:val="24"/>
        </w:rPr>
      </w:pPr>
      <w:r>
        <w:rPr>
          <w:rFonts w:ascii="宋体" w:hAnsi="宋体" w:eastAsia="宋体" w:cs="宋体"/>
          <w:sz w:val="24"/>
          <w:szCs w:val="24"/>
        </w:rPr>
        <w:t>5.投标工作和联合体在中标后工程实施过程</w:t>
      </w:r>
      <w:r>
        <w:rPr>
          <w:rFonts w:ascii="宋体" w:hAnsi="宋体" w:eastAsia="宋体" w:cs="宋体"/>
          <w:spacing w:val="-1"/>
          <w:sz w:val="24"/>
          <w:szCs w:val="24"/>
        </w:rPr>
        <w:t>中的有关费用按各自承担的工作量分</w:t>
      </w:r>
      <w:r>
        <w:rPr>
          <w:rFonts w:ascii="宋体" w:hAnsi="宋体" w:eastAsia="宋体" w:cs="宋体"/>
          <w:spacing w:val="-5"/>
          <w:sz w:val="24"/>
          <w:szCs w:val="24"/>
        </w:rPr>
        <w:t>摊。</w:t>
      </w:r>
    </w:p>
    <w:p w14:paraId="2C466E71">
      <w:pPr>
        <w:spacing w:before="1" w:line="308" w:lineRule="auto"/>
        <w:ind w:left="10" w:right="80" w:firstLine="600"/>
        <w:rPr>
          <w:rFonts w:ascii="宋体" w:hAnsi="宋体" w:eastAsia="宋体" w:cs="宋体"/>
          <w:sz w:val="24"/>
          <w:szCs w:val="24"/>
        </w:rPr>
      </w:pPr>
      <w:r>
        <w:rPr>
          <w:rFonts w:ascii="宋体" w:hAnsi="宋体" w:eastAsia="宋体" w:cs="宋体"/>
          <w:spacing w:val="-1"/>
          <w:sz w:val="24"/>
          <w:szCs w:val="24"/>
        </w:rPr>
        <w:t>6.</w:t>
      </w:r>
      <w:r>
        <w:rPr>
          <w:rFonts w:ascii="宋体" w:hAnsi="宋体" w:eastAsia="宋体" w:cs="宋体"/>
          <w:spacing w:val="-30"/>
          <w:sz w:val="24"/>
          <w:szCs w:val="24"/>
        </w:rPr>
        <w:t xml:space="preserve"> </w:t>
      </w:r>
      <w:r>
        <w:rPr>
          <w:rFonts w:ascii="宋体" w:hAnsi="宋体" w:eastAsia="宋体" w:cs="宋体"/>
          <w:spacing w:val="-1"/>
          <w:sz w:val="24"/>
          <w:szCs w:val="24"/>
        </w:rPr>
        <w:t>本协议书自所有成员单位法定代表人签字并加盖单位章之日起生效，合同履行</w:t>
      </w:r>
      <w:r>
        <w:rPr>
          <w:rFonts w:ascii="宋体" w:hAnsi="宋体" w:eastAsia="宋体" w:cs="宋体"/>
          <w:spacing w:val="-2"/>
          <w:sz w:val="24"/>
          <w:szCs w:val="24"/>
        </w:rPr>
        <w:t>完毕后自动失效。</w:t>
      </w:r>
    </w:p>
    <w:p w14:paraId="25FF83A3">
      <w:pPr>
        <w:spacing w:before="1" w:line="218" w:lineRule="auto"/>
        <w:ind w:left="614"/>
        <w:rPr>
          <w:rFonts w:ascii="宋体" w:hAnsi="宋体" w:eastAsia="宋体" w:cs="宋体"/>
          <w:sz w:val="24"/>
          <w:szCs w:val="24"/>
        </w:rPr>
      </w:pPr>
      <w:r>
        <w:rPr>
          <w:rFonts w:ascii="宋体" w:hAnsi="宋体" w:eastAsia="宋体" w:cs="宋体"/>
          <w:spacing w:val="-1"/>
          <w:sz w:val="24"/>
          <w:szCs w:val="24"/>
        </w:rPr>
        <w:t>7.本协议书一式</w:t>
      </w:r>
      <w:r>
        <w:rPr>
          <w:rFonts w:ascii="宋体" w:hAnsi="宋体" w:eastAsia="宋体" w:cs="宋体"/>
          <w:spacing w:val="-1"/>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
          <w:sz w:val="24"/>
          <w:szCs w:val="24"/>
        </w:rPr>
        <w:t>份，联合体成员和招标人各执一份。</w:t>
      </w:r>
    </w:p>
    <w:p w14:paraId="52D03587">
      <w:pPr>
        <w:spacing w:line="252" w:lineRule="auto"/>
        <w:rPr>
          <w:rFonts w:ascii="Arial"/>
          <w:sz w:val="21"/>
        </w:rPr>
      </w:pPr>
    </w:p>
    <w:p w14:paraId="44F06B1B">
      <w:pPr>
        <w:spacing w:line="253" w:lineRule="auto"/>
        <w:rPr>
          <w:rFonts w:ascii="Arial"/>
          <w:sz w:val="21"/>
        </w:rPr>
      </w:pPr>
    </w:p>
    <w:p w14:paraId="66A80244">
      <w:pPr>
        <w:spacing w:before="78" w:line="219" w:lineRule="auto"/>
        <w:ind w:left="9"/>
        <w:rPr>
          <w:rFonts w:ascii="宋体" w:hAnsi="宋体" w:eastAsia="宋体" w:cs="宋体"/>
          <w:sz w:val="24"/>
          <w:szCs w:val="24"/>
        </w:rPr>
      </w:pPr>
      <w:r>
        <w:rPr>
          <w:rFonts w:ascii="宋体" w:hAnsi="宋体" w:eastAsia="宋体" w:cs="宋体"/>
          <w:spacing w:val="1"/>
          <w:sz w:val="24"/>
          <w:szCs w:val="24"/>
        </w:rPr>
        <w:t>联合体牵头人名称</w:t>
      </w:r>
      <w:r>
        <w:rPr>
          <w:rFonts w:ascii="宋体" w:hAnsi="宋体" w:eastAsia="宋体" w:cs="宋体"/>
          <w:spacing w:val="-13"/>
          <w:sz w:val="24"/>
          <w:szCs w:val="24"/>
        </w:rPr>
        <w:t>：</w:t>
      </w:r>
      <w:r>
        <w:rPr>
          <w:rFonts w:ascii="宋体" w:hAnsi="宋体" w:eastAsia="宋体" w:cs="宋体"/>
          <w:spacing w:val="5"/>
          <w:sz w:val="24"/>
          <w:szCs w:val="24"/>
          <w:u w:val="single" w:color="auto"/>
        </w:rPr>
        <w:t xml:space="preserve">                    </w:t>
      </w:r>
      <w:r>
        <w:rPr>
          <w:rFonts w:ascii="宋体" w:hAnsi="宋体" w:eastAsia="宋体" w:cs="宋体"/>
          <w:spacing w:val="4"/>
          <w:sz w:val="24"/>
          <w:szCs w:val="24"/>
          <w:u w:val="single" w:color="auto"/>
        </w:rPr>
        <w:t xml:space="preserve">     </w:t>
      </w:r>
      <w:r>
        <w:rPr>
          <w:rFonts w:ascii="宋体" w:hAnsi="宋体" w:eastAsia="宋体" w:cs="宋体"/>
          <w:spacing w:val="-13"/>
          <w:sz w:val="24"/>
          <w:szCs w:val="24"/>
        </w:rPr>
        <w:t>（</w:t>
      </w:r>
      <w:r>
        <w:rPr>
          <w:rFonts w:ascii="宋体" w:hAnsi="宋体" w:eastAsia="宋体" w:cs="宋体"/>
          <w:spacing w:val="1"/>
          <w:sz w:val="24"/>
          <w:szCs w:val="24"/>
        </w:rPr>
        <w:t>盖单位章）</w:t>
      </w:r>
    </w:p>
    <w:p w14:paraId="1947AB86">
      <w:pPr>
        <w:spacing w:before="156" w:line="219" w:lineRule="auto"/>
        <w:ind w:left="9"/>
        <w:rPr>
          <w:rFonts w:ascii="宋体" w:hAnsi="宋体" w:eastAsia="宋体" w:cs="宋体"/>
          <w:sz w:val="24"/>
          <w:szCs w:val="24"/>
        </w:rPr>
      </w:pPr>
      <w:r>
        <w:rPr>
          <w:rFonts w:ascii="宋体" w:hAnsi="宋体" w:eastAsia="宋体" w:cs="宋体"/>
          <w:spacing w:val="3"/>
          <w:sz w:val="24"/>
          <w:szCs w:val="24"/>
        </w:rPr>
        <w:t>法定代表人</w:t>
      </w:r>
      <w:r>
        <w:rPr>
          <w:rFonts w:ascii="宋体" w:hAnsi="宋体" w:eastAsia="宋体" w:cs="宋体"/>
          <w:spacing w:val="-18"/>
          <w:sz w:val="24"/>
          <w:szCs w:val="24"/>
        </w:rPr>
        <w:t>：</w:t>
      </w:r>
      <w:r>
        <w:rPr>
          <w:rFonts w:ascii="宋体" w:hAnsi="宋体" w:eastAsia="宋体" w:cs="宋体"/>
          <w:spacing w:val="4"/>
          <w:sz w:val="24"/>
          <w:szCs w:val="24"/>
          <w:u w:val="single" w:color="auto"/>
        </w:rPr>
        <w:t xml:space="preserve">                             </w:t>
      </w:r>
      <w:r>
        <w:rPr>
          <w:rFonts w:ascii="宋体" w:hAnsi="宋体" w:eastAsia="宋体" w:cs="宋体"/>
          <w:spacing w:val="-18"/>
          <w:sz w:val="24"/>
          <w:szCs w:val="24"/>
        </w:rPr>
        <w:t>（</w:t>
      </w:r>
      <w:r>
        <w:rPr>
          <w:rFonts w:ascii="宋体" w:hAnsi="宋体" w:eastAsia="宋体" w:cs="宋体"/>
          <w:spacing w:val="3"/>
          <w:sz w:val="24"/>
          <w:szCs w:val="24"/>
        </w:rPr>
        <w:t>签字）</w:t>
      </w:r>
    </w:p>
    <w:p w14:paraId="58EB9F73">
      <w:pPr>
        <w:spacing w:line="257" w:lineRule="auto"/>
        <w:rPr>
          <w:rFonts w:ascii="Arial"/>
          <w:sz w:val="21"/>
        </w:rPr>
      </w:pPr>
    </w:p>
    <w:p w14:paraId="1596A1C8">
      <w:pPr>
        <w:spacing w:line="257" w:lineRule="auto"/>
        <w:rPr>
          <w:rFonts w:ascii="Arial"/>
          <w:sz w:val="21"/>
        </w:rPr>
      </w:pPr>
    </w:p>
    <w:p w14:paraId="66203ECF">
      <w:pPr>
        <w:spacing w:before="78" w:line="219" w:lineRule="auto"/>
        <w:ind w:left="9"/>
        <w:rPr>
          <w:rFonts w:ascii="宋体" w:hAnsi="宋体" w:eastAsia="宋体" w:cs="宋体"/>
          <w:sz w:val="24"/>
          <w:szCs w:val="24"/>
        </w:rPr>
      </w:pPr>
      <w:r>
        <w:rPr>
          <w:rFonts w:ascii="宋体" w:hAnsi="宋体" w:eastAsia="宋体" w:cs="宋体"/>
          <w:spacing w:val="1"/>
          <w:sz w:val="24"/>
          <w:szCs w:val="24"/>
        </w:rPr>
        <w:t>联合体成员一名称</w:t>
      </w:r>
      <w:r>
        <w:rPr>
          <w:rFonts w:ascii="宋体" w:hAnsi="宋体" w:eastAsia="宋体" w:cs="宋体"/>
          <w:spacing w:val="-13"/>
          <w:sz w:val="24"/>
          <w:szCs w:val="24"/>
        </w:rPr>
        <w:t>：</w:t>
      </w:r>
      <w:r>
        <w:rPr>
          <w:rFonts w:ascii="宋体" w:hAnsi="宋体" w:eastAsia="宋体" w:cs="宋体"/>
          <w:sz w:val="24"/>
          <w:szCs w:val="24"/>
          <w:u w:val="single" w:color="auto"/>
        </w:rPr>
        <w:t xml:space="preserve">                           </w:t>
      </w:r>
      <w:r>
        <w:rPr>
          <w:rFonts w:ascii="宋体" w:hAnsi="宋体" w:eastAsia="宋体" w:cs="宋体"/>
          <w:spacing w:val="-13"/>
          <w:sz w:val="24"/>
          <w:szCs w:val="24"/>
        </w:rPr>
        <w:t>（</w:t>
      </w:r>
      <w:r>
        <w:rPr>
          <w:rFonts w:ascii="宋体" w:hAnsi="宋体" w:eastAsia="宋体" w:cs="宋体"/>
          <w:spacing w:val="1"/>
          <w:sz w:val="24"/>
          <w:szCs w:val="24"/>
        </w:rPr>
        <w:t>盖单位章）</w:t>
      </w:r>
    </w:p>
    <w:p w14:paraId="15148E42">
      <w:pPr>
        <w:spacing w:before="155" w:line="219" w:lineRule="auto"/>
        <w:ind w:left="9"/>
        <w:rPr>
          <w:rFonts w:ascii="宋体" w:hAnsi="宋体" w:eastAsia="宋体" w:cs="宋体"/>
          <w:sz w:val="24"/>
          <w:szCs w:val="24"/>
        </w:rPr>
      </w:pPr>
      <w:r>
        <w:rPr>
          <w:rFonts w:ascii="宋体" w:hAnsi="宋体" w:eastAsia="宋体" w:cs="宋体"/>
          <w:spacing w:val="3"/>
          <w:sz w:val="24"/>
          <w:szCs w:val="24"/>
        </w:rPr>
        <w:t>法定代表人</w:t>
      </w:r>
      <w:r>
        <w:rPr>
          <w:rFonts w:ascii="宋体" w:hAnsi="宋体" w:eastAsia="宋体" w:cs="宋体"/>
          <w:spacing w:val="-18"/>
          <w:sz w:val="24"/>
          <w:szCs w:val="24"/>
        </w:rPr>
        <w:t>：</w:t>
      </w:r>
      <w:r>
        <w:rPr>
          <w:rFonts w:ascii="宋体" w:hAnsi="宋体" w:eastAsia="宋体" w:cs="宋体"/>
          <w:spacing w:val="4"/>
          <w:sz w:val="24"/>
          <w:szCs w:val="24"/>
          <w:u w:val="single" w:color="auto"/>
        </w:rPr>
        <w:t xml:space="preserve">                              </w:t>
      </w:r>
      <w:r>
        <w:rPr>
          <w:rFonts w:ascii="宋体" w:hAnsi="宋体" w:eastAsia="宋体" w:cs="宋体"/>
          <w:spacing w:val="-18"/>
          <w:sz w:val="24"/>
          <w:szCs w:val="24"/>
        </w:rPr>
        <w:t>（</w:t>
      </w:r>
      <w:r>
        <w:rPr>
          <w:rFonts w:ascii="宋体" w:hAnsi="宋体" w:eastAsia="宋体" w:cs="宋体"/>
          <w:spacing w:val="3"/>
          <w:sz w:val="24"/>
          <w:szCs w:val="24"/>
        </w:rPr>
        <w:t>签字）</w:t>
      </w:r>
    </w:p>
    <w:p w14:paraId="3F174473">
      <w:pPr>
        <w:spacing w:line="257" w:lineRule="auto"/>
        <w:rPr>
          <w:rFonts w:ascii="Arial"/>
          <w:sz w:val="21"/>
        </w:rPr>
      </w:pPr>
    </w:p>
    <w:p w14:paraId="7EA1F2FE">
      <w:pPr>
        <w:spacing w:line="257" w:lineRule="auto"/>
        <w:rPr>
          <w:rFonts w:ascii="Arial"/>
          <w:sz w:val="21"/>
        </w:rPr>
      </w:pPr>
    </w:p>
    <w:p w14:paraId="50273FC0">
      <w:pPr>
        <w:spacing w:before="78" w:line="219" w:lineRule="auto"/>
        <w:ind w:left="9"/>
        <w:rPr>
          <w:rFonts w:ascii="宋体" w:hAnsi="宋体" w:eastAsia="宋体" w:cs="宋体"/>
          <w:sz w:val="24"/>
          <w:szCs w:val="24"/>
        </w:rPr>
      </w:pPr>
      <w:r>
        <w:rPr>
          <w:rFonts w:ascii="宋体" w:hAnsi="宋体" w:eastAsia="宋体" w:cs="宋体"/>
          <w:spacing w:val="1"/>
          <w:sz w:val="24"/>
          <w:szCs w:val="24"/>
        </w:rPr>
        <w:t>联合体成员二名称</w:t>
      </w:r>
      <w:r>
        <w:rPr>
          <w:rFonts w:ascii="宋体" w:hAnsi="宋体" w:eastAsia="宋体" w:cs="宋体"/>
          <w:spacing w:val="-13"/>
          <w:sz w:val="24"/>
          <w:szCs w:val="24"/>
        </w:rPr>
        <w:t>：</w:t>
      </w:r>
      <w:r>
        <w:rPr>
          <w:rFonts w:ascii="宋体" w:hAnsi="宋体" w:eastAsia="宋体" w:cs="宋体"/>
          <w:sz w:val="24"/>
          <w:szCs w:val="24"/>
          <w:u w:val="single" w:color="auto"/>
        </w:rPr>
        <w:t xml:space="preserve">                            </w:t>
      </w:r>
      <w:r>
        <w:rPr>
          <w:rFonts w:ascii="宋体" w:hAnsi="宋体" w:eastAsia="宋体" w:cs="宋体"/>
          <w:spacing w:val="-13"/>
          <w:sz w:val="24"/>
          <w:szCs w:val="24"/>
        </w:rPr>
        <w:t>（</w:t>
      </w:r>
      <w:r>
        <w:rPr>
          <w:rFonts w:ascii="宋体" w:hAnsi="宋体" w:eastAsia="宋体" w:cs="宋体"/>
          <w:spacing w:val="1"/>
          <w:sz w:val="24"/>
          <w:szCs w:val="24"/>
        </w:rPr>
        <w:t>盖单位章）</w:t>
      </w:r>
    </w:p>
    <w:p w14:paraId="277CC4A6">
      <w:pPr>
        <w:spacing w:before="155" w:line="339" w:lineRule="auto"/>
        <w:ind w:left="23" w:right="3048" w:hanging="14"/>
        <w:rPr>
          <w:rFonts w:ascii="宋体" w:hAnsi="宋体" w:eastAsia="宋体" w:cs="宋体"/>
          <w:sz w:val="24"/>
          <w:szCs w:val="24"/>
        </w:rPr>
      </w:pPr>
      <w:r>
        <w:rPr>
          <w:rFonts w:ascii="宋体" w:hAnsi="宋体" w:eastAsia="宋体" w:cs="宋体"/>
          <w:sz w:val="24"/>
          <w:szCs w:val="24"/>
        </w:rPr>
        <w:t>法定代表人</w:t>
      </w:r>
      <w:r>
        <w:rPr>
          <w:rFonts w:ascii="宋体" w:hAnsi="宋体" w:eastAsia="宋体" w:cs="宋体"/>
          <w:spacing w:val="-17"/>
          <w:sz w:val="24"/>
          <w:szCs w:val="24"/>
        </w:rPr>
        <w:t>：</w:t>
      </w:r>
      <w:r>
        <w:rPr>
          <w:rFonts w:ascii="宋体" w:hAnsi="宋体" w:eastAsia="宋体" w:cs="宋体"/>
          <w:spacing w:val="4"/>
          <w:sz w:val="24"/>
          <w:szCs w:val="24"/>
          <w:u w:val="single" w:color="auto"/>
        </w:rPr>
        <w:t xml:space="preserve">                              </w:t>
      </w:r>
      <w:r>
        <w:rPr>
          <w:rFonts w:ascii="宋体" w:hAnsi="宋体" w:eastAsia="宋体" w:cs="宋体"/>
          <w:spacing w:val="-17"/>
          <w:sz w:val="24"/>
          <w:szCs w:val="24"/>
        </w:rPr>
        <w:t>（</w:t>
      </w:r>
      <w:r>
        <w:rPr>
          <w:rFonts w:ascii="宋体" w:hAnsi="宋体" w:eastAsia="宋体" w:cs="宋体"/>
          <w:sz w:val="24"/>
          <w:szCs w:val="24"/>
        </w:rPr>
        <w:t>签字）</w:t>
      </w:r>
      <w:r>
        <w:rPr>
          <w:rFonts w:ascii="宋体" w:hAnsi="宋体" w:eastAsia="宋体" w:cs="宋体"/>
          <w:spacing w:val="1"/>
          <w:sz w:val="24"/>
          <w:szCs w:val="24"/>
        </w:rPr>
        <w:t xml:space="preserve"> </w:t>
      </w:r>
      <w:r>
        <w:rPr>
          <w:rFonts w:ascii="宋体" w:hAnsi="宋体" w:eastAsia="宋体" w:cs="宋体"/>
          <w:spacing w:val="-13"/>
          <w:sz w:val="24"/>
          <w:szCs w:val="24"/>
        </w:rPr>
        <w:t>……</w:t>
      </w:r>
    </w:p>
    <w:p w14:paraId="6BCBBB46">
      <w:pPr>
        <w:tabs>
          <w:tab w:val="left" w:pos="5637"/>
        </w:tabs>
        <w:spacing w:line="219" w:lineRule="auto"/>
        <w:ind w:left="491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78A30575">
      <w:pPr>
        <w:spacing w:line="463" w:lineRule="auto"/>
        <w:rPr>
          <w:rFonts w:hint="eastAsia" w:ascii="Arial" w:eastAsia="宋体"/>
          <w:sz w:val="21"/>
          <w:lang w:eastAsia="zh-CN"/>
        </w:rPr>
      </w:pPr>
      <w:r>
        <w:rPr>
          <w:rFonts w:hint="eastAsia" w:ascii="Arial" w:eastAsia="宋体"/>
          <w:sz w:val="21"/>
          <w:lang w:eastAsia="zh-CN"/>
        </w:rPr>
        <w:br w:type="page"/>
      </w:r>
    </w:p>
    <w:p w14:paraId="2CA86142">
      <w:pPr>
        <w:spacing w:before="91" w:line="221" w:lineRule="auto"/>
        <w:ind w:left="3586"/>
        <w:rPr>
          <w:rFonts w:ascii="宋体" w:hAnsi="宋体" w:eastAsia="宋体" w:cs="宋体"/>
          <w:sz w:val="28"/>
          <w:szCs w:val="28"/>
        </w:rPr>
      </w:pPr>
      <w:r>
        <w:rPr>
          <w:rFonts w:ascii="宋体" w:hAnsi="宋体" w:eastAsia="宋体" w:cs="宋体"/>
          <w:b/>
          <w:bCs/>
          <w:spacing w:val="-8"/>
          <w:sz w:val="28"/>
          <w:szCs w:val="28"/>
        </w:rPr>
        <w:t>四、投标保证金</w:t>
      </w:r>
    </w:p>
    <w:p w14:paraId="0E198FBF">
      <w:pPr>
        <w:spacing w:before="261" w:line="219" w:lineRule="auto"/>
        <w:ind w:left="490"/>
        <w:rPr>
          <w:rFonts w:ascii="宋体" w:hAnsi="宋体" w:eastAsia="宋体" w:cs="宋体"/>
          <w:sz w:val="24"/>
          <w:szCs w:val="24"/>
        </w:rPr>
      </w:pPr>
      <w:r>
        <w:rPr>
          <w:rFonts w:ascii="宋体" w:hAnsi="宋体" w:eastAsia="宋体" w:cs="宋体"/>
          <w:spacing w:val="-1"/>
          <w:sz w:val="24"/>
          <w:szCs w:val="24"/>
        </w:rPr>
        <w:t>若采用现金或支票，投标人应在此提供汇款凭证的扫描件。</w:t>
      </w:r>
    </w:p>
    <w:p w14:paraId="31755D5D">
      <w:pPr>
        <w:spacing w:before="184" w:line="358" w:lineRule="auto"/>
        <w:ind w:left="13" w:firstLine="480"/>
        <w:rPr>
          <w:rFonts w:ascii="宋体" w:hAnsi="宋体" w:eastAsia="宋体" w:cs="宋体"/>
          <w:sz w:val="24"/>
          <w:szCs w:val="24"/>
        </w:rPr>
      </w:pPr>
      <w:r>
        <w:rPr>
          <w:rFonts w:ascii="宋体" w:hAnsi="宋体" w:eastAsia="宋体" w:cs="宋体"/>
          <w:spacing w:val="-2"/>
          <w:sz w:val="24"/>
          <w:szCs w:val="24"/>
        </w:rPr>
        <w:t>如采用银行保函，银行保函扫描件附在在投标文件中（原件单独密封递交</w:t>
      </w:r>
      <w:r>
        <w:rPr>
          <w:rFonts w:ascii="宋体" w:hAnsi="宋体" w:eastAsia="宋体" w:cs="宋体"/>
          <w:sz w:val="24"/>
          <w:szCs w:val="24"/>
        </w:rPr>
        <w:t>），</w:t>
      </w:r>
      <w:r>
        <w:rPr>
          <w:rFonts w:ascii="宋体" w:hAnsi="宋体" w:eastAsia="宋体" w:cs="宋体"/>
          <w:spacing w:val="-2"/>
          <w:sz w:val="24"/>
          <w:szCs w:val="24"/>
        </w:rPr>
        <w:t>格式</w:t>
      </w:r>
      <w:r>
        <w:rPr>
          <w:rFonts w:ascii="宋体" w:hAnsi="宋体" w:eastAsia="宋体" w:cs="宋体"/>
          <w:spacing w:val="-5"/>
          <w:sz w:val="24"/>
          <w:szCs w:val="24"/>
        </w:rPr>
        <w:t>如下。</w:t>
      </w:r>
    </w:p>
    <w:p w14:paraId="5D51260E">
      <w:pPr>
        <w:spacing w:line="218" w:lineRule="auto"/>
        <w:ind w:left="493"/>
        <w:rPr>
          <w:rFonts w:ascii="宋体" w:hAnsi="宋体" w:eastAsia="宋体" w:cs="宋体"/>
          <w:sz w:val="24"/>
          <w:szCs w:val="24"/>
        </w:rPr>
      </w:pPr>
      <w:r>
        <w:rPr>
          <w:rFonts w:ascii="宋体" w:hAnsi="宋体" w:eastAsia="宋体" w:cs="宋体"/>
          <w:spacing w:val="-2"/>
          <w:sz w:val="24"/>
          <w:szCs w:val="24"/>
        </w:rPr>
        <w:t>如采用其他形式提交，应满足须知前附表</w:t>
      </w:r>
      <w:r>
        <w:rPr>
          <w:rFonts w:ascii="宋体" w:hAnsi="宋体" w:eastAsia="宋体" w:cs="宋体"/>
          <w:spacing w:val="-32"/>
          <w:sz w:val="24"/>
          <w:szCs w:val="24"/>
        </w:rPr>
        <w:t xml:space="preserve"> </w:t>
      </w:r>
      <w:r>
        <w:rPr>
          <w:rFonts w:ascii="宋体" w:hAnsi="宋体" w:eastAsia="宋体" w:cs="宋体"/>
          <w:spacing w:val="-2"/>
          <w:sz w:val="24"/>
          <w:szCs w:val="24"/>
        </w:rPr>
        <w:t>3.4.1</w:t>
      </w:r>
      <w:r>
        <w:rPr>
          <w:rFonts w:ascii="宋体" w:hAnsi="宋体" w:eastAsia="宋体" w:cs="宋体"/>
          <w:spacing w:val="-47"/>
          <w:sz w:val="24"/>
          <w:szCs w:val="24"/>
        </w:rPr>
        <w:t xml:space="preserve"> </w:t>
      </w:r>
      <w:r>
        <w:rPr>
          <w:rFonts w:ascii="宋体" w:hAnsi="宋体" w:eastAsia="宋体" w:cs="宋体"/>
          <w:spacing w:val="-2"/>
          <w:sz w:val="24"/>
          <w:szCs w:val="24"/>
        </w:rPr>
        <w:t>项的规定。</w:t>
      </w:r>
    </w:p>
    <w:p w14:paraId="572909F2">
      <w:pPr>
        <w:spacing w:line="372" w:lineRule="auto"/>
        <w:rPr>
          <w:rFonts w:ascii="Arial"/>
          <w:sz w:val="21"/>
        </w:rPr>
      </w:pPr>
    </w:p>
    <w:p w14:paraId="3A57495B">
      <w:pPr>
        <w:spacing w:before="91" w:line="220" w:lineRule="auto"/>
        <w:ind w:left="3422"/>
        <w:rPr>
          <w:rFonts w:ascii="宋体" w:hAnsi="宋体" w:eastAsia="宋体" w:cs="宋体"/>
          <w:sz w:val="28"/>
          <w:szCs w:val="28"/>
        </w:rPr>
      </w:pPr>
      <w:r>
        <w:rPr>
          <w:rFonts w:ascii="宋体" w:hAnsi="宋体" w:eastAsia="宋体" w:cs="宋体"/>
          <w:b/>
          <w:bCs/>
          <w:spacing w:val="-4"/>
          <w:sz w:val="28"/>
          <w:szCs w:val="28"/>
        </w:rPr>
        <w:t>投标银行保函格式</w:t>
      </w:r>
    </w:p>
    <w:p w14:paraId="403914BB">
      <w:pPr>
        <w:tabs>
          <w:tab w:val="left" w:pos="1920"/>
        </w:tabs>
        <w:spacing w:before="205" w:line="220"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（招标人名称）：</w:t>
      </w:r>
    </w:p>
    <w:p w14:paraId="09012F2F">
      <w:pPr>
        <w:spacing w:before="182" w:line="359" w:lineRule="auto"/>
        <w:ind w:left="8" w:firstLine="483"/>
        <w:jc w:val="both"/>
        <w:rPr>
          <w:rFonts w:ascii="宋体" w:hAnsi="宋体" w:eastAsia="宋体" w:cs="宋体"/>
          <w:sz w:val="24"/>
          <w:szCs w:val="24"/>
        </w:rPr>
      </w:pPr>
      <w:r>
        <w:rPr>
          <w:rFonts w:ascii="宋体" w:hAnsi="宋体" w:eastAsia="宋体" w:cs="宋体"/>
          <w:spacing w:val="-2"/>
          <w:sz w:val="24"/>
          <w:szCs w:val="24"/>
        </w:rPr>
        <w:t>鉴于</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（投标人名称</w:t>
      </w:r>
      <w:r>
        <w:rPr>
          <w:rFonts w:ascii="宋体" w:hAnsi="宋体" w:eastAsia="宋体" w:cs="宋体"/>
          <w:spacing w:val="-15"/>
          <w:sz w:val="24"/>
          <w:szCs w:val="24"/>
        </w:rPr>
        <w:t>）（</w:t>
      </w:r>
      <w:r>
        <w:rPr>
          <w:rFonts w:ascii="宋体" w:hAnsi="宋体" w:eastAsia="宋体" w:cs="宋体"/>
          <w:spacing w:val="-2"/>
          <w:sz w:val="24"/>
          <w:szCs w:val="24"/>
        </w:rPr>
        <w:t>以下称“投标人</w:t>
      </w:r>
      <w:r>
        <w:rPr>
          <w:rFonts w:ascii="宋体" w:hAnsi="宋体" w:eastAsia="宋体" w:cs="宋体"/>
          <w:spacing w:val="-88"/>
          <w:sz w:val="24"/>
          <w:szCs w:val="24"/>
        </w:rPr>
        <w:t xml:space="preserve"> </w:t>
      </w:r>
      <w:r>
        <w:rPr>
          <w:rFonts w:ascii="宋体" w:hAnsi="宋体" w:eastAsia="宋体" w:cs="宋体"/>
          <w:spacing w:val="-2"/>
          <w:sz w:val="24"/>
          <w:szCs w:val="24"/>
        </w:rPr>
        <w:t>”）于</w:t>
      </w:r>
      <w:r>
        <w:rPr>
          <w:rFonts w:ascii="宋体" w:hAnsi="宋体" w:eastAsia="宋体" w:cs="宋体"/>
          <w:spacing w:val="-2"/>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2"/>
          <w:sz w:val="24"/>
          <w:szCs w:val="24"/>
        </w:rPr>
        <w:t>年</w:t>
      </w:r>
      <w:r>
        <w:rPr>
          <w:rFonts w:ascii="宋体" w:hAnsi="宋体" w:eastAsia="宋体" w:cs="宋体"/>
          <w:spacing w:val="-2"/>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2"/>
          <w:sz w:val="24"/>
          <w:szCs w:val="24"/>
        </w:rPr>
        <w:t>月</w:t>
      </w:r>
      <w:r>
        <w:rPr>
          <w:rFonts w:ascii="宋体" w:hAnsi="宋体" w:eastAsia="宋体" w:cs="宋体"/>
          <w:spacing w:val="-2"/>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2"/>
          <w:sz w:val="24"/>
          <w:szCs w:val="24"/>
        </w:rPr>
        <w:t>日</w:t>
      </w:r>
      <w:r>
        <w:rPr>
          <w:rFonts w:ascii="宋体" w:hAnsi="宋体" w:eastAsia="宋体" w:cs="宋体"/>
          <w:spacing w:val="4"/>
          <w:sz w:val="24"/>
          <w:szCs w:val="24"/>
        </w:rPr>
        <w:t>参加</w:t>
      </w:r>
      <w:r>
        <w:rPr>
          <w:rFonts w:ascii="宋体" w:hAnsi="宋体" w:eastAsia="宋体" w:cs="宋体"/>
          <w:spacing w:val="11"/>
          <w:sz w:val="24"/>
          <w:szCs w:val="24"/>
          <w:u w:val="single" w:color="auto"/>
        </w:rPr>
        <w:t xml:space="preserve">           </w:t>
      </w:r>
      <w:r>
        <w:rPr>
          <w:rFonts w:ascii="宋体" w:hAnsi="宋体" w:eastAsia="宋体" w:cs="宋体"/>
          <w:spacing w:val="4"/>
          <w:sz w:val="24"/>
          <w:szCs w:val="24"/>
          <w:u w:val="single" w:color="auto"/>
        </w:rPr>
        <w:t>（项目名称</w:t>
      </w:r>
      <w:r>
        <w:rPr>
          <w:rFonts w:ascii="宋体" w:hAnsi="宋体" w:eastAsia="宋体" w:cs="宋体"/>
          <w:spacing w:val="-22"/>
          <w:sz w:val="24"/>
          <w:szCs w:val="24"/>
          <w:u w:val="single" w:color="auto"/>
        </w:rPr>
        <w:t>）</w:t>
      </w:r>
      <w:r>
        <w:rPr>
          <w:rFonts w:ascii="宋体" w:hAnsi="宋体" w:eastAsia="宋体" w:cs="宋体"/>
          <w:spacing w:val="40"/>
          <w:sz w:val="24"/>
          <w:szCs w:val="24"/>
          <w:u w:val="single" w:color="auto"/>
        </w:rPr>
        <w:t xml:space="preserve">   </w:t>
      </w:r>
      <w:r>
        <w:rPr>
          <w:rFonts w:ascii="宋体" w:hAnsi="宋体" w:eastAsia="宋体" w:cs="宋体"/>
          <w:spacing w:val="-22"/>
          <w:sz w:val="24"/>
          <w:szCs w:val="24"/>
          <w:u w:val="single" w:color="auto"/>
        </w:rPr>
        <w:t>（</w:t>
      </w:r>
      <w:r>
        <w:rPr>
          <w:rFonts w:ascii="宋体" w:hAnsi="宋体" w:eastAsia="宋体" w:cs="宋体"/>
          <w:spacing w:val="4"/>
          <w:sz w:val="24"/>
          <w:szCs w:val="24"/>
          <w:u w:val="single" w:color="auto"/>
        </w:rPr>
        <w:t>标类或标段）</w:t>
      </w:r>
      <w:r>
        <w:rPr>
          <w:rFonts w:ascii="宋体" w:hAnsi="宋体" w:eastAsia="宋体" w:cs="宋体"/>
          <w:spacing w:val="4"/>
          <w:sz w:val="24"/>
          <w:szCs w:val="24"/>
        </w:rPr>
        <w:t>施工的投标</w:t>
      </w:r>
      <w:r>
        <w:rPr>
          <w:rFonts w:ascii="宋体" w:hAnsi="宋体" w:eastAsia="宋体" w:cs="宋体"/>
          <w:spacing w:val="-22"/>
          <w:sz w:val="24"/>
          <w:szCs w:val="24"/>
        </w:rPr>
        <w:t>，</w:t>
      </w:r>
      <w:r>
        <w:rPr>
          <w:rFonts w:ascii="宋体" w:hAnsi="宋体" w:eastAsia="宋体" w:cs="宋体"/>
          <w:sz w:val="24"/>
          <w:szCs w:val="24"/>
          <w:u w:val="single" w:color="auto"/>
        </w:rPr>
        <w:t xml:space="preserve">             </w:t>
      </w:r>
      <w:r>
        <w:rPr>
          <w:rFonts w:ascii="宋体" w:hAnsi="宋体" w:eastAsia="宋体" w:cs="宋体"/>
          <w:spacing w:val="-22"/>
          <w:sz w:val="24"/>
          <w:szCs w:val="24"/>
        </w:rPr>
        <w:t>（</w:t>
      </w:r>
      <w:r>
        <w:rPr>
          <w:rFonts w:ascii="宋体" w:hAnsi="宋体" w:eastAsia="宋体" w:cs="宋体"/>
          <w:spacing w:val="4"/>
          <w:sz w:val="24"/>
          <w:szCs w:val="24"/>
        </w:rPr>
        <w:t>担</w:t>
      </w:r>
      <w:r>
        <w:rPr>
          <w:rFonts w:ascii="宋体" w:hAnsi="宋体" w:eastAsia="宋体" w:cs="宋体"/>
          <w:spacing w:val="-2"/>
          <w:sz w:val="24"/>
          <w:szCs w:val="24"/>
        </w:rPr>
        <w:t>保人名称，以下简称“我方</w:t>
      </w:r>
      <w:r>
        <w:rPr>
          <w:rFonts w:ascii="宋体" w:hAnsi="宋体" w:eastAsia="宋体" w:cs="宋体"/>
          <w:spacing w:val="-88"/>
          <w:sz w:val="24"/>
          <w:szCs w:val="24"/>
        </w:rPr>
        <w:t xml:space="preserve"> </w:t>
      </w:r>
      <w:r>
        <w:rPr>
          <w:rFonts w:ascii="宋体" w:hAnsi="宋体" w:eastAsia="宋体" w:cs="宋体"/>
          <w:spacing w:val="-2"/>
          <w:sz w:val="24"/>
          <w:szCs w:val="24"/>
        </w:rPr>
        <w:t>”）无条件地、</w:t>
      </w:r>
      <w:r>
        <w:rPr>
          <w:rFonts w:ascii="宋体" w:hAnsi="宋体" w:eastAsia="宋体" w:cs="宋体"/>
          <w:spacing w:val="-3"/>
          <w:sz w:val="24"/>
          <w:szCs w:val="24"/>
        </w:rPr>
        <w:t>不可撤销地保证：若投标人在投标有效期内</w:t>
      </w:r>
      <w:r>
        <w:rPr>
          <w:rFonts w:ascii="宋体" w:hAnsi="宋体" w:eastAsia="宋体" w:cs="宋体"/>
          <w:spacing w:val="-2"/>
          <w:sz w:val="24"/>
          <w:szCs w:val="24"/>
        </w:rPr>
        <w:t>撤销投标文件，中标后无正当理由不与招标人订立合同，在签订合同时向招标人提出附加条件，不按照招标文件要求提交履约保证金，或者发生招标文件明确规定可以不予退还投标 保证金的其他情形，我方承担保证责任。收到你方书面通知后，</w:t>
      </w:r>
      <w:r>
        <w:rPr>
          <w:rFonts w:ascii="宋体" w:hAnsi="宋体" w:eastAsia="宋体" w:cs="宋体"/>
          <w:spacing w:val="-3"/>
          <w:sz w:val="24"/>
          <w:szCs w:val="24"/>
        </w:rPr>
        <w:t>我方在</w:t>
      </w:r>
      <w:r>
        <w:rPr>
          <w:rFonts w:ascii="宋体" w:hAnsi="宋体" w:eastAsia="宋体" w:cs="宋体"/>
          <w:spacing w:val="-45"/>
          <w:sz w:val="24"/>
          <w:szCs w:val="24"/>
        </w:rPr>
        <w:t xml:space="preserve"> </w:t>
      </w:r>
      <w:r>
        <w:rPr>
          <w:rFonts w:ascii="宋体" w:hAnsi="宋体" w:eastAsia="宋体" w:cs="宋体"/>
          <w:spacing w:val="-3"/>
          <w:sz w:val="24"/>
          <w:szCs w:val="24"/>
        </w:rPr>
        <w:t>7 日内</w:t>
      </w:r>
      <w:r>
        <w:rPr>
          <w:rFonts w:ascii="宋体" w:hAnsi="宋体" w:eastAsia="宋体" w:cs="宋体"/>
          <w:spacing w:val="-1"/>
          <w:sz w:val="24"/>
          <w:szCs w:val="24"/>
        </w:rPr>
        <w:t>向你方无条件支付人民币（大写）</w:t>
      </w:r>
      <w:r>
        <w:rPr>
          <w:rFonts w:ascii="宋体" w:hAnsi="宋体" w:eastAsia="宋体" w:cs="宋体"/>
          <w:spacing w:val="-1"/>
          <w:sz w:val="24"/>
          <w:szCs w:val="24"/>
          <w:u w:val="single" w:color="auto"/>
        </w:rPr>
        <w:t xml:space="preserve">             </w:t>
      </w:r>
      <w:r>
        <w:rPr>
          <w:rFonts w:ascii="宋体" w:hAnsi="宋体" w:eastAsia="宋体" w:cs="宋体"/>
          <w:spacing w:val="-100"/>
          <w:sz w:val="24"/>
          <w:szCs w:val="24"/>
        </w:rPr>
        <w:t xml:space="preserve"> </w:t>
      </w:r>
      <w:r>
        <w:rPr>
          <w:rFonts w:ascii="宋体" w:hAnsi="宋体" w:eastAsia="宋体" w:cs="宋体"/>
          <w:spacing w:val="-1"/>
          <w:sz w:val="24"/>
          <w:szCs w:val="24"/>
        </w:rPr>
        <w:t>元。</w:t>
      </w:r>
    </w:p>
    <w:p w14:paraId="4950C3A0">
      <w:pPr>
        <w:spacing w:line="362" w:lineRule="auto"/>
        <w:ind w:left="9" w:firstLine="480"/>
        <w:rPr>
          <w:rFonts w:ascii="宋体" w:hAnsi="宋体" w:eastAsia="宋体" w:cs="宋体"/>
          <w:sz w:val="24"/>
          <w:szCs w:val="24"/>
        </w:rPr>
      </w:pPr>
      <w:r>
        <w:rPr>
          <w:rFonts w:ascii="宋体" w:hAnsi="宋体" w:eastAsia="宋体" w:cs="宋体"/>
          <w:spacing w:val="-2"/>
          <w:sz w:val="24"/>
          <w:szCs w:val="24"/>
        </w:rPr>
        <w:t>本保函在投标有效期或经延长的投标有效期内保持有效。要求我方承担保证责任的</w:t>
      </w:r>
      <w:r>
        <w:rPr>
          <w:rFonts w:ascii="宋体" w:hAnsi="宋体" w:eastAsia="宋体" w:cs="宋体"/>
          <w:sz w:val="24"/>
          <w:szCs w:val="24"/>
        </w:rPr>
        <w:t>通知应在上述期限内送达我方。你方延长投标有效</w:t>
      </w:r>
      <w:r>
        <w:rPr>
          <w:rFonts w:ascii="宋体" w:hAnsi="宋体" w:eastAsia="宋体" w:cs="宋体"/>
          <w:spacing w:val="-1"/>
          <w:sz w:val="24"/>
          <w:szCs w:val="24"/>
        </w:rPr>
        <w:t>期的决定，应通知我方。</w:t>
      </w:r>
    </w:p>
    <w:p w14:paraId="245A123B">
      <w:pPr>
        <w:spacing w:before="303" w:line="219" w:lineRule="auto"/>
        <w:ind w:left="2530"/>
        <w:rPr>
          <w:rFonts w:ascii="宋体" w:hAnsi="宋体" w:eastAsia="宋体" w:cs="宋体"/>
          <w:sz w:val="24"/>
          <w:szCs w:val="24"/>
        </w:rPr>
      </w:pPr>
      <w:r>
        <w:rPr>
          <w:rFonts w:ascii="宋体" w:hAnsi="宋体" w:eastAsia="宋体" w:cs="宋体"/>
          <w:spacing w:val="2"/>
          <w:sz w:val="24"/>
          <w:szCs w:val="24"/>
        </w:rPr>
        <w:t>担保人名称</w:t>
      </w:r>
      <w:r>
        <w:rPr>
          <w:rFonts w:ascii="宋体" w:hAnsi="宋体" w:eastAsia="宋体" w:cs="宋体"/>
          <w:spacing w:val="-16"/>
          <w:sz w:val="24"/>
          <w:szCs w:val="24"/>
        </w:rPr>
        <w:t>：</w:t>
      </w:r>
      <w:r>
        <w:rPr>
          <w:rFonts w:ascii="宋体" w:hAnsi="宋体" w:eastAsia="宋体" w:cs="宋体"/>
          <w:sz w:val="24"/>
          <w:szCs w:val="24"/>
          <w:u w:val="single" w:color="auto"/>
        </w:rPr>
        <w:t xml:space="preserve">                          </w:t>
      </w:r>
      <w:r>
        <w:rPr>
          <w:rFonts w:ascii="宋体" w:hAnsi="宋体" w:eastAsia="宋体" w:cs="宋体"/>
          <w:spacing w:val="-16"/>
          <w:sz w:val="24"/>
          <w:szCs w:val="24"/>
        </w:rPr>
        <w:t>（</w:t>
      </w:r>
      <w:r>
        <w:rPr>
          <w:rFonts w:ascii="宋体" w:hAnsi="宋体" w:eastAsia="宋体" w:cs="宋体"/>
          <w:spacing w:val="2"/>
          <w:sz w:val="24"/>
          <w:szCs w:val="24"/>
        </w:rPr>
        <w:t>盖单位章）</w:t>
      </w:r>
    </w:p>
    <w:p w14:paraId="05003CCF">
      <w:pPr>
        <w:spacing w:before="185" w:line="219" w:lineRule="auto"/>
        <w:ind w:left="2530"/>
        <w:rPr>
          <w:rFonts w:ascii="宋体" w:hAnsi="宋体" w:eastAsia="宋体" w:cs="宋体"/>
          <w:sz w:val="24"/>
          <w:szCs w:val="24"/>
        </w:rPr>
      </w:pPr>
      <w:r>
        <w:rPr>
          <w:rFonts w:ascii="宋体" w:hAnsi="宋体" w:eastAsia="宋体" w:cs="宋体"/>
          <w:spacing w:val="1"/>
          <w:sz w:val="24"/>
          <w:szCs w:val="24"/>
        </w:rPr>
        <w:t>法定代表人或其委托代理人</w:t>
      </w:r>
      <w:r>
        <w:rPr>
          <w:rFonts w:ascii="宋体" w:hAnsi="宋体" w:eastAsia="宋体" w:cs="宋体"/>
          <w:spacing w:val="-14"/>
          <w:sz w:val="24"/>
          <w:szCs w:val="24"/>
        </w:rPr>
        <w:t>：</w:t>
      </w:r>
      <w:r>
        <w:rPr>
          <w:rFonts w:ascii="宋体" w:hAnsi="宋体" w:eastAsia="宋体" w:cs="宋体"/>
          <w:sz w:val="24"/>
          <w:szCs w:val="24"/>
          <w:u w:val="single" w:color="auto"/>
        </w:rPr>
        <w:t xml:space="preserve">                </w:t>
      </w:r>
      <w:r>
        <w:rPr>
          <w:rFonts w:ascii="宋体" w:hAnsi="宋体" w:eastAsia="宋体" w:cs="宋体"/>
          <w:spacing w:val="-14"/>
          <w:sz w:val="24"/>
          <w:szCs w:val="24"/>
        </w:rPr>
        <w:t>（</w:t>
      </w:r>
      <w:r>
        <w:rPr>
          <w:rFonts w:ascii="宋体" w:hAnsi="宋体" w:eastAsia="宋体" w:cs="宋体"/>
          <w:spacing w:val="1"/>
          <w:sz w:val="24"/>
          <w:szCs w:val="24"/>
        </w:rPr>
        <w:t>签字）</w:t>
      </w:r>
    </w:p>
    <w:p w14:paraId="662033C5">
      <w:pPr>
        <w:spacing w:before="180" w:line="229" w:lineRule="auto"/>
        <w:ind w:left="2529"/>
        <w:rPr>
          <w:rFonts w:ascii="宋体" w:hAnsi="宋体" w:eastAsia="宋体" w:cs="宋体"/>
          <w:sz w:val="24"/>
          <w:szCs w:val="24"/>
        </w:rPr>
      </w:pPr>
      <w:r>
        <w:rPr>
          <w:rFonts w:ascii="宋体" w:hAnsi="宋体" w:eastAsia="宋体" w:cs="宋体"/>
          <w:spacing w:val="-9"/>
          <w:sz w:val="24"/>
          <w:szCs w:val="24"/>
        </w:rPr>
        <w:t>地</w:t>
      </w:r>
      <w:r>
        <w:rPr>
          <w:rFonts w:ascii="宋体" w:hAnsi="宋体" w:eastAsia="宋体" w:cs="宋体"/>
          <w:spacing w:val="3"/>
          <w:sz w:val="24"/>
          <w:szCs w:val="24"/>
        </w:rPr>
        <w:t xml:space="preserve">    </w:t>
      </w:r>
      <w:r>
        <w:rPr>
          <w:rFonts w:ascii="宋体" w:hAnsi="宋体" w:eastAsia="宋体" w:cs="宋体"/>
          <w:spacing w:val="-9"/>
          <w:sz w:val="24"/>
          <w:szCs w:val="24"/>
        </w:rPr>
        <w:t>址</w:t>
      </w:r>
      <w:r>
        <w:rPr>
          <w:rFonts w:ascii="宋体" w:hAnsi="宋体" w:eastAsia="宋体" w:cs="宋体"/>
          <w:spacing w:val="-89"/>
          <w:sz w:val="24"/>
          <w:szCs w:val="24"/>
        </w:rPr>
        <w:t xml:space="preserve"> </w:t>
      </w:r>
      <w:r>
        <w:rPr>
          <w:rFonts w:ascii="宋体" w:hAnsi="宋体" w:eastAsia="宋体" w:cs="宋体"/>
          <w:spacing w:val="-9"/>
          <w:sz w:val="24"/>
          <w:szCs w:val="24"/>
        </w:rPr>
        <w:t>：</w:t>
      </w:r>
      <w:r>
        <w:rPr>
          <w:rFonts w:ascii="宋体" w:hAnsi="宋体" w:eastAsia="宋体" w:cs="宋体"/>
          <w:spacing w:val="-9"/>
          <w:sz w:val="24"/>
          <w:szCs w:val="24"/>
          <w:u w:val="single" w:color="auto"/>
        </w:rPr>
        <w:t xml:space="preserve">                                           </w:t>
      </w:r>
    </w:p>
    <w:p w14:paraId="375C53EF">
      <w:pPr>
        <w:spacing w:before="169" w:line="219" w:lineRule="auto"/>
        <w:ind w:left="2547"/>
        <w:rPr>
          <w:rFonts w:ascii="宋体" w:hAnsi="宋体" w:eastAsia="宋体" w:cs="宋体"/>
          <w:sz w:val="24"/>
          <w:szCs w:val="24"/>
        </w:rPr>
      </w:pPr>
      <w:r>
        <w:rPr>
          <w:rFonts w:ascii="宋体" w:hAnsi="宋体" w:eastAsia="宋体" w:cs="宋体"/>
          <w:spacing w:val="-3"/>
          <w:sz w:val="24"/>
          <w:szCs w:val="24"/>
        </w:rPr>
        <w:t>邮政编码：</w:t>
      </w:r>
      <w:r>
        <w:rPr>
          <w:rFonts w:ascii="宋体" w:hAnsi="宋体" w:eastAsia="宋体" w:cs="宋体"/>
          <w:spacing w:val="-3"/>
          <w:sz w:val="24"/>
          <w:szCs w:val="24"/>
          <w:u w:val="single" w:color="auto"/>
        </w:rPr>
        <w:t xml:space="preserve">                              </w:t>
      </w:r>
      <w:r>
        <w:rPr>
          <w:rFonts w:ascii="宋体" w:hAnsi="宋体" w:eastAsia="宋体" w:cs="宋体"/>
          <w:spacing w:val="-4"/>
          <w:sz w:val="24"/>
          <w:szCs w:val="24"/>
          <w:u w:val="single" w:color="auto"/>
        </w:rPr>
        <w:t xml:space="preserve">           </w:t>
      </w:r>
    </w:p>
    <w:p w14:paraId="32B5C28F">
      <w:pPr>
        <w:spacing w:before="183" w:line="221" w:lineRule="auto"/>
        <w:ind w:left="2557"/>
        <w:rPr>
          <w:rFonts w:ascii="宋体" w:hAnsi="宋体" w:eastAsia="宋体" w:cs="宋体"/>
          <w:sz w:val="24"/>
          <w:szCs w:val="24"/>
        </w:rPr>
      </w:pPr>
      <w:r>
        <w:rPr>
          <w:rFonts w:ascii="宋体" w:hAnsi="宋体" w:eastAsia="宋体" w:cs="宋体"/>
          <w:spacing w:val="-26"/>
          <w:sz w:val="24"/>
          <w:szCs w:val="24"/>
        </w:rPr>
        <w:t>电</w:t>
      </w:r>
      <w:r>
        <w:rPr>
          <w:rFonts w:ascii="宋体" w:hAnsi="宋体" w:eastAsia="宋体" w:cs="宋体"/>
          <w:spacing w:val="2"/>
          <w:sz w:val="24"/>
          <w:szCs w:val="24"/>
        </w:rPr>
        <w:t xml:space="preserve">    </w:t>
      </w:r>
      <w:r>
        <w:rPr>
          <w:rFonts w:ascii="宋体" w:hAnsi="宋体" w:eastAsia="宋体" w:cs="宋体"/>
          <w:spacing w:val="-26"/>
          <w:sz w:val="24"/>
          <w:szCs w:val="24"/>
        </w:rPr>
        <w:t>话</w:t>
      </w:r>
      <w:r>
        <w:rPr>
          <w:rFonts w:ascii="宋体" w:hAnsi="宋体" w:eastAsia="宋体" w:cs="宋体"/>
          <w:spacing w:val="-89"/>
          <w:sz w:val="24"/>
          <w:szCs w:val="24"/>
        </w:rPr>
        <w:t xml:space="preserve"> </w:t>
      </w:r>
      <w:r>
        <w:rPr>
          <w:rFonts w:ascii="宋体" w:hAnsi="宋体" w:eastAsia="宋体" w:cs="宋体"/>
          <w:spacing w:val="-26"/>
          <w:sz w:val="24"/>
          <w:szCs w:val="24"/>
        </w:rPr>
        <w:t>：</w:t>
      </w:r>
      <w:r>
        <w:rPr>
          <w:rFonts w:ascii="宋体" w:hAnsi="宋体" w:eastAsia="宋体" w:cs="宋体"/>
          <w:sz w:val="24"/>
          <w:szCs w:val="24"/>
          <w:u w:val="single" w:color="auto"/>
        </w:rPr>
        <w:t xml:space="preserve">                                        </w:t>
      </w:r>
    </w:p>
    <w:p w14:paraId="7B347987">
      <w:pPr>
        <w:spacing w:before="180" w:line="219" w:lineRule="auto"/>
        <w:ind w:left="2527"/>
        <w:rPr>
          <w:rFonts w:ascii="宋体" w:hAnsi="宋体" w:eastAsia="宋体" w:cs="宋体"/>
          <w:sz w:val="24"/>
          <w:szCs w:val="24"/>
        </w:rPr>
      </w:pPr>
      <w:r>
        <w:rPr>
          <w:rFonts w:ascii="宋体" w:hAnsi="宋体" w:eastAsia="宋体" w:cs="宋体"/>
          <w:spacing w:val="-9"/>
          <w:sz w:val="24"/>
          <w:szCs w:val="24"/>
        </w:rPr>
        <w:t>传</w:t>
      </w:r>
      <w:r>
        <w:rPr>
          <w:rFonts w:ascii="宋体" w:hAnsi="宋体" w:eastAsia="宋体" w:cs="宋体"/>
          <w:spacing w:val="3"/>
          <w:sz w:val="24"/>
          <w:szCs w:val="24"/>
        </w:rPr>
        <w:t xml:space="preserve">    </w:t>
      </w:r>
      <w:r>
        <w:rPr>
          <w:rFonts w:ascii="宋体" w:hAnsi="宋体" w:eastAsia="宋体" w:cs="宋体"/>
          <w:spacing w:val="-9"/>
          <w:sz w:val="24"/>
          <w:szCs w:val="24"/>
        </w:rPr>
        <w:t>真</w:t>
      </w:r>
      <w:r>
        <w:rPr>
          <w:rFonts w:ascii="宋体" w:hAnsi="宋体" w:eastAsia="宋体" w:cs="宋体"/>
          <w:spacing w:val="-87"/>
          <w:sz w:val="24"/>
          <w:szCs w:val="24"/>
        </w:rPr>
        <w:t xml:space="preserve"> </w:t>
      </w:r>
      <w:r>
        <w:rPr>
          <w:rFonts w:ascii="宋体" w:hAnsi="宋体" w:eastAsia="宋体" w:cs="宋体"/>
          <w:spacing w:val="-9"/>
          <w:sz w:val="24"/>
          <w:szCs w:val="24"/>
        </w:rPr>
        <w:t>：</w:t>
      </w:r>
      <w:r>
        <w:rPr>
          <w:rFonts w:ascii="宋体" w:hAnsi="宋体" w:eastAsia="宋体" w:cs="宋体"/>
          <w:spacing w:val="-9"/>
          <w:sz w:val="24"/>
          <w:szCs w:val="24"/>
          <w:u w:val="single" w:color="auto"/>
        </w:rPr>
        <w:t xml:space="preserve">                                           </w:t>
      </w:r>
    </w:p>
    <w:p w14:paraId="0F776BB0">
      <w:pPr>
        <w:spacing w:line="413" w:lineRule="auto"/>
        <w:rPr>
          <w:rFonts w:ascii="Arial"/>
          <w:sz w:val="21"/>
        </w:rPr>
      </w:pPr>
    </w:p>
    <w:p w14:paraId="71B9C2B9">
      <w:pPr>
        <w:tabs>
          <w:tab w:val="left" w:pos="6839"/>
        </w:tabs>
        <w:spacing w:before="78" w:line="219" w:lineRule="auto"/>
        <w:ind w:left="612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07226054">
      <w:pPr>
        <w:spacing w:line="266" w:lineRule="auto"/>
        <w:rPr>
          <w:rFonts w:ascii="Arial"/>
          <w:sz w:val="21"/>
        </w:rPr>
      </w:pPr>
    </w:p>
    <w:p w14:paraId="12B1901D">
      <w:pPr>
        <w:spacing w:before="65" w:line="378" w:lineRule="auto"/>
        <w:ind w:left="8" w:right="38" w:firstLine="419"/>
        <w:jc w:val="both"/>
        <w:rPr>
          <w:rFonts w:hint="eastAsia" w:ascii="Arial" w:eastAsia="宋体"/>
          <w:sz w:val="21"/>
          <w:lang w:eastAsia="zh-CN"/>
        </w:rPr>
      </w:pPr>
      <w:r>
        <w:rPr>
          <w:rFonts w:ascii="宋体" w:hAnsi="宋体" w:eastAsia="宋体" w:cs="宋体"/>
          <w:spacing w:val="10"/>
          <w:sz w:val="20"/>
          <w:szCs w:val="20"/>
        </w:rPr>
        <w:t>注：本保函格式只作为参考，投标人可根据当地银行及相关规定的格</w:t>
      </w:r>
      <w:r>
        <w:rPr>
          <w:rFonts w:ascii="宋体" w:hAnsi="宋体" w:eastAsia="宋体" w:cs="宋体"/>
          <w:spacing w:val="9"/>
          <w:sz w:val="20"/>
          <w:szCs w:val="20"/>
        </w:rPr>
        <w:t>式填写，但主要内容须与本保函内容原则上保持一致。如：“本保函在投标有效期或经延长的投标有效期内保持有效</w:t>
      </w:r>
      <w:r>
        <w:rPr>
          <w:rFonts w:ascii="宋体" w:hAnsi="宋体" w:eastAsia="宋体" w:cs="宋体"/>
          <w:spacing w:val="-69"/>
          <w:sz w:val="20"/>
          <w:szCs w:val="20"/>
        </w:rPr>
        <w:t xml:space="preserve"> </w:t>
      </w:r>
      <w:r>
        <w:rPr>
          <w:rFonts w:ascii="宋体" w:hAnsi="宋体" w:eastAsia="宋体" w:cs="宋体"/>
          <w:spacing w:val="9"/>
          <w:sz w:val="20"/>
          <w:szCs w:val="20"/>
        </w:rPr>
        <w:t>”可改为本保函自</w:t>
      </w:r>
      <w:r>
        <w:rPr>
          <w:rFonts w:ascii="宋体" w:hAnsi="宋体" w:eastAsia="宋体" w:cs="宋体"/>
          <w:spacing w:val="9"/>
          <w:sz w:val="20"/>
          <w:szCs w:val="20"/>
          <w:u w:val="single" w:color="auto"/>
        </w:rPr>
        <w:t xml:space="preserve"> （生效日期）</w:t>
      </w:r>
      <w:r>
        <w:rPr>
          <w:rFonts w:ascii="宋体" w:hAnsi="宋体" w:eastAsia="宋体" w:cs="宋体"/>
          <w:spacing w:val="9"/>
          <w:sz w:val="20"/>
          <w:szCs w:val="20"/>
        </w:rPr>
        <w:t>之日起生效，至</w:t>
      </w:r>
      <w:r>
        <w:rPr>
          <w:rFonts w:ascii="宋体" w:hAnsi="宋体" w:eastAsia="宋体" w:cs="宋体"/>
          <w:spacing w:val="9"/>
          <w:sz w:val="20"/>
          <w:szCs w:val="20"/>
          <w:u w:val="single" w:color="auto"/>
        </w:rPr>
        <w:t>（失效日期）</w:t>
      </w:r>
      <w:r>
        <w:rPr>
          <w:rFonts w:ascii="宋体" w:hAnsi="宋体" w:eastAsia="宋体" w:cs="宋体"/>
          <w:spacing w:val="9"/>
          <w:sz w:val="20"/>
          <w:szCs w:val="20"/>
        </w:rPr>
        <w:t>之日失效。</w:t>
      </w:r>
      <w:r>
        <w:rPr>
          <w:rFonts w:ascii="宋体" w:hAnsi="宋体" w:eastAsia="宋体" w:cs="宋体"/>
          <w:spacing w:val="9"/>
          <w:sz w:val="20"/>
          <w:szCs w:val="20"/>
        </w:rPr>
        <w:br w:type="page"/>
      </w:r>
    </w:p>
    <w:p w14:paraId="473B958C">
      <w:pPr>
        <w:spacing w:before="91" w:line="221" w:lineRule="auto"/>
        <w:ind w:left="3422"/>
        <w:rPr>
          <w:rFonts w:ascii="宋体" w:hAnsi="宋体" w:eastAsia="宋体" w:cs="宋体"/>
          <w:sz w:val="28"/>
          <w:szCs w:val="28"/>
        </w:rPr>
      </w:pPr>
      <w:r>
        <w:rPr>
          <w:rFonts w:ascii="宋体" w:hAnsi="宋体" w:eastAsia="宋体" w:cs="宋体"/>
          <w:b/>
          <w:bCs/>
          <w:spacing w:val="-4"/>
          <w:sz w:val="28"/>
          <w:szCs w:val="28"/>
        </w:rPr>
        <w:t>五、施工组织设计</w:t>
      </w:r>
    </w:p>
    <w:p w14:paraId="04173826">
      <w:pPr>
        <w:spacing w:before="260" w:line="218" w:lineRule="auto"/>
        <w:ind w:left="1193"/>
        <w:rPr>
          <w:rFonts w:ascii="宋体" w:hAnsi="宋体" w:eastAsia="宋体" w:cs="宋体"/>
          <w:sz w:val="24"/>
          <w:szCs w:val="24"/>
        </w:rPr>
      </w:pPr>
      <w:r>
        <w:rPr>
          <w:rFonts w:ascii="宋体" w:hAnsi="宋体" w:eastAsia="宋体" w:cs="宋体"/>
          <w:spacing w:val="-1"/>
          <w:sz w:val="24"/>
          <w:szCs w:val="24"/>
        </w:rPr>
        <w:t>（适用于双信封的综合评分法、双信封的技术评分最低标价法）</w:t>
      </w:r>
    </w:p>
    <w:p w14:paraId="037B94C2">
      <w:pPr>
        <w:spacing w:before="268" w:line="359" w:lineRule="auto"/>
        <w:ind w:left="9" w:firstLine="481"/>
        <w:rPr>
          <w:rFonts w:ascii="宋体" w:hAnsi="宋体" w:eastAsia="宋体" w:cs="宋体"/>
          <w:sz w:val="24"/>
          <w:szCs w:val="24"/>
        </w:rPr>
      </w:pPr>
      <w:r>
        <w:rPr>
          <w:rFonts w:ascii="宋体" w:hAnsi="宋体" w:eastAsia="宋体" w:cs="宋体"/>
          <w:spacing w:val="-8"/>
          <w:sz w:val="24"/>
          <w:szCs w:val="24"/>
        </w:rPr>
        <w:t>投标人应按以下要点编制施工组织设计，契合项目实际，突</w:t>
      </w:r>
      <w:r>
        <w:rPr>
          <w:rFonts w:ascii="宋体" w:hAnsi="宋体" w:eastAsia="宋体" w:cs="宋体"/>
          <w:spacing w:val="-9"/>
          <w:sz w:val="24"/>
          <w:szCs w:val="24"/>
        </w:rPr>
        <w:t>出重点，抓住关键。（文</w:t>
      </w:r>
      <w:r>
        <w:rPr>
          <w:rFonts w:ascii="宋体" w:hAnsi="宋体" w:eastAsia="宋体" w:cs="宋体"/>
          <w:spacing w:val="-2"/>
          <w:sz w:val="24"/>
          <w:szCs w:val="24"/>
        </w:rPr>
        <w:t>字应精炼、表述须清晰，内容具有针对性，总体控制在</w:t>
      </w:r>
      <w:r>
        <w:rPr>
          <w:rFonts w:ascii="宋体" w:hAnsi="宋体" w:eastAsia="宋体" w:cs="宋体"/>
          <w:spacing w:val="-32"/>
          <w:sz w:val="24"/>
          <w:szCs w:val="24"/>
        </w:rPr>
        <w:t xml:space="preserve"> </w:t>
      </w:r>
      <w:r>
        <w:rPr>
          <w:rFonts w:ascii="宋体" w:hAnsi="宋体" w:eastAsia="宋体" w:cs="宋体"/>
          <w:spacing w:val="-2"/>
          <w:sz w:val="24"/>
          <w:szCs w:val="24"/>
        </w:rPr>
        <w:t>15000</w:t>
      </w:r>
      <w:r>
        <w:rPr>
          <w:rFonts w:ascii="宋体" w:hAnsi="宋体" w:eastAsia="宋体" w:cs="宋体"/>
          <w:spacing w:val="-50"/>
          <w:sz w:val="24"/>
          <w:szCs w:val="24"/>
        </w:rPr>
        <w:t xml:space="preserve"> </w:t>
      </w:r>
      <w:r>
        <w:rPr>
          <w:rFonts w:ascii="宋体" w:hAnsi="宋体" w:eastAsia="宋体" w:cs="宋体"/>
          <w:spacing w:val="-2"/>
          <w:sz w:val="24"/>
          <w:szCs w:val="24"/>
        </w:rPr>
        <w:t>字以内</w:t>
      </w:r>
      <w:r>
        <w:rPr>
          <w:rFonts w:ascii="宋体" w:hAnsi="宋体" w:eastAsia="宋体" w:cs="宋体"/>
          <w:spacing w:val="7"/>
          <w:sz w:val="24"/>
          <w:szCs w:val="24"/>
        </w:rPr>
        <w:t>）：</w:t>
      </w:r>
    </w:p>
    <w:p w14:paraId="5D97823E">
      <w:pPr>
        <w:spacing w:before="268" w:line="359" w:lineRule="auto"/>
        <w:ind w:left="9" w:firstLine="481"/>
        <w:rPr>
          <w:rFonts w:hint="eastAsia" w:ascii="宋体" w:hAnsi="宋体" w:eastAsia="宋体" w:cs="宋体"/>
          <w:spacing w:val="-8"/>
          <w:sz w:val="24"/>
          <w:szCs w:val="24"/>
        </w:rPr>
      </w:pPr>
      <w:r>
        <w:rPr>
          <w:rFonts w:ascii="宋体" w:hAnsi="宋体" w:eastAsia="宋体" w:cs="宋体"/>
          <w:spacing w:val="-8"/>
          <w:sz w:val="24"/>
          <w:szCs w:val="24"/>
        </w:rPr>
        <w:t>1</w:t>
      </w:r>
      <w:r>
        <w:rPr>
          <w:rFonts w:hint="eastAsia" w:ascii="宋体" w:hAnsi="宋体" w:eastAsia="宋体" w:cs="宋体"/>
          <w:spacing w:val="-8"/>
          <w:sz w:val="24"/>
          <w:szCs w:val="24"/>
          <w:lang w:val="en-US" w:eastAsia="zh-CN"/>
        </w:rPr>
        <w:t>.</w:t>
      </w:r>
      <w:r>
        <w:rPr>
          <w:rFonts w:ascii="宋体" w:hAnsi="宋体" w:eastAsia="宋体" w:cs="宋体"/>
          <w:spacing w:val="-8"/>
          <w:sz w:val="24"/>
          <w:szCs w:val="24"/>
        </w:rPr>
        <w:t>船舶机械配备及进场计划</w:t>
      </w:r>
    </w:p>
    <w:p w14:paraId="79B68B96">
      <w:pPr>
        <w:spacing w:before="268" w:line="359" w:lineRule="auto"/>
        <w:ind w:left="9" w:firstLine="481"/>
        <w:rPr>
          <w:rFonts w:hint="eastAsia" w:ascii="宋体" w:hAnsi="宋体" w:eastAsia="宋体" w:cs="宋体"/>
          <w:spacing w:val="-8"/>
          <w:sz w:val="24"/>
          <w:szCs w:val="24"/>
        </w:rPr>
      </w:pPr>
      <w:r>
        <w:rPr>
          <w:rFonts w:hint="eastAsia" w:ascii="宋体" w:hAnsi="宋体" w:eastAsia="宋体" w:cs="宋体"/>
          <w:spacing w:val="-8"/>
          <w:sz w:val="24"/>
          <w:szCs w:val="24"/>
          <w:lang w:val="en-US" w:eastAsia="zh-CN"/>
        </w:rPr>
        <w:t>2.</w:t>
      </w:r>
      <w:r>
        <w:rPr>
          <w:rFonts w:ascii="宋体" w:hAnsi="宋体" w:eastAsia="宋体" w:cs="宋体"/>
          <w:spacing w:val="-8"/>
          <w:sz w:val="24"/>
          <w:szCs w:val="24"/>
        </w:rPr>
        <w:t>施工工艺流程</w:t>
      </w:r>
    </w:p>
    <w:p w14:paraId="0779CCC8">
      <w:pPr>
        <w:spacing w:before="268" w:line="359" w:lineRule="auto"/>
        <w:ind w:left="9" w:firstLine="481"/>
        <w:rPr>
          <w:rFonts w:hint="eastAsia" w:ascii="宋体" w:hAnsi="宋体" w:eastAsia="宋体" w:cs="宋体"/>
          <w:spacing w:val="-8"/>
          <w:sz w:val="24"/>
          <w:szCs w:val="24"/>
        </w:rPr>
      </w:pPr>
      <w:r>
        <w:rPr>
          <w:rFonts w:hint="eastAsia" w:ascii="宋体" w:hAnsi="宋体" w:eastAsia="宋体" w:cs="宋体"/>
          <w:spacing w:val="-8"/>
          <w:sz w:val="24"/>
          <w:szCs w:val="24"/>
          <w:lang w:val="en-US" w:eastAsia="zh-CN"/>
        </w:rPr>
        <w:t>3.</w:t>
      </w:r>
      <w:r>
        <w:rPr>
          <w:rFonts w:ascii="宋体" w:hAnsi="宋体" w:eastAsia="宋体" w:cs="宋体"/>
          <w:spacing w:val="-8"/>
          <w:sz w:val="24"/>
          <w:szCs w:val="24"/>
        </w:rPr>
        <w:t>施工技术措施</w:t>
      </w:r>
    </w:p>
    <w:p w14:paraId="270362B2">
      <w:pPr>
        <w:spacing w:before="268" w:line="359" w:lineRule="auto"/>
        <w:ind w:left="9" w:firstLine="481"/>
        <w:rPr>
          <w:rFonts w:hint="eastAsia" w:ascii="宋体" w:hAnsi="宋体" w:eastAsia="宋体" w:cs="宋体"/>
          <w:spacing w:val="-8"/>
          <w:sz w:val="24"/>
          <w:szCs w:val="24"/>
        </w:rPr>
      </w:pPr>
      <w:r>
        <w:rPr>
          <w:rFonts w:hint="eastAsia" w:ascii="宋体" w:hAnsi="宋体" w:eastAsia="宋体" w:cs="宋体"/>
          <w:spacing w:val="-8"/>
          <w:sz w:val="24"/>
          <w:szCs w:val="24"/>
          <w:lang w:val="en-US" w:eastAsia="zh-CN"/>
        </w:rPr>
        <w:t>4.</w:t>
      </w:r>
      <w:r>
        <w:rPr>
          <w:rFonts w:ascii="宋体" w:hAnsi="宋体" w:eastAsia="宋体" w:cs="宋体"/>
          <w:spacing w:val="-8"/>
          <w:sz w:val="24"/>
          <w:szCs w:val="24"/>
        </w:rPr>
        <w:t>施工质量保证措施</w:t>
      </w:r>
    </w:p>
    <w:p w14:paraId="230C539A">
      <w:pPr>
        <w:spacing w:before="268" w:line="359" w:lineRule="auto"/>
        <w:ind w:left="9" w:firstLine="481"/>
        <w:rPr>
          <w:rFonts w:hint="eastAsia" w:ascii="宋体" w:hAnsi="宋体" w:eastAsia="宋体" w:cs="宋体"/>
          <w:spacing w:val="-8"/>
          <w:sz w:val="24"/>
          <w:szCs w:val="24"/>
        </w:rPr>
      </w:pPr>
      <w:r>
        <w:rPr>
          <w:rFonts w:hint="eastAsia" w:ascii="宋体" w:hAnsi="宋体" w:eastAsia="宋体" w:cs="宋体"/>
          <w:spacing w:val="-8"/>
          <w:sz w:val="24"/>
          <w:szCs w:val="24"/>
          <w:lang w:val="en-US" w:eastAsia="zh-CN"/>
        </w:rPr>
        <w:t>5.</w:t>
      </w:r>
      <w:r>
        <w:rPr>
          <w:rFonts w:ascii="宋体" w:hAnsi="宋体" w:eastAsia="宋体" w:cs="宋体"/>
          <w:spacing w:val="-8"/>
          <w:sz w:val="24"/>
          <w:szCs w:val="24"/>
        </w:rPr>
        <w:t>施工安全保障措施</w:t>
      </w:r>
    </w:p>
    <w:p w14:paraId="7C127D74">
      <w:pPr>
        <w:spacing w:before="268" w:line="359" w:lineRule="auto"/>
        <w:ind w:left="9" w:firstLine="481"/>
        <w:rPr>
          <w:rFonts w:hint="eastAsia" w:ascii="宋体" w:hAnsi="宋体" w:eastAsia="宋体" w:cs="宋体"/>
          <w:spacing w:val="-8"/>
          <w:sz w:val="24"/>
          <w:szCs w:val="24"/>
        </w:rPr>
      </w:pPr>
      <w:r>
        <w:rPr>
          <w:rFonts w:hint="eastAsia" w:ascii="宋体" w:hAnsi="宋体" w:eastAsia="宋体" w:cs="宋体"/>
          <w:spacing w:val="-8"/>
          <w:sz w:val="24"/>
          <w:szCs w:val="24"/>
          <w:lang w:val="en-US" w:eastAsia="zh-CN"/>
        </w:rPr>
        <w:t>6.</w:t>
      </w:r>
      <w:r>
        <w:rPr>
          <w:rFonts w:ascii="宋体" w:hAnsi="宋体" w:eastAsia="宋体" w:cs="宋体"/>
          <w:spacing w:val="-8"/>
          <w:sz w:val="24"/>
          <w:szCs w:val="24"/>
        </w:rPr>
        <w:t>文明施工与环境保护措施</w:t>
      </w:r>
    </w:p>
    <w:p w14:paraId="3F22E028">
      <w:pPr>
        <w:spacing w:before="268" w:line="359" w:lineRule="auto"/>
        <w:ind w:left="9" w:firstLine="481"/>
        <w:rPr>
          <w:rFonts w:hint="eastAsia" w:ascii="宋体" w:hAnsi="宋体" w:eastAsia="宋体" w:cs="宋体"/>
          <w:spacing w:val="-8"/>
          <w:sz w:val="24"/>
          <w:szCs w:val="24"/>
        </w:rPr>
      </w:pPr>
      <w:r>
        <w:rPr>
          <w:rFonts w:hint="eastAsia" w:ascii="宋体" w:hAnsi="宋体" w:eastAsia="宋体" w:cs="宋体"/>
          <w:spacing w:val="-8"/>
          <w:sz w:val="24"/>
          <w:szCs w:val="24"/>
          <w:lang w:val="en-US" w:eastAsia="zh-CN"/>
        </w:rPr>
        <w:t>7.</w:t>
      </w:r>
      <w:r>
        <w:rPr>
          <w:rFonts w:ascii="宋体" w:hAnsi="宋体" w:eastAsia="宋体" w:cs="宋体"/>
          <w:spacing w:val="-8"/>
          <w:sz w:val="24"/>
          <w:szCs w:val="24"/>
        </w:rPr>
        <w:t>其它</w:t>
      </w:r>
    </w:p>
    <w:p w14:paraId="38509C23">
      <w:pPr>
        <w:spacing w:line="464" w:lineRule="auto"/>
        <w:rPr>
          <w:rFonts w:hint="eastAsia" w:ascii="Arial" w:eastAsia="宋体"/>
          <w:sz w:val="21"/>
          <w:lang w:eastAsia="zh-CN"/>
        </w:rPr>
      </w:pPr>
      <w:r>
        <w:rPr>
          <w:rFonts w:hint="eastAsia" w:ascii="Arial" w:eastAsia="宋体"/>
          <w:sz w:val="21"/>
          <w:lang w:eastAsia="zh-CN"/>
        </w:rPr>
        <w:br w:type="page"/>
      </w:r>
    </w:p>
    <w:p w14:paraId="61BFF51A">
      <w:pPr>
        <w:spacing w:before="91" w:line="219" w:lineRule="auto"/>
        <w:ind w:left="3533"/>
        <w:rPr>
          <w:rFonts w:ascii="宋体" w:hAnsi="宋体" w:eastAsia="宋体" w:cs="宋体"/>
          <w:sz w:val="28"/>
          <w:szCs w:val="28"/>
        </w:rPr>
      </w:pPr>
      <w:r>
        <w:rPr>
          <w:rFonts w:ascii="宋体" w:hAnsi="宋体" w:eastAsia="宋体" w:cs="宋体"/>
          <w:b/>
          <w:bCs/>
          <w:spacing w:val="-4"/>
          <w:sz w:val="28"/>
          <w:szCs w:val="28"/>
        </w:rPr>
        <w:t>六、项目管理机构</w:t>
      </w:r>
    </w:p>
    <w:p w14:paraId="590C156C">
      <w:pPr>
        <w:spacing w:line="228" w:lineRule="exact"/>
      </w:pPr>
    </w:p>
    <w:tbl>
      <w:tblPr>
        <w:tblStyle w:val="13"/>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86"/>
      </w:tblGrid>
      <w:tr w14:paraId="21322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7" w:hRule="atLeast"/>
        </w:trPr>
        <w:tc>
          <w:tcPr>
            <w:tcW w:w="9286" w:type="dxa"/>
            <w:vAlign w:val="top"/>
          </w:tcPr>
          <w:p w14:paraId="0A52BB18">
            <w:pPr>
              <w:pStyle w:val="14"/>
              <w:spacing w:before="118" w:line="219" w:lineRule="auto"/>
              <w:ind w:left="116"/>
              <w:rPr>
                <w:sz w:val="24"/>
                <w:szCs w:val="24"/>
              </w:rPr>
            </w:pPr>
            <w:r>
              <w:rPr>
                <w:spacing w:val="-1"/>
                <w:sz w:val="24"/>
                <w:szCs w:val="24"/>
              </w:rPr>
              <w:t>拟为承包本标段工程设立的组织机构以框图方式表示。</w:t>
            </w:r>
          </w:p>
        </w:tc>
      </w:tr>
      <w:tr w14:paraId="153CE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9" w:hRule="atLeast"/>
        </w:trPr>
        <w:tc>
          <w:tcPr>
            <w:tcW w:w="9286" w:type="dxa"/>
            <w:vAlign w:val="top"/>
          </w:tcPr>
          <w:p w14:paraId="38BFD6D0">
            <w:pPr>
              <w:pStyle w:val="14"/>
              <w:spacing w:before="119" w:line="219" w:lineRule="auto"/>
              <w:ind w:left="119"/>
              <w:rPr>
                <w:sz w:val="24"/>
                <w:szCs w:val="24"/>
              </w:rPr>
            </w:pPr>
            <w:r>
              <w:rPr>
                <w:spacing w:val="-7"/>
                <w:sz w:val="24"/>
                <w:szCs w:val="24"/>
              </w:rPr>
              <w:t>说明</w:t>
            </w:r>
          </w:p>
        </w:tc>
      </w:tr>
    </w:tbl>
    <w:p w14:paraId="047AE1FB">
      <w:pPr>
        <w:rPr>
          <w:rFonts w:ascii="Arial"/>
          <w:sz w:val="21"/>
        </w:rPr>
      </w:pPr>
    </w:p>
    <w:p w14:paraId="61B6BBD1">
      <w:pPr>
        <w:spacing w:line="464" w:lineRule="auto"/>
        <w:rPr>
          <w:rFonts w:hint="eastAsia" w:ascii="Arial" w:eastAsia="宋体"/>
          <w:sz w:val="21"/>
          <w:lang w:eastAsia="zh-CN"/>
        </w:rPr>
      </w:pPr>
      <w:r>
        <w:rPr>
          <w:rFonts w:hint="eastAsia" w:ascii="Arial" w:eastAsia="宋体"/>
          <w:sz w:val="21"/>
          <w:lang w:eastAsia="zh-CN"/>
        </w:rPr>
        <w:br w:type="page"/>
      </w:r>
    </w:p>
    <w:p w14:paraId="3EADE5A3">
      <w:pPr>
        <w:spacing w:before="91" w:line="219" w:lineRule="auto"/>
        <w:ind w:left="3295"/>
        <w:rPr>
          <w:rFonts w:ascii="宋体" w:hAnsi="宋体" w:eastAsia="宋体" w:cs="宋体"/>
          <w:sz w:val="28"/>
          <w:szCs w:val="28"/>
        </w:rPr>
      </w:pPr>
      <w:r>
        <w:rPr>
          <w:rFonts w:ascii="宋体" w:hAnsi="宋体" w:eastAsia="宋体" w:cs="宋体"/>
          <w:b/>
          <w:bCs/>
          <w:spacing w:val="-3"/>
          <w:sz w:val="28"/>
          <w:szCs w:val="28"/>
        </w:rPr>
        <w:t>七、拟分包项目情况表</w:t>
      </w:r>
    </w:p>
    <w:p w14:paraId="62D4677E">
      <w:pPr>
        <w:spacing w:line="228" w:lineRule="exact"/>
      </w:pPr>
    </w:p>
    <w:tbl>
      <w:tblPr>
        <w:tblStyle w:val="13"/>
        <w:tblW w:w="937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4"/>
        <w:gridCol w:w="2407"/>
        <w:gridCol w:w="2407"/>
        <w:gridCol w:w="2146"/>
      </w:tblGrid>
      <w:tr w14:paraId="3972F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trPr>
        <w:tc>
          <w:tcPr>
            <w:tcW w:w="2414" w:type="dxa"/>
            <w:vAlign w:val="top"/>
          </w:tcPr>
          <w:p w14:paraId="6166F833">
            <w:pPr>
              <w:pStyle w:val="14"/>
              <w:spacing w:before="93" w:line="242" w:lineRule="auto"/>
              <w:ind w:left="974" w:right="482" w:hanging="483"/>
              <w:rPr>
                <w:sz w:val="24"/>
                <w:szCs w:val="24"/>
              </w:rPr>
            </w:pPr>
            <w:r>
              <w:rPr>
                <w:spacing w:val="-2"/>
                <w:sz w:val="24"/>
                <w:szCs w:val="24"/>
              </w:rPr>
              <w:t>拟分包的工程</w:t>
            </w:r>
            <w:r>
              <w:rPr>
                <w:spacing w:val="-7"/>
                <w:sz w:val="24"/>
                <w:szCs w:val="24"/>
              </w:rPr>
              <w:t>项目</w:t>
            </w:r>
          </w:p>
        </w:tc>
        <w:tc>
          <w:tcPr>
            <w:tcW w:w="2407" w:type="dxa"/>
            <w:vAlign w:val="top"/>
          </w:tcPr>
          <w:p w14:paraId="653AFE5B">
            <w:pPr>
              <w:pStyle w:val="14"/>
              <w:spacing w:before="249" w:line="219" w:lineRule="auto"/>
              <w:ind w:left="488"/>
              <w:rPr>
                <w:sz w:val="24"/>
                <w:szCs w:val="24"/>
              </w:rPr>
            </w:pPr>
            <w:r>
              <w:rPr>
                <w:spacing w:val="-2"/>
                <w:sz w:val="24"/>
                <w:szCs w:val="24"/>
              </w:rPr>
              <w:t>主要工程内容</w:t>
            </w:r>
          </w:p>
        </w:tc>
        <w:tc>
          <w:tcPr>
            <w:tcW w:w="2407" w:type="dxa"/>
            <w:vAlign w:val="top"/>
          </w:tcPr>
          <w:p w14:paraId="6B205008">
            <w:pPr>
              <w:pStyle w:val="14"/>
              <w:spacing w:before="248" w:line="218" w:lineRule="auto"/>
              <w:ind w:left="251"/>
              <w:rPr>
                <w:sz w:val="24"/>
                <w:szCs w:val="24"/>
              </w:rPr>
            </w:pPr>
            <w:r>
              <w:rPr>
                <w:spacing w:val="-2"/>
                <w:sz w:val="24"/>
                <w:szCs w:val="24"/>
              </w:rPr>
              <w:t>预计造价（万元）</w:t>
            </w:r>
          </w:p>
        </w:tc>
        <w:tc>
          <w:tcPr>
            <w:tcW w:w="2146" w:type="dxa"/>
            <w:vAlign w:val="top"/>
          </w:tcPr>
          <w:p w14:paraId="5AAAC70F">
            <w:pPr>
              <w:pStyle w:val="14"/>
              <w:spacing w:before="248" w:line="221" w:lineRule="auto"/>
              <w:ind w:left="840"/>
              <w:rPr>
                <w:sz w:val="24"/>
                <w:szCs w:val="24"/>
              </w:rPr>
            </w:pPr>
            <w:r>
              <w:rPr>
                <w:spacing w:val="-7"/>
                <w:sz w:val="24"/>
                <w:szCs w:val="24"/>
              </w:rPr>
              <w:t>备注</w:t>
            </w:r>
          </w:p>
        </w:tc>
      </w:tr>
      <w:tr w14:paraId="78774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414" w:type="dxa"/>
            <w:vAlign w:val="top"/>
          </w:tcPr>
          <w:p w14:paraId="66DCA4E7">
            <w:pPr>
              <w:rPr>
                <w:rFonts w:ascii="Arial"/>
                <w:sz w:val="21"/>
              </w:rPr>
            </w:pPr>
          </w:p>
        </w:tc>
        <w:tc>
          <w:tcPr>
            <w:tcW w:w="2407" w:type="dxa"/>
            <w:vAlign w:val="top"/>
          </w:tcPr>
          <w:p w14:paraId="2C6F6572">
            <w:pPr>
              <w:rPr>
                <w:rFonts w:ascii="Arial"/>
                <w:sz w:val="21"/>
              </w:rPr>
            </w:pPr>
          </w:p>
        </w:tc>
        <w:tc>
          <w:tcPr>
            <w:tcW w:w="2407" w:type="dxa"/>
            <w:vAlign w:val="top"/>
          </w:tcPr>
          <w:p w14:paraId="001F4098">
            <w:pPr>
              <w:rPr>
                <w:rFonts w:ascii="Arial"/>
                <w:sz w:val="21"/>
              </w:rPr>
            </w:pPr>
          </w:p>
        </w:tc>
        <w:tc>
          <w:tcPr>
            <w:tcW w:w="2146" w:type="dxa"/>
            <w:vMerge w:val="restart"/>
            <w:tcBorders>
              <w:bottom w:val="nil"/>
            </w:tcBorders>
            <w:vAlign w:val="top"/>
          </w:tcPr>
          <w:p w14:paraId="34154F51">
            <w:pPr>
              <w:spacing w:line="249" w:lineRule="auto"/>
              <w:rPr>
                <w:rFonts w:ascii="Arial"/>
                <w:sz w:val="21"/>
              </w:rPr>
            </w:pPr>
          </w:p>
          <w:p w14:paraId="3D66ADEF">
            <w:pPr>
              <w:spacing w:line="249" w:lineRule="auto"/>
              <w:rPr>
                <w:rFonts w:ascii="Arial"/>
                <w:sz w:val="21"/>
              </w:rPr>
            </w:pPr>
          </w:p>
          <w:p w14:paraId="0FC1483E">
            <w:pPr>
              <w:spacing w:line="249" w:lineRule="auto"/>
              <w:rPr>
                <w:rFonts w:ascii="Arial"/>
                <w:sz w:val="21"/>
              </w:rPr>
            </w:pPr>
          </w:p>
          <w:p w14:paraId="0FC12347">
            <w:pPr>
              <w:spacing w:line="249" w:lineRule="auto"/>
              <w:rPr>
                <w:rFonts w:ascii="Arial"/>
                <w:sz w:val="21"/>
              </w:rPr>
            </w:pPr>
          </w:p>
          <w:p w14:paraId="76AE6539">
            <w:pPr>
              <w:spacing w:line="249" w:lineRule="auto"/>
              <w:rPr>
                <w:rFonts w:ascii="Arial"/>
                <w:sz w:val="21"/>
              </w:rPr>
            </w:pPr>
          </w:p>
          <w:p w14:paraId="1B0F9665">
            <w:pPr>
              <w:spacing w:line="249" w:lineRule="auto"/>
              <w:rPr>
                <w:rFonts w:ascii="Arial"/>
                <w:sz w:val="21"/>
              </w:rPr>
            </w:pPr>
          </w:p>
          <w:p w14:paraId="3CE9061F">
            <w:pPr>
              <w:spacing w:line="249" w:lineRule="auto"/>
              <w:rPr>
                <w:rFonts w:ascii="Arial"/>
                <w:sz w:val="21"/>
              </w:rPr>
            </w:pPr>
          </w:p>
          <w:p w14:paraId="4F584A69">
            <w:pPr>
              <w:spacing w:line="249" w:lineRule="auto"/>
              <w:rPr>
                <w:rFonts w:ascii="Arial"/>
                <w:sz w:val="21"/>
              </w:rPr>
            </w:pPr>
          </w:p>
          <w:p w14:paraId="35E0CEC1">
            <w:pPr>
              <w:spacing w:line="250" w:lineRule="auto"/>
              <w:rPr>
                <w:rFonts w:ascii="Arial"/>
                <w:sz w:val="21"/>
              </w:rPr>
            </w:pPr>
          </w:p>
          <w:p w14:paraId="7B135F02">
            <w:pPr>
              <w:spacing w:line="250" w:lineRule="auto"/>
              <w:rPr>
                <w:rFonts w:ascii="Arial"/>
                <w:sz w:val="21"/>
              </w:rPr>
            </w:pPr>
          </w:p>
          <w:p w14:paraId="0D3F21BC">
            <w:pPr>
              <w:spacing w:line="250" w:lineRule="auto"/>
              <w:rPr>
                <w:rFonts w:ascii="Arial"/>
                <w:sz w:val="21"/>
              </w:rPr>
            </w:pPr>
          </w:p>
          <w:p w14:paraId="56E2BCED">
            <w:pPr>
              <w:spacing w:line="250" w:lineRule="auto"/>
              <w:rPr>
                <w:rFonts w:ascii="Arial"/>
                <w:sz w:val="21"/>
              </w:rPr>
            </w:pPr>
          </w:p>
          <w:p w14:paraId="742AB213">
            <w:pPr>
              <w:spacing w:line="250" w:lineRule="auto"/>
              <w:rPr>
                <w:rFonts w:ascii="Arial"/>
                <w:sz w:val="21"/>
              </w:rPr>
            </w:pPr>
          </w:p>
          <w:p w14:paraId="3959721B">
            <w:pPr>
              <w:spacing w:line="250" w:lineRule="auto"/>
              <w:rPr>
                <w:rFonts w:ascii="Arial"/>
                <w:sz w:val="21"/>
              </w:rPr>
            </w:pPr>
          </w:p>
          <w:p w14:paraId="45216984">
            <w:pPr>
              <w:spacing w:line="250" w:lineRule="auto"/>
              <w:rPr>
                <w:rFonts w:ascii="Arial"/>
                <w:sz w:val="21"/>
              </w:rPr>
            </w:pPr>
          </w:p>
          <w:p w14:paraId="48B3151B">
            <w:pPr>
              <w:spacing w:line="250" w:lineRule="auto"/>
              <w:rPr>
                <w:rFonts w:ascii="Arial"/>
                <w:sz w:val="21"/>
              </w:rPr>
            </w:pPr>
          </w:p>
          <w:p w14:paraId="4F9BBE02">
            <w:pPr>
              <w:pStyle w:val="14"/>
              <w:spacing w:before="78" w:line="220" w:lineRule="auto"/>
              <w:jc w:val="right"/>
              <w:rPr>
                <w:sz w:val="24"/>
                <w:szCs w:val="24"/>
              </w:rPr>
            </w:pPr>
            <w:r>
              <w:rPr>
                <w:spacing w:val="-21"/>
                <w:sz w:val="24"/>
                <w:szCs w:val="24"/>
              </w:rPr>
              <w:t>注：若无分包计划，</w:t>
            </w:r>
          </w:p>
          <w:p w14:paraId="18550F13">
            <w:pPr>
              <w:pStyle w:val="14"/>
              <w:spacing w:before="25" w:line="219" w:lineRule="auto"/>
              <w:ind w:left="122"/>
              <w:rPr>
                <w:sz w:val="24"/>
                <w:szCs w:val="24"/>
              </w:rPr>
            </w:pPr>
            <w:r>
              <w:rPr>
                <w:spacing w:val="-2"/>
                <w:sz w:val="24"/>
                <w:szCs w:val="24"/>
              </w:rPr>
              <w:t>则投标人应在本表</w:t>
            </w:r>
          </w:p>
          <w:p w14:paraId="26C36396">
            <w:pPr>
              <w:pStyle w:val="14"/>
              <w:spacing w:before="25" w:line="220" w:lineRule="auto"/>
              <w:ind w:left="359"/>
              <w:rPr>
                <w:sz w:val="24"/>
                <w:szCs w:val="24"/>
              </w:rPr>
            </w:pPr>
            <w:r>
              <w:rPr>
                <w:spacing w:val="11"/>
                <w:sz w:val="24"/>
                <w:szCs w:val="24"/>
              </w:rPr>
              <w:t>填写“无。</w:t>
            </w:r>
            <w:r>
              <w:rPr>
                <w:spacing w:val="-84"/>
                <w:sz w:val="24"/>
                <w:szCs w:val="24"/>
              </w:rPr>
              <w:t xml:space="preserve"> </w:t>
            </w:r>
            <w:r>
              <w:rPr>
                <w:spacing w:val="11"/>
                <w:sz w:val="24"/>
                <w:szCs w:val="24"/>
              </w:rPr>
              <w:t>”</w:t>
            </w:r>
          </w:p>
        </w:tc>
      </w:tr>
      <w:tr w14:paraId="14494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414" w:type="dxa"/>
            <w:vAlign w:val="top"/>
          </w:tcPr>
          <w:p w14:paraId="4C3B6A80">
            <w:pPr>
              <w:rPr>
                <w:rFonts w:ascii="Arial"/>
                <w:sz w:val="21"/>
              </w:rPr>
            </w:pPr>
          </w:p>
        </w:tc>
        <w:tc>
          <w:tcPr>
            <w:tcW w:w="2407" w:type="dxa"/>
            <w:vAlign w:val="top"/>
          </w:tcPr>
          <w:p w14:paraId="1A567B7F">
            <w:pPr>
              <w:rPr>
                <w:rFonts w:ascii="Arial"/>
                <w:sz w:val="21"/>
              </w:rPr>
            </w:pPr>
          </w:p>
        </w:tc>
        <w:tc>
          <w:tcPr>
            <w:tcW w:w="2407" w:type="dxa"/>
            <w:vAlign w:val="top"/>
          </w:tcPr>
          <w:p w14:paraId="17D2D605">
            <w:pPr>
              <w:rPr>
                <w:rFonts w:ascii="Arial"/>
                <w:sz w:val="21"/>
              </w:rPr>
            </w:pPr>
          </w:p>
        </w:tc>
        <w:tc>
          <w:tcPr>
            <w:tcW w:w="2146" w:type="dxa"/>
            <w:vMerge w:val="continue"/>
            <w:tcBorders>
              <w:top w:val="nil"/>
              <w:bottom w:val="nil"/>
            </w:tcBorders>
            <w:vAlign w:val="top"/>
          </w:tcPr>
          <w:p w14:paraId="486810FA">
            <w:pPr>
              <w:rPr>
                <w:rFonts w:ascii="Arial"/>
                <w:sz w:val="21"/>
              </w:rPr>
            </w:pPr>
          </w:p>
        </w:tc>
      </w:tr>
      <w:tr w14:paraId="33DAE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2414" w:type="dxa"/>
            <w:vAlign w:val="top"/>
          </w:tcPr>
          <w:p w14:paraId="09BA9C15">
            <w:pPr>
              <w:rPr>
                <w:rFonts w:ascii="Arial"/>
                <w:sz w:val="21"/>
              </w:rPr>
            </w:pPr>
          </w:p>
        </w:tc>
        <w:tc>
          <w:tcPr>
            <w:tcW w:w="2407" w:type="dxa"/>
            <w:vAlign w:val="top"/>
          </w:tcPr>
          <w:p w14:paraId="732F1B96">
            <w:pPr>
              <w:rPr>
                <w:rFonts w:ascii="Arial"/>
                <w:sz w:val="21"/>
              </w:rPr>
            </w:pPr>
          </w:p>
        </w:tc>
        <w:tc>
          <w:tcPr>
            <w:tcW w:w="2407" w:type="dxa"/>
            <w:vAlign w:val="top"/>
          </w:tcPr>
          <w:p w14:paraId="689371E9">
            <w:pPr>
              <w:rPr>
                <w:rFonts w:ascii="Arial"/>
                <w:sz w:val="21"/>
              </w:rPr>
            </w:pPr>
          </w:p>
        </w:tc>
        <w:tc>
          <w:tcPr>
            <w:tcW w:w="2146" w:type="dxa"/>
            <w:vMerge w:val="continue"/>
            <w:tcBorders>
              <w:top w:val="nil"/>
              <w:bottom w:val="nil"/>
            </w:tcBorders>
            <w:vAlign w:val="top"/>
          </w:tcPr>
          <w:p w14:paraId="48DB8A83">
            <w:pPr>
              <w:rPr>
                <w:rFonts w:ascii="Arial"/>
                <w:sz w:val="21"/>
              </w:rPr>
            </w:pPr>
          </w:p>
        </w:tc>
      </w:tr>
      <w:tr w14:paraId="39205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2414" w:type="dxa"/>
            <w:vAlign w:val="top"/>
          </w:tcPr>
          <w:p w14:paraId="14639DB8">
            <w:pPr>
              <w:rPr>
                <w:rFonts w:ascii="Arial"/>
                <w:sz w:val="21"/>
              </w:rPr>
            </w:pPr>
          </w:p>
        </w:tc>
        <w:tc>
          <w:tcPr>
            <w:tcW w:w="2407" w:type="dxa"/>
            <w:vAlign w:val="top"/>
          </w:tcPr>
          <w:p w14:paraId="71CA47C4">
            <w:pPr>
              <w:rPr>
                <w:rFonts w:ascii="Arial"/>
                <w:sz w:val="21"/>
              </w:rPr>
            </w:pPr>
          </w:p>
        </w:tc>
        <w:tc>
          <w:tcPr>
            <w:tcW w:w="2407" w:type="dxa"/>
            <w:vAlign w:val="top"/>
          </w:tcPr>
          <w:p w14:paraId="1F906A96">
            <w:pPr>
              <w:rPr>
                <w:rFonts w:ascii="Arial"/>
                <w:sz w:val="21"/>
              </w:rPr>
            </w:pPr>
          </w:p>
        </w:tc>
        <w:tc>
          <w:tcPr>
            <w:tcW w:w="2146" w:type="dxa"/>
            <w:vMerge w:val="continue"/>
            <w:tcBorders>
              <w:top w:val="nil"/>
              <w:bottom w:val="nil"/>
            </w:tcBorders>
            <w:vAlign w:val="top"/>
          </w:tcPr>
          <w:p w14:paraId="7E68AD16">
            <w:pPr>
              <w:rPr>
                <w:rFonts w:ascii="Arial"/>
                <w:sz w:val="21"/>
              </w:rPr>
            </w:pPr>
          </w:p>
        </w:tc>
      </w:tr>
      <w:tr w14:paraId="24261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414" w:type="dxa"/>
            <w:vAlign w:val="top"/>
          </w:tcPr>
          <w:p w14:paraId="1A6A09A6">
            <w:pPr>
              <w:rPr>
                <w:rFonts w:ascii="Arial"/>
                <w:sz w:val="21"/>
              </w:rPr>
            </w:pPr>
          </w:p>
        </w:tc>
        <w:tc>
          <w:tcPr>
            <w:tcW w:w="2407" w:type="dxa"/>
            <w:vAlign w:val="top"/>
          </w:tcPr>
          <w:p w14:paraId="778A670A">
            <w:pPr>
              <w:rPr>
                <w:rFonts w:ascii="Arial"/>
                <w:sz w:val="21"/>
              </w:rPr>
            </w:pPr>
          </w:p>
        </w:tc>
        <w:tc>
          <w:tcPr>
            <w:tcW w:w="2407" w:type="dxa"/>
            <w:vAlign w:val="top"/>
          </w:tcPr>
          <w:p w14:paraId="4A4CD124">
            <w:pPr>
              <w:rPr>
                <w:rFonts w:ascii="Arial"/>
                <w:sz w:val="21"/>
              </w:rPr>
            </w:pPr>
          </w:p>
        </w:tc>
        <w:tc>
          <w:tcPr>
            <w:tcW w:w="2146" w:type="dxa"/>
            <w:vMerge w:val="continue"/>
            <w:tcBorders>
              <w:top w:val="nil"/>
              <w:bottom w:val="nil"/>
            </w:tcBorders>
            <w:vAlign w:val="top"/>
          </w:tcPr>
          <w:p w14:paraId="08181554">
            <w:pPr>
              <w:rPr>
                <w:rFonts w:ascii="Arial"/>
                <w:sz w:val="21"/>
              </w:rPr>
            </w:pPr>
          </w:p>
        </w:tc>
      </w:tr>
      <w:tr w14:paraId="27F09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414" w:type="dxa"/>
            <w:vAlign w:val="top"/>
          </w:tcPr>
          <w:p w14:paraId="64866CB0">
            <w:pPr>
              <w:rPr>
                <w:rFonts w:ascii="Arial"/>
                <w:sz w:val="21"/>
              </w:rPr>
            </w:pPr>
          </w:p>
        </w:tc>
        <w:tc>
          <w:tcPr>
            <w:tcW w:w="2407" w:type="dxa"/>
            <w:vAlign w:val="top"/>
          </w:tcPr>
          <w:p w14:paraId="59771B56">
            <w:pPr>
              <w:rPr>
                <w:rFonts w:ascii="Arial"/>
                <w:sz w:val="21"/>
              </w:rPr>
            </w:pPr>
          </w:p>
        </w:tc>
        <w:tc>
          <w:tcPr>
            <w:tcW w:w="2407" w:type="dxa"/>
            <w:vAlign w:val="top"/>
          </w:tcPr>
          <w:p w14:paraId="5621C9A7">
            <w:pPr>
              <w:rPr>
                <w:rFonts w:ascii="Arial"/>
                <w:sz w:val="21"/>
              </w:rPr>
            </w:pPr>
          </w:p>
        </w:tc>
        <w:tc>
          <w:tcPr>
            <w:tcW w:w="2146" w:type="dxa"/>
            <w:vMerge w:val="continue"/>
            <w:tcBorders>
              <w:top w:val="nil"/>
              <w:bottom w:val="nil"/>
            </w:tcBorders>
            <w:vAlign w:val="top"/>
          </w:tcPr>
          <w:p w14:paraId="33C8AA2F">
            <w:pPr>
              <w:rPr>
                <w:rFonts w:ascii="Arial"/>
                <w:sz w:val="21"/>
              </w:rPr>
            </w:pPr>
          </w:p>
        </w:tc>
      </w:tr>
      <w:tr w14:paraId="2BEAF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414" w:type="dxa"/>
            <w:vAlign w:val="top"/>
          </w:tcPr>
          <w:p w14:paraId="770BA67F">
            <w:pPr>
              <w:rPr>
                <w:rFonts w:ascii="Arial"/>
                <w:sz w:val="21"/>
              </w:rPr>
            </w:pPr>
          </w:p>
        </w:tc>
        <w:tc>
          <w:tcPr>
            <w:tcW w:w="2407" w:type="dxa"/>
            <w:vAlign w:val="top"/>
          </w:tcPr>
          <w:p w14:paraId="03CF15CB">
            <w:pPr>
              <w:rPr>
                <w:rFonts w:ascii="Arial"/>
                <w:sz w:val="21"/>
              </w:rPr>
            </w:pPr>
          </w:p>
        </w:tc>
        <w:tc>
          <w:tcPr>
            <w:tcW w:w="2407" w:type="dxa"/>
            <w:vAlign w:val="top"/>
          </w:tcPr>
          <w:p w14:paraId="3E7903F9">
            <w:pPr>
              <w:rPr>
                <w:rFonts w:ascii="Arial"/>
                <w:sz w:val="21"/>
              </w:rPr>
            </w:pPr>
          </w:p>
        </w:tc>
        <w:tc>
          <w:tcPr>
            <w:tcW w:w="2146" w:type="dxa"/>
            <w:vMerge w:val="continue"/>
            <w:tcBorders>
              <w:top w:val="nil"/>
              <w:bottom w:val="nil"/>
            </w:tcBorders>
            <w:vAlign w:val="top"/>
          </w:tcPr>
          <w:p w14:paraId="64122C47">
            <w:pPr>
              <w:rPr>
                <w:rFonts w:ascii="Arial"/>
                <w:sz w:val="21"/>
              </w:rPr>
            </w:pPr>
          </w:p>
        </w:tc>
      </w:tr>
      <w:tr w14:paraId="48131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414" w:type="dxa"/>
            <w:vAlign w:val="top"/>
          </w:tcPr>
          <w:p w14:paraId="104E8213">
            <w:pPr>
              <w:rPr>
                <w:rFonts w:ascii="Arial"/>
                <w:sz w:val="21"/>
              </w:rPr>
            </w:pPr>
          </w:p>
        </w:tc>
        <w:tc>
          <w:tcPr>
            <w:tcW w:w="2407" w:type="dxa"/>
            <w:vAlign w:val="top"/>
          </w:tcPr>
          <w:p w14:paraId="72320102">
            <w:pPr>
              <w:rPr>
                <w:rFonts w:ascii="Arial"/>
                <w:sz w:val="21"/>
              </w:rPr>
            </w:pPr>
          </w:p>
        </w:tc>
        <w:tc>
          <w:tcPr>
            <w:tcW w:w="2407" w:type="dxa"/>
            <w:vAlign w:val="top"/>
          </w:tcPr>
          <w:p w14:paraId="0C3EB225">
            <w:pPr>
              <w:rPr>
                <w:rFonts w:ascii="Arial"/>
                <w:sz w:val="21"/>
              </w:rPr>
            </w:pPr>
          </w:p>
        </w:tc>
        <w:tc>
          <w:tcPr>
            <w:tcW w:w="2146" w:type="dxa"/>
            <w:vMerge w:val="continue"/>
            <w:tcBorders>
              <w:top w:val="nil"/>
              <w:bottom w:val="nil"/>
            </w:tcBorders>
            <w:vAlign w:val="top"/>
          </w:tcPr>
          <w:p w14:paraId="74EC1AFB">
            <w:pPr>
              <w:rPr>
                <w:rFonts w:ascii="Arial"/>
                <w:sz w:val="21"/>
              </w:rPr>
            </w:pPr>
          </w:p>
        </w:tc>
      </w:tr>
      <w:tr w14:paraId="16E58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414" w:type="dxa"/>
            <w:vAlign w:val="top"/>
          </w:tcPr>
          <w:p w14:paraId="7B5E453E">
            <w:pPr>
              <w:rPr>
                <w:rFonts w:ascii="Arial"/>
                <w:sz w:val="21"/>
              </w:rPr>
            </w:pPr>
          </w:p>
        </w:tc>
        <w:tc>
          <w:tcPr>
            <w:tcW w:w="2407" w:type="dxa"/>
            <w:vAlign w:val="top"/>
          </w:tcPr>
          <w:p w14:paraId="2C76F837">
            <w:pPr>
              <w:rPr>
                <w:rFonts w:ascii="Arial"/>
                <w:sz w:val="21"/>
              </w:rPr>
            </w:pPr>
          </w:p>
        </w:tc>
        <w:tc>
          <w:tcPr>
            <w:tcW w:w="2407" w:type="dxa"/>
            <w:vAlign w:val="top"/>
          </w:tcPr>
          <w:p w14:paraId="4D184A78">
            <w:pPr>
              <w:rPr>
                <w:rFonts w:ascii="Arial"/>
                <w:sz w:val="21"/>
              </w:rPr>
            </w:pPr>
          </w:p>
        </w:tc>
        <w:tc>
          <w:tcPr>
            <w:tcW w:w="2146" w:type="dxa"/>
            <w:vMerge w:val="continue"/>
            <w:tcBorders>
              <w:top w:val="nil"/>
              <w:bottom w:val="nil"/>
            </w:tcBorders>
            <w:vAlign w:val="top"/>
          </w:tcPr>
          <w:p w14:paraId="2E073975">
            <w:pPr>
              <w:rPr>
                <w:rFonts w:ascii="Arial"/>
                <w:sz w:val="21"/>
              </w:rPr>
            </w:pPr>
          </w:p>
        </w:tc>
      </w:tr>
      <w:tr w14:paraId="4E76C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2414" w:type="dxa"/>
            <w:vAlign w:val="top"/>
          </w:tcPr>
          <w:p w14:paraId="71FA8A1E">
            <w:pPr>
              <w:rPr>
                <w:rFonts w:ascii="Arial"/>
                <w:sz w:val="21"/>
              </w:rPr>
            </w:pPr>
          </w:p>
        </w:tc>
        <w:tc>
          <w:tcPr>
            <w:tcW w:w="2407" w:type="dxa"/>
            <w:vAlign w:val="top"/>
          </w:tcPr>
          <w:p w14:paraId="44C6899A">
            <w:pPr>
              <w:rPr>
                <w:rFonts w:ascii="Arial"/>
                <w:sz w:val="21"/>
              </w:rPr>
            </w:pPr>
          </w:p>
        </w:tc>
        <w:tc>
          <w:tcPr>
            <w:tcW w:w="2407" w:type="dxa"/>
            <w:vAlign w:val="top"/>
          </w:tcPr>
          <w:p w14:paraId="0364E12F">
            <w:pPr>
              <w:rPr>
                <w:rFonts w:ascii="Arial"/>
                <w:sz w:val="21"/>
              </w:rPr>
            </w:pPr>
          </w:p>
        </w:tc>
        <w:tc>
          <w:tcPr>
            <w:tcW w:w="2146" w:type="dxa"/>
            <w:vMerge w:val="continue"/>
            <w:tcBorders>
              <w:top w:val="nil"/>
              <w:bottom w:val="nil"/>
            </w:tcBorders>
            <w:vAlign w:val="top"/>
          </w:tcPr>
          <w:p w14:paraId="24B2E643">
            <w:pPr>
              <w:rPr>
                <w:rFonts w:ascii="Arial"/>
                <w:sz w:val="21"/>
              </w:rPr>
            </w:pPr>
          </w:p>
        </w:tc>
      </w:tr>
      <w:tr w14:paraId="355A0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414" w:type="dxa"/>
            <w:vAlign w:val="top"/>
          </w:tcPr>
          <w:p w14:paraId="0D1AC7B3">
            <w:pPr>
              <w:rPr>
                <w:rFonts w:ascii="Arial"/>
                <w:sz w:val="21"/>
              </w:rPr>
            </w:pPr>
          </w:p>
        </w:tc>
        <w:tc>
          <w:tcPr>
            <w:tcW w:w="2407" w:type="dxa"/>
            <w:vAlign w:val="top"/>
          </w:tcPr>
          <w:p w14:paraId="399D176A">
            <w:pPr>
              <w:rPr>
                <w:rFonts w:ascii="Arial"/>
                <w:sz w:val="21"/>
              </w:rPr>
            </w:pPr>
          </w:p>
        </w:tc>
        <w:tc>
          <w:tcPr>
            <w:tcW w:w="2407" w:type="dxa"/>
            <w:vAlign w:val="top"/>
          </w:tcPr>
          <w:p w14:paraId="6ABB6D90">
            <w:pPr>
              <w:rPr>
                <w:rFonts w:ascii="Arial"/>
                <w:sz w:val="21"/>
              </w:rPr>
            </w:pPr>
          </w:p>
        </w:tc>
        <w:tc>
          <w:tcPr>
            <w:tcW w:w="2146" w:type="dxa"/>
            <w:vMerge w:val="continue"/>
            <w:tcBorders>
              <w:top w:val="nil"/>
              <w:bottom w:val="nil"/>
            </w:tcBorders>
            <w:vAlign w:val="top"/>
          </w:tcPr>
          <w:p w14:paraId="5044A3AC">
            <w:pPr>
              <w:rPr>
                <w:rFonts w:ascii="Arial"/>
                <w:sz w:val="21"/>
              </w:rPr>
            </w:pPr>
          </w:p>
        </w:tc>
      </w:tr>
      <w:tr w14:paraId="483B9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2414" w:type="dxa"/>
            <w:vAlign w:val="top"/>
          </w:tcPr>
          <w:p w14:paraId="24C4D289">
            <w:pPr>
              <w:rPr>
                <w:rFonts w:ascii="Arial"/>
                <w:sz w:val="21"/>
              </w:rPr>
            </w:pPr>
          </w:p>
        </w:tc>
        <w:tc>
          <w:tcPr>
            <w:tcW w:w="2407" w:type="dxa"/>
            <w:vAlign w:val="top"/>
          </w:tcPr>
          <w:p w14:paraId="7C806886">
            <w:pPr>
              <w:rPr>
                <w:rFonts w:ascii="Arial"/>
                <w:sz w:val="21"/>
              </w:rPr>
            </w:pPr>
          </w:p>
        </w:tc>
        <w:tc>
          <w:tcPr>
            <w:tcW w:w="2407" w:type="dxa"/>
            <w:vAlign w:val="top"/>
          </w:tcPr>
          <w:p w14:paraId="1E771325">
            <w:pPr>
              <w:rPr>
                <w:rFonts w:ascii="Arial"/>
                <w:sz w:val="21"/>
              </w:rPr>
            </w:pPr>
          </w:p>
        </w:tc>
        <w:tc>
          <w:tcPr>
            <w:tcW w:w="2146" w:type="dxa"/>
            <w:vMerge w:val="continue"/>
            <w:tcBorders>
              <w:top w:val="nil"/>
              <w:bottom w:val="nil"/>
            </w:tcBorders>
            <w:vAlign w:val="top"/>
          </w:tcPr>
          <w:p w14:paraId="51550D91">
            <w:pPr>
              <w:rPr>
                <w:rFonts w:ascii="Arial"/>
                <w:sz w:val="21"/>
              </w:rPr>
            </w:pPr>
          </w:p>
        </w:tc>
      </w:tr>
      <w:tr w14:paraId="39B80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414" w:type="dxa"/>
            <w:vAlign w:val="top"/>
          </w:tcPr>
          <w:p w14:paraId="6122E26C">
            <w:pPr>
              <w:rPr>
                <w:rFonts w:ascii="Arial"/>
                <w:sz w:val="21"/>
              </w:rPr>
            </w:pPr>
          </w:p>
        </w:tc>
        <w:tc>
          <w:tcPr>
            <w:tcW w:w="2407" w:type="dxa"/>
            <w:vAlign w:val="top"/>
          </w:tcPr>
          <w:p w14:paraId="3AB82A35">
            <w:pPr>
              <w:rPr>
                <w:rFonts w:ascii="Arial"/>
                <w:sz w:val="21"/>
              </w:rPr>
            </w:pPr>
          </w:p>
        </w:tc>
        <w:tc>
          <w:tcPr>
            <w:tcW w:w="2407" w:type="dxa"/>
            <w:vAlign w:val="top"/>
          </w:tcPr>
          <w:p w14:paraId="16D62CEB">
            <w:pPr>
              <w:rPr>
                <w:rFonts w:ascii="Arial"/>
                <w:sz w:val="21"/>
              </w:rPr>
            </w:pPr>
          </w:p>
        </w:tc>
        <w:tc>
          <w:tcPr>
            <w:tcW w:w="2146" w:type="dxa"/>
            <w:vMerge w:val="continue"/>
            <w:tcBorders>
              <w:top w:val="nil"/>
              <w:bottom w:val="nil"/>
            </w:tcBorders>
            <w:vAlign w:val="top"/>
          </w:tcPr>
          <w:p w14:paraId="005F83AC">
            <w:pPr>
              <w:rPr>
                <w:rFonts w:ascii="Arial"/>
                <w:sz w:val="21"/>
              </w:rPr>
            </w:pPr>
          </w:p>
        </w:tc>
      </w:tr>
      <w:tr w14:paraId="41DFD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2414" w:type="dxa"/>
            <w:vAlign w:val="top"/>
          </w:tcPr>
          <w:p w14:paraId="0B9619FE">
            <w:pPr>
              <w:rPr>
                <w:rFonts w:ascii="Arial"/>
                <w:sz w:val="21"/>
              </w:rPr>
            </w:pPr>
          </w:p>
        </w:tc>
        <w:tc>
          <w:tcPr>
            <w:tcW w:w="2407" w:type="dxa"/>
            <w:vAlign w:val="top"/>
          </w:tcPr>
          <w:p w14:paraId="4C98AB13">
            <w:pPr>
              <w:rPr>
                <w:rFonts w:ascii="Arial"/>
                <w:sz w:val="21"/>
              </w:rPr>
            </w:pPr>
          </w:p>
        </w:tc>
        <w:tc>
          <w:tcPr>
            <w:tcW w:w="2407" w:type="dxa"/>
            <w:vAlign w:val="top"/>
          </w:tcPr>
          <w:p w14:paraId="28688092">
            <w:pPr>
              <w:rPr>
                <w:rFonts w:ascii="Arial"/>
                <w:sz w:val="21"/>
              </w:rPr>
            </w:pPr>
          </w:p>
        </w:tc>
        <w:tc>
          <w:tcPr>
            <w:tcW w:w="2146" w:type="dxa"/>
            <w:vMerge w:val="continue"/>
            <w:tcBorders>
              <w:top w:val="nil"/>
              <w:bottom w:val="nil"/>
            </w:tcBorders>
            <w:vAlign w:val="top"/>
          </w:tcPr>
          <w:p w14:paraId="2F5FE502">
            <w:pPr>
              <w:rPr>
                <w:rFonts w:ascii="Arial"/>
                <w:sz w:val="21"/>
              </w:rPr>
            </w:pPr>
          </w:p>
        </w:tc>
      </w:tr>
      <w:tr w14:paraId="0CCA0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414" w:type="dxa"/>
            <w:vAlign w:val="top"/>
          </w:tcPr>
          <w:p w14:paraId="2C23EFFF">
            <w:pPr>
              <w:rPr>
                <w:rFonts w:ascii="Arial"/>
                <w:sz w:val="21"/>
              </w:rPr>
            </w:pPr>
          </w:p>
        </w:tc>
        <w:tc>
          <w:tcPr>
            <w:tcW w:w="2407" w:type="dxa"/>
            <w:vAlign w:val="top"/>
          </w:tcPr>
          <w:p w14:paraId="06A4AD31">
            <w:pPr>
              <w:rPr>
                <w:rFonts w:ascii="Arial"/>
                <w:sz w:val="21"/>
              </w:rPr>
            </w:pPr>
          </w:p>
        </w:tc>
        <w:tc>
          <w:tcPr>
            <w:tcW w:w="2407" w:type="dxa"/>
            <w:vAlign w:val="top"/>
          </w:tcPr>
          <w:p w14:paraId="1E7217DF">
            <w:pPr>
              <w:rPr>
                <w:rFonts w:ascii="Arial"/>
                <w:sz w:val="21"/>
              </w:rPr>
            </w:pPr>
          </w:p>
        </w:tc>
        <w:tc>
          <w:tcPr>
            <w:tcW w:w="2146" w:type="dxa"/>
            <w:vMerge w:val="continue"/>
            <w:tcBorders>
              <w:top w:val="nil"/>
              <w:bottom w:val="nil"/>
            </w:tcBorders>
            <w:vAlign w:val="top"/>
          </w:tcPr>
          <w:p w14:paraId="5E12E522">
            <w:pPr>
              <w:rPr>
                <w:rFonts w:ascii="Arial"/>
                <w:sz w:val="21"/>
              </w:rPr>
            </w:pPr>
          </w:p>
        </w:tc>
      </w:tr>
      <w:tr w14:paraId="1C68C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4821" w:type="dxa"/>
            <w:gridSpan w:val="2"/>
            <w:vAlign w:val="top"/>
          </w:tcPr>
          <w:p w14:paraId="05FF6F2B">
            <w:pPr>
              <w:pStyle w:val="14"/>
              <w:spacing w:before="164" w:line="218" w:lineRule="auto"/>
              <w:ind w:left="855"/>
              <w:rPr>
                <w:sz w:val="24"/>
                <w:szCs w:val="24"/>
              </w:rPr>
            </w:pPr>
            <w:r>
              <w:rPr>
                <w:spacing w:val="-1"/>
                <w:sz w:val="24"/>
                <w:szCs w:val="24"/>
              </w:rPr>
              <w:t>拟分包工程造价合计（万元）</w:t>
            </w:r>
          </w:p>
        </w:tc>
        <w:tc>
          <w:tcPr>
            <w:tcW w:w="2407" w:type="dxa"/>
            <w:vAlign w:val="top"/>
          </w:tcPr>
          <w:p w14:paraId="4F1F69D3">
            <w:pPr>
              <w:rPr>
                <w:rFonts w:ascii="Arial"/>
                <w:sz w:val="21"/>
              </w:rPr>
            </w:pPr>
          </w:p>
        </w:tc>
        <w:tc>
          <w:tcPr>
            <w:tcW w:w="2146" w:type="dxa"/>
            <w:vMerge w:val="continue"/>
            <w:tcBorders>
              <w:top w:val="nil"/>
            </w:tcBorders>
            <w:vAlign w:val="top"/>
          </w:tcPr>
          <w:p w14:paraId="10AE3AC2">
            <w:pPr>
              <w:rPr>
                <w:rFonts w:ascii="Arial"/>
                <w:sz w:val="21"/>
              </w:rPr>
            </w:pPr>
          </w:p>
        </w:tc>
      </w:tr>
    </w:tbl>
    <w:p w14:paraId="1E7D132E">
      <w:pPr>
        <w:spacing w:line="241" w:lineRule="auto"/>
        <w:rPr>
          <w:rFonts w:ascii="Arial"/>
          <w:sz w:val="21"/>
        </w:rPr>
      </w:pPr>
    </w:p>
    <w:p w14:paraId="5DCD629E">
      <w:pPr>
        <w:spacing w:before="65" w:line="232" w:lineRule="auto"/>
        <w:ind w:left="166"/>
        <w:rPr>
          <w:rFonts w:ascii="宋体" w:hAnsi="宋体" w:eastAsia="宋体" w:cs="宋体"/>
          <w:sz w:val="20"/>
          <w:szCs w:val="20"/>
        </w:rPr>
      </w:pPr>
      <w:r>
        <w:rPr>
          <w:rFonts w:ascii="宋体" w:hAnsi="宋体" w:eastAsia="宋体" w:cs="宋体"/>
          <w:sz w:val="20"/>
          <w:szCs w:val="20"/>
        </w:rPr>
        <w:t>注：</w:t>
      </w:r>
    </w:p>
    <w:p w14:paraId="4B743591">
      <w:pPr>
        <w:spacing w:before="19" w:line="227" w:lineRule="auto"/>
        <w:ind w:left="181"/>
        <w:rPr>
          <w:rFonts w:ascii="宋体" w:hAnsi="宋体" w:eastAsia="宋体" w:cs="宋体"/>
          <w:sz w:val="20"/>
          <w:szCs w:val="20"/>
        </w:rPr>
      </w:pPr>
      <w:r>
        <w:rPr>
          <w:rFonts w:ascii="宋体" w:hAnsi="宋体" w:eastAsia="宋体" w:cs="宋体"/>
          <w:spacing w:val="8"/>
          <w:sz w:val="20"/>
          <w:szCs w:val="20"/>
        </w:rPr>
        <w:t>1、若投标人中标须按本招标文件的约定执行。</w:t>
      </w:r>
    </w:p>
    <w:p w14:paraId="62A8D99C">
      <w:pPr>
        <w:spacing w:before="28" w:line="226" w:lineRule="auto"/>
        <w:ind w:left="168"/>
        <w:rPr>
          <w:rFonts w:ascii="宋体" w:hAnsi="宋体" w:eastAsia="宋体" w:cs="宋体"/>
          <w:sz w:val="20"/>
          <w:szCs w:val="20"/>
        </w:rPr>
      </w:pPr>
      <w:r>
        <w:rPr>
          <w:rFonts w:ascii="宋体" w:hAnsi="宋体" w:eastAsia="宋体" w:cs="宋体"/>
          <w:spacing w:val="8"/>
          <w:sz w:val="20"/>
          <w:szCs w:val="20"/>
        </w:rPr>
        <w:t>2、本表填写的造价不属于投标报价的内容。</w:t>
      </w:r>
    </w:p>
    <w:p w14:paraId="7BF97FFE">
      <w:pPr>
        <w:spacing w:before="26" w:line="227" w:lineRule="auto"/>
        <w:ind w:left="170"/>
        <w:rPr>
          <w:rFonts w:ascii="宋体" w:hAnsi="宋体" w:eastAsia="宋体" w:cs="宋体"/>
          <w:sz w:val="20"/>
          <w:szCs w:val="20"/>
        </w:rPr>
      </w:pPr>
      <w:r>
        <w:rPr>
          <w:rFonts w:ascii="宋体" w:hAnsi="宋体" w:eastAsia="宋体" w:cs="宋体"/>
          <w:spacing w:val="8"/>
          <w:sz w:val="20"/>
          <w:szCs w:val="20"/>
        </w:rPr>
        <w:t>3、如投标人不具备拟分包工程所需的某专项工程相应资质或投标人如有分包计划，应符合招标文件</w:t>
      </w:r>
    </w:p>
    <w:p w14:paraId="0B8C3793">
      <w:pPr>
        <w:spacing w:before="27" w:line="227" w:lineRule="auto"/>
        <w:ind w:left="166"/>
        <w:rPr>
          <w:rFonts w:ascii="宋体" w:hAnsi="宋体" w:eastAsia="宋体" w:cs="宋体"/>
          <w:sz w:val="20"/>
          <w:szCs w:val="20"/>
        </w:rPr>
      </w:pPr>
      <w:r>
        <w:rPr>
          <w:rFonts w:ascii="宋体" w:hAnsi="宋体" w:eastAsia="宋体" w:cs="宋体"/>
          <w:spacing w:val="8"/>
          <w:sz w:val="20"/>
          <w:szCs w:val="20"/>
        </w:rPr>
        <w:t>第二章“投标人须知</w:t>
      </w:r>
      <w:r>
        <w:rPr>
          <w:rFonts w:ascii="宋体" w:hAnsi="宋体" w:eastAsia="宋体" w:cs="宋体"/>
          <w:spacing w:val="-57"/>
          <w:sz w:val="20"/>
          <w:szCs w:val="20"/>
        </w:rPr>
        <w:t xml:space="preserve"> </w:t>
      </w:r>
      <w:r>
        <w:rPr>
          <w:rFonts w:ascii="宋体" w:hAnsi="宋体" w:eastAsia="宋体" w:cs="宋体"/>
          <w:spacing w:val="8"/>
          <w:sz w:val="20"/>
          <w:szCs w:val="20"/>
        </w:rPr>
        <w:t>” 第</w:t>
      </w:r>
      <w:r>
        <w:rPr>
          <w:rFonts w:ascii="宋体" w:hAnsi="宋体" w:eastAsia="宋体" w:cs="宋体"/>
          <w:spacing w:val="-24"/>
          <w:sz w:val="20"/>
          <w:szCs w:val="20"/>
        </w:rPr>
        <w:t xml:space="preserve"> </w:t>
      </w:r>
      <w:r>
        <w:rPr>
          <w:rFonts w:ascii="宋体" w:hAnsi="宋体" w:eastAsia="宋体" w:cs="宋体"/>
          <w:spacing w:val="8"/>
          <w:sz w:val="20"/>
          <w:szCs w:val="20"/>
        </w:rPr>
        <w:t>1.11款规定，且按本表的要求填写。</w:t>
      </w:r>
    </w:p>
    <w:p w14:paraId="7D8EEABD">
      <w:pPr>
        <w:spacing w:line="464" w:lineRule="auto"/>
        <w:rPr>
          <w:rFonts w:hint="eastAsia" w:ascii="Arial" w:eastAsia="宋体"/>
          <w:sz w:val="21"/>
          <w:lang w:eastAsia="zh-CN"/>
        </w:rPr>
      </w:pPr>
      <w:r>
        <w:rPr>
          <w:rFonts w:hint="eastAsia" w:ascii="Arial" w:eastAsia="宋体"/>
          <w:sz w:val="21"/>
          <w:lang w:eastAsia="zh-CN"/>
        </w:rPr>
        <w:br w:type="page"/>
      </w:r>
    </w:p>
    <w:p w14:paraId="1B11ABBB">
      <w:pPr>
        <w:keepNext w:val="0"/>
        <w:keepLines w:val="0"/>
        <w:pageBreakBefore w:val="0"/>
        <w:widowControl/>
        <w:numPr>
          <w:ilvl w:val="0"/>
          <w:numId w:val="9"/>
        </w:numPr>
        <w:kinsoku w:val="0"/>
        <w:wordWrap/>
        <w:overflowPunct/>
        <w:topLinePunct w:val="0"/>
        <w:autoSpaceDE w:val="0"/>
        <w:autoSpaceDN w:val="0"/>
        <w:bidi w:val="0"/>
        <w:adjustRightInd w:val="0"/>
        <w:snapToGrid w:val="0"/>
        <w:spacing w:line="353" w:lineRule="auto"/>
        <w:ind w:left="3333" w:leftChars="0" w:right="0" w:firstLine="237" w:firstLineChars="0"/>
        <w:jc w:val="both"/>
        <w:textAlignment w:val="baseline"/>
        <w:rPr>
          <w:rFonts w:ascii="宋体" w:hAnsi="宋体" w:eastAsia="宋体" w:cs="宋体"/>
          <w:b/>
          <w:bCs/>
          <w:spacing w:val="-3"/>
          <w:sz w:val="24"/>
          <w:szCs w:val="24"/>
        </w:rPr>
      </w:pPr>
      <w:r>
        <w:rPr>
          <w:rFonts w:ascii="宋体" w:hAnsi="宋体" w:eastAsia="宋体" w:cs="宋体"/>
          <w:b/>
          <w:bCs/>
          <w:spacing w:val="-4"/>
          <w:sz w:val="28"/>
          <w:szCs w:val="28"/>
        </w:rPr>
        <w:t>资格审查资料</w:t>
      </w:r>
      <w:r>
        <w:rPr>
          <w:rFonts w:ascii="宋体" w:hAnsi="宋体" w:eastAsia="宋体" w:cs="宋体"/>
          <w:b/>
          <w:bCs/>
          <w:spacing w:val="-3"/>
          <w:sz w:val="24"/>
          <w:szCs w:val="24"/>
        </w:rPr>
        <w:t>表</w:t>
      </w:r>
    </w:p>
    <w:p w14:paraId="2E3C09B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53" w:lineRule="auto"/>
        <w:ind w:left="0" w:leftChars="0" w:right="0" w:rightChars="0"/>
        <w:jc w:val="center"/>
        <w:textAlignment w:val="baseline"/>
        <w:rPr>
          <w:rFonts w:ascii="宋体" w:hAnsi="宋体" w:eastAsia="宋体" w:cs="宋体"/>
          <w:sz w:val="24"/>
          <w:szCs w:val="24"/>
        </w:rPr>
      </w:pPr>
      <w:r>
        <w:rPr>
          <w:rFonts w:ascii="宋体" w:hAnsi="宋体" w:eastAsia="宋体" w:cs="宋体"/>
          <w:b/>
          <w:bCs/>
          <w:spacing w:val="-3"/>
          <w:sz w:val="24"/>
          <w:szCs w:val="24"/>
        </w:rPr>
        <w:t>8-1</w:t>
      </w:r>
      <w:r>
        <w:rPr>
          <w:rFonts w:ascii="宋体" w:hAnsi="宋体" w:eastAsia="宋体" w:cs="宋体"/>
          <w:spacing w:val="-3"/>
          <w:sz w:val="24"/>
          <w:szCs w:val="24"/>
        </w:rPr>
        <w:t xml:space="preserve"> </w:t>
      </w:r>
      <w:r>
        <w:rPr>
          <w:rFonts w:ascii="宋体" w:hAnsi="宋体" w:eastAsia="宋体" w:cs="宋体"/>
          <w:b/>
          <w:bCs/>
          <w:spacing w:val="-3"/>
          <w:sz w:val="24"/>
          <w:szCs w:val="24"/>
        </w:rPr>
        <w:t>投标基本情况表</w:t>
      </w:r>
    </w:p>
    <w:tbl>
      <w:tblPr>
        <w:tblStyle w:val="13"/>
        <w:tblW w:w="96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58"/>
        <w:gridCol w:w="997"/>
        <w:gridCol w:w="825"/>
        <w:gridCol w:w="826"/>
        <w:gridCol w:w="413"/>
        <w:gridCol w:w="305"/>
        <w:gridCol w:w="1263"/>
        <w:gridCol w:w="282"/>
        <w:gridCol w:w="846"/>
        <w:gridCol w:w="1756"/>
      </w:tblGrid>
      <w:tr w14:paraId="0BEB3F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158" w:type="dxa"/>
            <w:vAlign w:val="top"/>
          </w:tcPr>
          <w:p w14:paraId="2967218C">
            <w:pPr>
              <w:pStyle w:val="14"/>
              <w:spacing w:before="185" w:line="220" w:lineRule="auto"/>
              <w:ind w:left="489"/>
              <w:rPr>
                <w:sz w:val="24"/>
                <w:szCs w:val="24"/>
              </w:rPr>
            </w:pPr>
            <w:r>
              <w:rPr>
                <w:spacing w:val="-3"/>
                <w:sz w:val="24"/>
                <w:szCs w:val="24"/>
              </w:rPr>
              <w:t>投标人名称</w:t>
            </w:r>
          </w:p>
        </w:tc>
        <w:tc>
          <w:tcPr>
            <w:tcW w:w="7513" w:type="dxa"/>
            <w:gridSpan w:val="9"/>
            <w:vAlign w:val="top"/>
          </w:tcPr>
          <w:p w14:paraId="119474B2">
            <w:pPr>
              <w:rPr>
                <w:rFonts w:ascii="Arial"/>
                <w:sz w:val="21"/>
              </w:rPr>
            </w:pPr>
          </w:p>
        </w:tc>
      </w:tr>
      <w:tr w14:paraId="57840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2158" w:type="dxa"/>
            <w:vAlign w:val="top"/>
          </w:tcPr>
          <w:p w14:paraId="54527F3A">
            <w:pPr>
              <w:pStyle w:val="14"/>
              <w:spacing w:before="179" w:line="221" w:lineRule="auto"/>
              <w:ind w:left="606"/>
              <w:rPr>
                <w:sz w:val="24"/>
                <w:szCs w:val="24"/>
              </w:rPr>
            </w:pPr>
            <w:r>
              <w:rPr>
                <w:spacing w:val="-3"/>
                <w:sz w:val="24"/>
                <w:szCs w:val="24"/>
              </w:rPr>
              <w:t>注册地址</w:t>
            </w:r>
          </w:p>
        </w:tc>
        <w:tc>
          <w:tcPr>
            <w:tcW w:w="3366" w:type="dxa"/>
            <w:gridSpan w:val="5"/>
            <w:vAlign w:val="top"/>
          </w:tcPr>
          <w:p w14:paraId="09A53E59">
            <w:pPr>
              <w:rPr>
                <w:rFonts w:ascii="Arial"/>
                <w:sz w:val="21"/>
              </w:rPr>
            </w:pPr>
          </w:p>
        </w:tc>
        <w:tc>
          <w:tcPr>
            <w:tcW w:w="1263" w:type="dxa"/>
            <w:vAlign w:val="top"/>
          </w:tcPr>
          <w:p w14:paraId="3AE90816">
            <w:pPr>
              <w:pStyle w:val="14"/>
              <w:spacing w:before="180" w:line="219" w:lineRule="auto"/>
              <w:ind w:left="176"/>
              <w:rPr>
                <w:sz w:val="24"/>
                <w:szCs w:val="24"/>
              </w:rPr>
            </w:pPr>
            <w:r>
              <w:rPr>
                <w:spacing w:val="-7"/>
                <w:sz w:val="24"/>
                <w:szCs w:val="24"/>
              </w:rPr>
              <w:t>邮政编码</w:t>
            </w:r>
          </w:p>
        </w:tc>
        <w:tc>
          <w:tcPr>
            <w:tcW w:w="2884" w:type="dxa"/>
            <w:gridSpan w:val="3"/>
            <w:vAlign w:val="top"/>
          </w:tcPr>
          <w:p w14:paraId="3BE9B1F6">
            <w:pPr>
              <w:rPr>
                <w:rFonts w:ascii="Arial"/>
                <w:sz w:val="21"/>
              </w:rPr>
            </w:pPr>
          </w:p>
        </w:tc>
      </w:tr>
      <w:tr w14:paraId="6C28C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2158" w:type="dxa"/>
            <w:vMerge w:val="restart"/>
            <w:tcBorders>
              <w:bottom w:val="nil"/>
            </w:tcBorders>
            <w:vAlign w:val="top"/>
          </w:tcPr>
          <w:p w14:paraId="1CFE9FF2">
            <w:pPr>
              <w:spacing w:line="359" w:lineRule="auto"/>
              <w:rPr>
                <w:rFonts w:ascii="Arial"/>
                <w:sz w:val="21"/>
              </w:rPr>
            </w:pPr>
          </w:p>
          <w:p w14:paraId="2CD4BF78">
            <w:pPr>
              <w:pStyle w:val="14"/>
              <w:spacing w:before="78" w:line="221" w:lineRule="auto"/>
              <w:ind w:left="607"/>
              <w:rPr>
                <w:sz w:val="24"/>
                <w:szCs w:val="24"/>
              </w:rPr>
            </w:pPr>
            <w:r>
              <w:rPr>
                <w:spacing w:val="-3"/>
                <w:sz w:val="24"/>
                <w:szCs w:val="24"/>
              </w:rPr>
              <w:t>联系方式</w:t>
            </w:r>
          </w:p>
        </w:tc>
        <w:tc>
          <w:tcPr>
            <w:tcW w:w="997" w:type="dxa"/>
            <w:vAlign w:val="top"/>
          </w:tcPr>
          <w:p w14:paraId="1854F7E8">
            <w:pPr>
              <w:pStyle w:val="14"/>
              <w:spacing w:before="181" w:line="221" w:lineRule="auto"/>
              <w:ind w:left="144"/>
              <w:rPr>
                <w:sz w:val="24"/>
                <w:szCs w:val="24"/>
              </w:rPr>
            </w:pPr>
            <w:r>
              <w:rPr>
                <w:spacing w:val="-4"/>
                <w:sz w:val="24"/>
                <w:szCs w:val="24"/>
              </w:rPr>
              <w:t>联系人</w:t>
            </w:r>
          </w:p>
        </w:tc>
        <w:tc>
          <w:tcPr>
            <w:tcW w:w="2369" w:type="dxa"/>
            <w:gridSpan w:val="4"/>
            <w:vAlign w:val="top"/>
          </w:tcPr>
          <w:p w14:paraId="3838B813">
            <w:pPr>
              <w:rPr>
                <w:rFonts w:ascii="Arial"/>
                <w:sz w:val="21"/>
              </w:rPr>
            </w:pPr>
          </w:p>
        </w:tc>
        <w:tc>
          <w:tcPr>
            <w:tcW w:w="1263" w:type="dxa"/>
            <w:vAlign w:val="top"/>
          </w:tcPr>
          <w:p w14:paraId="3A2EE345">
            <w:pPr>
              <w:pStyle w:val="14"/>
              <w:spacing w:before="181" w:line="221" w:lineRule="auto"/>
              <w:ind w:left="366"/>
              <w:rPr>
                <w:sz w:val="24"/>
                <w:szCs w:val="24"/>
              </w:rPr>
            </w:pPr>
            <w:r>
              <w:rPr>
                <w:spacing w:val="-19"/>
                <w:sz w:val="24"/>
                <w:szCs w:val="24"/>
              </w:rPr>
              <w:t>电</w:t>
            </w:r>
            <w:r>
              <w:rPr>
                <w:spacing w:val="9"/>
                <w:sz w:val="24"/>
                <w:szCs w:val="24"/>
              </w:rPr>
              <w:t xml:space="preserve"> </w:t>
            </w:r>
            <w:r>
              <w:rPr>
                <w:spacing w:val="-19"/>
                <w:sz w:val="24"/>
                <w:szCs w:val="24"/>
              </w:rPr>
              <w:t>话</w:t>
            </w:r>
          </w:p>
        </w:tc>
        <w:tc>
          <w:tcPr>
            <w:tcW w:w="2884" w:type="dxa"/>
            <w:gridSpan w:val="3"/>
            <w:vAlign w:val="top"/>
          </w:tcPr>
          <w:p w14:paraId="01890CF3">
            <w:pPr>
              <w:rPr>
                <w:rFonts w:ascii="Arial"/>
                <w:sz w:val="21"/>
              </w:rPr>
            </w:pPr>
          </w:p>
        </w:tc>
      </w:tr>
      <w:tr w14:paraId="39B27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2158" w:type="dxa"/>
            <w:vMerge w:val="continue"/>
            <w:tcBorders>
              <w:top w:val="nil"/>
            </w:tcBorders>
            <w:vAlign w:val="top"/>
          </w:tcPr>
          <w:p w14:paraId="7BC5AB74">
            <w:pPr>
              <w:rPr>
                <w:rFonts w:ascii="Arial"/>
                <w:sz w:val="21"/>
              </w:rPr>
            </w:pPr>
          </w:p>
        </w:tc>
        <w:tc>
          <w:tcPr>
            <w:tcW w:w="997" w:type="dxa"/>
            <w:vAlign w:val="top"/>
          </w:tcPr>
          <w:p w14:paraId="57CE1EDB">
            <w:pPr>
              <w:pStyle w:val="14"/>
              <w:spacing w:before="180" w:line="219" w:lineRule="auto"/>
              <w:ind w:left="141"/>
              <w:rPr>
                <w:sz w:val="24"/>
                <w:szCs w:val="24"/>
              </w:rPr>
            </w:pPr>
            <w:r>
              <w:rPr>
                <w:spacing w:val="-4"/>
                <w:sz w:val="24"/>
                <w:szCs w:val="24"/>
              </w:rPr>
              <w:t>传</w:t>
            </w:r>
            <w:r>
              <w:rPr>
                <w:spacing w:val="6"/>
                <w:sz w:val="24"/>
                <w:szCs w:val="24"/>
              </w:rPr>
              <w:t xml:space="preserve">  </w:t>
            </w:r>
            <w:r>
              <w:rPr>
                <w:spacing w:val="-4"/>
                <w:sz w:val="24"/>
                <w:szCs w:val="24"/>
              </w:rPr>
              <w:t>真</w:t>
            </w:r>
          </w:p>
        </w:tc>
        <w:tc>
          <w:tcPr>
            <w:tcW w:w="2369" w:type="dxa"/>
            <w:gridSpan w:val="4"/>
            <w:vAlign w:val="top"/>
          </w:tcPr>
          <w:p w14:paraId="2C489CA1">
            <w:pPr>
              <w:rPr>
                <w:rFonts w:ascii="Arial"/>
                <w:sz w:val="21"/>
              </w:rPr>
            </w:pPr>
          </w:p>
        </w:tc>
        <w:tc>
          <w:tcPr>
            <w:tcW w:w="1263" w:type="dxa"/>
            <w:vAlign w:val="top"/>
          </w:tcPr>
          <w:p w14:paraId="65D3E35D">
            <w:pPr>
              <w:pStyle w:val="14"/>
              <w:spacing w:before="181" w:line="219" w:lineRule="auto"/>
              <w:ind w:left="186"/>
              <w:rPr>
                <w:sz w:val="24"/>
                <w:szCs w:val="24"/>
              </w:rPr>
            </w:pPr>
            <w:r>
              <w:rPr>
                <w:spacing w:val="-10"/>
                <w:sz w:val="24"/>
                <w:szCs w:val="24"/>
              </w:rPr>
              <w:t>电子邮件</w:t>
            </w:r>
          </w:p>
        </w:tc>
        <w:tc>
          <w:tcPr>
            <w:tcW w:w="2884" w:type="dxa"/>
            <w:gridSpan w:val="3"/>
            <w:vAlign w:val="top"/>
          </w:tcPr>
          <w:p w14:paraId="4F6C8020">
            <w:pPr>
              <w:rPr>
                <w:rFonts w:ascii="Arial"/>
                <w:sz w:val="21"/>
              </w:rPr>
            </w:pPr>
          </w:p>
        </w:tc>
      </w:tr>
      <w:tr w14:paraId="756B17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2158" w:type="dxa"/>
            <w:vAlign w:val="top"/>
          </w:tcPr>
          <w:p w14:paraId="39D0C59D">
            <w:pPr>
              <w:pStyle w:val="14"/>
              <w:spacing w:before="180" w:line="219" w:lineRule="auto"/>
              <w:ind w:left="487"/>
              <w:rPr>
                <w:sz w:val="24"/>
                <w:szCs w:val="24"/>
              </w:rPr>
            </w:pPr>
            <w:r>
              <w:rPr>
                <w:spacing w:val="-3"/>
                <w:sz w:val="24"/>
                <w:szCs w:val="24"/>
              </w:rPr>
              <w:t>法定代表人</w:t>
            </w:r>
          </w:p>
        </w:tc>
        <w:tc>
          <w:tcPr>
            <w:tcW w:w="997" w:type="dxa"/>
            <w:vAlign w:val="top"/>
          </w:tcPr>
          <w:p w14:paraId="5AA3B3AA">
            <w:pPr>
              <w:pStyle w:val="14"/>
              <w:spacing w:before="180" w:line="219" w:lineRule="auto"/>
              <w:ind w:left="263"/>
              <w:rPr>
                <w:sz w:val="24"/>
                <w:szCs w:val="24"/>
              </w:rPr>
            </w:pPr>
            <w:r>
              <w:rPr>
                <w:spacing w:val="-5"/>
                <w:sz w:val="24"/>
                <w:szCs w:val="24"/>
              </w:rPr>
              <w:t>姓名</w:t>
            </w:r>
          </w:p>
        </w:tc>
        <w:tc>
          <w:tcPr>
            <w:tcW w:w="825" w:type="dxa"/>
            <w:vAlign w:val="top"/>
          </w:tcPr>
          <w:p w14:paraId="6D1E056C">
            <w:pPr>
              <w:rPr>
                <w:rFonts w:ascii="Arial"/>
                <w:sz w:val="21"/>
              </w:rPr>
            </w:pPr>
          </w:p>
        </w:tc>
        <w:tc>
          <w:tcPr>
            <w:tcW w:w="1239" w:type="dxa"/>
            <w:gridSpan w:val="2"/>
            <w:vAlign w:val="top"/>
          </w:tcPr>
          <w:p w14:paraId="192623E9">
            <w:pPr>
              <w:pStyle w:val="14"/>
              <w:spacing w:before="180" w:line="219" w:lineRule="auto"/>
              <w:ind w:left="146"/>
              <w:rPr>
                <w:sz w:val="24"/>
                <w:szCs w:val="24"/>
              </w:rPr>
            </w:pPr>
            <w:r>
              <w:rPr>
                <w:spacing w:val="-3"/>
                <w:sz w:val="24"/>
                <w:szCs w:val="24"/>
              </w:rPr>
              <w:t>技术职称</w:t>
            </w:r>
          </w:p>
        </w:tc>
        <w:tc>
          <w:tcPr>
            <w:tcW w:w="1568" w:type="dxa"/>
            <w:gridSpan w:val="2"/>
            <w:vAlign w:val="top"/>
          </w:tcPr>
          <w:p w14:paraId="04E8E80D">
            <w:pPr>
              <w:rPr>
                <w:rFonts w:ascii="Arial"/>
                <w:sz w:val="21"/>
              </w:rPr>
            </w:pPr>
          </w:p>
        </w:tc>
        <w:tc>
          <w:tcPr>
            <w:tcW w:w="1128" w:type="dxa"/>
            <w:gridSpan w:val="2"/>
            <w:vAlign w:val="top"/>
          </w:tcPr>
          <w:p w14:paraId="6CBCCEEE">
            <w:pPr>
              <w:pStyle w:val="14"/>
              <w:spacing w:before="180" w:line="221" w:lineRule="auto"/>
              <w:ind w:left="359"/>
              <w:rPr>
                <w:sz w:val="24"/>
                <w:szCs w:val="24"/>
              </w:rPr>
            </w:pPr>
            <w:r>
              <w:rPr>
                <w:spacing w:val="-19"/>
                <w:sz w:val="24"/>
                <w:szCs w:val="24"/>
              </w:rPr>
              <w:t>电话</w:t>
            </w:r>
          </w:p>
        </w:tc>
        <w:tc>
          <w:tcPr>
            <w:tcW w:w="1756" w:type="dxa"/>
            <w:vAlign w:val="top"/>
          </w:tcPr>
          <w:p w14:paraId="2A8334C2">
            <w:pPr>
              <w:rPr>
                <w:rFonts w:ascii="Arial"/>
                <w:sz w:val="21"/>
              </w:rPr>
            </w:pPr>
          </w:p>
        </w:tc>
      </w:tr>
      <w:tr w14:paraId="53E47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2158" w:type="dxa"/>
            <w:vAlign w:val="top"/>
          </w:tcPr>
          <w:p w14:paraId="2011D17C">
            <w:pPr>
              <w:pStyle w:val="14"/>
              <w:spacing w:before="180" w:line="219" w:lineRule="auto"/>
              <w:ind w:left="250"/>
              <w:rPr>
                <w:sz w:val="24"/>
                <w:szCs w:val="24"/>
              </w:rPr>
            </w:pPr>
            <w:r>
              <w:rPr>
                <w:spacing w:val="-2"/>
                <w:sz w:val="24"/>
                <w:szCs w:val="24"/>
              </w:rPr>
              <w:t>项目技术负责人</w:t>
            </w:r>
          </w:p>
        </w:tc>
        <w:tc>
          <w:tcPr>
            <w:tcW w:w="997" w:type="dxa"/>
            <w:vAlign w:val="top"/>
          </w:tcPr>
          <w:p w14:paraId="10D77181">
            <w:pPr>
              <w:pStyle w:val="14"/>
              <w:spacing w:before="180" w:line="219" w:lineRule="auto"/>
              <w:ind w:left="263"/>
              <w:rPr>
                <w:sz w:val="24"/>
                <w:szCs w:val="24"/>
              </w:rPr>
            </w:pPr>
            <w:r>
              <w:rPr>
                <w:spacing w:val="-5"/>
                <w:sz w:val="24"/>
                <w:szCs w:val="24"/>
              </w:rPr>
              <w:t>姓名</w:t>
            </w:r>
          </w:p>
        </w:tc>
        <w:tc>
          <w:tcPr>
            <w:tcW w:w="825" w:type="dxa"/>
            <w:vAlign w:val="top"/>
          </w:tcPr>
          <w:p w14:paraId="0C1155A0">
            <w:pPr>
              <w:rPr>
                <w:rFonts w:ascii="Arial"/>
                <w:sz w:val="21"/>
              </w:rPr>
            </w:pPr>
          </w:p>
        </w:tc>
        <w:tc>
          <w:tcPr>
            <w:tcW w:w="1239" w:type="dxa"/>
            <w:gridSpan w:val="2"/>
            <w:vAlign w:val="top"/>
          </w:tcPr>
          <w:p w14:paraId="75F4797D">
            <w:pPr>
              <w:pStyle w:val="14"/>
              <w:spacing w:before="180" w:line="219" w:lineRule="auto"/>
              <w:ind w:left="146"/>
              <w:rPr>
                <w:sz w:val="24"/>
                <w:szCs w:val="24"/>
              </w:rPr>
            </w:pPr>
            <w:r>
              <w:rPr>
                <w:spacing w:val="-3"/>
                <w:sz w:val="24"/>
                <w:szCs w:val="24"/>
              </w:rPr>
              <w:t>技术职称</w:t>
            </w:r>
          </w:p>
        </w:tc>
        <w:tc>
          <w:tcPr>
            <w:tcW w:w="1568" w:type="dxa"/>
            <w:gridSpan w:val="2"/>
            <w:vAlign w:val="top"/>
          </w:tcPr>
          <w:p w14:paraId="5F17F72E">
            <w:pPr>
              <w:rPr>
                <w:rFonts w:ascii="Arial"/>
                <w:sz w:val="21"/>
              </w:rPr>
            </w:pPr>
          </w:p>
        </w:tc>
        <w:tc>
          <w:tcPr>
            <w:tcW w:w="1128" w:type="dxa"/>
            <w:gridSpan w:val="2"/>
            <w:vAlign w:val="top"/>
          </w:tcPr>
          <w:p w14:paraId="439CC8A1">
            <w:pPr>
              <w:pStyle w:val="14"/>
              <w:spacing w:before="181" w:line="221" w:lineRule="auto"/>
              <w:ind w:left="359"/>
              <w:rPr>
                <w:sz w:val="24"/>
                <w:szCs w:val="24"/>
              </w:rPr>
            </w:pPr>
            <w:r>
              <w:rPr>
                <w:spacing w:val="-19"/>
                <w:sz w:val="24"/>
                <w:szCs w:val="24"/>
              </w:rPr>
              <w:t>电话</w:t>
            </w:r>
          </w:p>
        </w:tc>
        <w:tc>
          <w:tcPr>
            <w:tcW w:w="1756" w:type="dxa"/>
            <w:vAlign w:val="top"/>
          </w:tcPr>
          <w:p w14:paraId="239304EF">
            <w:pPr>
              <w:rPr>
                <w:rFonts w:ascii="Arial"/>
                <w:sz w:val="21"/>
              </w:rPr>
            </w:pPr>
          </w:p>
        </w:tc>
      </w:tr>
      <w:tr w14:paraId="34479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2158" w:type="dxa"/>
            <w:vAlign w:val="top"/>
          </w:tcPr>
          <w:p w14:paraId="057C2C2B">
            <w:pPr>
              <w:pStyle w:val="14"/>
              <w:spacing w:before="181" w:line="219" w:lineRule="auto"/>
              <w:ind w:left="494"/>
              <w:rPr>
                <w:sz w:val="24"/>
                <w:szCs w:val="24"/>
              </w:rPr>
            </w:pPr>
            <w:r>
              <w:rPr>
                <w:spacing w:val="-4"/>
                <w:sz w:val="24"/>
                <w:szCs w:val="24"/>
              </w:rPr>
              <w:t>营业执照号</w:t>
            </w:r>
          </w:p>
        </w:tc>
        <w:tc>
          <w:tcPr>
            <w:tcW w:w="1822" w:type="dxa"/>
            <w:gridSpan w:val="2"/>
            <w:vAlign w:val="top"/>
          </w:tcPr>
          <w:p w14:paraId="663DD050">
            <w:pPr>
              <w:rPr>
                <w:rFonts w:ascii="Arial"/>
                <w:sz w:val="21"/>
              </w:rPr>
            </w:pPr>
          </w:p>
        </w:tc>
        <w:tc>
          <w:tcPr>
            <w:tcW w:w="5691" w:type="dxa"/>
            <w:gridSpan w:val="7"/>
            <w:vAlign w:val="top"/>
          </w:tcPr>
          <w:p w14:paraId="53CBFA5A">
            <w:pPr>
              <w:pStyle w:val="14"/>
              <w:spacing w:before="181" w:line="219" w:lineRule="auto"/>
              <w:ind w:left="1323"/>
              <w:rPr>
                <w:sz w:val="24"/>
                <w:szCs w:val="24"/>
              </w:rPr>
            </w:pPr>
            <w:r>
              <w:rPr>
                <w:spacing w:val="-4"/>
                <w:sz w:val="24"/>
                <w:szCs w:val="24"/>
              </w:rPr>
              <w:t>员工总人数：</w:t>
            </w:r>
          </w:p>
        </w:tc>
      </w:tr>
      <w:tr w14:paraId="118A9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2158" w:type="dxa"/>
            <w:vAlign w:val="top"/>
          </w:tcPr>
          <w:p w14:paraId="5C2B341C">
            <w:pPr>
              <w:pStyle w:val="14"/>
              <w:spacing w:before="125" w:line="257" w:lineRule="auto"/>
              <w:ind w:left="490" w:right="155" w:hanging="360"/>
              <w:rPr>
                <w:sz w:val="24"/>
                <w:szCs w:val="24"/>
              </w:rPr>
            </w:pPr>
            <w:r>
              <w:rPr>
                <w:spacing w:val="-7"/>
                <w:sz w:val="24"/>
                <w:szCs w:val="24"/>
              </w:rPr>
              <w:t>企业资质（等级、</w:t>
            </w:r>
            <w:r>
              <w:rPr>
                <w:spacing w:val="-3"/>
                <w:sz w:val="24"/>
                <w:szCs w:val="24"/>
              </w:rPr>
              <w:t>发证机关）</w:t>
            </w:r>
          </w:p>
        </w:tc>
        <w:tc>
          <w:tcPr>
            <w:tcW w:w="1822" w:type="dxa"/>
            <w:gridSpan w:val="2"/>
            <w:vAlign w:val="top"/>
          </w:tcPr>
          <w:p w14:paraId="054D2012">
            <w:pPr>
              <w:rPr>
                <w:rFonts w:ascii="Arial"/>
                <w:sz w:val="21"/>
              </w:rPr>
            </w:pPr>
          </w:p>
        </w:tc>
        <w:tc>
          <w:tcPr>
            <w:tcW w:w="826" w:type="dxa"/>
            <w:vMerge w:val="restart"/>
            <w:tcBorders>
              <w:bottom w:val="nil"/>
            </w:tcBorders>
            <w:vAlign w:val="top"/>
          </w:tcPr>
          <w:p w14:paraId="54024B1D">
            <w:pPr>
              <w:spacing w:line="255" w:lineRule="auto"/>
              <w:rPr>
                <w:rFonts w:ascii="Arial"/>
                <w:sz w:val="21"/>
              </w:rPr>
            </w:pPr>
          </w:p>
          <w:p w14:paraId="434B09EF">
            <w:pPr>
              <w:spacing w:line="256" w:lineRule="auto"/>
              <w:rPr>
                <w:rFonts w:ascii="Arial"/>
                <w:sz w:val="21"/>
              </w:rPr>
            </w:pPr>
          </w:p>
          <w:p w14:paraId="53333552">
            <w:pPr>
              <w:spacing w:line="256" w:lineRule="auto"/>
              <w:rPr>
                <w:rFonts w:ascii="Arial"/>
                <w:sz w:val="21"/>
              </w:rPr>
            </w:pPr>
          </w:p>
          <w:p w14:paraId="328C2A88">
            <w:pPr>
              <w:spacing w:line="256" w:lineRule="auto"/>
              <w:rPr>
                <w:rFonts w:ascii="Arial"/>
                <w:sz w:val="21"/>
              </w:rPr>
            </w:pPr>
          </w:p>
          <w:p w14:paraId="15F76582">
            <w:pPr>
              <w:spacing w:line="256" w:lineRule="auto"/>
              <w:rPr>
                <w:rFonts w:ascii="Arial"/>
                <w:sz w:val="21"/>
              </w:rPr>
            </w:pPr>
          </w:p>
          <w:p w14:paraId="092B7BED">
            <w:pPr>
              <w:pStyle w:val="14"/>
              <w:spacing w:before="78" w:line="220" w:lineRule="auto"/>
              <w:ind w:left="179"/>
              <w:rPr>
                <w:sz w:val="24"/>
                <w:szCs w:val="24"/>
              </w:rPr>
            </w:pPr>
            <w:r>
              <w:rPr>
                <w:spacing w:val="-6"/>
                <w:sz w:val="24"/>
                <w:szCs w:val="24"/>
              </w:rPr>
              <w:t>其中</w:t>
            </w:r>
          </w:p>
        </w:tc>
        <w:tc>
          <w:tcPr>
            <w:tcW w:w="2263" w:type="dxa"/>
            <w:gridSpan w:val="4"/>
            <w:vAlign w:val="top"/>
          </w:tcPr>
          <w:p w14:paraId="04DE84D5">
            <w:pPr>
              <w:spacing w:line="246" w:lineRule="auto"/>
              <w:rPr>
                <w:rFonts w:ascii="Arial"/>
                <w:sz w:val="21"/>
              </w:rPr>
            </w:pPr>
          </w:p>
          <w:p w14:paraId="1C1E5A7B">
            <w:pPr>
              <w:pStyle w:val="14"/>
              <w:spacing w:before="78" w:line="219" w:lineRule="auto"/>
              <w:ind w:left="542"/>
              <w:rPr>
                <w:sz w:val="24"/>
                <w:szCs w:val="24"/>
              </w:rPr>
            </w:pPr>
            <w:r>
              <w:rPr>
                <w:spacing w:val="-3"/>
                <w:sz w:val="24"/>
                <w:szCs w:val="24"/>
              </w:rPr>
              <w:t>项目负责人</w:t>
            </w:r>
          </w:p>
        </w:tc>
        <w:tc>
          <w:tcPr>
            <w:tcW w:w="2602" w:type="dxa"/>
            <w:gridSpan w:val="2"/>
            <w:vAlign w:val="top"/>
          </w:tcPr>
          <w:p w14:paraId="2F563EF7">
            <w:pPr>
              <w:rPr>
                <w:rFonts w:ascii="Arial"/>
                <w:sz w:val="21"/>
              </w:rPr>
            </w:pPr>
          </w:p>
        </w:tc>
      </w:tr>
      <w:tr w14:paraId="3F8B6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2158" w:type="dxa"/>
            <w:vAlign w:val="top"/>
          </w:tcPr>
          <w:p w14:paraId="2D038E6B">
            <w:pPr>
              <w:pStyle w:val="14"/>
              <w:spacing w:before="181" w:line="219" w:lineRule="auto"/>
              <w:ind w:left="606"/>
              <w:rPr>
                <w:sz w:val="24"/>
                <w:szCs w:val="24"/>
              </w:rPr>
            </w:pPr>
            <w:r>
              <w:rPr>
                <w:spacing w:val="-3"/>
                <w:sz w:val="24"/>
                <w:szCs w:val="24"/>
              </w:rPr>
              <w:t>注册资本</w:t>
            </w:r>
          </w:p>
        </w:tc>
        <w:tc>
          <w:tcPr>
            <w:tcW w:w="1822" w:type="dxa"/>
            <w:gridSpan w:val="2"/>
            <w:vAlign w:val="top"/>
          </w:tcPr>
          <w:p w14:paraId="479D1D4B">
            <w:pPr>
              <w:rPr>
                <w:rFonts w:ascii="Arial"/>
                <w:sz w:val="21"/>
              </w:rPr>
            </w:pPr>
          </w:p>
        </w:tc>
        <w:tc>
          <w:tcPr>
            <w:tcW w:w="826" w:type="dxa"/>
            <w:vMerge w:val="continue"/>
            <w:tcBorders>
              <w:top w:val="nil"/>
              <w:bottom w:val="nil"/>
            </w:tcBorders>
            <w:vAlign w:val="top"/>
          </w:tcPr>
          <w:p w14:paraId="66CF4662">
            <w:pPr>
              <w:rPr>
                <w:rFonts w:ascii="Arial"/>
                <w:sz w:val="21"/>
              </w:rPr>
            </w:pPr>
          </w:p>
        </w:tc>
        <w:tc>
          <w:tcPr>
            <w:tcW w:w="2263" w:type="dxa"/>
            <w:gridSpan w:val="4"/>
            <w:vAlign w:val="top"/>
          </w:tcPr>
          <w:p w14:paraId="2C48E62B">
            <w:pPr>
              <w:pStyle w:val="14"/>
              <w:spacing w:before="182" w:line="219" w:lineRule="auto"/>
              <w:ind w:left="424"/>
              <w:rPr>
                <w:sz w:val="24"/>
                <w:szCs w:val="24"/>
              </w:rPr>
            </w:pPr>
            <w:r>
              <w:rPr>
                <w:spacing w:val="-3"/>
                <w:sz w:val="24"/>
                <w:szCs w:val="24"/>
              </w:rPr>
              <w:t>高级职称人员</w:t>
            </w:r>
          </w:p>
        </w:tc>
        <w:tc>
          <w:tcPr>
            <w:tcW w:w="2602" w:type="dxa"/>
            <w:gridSpan w:val="2"/>
            <w:vAlign w:val="top"/>
          </w:tcPr>
          <w:p w14:paraId="704992EB">
            <w:pPr>
              <w:rPr>
                <w:rFonts w:ascii="Arial"/>
                <w:sz w:val="21"/>
              </w:rPr>
            </w:pPr>
          </w:p>
        </w:tc>
      </w:tr>
      <w:tr w14:paraId="7F755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2158" w:type="dxa"/>
            <w:vAlign w:val="top"/>
          </w:tcPr>
          <w:p w14:paraId="644E404B">
            <w:pPr>
              <w:pStyle w:val="14"/>
              <w:spacing w:before="182" w:line="220" w:lineRule="auto"/>
              <w:ind w:left="608"/>
              <w:rPr>
                <w:sz w:val="24"/>
                <w:szCs w:val="24"/>
              </w:rPr>
            </w:pPr>
            <w:r>
              <w:rPr>
                <w:spacing w:val="-3"/>
                <w:sz w:val="24"/>
                <w:szCs w:val="24"/>
              </w:rPr>
              <w:t>成立日期</w:t>
            </w:r>
          </w:p>
        </w:tc>
        <w:tc>
          <w:tcPr>
            <w:tcW w:w="1822" w:type="dxa"/>
            <w:gridSpan w:val="2"/>
            <w:vAlign w:val="top"/>
          </w:tcPr>
          <w:p w14:paraId="79B92647">
            <w:pPr>
              <w:rPr>
                <w:rFonts w:ascii="Arial"/>
                <w:sz w:val="21"/>
              </w:rPr>
            </w:pPr>
          </w:p>
        </w:tc>
        <w:tc>
          <w:tcPr>
            <w:tcW w:w="826" w:type="dxa"/>
            <w:vMerge w:val="continue"/>
            <w:tcBorders>
              <w:top w:val="nil"/>
              <w:bottom w:val="nil"/>
            </w:tcBorders>
            <w:vAlign w:val="top"/>
          </w:tcPr>
          <w:p w14:paraId="7E8B61DC">
            <w:pPr>
              <w:rPr>
                <w:rFonts w:ascii="Arial"/>
                <w:sz w:val="21"/>
              </w:rPr>
            </w:pPr>
          </w:p>
        </w:tc>
        <w:tc>
          <w:tcPr>
            <w:tcW w:w="2263" w:type="dxa"/>
            <w:gridSpan w:val="4"/>
            <w:vAlign w:val="top"/>
          </w:tcPr>
          <w:p w14:paraId="344D7F8A">
            <w:pPr>
              <w:pStyle w:val="14"/>
              <w:spacing w:before="182" w:line="220" w:lineRule="auto"/>
              <w:ind w:left="440"/>
              <w:rPr>
                <w:sz w:val="24"/>
                <w:szCs w:val="24"/>
              </w:rPr>
            </w:pPr>
            <w:r>
              <w:rPr>
                <w:spacing w:val="-6"/>
                <w:sz w:val="24"/>
                <w:szCs w:val="24"/>
              </w:rPr>
              <w:t>中级职称人员</w:t>
            </w:r>
          </w:p>
        </w:tc>
        <w:tc>
          <w:tcPr>
            <w:tcW w:w="2602" w:type="dxa"/>
            <w:gridSpan w:val="2"/>
            <w:vAlign w:val="top"/>
          </w:tcPr>
          <w:p w14:paraId="1442E33D">
            <w:pPr>
              <w:rPr>
                <w:rFonts w:ascii="Arial"/>
                <w:sz w:val="21"/>
              </w:rPr>
            </w:pPr>
          </w:p>
        </w:tc>
      </w:tr>
      <w:tr w14:paraId="0E50E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2158" w:type="dxa"/>
            <w:vAlign w:val="top"/>
          </w:tcPr>
          <w:p w14:paraId="1A063F82">
            <w:pPr>
              <w:pStyle w:val="14"/>
              <w:spacing w:before="180" w:line="219" w:lineRule="auto"/>
              <w:ind w:left="126"/>
              <w:rPr>
                <w:sz w:val="24"/>
                <w:szCs w:val="24"/>
              </w:rPr>
            </w:pPr>
            <w:r>
              <w:rPr>
                <w:spacing w:val="-2"/>
                <w:sz w:val="24"/>
                <w:szCs w:val="24"/>
              </w:rPr>
              <w:t>基本账户开户银行</w:t>
            </w:r>
          </w:p>
        </w:tc>
        <w:tc>
          <w:tcPr>
            <w:tcW w:w="1822" w:type="dxa"/>
            <w:gridSpan w:val="2"/>
            <w:vAlign w:val="top"/>
          </w:tcPr>
          <w:p w14:paraId="5F7395A2">
            <w:pPr>
              <w:rPr>
                <w:rFonts w:ascii="Arial"/>
                <w:sz w:val="21"/>
              </w:rPr>
            </w:pPr>
          </w:p>
        </w:tc>
        <w:tc>
          <w:tcPr>
            <w:tcW w:w="826" w:type="dxa"/>
            <w:vMerge w:val="continue"/>
            <w:tcBorders>
              <w:top w:val="nil"/>
              <w:bottom w:val="nil"/>
            </w:tcBorders>
            <w:vAlign w:val="top"/>
          </w:tcPr>
          <w:p w14:paraId="7B737E1F">
            <w:pPr>
              <w:rPr>
                <w:rFonts w:ascii="Arial"/>
                <w:sz w:val="21"/>
              </w:rPr>
            </w:pPr>
          </w:p>
        </w:tc>
        <w:tc>
          <w:tcPr>
            <w:tcW w:w="2263" w:type="dxa"/>
            <w:gridSpan w:val="4"/>
            <w:vAlign w:val="top"/>
          </w:tcPr>
          <w:p w14:paraId="1F4A74C7">
            <w:pPr>
              <w:pStyle w:val="14"/>
              <w:spacing w:before="180" w:line="221" w:lineRule="auto"/>
              <w:ind w:left="417"/>
              <w:rPr>
                <w:sz w:val="24"/>
                <w:szCs w:val="24"/>
              </w:rPr>
            </w:pPr>
            <w:r>
              <w:rPr>
                <w:spacing w:val="-2"/>
                <w:sz w:val="24"/>
                <w:szCs w:val="24"/>
              </w:rPr>
              <w:t>初级职称人员</w:t>
            </w:r>
          </w:p>
        </w:tc>
        <w:tc>
          <w:tcPr>
            <w:tcW w:w="2602" w:type="dxa"/>
            <w:gridSpan w:val="2"/>
            <w:vAlign w:val="top"/>
          </w:tcPr>
          <w:p w14:paraId="77CF4B26">
            <w:pPr>
              <w:rPr>
                <w:rFonts w:ascii="Arial"/>
                <w:sz w:val="21"/>
              </w:rPr>
            </w:pPr>
          </w:p>
        </w:tc>
      </w:tr>
      <w:tr w14:paraId="7933E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2158" w:type="dxa"/>
            <w:vAlign w:val="top"/>
          </w:tcPr>
          <w:p w14:paraId="5268B9E2">
            <w:pPr>
              <w:pStyle w:val="14"/>
              <w:spacing w:before="181" w:line="219" w:lineRule="auto"/>
              <w:ind w:left="126"/>
              <w:rPr>
                <w:sz w:val="24"/>
                <w:szCs w:val="24"/>
              </w:rPr>
            </w:pPr>
            <w:r>
              <w:rPr>
                <w:spacing w:val="-2"/>
                <w:sz w:val="24"/>
                <w:szCs w:val="24"/>
              </w:rPr>
              <w:t>基本账户银行账号</w:t>
            </w:r>
          </w:p>
        </w:tc>
        <w:tc>
          <w:tcPr>
            <w:tcW w:w="1822" w:type="dxa"/>
            <w:gridSpan w:val="2"/>
            <w:vAlign w:val="top"/>
          </w:tcPr>
          <w:p w14:paraId="77A5A38B">
            <w:pPr>
              <w:rPr>
                <w:rFonts w:ascii="Arial"/>
                <w:sz w:val="21"/>
              </w:rPr>
            </w:pPr>
          </w:p>
        </w:tc>
        <w:tc>
          <w:tcPr>
            <w:tcW w:w="826" w:type="dxa"/>
            <w:vMerge w:val="continue"/>
            <w:tcBorders>
              <w:top w:val="nil"/>
            </w:tcBorders>
            <w:vAlign w:val="top"/>
          </w:tcPr>
          <w:p w14:paraId="1D9D685D">
            <w:pPr>
              <w:rPr>
                <w:rFonts w:ascii="Arial"/>
                <w:sz w:val="21"/>
              </w:rPr>
            </w:pPr>
          </w:p>
        </w:tc>
        <w:tc>
          <w:tcPr>
            <w:tcW w:w="2263" w:type="dxa"/>
            <w:gridSpan w:val="4"/>
            <w:vAlign w:val="top"/>
          </w:tcPr>
          <w:p w14:paraId="6EB25AB8">
            <w:pPr>
              <w:pStyle w:val="14"/>
              <w:spacing w:before="181" w:line="221" w:lineRule="auto"/>
              <w:ind w:left="116"/>
              <w:rPr>
                <w:sz w:val="24"/>
                <w:szCs w:val="24"/>
              </w:rPr>
            </w:pPr>
            <w:r>
              <w:rPr>
                <w:spacing w:val="-6"/>
                <w:sz w:val="24"/>
                <w:szCs w:val="24"/>
              </w:rPr>
              <w:t>技工</w:t>
            </w:r>
          </w:p>
        </w:tc>
        <w:tc>
          <w:tcPr>
            <w:tcW w:w="2602" w:type="dxa"/>
            <w:gridSpan w:val="2"/>
            <w:vAlign w:val="top"/>
          </w:tcPr>
          <w:p w14:paraId="7A4CD578">
            <w:pPr>
              <w:rPr>
                <w:rFonts w:ascii="Arial"/>
                <w:sz w:val="21"/>
              </w:rPr>
            </w:pPr>
          </w:p>
        </w:tc>
      </w:tr>
      <w:tr w14:paraId="6E9C2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2158" w:type="dxa"/>
            <w:vAlign w:val="top"/>
          </w:tcPr>
          <w:p w14:paraId="2049C4F0">
            <w:pPr>
              <w:spacing w:line="247" w:lineRule="auto"/>
              <w:rPr>
                <w:rFonts w:ascii="Arial"/>
                <w:sz w:val="21"/>
              </w:rPr>
            </w:pPr>
          </w:p>
          <w:p w14:paraId="2C3ECB60">
            <w:pPr>
              <w:pStyle w:val="14"/>
              <w:spacing w:before="78" w:line="220" w:lineRule="auto"/>
              <w:ind w:left="728"/>
              <w:rPr>
                <w:sz w:val="24"/>
                <w:szCs w:val="24"/>
              </w:rPr>
            </w:pPr>
            <w:r>
              <w:rPr>
                <w:spacing w:val="-3"/>
                <w:sz w:val="24"/>
                <w:szCs w:val="24"/>
              </w:rPr>
              <w:t>经营范围</w:t>
            </w:r>
          </w:p>
        </w:tc>
        <w:tc>
          <w:tcPr>
            <w:tcW w:w="7513" w:type="dxa"/>
            <w:gridSpan w:val="9"/>
            <w:vAlign w:val="top"/>
          </w:tcPr>
          <w:p w14:paraId="077ADD22">
            <w:pPr>
              <w:rPr>
                <w:rFonts w:ascii="Arial"/>
                <w:sz w:val="21"/>
              </w:rPr>
            </w:pPr>
          </w:p>
        </w:tc>
      </w:tr>
      <w:tr w14:paraId="77EDC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3" w:hRule="atLeast"/>
        </w:trPr>
        <w:tc>
          <w:tcPr>
            <w:tcW w:w="2158" w:type="dxa"/>
            <w:vAlign w:val="top"/>
          </w:tcPr>
          <w:p w14:paraId="7BF1BF27">
            <w:pPr>
              <w:spacing w:line="281" w:lineRule="auto"/>
              <w:rPr>
                <w:rFonts w:ascii="Arial"/>
                <w:sz w:val="21"/>
              </w:rPr>
            </w:pPr>
          </w:p>
          <w:p w14:paraId="5211B694">
            <w:pPr>
              <w:spacing w:line="281" w:lineRule="auto"/>
              <w:rPr>
                <w:rFonts w:ascii="Arial"/>
                <w:sz w:val="21"/>
              </w:rPr>
            </w:pPr>
          </w:p>
          <w:p w14:paraId="6B6DBD9B">
            <w:pPr>
              <w:spacing w:line="282" w:lineRule="auto"/>
              <w:rPr>
                <w:rFonts w:ascii="Arial"/>
                <w:sz w:val="21"/>
              </w:rPr>
            </w:pPr>
          </w:p>
          <w:p w14:paraId="0158D13E">
            <w:pPr>
              <w:spacing w:line="282" w:lineRule="auto"/>
              <w:rPr>
                <w:rFonts w:ascii="Arial"/>
                <w:sz w:val="21"/>
              </w:rPr>
            </w:pPr>
          </w:p>
          <w:p w14:paraId="30D639CE">
            <w:pPr>
              <w:pStyle w:val="14"/>
              <w:spacing w:before="78" w:line="241" w:lineRule="auto"/>
              <w:ind w:left="119" w:right="125"/>
              <w:rPr>
                <w:sz w:val="24"/>
                <w:szCs w:val="24"/>
              </w:rPr>
            </w:pPr>
            <w:r>
              <w:rPr>
                <w:spacing w:val="-2"/>
                <w:sz w:val="24"/>
                <w:szCs w:val="24"/>
              </w:rPr>
              <w:t>投标人关联企业情</w:t>
            </w:r>
            <w:r>
              <w:rPr>
                <w:sz w:val="24"/>
                <w:szCs w:val="24"/>
              </w:rPr>
              <w:t>况</w:t>
            </w:r>
          </w:p>
        </w:tc>
        <w:tc>
          <w:tcPr>
            <w:tcW w:w="7513" w:type="dxa"/>
            <w:gridSpan w:val="9"/>
            <w:vAlign w:val="top"/>
          </w:tcPr>
          <w:p w14:paraId="0B09363F">
            <w:pPr>
              <w:pStyle w:val="14"/>
              <w:spacing w:before="213" w:line="219" w:lineRule="auto"/>
              <w:ind w:left="114"/>
              <w:rPr>
                <w:sz w:val="24"/>
                <w:szCs w:val="24"/>
              </w:rPr>
            </w:pPr>
            <w:r>
              <w:rPr>
                <w:spacing w:val="-1"/>
                <w:sz w:val="24"/>
                <w:szCs w:val="24"/>
              </w:rPr>
              <w:t>投标人应提供关联企业情况，包括：</w:t>
            </w:r>
          </w:p>
          <w:p w14:paraId="2642C762">
            <w:pPr>
              <w:pStyle w:val="14"/>
              <w:spacing w:before="112" w:line="308" w:lineRule="auto"/>
              <w:ind w:left="110" w:right="205" w:hanging="107"/>
              <w:rPr>
                <w:sz w:val="24"/>
                <w:szCs w:val="24"/>
              </w:rPr>
            </w:pPr>
            <w:r>
              <w:rPr>
                <w:spacing w:val="-1"/>
                <w:sz w:val="24"/>
                <w:szCs w:val="24"/>
              </w:rPr>
              <w:t>（1）投标人的所有股东名称及相应股权（出资额）比例；如投标人为</w:t>
            </w:r>
            <w:r>
              <w:rPr>
                <w:sz w:val="24"/>
                <w:szCs w:val="24"/>
              </w:rPr>
              <w:t>上市公司，投标人应提供股权占公司股份总数</w:t>
            </w:r>
            <w:r>
              <w:rPr>
                <w:sz w:val="24"/>
                <w:szCs w:val="24"/>
                <w:u w:val="single" w:color="auto"/>
              </w:rPr>
              <w:t xml:space="preserve"> 5</w:t>
            </w:r>
            <w:r>
              <w:rPr>
                <w:spacing w:val="-1"/>
                <w:sz w:val="24"/>
                <w:szCs w:val="24"/>
                <w:u w:val="single" w:color="auto"/>
              </w:rPr>
              <w:t xml:space="preserve"> </w:t>
            </w:r>
            <w:r>
              <w:rPr>
                <w:spacing w:val="-1"/>
                <w:sz w:val="24"/>
                <w:szCs w:val="24"/>
              </w:rPr>
              <w:t>%以上的所有股东名称及相应股权比例；</w:t>
            </w:r>
          </w:p>
          <w:p w14:paraId="7A6C9D5D">
            <w:pPr>
              <w:pStyle w:val="14"/>
              <w:spacing w:line="308" w:lineRule="auto"/>
              <w:ind w:left="137" w:right="7" w:hanging="134"/>
              <w:rPr>
                <w:sz w:val="24"/>
                <w:szCs w:val="24"/>
              </w:rPr>
            </w:pPr>
            <w:r>
              <w:rPr>
                <w:spacing w:val="-2"/>
                <w:sz w:val="24"/>
                <w:szCs w:val="24"/>
              </w:rPr>
              <w:t>（2）投标人投资（控股）或管理的下属企业名称、持有股权（出资额）</w:t>
            </w:r>
            <w:r>
              <w:rPr>
                <w:spacing w:val="-12"/>
                <w:sz w:val="24"/>
                <w:szCs w:val="24"/>
              </w:rPr>
              <w:t>比例；</w:t>
            </w:r>
          </w:p>
          <w:p w14:paraId="46025583">
            <w:pPr>
              <w:pStyle w:val="14"/>
              <w:spacing w:line="219" w:lineRule="auto"/>
              <w:jc w:val="right"/>
              <w:rPr>
                <w:sz w:val="24"/>
                <w:szCs w:val="24"/>
              </w:rPr>
            </w:pPr>
            <w:r>
              <w:rPr>
                <w:spacing w:val="-3"/>
                <w:sz w:val="24"/>
                <w:szCs w:val="24"/>
              </w:rPr>
              <w:t>（3）与投标人单位负责人（即法定代表人）为同一人的其他单位名称。</w:t>
            </w:r>
          </w:p>
        </w:tc>
      </w:tr>
      <w:tr w14:paraId="335C4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2158" w:type="dxa"/>
            <w:vAlign w:val="top"/>
          </w:tcPr>
          <w:p w14:paraId="11F5D908">
            <w:pPr>
              <w:pStyle w:val="14"/>
              <w:spacing w:before="319" w:line="221" w:lineRule="auto"/>
              <w:ind w:left="849"/>
              <w:rPr>
                <w:sz w:val="24"/>
                <w:szCs w:val="24"/>
              </w:rPr>
            </w:pPr>
            <w:r>
              <w:rPr>
                <w:spacing w:val="-7"/>
                <w:sz w:val="24"/>
                <w:szCs w:val="24"/>
              </w:rPr>
              <w:t>备注</w:t>
            </w:r>
          </w:p>
        </w:tc>
        <w:tc>
          <w:tcPr>
            <w:tcW w:w="7513" w:type="dxa"/>
            <w:gridSpan w:val="9"/>
            <w:vAlign w:val="top"/>
          </w:tcPr>
          <w:p w14:paraId="619DEF2B">
            <w:pPr>
              <w:rPr>
                <w:rFonts w:ascii="Arial"/>
                <w:sz w:val="21"/>
              </w:rPr>
            </w:pPr>
          </w:p>
        </w:tc>
      </w:tr>
    </w:tbl>
    <w:p w14:paraId="3B54001C">
      <w:pPr>
        <w:spacing w:before="31" w:line="232" w:lineRule="auto"/>
        <w:ind w:left="312"/>
        <w:rPr>
          <w:rFonts w:ascii="宋体" w:hAnsi="宋体" w:eastAsia="宋体" w:cs="宋体"/>
          <w:sz w:val="20"/>
          <w:szCs w:val="20"/>
        </w:rPr>
      </w:pPr>
      <w:r>
        <w:rPr>
          <w:rFonts w:ascii="宋体" w:hAnsi="宋体" w:eastAsia="宋体" w:cs="宋体"/>
          <w:sz w:val="20"/>
          <w:szCs w:val="20"/>
        </w:rPr>
        <w:t>注：</w:t>
      </w:r>
    </w:p>
    <w:p w14:paraId="639621F6">
      <w:pPr>
        <w:spacing w:before="19" w:line="227" w:lineRule="auto"/>
        <w:ind w:left="328"/>
        <w:rPr>
          <w:rFonts w:ascii="宋体" w:hAnsi="宋体" w:eastAsia="宋体" w:cs="宋体"/>
          <w:sz w:val="20"/>
          <w:szCs w:val="20"/>
        </w:rPr>
      </w:pPr>
      <w:r>
        <w:rPr>
          <w:rFonts w:ascii="宋体" w:hAnsi="宋体" w:eastAsia="宋体" w:cs="宋体"/>
          <w:spacing w:val="7"/>
          <w:sz w:val="20"/>
          <w:szCs w:val="20"/>
        </w:rPr>
        <w:t>1、投标人应根据招标文件第二章“投标人须知</w:t>
      </w:r>
      <w:r>
        <w:rPr>
          <w:rFonts w:ascii="宋体" w:hAnsi="宋体" w:eastAsia="宋体" w:cs="宋体"/>
          <w:spacing w:val="-58"/>
          <w:sz w:val="20"/>
          <w:szCs w:val="20"/>
        </w:rPr>
        <w:t xml:space="preserve"> </w:t>
      </w:r>
      <w:r>
        <w:rPr>
          <w:rFonts w:ascii="宋体" w:hAnsi="宋体" w:eastAsia="宋体" w:cs="宋体"/>
          <w:spacing w:val="7"/>
          <w:sz w:val="20"/>
          <w:szCs w:val="20"/>
        </w:rPr>
        <w:t>”第</w:t>
      </w:r>
      <w:r>
        <w:rPr>
          <w:rFonts w:ascii="宋体" w:hAnsi="宋体" w:eastAsia="宋体" w:cs="宋体"/>
          <w:spacing w:val="-35"/>
          <w:sz w:val="20"/>
          <w:szCs w:val="20"/>
        </w:rPr>
        <w:t xml:space="preserve"> </w:t>
      </w:r>
      <w:r>
        <w:rPr>
          <w:rFonts w:ascii="宋体" w:hAnsi="宋体" w:eastAsia="宋体" w:cs="宋体"/>
          <w:spacing w:val="7"/>
          <w:sz w:val="20"/>
          <w:szCs w:val="20"/>
        </w:rPr>
        <w:t>3.5.1</w:t>
      </w:r>
      <w:r>
        <w:rPr>
          <w:rFonts w:ascii="宋体" w:hAnsi="宋体" w:eastAsia="宋体" w:cs="宋体"/>
          <w:spacing w:val="-34"/>
          <w:sz w:val="20"/>
          <w:szCs w:val="20"/>
        </w:rPr>
        <w:t xml:space="preserve"> </w:t>
      </w:r>
      <w:r>
        <w:rPr>
          <w:rFonts w:ascii="宋体" w:hAnsi="宋体" w:eastAsia="宋体" w:cs="宋体"/>
          <w:spacing w:val="7"/>
          <w:sz w:val="20"/>
          <w:szCs w:val="20"/>
        </w:rPr>
        <w:t>项的要求在本表后附相关证明材料。</w:t>
      </w:r>
    </w:p>
    <w:p w14:paraId="66BC7D07">
      <w:pPr>
        <w:spacing w:before="28" w:line="228" w:lineRule="auto"/>
        <w:ind w:left="315"/>
        <w:rPr>
          <w:rFonts w:ascii="宋体" w:hAnsi="宋体" w:eastAsia="宋体" w:cs="宋体"/>
          <w:sz w:val="20"/>
          <w:szCs w:val="20"/>
        </w:rPr>
      </w:pPr>
      <w:r>
        <w:rPr>
          <w:rFonts w:ascii="宋体" w:hAnsi="宋体" w:eastAsia="宋体" w:cs="宋体"/>
          <w:spacing w:val="9"/>
          <w:sz w:val="20"/>
          <w:szCs w:val="20"/>
        </w:rPr>
        <w:t>2、以联合体形式投标的，联合体各成员应</w:t>
      </w:r>
      <w:r>
        <w:rPr>
          <w:rFonts w:ascii="宋体" w:hAnsi="宋体" w:eastAsia="宋体" w:cs="宋体"/>
          <w:spacing w:val="8"/>
          <w:sz w:val="20"/>
          <w:szCs w:val="20"/>
        </w:rPr>
        <w:t>分别填写。</w:t>
      </w:r>
    </w:p>
    <w:p w14:paraId="49226F55">
      <w:pPr>
        <w:spacing w:before="23" w:line="227" w:lineRule="auto"/>
        <w:ind w:left="317"/>
        <w:rPr>
          <w:rFonts w:ascii="宋体" w:hAnsi="宋体" w:eastAsia="宋体" w:cs="宋体"/>
          <w:sz w:val="20"/>
          <w:szCs w:val="20"/>
        </w:rPr>
      </w:pPr>
      <w:r>
        <w:rPr>
          <w:rFonts w:ascii="宋体" w:hAnsi="宋体" w:eastAsia="宋体" w:cs="宋体"/>
          <w:spacing w:val="9"/>
          <w:sz w:val="20"/>
          <w:szCs w:val="20"/>
        </w:rPr>
        <w:t>3、上述信息如经调查核实未如实填写的，按提供虚假材料对待。</w:t>
      </w:r>
    </w:p>
    <w:p w14:paraId="59283661">
      <w:pPr>
        <w:spacing w:before="311" w:line="219" w:lineRule="auto"/>
        <w:ind w:left="2853"/>
        <w:jc w:val="both"/>
        <w:rPr>
          <w:rFonts w:ascii="宋体" w:hAnsi="宋体" w:eastAsia="宋体" w:cs="宋体"/>
          <w:sz w:val="24"/>
          <w:szCs w:val="24"/>
        </w:rPr>
      </w:pPr>
      <w:r>
        <w:rPr>
          <w:rFonts w:ascii="宋体" w:hAnsi="宋体" w:eastAsia="宋体" w:cs="宋体"/>
          <w:b/>
          <w:bCs/>
          <w:spacing w:val="-4"/>
          <w:sz w:val="24"/>
          <w:szCs w:val="24"/>
        </w:rPr>
        <w:br w:type="page"/>
      </w:r>
      <w:r>
        <w:rPr>
          <w:rFonts w:ascii="宋体" w:hAnsi="宋体" w:eastAsia="宋体" w:cs="宋体"/>
          <w:b/>
          <w:bCs/>
          <w:spacing w:val="-4"/>
          <w:sz w:val="24"/>
          <w:szCs w:val="24"/>
        </w:rPr>
        <w:t>表</w:t>
      </w:r>
      <w:r>
        <w:rPr>
          <w:rFonts w:ascii="宋体" w:hAnsi="宋体" w:eastAsia="宋体" w:cs="宋体"/>
          <w:spacing w:val="-48"/>
          <w:sz w:val="24"/>
          <w:szCs w:val="24"/>
        </w:rPr>
        <w:t xml:space="preserve"> </w:t>
      </w:r>
      <w:r>
        <w:rPr>
          <w:rFonts w:ascii="宋体" w:hAnsi="宋体" w:eastAsia="宋体" w:cs="宋体"/>
          <w:b/>
          <w:bCs/>
          <w:spacing w:val="-4"/>
          <w:sz w:val="24"/>
          <w:szCs w:val="24"/>
        </w:rPr>
        <w:t>8-2</w:t>
      </w:r>
      <w:r>
        <w:rPr>
          <w:rFonts w:ascii="宋体" w:hAnsi="宋体" w:eastAsia="宋体" w:cs="宋体"/>
          <w:spacing w:val="-48"/>
          <w:sz w:val="24"/>
          <w:szCs w:val="24"/>
        </w:rPr>
        <w:t xml:space="preserve"> </w:t>
      </w:r>
      <w:r>
        <w:rPr>
          <w:rFonts w:ascii="宋体" w:hAnsi="宋体" w:eastAsia="宋体" w:cs="宋体"/>
          <w:b/>
          <w:bCs/>
          <w:spacing w:val="-4"/>
          <w:sz w:val="24"/>
          <w:szCs w:val="24"/>
        </w:rPr>
        <w:t>投标人企业组织机构框图</w:t>
      </w:r>
    </w:p>
    <w:p w14:paraId="64451760">
      <w:pPr>
        <w:spacing w:before="25"/>
      </w:pPr>
    </w:p>
    <w:tbl>
      <w:tblPr>
        <w:tblStyle w:val="13"/>
        <w:tblW w:w="8781" w:type="dxa"/>
        <w:tblInd w:w="1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81"/>
      </w:tblGrid>
      <w:tr w14:paraId="6B325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3" w:hRule="atLeast"/>
        </w:trPr>
        <w:tc>
          <w:tcPr>
            <w:tcW w:w="8781" w:type="dxa"/>
            <w:vAlign w:val="top"/>
          </w:tcPr>
          <w:p w14:paraId="7D4CACBC">
            <w:pPr>
              <w:pStyle w:val="14"/>
              <w:spacing w:before="248" w:line="219" w:lineRule="auto"/>
              <w:ind w:left="411"/>
              <w:rPr>
                <w:sz w:val="24"/>
                <w:szCs w:val="24"/>
              </w:rPr>
            </w:pPr>
            <w:r>
              <w:rPr>
                <w:spacing w:val="-5"/>
                <w:sz w:val="24"/>
                <w:szCs w:val="24"/>
              </w:rPr>
              <w:t>以框图方式表示。</w:t>
            </w:r>
          </w:p>
        </w:tc>
      </w:tr>
      <w:tr w14:paraId="30392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5" w:hRule="atLeast"/>
        </w:trPr>
        <w:tc>
          <w:tcPr>
            <w:tcW w:w="8781" w:type="dxa"/>
            <w:vAlign w:val="top"/>
          </w:tcPr>
          <w:p w14:paraId="2B3AE266">
            <w:pPr>
              <w:pStyle w:val="14"/>
              <w:spacing w:before="128" w:line="219" w:lineRule="auto"/>
              <w:ind w:left="387"/>
              <w:rPr>
                <w:sz w:val="24"/>
                <w:szCs w:val="24"/>
              </w:rPr>
            </w:pPr>
            <w:r>
              <w:rPr>
                <w:spacing w:val="-7"/>
                <w:sz w:val="24"/>
                <w:szCs w:val="24"/>
              </w:rPr>
              <w:t>说明</w:t>
            </w:r>
          </w:p>
        </w:tc>
      </w:tr>
    </w:tbl>
    <w:p w14:paraId="5AE50E14">
      <w:pPr>
        <w:rPr>
          <w:rFonts w:ascii="Arial"/>
          <w:sz w:val="21"/>
        </w:rPr>
      </w:pPr>
    </w:p>
    <w:p w14:paraId="732A5E35">
      <w:pPr>
        <w:spacing w:line="352" w:lineRule="auto"/>
        <w:rPr>
          <w:rFonts w:hint="eastAsia" w:ascii="Arial" w:eastAsia="宋体"/>
          <w:sz w:val="21"/>
          <w:lang w:eastAsia="zh-CN"/>
        </w:rPr>
      </w:pPr>
      <w:r>
        <w:rPr>
          <w:rFonts w:hint="eastAsia" w:ascii="Arial" w:eastAsia="宋体"/>
          <w:sz w:val="21"/>
          <w:lang w:eastAsia="zh-CN"/>
        </w:rPr>
        <w:br w:type="page"/>
      </w:r>
    </w:p>
    <w:p w14:paraId="1238769E">
      <w:pPr>
        <w:spacing w:before="78" w:line="219" w:lineRule="auto"/>
        <w:ind w:left="3533"/>
        <w:rPr>
          <w:rFonts w:ascii="宋体" w:hAnsi="宋体" w:eastAsia="宋体" w:cs="宋体"/>
          <w:sz w:val="24"/>
          <w:szCs w:val="24"/>
        </w:rPr>
      </w:pPr>
      <w:r>
        <w:rPr>
          <w:rFonts w:ascii="宋体" w:hAnsi="宋体" w:eastAsia="宋体" w:cs="宋体"/>
          <w:b/>
          <w:bCs/>
          <w:spacing w:val="-4"/>
          <w:sz w:val="24"/>
          <w:szCs w:val="24"/>
        </w:rPr>
        <w:t>表</w:t>
      </w:r>
      <w:r>
        <w:rPr>
          <w:rFonts w:ascii="宋体" w:hAnsi="宋体" w:eastAsia="宋体" w:cs="宋体"/>
          <w:spacing w:val="-40"/>
          <w:sz w:val="24"/>
          <w:szCs w:val="24"/>
        </w:rPr>
        <w:t xml:space="preserve"> </w:t>
      </w:r>
      <w:r>
        <w:rPr>
          <w:rFonts w:ascii="宋体" w:hAnsi="宋体" w:eastAsia="宋体" w:cs="宋体"/>
          <w:b/>
          <w:bCs/>
          <w:spacing w:val="-4"/>
          <w:sz w:val="24"/>
          <w:szCs w:val="24"/>
        </w:rPr>
        <w:t>8-3</w:t>
      </w:r>
      <w:r>
        <w:rPr>
          <w:rFonts w:ascii="宋体" w:hAnsi="宋体" w:eastAsia="宋体" w:cs="宋体"/>
          <w:spacing w:val="-4"/>
          <w:sz w:val="24"/>
          <w:szCs w:val="24"/>
        </w:rPr>
        <w:t xml:space="preserve"> </w:t>
      </w:r>
      <w:r>
        <w:rPr>
          <w:rFonts w:ascii="宋体" w:hAnsi="宋体" w:eastAsia="宋体" w:cs="宋体"/>
          <w:b/>
          <w:bCs/>
          <w:spacing w:val="-4"/>
          <w:sz w:val="24"/>
          <w:szCs w:val="24"/>
        </w:rPr>
        <w:t>近年财务状况表</w:t>
      </w:r>
    </w:p>
    <w:p w14:paraId="70246185">
      <w:pPr>
        <w:spacing w:before="24"/>
      </w:pPr>
    </w:p>
    <w:tbl>
      <w:tblPr>
        <w:tblStyle w:val="13"/>
        <w:tblW w:w="951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67"/>
        <w:gridCol w:w="1064"/>
        <w:gridCol w:w="1498"/>
        <w:gridCol w:w="1453"/>
        <w:gridCol w:w="1429"/>
      </w:tblGrid>
      <w:tr w14:paraId="64B98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4067" w:type="dxa"/>
            <w:vAlign w:val="top"/>
          </w:tcPr>
          <w:p w14:paraId="280AF00D">
            <w:pPr>
              <w:pStyle w:val="14"/>
              <w:spacing w:before="166" w:line="220" w:lineRule="auto"/>
              <w:ind w:left="1442"/>
              <w:rPr>
                <w:sz w:val="24"/>
                <w:szCs w:val="24"/>
              </w:rPr>
            </w:pPr>
            <w:r>
              <w:rPr>
                <w:spacing w:val="-3"/>
                <w:sz w:val="24"/>
                <w:szCs w:val="24"/>
              </w:rPr>
              <w:t>项目或指标</w:t>
            </w:r>
          </w:p>
        </w:tc>
        <w:tc>
          <w:tcPr>
            <w:tcW w:w="1064" w:type="dxa"/>
            <w:vAlign w:val="top"/>
          </w:tcPr>
          <w:p w14:paraId="282EC207">
            <w:pPr>
              <w:pStyle w:val="14"/>
              <w:spacing w:before="166" w:line="220" w:lineRule="auto"/>
              <w:ind w:left="296"/>
              <w:rPr>
                <w:sz w:val="24"/>
                <w:szCs w:val="24"/>
              </w:rPr>
            </w:pPr>
            <w:r>
              <w:rPr>
                <w:spacing w:val="-6"/>
                <w:sz w:val="24"/>
                <w:szCs w:val="24"/>
              </w:rPr>
              <w:t>单位</w:t>
            </w:r>
          </w:p>
        </w:tc>
        <w:tc>
          <w:tcPr>
            <w:tcW w:w="1498" w:type="dxa"/>
            <w:vAlign w:val="top"/>
          </w:tcPr>
          <w:p w14:paraId="3D8E9711">
            <w:pPr>
              <w:pStyle w:val="14"/>
              <w:tabs>
                <w:tab w:val="left" w:pos="865"/>
              </w:tabs>
              <w:spacing w:before="166" w:line="219" w:lineRule="auto"/>
              <w:ind w:left="385"/>
              <w:rPr>
                <w:sz w:val="24"/>
                <w:szCs w:val="24"/>
              </w:rPr>
            </w:pPr>
            <w:r>
              <w:rPr>
                <w:sz w:val="24"/>
                <w:szCs w:val="24"/>
                <w:u w:val="single" w:color="auto"/>
              </w:rPr>
              <w:tab/>
            </w:r>
            <w:r>
              <w:rPr>
                <w:spacing w:val="-110"/>
                <w:sz w:val="24"/>
                <w:szCs w:val="24"/>
              </w:rPr>
              <w:t xml:space="preserve"> </w:t>
            </w:r>
            <w:r>
              <w:rPr>
                <w:sz w:val="24"/>
                <w:szCs w:val="24"/>
              </w:rPr>
              <w:t>年</w:t>
            </w:r>
          </w:p>
        </w:tc>
        <w:tc>
          <w:tcPr>
            <w:tcW w:w="1453" w:type="dxa"/>
            <w:vAlign w:val="top"/>
          </w:tcPr>
          <w:p w14:paraId="311298FE">
            <w:pPr>
              <w:pStyle w:val="14"/>
              <w:tabs>
                <w:tab w:val="left" w:pos="843"/>
              </w:tabs>
              <w:spacing w:before="166" w:line="219" w:lineRule="auto"/>
              <w:ind w:left="363"/>
              <w:rPr>
                <w:sz w:val="24"/>
                <w:szCs w:val="24"/>
              </w:rPr>
            </w:pPr>
            <w:r>
              <w:rPr>
                <w:sz w:val="24"/>
                <w:szCs w:val="24"/>
                <w:u w:val="single" w:color="auto"/>
              </w:rPr>
              <w:tab/>
            </w:r>
            <w:r>
              <w:rPr>
                <w:spacing w:val="-110"/>
                <w:sz w:val="24"/>
                <w:szCs w:val="24"/>
              </w:rPr>
              <w:t xml:space="preserve"> </w:t>
            </w:r>
            <w:r>
              <w:rPr>
                <w:sz w:val="24"/>
                <w:szCs w:val="24"/>
              </w:rPr>
              <w:t>年</w:t>
            </w:r>
          </w:p>
        </w:tc>
        <w:tc>
          <w:tcPr>
            <w:tcW w:w="1429" w:type="dxa"/>
            <w:vAlign w:val="top"/>
          </w:tcPr>
          <w:p w14:paraId="7FFE062C">
            <w:pPr>
              <w:pStyle w:val="14"/>
              <w:tabs>
                <w:tab w:val="left" w:pos="830"/>
              </w:tabs>
              <w:spacing w:before="166" w:line="219" w:lineRule="auto"/>
              <w:ind w:left="350"/>
              <w:rPr>
                <w:sz w:val="24"/>
                <w:szCs w:val="24"/>
              </w:rPr>
            </w:pPr>
            <w:r>
              <w:rPr>
                <w:sz w:val="24"/>
                <w:szCs w:val="24"/>
                <w:u w:val="single" w:color="auto"/>
              </w:rPr>
              <w:tab/>
            </w:r>
            <w:r>
              <w:rPr>
                <w:spacing w:val="-110"/>
                <w:sz w:val="24"/>
                <w:szCs w:val="24"/>
              </w:rPr>
              <w:t xml:space="preserve"> </w:t>
            </w:r>
            <w:r>
              <w:rPr>
                <w:sz w:val="24"/>
                <w:szCs w:val="24"/>
              </w:rPr>
              <w:t>年</w:t>
            </w:r>
          </w:p>
        </w:tc>
      </w:tr>
      <w:tr w14:paraId="0575A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067" w:type="dxa"/>
            <w:vAlign w:val="top"/>
          </w:tcPr>
          <w:p w14:paraId="497805B0">
            <w:pPr>
              <w:pStyle w:val="14"/>
              <w:spacing w:before="160" w:line="219" w:lineRule="auto"/>
              <w:ind w:left="1262"/>
              <w:rPr>
                <w:sz w:val="24"/>
                <w:szCs w:val="24"/>
              </w:rPr>
            </w:pPr>
            <w:r>
              <w:rPr>
                <w:spacing w:val="-2"/>
                <w:sz w:val="24"/>
                <w:szCs w:val="24"/>
              </w:rPr>
              <w:t>一、 注册资本</w:t>
            </w:r>
          </w:p>
        </w:tc>
        <w:tc>
          <w:tcPr>
            <w:tcW w:w="1064" w:type="dxa"/>
            <w:vAlign w:val="top"/>
          </w:tcPr>
          <w:p w14:paraId="09A17AC5">
            <w:pPr>
              <w:pStyle w:val="14"/>
              <w:spacing w:before="160" w:line="220" w:lineRule="auto"/>
              <w:ind w:left="300"/>
              <w:rPr>
                <w:sz w:val="24"/>
                <w:szCs w:val="24"/>
              </w:rPr>
            </w:pPr>
            <w:r>
              <w:rPr>
                <w:spacing w:val="-8"/>
                <w:sz w:val="24"/>
                <w:szCs w:val="24"/>
              </w:rPr>
              <w:t>万元</w:t>
            </w:r>
          </w:p>
        </w:tc>
        <w:tc>
          <w:tcPr>
            <w:tcW w:w="1498" w:type="dxa"/>
            <w:vAlign w:val="top"/>
          </w:tcPr>
          <w:p w14:paraId="06062C9C">
            <w:pPr>
              <w:rPr>
                <w:rFonts w:ascii="Arial"/>
                <w:sz w:val="21"/>
              </w:rPr>
            </w:pPr>
          </w:p>
        </w:tc>
        <w:tc>
          <w:tcPr>
            <w:tcW w:w="1453" w:type="dxa"/>
            <w:vAlign w:val="top"/>
          </w:tcPr>
          <w:p w14:paraId="558F03AF">
            <w:pPr>
              <w:rPr>
                <w:rFonts w:ascii="Arial"/>
                <w:sz w:val="21"/>
              </w:rPr>
            </w:pPr>
          </w:p>
        </w:tc>
        <w:tc>
          <w:tcPr>
            <w:tcW w:w="1429" w:type="dxa"/>
            <w:vAlign w:val="top"/>
          </w:tcPr>
          <w:p w14:paraId="35F45679">
            <w:pPr>
              <w:rPr>
                <w:rFonts w:ascii="Arial"/>
                <w:sz w:val="21"/>
              </w:rPr>
            </w:pPr>
          </w:p>
        </w:tc>
      </w:tr>
      <w:tr w14:paraId="47026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067" w:type="dxa"/>
            <w:vAlign w:val="top"/>
          </w:tcPr>
          <w:p w14:paraId="2F3BD345">
            <w:pPr>
              <w:pStyle w:val="14"/>
              <w:spacing w:before="160" w:line="219" w:lineRule="auto"/>
              <w:ind w:left="1382"/>
              <w:rPr>
                <w:sz w:val="24"/>
                <w:szCs w:val="24"/>
              </w:rPr>
            </w:pPr>
            <w:r>
              <w:rPr>
                <w:spacing w:val="-6"/>
                <w:sz w:val="24"/>
                <w:szCs w:val="24"/>
              </w:rPr>
              <w:t>二、</w:t>
            </w:r>
            <w:r>
              <w:rPr>
                <w:spacing w:val="15"/>
                <w:sz w:val="24"/>
                <w:szCs w:val="24"/>
              </w:rPr>
              <w:t xml:space="preserve"> </w:t>
            </w:r>
            <w:r>
              <w:rPr>
                <w:spacing w:val="-6"/>
                <w:sz w:val="24"/>
                <w:szCs w:val="24"/>
              </w:rPr>
              <w:t>净资产</w:t>
            </w:r>
          </w:p>
        </w:tc>
        <w:tc>
          <w:tcPr>
            <w:tcW w:w="1064" w:type="dxa"/>
            <w:vAlign w:val="top"/>
          </w:tcPr>
          <w:p w14:paraId="63D2FA3E">
            <w:pPr>
              <w:pStyle w:val="14"/>
              <w:spacing w:before="160" w:line="220" w:lineRule="auto"/>
              <w:ind w:left="300"/>
              <w:rPr>
                <w:sz w:val="24"/>
                <w:szCs w:val="24"/>
              </w:rPr>
            </w:pPr>
            <w:r>
              <w:rPr>
                <w:spacing w:val="-8"/>
                <w:sz w:val="24"/>
                <w:szCs w:val="24"/>
              </w:rPr>
              <w:t>万元</w:t>
            </w:r>
          </w:p>
        </w:tc>
        <w:tc>
          <w:tcPr>
            <w:tcW w:w="1498" w:type="dxa"/>
            <w:vAlign w:val="top"/>
          </w:tcPr>
          <w:p w14:paraId="5DD5444C">
            <w:pPr>
              <w:rPr>
                <w:rFonts w:ascii="Arial"/>
                <w:sz w:val="21"/>
              </w:rPr>
            </w:pPr>
          </w:p>
        </w:tc>
        <w:tc>
          <w:tcPr>
            <w:tcW w:w="1453" w:type="dxa"/>
            <w:vAlign w:val="top"/>
          </w:tcPr>
          <w:p w14:paraId="0E3AC2D5">
            <w:pPr>
              <w:rPr>
                <w:rFonts w:ascii="Arial"/>
                <w:sz w:val="21"/>
              </w:rPr>
            </w:pPr>
          </w:p>
        </w:tc>
        <w:tc>
          <w:tcPr>
            <w:tcW w:w="1429" w:type="dxa"/>
            <w:vAlign w:val="top"/>
          </w:tcPr>
          <w:p w14:paraId="1516E79C">
            <w:pPr>
              <w:rPr>
                <w:rFonts w:ascii="Arial"/>
                <w:sz w:val="21"/>
              </w:rPr>
            </w:pPr>
          </w:p>
        </w:tc>
      </w:tr>
      <w:tr w14:paraId="6422B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067" w:type="dxa"/>
            <w:vAlign w:val="top"/>
          </w:tcPr>
          <w:p w14:paraId="686A8BDE">
            <w:pPr>
              <w:pStyle w:val="14"/>
              <w:spacing w:before="163" w:line="219" w:lineRule="auto"/>
              <w:ind w:left="1378"/>
              <w:rPr>
                <w:sz w:val="24"/>
                <w:szCs w:val="24"/>
              </w:rPr>
            </w:pPr>
            <w:r>
              <w:rPr>
                <w:spacing w:val="-6"/>
                <w:sz w:val="24"/>
                <w:szCs w:val="24"/>
              </w:rPr>
              <w:t>三、</w:t>
            </w:r>
            <w:r>
              <w:rPr>
                <w:spacing w:val="19"/>
                <w:sz w:val="24"/>
                <w:szCs w:val="24"/>
              </w:rPr>
              <w:t xml:space="preserve"> </w:t>
            </w:r>
            <w:r>
              <w:rPr>
                <w:spacing w:val="-6"/>
                <w:sz w:val="24"/>
                <w:szCs w:val="24"/>
              </w:rPr>
              <w:t>总资产</w:t>
            </w:r>
          </w:p>
        </w:tc>
        <w:tc>
          <w:tcPr>
            <w:tcW w:w="1064" w:type="dxa"/>
            <w:vAlign w:val="top"/>
          </w:tcPr>
          <w:p w14:paraId="727DE5D6">
            <w:pPr>
              <w:pStyle w:val="14"/>
              <w:spacing w:before="162" w:line="220" w:lineRule="auto"/>
              <w:ind w:left="300"/>
              <w:rPr>
                <w:sz w:val="24"/>
                <w:szCs w:val="24"/>
              </w:rPr>
            </w:pPr>
            <w:r>
              <w:rPr>
                <w:spacing w:val="-8"/>
                <w:sz w:val="24"/>
                <w:szCs w:val="24"/>
              </w:rPr>
              <w:t>万元</w:t>
            </w:r>
          </w:p>
        </w:tc>
        <w:tc>
          <w:tcPr>
            <w:tcW w:w="1498" w:type="dxa"/>
            <w:vAlign w:val="top"/>
          </w:tcPr>
          <w:p w14:paraId="1E9467D0">
            <w:pPr>
              <w:rPr>
                <w:rFonts w:ascii="Arial"/>
                <w:sz w:val="21"/>
              </w:rPr>
            </w:pPr>
          </w:p>
        </w:tc>
        <w:tc>
          <w:tcPr>
            <w:tcW w:w="1453" w:type="dxa"/>
            <w:vAlign w:val="top"/>
          </w:tcPr>
          <w:p w14:paraId="58936597">
            <w:pPr>
              <w:rPr>
                <w:rFonts w:ascii="Arial"/>
                <w:sz w:val="21"/>
              </w:rPr>
            </w:pPr>
          </w:p>
        </w:tc>
        <w:tc>
          <w:tcPr>
            <w:tcW w:w="1429" w:type="dxa"/>
            <w:vAlign w:val="top"/>
          </w:tcPr>
          <w:p w14:paraId="4482B011">
            <w:pPr>
              <w:rPr>
                <w:rFonts w:ascii="Arial"/>
                <w:sz w:val="21"/>
              </w:rPr>
            </w:pPr>
          </w:p>
        </w:tc>
      </w:tr>
      <w:tr w14:paraId="3B885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4067" w:type="dxa"/>
            <w:vAlign w:val="top"/>
          </w:tcPr>
          <w:p w14:paraId="3F959475">
            <w:pPr>
              <w:pStyle w:val="14"/>
              <w:spacing w:before="162" w:line="219" w:lineRule="auto"/>
              <w:ind w:left="1281"/>
              <w:rPr>
                <w:sz w:val="24"/>
                <w:szCs w:val="24"/>
              </w:rPr>
            </w:pPr>
            <w:r>
              <w:rPr>
                <w:spacing w:val="-11"/>
                <w:sz w:val="24"/>
                <w:szCs w:val="24"/>
              </w:rPr>
              <w:t>四、</w:t>
            </w:r>
            <w:r>
              <w:rPr>
                <w:spacing w:val="33"/>
                <w:sz w:val="24"/>
                <w:szCs w:val="24"/>
              </w:rPr>
              <w:t xml:space="preserve"> </w:t>
            </w:r>
            <w:r>
              <w:rPr>
                <w:spacing w:val="-11"/>
                <w:sz w:val="24"/>
                <w:szCs w:val="24"/>
              </w:rPr>
              <w:t>固定资产</w:t>
            </w:r>
          </w:p>
        </w:tc>
        <w:tc>
          <w:tcPr>
            <w:tcW w:w="1064" w:type="dxa"/>
            <w:vAlign w:val="top"/>
          </w:tcPr>
          <w:p w14:paraId="12F6D019">
            <w:pPr>
              <w:pStyle w:val="14"/>
              <w:spacing w:before="162" w:line="220" w:lineRule="auto"/>
              <w:ind w:left="300"/>
              <w:rPr>
                <w:sz w:val="24"/>
                <w:szCs w:val="24"/>
              </w:rPr>
            </w:pPr>
            <w:r>
              <w:rPr>
                <w:spacing w:val="-8"/>
                <w:sz w:val="24"/>
                <w:szCs w:val="24"/>
              </w:rPr>
              <w:t>万元</w:t>
            </w:r>
          </w:p>
        </w:tc>
        <w:tc>
          <w:tcPr>
            <w:tcW w:w="1498" w:type="dxa"/>
            <w:vAlign w:val="top"/>
          </w:tcPr>
          <w:p w14:paraId="24E173D1">
            <w:pPr>
              <w:rPr>
                <w:rFonts w:ascii="Arial"/>
                <w:sz w:val="21"/>
              </w:rPr>
            </w:pPr>
          </w:p>
        </w:tc>
        <w:tc>
          <w:tcPr>
            <w:tcW w:w="1453" w:type="dxa"/>
            <w:vAlign w:val="top"/>
          </w:tcPr>
          <w:p w14:paraId="44BCC90C">
            <w:pPr>
              <w:rPr>
                <w:rFonts w:ascii="Arial"/>
                <w:sz w:val="21"/>
              </w:rPr>
            </w:pPr>
          </w:p>
        </w:tc>
        <w:tc>
          <w:tcPr>
            <w:tcW w:w="1429" w:type="dxa"/>
            <w:vAlign w:val="top"/>
          </w:tcPr>
          <w:p w14:paraId="12C665AD">
            <w:pPr>
              <w:rPr>
                <w:rFonts w:ascii="Arial"/>
                <w:sz w:val="21"/>
              </w:rPr>
            </w:pPr>
          </w:p>
        </w:tc>
      </w:tr>
      <w:tr w14:paraId="0A5C6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4067" w:type="dxa"/>
            <w:vAlign w:val="top"/>
          </w:tcPr>
          <w:p w14:paraId="1EFAC5B8">
            <w:pPr>
              <w:pStyle w:val="14"/>
              <w:spacing w:before="164" w:line="219" w:lineRule="auto"/>
              <w:ind w:left="1262"/>
              <w:rPr>
                <w:sz w:val="24"/>
                <w:szCs w:val="24"/>
              </w:rPr>
            </w:pPr>
            <w:r>
              <w:rPr>
                <w:spacing w:val="-2"/>
                <w:sz w:val="24"/>
                <w:szCs w:val="24"/>
              </w:rPr>
              <w:t>五、 流动资产</w:t>
            </w:r>
          </w:p>
        </w:tc>
        <w:tc>
          <w:tcPr>
            <w:tcW w:w="1064" w:type="dxa"/>
            <w:vAlign w:val="top"/>
          </w:tcPr>
          <w:p w14:paraId="36EC75F8">
            <w:pPr>
              <w:pStyle w:val="14"/>
              <w:spacing w:before="163" w:line="220" w:lineRule="auto"/>
              <w:ind w:left="300"/>
              <w:rPr>
                <w:sz w:val="24"/>
                <w:szCs w:val="24"/>
              </w:rPr>
            </w:pPr>
            <w:r>
              <w:rPr>
                <w:spacing w:val="-8"/>
                <w:sz w:val="24"/>
                <w:szCs w:val="24"/>
              </w:rPr>
              <w:t>万元</w:t>
            </w:r>
          </w:p>
        </w:tc>
        <w:tc>
          <w:tcPr>
            <w:tcW w:w="1498" w:type="dxa"/>
            <w:vAlign w:val="top"/>
          </w:tcPr>
          <w:p w14:paraId="312F77ED">
            <w:pPr>
              <w:rPr>
                <w:rFonts w:ascii="Arial"/>
                <w:sz w:val="21"/>
              </w:rPr>
            </w:pPr>
          </w:p>
        </w:tc>
        <w:tc>
          <w:tcPr>
            <w:tcW w:w="1453" w:type="dxa"/>
            <w:vAlign w:val="top"/>
          </w:tcPr>
          <w:p w14:paraId="7032B6F1">
            <w:pPr>
              <w:rPr>
                <w:rFonts w:ascii="Arial"/>
                <w:sz w:val="21"/>
              </w:rPr>
            </w:pPr>
          </w:p>
        </w:tc>
        <w:tc>
          <w:tcPr>
            <w:tcW w:w="1429" w:type="dxa"/>
            <w:vAlign w:val="top"/>
          </w:tcPr>
          <w:p w14:paraId="30D63B1B">
            <w:pPr>
              <w:rPr>
                <w:rFonts w:ascii="Arial"/>
                <w:sz w:val="21"/>
              </w:rPr>
            </w:pPr>
          </w:p>
        </w:tc>
      </w:tr>
      <w:tr w14:paraId="12076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067" w:type="dxa"/>
            <w:vAlign w:val="top"/>
          </w:tcPr>
          <w:p w14:paraId="059910DD">
            <w:pPr>
              <w:pStyle w:val="14"/>
              <w:spacing w:before="162" w:line="219" w:lineRule="auto"/>
              <w:ind w:left="1260"/>
              <w:rPr>
                <w:sz w:val="24"/>
                <w:szCs w:val="24"/>
              </w:rPr>
            </w:pPr>
            <w:r>
              <w:rPr>
                <w:spacing w:val="-2"/>
                <w:sz w:val="24"/>
                <w:szCs w:val="24"/>
              </w:rPr>
              <w:t>六、 流动负债</w:t>
            </w:r>
          </w:p>
        </w:tc>
        <w:tc>
          <w:tcPr>
            <w:tcW w:w="1064" w:type="dxa"/>
            <w:vAlign w:val="top"/>
          </w:tcPr>
          <w:p w14:paraId="4FFEC1BA">
            <w:pPr>
              <w:pStyle w:val="14"/>
              <w:spacing w:before="162" w:line="220" w:lineRule="auto"/>
              <w:ind w:left="300"/>
              <w:rPr>
                <w:sz w:val="24"/>
                <w:szCs w:val="24"/>
              </w:rPr>
            </w:pPr>
            <w:r>
              <w:rPr>
                <w:spacing w:val="-8"/>
                <w:sz w:val="24"/>
                <w:szCs w:val="24"/>
              </w:rPr>
              <w:t>万元</w:t>
            </w:r>
          </w:p>
        </w:tc>
        <w:tc>
          <w:tcPr>
            <w:tcW w:w="1498" w:type="dxa"/>
            <w:vAlign w:val="top"/>
          </w:tcPr>
          <w:p w14:paraId="1FA77908">
            <w:pPr>
              <w:rPr>
                <w:rFonts w:ascii="Arial"/>
                <w:sz w:val="21"/>
              </w:rPr>
            </w:pPr>
          </w:p>
        </w:tc>
        <w:tc>
          <w:tcPr>
            <w:tcW w:w="1453" w:type="dxa"/>
            <w:vAlign w:val="top"/>
          </w:tcPr>
          <w:p w14:paraId="7F4AC6B8">
            <w:pPr>
              <w:rPr>
                <w:rFonts w:ascii="Arial"/>
                <w:sz w:val="21"/>
              </w:rPr>
            </w:pPr>
          </w:p>
        </w:tc>
        <w:tc>
          <w:tcPr>
            <w:tcW w:w="1429" w:type="dxa"/>
            <w:vAlign w:val="top"/>
          </w:tcPr>
          <w:p w14:paraId="3457BC8C">
            <w:pPr>
              <w:rPr>
                <w:rFonts w:ascii="Arial"/>
                <w:sz w:val="21"/>
              </w:rPr>
            </w:pPr>
          </w:p>
        </w:tc>
      </w:tr>
      <w:tr w14:paraId="30ED6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067" w:type="dxa"/>
            <w:vAlign w:val="top"/>
          </w:tcPr>
          <w:p w14:paraId="248F543A">
            <w:pPr>
              <w:pStyle w:val="14"/>
              <w:spacing w:before="165" w:line="219" w:lineRule="auto"/>
              <w:ind w:left="1257"/>
              <w:rPr>
                <w:sz w:val="24"/>
                <w:szCs w:val="24"/>
              </w:rPr>
            </w:pPr>
            <w:r>
              <w:rPr>
                <w:spacing w:val="-5"/>
                <w:sz w:val="24"/>
                <w:szCs w:val="24"/>
              </w:rPr>
              <w:t>七、</w:t>
            </w:r>
            <w:r>
              <w:rPr>
                <w:spacing w:val="20"/>
                <w:sz w:val="24"/>
                <w:szCs w:val="24"/>
              </w:rPr>
              <w:t xml:space="preserve"> </w:t>
            </w:r>
            <w:r>
              <w:rPr>
                <w:spacing w:val="-5"/>
                <w:sz w:val="24"/>
                <w:szCs w:val="24"/>
              </w:rPr>
              <w:t>负债合计</w:t>
            </w:r>
          </w:p>
        </w:tc>
        <w:tc>
          <w:tcPr>
            <w:tcW w:w="1064" w:type="dxa"/>
            <w:vAlign w:val="top"/>
          </w:tcPr>
          <w:p w14:paraId="2F7B5C72">
            <w:pPr>
              <w:pStyle w:val="14"/>
              <w:spacing w:before="164" w:line="220" w:lineRule="auto"/>
              <w:ind w:left="300"/>
              <w:rPr>
                <w:sz w:val="24"/>
                <w:szCs w:val="24"/>
              </w:rPr>
            </w:pPr>
            <w:r>
              <w:rPr>
                <w:spacing w:val="-8"/>
                <w:sz w:val="24"/>
                <w:szCs w:val="24"/>
              </w:rPr>
              <w:t>万元</w:t>
            </w:r>
          </w:p>
        </w:tc>
        <w:tc>
          <w:tcPr>
            <w:tcW w:w="1498" w:type="dxa"/>
            <w:vAlign w:val="top"/>
          </w:tcPr>
          <w:p w14:paraId="14021CBB">
            <w:pPr>
              <w:rPr>
                <w:rFonts w:ascii="Arial"/>
                <w:sz w:val="21"/>
              </w:rPr>
            </w:pPr>
          </w:p>
        </w:tc>
        <w:tc>
          <w:tcPr>
            <w:tcW w:w="1453" w:type="dxa"/>
            <w:vAlign w:val="top"/>
          </w:tcPr>
          <w:p w14:paraId="41772E59">
            <w:pPr>
              <w:rPr>
                <w:rFonts w:ascii="Arial"/>
                <w:sz w:val="21"/>
              </w:rPr>
            </w:pPr>
          </w:p>
        </w:tc>
        <w:tc>
          <w:tcPr>
            <w:tcW w:w="1429" w:type="dxa"/>
            <w:vAlign w:val="top"/>
          </w:tcPr>
          <w:p w14:paraId="27EAD90B">
            <w:pPr>
              <w:rPr>
                <w:rFonts w:ascii="Arial"/>
                <w:sz w:val="21"/>
              </w:rPr>
            </w:pPr>
          </w:p>
        </w:tc>
      </w:tr>
      <w:tr w14:paraId="199D7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067" w:type="dxa"/>
            <w:vAlign w:val="top"/>
          </w:tcPr>
          <w:p w14:paraId="359FEDF8">
            <w:pPr>
              <w:pStyle w:val="14"/>
              <w:spacing w:before="164" w:line="219" w:lineRule="auto"/>
              <w:ind w:left="1262"/>
              <w:rPr>
                <w:sz w:val="24"/>
                <w:szCs w:val="24"/>
              </w:rPr>
            </w:pPr>
            <w:r>
              <w:rPr>
                <w:spacing w:val="-6"/>
                <w:sz w:val="24"/>
                <w:szCs w:val="24"/>
              </w:rPr>
              <w:t>八、</w:t>
            </w:r>
            <w:r>
              <w:rPr>
                <w:spacing w:val="21"/>
                <w:sz w:val="24"/>
                <w:szCs w:val="24"/>
              </w:rPr>
              <w:t xml:space="preserve"> </w:t>
            </w:r>
            <w:r>
              <w:rPr>
                <w:spacing w:val="-6"/>
                <w:sz w:val="24"/>
                <w:szCs w:val="24"/>
              </w:rPr>
              <w:t>营业收入</w:t>
            </w:r>
          </w:p>
        </w:tc>
        <w:tc>
          <w:tcPr>
            <w:tcW w:w="1064" w:type="dxa"/>
            <w:vAlign w:val="top"/>
          </w:tcPr>
          <w:p w14:paraId="00E34E6D">
            <w:pPr>
              <w:pStyle w:val="14"/>
              <w:spacing w:before="164" w:line="220" w:lineRule="auto"/>
              <w:ind w:left="300"/>
              <w:rPr>
                <w:sz w:val="24"/>
                <w:szCs w:val="24"/>
              </w:rPr>
            </w:pPr>
            <w:r>
              <w:rPr>
                <w:spacing w:val="-8"/>
                <w:sz w:val="24"/>
                <w:szCs w:val="24"/>
              </w:rPr>
              <w:t>万元</w:t>
            </w:r>
          </w:p>
        </w:tc>
        <w:tc>
          <w:tcPr>
            <w:tcW w:w="1498" w:type="dxa"/>
            <w:vAlign w:val="top"/>
          </w:tcPr>
          <w:p w14:paraId="0417BA55">
            <w:pPr>
              <w:rPr>
                <w:rFonts w:ascii="Arial"/>
                <w:sz w:val="21"/>
              </w:rPr>
            </w:pPr>
          </w:p>
        </w:tc>
        <w:tc>
          <w:tcPr>
            <w:tcW w:w="1453" w:type="dxa"/>
            <w:vAlign w:val="top"/>
          </w:tcPr>
          <w:p w14:paraId="309578B2">
            <w:pPr>
              <w:rPr>
                <w:rFonts w:ascii="Arial"/>
                <w:sz w:val="21"/>
              </w:rPr>
            </w:pPr>
          </w:p>
        </w:tc>
        <w:tc>
          <w:tcPr>
            <w:tcW w:w="1429" w:type="dxa"/>
            <w:vAlign w:val="top"/>
          </w:tcPr>
          <w:p w14:paraId="35E3FB74">
            <w:pPr>
              <w:rPr>
                <w:rFonts w:ascii="Arial"/>
                <w:sz w:val="21"/>
              </w:rPr>
            </w:pPr>
          </w:p>
        </w:tc>
      </w:tr>
      <w:tr w14:paraId="61CCC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4067" w:type="dxa"/>
            <w:vAlign w:val="top"/>
          </w:tcPr>
          <w:p w14:paraId="1C2BF625">
            <w:pPr>
              <w:pStyle w:val="14"/>
              <w:spacing w:before="166" w:line="220" w:lineRule="auto"/>
              <w:ind w:left="1384"/>
              <w:rPr>
                <w:sz w:val="24"/>
                <w:szCs w:val="24"/>
              </w:rPr>
            </w:pPr>
            <w:r>
              <w:rPr>
                <w:spacing w:val="-6"/>
                <w:sz w:val="24"/>
                <w:szCs w:val="24"/>
              </w:rPr>
              <w:t>九、</w:t>
            </w:r>
            <w:r>
              <w:rPr>
                <w:spacing w:val="13"/>
                <w:sz w:val="24"/>
                <w:szCs w:val="24"/>
              </w:rPr>
              <w:t xml:space="preserve"> </w:t>
            </w:r>
            <w:r>
              <w:rPr>
                <w:spacing w:val="-6"/>
                <w:sz w:val="24"/>
                <w:szCs w:val="24"/>
              </w:rPr>
              <w:t>净利润</w:t>
            </w:r>
          </w:p>
        </w:tc>
        <w:tc>
          <w:tcPr>
            <w:tcW w:w="1064" w:type="dxa"/>
            <w:vAlign w:val="top"/>
          </w:tcPr>
          <w:p w14:paraId="2D346CCE">
            <w:pPr>
              <w:pStyle w:val="14"/>
              <w:spacing w:before="166" w:line="220" w:lineRule="auto"/>
              <w:ind w:left="300"/>
              <w:rPr>
                <w:sz w:val="24"/>
                <w:szCs w:val="24"/>
              </w:rPr>
            </w:pPr>
            <w:r>
              <w:rPr>
                <w:spacing w:val="-8"/>
                <w:sz w:val="24"/>
                <w:szCs w:val="24"/>
              </w:rPr>
              <w:t>万元</w:t>
            </w:r>
          </w:p>
        </w:tc>
        <w:tc>
          <w:tcPr>
            <w:tcW w:w="1498" w:type="dxa"/>
            <w:vAlign w:val="top"/>
          </w:tcPr>
          <w:p w14:paraId="1D1A19AD">
            <w:pPr>
              <w:rPr>
                <w:rFonts w:ascii="Arial"/>
                <w:sz w:val="21"/>
              </w:rPr>
            </w:pPr>
          </w:p>
        </w:tc>
        <w:tc>
          <w:tcPr>
            <w:tcW w:w="1453" w:type="dxa"/>
            <w:vAlign w:val="top"/>
          </w:tcPr>
          <w:p w14:paraId="763ED14F">
            <w:pPr>
              <w:rPr>
                <w:rFonts w:ascii="Arial"/>
                <w:sz w:val="21"/>
              </w:rPr>
            </w:pPr>
          </w:p>
        </w:tc>
        <w:tc>
          <w:tcPr>
            <w:tcW w:w="1429" w:type="dxa"/>
            <w:vAlign w:val="top"/>
          </w:tcPr>
          <w:p w14:paraId="0D6E91C7">
            <w:pPr>
              <w:rPr>
                <w:rFonts w:ascii="Arial"/>
                <w:sz w:val="21"/>
              </w:rPr>
            </w:pPr>
          </w:p>
        </w:tc>
      </w:tr>
      <w:tr w14:paraId="640C6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4067" w:type="dxa"/>
            <w:vAlign w:val="top"/>
          </w:tcPr>
          <w:p w14:paraId="57CB9BBA">
            <w:pPr>
              <w:pStyle w:val="14"/>
              <w:spacing w:before="165" w:line="219" w:lineRule="auto"/>
              <w:ind w:left="1019"/>
              <w:rPr>
                <w:sz w:val="24"/>
                <w:szCs w:val="24"/>
              </w:rPr>
            </w:pPr>
            <w:r>
              <w:rPr>
                <w:spacing w:val="-2"/>
                <w:sz w:val="24"/>
                <w:szCs w:val="24"/>
              </w:rPr>
              <w:t>十、 现金流量净额</w:t>
            </w:r>
          </w:p>
        </w:tc>
        <w:tc>
          <w:tcPr>
            <w:tcW w:w="1064" w:type="dxa"/>
            <w:vAlign w:val="top"/>
          </w:tcPr>
          <w:p w14:paraId="3D8E3BAC">
            <w:pPr>
              <w:pStyle w:val="14"/>
              <w:spacing w:before="165" w:line="220" w:lineRule="auto"/>
              <w:ind w:left="300"/>
              <w:rPr>
                <w:sz w:val="24"/>
                <w:szCs w:val="24"/>
              </w:rPr>
            </w:pPr>
            <w:r>
              <w:rPr>
                <w:spacing w:val="-8"/>
                <w:sz w:val="24"/>
                <w:szCs w:val="24"/>
              </w:rPr>
              <w:t>万元</w:t>
            </w:r>
          </w:p>
        </w:tc>
        <w:tc>
          <w:tcPr>
            <w:tcW w:w="1498" w:type="dxa"/>
            <w:vAlign w:val="top"/>
          </w:tcPr>
          <w:p w14:paraId="372243CB">
            <w:pPr>
              <w:rPr>
                <w:rFonts w:ascii="Arial"/>
                <w:sz w:val="21"/>
              </w:rPr>
            </w:pPr>
          </w:p>
        </w:tc>
        <w:tc>
          <w:tcPr>
            <w:tcW w:w="1453" w:type="dxa"/>
            <w:vAlign w:val="top"/>
          </w:tcPr>
          <w:p w14:paraId="3BAA55CD">
            <w:pPr>
              <w:rPr>
                <w:rFonts w:ascii="Arial"/>
                <w:sz w:val="21"/>
              </w:rPr>
            </w:pPr>
          </w:p>
        </w:tc>
        <w:tc>
          <w:tcPr>
            <w:tcW w:w="1429" w:type="dxa"/>
            <w:vAlign w:val="top"/>
          </w:tcPr>
          <w:p w14:paraId="1D459350">
            <w:pPr>
              <w:rPr>
                <w:rFonts w:ascii="Arial"/>
                <w:sz w:val="21"/>
              </w:rPr>
            </w:pPr>
          </w:p>
        </w:tc>
      </w:tr>
      <w:tr w14:paraId="1CA0B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4067" w:type="dxa"/>
            <w:vAlign w:val="top"/>
          </w:tcPr>
          <w:p w14:paraId="669A85D3">
            <w:pPr>
              <w:pStyle w:val="14"/>
              <w:spacing w:before="167" w:line="219" w:lineRule="auto"/>
              <w:ind w:left="899"/>
              <w:rPr>
                <w:sz w:val="24"/>
                <w:szCs w:val="24"/>
              </w:rPr>
            </w:pPr>
            <w:r>
              <w:rPr>
                <w:spacing w:val="-2"/>
                <w:sz w:val="24"/>
                <w:szCs w:val="24"/>
              </w:rPr>
              <w:t>十一、 主要财务指标</w:t>
            </w:r>
          </w:p>
        </w:tc>
        <w:tc>
          <w:tcPr>
            <w:tcW w:w="1064" w:type="dxa"/>
            <w:vAlign w:val="top"/>
          </w:tcPr>
          <w:p w14:paraId="72DBFBE7">
            <w:pPr>
              <w:rPr>
                <w:rFonts w:ascii="Arial"/>
                <w:sz w:val="21"/>
              </w:rPr>
            </w:pPr>
          </w:p>
        </w:tc>
        <w:tc>
          <w:tcPr>
            <w:tcW w:w="1498" w:type="dxa"/>
            <w:vAlign w:val="top"/>
          </w:tcPr>
          <w:p w14:paraId="6D0CC9E2">
            <w:pPr>
              <w:rPr>
                <w:rFonts w:ascii="Arial"/>
                <w:sz w:val="21"/>
              </w:rPr>
            </w:pPr>
          </w:p>
        </w:tc>
        <w:tc>
          <w:tcPr>
            <w:tcW w:w="1453" w:type="dxa"/>
            <w:vAlign w:val="top"/>
          </w:tcPr>
          <w:p w14:paraId="6169878A">
            <w:pPr>
              <w:rPr>
                <w:rFonts w:ascii="Arial"/>
                <w:sz w:val="21"/>
              </w:rPr>
            </w:pPr>
          </w:p>
        </w:tc>
        <w:tc>
          <w:tcPr>
            <w:tcW w:w="1429" w:type="dxa"/>
            <w:vAlign w:val="top"/>
          </w:tcPr>
          <w:p w14:paraId="3E37030D">
            <w:pPr>
              <w:rPr>
                <w:rFonts w:ascii="Arial"/>
                <w:sz w:val="21"/>
              </w:rPr>
            </w:pPr>
          </w:p>
        </w:tc>
      </w:tr>
      <w:tr w14:paraId="2BC91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067" w:type="dxa"/>
            <w:vAlign w:val="top"/>
          </w:tcPr>
          <w:p w14:paraId="3FDCA66F">
            <w:pPr>
              <w:pStyle w:val="14"/>
              <w:spacing w:before="165" w:line="219" w:lineRule="auto"/>
              <w:ind w:left="1156"/>
              <w:rPr>
                <w:sz w:val="24"/>
                <w:szCs w:val="24"/>
              </w:rPr>
            </w:pPr>
            <w:r>
              <w:rPr>
                <w:spacing w:val="-4"/>
                <w:sz w:val="24"/>
                <w:szCs w:val="24"/>
              </w:rPr>
              <w:t>1. 净资产收益率</w:t>
            </w:r>
          </w:p>
        </w:tc>
        <w:tc>
          <w:tcPr>
            <w:tcW w:w="1064" w:type="dxa"/>
            <w:vAlign w:val="top"/>
          </w:tcPr>
          <w:p w14:paraId="5942DAFF">
            <w:pPr>
              <w:pStyle w:val="14"/>
              <w:spacing w:before="164"/>
              <w:ind w:left="468"/>
              <w:rPr>
                <w:sz w:val="24"/>
                <w:szCs w:val="24"/>
              </w:rPr>
            </w:pPr>
            <w:r>
              <w:rPr>
                <w:sz w:val="24"/>
                <w:szCs w:val="24"/>
              </w:rPr>
              <w:t>%</w:t>
            </w:r>
          </w:p>
        </w:tc>
        <w:tc>
          <w:tcPr>
            <w:tcW w:w="1498" w:type="dxa"/>
            <w:vAlign w:val="top"/>
          </w:tcPr>
          <w:p w14:paraId="04C1E220">
            <w:pPr>
              <w:rPr>
                <w:rFonts w:ascii="Arial"/>
                <w:sz w:val="21"/>
              </w:rPr>
            </w:pPr>
          </w:p>
        </w:tc>
        <w:tc>
          <w:tcPr>
            <w:tcW w:w="1453" w:type="dxa"/>
            <w:vAlign w:val="top"/>
          </w:tcPr>
          <w:p w14:paraId="49C30F80">
            <w:pPr>
              <w:rPr>
                <w:rFonts w:ascii="Arial"/>
                <w:sz w:val="21"/>
              </w:rPr>
            </w:pPr>
          </w:p>
        </w:tc>
        <w:tc>
          <w:tcPr>
            <w:tcW w:w="1429" w:type="dxa"/>
            <w:vAlign w:val="top"/>
          </w:tcPr>
          <w:p w14:paraId="42B9F0CC">
            <w:pPr>
              <w:rPr>
                <w:rFonts w:ascii="Arial"/>
                <w:sz w:val="21"/>
              </w:rPr>
            </w:pPr>
          </w:p>
        </w:tc>
      </w:tr>
      <w:tr w14:paraId="22C32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4067" w:type="dxa"/>
            <w:vAlign w:val="top"/>
          </w:tcPr>
          <w:p w14:paraId="61127028">
            <w:pPr>
              <w:pStyle w:val="14"/>
              <w:spacing w:before="168" w:line="219" w:lineRule="auto"/>
              <w:ind w:left="1141"/>
              <w:rPr>
                <w:sz w:val="24"/>
                <w:szCs w:val="24"/>
              </w:rPr>
            </w:pPr>
            <w:r>
              <w:rPr>
                <w:spacing w:val="-4"/>
                <w:sz w:val="24"/>
                <w:szCs w:val="24"/>
              </w:rPr>
              <w:t>2.</w:t>
            </w:r>
            <w:r>
              <w:rPr>
                <w:spacing w:val="18"/>
                <w:sz w:val="24"/>
                <w:szCs w:val="24"/>
              </w:rPr>
              <w:t xml:space="preserve"> </w:t>
            </w:r>
            <w:r>
              <w:rPr>
                <w:spacing w:val="-4"/>
                <w:sz w:val="24"/>
                <w:szCs w:val="24"/>
              </w:rPr>
              <w:t>总资产报酬率</w:t>
            </w:r>
          </w:p>
        </w:tc>
        <w:tc>
          <w:tcPr>
            <w:tcW w:w="1064" w:type="dxa"/>
            <w:vAlign w:val="top"/>
          </w:tcPr>
          <w:p w14:paraId="6EE77FCC">
            <w:pPr>
              <w:pStyle w:val="14"/>
              <w:spacing w:before="167"/>
              <w:ind w:left="468"/>
              <w:rPr>
                <w:sz w:val="24"/>
                <w:szCs w:val="24"/>
              </w:rPr>
            </w:pPr>
            <w:r>
              <w:rPr>
                <w:sz w:val="24"/>
                <w:szCs w:val="24"/>
              </w:rPr>
              <w:t>%</w:t>
            </w:r>
          </w:p>
        </w:tc>
        <w:tc>
          <w:tcPr>
            <w:tcW w:w="1498" w:type="dxa"/>
            <w:vAlign w:val="top"/>
          </w:tcPr>
          <w:p w14:paraId="5B1D2819">
            <w:pPr>
              <w:rPr>
                <w:rFonts w:ascii="Arial"/>
                <w:sz w:val="21"/>
              </w:rPr>
            </w:pPr>
          </w:p>
        </w:tc>
        <w:tc>
          <w:tcPr>
            <w:tcW w:w="1453" w:type="dxa"/>
            <w:vAlign w:val="top"/>
          </w:tcPr>
          <w:p w14:paraId="54033DE2">
            <w:pPr>
              <w:rPr>
                <w:rFonts w:ascii="Arial"/>
                <w:sz w:val="21"/>
              </w:rPr>
            </w:pPr>
          </w:p>
        </w:tc>
        <w:tc>
          <w:tcPr>
            <w:tcW w:w="1429" w:type="dxa"/>
            <w:vAlign w:val="top"/>
          </w:tcPr>
          <w:p w14:paraId="7E41AA05">
            <w:pPr>
              <w:rPr>
                <w:rFonts w:ascii="Arial"/>
                <w:sz w:val="21"/>
              </w:rPr>
            </w:pPr>
          </w:p>
        </w:tc>
      </w:tr>
      <w:tr w14:paraId="74CE6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067" w:type="dxa"/>
            <w:vAlign w:val="top"/>
          </w:tcPr>
          <w:p w14:paraId="0791E1CC">
            <w:pPr>
              <w:pStyle w:val="14"/>
              <w:spacing w:before="166" w:line="219" w:lineRule="auto"/>
              <w:ind w:left="1023"/>
              <w:rPr>
                <w:sz w:val="24"/>
                <w:szCs w:val="24"/>
              </w:rPr>
            </w:pPr>
            <w:r>
              <w:rPr>
                <w:spacing w:val="-2"/>
                <w:sz w:val="24"/>
                <w:szCs w:val="24"/>
              </w:rPr>
              <w:t>3. 主营业务利润率</w:t>
            </w:r>
          </w:p>
        </w:tc>
        <w:tc>
          <w:tcPr>
            <w:tcW w:w="1064" w:type="dxa"/>
            <w:vAlign w:val="top"/>
          </w:tcPr>
          <w:p w14:paraId="6CE8826E">
            <w:pPr>
              <w:pStyle w:val="14"/>
              <w:spacing w:before="165"/>
              <w:ind w:left="468"/>
              <w:rPr>
                <w:sz w:val="24"/>
                <w:szCs w:val="24"/>
              </w:rPr>
            </w:pPr>
            <w:r>
              <w:rPr>
                <w:sz w:val="24"/>
                <w:szCs w:val="24"/>
              </w:rPr>
              <w:t>%</w:t>
            </w:r>
          </w:p>
        </w:tc>
        <w:tc>
          <w:tcPr>
            <w:tcW w:w="1498" w:type="dxa"/>
            <w:vAlign w:val="top"/>
          </w:tcPr>
          <w:p w14:paraId="78718A9E">
            <w:pPr>
              <w:rPr>
                <w:rFonts w:ascii="Arial"/>
                <w:sz w:val="21"/>
              </w:rPr>
            </w:pPr>
          </w:p>
        </w:tc>
        <w:tc>
          <w:tcPr>
            <w:tcW w:w="1453" w:type="dxa"/>
            <w:vAlign w:val="top"/>
          </w:tcPr>
          <w:p w14:paraId="11BFBD38">
            <w:pPr>
              <w:rPr>
                <w:rFonts w:ascii="Arial"/>
                <w:sz w:val="21"/>
              </w:rPr>
            </w:pPr>
          </w:p>
        </w:tc>
        <w:tc>
          <w:tcPr>
            <w:tcW w:w="1429" w:type="dxa"/>
            <w:vAlign w:val="top"/>
          </w:tcPr>
          <w:p w14:paraId="752F8C28">
            <w:pPr>
              <w:rPr>
                <w:rFonts w:ascii="Arial"/>
                <w:sz w:val="21"/>
              </w:rPr>
            </w:pPr>
          </w:p>
        </w:tc>
      </w:tr>
      <w:tr w14:paraId="411C7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067" w:type="dxa"/>
            <w:vAlign w:val="top"/>
          </w:tcPr>
          <w:p w14:paraId="31C32030">
            <w:pPr>
              <w:pStyle w:val="14"/>
              <w:spacing w:before="169" w:line="219" w:lineRule="auto"/>
              <w:ind w:left="1257"/>
              <w:rPr>
                <w:sz w:val="24"/>
                <w:szCs w:val="24"/>
              </w:rPr>
            </w:pPr>
            <w:r>
              <w:rPr>
                <w:spacing w:val="-5"/>
                <w:sz w:val="24"/>
                <w:szCs w:val="24"/>
              </w:rPr>
              <w:t>4.</w:t>
            </w:r>
            <w:r>
              <w:rPr>
                <w:spacing w:val="25"/>
                <w:sz w:val="24"/>
                <w:szCs w:val="24"/>
              </w:rPr>
              <w:t xml:space="preserve"> </w:t>
            </w:r>
            <w:r>
              <w:rPr>
                <w:spacing w:val="-5"/>
                <w:sz w:val="24"/>
                <w:szCs w:val="24"/>
              </w:rPr>
              <w:t>资产负债率</w:t>
            </w:r>
          </w:p>
        </w:tc>
        <w:tc>
          <w:tcPr>
            <w:tcW w:w="1064" w:type="dxa"/>
            <w:vAlign w:val="top"/>
          </w:tcPr>
          <w:p w14:paraId="39A066AE">
            <w:pPr>
              <w:pStyle w:val="14"/>
              <w:spacing w:before="168"/>
              <w:ind w:left="468"/>
              <w:rPr>
                <w:sz w:val="24"/>
                <w:szCs w:val="24"/>
              </w:rPr>
            </w:pPr>
            <w:r>
              <w:rPr>
                <w:sz w:val="24"/>
                <w:szCs w:val="24"/>
              </w:rPr>
              <w:t>%</w:t>
            </w:r>
          </w:p>
        </w:tc>
        <w:tc>
          <w:tcPr>
            <w:tcW w:w="1498" w:type="dxa"/>
            <w:vAlign w:val="top"/>
          </w:tcPr>
          <w:p w14:paraId="436AA60B">
            <w:pPr>
              <w:rPr>
                <w:rFonts w:ascii="Arial"/>
                <w:sz w:val="21"/>
              </w:rPr>
            </w:pPr>
          </w:p>
        </w:tc>
        <w:tc>
          <w:tcPr>
            <w:tcW w:w="1453" w:type="dxa"/>
            <w:vAlign w:val="top"/>
          </w:tcPr>
          <w:p w14:paraId="2432F3BE">
            <w:pPr>
              <w:rPr>
                <w:rFonts w:ascii="Arial"/>
                <w:sz w:val="21"/>
              </w:rPr>
            </w:pPr>
          </w:p>
        </w:tc>
        <w:tc>
          <w:tcPr>
            <w:tcW w:w="1429" w:type="dxa"/>
            <w:vAlign w:val="top"/>
          </w:tcPr>
          <w:p w14:paraId="72C547B6">
            <w:pPr>
              <w:rPr>
                <w:rFonts w:ascii="Arial"/>
                <w:sz w:val="21"/>
              </w:rPr>
            </w:pPr>
          </w:p>
        </w:tc>
      </w:tr>
      <w:tr w14:paraId="67932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4067" w:type="dxa"/>
            <w:vAlign w:val="top"/>
          </w:tcPr>
          <w:p w14:paraId="30D779F8">
            <w:pPr>
              <w:pStyle w:val="14"/>
              <w:spacing w:before="168" w:line="219" w:lineRule="auto"/>
              <w:ind w:left="1383"/>
              <w:rPr>
                <w:sz w:val="24"/>
                <w:szCs w:val="24"/>
              </w:rPr>
            </w:pPr>
            <w:r>
              <w:rPr>
                <w:spacing w:val="-5"/>
                <w:sz w:val="24"/>
                <w:szCs w:val="24"/>
              </w:rPr>
              <w:t>5.</w:t>
            </w:r>
            <w:r>
              <w:rPr>
                <w:spacing w:val="14"/>
                <w:sz w:val="24"/>
                <w:szCs w:val="24"/>
              </w:rPr>
              <w:t xml:space="preserve"> </w:t>
            </w:r>
            <w:r>
              <w:rPr>
                <w:spacing w:val="-5"/>
                <w:sz w:val="24"/>
                <w:szCs w:val="24"/>
              </w:rPr>
              <w:t>流动比率</w:t>
            </w:r>
          </w:p>
        </w:tc>
        <w:tc>
          <w:tcPr>
            <w:tcW w:w="1064" w:type="dxa"/>
            <w:vAlign w:val="top"/>
          </w:tcPr>
          <w:p w14:paraId="2F3AE939">
            <w:pPr>
              <w:pStyle w:val="14"/>
              <w:spacing w:before="167"/>
              <w:ind w:left="468"/>
              <w:rPr>
                <w:sz w:val="24"/>
                <w:szCs w:val="24"/>
              </w:rPr>
            </w:pPr>
            <w:r>
              <w:rPr>
                <w:sz w:val="24"/>
                <w:szCs w:val="24"/>
              </w:rPr>
              <w:t>%</w:t>
            </w:r>
          </w:p>
        </w:tc>
        <w:tc>
          <w:tcPr>
            <w:tcW w:w="1498" w:type="dxa"/>
            <w:vAlign w:val="top"/>
          </w:tcPr>
          <w:p w14:paraId="7C990199">
            <w:pPr>
              <w:rPr>
                <w:rFonts w:ascii="Arial"/>
                <w:sz w:val="21"/>
              </w:rPr>
            </w:pPr>
          </w:p>
        </w:tc>
        <w:tc>
          <w:tcPr>
            <w:tcW w:w="1453" w:type="dxa"/>
            <w:vAlign w:val="top"/>
          </w:tcPr>
          <w:p w14:paraId="027C6DD2">
            <w:pPr>
              <w:rPr>
                <w:rFonts w:ascii="Arial"/>
                <w:sz w:val="21"/>
              </w:rPr>
            </w:pPr>
          </w:p>
        </w:tc>
        <w:tc>
          <w:tcPr>
            <w:tcW w:w="1429" w:type="dxa"/>
            <w:vAlign w:val="top"/>
          </w:tcPr>
          <w:p w14:paraId="733D4DEF">
            <w:pPr>
              <w:rPr>
                <w:rFonts w:ascii="Arial"/>
                <w:sz w:val="21"/>
              </w:rPr>
            </w:pPr>
          </w:p>
        </w:tc>
      </w:tr>
      <w:tr w14:paraId="12DB5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067" w:type="dxa"/>
            <w:vAlign w:val="top"/>
          </w:tcPr>
          <w:p w14:paraId="203A642A">
            <w:pPr>
              <w:pStyle w:val="14"/>
              <w:spacing w:before="170" w:line="219" w:lineRule="auto"/>
              <w:ind w:left="1380"/>
              <w:rPr>
                <w:sz w:val="24"/>
                <w:szCs w:val="24"/>
              </w:rPr>
            </w:pPr>
            <w:r>
              <w:rPr>
                <w:spacing w:val="-2"/>
                <w:sz w:val="24"/>
                <w:szCs w:val="24"/>
              </w:rPr>
              <w:t>6. 速动比率</w:t>
            </w:r>
          </w:p>
        </w:tc>
        <w:tc>
          <w:tcPr>
            <w:tcW w:w="1064" w:type="dxa"/>
            <w:vAlign w:val="top"/>
          </w:tcPr>
          <w:p w14:paraId="26523B7F">
            <w:pPr>
              <w:pStyle w:val="14"/>
              <w:spacing w:before="169"/>
              <w:ind w:left="468"/>
              <w:rPr>
                <w:sz w:val="24"/>
                <w:szCs w:val="24"/>
              </w:rPr>
            </w:pPr>
            <w:r>
              <w:rPr>
                <w:sz w:val="24"/>
                <w:szCs w:val="24"/>
              </w:rPr>
              <w:t>%</w:t>
            </w:r>
          </w:p>
        </w:tc>
        <w:tc>
          <w:tcPr>
            <w:tcW w:w="1498" w:type="dxa"/>
            <w:vAlign w:val="top"/>
          </w:tcPr>
          <w:p w14:paraId="173B5CD4">
            <w:pPr>
              <w:rPr>
                <w:rFonts w:ascii="Arial"/>
                <w:sz w:val="21"/>
              </w:rPr>
            </w:pPr>
          </w:p>
        </w:tc>
        <w:tc>
          <w:tcPr>
            <w:tcW w:w="1453" w:type="dxa"/>
            <w:vAlign w:val="top"/>
          </w:tcPr>
          <w:p w14:paraId="34F9268F">
            <w:pPr>
              <w:rPr>
                <w:rFonts w:ascii="Arial"/>
                <w:sz w:val="21"/>
              </w:rPr>
            </w:pPr>
          </w:p>
        </w:tc>
        <w:tc>
          <w:tcPr>
            <w:tcW w:w="1429" w:type="dxa"/>
            <w:vAlign w:val="top"/>
          </w:tcPr>
          <w:p w14:paraId="5F8FBCC7">
            <w:pPr>
              <w:rPr>
                <w:rFonts w:ascii="Arial"/>
                <w:sz w:val="21"/>
              </w:rPr>
            </w:pPr>
          </w:p>
        </w:tc>
      </w:tr>
      <w:tr w14:paraId="068D9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4067" w:type="dxa"/>
            <w:vAlign w:val="top"/>
          </w:tcPr>
          <w:p w14:paraId="516A5B98">
            <w:pPr>
              <w:pStyle w:val="14"/>
              <w:spacing w:before="169" w:line="219" w:lineRule="auto"/>
              <w:ind w:left="237"/>
              <w:rPr>
                <w:sz w:val="24"/>
                <w:szCs w:val="24"/>
              </w:rPr>
            </w:pPr>
            <w:r>
              <w:rPr>
                <w:spacing w:val="-1"/>
                <w:sz w:val="24"/>
                <w:szCs w:val="24"/>
              </w:rPr>
              <w:t>近三年年平均营业总收入（万元）</w:t>
            </w:r>
          </w:p>
        </w:tc>
        <w:tc>
          <w:tcPr>
            <w:tcW w:w="5444" w:type="dxa"/>
            <w:gridSpan w:val="4"/>
            <w:vAlign w:val="top"/>
          </w:tcPr>
          <w:p w14:paraId="2829A600">
            <w:pPr>
              <w:rPr>
                <w:rFonts w:ascii="Arial"/>
                <w:sz w:val="21"/>
              </w:rPr>
            </w:pPr>
          </w:p>
        </w:tc>
      </w:tr>
      <w:tr w14:paraId="7C580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4067" w:type="dxa"/>
            <w:vAlign w:val="top"/>
          </w:tcPr>
          <w:p w14:paraId="54347DF6">
            <w:pPr>
              <w:pStyle w:val="14"/>
              <w:spacing w:before="43" w:line="219" w:lineRule="auto"/>
              <w:ind w:left="61"/>
              <w:rPr>
                <w:sz w:val="24"/>
                <w:szCs w:val="24"/>
              </w:rPr>
            </w:pPr>
            <w:r>
              <w:rPr>
                <w:spacing w:val="-1"/>
                <w:sz w:val="24"/>
                <w:szCs w:val="24"/>
              </w:rPr>
              <w:t>最新年度具有的营运资金（流动资产-</w:t>
            </w:r>
          </w:p>
          <w:p w14:paraId="24CD18E3">
            <w:pPr>
              <w:pStyle w:val="14"/>
              <w:spacing w:before="25" w:line="208" w:lineRule="auto"/>
              <w:ind w:left="959"/>
              <w:rPr>
                <w:sz w:val="24"/>
                <w:szCs w:val="24"/>
              </w:rPr>
            </w:pPr>
            <w:r>
              <w:rPr>
                <w:spacing w:val="3"/>
                <w:sz w:val="24"/>
                <w:szCs w:val="24"/>
              </w:rPr>
              <w:t>流动负债</w:t>
            </w:r>
            <w:r>
              <w:rPr>
                <w:spacing w:val="-17"/>
                <w:sz w:val="24"/>
                <w:szCs w:val="24"/>
              </w:rPr>
              <w:t>）（</w:t>
            </w:r>
            <w:r>
              <w:rPr>
                <w:spacing w:val="3"/>
                <w:sz w:val="24"/>
                <w:szCs w:val="24"/>
              </w:rPr>
              <w:t>万元）</w:t>
            </w:r>
          </w:p>
        </w:tc>
        <w:tc>
          <w:tcPr>
            <w:tcW w:w="5444" w:type="dxa"/>
            <w:gridSpan w:val="4"/>
            <w:vAlign w:val="top"/>
          </w:tcPr>
          <w:p w14:paraId="3034EEB5">
            <w:pPr>
              <w:rPr>
                <w:rFonts w:ascii="Arial"/>
                <w:sz w:val="21"/>
              </w:rPr>
            </w:pPr>
          </w:p>
        </w:tc>
      </w:tr>
    </w:tbl>
    <w:p w14:paraId="38530E0E">
      <w:pPr>
        <w:spacing w:before="32" w:line="232" w:lineRule="auto"/>
        <w:ind w:left="235"/>
        <w:rPr>
          <w:rFonts w:ascii="宋体" w:hAnsi="宋体" w:eastAsia="宋体" w:cs="宋体"/>
          <w:sz w:val="20"/>
          <w:szCs w:val="20"/>
        </w:rPr>
      </w:pPr>
      <w:r>
        <w:rPr>
          <w:rFonts w:ascii="宋体" w:hAnsi="宋体" w:eastAsia="宋体" w:cs="宋体"/>
          <w:sz w:val="20"/>
          <w:szCs w:val="20"/>
        </w:rPr>
        <w:t>注：</w:t>
      </w:r>
    </w:p>
    <w:p w14:paraId="443C57AA">
      <w:pPr>
        <w:spacing w:before="19" w:line="227" w:lineRule="auto"/>
        <w:ind w:left="250"/>
        <w:rPr>
          <w:rFonts w:ascii="宋体" w:hAnsi="宋体" w:eastAsia="宋体" w:cs="宋体"/>
          <w:sz w:val="20"/>
          <w:szCs w:val="20"/>
        </w:rPr>
      </w:pPr>
      <w:r>
        <w:rPr>
          <w:rFonts w:ascii="宋体" w:hAnsi="宋体" w:eastAsia="宋体" w:cs="宋体"/>
          <w:spacing w:val="7"/>
          <w:sz w:val="20"/>
          <w:szCs w:val="20"/>
        </w:rPr>
        <w:t>1、投标人应根据招标文件第二章“投标人须知</w:t>
      </w:r>
      <w:r>
        <w:rPr>
          <w:rFonts w:ascii="宋体" w:hAnsi="宋体" w:eastAsia="宋体" w:cs="宋体"/>
          <w:spacing w:val="-58"/>
          <w:sz w:val="20"/>
          <w:szCs w:val="20"/>
        </w:rPr>
        <w:t xml:space="preserve"> </w:t>
      </w:r>
      <w:r>
        <w:rPr>
          <w:rFonts w:ascii="宋体" w:hAnsi="宋体" w:eastAsia="宋体" w:cs="宋体"/>
          <w:spacing w:val="7"/>
          <w:sz w:val="20"/>
          <w:szCs w:val="20"/>
        </w:rPr>
        <w:t>”第</w:t>
      </w:r>
      <w:r>
        <w:rPr>
          <w:rFonts w:ascii="宋体" w:hAnsi="宋体" w:eastAsia="宋体" w:cs="宋体"/>
          <w:spacing w:val="-35"/>
          <w:sz w:val="20"/>
          <w:szCs w:val="20"/>
        </w:rPr>
        <w:t xml:space="preserve"> </w:t>
      </w:r>
      <w:r>
        <w:rPr>
          <w:rFonts w:ascii="宋体" w:hAnsi="宋体" w:eastAsia="宋体" w:cs="宋体"/>
          <w:spacing w:val="7"/>
          <w:sz w:val="20"/>
          <w:szCs w:val="20"/>
        </w:rPr>
        <w:t>3.5.2</w:t>
      </w:r>
      <w:r>
        <w:rPr>
          <w:rFonts w:ascii="宋体" w:hAnsi="宋体" w:eastAsia="宋体" w:cs="宋体"/>
          <w:spacing w:val="-34"/>
          <w:sz w:val="20"/>
          <w:szCs w:val="20"/>
        </w:rPr>
        <w:t xml:space="preserve"> </w:t>
      </w:r>
      <w:r>
        <w:rPr>
          <w:rFonts w:ascii="宋体" w:hAnsi="宋体" w:eastAsia="宋体" w:cs="宋体"/>
          <w:spacing w:val="7"/>
          <w:sz w:val="20"/>
          <w:szCs w:val="20"/>
        </w:rPr>
        <w:t>项的要求在本表后附相关证明材料。</w:t>
      </w:r>
    </w:p>
    <w:p w14:paraId="3E9B656C">
      <w:pPr>
        <w:spacing w:before="28" w:line="228" w:lineRule="auto"/>
        <w:ind w:left="237"/>
        <w:jc w:val="center"/>
        <w:rPr>
          <w:rFonts w:ascii="宋体" w:hAnsi="宋体" w:eastAsia="宋体" w:cs="宋体"/>
          <w:sz w:val="24"/>
          <w:szCs w:val="24"/>
        </w:rPr>
      </w:pPr>
      <w:r>
        <w:rPr>
          <w:rFonts w:ascii="宋体" w:hAnsi="宋体" w:eastAsia="宋体" w:cs="宋体"/>
          <w:spacing w:val="9"/>
          <w:sz w:val="20"/>
          <w:szCs w:val="20"/>
        </w:rPr>
        <w:t>2、以联合体形式投标的，联合体各成员应</w:t>
      </w:r>
      <w:r>
        <w:rPr>
          <w:rFonts w:ascii="宋体" w:hAnsi="宋体" w:eastAsia="宋体" w:cs="宋体"/>
          <w:spacing w:val="8"/>
          <w:sz w:val="20"/>
          <w:szCs w:val="20"/>
        </w:rPr>
        <w:t>分别填写。</w:t>
      </w:r>
      <w:r>
        <w:rPr>
          <w:rFonts w:ascii="宋体" w:hAnsi="宋体" w:eastAsia="宋体" w:cs="宋体"/>
          <w:spacing w:val="8"/>
          <w:sz w:val="20"/>
          <w:szCs w:val="20"/>
        </w:rPr>
        <w:br w:type="page"/>
      </w:r>
      <w:r>
        <w:rPr>
          <w:rFonts w:ascii="宋体" w:hAnsi="宋体" w:eastAsia="宋体" w:cs="宋体"/>
          <w:b/>
          <w:bCs/>
          <w:spacing w:val="-3"/>
          <w:sz w:val="24"/>
          <w:szCs w:val="24"/>
        </w:rPr>
        <w:t>表</w:t>
      </w:r>
      <w:r>
        <w:rPr>
          <w:rFonts w:ascii="宋体" w:hAnsi="宋体" w:eastAsia="宋体" w:cs="宋体"/>
          <w:spacing w:val="-49"/>
          <w:sz w:val="24"/>
          <w:szCs w:val="24"/>
        </w:rPr>
        <w:t xml:space="preserve"> </w:t>
      </w:r>
      <w:r>
        <w:rPr>
          <w:rFonts w:ascii="宋体" w:hAnsi="宋体" w:eastAsia="宋体" w:cs="宋体"/>
          <w:b/>
          <w:bCs/>
          <w:spacing w:val="-3"/>
          <w:sz w:val="24"/>
          <w:szCs w:val="24"/>
        </w:rPr>
        <w:t>8-</w:t>
      </w:r>
      <w:r>
        <w:rPr>
          <w:rFonts w:hint="eastAsia" w:ascii="宋体" w:hAnsi="宋体" w:eastAsia="宋体" w:cs="宋体"/>
          <w:b/>
          <w:bCs/>
          <w:spacing w:val="-3"/>
          <w:sz w:val="24"/>
          <w:szCs w:val="24"/>
          <w:lang w:val="en-US" w:eastAsia="zh-CN"/>
        </w:rPr>
        <w:t>4</w:t>
      </w:r>
      <w:r>
        <w:rPr>
          <w:rFonts w:ascii="宋体" w:hAnsi="宋体" w:eastAsia="宋体" w:cs="宋体"/>
          <w:spacing w:val="-3"/>
          <w:sz w:val="24"/>
          <w:szCs w:val="24"/>
        </w:rPr>
        <w:t xml:space="preserve"> </w:t>
      </w:r>
      <w:r>
        <w:rPr>
          <w:rFonts w:ascii="宋体" w:hAnsi="宋体" w:eastAsia="宋体" w:cs="宋体"/>
          <w:b/>
          <w:bCs/>
          <w:spacing w:val="-3"/>
          <w:sz w:val="24"/>
          <w:szCs w:val="24"/>
        </w:rPr>
        <w:t>投标人的信誉情况</w:t>
      </w:r>
    </w:p>
    <w:p w14:paraId="5EB28C4E">
      <w:pPr>
        <w:spacing w:before="25"/>
      </w:pPr>
    </w:p>
    <w:tbl>
      <w:tblPr>
        <w:tblStyle w:val="13"/>
        <w:tblW w:w="94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51"/>
        <w:gridCol w:w="3864"/>
      </w:tblGrid>
      <w:tr w14:paraId="6DC09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5551" w:type="dxa"/>
            <w:vAlign w:val="top"/>
          </w:tcPr>
          <w:p w14:paraId="4D8A0706">
            <w:pPr>
              <w:pStyle w:val="14"/>
              <w:spacing w:before="257" w:line="220" w:lineRule="auto"/>
              <w:ind w:left="2546"/>
              <w:rPr>
                <w:sz w:val="24"/>
                <w:szCs w:val="24"/>
              </w:rPr>
            </w:pPr>
            <w:r>
              <w:rPr>
                <w:spacing w:val="-7"/>
                <w:sz w:val="24"/>
                <w:szCs w:val="24"/>
              </w:rPr>
              <w:t>项目</w:t>
            </w:r>
          </w:p>
        </w:tc>
        <w:tc>
          <w:tcPr>
            <w:tcW w:w="3864" w:type="dxa"/>
            <w:vAlign w:val="top"/>
          </w:tcPr>
          <w:p w14:paraId="75353681">
            <w:pPr>
              <w:pStyle w:val="14"/>
              <w:spacing w:before="258" w:line="219" w:lineRule="auto"/>
              <w:ind w:left="1100"/>
              <w:rPr>
                <w:sz w:val="24"/>
                <w:szCs w:val="24"/>
              </w:rPr>
            </w:pPr>
            <w:r>
              <w:rPr>
                <w:spacing w:val="-2"/>
                <w:sz w:val="24"/>
                <w:szCs w:val="24"/>
              </w:rPr>
              <w:t>投标人情况说明</w:t>
            </w:r>
          </w:p>
        </w:tc>
      </w:tr>
      <w:tr w14:paraId="244A1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5551" w:type="dxa"/>
            <w:vAlign w:val="top"/>
          </w:tcPr>
          <w:p w14:paraId="321B0D6B">
            <w:pPr>
              <w:pStyle w:val="14"/>
              <w:spacing w:before="115" w:line="289" w:lineRule="auto"/>
              <w:ind w:left="116" w:right="106" w:firstLine="11"/>
              <w:jc w:val="both"/>
              <w:rPr>
                <w:sz w:val="24"/>
                <w:szCs w:val="24"/>
              </w:rPr>
            </w:pPr>
            <w:r>
              <w:rPr>
                <w:spacing w:val="-4"/>
                <w:sz w:val="24"/>
                <w:szCs w:val="24"/>
              </w:rPr>
              <w:t>（1）在最新年度广东省水运工程从业单位（施工单</w:t>
            </w:r>
            <w:r>
              <w:rPr>
                <w:spacing w:val="2"/>
                <w:sz w:val="24"/>
                <w:szCs w:val="24"/>
              </w:rPr>
              <w:t>位）信用评价（含无最新年度而上一年度有信</w:t>
            </w:r>
            <w:r>
              <w:rPr>
                <w:spacing w:val="1"/>
                <w:sz w:val="24"/>
                <w:szCs w:val="24"/>
              </w:rPr>
              <w:t>用评价）中，信用等级被评为</w:t>
            </w:r>
            <w:r>
              <w:rPr>
                <w:spacing w:val="-53"/>
                <w:sz w:val="24"/>
                <w:szCs w:val="24"/>
              </w:rPr>
              <w:t xml:space="preserve"> </w:t>
            </w:r>
            <w:r>
              <w:rPr>
                <w:spacing w:val="1"/>
                <w:sz w:val="24"/>
                <w:szCs w:val="24"/>
              </w:rPr>
              <w:t>D</w:t>
            </w:r>
            <w:r>
              <w:rPr>
                <w:spacing w:val="-44"/>
                <w:sz w:val="24"/>
                <w:szCs w:val="24"/>
              </w:rPr>
              <w:t xml:space="preserve"> </w:t>
            </w:r>
            <w:r>
              <w:rPr>
                <w:spacing w:val="1"/>
                <w:sz w:val="24"/>
                <w:szCs w:val="24"/>
              </w:rPr>
              <w:t>级；初次进入广</w:t>
            </w:r>
            <w:r>
              <w:rPr>
                <w:sz w:val="24"/>
                <w:szCs w:val="24"/>
              </w:rPr>
              <w:t>东省的</w:t>
            </w:r>
            <w:r>
              <w:rPr>
                <w:spacing w:val="2"/>
                <w:sz w:val="24"/>
                <w:szCs w:val="24"/>
              </w:rPr>
              <w:t>投标人，在最新年度的全国水运从业单位（施</w:t>
            </w:r>
            <w:r>
              <w:rPr>
                <w:spacing w:val="1"/>
                <w:sz w:val="24"/>
                <w:szCs w:val="24"/>
              </w:rPr>
              <w:t>工单</w:t>
            </w:r>
            <w:r>
              <w:rPr>
                <w:spacing w:val="-2"/>
                <w:sz w:val="24"/>
                <w:szCs w:val="24"/>
              </w:rPr>
              <w:t>位）信用评价结果中被评为</w:t>
            </w:r>
            <w:r>
              <w:rPr>
                <w:spacing w:val="-54"/>
                <w:sz w:val="24"/>
                <w:szCs w:val="24"/>
              </w:rPr>
              <w:t xml:space="preserve"> </w:t>
            </w:r>
            <w:r>
              <w:rPr>
                <w:spacing w:val="-2"/>
                <w:sz w:val="24"/>
                <w:szCs w:val="24"/>
              </w:rPr>
              <w:t>D</w:t>
            </w:r>
            <w:r>
              <w:rPr>
                <w:spacing w:val="-47"/>
                <w:sz w:val="24"/>
                <w:szCs w:val="24"/>
              </w:rPr>
              <w:t xml:space="preserve"> </w:t>
            </w:r>
            <w:r>
              <w:rPr>
                <w:spacing w:val="-2"/>
                <w:sz w:val="24"/>
                <w:szCs w:val="24"/>
              </w:rPr>
              <w:t>级。</w:t>
            </w:r>
          </w:p>
        </w:tc>
        <w:tc>
          <w:tcPr>
            <w:tcW w:w="3864" w:type="dxa"/>
            <w:vAlign w:val="top"/>
          </w:tcPr>
          <w:p w14:paraId="58AB9767">
            <w:pPr>
              <w:rPr>
                <w:rFonts w:ascii="Arial"/>
                <w:sz w:val="21"/>
              </w:rPr>
            </w:pPr>
          </w:p>
        </w:tc>
      </w:tr>
      <w:tr w14:paraId="7F1D0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trPr>
        <w:tc>
          <w:tcPr>
            <w:tcW w:w="5551" w:type="dxa"/>
            <w:vAlign w:val="top"/>
          </w:tcPr>
          <w:p w14:paraId="40D6B17D">
            <w:pPr>
              <w:pStyle w:val="14"/>
              <w:spacing w:before="227" w:line="303" w:lineRule="auto"/>
              <w:ind w:left="116" w:right="106" w:firstLine="11"/>
              <w:rPr>
                <w:sz w:val="24"/>
                <w:szCs w:val="24"/>
              </w:rPr>
            </w:pPr>
            <w:r>
              <w:rPr>
                <w:spacing w:val="-4"/>
                <w:sz w:val="24"/>
                <w:szCs w:val="24"/>
              </w:rPr>
              <w:t>（2）被省级及以上交通运输主管部门取消招标项目</w:t>
            </w:r>
            <w:r>
              <w:rPr>
                <w:spacing w:val="-1"/>
                <w:sz w:val="24"/>
                <w:szCs w:val="24"/>
              </w:rPr>
              <w:t>所在地的投标资格且处于有效期内；</w:t>
            </w:r>
          </w:p>
        </w:tc>
        <w:tc>
          <w:tcPr>
            <w:tcW w:w="3864" w:type="dxa"/>
            <w:vAlign w:val="top"/>
          </w:tcPr>
          <w:p w14:paraId="7A938A63">
            <w:pPr>
              <w:rPr>
                <w:rFonts w:ascii="Arial"/>
                <w:sz w:val="21"/>
              </w:rPr>
            </w:pPr>
          </w:p>
        </w:tc>
      </w:tr>
      <w:tr w14:paraId="083D8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5551" w:type="dxa"/>
            <w:vAlign w:val="top"/>
          </w:tcPr>
          <w:p w14:paraId="14132144">
            <w:pPr>
              <w:pStyle w:val="14"/>
              <w:spacing w:before="226" w:line="303" w:lineRule="auto"/>
              <w:ind w:left="120" w:right="106" w:firstLine="6"/>
              <w:rPr>
                <w:sz w:val="24"/>
                <w:szCs w:val="24"/>
              </w:rPr>
            </w:pPr>
            <w:r>
              <w:rPr>
                <w:spacing w:val="-4"/>
                <w:sz w:val="24"/>
                <w:szCs w:val="24"/>
              </w:rPr>
              <w:t>（3）被责令停业，暂扣或吊销执照，或吊销资质证</w:t>
            </w:r>
            <w:r>
              <w:rPr>
                <w:spacing w:val="-8"/>
                <w:sz w:val="24"/>
                <w:szCs w:val="24"/>
              </w:rPr>
              <w:t>书；</w:t>
            </w:r>
          </w:p>
        </w:tc>
        <w:tc>
          <w:tcPr>
            <w:tcW w:w="3864" w:type="dxa"/>
            <w:vAlign w:val="top"/>
          </w:tcPr>
          <w:p w14:paraId="74CCBB49">
            <w:pPr>
              <w:rPr>
                <w:rFonts w:ascii="Arial"/>
                <w:sz w:val="21"/>
              </w:rPr>
            </w:pPr>
          </w:p>
        </w:tc>
      </w:tr>
      <w:tr w14:paraId="5803D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5551" w:type="dxa"/>
            <w:vAlign w:val="top"/>
          </w:tcPr>
          <w:p w14:paraId="0F60403C">
            <w:pPr>
              <w:pStyle w:val="14"/>
              <w:spacing w:before="226" w:line="303" w:lineRule="auto"/>
              <w:ind w:left="121" w:right="106" w:firstLine="5"/>
              <w:rPr>
                <w:sz w:val="24"/>
                <w:szCs w:val="24"/>
              </w:rPr>
            </w:pPr>
            <w:r>
              <w:rPr>
                <w:spacing w:val="-4"/>
                <w:sz w:val="24"/>
                <w:szCs w:val="24"/>
              </w:rPr>
              <w:t>（4）进入清算程序，或被宣告破产，或其他丧失履</w:t>
            </w:r>
            <w:r>
              <w:rPr>
                <w:spacing w:val="-3"/>
                <w:sz w:val="24"/>
                <w:szCs w:val="24"/>
              </w:rPr>
              <w:t>约能力的情形；</w:t>
            </w:r>
          </w:p>
        </w:tc>
        <w:tc>
          <w:tcPr>
            <w:tcW w:w="3864" w:type="dxa"/>
            <w:vAlign w:val="top"/>
          </w:tcPr>
          <w:p w14:paraId="54DB5C91">
            <w:pPr>
              <w:rPr>
                <w:rFonts w:ascii="Arial"/>
                <w:sz w:val="21"/>
              </w:rPr>
            </w:pPr>
          </w:p>
        </w:tc>
      </w:tr>
      <w:tr w14:paraId="1E93C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4" w:hRule="atLeast"/>
        </w:trPr>
        <w:tc>
          <w:tcPr>
            <w:tcW w:w="5551" w:type="dxa"/>
            <w:vAlign w:val="top"/>
          </w:tcPr>
          <w:p w14:paraId="03E60013">
            <w:pPr>
              <w:pStyle w:val="14"/>
              <w:spacing w:before="226" w:line="303" w:lineRule="auto"/>
              <w:ind w:left="117" w:right="106" w:firstLine="10"/>
              <w:rPr>
                <w:sz w:val="24"/>
                <w:szCs w:val="24"/>
              </w:rPr>
            </w:pPr>
            <w:r>
              <w:rPr>
                <w:spacing w:val="-4"/>
                <w:sz w:val="24"/>
                <w:szCs w:val="24"/>
              </w:rPr>
              <w:t>（5）在国家企业信用信息公示系统中被列入严重违</w:t>
            </w:r>
            <w:r>
              <w:rPr>
                <w:spacing w:val="-2"/>
                <w:sz w:val="24"/>
                <w:szCs w:val="24"/>
              </w:rPr>
              <w:t>法失信名单；</w:t>
            </w:r>
          </w:p>
        </w:tc>
        <w:tc>
          <w:tcPr>
            <w:tcW w:w="3864" w:type="dxa"/>
            <w:vAlign w:val="top"/>
          </w:tcPr>
          <w:p w14:paraId="643AE3F0">
            <w:pPr>
              <w:rPr>
                <w:rFonts w:ascii="Arial"/>
                <w:sz w:val="21"/>
              </w:rPr>
            </w:pPr>
          </w:p>
        </w:tc>
      </w:tr>
      <w:tr w14:paraId="636D2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trPr>
        <w:tc>
          <w:tcPr>
            <w:tcW w:w="5551" w:type="dxa"/>
            <w:vAlign w:val="top"/>
          </w:tcPr>
          <w:p w14:paraId="1F7FDE7E">
            <w:pPr>
              <w:pStyle w:val="14"/>
              <w:spacing w:before="211" w:line="309" w:lineRule="auto"/>
              <w:ind w:left="119" w:right="106" w:firstLine="8"/>
              <w:rPr>
                <w:sz w:val="24"/>
                <w:szCs w:val="24"/>
              </w:rPr>
            </w:pPr>
            <w:r>
              <w:rPr>
                <w:sz w:val="24"/>
                <w:szCs w:val="24"/>
              </w:rPr>
              <w:t>（6）在“信用中国</w:t>
            </w:r>
            <w:r>
              <w:rPr>
                <w:spacing w:val="-86"/>
                <w:sz w:val="24"/>
                <w:szCs w:val="24"/>
              </w:rPr>
              <w:t xml:space="preserve"> </w:t>
            </w:r>
            <w:r>
              <w:rPr>
                <w:sz w:val="24"/>
                <w:szCs w:val="24"/>
              </w:rPr>
              <w:t>”网站</w:t>
            </w:r>
            <w:r>
              <w:fldChar w:fldCharType="begin"/>
            </w:r>
            <w:r>
              <w:instrText xml:space="preserve"> HYPERLINK \l "bookmark233" </w:instrText>
            </w:r>
            <w:r>
              <w:fldChar w:fldCharType="separate"/>
            </w:r>
            <w:r>
              <w:rPr>
                <w:position w:val="12"/>
                <w:sz w:val="12"/>
                <w:szCs w:val="12"/>
              </w:rPr>
              <w:t>①</w:t>
            </w:r>
            <w:r>
              <w:rPr>
                <w:position w:val="12"/>
                <w:sz w:val="12"/>
                <w:szCs w:val="12"/>
              </w:rPr>
              <w:fldChar w:fldCharType="end"/>
            </w:r>
            <w:r>
              <w:rPr>
                <w:sz w:val="24"/>
                <w:szCs w:val="24"/>
              </w:rPr>
              <w:t>中被列入失信</w:t>
            </w:r>
            <w:r>
              <w:rPr>
                <w:spacing w:val="-1"/>
                <w:sz w:val="24"/>
                <w:szCs w:val="24"/>
              </w:rPr>
              <w:t>被执行人</w:t>
            </w:r>
            <w:r>
              <w:rPr>
                <w:spacing w:val="-5"/>
                <w:sz w:val="24"/>
                <w:szCs w:val="24"/>
              </w:rPr>
              <w:t>名单；</w:t>
            </w:r>
          </w:p>
        </w:tc>
        <w:tc>
          <w:tcPr>
            <w:tcW w:w="3864" w:type="dxa"/>
            <w:vAlign w:val="top"/>
          </w:tcPr>
          <w:p w14:paraId="67DC4A44">
            <w:pPr>
              <w:rPr>
                <w:rFonts w:ascii="Arial"/>
                <w:sz w:val="21"/>
              </w:rPr>
            </w:pPr>
          </w:p>
        </w:tc>
      </w:tr>
      <w:tr w14:paraId="25D1E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trPr>
        <w:tc>
          <w:tcPr>
            <w:tcW w:w="5551" w:type="dxa"/>
            <w:vAlign w:val="top"/>
          </w:tcPr>
          <w:p w14:paraId="7E47B814">
            <w:pPr>
              <w:pStyle w:val="14"/>
              <w:spacing w:before="229" w:line="302" w:lineRule="auto"/>
              <w:ind w:left="120" w:right="26" w:firstLine="7"/>
              <w:rPr>
                <w:sz w:val="24"/>
                <w:szCs w:val="24"/>
              </w:rPr>
            </w:pPr>
            <w:r>
              <w:rPr>
                <w:spacing w:val="-11"/>
                <w:sz w:val="24"/>
                <w:szCs w:val="24"/>
              </w:rPr>
              <w:t>（7）投标人及其法定代表人、拟委任的项目负责人、</w:t>
            </w:r>
            <w:r>
              <w:rPr>
                <w:spacing w:val="-1"/>
                <w:sz w:val="24"/>
                <w:szCs w:val="24"/>
              </w:rPr>
              <w:t>项目技术负责人在近三年内有行贿犯罪行为的；</w:t>
            </w:r>
          </w:p>
        </w:tc>
        <w:tc>
          <w:tcPr>
            <w:tcW w:w="3864" w:type="dxa"/>
            <w:vAlign w:val="top"/>
          </w:tcPr>
          <w:p w14:paraId="04DFAD41">
            <w:pPr>
              <w:rPr>
                <w:rFonts w:ascii="Arial"/>
                <w:sz w:val="21"/>
              </w:rPr>
            </w:pPr>
          </w:p>
        </w:tc>
      </w:tr>
      <w:tr w14:paraId="56426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trPr>
        <w:tc>
          <w:tcPr>
            <w:tcW w:w="5551" w:type="dxa"/>
            <w:vAlign w:val="top"/>
          </w:tcPr>
          <w:p w14:paraId="2DF28AE2">
            <w:pPr>
              <w:pStyle w:val="14"/>
              <w:spacing w:before="229" w:line="302" w:lineRule="auto"/>
              <w:ind w:left="119" w:right="106" w:firstLine="8"/>
              <w:rPr>
                <w:sz w:val="24"/>
                <w:szCs w:val="24"/>
              </w:rPr>
            </w:pPr>
            <w:r>
              <w:rPr>
                <w:spacing w:val="6"/>
                <w:sz w:val="24"/>
                <w:szCs w:val="24"/>
              </w:rPr>
              <w:t>（8）法律法规或投标人须知前附表规定的其他情</w:t>
            </w:r>
            <w:r>
              <w:rPr>
                <w:spacing w:val="-7"/>
                <w:sz w:val="24"/>
                <w:szCs w:val="24"/>
              </w:rPr>
              <w:t>形。</w:t>
            </w:r>
          </w:p>
        </w:tc>
        <w:tc>
          <w:tcPr>
            <w:tcW w:w="3864" w:type="dxa"/>
            <w:vAlign w:val="top"/>
          </w:tcPr>
          <w:p w14:paraId="4A3D0C0F">
            <w:pPr>
              <w:rPr>
                <w:rFonts w:ascii="Arial"/>
                <w:sz w:val="21"/>
              </w:rPr>
            </w:pPr>
          </w:p>
        </w:tc>
      </w:tr>
      <w:tr w14:paraId="3167E9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5551" w:type="dxa"/>
            <w:vAlign w:val="top"/>
          </w:tcPr>
          <w:p w14:paraId="22FC4BAD">
            <w:pPr>
              <w:spacing w:line="245" w:lineRule="auto"/>
              <w:rPr>
                <w:rFonts w:ascii="Arial"/>
                <w:sz w:val="21"/>
              </w:rPr>
            </w:pPr>
          </w:p>
          <w:p w14:paraId="7929B094">
            <w:pPr>
              <w:pStyle w:val="14"/>
              <w:spacing w:before="78" w:line="378" w:lineRule="exact"/>
              <w:ind w:left="2557"/>
              <w:rPr>
                <w:sz w:val="24"/>
                <w:szCs w:val="24"/>
              </w:rPr>
            </w:pPr>
            <w:r>
              <w:rPr>
                <w:spacing w:val="-13"/>
                <w:position w:val="3"/>
                <w:sz w:val="24"/>
                <w:szCs w:val="24"/>
              </w:rPr>
              <w:t>……</w:t>
            </w:r>
          </w:p>
        </w:tc>
        <w:tc>
          <w:tcPr>
            <w:tcW w:w="3864" w:type="dxa"/>
            <w:vAlign w:val="top"/>
          </w:tcPr>
          <w:p w14:paraId="3749AB99">
            <w:pPr>
              <w:rPr>
                <w:rFonts w:ascii="Arial"/>
                <w:sz w:val="21"/>
              </w:rPr>
            </w:pPr>
          </w:p>
        </w:tc>
      </w:tr>
    </w:tbl>
    <w:p w14:paraId="33998332">
      <w:pPr>
        <w:spacing w:before="30" w:line="232" w:lineRule="auto"/>
        <w:ind w:left="119"/>
        <w:rPr>
          <w:rFonts w:ascii="宋体" w:hAnsi="宋体" w:eastAsia="宋体" w:cs="宋体"/>
          <w:sz w:val="20"/>
          <w:szCs w:val="20"/>
        </w:rPr>
      </w:pPr>
      <w:r>
        <w:rPr>
          <w:rFonts w:ascii="宋体" w:hAnsi="宋体" w:eastAsia="宋体" w:cs="宋体"/>
          <w:sz w:val="20"/>
          <w:szCs w:val="20"/>
        </w:rPr>
        <w:t>注：</w:t>
      </w:r>
    </w:p>
    <w:p w14:paraId="152B6B31">
      <w:pPr>
        <w:spacing w:before="23" w:line="250" w:lineRule="auto"/>
        <w:ind w:left="120" w:right="225" w:firstLine="14"/>
        <w:rPr>
          <w:rFonts w:ascii="宋体" w:hAnsi="宋体" w:eastAsia="宋体" w:cs="宋体"/>
          <w:sz w:val="20"/>
          <w:szCs w:val="20"/>
        </w:rPr>
      </w:pPr>
      <w:r>
        <w:rPr>
          <w:rFonts w:ascii="宋体" w:hAnsi="宋体" w:eastAsia="宋体" w:cs="宋体"/>
          <w:spacing w:val="5"/>
          <w:sz w:val="20"/>
          <w:szCs w:val="20"/>
        </w:rPr>
        <w:t>1、投标人应按照招标文件第二章“投标人须知</w:t>
      </w:r>
      <w:r>
        <w:rPr>
          <w:rFonts w:ascii="宋体" w:hAnsi="宋体" w:eastAsia="宋体" w:cs="宋体"/>
          <w:spacing w:val="-64"/>
          <w:sz w:val="20"/>
          <w:szCs w:val="20"/>
        </w:rPr>
        <w:t xml:space="preserve"> </w:t>
      </w:r>
      <w:r>
        <w:rPr>
          <w:rFonts w:ascii="宋体" w:hAnsi="宋体" w:eastAsia="宋体" w:cs="宋体"/>
          <w:spacing w:val="5"/>
          <w:sz w:val="20"/>
          <w:szCs w:val="20"/>
        </w:rPr>
        <w:t>”前附表附录</w:t>
      </w:r>
      <w:r>
        <w:rPr>
          <w:rFonts w:ascii="宋体" w:hAnsi="宋体" w:eastAsia="宋体" w:cs="宋体"/>
          <w:spacing w:val="-40"/>
          <w:sz w:val="20"/>
          <w:szCs w:val="20"/>
        </w:rPr>
        <w:t xml:space="preserve"> </w:t>
      </w:r>
      <w:r>
        <w:rPr>
          <w:rFonts w:ascii="宋体" w:hAnsi="宋体" w:eastAsia="宋体" w:cs="宋体"/>
          <w:spacing w:val="5"/>
          <w:sz w:val="20"/>
          <w:szCs w:val="20"/>
        </w:rPr>
        <w:t>4</w:t>
      </w:r>
      <w:r>
        <w:rPr>
          <w:rFonts w:ascii="宋体" w:hAnsi="宋体" w:eastAsia="宋体" w:cs="宋体"/>
          <w:spacing w:val="-37"/>
          <w:sz w:val="20"/>
          <w:szCs w:val="20"/>
        </w:rPr>
        <w:t xml:space="preserve"> </w:t>
      </w:r>
      <w:r>
        <w:rPr>
          <w:rFonts w:ascii="宋体" w:hAnsi="宋体" w:eastAsia="宋体" w:cs="宋体"/>
          <w:spacing w:val="5"/>
          <w:sz w:val="20"/>
          <w:szCs w:val="20"/>
        </w:rPr>
        <w:t>和“投标人须知</w:t>
      </w:r>
      <w:r>
        <w:rPr>
          <w:rFonts w:ascii="宋体" w:hAnsi="宋体" w:eastAsia="宋体" w:cs="宋体"/>
          <w:spacing w:val="-72"/>
          <w:sz w:val="20"/>
          <w:szCs w:val="20"/>
        </w:rPr>
        <w:t xml:space="preserve"> </w:t>
      </w:r>
      <w:r>
        <w:rPr>
          <w:rFonts w:ascii="宋体" w:hAnsi="宋体" w:eastAsia="宋体" w:cs="宋体"/>
          <w:spacing w:val="5"/>
          <w:sz w:val="20"/>
          <w:szCs w:val="20"/>
        </w:rPr>
        <w:t>”第</w:t>
      </w:r>
      <w:r>
        <w:rPr>
          <w:rFonts w:ascii="宋体" w:hAnsi="宋体" w:eastAsia="宋体" w:cs="宋体"/>
          <w:spacing w:val="-24"/>
          <w:sz w:val="20"/>
          <w:szCs w:val="20"/>
        </w:rPr>
        <w:t xml:space="preserve"> </w:t>
      </w:r>
      <w:r>
        <w:rPr>
          <w:rFonts w:ascii="宋体" w:hAnsi="宋体" w:eastAsia="宋体" w:cs="宋体"/>
          <w:spacing w:val="5"/>
          <w:sz w:val="20"/>
          <w:szCs w:val="20"/>
        </w:rPr>
        <w:t>1.4.4</w:t>
      </w:r>
      <w:r>
        <w:rPr>
          <w:rFonts w:ascii="宋体" w:hAnsi="宋体" w:eastAsia="宋体" w:cs="宋体"/>
          <w:spacing w:val="-35"/>
          <w:sz w:val="20"/>
          <w:szCs w:val="20"/>
        </w:rPr>
        <w:t xml:space="preserve"> </w:t>
      </w:r>
      <w:r>
        <w:rPr>
          <w:rFonts w:ascii="宋体" w:hAnsi="宋体" w:eastAsia="宋体" w:cs="宋体"/>
          <w:spacing w:val="5"/>
          <w:sz w:val="20"/>
          <w:szCs w:val="20"/>
        </w:rPr>
        <w:t>项规定，</w:t>
      </w:r>
      <w:r>
        <w:rPr>
          <w:rFonts w:ascii="宋体" w:hAnsi="宋体" w:eastAsia="宋体" w:cs="宋体"/>
          <w:spacing w:val="7"/>
          <w:sz w:val="20"/>
          <w:szCs w:val="20"/>
        </w:rPr>
        <w:t>逐条说明其信誉情况。</w:t>
      </w:r>
    </w:p>
    <w:p w14:paraId="54242D69">
      <w:pPr>
        <w:spacing w:line="226" w:lineRule="auto"/>
        <w:ind w:left="122"/>
        <w:rPr>
          <w:rFonts w:ascii="宋体" w:hAnsi="宋体" w:eastAsia="宋体" w:cs="宋体"/>
          <w:sz w:val="20"/>
          <w:szCs w:val="20"/>
        </w:rPr>
      </w:pPr>
      <w:r>
        <w:rPr>
          <w:rFonts w:ascii="宋体" w:hAnsi="宋体" w:eastAsia="宋体" w:cs="宋体"/>
          <w:spacing w:val="8"/>
          <w:sz w:val="20"/>
          <w:szCs w:val="20"/>
        </w:rPr>
        <w:t>2、投标人应根据招标文件第二章“投标人须知</w:t>
      </w:r>
      <w:r>
        <w:rPr>
          <w:rFonts w:ascii="宋体" w:hAnsi="宋体" w:eastAsia="宋体" w:cs="宋体"/>
          <w:spacing w:val="-73"/>
          <w:sz w:val="20"/>
          <w:szCs w:val="20"/>
        </w:rPr>
        <w:t xml:space="preserve"> </w:t>
      </w:r>
      <w:r>
        <w:rPr>
          <w:rFonts w:ascii="宋体" w:hAnsi="宋体" w:eastAsia="宋体" w:cs="宋体"/>
          <w:spacing w:val="8"/>
          <w:sz w:val="20"/>
          <w:szCs w:val="20"/>
        </w:rPr>
        <w:t>”第</w:t>
      </w:r>
      <w:r>
        <w:rPr>
          <w:rFonts w:ascii="宋体" w:hAnsi="宋体" w:eastAsia="宋体" w:cs="宋体"/>
          <w:spacing w:val="-35"/>
          <w:sz w:val="20"/>
          <w:szCs w:val="20"/>
        </w:rPr>
        <w:t xml:space="preserve"> </w:t>
      </w:r>
      <w:r>
        <w:rPr>
          <w:rFonts w:ascii="宋体" w:hAnsi="宋体" w:eastAsia="宋体" w:cs="宋体"/>
          <w:spacing w:val="8"/>
          <w:sz w:val="20"/>
          <w:szCs w:val="20"/>
        </w:rPr>
        <w:t>3.5.4</w:t>
      </w:r>
      <w:r>
        <w:rPr>
          <w:rFonts w:ascii="宋体" w:hAnsi="宋体" w:eastAsia="宋体" w:cs="宋体"/>
          <w:spacing w:val="-34"/>
          <w:sz w:val="20"/>
          <w:szCs w:val="20"/>
        </w:rPr>
        <w:t xml:space="preserve"> </w:t>
      </w:r>
      <w:r>
        <w:rPr>
          <w:rFonts w:ascii="宋体" w:hAnsi="宋体" w:eastAsia="宋体" w:cs="宋体"/>
          <w:spacing w:val="7"/>
          <w:sz w:val="20"/>
          <w:szCs w:val="20"/>
        </w:rPr>
        <w:t>项的要求在本表后附相关证明材料。</w:t>
      </w:r>
    </w:p>
    <w:p w14:paraId="02117CD5">
      <w:pPr>
        <w:spacing w:before="28" w:line="228" w:lineRule="auto"/>
        <w:ind w:left="124"/>
        <w:rPr>
          <w:rFonts w:ascii="宋体" w:hAnsi="宋体" w:eastAsia="宋体" w:cs="宋体"/>
          <w:sz w:val="20"/>
          <w:szCs w:val="20"/>
        </w:rPr>
      </w:pPr>
      <w:bookmarkStart w:id="79" w:name="bookmark233"/>
      <w:bookmarkEnd w:id="79"/>
      <w:r>
        <w:rPr>
          <w:rFonts w:ascii="宋体" w:hAnsi="宋体" w:eastAsia="宋体" w:cs="宋体"/>
          <w:spacing w:val="8"/>
          <w:sz w:val="20"/>
          <w:szCs w:val="20"/>
        </w:rPr>
        <w:t>3、以联合体形式投标的，联合体各成员应分别填写。</w:t>
      </w:r>
    </w:p>
    <w:p w14:paraId="72756A1B">
      <w:pPr>
        <w:spacing w:line="259" w:lineRule="auto"/>
        <w:rPr>
          <w:rFonts w:ascii="Arial"/>
          <w:sz w:val="21"/>
        </w:rPr>
      </w:pPr>
    </w:p>
    <w:p w14:paraId="233C1393">
      <w:pPr>
        <w:spacing w:line="259" w:lineRule="auto"/>
        <w:rPr>
          <w:rFonts w:ascii="Arial"/>
          <w:sz w:val="21"/>
        </w:rPr>
      </w:pPr>
    </w:p>
    <w:p w14:paraId="318D5142">
      <w:pPr>
        <w:spacing w:line="259" w:lineRule="auto"/>
        <w:rPr>
          <w:rFonts w:ascii="Arial"/>
          <w:sz w:val="21"/>
        </w:rPr>
      </w:pPr>
    </w:p>
    <w:p w14:paraId="2CED710E">
      <w:pPr>
        <w:spacing w:line="351" w:lineRule="auto"/>
        <w:rPr>
          <w:rFonts w:hint="eastAsia" w:ascii="Arial" w:eastAsia="宋体"/>
          <w:sz w:val="21"/>
          <w:lang w:eastAsia="zh-CN"/>
        </w:rPr>
      </w:pPr>
      <w:r>
        <w:rPr>
          <w:rFonts w:hint="eastAsia" w:ascii="Arial" w:eastAsia="宋体"/>
          <w:sz w:val="21"/>
          <w:lang w:eastAsia="zh-CN"/>
        </w:rPr>
        <w:br w:type="page"/>
      </w:r>
    </w:p>
    <w:p w14:paraId="10359A72">
      <w:pPr>
        <w:spacing w:before="78" w:line="219" w:lineRule="auto"/>
        <w:ind w:left="2006"/>
        <w:rPr>
          <w:rFonts w:ascii="宋体" w:hAnsi="宋体" w:eastAsia="宋体" w:cs="宋体"/>
          <w:sz w:val="24"/>
          <w:szCs w:val="24"/>
        </w:rPr>
      </w:pPr>
      <w:r>
        <w:rPr>
          <w:rFonts w:ascii="宋体" w:hAnsi="宋体" w:eastAsia="宋体" w:cs="宋体"/>
          <w:b/>
          <w:bCs/>
          <w:spacing w:val="-3"/>
          <w:sz w:val="24"/>
          <w:szCs w:val="24"/>
        </w:rPr>
        <w:t>表</w:t>
      </w:r>
      <w:r>
        <w:rPr>
          <w:rFonts w:ascii="宋体" w:hAnsi="宋体" w:eastAsia="宋体" w:cs="宋体"/>
          <w:spacing w:val="-36"/>
          <w:sz w:val="24"/>
          <w:szCs w:val="24"/>
        </w:rPr>
        <w:t xml:space="preserve"> </w:t>
      </w:r>
      <w:r>
        <w:rPr>
          <w:rFonts w:ascii="宋体" w:hAnsi="宋体" w:eastAsia="宋体" w:cs="宋体"/>
          <w:b/>
          <w:bCs/>
          <w:spacing w:val="-3"/>
          <w:sz w:val="24"/>
          <w:szCs w:val="24"/>
        </w:rPr>
        <w:t>8-</w:t>
      </w:r>
      <w:r>
        <w:rPr>
          <w:rFonts w:hint="eastAsia" w:ascii="宋体" w:hAnsi="宋体" w:eastAsia="宋体" w:cs="宋体"/>
          <w:b/>
          <w:bCs/>
          <w:spacing w:val="-3"/>
          <w:sz w:val="24"/>
          <w:szCs w:val="24"/>
          <w:lang w:val="en-US" w:eastAsia="zh-CN"/>
        </w:rPr>
        <w:t>5</w:t>
      </w:r>
      <w:r>
        <w:rPr>
          <w:rFonts w:ascii="宋体" w:hAnsi="宋体" w:eastAsia="宋体" w:cs="宋体"/>
          <w:spacing w:val="-3"/>
          <w:sz w:val="24"/>
          <w:szCs w:val="24"/>
        </w:rPr>
        <w:t xml:space="preserve"> </w:t>
      </w:r>
      <w:r>
        <w:rPr>
          <w:rFonts w:ascii="宋体" w:hAnsi="宋体" w:eastAsia="宋体" w:cs="宋体"/>
          <w:b/>
          <w:bCs/>
          <w:spacing w:val="-3"/>
          <w:sz w:val="24"/>
          <w:szCs w:val="24"/>
        </w:rPr>
        <w:t>拟委任的项目负责人和项目技术负责人汇总表</w:t>
      </w:r>
    </w:p>
    <w:p w14:paraId="512D7199">
      <w:pPr>
        <w:spacing w:before="25"/>
      </w:pPr>
    </w:p>
    <w:tbl>
      <w:tblPr>
        <w:tblStyle w:val="13"/>
        <w:tblW w:w="95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7"/>
        <w:gridCol w:w="810"/>
        <w:gridCol w:w="1919"/>
        <w:gridCol w:w="1181"/>
        <w:gridCol w:w="1742"/>
        <w:gridCol w:w="1499"/>
        <w:gridCol w:w="1115"/>
      </w:tblGrid>
      <w:tr w14:paraId="4D098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327" w:type="dxa"/>
            <w:vAlign w:val="top"/>
          </w:tcPr>
          <w:p w14:paraId="2B4A4D00">
            <w:pPr>
              <w:pStyle w:val="14"/>
              <w:spacing w:before="222" w:line="219" w:lineRule="auto"/>
              <w:ind w:left="430"/>
              <w:rPr>
                <w:sz w:val="24"/>
                <w:szCs w:val="24"/>
              </w:rPr>
            </w:pPr>
            <w:r>
              <w:rPr>
                <w:spacing w:val="-5"/>
                <w:sz w:val="24"/>
                <w:szCs w:val="24"/>
              </w:rPr>
              <w:t>姓名</w:t>
            </w:r>
          </w:p>
        </w:tc>
        <w:tc>
          <w:tcPr>
            <w:tcW w:w="810" w:type="dxa"/>
            <w:vAlign w:val="top"/>
          </w:tcPr>
          <w:p w14:paraId="4061DAD3">
            <w:pPr>
              <w:pStyle w:val="14"/>
              <w:spacing w:before="222" w:line="219" w:lineRule="auto"/>
              <w:ind w:left="170"/>
              <w:rPr>
                <w:sz w:val="24"/>
                <w:szCs w:val="24"/>
              </w:rPr>
            </w:pPr>
            <w:r>
              <w:rPr>
                <w:spacing w:val="-6"/>
                <w:sz w:val="24"/>
                <w:szCs w:val="24"/>
              </w:rPr>
              <w:t>年龄</w:t>
            </w:r>
          </w:p>
        </w:tc>
        <w:tc>
          <w:tcPr>
            <w:tcW w:w="1919" w:type="dxa"/>
            <w:vAlign w:val="top"/>
          </w:tcPr>
          <w:p w14:paraId="73A9CC98">
            <w:pPr>
              <w:pStyle w:val="14"/>
              <w:spacing w:before="64" w:line="235" w:lineRule="auto"/>
              <w:ind w:left="484" w:right="118" w:hanging="359"/>
              <w:rPr>
                <w:sz w:val="24"/>
                <w:szCs w:val="24"/>
              </w:rPr>
            </w:pPr>
            <w:r>
              <w:rPr>
                <w:spacing w:val="-2"/>
                <w:sz w:val="24"/>
                <w:szCs w:val="24"/>
              </w:rPr>
              <w:t>拟在本项目中担</w:t>
            </w:r>
            <w:r>
              <w:rPr>
                <w:spacing w:val="-3"/>
                <w:sz w:val="24"/>
                <w:szCs w:val="24"/>
              </w:rPr>
              <w:t>任的职务</w:t>
            </w:r>
          </w:p>
        </w:tc>
        <w:tc>
          <w:tcPr>
            <w:tcW w:w="1181" w:type="dxa"/>
            <w:vAlign w:val="top"/>
          </w:tcPr>
          <w:p w14:paraId="0BE5BCAF">
            <w:pPr>
              <w:pStyle w:val="14"/>
              <w:spacing w:before="222" w:line="219" w:lineRule="auto"/>
              <w:ind w:left="117"/>
              <w:rPr>
                <w:sz w:val="24"/>
                <w:szCs w:val="24"/>
              </w:rPr>
            </w:pPr>
            <w:r>
              <w:rPr>
                <w:spacing w:val="-3"/>
                <w:sz w:val="24"/>
                <w:szCs w:val="24"/>
              </w:rPr>
              <w:t>技术职称</w:t>
            </w:r>
          </w:p>
        </w:tc>
        <w:tc>
          <w:tcPr>
            <w:tcW w:w="1742" w:type="dxa"/>
            <w:vAlign w:val="top"/>
          </w:tcPr>
          <w:p w14:paraId="527379B0">
            <w:pPr>
              <w:pStyle w:val="14"/>
              <w:spacing w:before="64" w:line="235" w:lineRule="auto"/>
              <w:ind w:left="517" w:right="149" w:hanging="357"/>
              <w:rPr>
                <w:sz w:val="24"/>
                <w:szCs w:val="24"/>
              </w:rPr>
            </w:pPr>
            <w:r>
              <w:rPr>
                <w:spacing w:val="-3"/>
                <w:sz w:val="24"/>
                <w:szCs w:val="24"/>
              </w:rPr>
              <w:t>建造师类别及</w:t>
            </w:r>
            <w:r>
              <w:rPr>
                <w:spacing w:val="-4"/>
                <w:sz w:val="24"/>
                <w:szCs w:val="24"/>
              </w:rPr>
              <w:t>注册号</w:t>
            </w:r>
          </w:p>
        </w:tc>
        <w:tc>
          <w:tcPr>
            <w:tcW w:w="1499" w:type="dxa"/>
            <w:vAlign w:val="top"/>
          </w:tcPr>
          <w:p w14:paraId="78E42C19">
            <w:pPr>
              <w:pStyle w:val="14"/>
              <w:spacing w:before="64" w:line="235" w:lineRule="auto"/>
              <w:ind w:left="293" w:right="145" w:hanging="133"/>
              <w:rPr>
                <w:sz w:val="24"/>
                <w:szCs w:val="24"/>
              </w:rPr>
            </w:pPr>
            <w:r>
              <w:rPr>
                <w:spacing w:val="-3"/>
                <w:sz w:val="24"/>
                <w:szCs w:val="24"/>
              </w:rPr>
              <w:t>工作经验年</w:t>
            </w:r>
            <w:r>
              <w:rPr>
                <w:spacing w:val="-7"/>
                <w:sz w:val="24"/>
                <w:szCs w:val="24"/>
              </w:rPr>
              <w:t>限（年）</w:t>
            </w:r>
          </w:p>
        </w:tc>
        <w:tc>
          <w:tcPr>
            <w:tcW w:w="1115" w:type="dxa"/>
            <w:vAlign w:val="top"/>
          </w:tcPr>
          <w:p w14:paraId="6CD86E59">
            <w:pPr>
              <w:pStyle w:val="14"/>
              <w:spacing w:before="221" w:line="221" w:lineRule="auto"/>
              <w:ind w:left="327"/>
              <w:rPr>
                <w:sz w:val="24"/>
                <w:szCs w:val="24"/>
              </w:rPr>
            </w:pPr>
            <w:r>
              <w:rPr>
                <w:spacing w:val="-7"/>
                <w:sz w:val="24"/>
                <w:szCs w:val="24"/>
              </w:rPr>
              <w:t>备注</w:t>
            </w:r>
          </w:p>
        </w:tc>
      </w:tr>
      <w:tr w14:paraId="2697B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1327" w:type="dxa"/>
            <w:vAlign w:val="top"/>
          </w:tcPr>
          <w:p w14:paraId="59A7C61D">
            <w:pPr>
              <w:rPr>
                <w:rFonts w:ascii="Arial"/>
                <w:sz w:val="21"/>
              </w:rPr>
            </w:pPr>
          </w:p>
        </w:tc>
        <w:tc>
          <w:tcPr>
            <w:tcW w:w="810" w:type="dxa"/>
            <w:vAlign w:val="top"/>
          </w:tcPr>
          <w:p w14:paraId="2D34C9E3">
            <w:pPr>
              <w:rPr>
                <w:rFonts w:ascii="Arial"/>
                <w:sz w:val="21"/>
              </w:rPr>
            </w:pPr>
          </w:p>
        </w:tc>
        <w:tc>
          <w:tcPr>
            <w:tcW w:w="1919" w:type="dxa"/>
            <w:vAlign w:val="top"/>
          </w:tcPr>
          <w:p w14:paraId="6A3DC955">
            <w:pPr>
              <w:rPr>
                <w:rFonts w:ascii="Arial"/>
                <w:sz w:val="21"/>
              </w:rPr>
            </w:pPr>
          </w:p>
        </w:tc>
        <w:tc>
          <w:tcPr>
            <w:tcW w:w="1181" w:type="dxa"/>
            <w:vAlign w:val="top"/>
          </w:tcPr>
          <w:p w14:paraId="38BE6698">
            <w:pPr>
              <w:rPr>
                <w:rFonts w:ascii="Arial"/>
                <w:sz w:val="21"/>
              </w:rPr>
            </w:pPr>
          </w:p>
        </w:tc>
        <w:tc>
          <w:tcPr>
            <w:tcW w:w="1742" w:type="dxa"/>
            <w:vAlign w:val="top"/>
          </w:tcPr>
          <w:p w14:paraId="0C4C2140">
            <w:pPr>
              <w:rPr>
                <w:rFonts w:ascii="Arial"/>
                <w:sz w:val="21"/>
              </w:rPr>
            </w:pPr>
          </w:p>
        </w:tc>
        <w:tc>
          <w:tcPr>
            <w:tcW w:w="1499" w:type="dxa"/>
            <w:vAlign w:val="top"/>
          </w:tcPr>
          <w:p w14:paraId="36232509">
            <w:pPr>
              <w:rPr>
                <w:rFonts w:ascii="Arial"/>
                <w:sz w:val="21"/>
              </w:rPr>
            </w:pPr>
          </w:p>
        </w:tc>
        <w:tc>
          <w:tcPr>
            <w:tcW w:w="1115" w:type="dxa"/>
            <w:vAlign w:val="top"/>
          </w:tcPr>
          <w:p w14:paraId="6737A764">
            <w:pPr>
              <w:rPr>
                <w:rFonts w:ascii="Arial"/>
                <w:sz w:val="21"/>
              </w:rPr>
            </w:pPr>
          </w:p>
        </w:tc>
      </w:tr>
      <w:tr w14:paraId="34260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1327" w:type="dxa"/>
            <w:vAlign w:val="top"/>
          </w:tcPr>
          <w:p w14:paraId="503844E3">
            <w:pPr>
              <w:rPr>
                <w:rFonts w:ascii="Arial"/>
                <w:sz w:val="21"/>
              </w:rPr>
            </w:pPr>
          </w:p>
        </w:tc>
        <w:tc>
          <w:tcPr>
            <w:tcW w:w="810" w:type="dxa"/>
            <w:vAlign w:val="top"/>
          </w:tcPr>
          <w:p w14:paraId="49A932A4">
            <w:pPr>
              <w:rPr>
                <w:rFonts w:ascii="Arial"/>
                <w:sz w:val="21"/>
              </w:rPr>
            </w:pPr>
          </w:p>
        </w:tc>
        <w:tc>
          <w:tcPr>
            <w:tcW w:w="1919" w:type="dxa"/>
            <w:vAlign w:val="top"/>
          </w:tcPr>
          <w:p w14:paraId="277F859B">
            <w:pPr>
              <w:rPr>
                <w:rFonts w:ascii="Arial"/>
                <w:sz w:val="21"/>
              </w:rPr>
            </w:pPr>
          </w:p>
        </w:tc>
        <w:tc>
          <w:tcPr>
            <w:tcW w:w="1181" w:type="dxa"/>
            <w:vAlign w:val="top"/>
          </w:tcPr>
          <w:p w14:paraId="4D018237">
            <w:pPr>
              <w:rPr>
                <w:rFonts w:ascii="Arial"/>
                <w:sz w:val="21"/>
              </w:rPr>
            </w:pPr>
          </w:p>
        </w:tc>
        <w:tc>
          <w:tcPr>
            <w:tcW w:w="1742" w:type="dxa"/>
            <w:vAlign w:val="top"/>
          </w:tcPr>
          <w:p w14:paraId="59D11643">
            <w:pPr>
              <w:rPr>
                <w:rFonts w:ascii="Arial"/>
                <w:sz w:val="21"/>
              </w:rPr>
            </w:pPr>
          </w:p>
        </w:tc>
        <w:tc>
          <w:tcPr>
            <w:tcW w:w="1499" w:type="dxa"/>
            <w:vAlign w:val="top"/>
          </w:tcPr>
          <w:p w14:paraId="536D31CD">
            <w:pPr>
              <w:rPr>
                <w:rFonts w:ascii="Arial"/>
                <w:sz w:val="21"/>
              </w:rPr>
            </w:pPr>
          </w:p>
        </w:tc>
        <w:tc>
          <w:tcPr>
            <w:tcW w:w="1115" w:type="dxa"/>
            <w:vAlign w:val="top"/>
          </w:tcPr>
          <w:p w14:paraId="70394EFB">
            <w:pPr>
              <w:rPr>
                <w:rFonts w:ascii="Arial"/>
                <w:sz w:val="21"/>
              </w:rPr>
            </w:pPr>
          </w:p>
        </w:tc>
      </w:tr>
      <w:tr w14:paraId="2918E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1327" w:type="dxa"/>
            <w:vAlign w:val="top"/>
          </w:tcPr>
          <w:p w14:paraId="00EE993B">
            <w:pPr>
              <w:rPr>
                <w:rFonts w:ascii="Arial"/>
                <w:sz w:val="21"/>
              </w:rPr>
            </w:pPr>
          </w:p>
        </w:tc>
        <w:tc>
          <w:tcPr>
            <w:tcW w:w="810" w:type="dxa"/>
            <w:vAlign w:val="top"/>
          </w:tcPr>
          <w:p w14:paraId="0386C29E">
            <w:pPr>
              <w:rPr>
                <w:rFonts w:ascii="Arial"/>
                <w:sz w:val="21"/>
              </w:rPr>
            </w:pPr>
          </w:p>
        </w:tc>
        <w:tc>
          <w:tcPr>
            <w:tcW w:w="1919" w:type="dxa"/>
            <w:vAlign w:val="top"/>
          </w:tcPr>
          <w:p w14:paraId="031AF8AF">
            <w:pPr>
              <w:rPr>
                <w:rFonts w:ascii="Arial"/>
                <w:sz w:val="21"/>
              </w:rPr>
            </w:pPr>
          </w:p>
        </w:tc>
        <w:tc>
          <w:tcPr>
            <w:tcW w:w="1181" w:type="dxa"/>
            <w:vAlign w:val="top"/>
          </w:tcPr>
          <w:p w14:paraId="634BBB33">
            <w:pPr>
              <w:rPr>
                <w:rFonts w:ascii="Arial"/>
                <w:sz w:val="21"/>
              </w:rPr>
            </w:pPr>
          </w:p>
        </w:tc>
        <w:tc>
          <w:tcPr>
            <w:tcW w:w="1742" w:type="dxa"/>
            <w:vAlign w:val="top"/>
          </w:tcPr>
          <w:p w14:paraId="65530757">
            <w:pPr>
              <w:rPr>
                <w:rFonts w:ascii="Arial"/>
                <w:sz w:val="21"/>
              </w:rPr>
            </w:pPr>
          </w:p>
        </w:tc>
        <w:tc>
          <w:tcPr>
            <w:tcW w:w="1499" w:type="dxa"/>
            <w:vAlign w:val="top"/>
          </w:tcPr>
          <w:p w14:paraId="138F282D">
            <w:pPr>
              <w:rPr>
                <w:rFonts w:ascii="Arial"/>
                <w:sz w:val="21"/>
              </w:rPr>
            </w:pPr>
          </w:p>
        </w:tc>
        <w:tc>
          <w:tcPr>
            <w:tcW w:w="1115" w:type="dxa"/>
            <w:vAlign w:val="top"/>
          </w:tcPr>
          <w:p w14:paraId="7AE01F21">
            <w:pPr>
              <w:rPr>
                <w:rFonts w:ascii="Arial"/>
                <w:sz w:val="21"/>
              </w:rPr>
            </w:pPr>
          </w:p>
        </w:tc>
      </w:tr>
      <w:tr w14:paraId="5A326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1327" w:type="dxa"/>
            <w:vAlign w:val="top"/>
          </w:tcPr>
          <w:p w14:paraId="554E5FB4">
            <w:pPr>
              <w:rPr>
                <w:rFonts w:ascii="Arial"/>
                <w:sz w:val="21"/>
              </w:rPr>
            </w:pPr>
          </w:p>
        </w:tc>
        <w:tc>
          <w:tcPr>
            <w:tcW w:w="810" w:type="dxa"/>
            <w:vAlign w:val="top"/>
          </w:tcPr>
          <w:p w14:paraId="17D3A008">
            <w:pPr>
              <w:rPr>
                <w:rFonts w:ascii="Arial"/>
                <w:sz w:val="21"/>
              </w:rPr>
            </w:pPr>
          </w:p>
        </w:tc>
        <w:tc>
          <w:tcPr>
            <w:tcW w:w="1919" w:type="dxa"/>
            <w:vAlign w:val="top"/>
          </w:tcPr>
          <w:p w14:paraId="3CABE622">
            <w:pPr>
              <w:rPr>
                <w:rFonts w:ascii="Arial"/>
                <w:sz w:val="21"/>
              </w:rPr>
            </w:pPr>
          </w:p>
        </w:tc>
        <w:tc>
          <w:tcPr>
            <w:tcW w:w="1181" w:type="dxa"/>
            <w:vAlign w:val="top"/>
          </w:tcPr>
          <w:p w14:paraId="73EB1231">
            <w:pPr>
              <w:rPr>
                <w:rFonts w:ascii="Arial"/>
                <w:sz w:val="21"/>
              </w:rPr>
            </w:pPr>
          </w:p>
        </w:tc>
        <w:tc>
          <w:tcPr>
            <w:tcW w:w="1742" w:type="dxa"/>
            <w:vAlign w:val="top"/>
          </w:tcPr>
          <w:p w14:paraId="0ED38975">
            <w:pPr>
              <w:rPr>
                <w:rFonts w:ascii="Arial"/>
                <w:sz w:val="21"/>
              </w:rPr>
            </w:pPr>
          </w:p>
        </w:tc>
        <w:tc>
          <w:tcPr>
            <w:tcW w:w="1499" w:type="dxa"/>
            <w:vAlign w:val="top"/>
          </w:tcPr>
          <w:p w14:paraId="5D50A886">
            <w:pPr>
              <w:rPr>
                <w:rFonts w:ascii="Arial"/>
                <w:sz w:val="21"/>
              </w:rPr>
            </w:pPr>
          </w:p>
        </w:tc>
        <w:tc>
          <w:tcPr>
            <w:tcW w:w="1115" w:type="dxa"/>
            <w:vAlign w:val="top"/>
          </w:tcPr>
          <w:p w14:paraId="0B85DDC2">
            <w:pPr>
              <w:rPr>
                <w:rFonts w:ascii="Arial"/>
                <w:sz w:val="21"/>
              </w:rPr>
            </w:pPr>
          </w:p>
        </w:tc>
      </w:tr>
    </w:tbl>
    <w:p w14:paraId="05071FD9">
      <w:pPr>
        <w:rPr>
          <w:rFonts w:ascii="Arial"/>
          <w:sz w:val="21"/>
        </w:rPr>
      </w:pPr>
    </w:p>
    <w:p w14:paraId="19ACDB64">
      <w:pPr>
        <w:spacing w:before="65" w:line="227" w:lineRule="auto"/>
        <w:ind w:left="273"/>
        <w:rPr>
          <w:rFonts w:ascii="宋体" w:hAnsi="宋体" w:eastAsia="宋体" w:cs="宋体"/>
          <w:sz w:val="20"/>
          <w:szCs w:val="20"/>
        </w:rPr>
      </w:pPr>
      <w:r>
        <w:rPr>
          <w:rFonts w:ascii="宋体" w:hAnsi="宋体" w:eastAsia="宋体" w:cs="宋体"/>
          <w:spacing w:val="9"/>
          <w:sz w:val="20"/>
          <w:szCs w:val="20"/>
        </w:rPr>
        <w:t>注：本表后应对应分别填写项目负责人和项目技术负责人相关情况。</w:t>
      </w:r>
    </w:p>
    <w:p w14:paraId="3A8EC6E7">
      <w:pPr>
        <w:spacing w:line="351" w:lineRule="auto"/>
        <w:rPr>
          <w:rFonts w:hint="eastAsia" w:ascii="Arial" w:eastAsia="宋体"/>
          <w:sz w:val="21"/>
          <w:lang w:eastAsia="zh-CN"/>
        </w:rPr>
      </w:pPr>
      <w:r>
        <w:rPr>
          <w:rFonts w:hint="eastAsia" w:ascii="Arial" w:eastAsia="宋体"/>
          <w:sz w:val="21"/>
          <w:lang w:eastAsia="zh-CN"/>
        </w:rPr>
        <w:br w:type="page"/>
      </w:r>
    </w:p>
    <w:p w14:paraId="5613EE07">
      <w:pPr>
        <w:spacing w:before="78" w:line="219" w:lineRule="auto"/>
        <w:ind w:left="2111"/>
        <w:rPr>
          <w:rFonts w:ascii="宋体" w:hAnsi="宋体" w:eastAsia="宋体" w:cs="宋体"/>
          <w:sz w:val="24"/>
          <w:szCs w:val="24"/>
        </w:rPr>
      </w:pPr>
      <w:r>
        <w:rPr>
          <w:rFonts w:ascii="宋体" w:hAnsi="宋体" w:eastAsia="宋体" w:cs="宋体"/>
          <w:b/>
          <w:bCs/>
          <w:spacing w:val="-3"/>
          <w:sz w:val="24"/>
          <w:szCs w:val="24"/>
        </w:rPr>
        <w:t>表</w:t>
      </w:r>
      <w:r>
        <w:rPr>
          <w:rFonts w:ascii="宋体" w:hAnsi="宋体" w:eastAsia="宋体" w:cs="宋体"/>
          <w:spacing w:val="-36"/>
          <w:sz w:val="24"/>
          <w:szCs w:val="24"/>
        </w:rPr>
        <w:t xml:space="preserve"> </w:t>
      </w:r>
      <w:r>
        <w:rPr>
          <w:rFonts w:ascii="宋体" w:hAnsi="宋体" w:eastAsia="宋体" w:cs="宋体"/>
          <w:b/>
          <w:bCs/>
          <w:spacing w:val="-3"/>
          <w:sz w:val="24"/>
          <w:szCs w:val="24"/>
        </w:rPr>
        <w:t>8-</w:t>
      </w:r>
      <w:r>
        <w:rPr>
          <w:rFonts w:hint="eastAsia" w:ascii="宋体" w:hAnsi="宋体" w:eastAsia="宋体" w:cs="宋体"/>
          <w:b/>
          <w:bCs/>
          <w:spacing w:val="-3"/>
          <w:sz w:val="24"/>
          <w:szCs w:val="24"/>
          <w:lang w:val="en-US" w:eastAsia="zh-CN"/>
        </w:rPr>
        <w:t>5-1</w:t>
      </w:r>
      <w:r>
        <w:rPr>
          <w:rFonts w:ascii="宋体" w:hAnsi="宋体" w:eastAsia="宋体" w:cs="宋体"/>
          <w:spacing w:val="-3"/>
          <w:sz w:val="24"/>
          <w:szCs w:val="24"/>
        </w:rPr>
        <w:t xml:space="preserve"> </w:t>
      </w:r>
      <w:r>
        <w:rPr>
          <w:rFonts w:ascii="宋体" w:hAnsi="宋体" w:eastAsia="宋体" w:cs="宋体"/>
          <w:b/>
          <w:bCs/>
          <w:spacing w:val="-3"/>
          <w:sz w:val="24"/>
          <w:szCs w:val="24"/>
        </w:rPr>
        <w:t>拟委任的项目负责人和项目技术负责人资历表</w:t>
      </w:r>
    </w:p>
    <w:p w14:paraId="3B4DEEF5">
      <w:pPr>
        <w:spacing w:before="25"/>
      </w:pPr>
    </w:p>
    <w:tbl>
      <w:tblPr>
        <w:tblStyle w:val="13"/>
        <w:tblW w:w="98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4"/>
        <w:gridCol w:w="179"/>
        <w:gridCol w:w="1159"/>
        <w:gridCol w:w="264"/>
        <w:gridCol w:w="1037"/>
        <w:gridCol w:w="1353"/>
        <w:gridCol w:w="329"/>
        <w:gridCol w:w="1512"/>
        <w:gridCol w:w="376"/>
        <w:gridCol w:w="2170"/>
      </w:tblGrid>
      <w:tr w14:paraId="4F73A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1424" w:type="dxa"/>
            <w:vAlign w:val="top"/>
          </w:tcPr>
          <w:p w14:paraId="4BAE87EC">
            <w:pPr>
              <w:pStyle w:val="14"/>
              <w:spacing w:before="215" w:line="219" w:lineRule="auto"/>
              <w:ind w:left="478"/>
              <w:rPr>
                <w:sz w:val="24"/>
                <w:szCs w:val="24"/>
              </w:rPr>
            </w:pPr>
            <w:r>
              <w:rPr>
                <w:spacing w:val="-5"/>
                <w:sz w:val="24"/>
                <w:szCs w:val="24"/>
              </w:rPr>
              <w:t>姓名</w:t>
            </w:r>
          </w:p>
        </w:tc>
        <w:tc>
          <w:tcPr>
            <w:tcW w:w="1602" w:type="dxa"/>
            <w:gridSpan w:val="3"/>
            <w:vAlign w:val="top"/>
          </w:tcPr>
          <w:p w14:paraId="4DFAD256">
            <w:pPr>
              <w:rPr>
                <w:rFonts w:ascii="Arial"/>
                <w:sz w:val="21"/>
              </w:rPr>
            </w:pPr>
          </w:p>
        </w:tc>
        <w:tc>
          <w:tcPr>
            <w:tcW w:w="1037" w:type="dxa"/>
            <w:vAlign w:val="top"/>
          </w:tcPr>
          <w:p w14:paraId="135CDAAA">
            <w:pPr>
              <w:pStyle w:val="14"/>
              <w:spacing w:before="215" w:line="219" w:lineRule="auto"/>
              <w:ind w:left="285"/>
              <w:rPr>
                <w:sz w:val="24"/>
                <w:szCs w:val="24"/>
              </w:rPr>
            </w:pPr>
            <w:r>
              <w:rPr>
                <w:spacing w:val="-6"/>
                <w:sz w:val="24"/>
                <w:szCs w:val="24"/>
              </w:rPr>
              <w:t>年龄</w:t>
            </w:r>
          </w:p>
        </w:tc>
        <w:tc>
          <w:tcPr>
            <w:tcW w:w="1353" w:type="dxa"/>
            <w:vAlign w:val="top"/>
          </w:tcPr>
          <w:p w14:paraId="3F5E52F6">
            <w:pPr>
              <w:rPr>
                <w:rFonts w:ascii="Arial"/>
                <w:sz w:val="21"/>
              </w:rPr>
            </w:pPr>
          </w:p>
        </w:tc>
        <w:tc>
          <w:tcPr>
            <w:tcW w:w="1841" w:type="dxa"/>
            <w:gridSpan w:val="2"/>
            <w:vAlign w:val="top"/>
          </w:tcPr>
          <w:p w14:paraId="009D16A4">
            <w:pPr>
              <w:pStyle w:val="14"/>
              <w:spacing w:before="214" w:line="220" w:lineRule="auto"/>
              <w:ind w:left="688"/>
              <w:rPr>
                <w:sz w:val="24"/>
                <w:szCs w:val="24"/>
              </w:rPr>
            </w:pPr>
            <w:r>
              <w:rPr>
                <w:spacing w:val="-6"/>
                <w:sz w:val="24"/>
                <w:szCs w:val="24"/>
              </w:rPr>
              <w:t>专业</w:t>
            </w:r>
          </w:p>
        </w:tc>
        <w:tc>
          <w:tcPr>
            <w:tcW w:w="2546" w:type="dxa"/>
            <w:gridSpan w:val="2"/>
            <w:vAlign w:val="top"/>
          </w:tcPr>
          <w:p w14:paraId="26AE2B99">
            <w:pPr>
              <w:rPr>
                <w:rFonts w:ascii="Arial"/>
                <w:sz w:val="21"/>
              </w:rPr>
            </w:pPr>
          </w:p>
        </w:tc>
      </w:tr>
      <w:tr w14:paraId="6B0B5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9" w:hRule="atLeast"/>
        </w:trPr>
        <w:tc>
          <w:tcPr>
            <w:tcW w:w="1424" w:type="dxa"/>
            <w:vAlign w:val="top"/>
          </w:tcPr>
          <w:p w14:paraId="4EBEF5A0">
            <w:pPr>
              <w:spacing w:line="341" w:lineRule="auto"/>
              <w:rPr>
                <w:rFonts w:ascii="Arial"/>
                <w:sz w:val="21"/>
              </w:rPr>
            </w:pPr>
          </w:p>
          <w:p w14:paraId="1207A5E8">
            <w:pPr>
              <w:pStyle w:val="14"/>
              <w:spacing w:before="78" w:line="219" w:lineRule="auto"/>
              <w:ind w:left="239"/>
              <w:rPr>
                <w:sz w:val="24"/>
                <w:szCs w:val="24"/>
              </w:rPr>
            </w:pPr>
            <w:r>
              <w:rPr>
                <w:spacing w:val="-3"/>
                <w:sz w:val="24"/>
                <w:szCs w:val="24"/>
              </w:rPr>
              <w:t>技术职称</w:t>
            </w:r>
          </w:p>
        </w:tc>
        <w:tc>
          <w:tcPr>
            <w:tcW w:w="1602" w:type="dxa"/>
            <w:gridSpan w:val="3"/>
            <w:vAlign w:val="top"/>
          </w:tcPr>
          <w:p w14:paraId="49B43270">
            <w:pPr>
              <w:rPr>
                <w:rFonts w:ascii="Arial"/>
                <w:sz w:val="21"/>
              </w:rPr>
            </w:pPr>
          </w:p>
        </w:tc>
        <w:tc>
          <w:tcPr>
            <w:tcW w:w="1037" w:type="dxa"/>
            <w:vAlign w:val="top"/>
          </w:tcPr>
          <w:p w14:paraId="6F2E9A38">
            <w:pPr>
              <w:spacing w:line="341" w:lineRule="auto"/>
              <w:rPr>
                <w:rFonts w:ascii="Arial"/>
                <w:sz w:val="21"/>
              </w:rPr>
            </w:pPr>
          </w:p>
          <w:p w14:paraId="0BD6BC7B">
            <w:pPr>
              <w:pStyle w:val="14"/>
              <w:spacing w:before="78" w:line="221" w:lineRule="auto"/>
              <w:ind w:left="289"/>
              <w:rPr>
                <w:sz w:val="24"/>
                <w:szCs w:val="24"/>
              </w:rPr>
            </w:pPr>
            <w:r>
              <w:rPr>
                <w:spacing w:val="-8"/>
                <w:sz w:val="24"/>
                <w:szCs w:val="24"/>
              </w:rPr>
              <w:t>学历</w:t>
            </w:r>
          </w:p>
        </w:tc>
        <w:tc>
          <w:tcPr>
            <w:tcW w:w="1353" w:type="dxa"/>
            <w:vAlign w:val="top"/>
          </w:tcPr>
          <w:p w14:paraId="4B7F081C">
            <w:pPr>
              <w:rPr>
                <w:rFonts w:ascii="Arial"/>
                <w:sz w:val="21"/>
              </w:rPr>
            </w:pPr>
          </w:p>
        </w:tc>
        <w:tc>
          <w:tcPr>
            <w:tcW w:w="1841" w:type="dxa"/>
            <w:gridSpan w:val="2"/>
            <w:vAlign w:val="top"/>
          </w:tcPr>
          <w:p w14:paraId="396D7B29">
            <w:pPr>
              <w:pStyle w:val="14"/>
              <w:spacing w:before="219" w:line="296" w:lineRule="auto"/>
              <w:ind w:left="449" w:right="317" w:hanging="122"/>
              <w:rPr>
                <w:sz w:val="24"/>
                <w:szCs w:val="24"/>
              </w:rPr>
            </w:pPr>
            <w:r>
              <w:rPr>
                <w:spacing w:val="-2"/>
                <w:sz w:val="24"/>
                <w:szCs w:val="24"/>
              </w:rPr>
              <w:t>拟在本标段</w:t>
            </w:r>
            <w:r>
              <w:rPr>
                <w:spacing w:val="-4"/>
                <w:sz w:val="24"/>
                <w:szCs w:val="24"/>
              </w:rPr>
              <w:t>工程任职</w:t>
            </w:r>
          </w:p>
        </w:tc>
        <w:tc>
          <w:tcPr>
            <w:tcW w:w="2546" w:type="dxa"/>
            <w:gridSpan w:val="2"/>
            <w:vAlign w:val="top"/>
          </w:tcPr>
          <w:p w14:paraId="0F41EFF0">
            <w:pPr>
              <w:rPr>
                <w:rFonts w:ascii="Arial"/>
                <w:sz w:val="21"/>
              </w:rPr>
            </w:pPr>
          </w:p>
        </w:tc>
      </w:tr>
      <w:tr w14:paraId="2ADB9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1424" w:type="dxa"/>
            <w:vAlign w:val="top"/>
          </w:tcPr>
          <w:p w14:paraId="4C15E547">
            <w:pPr>
              <w:spacing w:line="245" w:lineRule="auto"/>
              <w:rPr>
                <w:rFonts w:ascii="Arial"/>
                <w:sz w:val="21"/>
              </w:rPr>
            </w:pPr>
          </w:p>
          <w:p w14:paraId="20DEA73C">
            <w:pPr>
              <w:pStyle w:val="14"/>
              <w:spacing w:before="78" w:line="219" w:lineRule="auto"/>
              <w:ind w:left="241"/>
              <w:rPr>
                <w:sz w:val="24"/>
                <w:szCs w:val="24"/>
              </w:rPr>
            </w:pPr>
            <w:r>
              <w:rPr>
                <w:spacing w:val="-4"/>
                <w:sz w:val="24"/>
                <w:szCs w:val="24"/>
              </w:rPr>
              <w:t>工作年限</w:t>
            </w:r>
          </w:p>
        </w:tc>
        <w:tc>
          <w:tcPr>
            <w:tcW w:w="3992" w:type="dxa"/>
            <w:gridSpan w:val="5"/>
            <w:vAlign w:val="top"/>
          </w:tcPr>
          <w:p w14:paraId="701A9275">
            <w:pPr>
              <w:rPr>
                <w:rFonts w:ascii="Arial"/>
                <w:sz w:val="21"/>
              </w:rPr>
            </w:pPr>
          </w:p>
        </w:tc>
        <w:tc>
          <w:tcPr>
            <w:tcW w:w="1841" w:type="dxa"/>
            <w:gridSpan w:val="2"/>
            <w:vAlign w:val="top"/>
          </w:tcPr>
          <w:p w14:paraId="70D4420E">
            <w:pPr>
              <w:pStyle w:val="14"/>
              <w:spacing w:before="125" w:line="219" w:lineRule="auto"/>
              <w:ind w:left="447"/>
              <w:rPr>
                <w:sz w:val="24"/>
                <w:szCs w:val="24"/>
              </w:rPr>
            </w:pPr>
            <w:r>
              <w:rPr>
                <w:spacing w:val="-3"/>
                <w:sz w:val="24"/>
                <w:szCs w:val="24"/>
              </w:rPr>
              <w:t>类似施工</w:t>
            </w:r>
          </w:p>
          <w:p w14:paraId="1BB3786C">
            <w:pPr>
              <w:pStyle w:val="14"/>
              <w:spacing w:before="112" w:line="209" w:lineRule="auto"/>
              <w:ind w:left="449"/>
              <w:rPr>
                <w:sz w:val="24"/>
                <w:szCs w:val="24"/>
              </w:rPr>
            </w:pPr>
            <w:r>
              <w:rPr>
                <w:spacing w:val="-3"/>
                <w:sz w:val="24"/>
                <w:szCs w:val="24"/>
              </w:rPr>
              <w:t>经验年限</w:t>
            </w:r>
          </w:p>
        </w:tc>
        <w:tc>
          <w:tcPr>
            <w:tcW w:w="2546" w:type="dxa"/>
            <w:gridSpan w:val="2"/>
            <w:vAlign w:val="top"/>
          </w:tcPr>
          <w:p w14:paraId="700AA429">
            <w:pPr>
              <w:rPr>
                <w:rFonts w:ascii="Arial"/>
                <w:sz w:val="21"/>
              </w:rPr>
            </w:pPr>
          </w:p>
        </w:tc>
      </w:tr>
      <w:tr w14:paraId="693E1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424" w:type="dxa"/>
            <w:vAlign w:val="top"/>
          </w:tcPr>
          <w:p w14:paraId="548E5E1B">
            <w:pPr>
              <w:pStyle w:val="14"/>
              <w:spacing w:before="239" w:line="219" w:lineRule="auto"/>
              <w:ind w:left="243"/>
              <w:rPr>
                <w:sz w:val="24"/>
                <w:szCs w:val="24"/>
              </w:rPr>
            </w:pPr>
            <w:r>
              <w:rPr>
                <w:spacing w:val="-4"/>
                <w:sz w:val="24"/>
                <w:szCs w:val="24"/>
              </w:rPr>
              <w:t>毕业学校</w:t>
            </w:r>
          </w:p>
        </w:tc>
        <w:tc>
          <w:tcPr>
            <w:tcW w:w="8379" w:type="dxa"/>
            <w:gridSpan w:val="9"/>
            <w:vAlign w:val="top"/>
          </w:tcPr>
          <w:p w14:paraId="44578397">
            <w:pPr>
              <w:pStyle w:val="14"/>
              <w:tabs>
                <w:tab w:val="left" w:pos="1016"/>
              </w:tabs>
              <w:spacing w:before="239" w:line="219" w:lineRule="auto"/>
              <w:ind w:left="297"/>
              <w:rPr>
                <w:sz w:val="24"/>
                <w:szCs w:val="24"/>
              </w:rPr>
            </w:pPr>
            <w:r>
              <w:rPr>
                <w:sz w:val="24"/>
                <w:szCs w:val="24"/>
                <w:u w:val="single" w:color="auto"/>
              </w:rPr>
              <w:tab/>
            </w:r>
            <w:r>
              <w:rPr>
                <w:spacing w:val="-109"/>
                <w:sz w:val="24"/>
                <w:szCs w:val="24"/>
              </w:rPr>
              <w:t xml:space="preserve"> </w:t>
            </w:r>
            <w:r>
              <w:rPr>
                <w:spacing w:val="-1"/>
                <w:sz w:val="24"/>
                <w:szCs w:val="24"/>
              </w:rPr>
              <w:t>年</w:t>
            </w:r>
            <w:r>
              <w:rPr>
                <w:spacing w:val="-1"/>
                <w:sz w:val="24"/>
                <w:szCs w:val="24"/>
                <w:u w:val="single" w:color="auto"/>
              </w:rPr>
              <w:t xml:space="preserve">    </w:t>
            </w:r>
            <w:r>
              <w:rPr>
                <w:spacing w:val="-105"/>
                <w:sz w:val="24"/>
                <w:szCs w:val="24"/>
              </w:rPr>
              <w:t xml:space="preserve"> </w:t>
            </w:r>
            <w:r>
              <w:rPr>
                <w:spacing w:val="-1"/>
                <w:sz w:val="24"/>
                <w:szCs w:val="24"/>
              </w:rPr>
              <w:t>月毕业于</w:t>
            </w:r>
            <w:r>
              <w:rPr>
                <w:spacing w:val="-1"/>
                <w:sz w:val="24"/>
                <w:szCs w:val="24"/>
                <w:u w:val="single" w:color="auto"/>
              </w:rPr>
              <w:t xml:space="preserve">               </w:t>
            </w:r>
            <w:r>
              <w:rPr>
                <w:spacing w:val="-106"/>
                <w:sz w:val="24"/>
                <w:szCs w:val="24"/>
              </w:rPr>
              <w:t xml:space="preserve"> </w:t>
            </w:r>
            <w:r>
              <w:rPr>
                <w:spacing w:val="-1"/>
                <w:sz w:val="24"/>
                <w:szCs w:val="24"/>
              </w:rPr>
              <w:t>学校</w:t>
            </w:r>
            <w:r>
              <w:rPr>
                <w:spacing w:val="-1"/>
                <w:sz w:val="24"/>
                <w:szCs w:val="24"/>
                <w:u w:val="single" w:color="auto"/>
              </w:rPr>
              <w:t xml:space="preserve">        </w:t>
            </w:r>
            <w:r>
              <w:rPr>
                <w:spacing w:val="-110"/>
                <w:sz w:val="24"/>
                <w:szCs w:val="24"/>
              </w:rPr>
              <w:t xml:space="preserve"> </w:t>
            </w:r>
            <w:r>
              <w:rPr>
                <w:spacing w:val="-1"/>
                <w:sz w:val="24"/>
                <w:szCs w:val="24"/>
              </w:rPr>
              <w:t>专业，</w:t>
            </w:r>
            <w:r>
              <w:rPr>
                <w:spacing w:val="-2"/>
                <w:sz w:val="24"/>
                <w:szCs w:val="24"/>
              </w:rPr>
              <w:t>学制</w:t>
            </w:r>
            <w:r>
              <w:rPr>
                <w:spacing w:val="-2"/>
                <w:sz w:val="24"/>
                <w:szCs w:val="24"/>
                <w:u w:val="single" w:color="auto"/>
              </w:rPr>
              <w:t xml:space="preserve">    </w:t>
            </w:r>
            <w:r>
              <w:rPr>
                <w:spacing w:val="-109"/>
                <w:sz w:val="24"/>
                <w:szCs w:val="24"/>
              </w:rPr>
              <w:t xml:space="preserve"> </w:t>
            </w:r>
            <w:r>
              <w:rPr>
                <w:spacing w:val="-2"/>
                <w:sz w:val="24"/>
                <w:szCs w:val="24"/>
              </w:rPr>
              <w:t>年</w:t>
            </w:r>
          </w:p>
        </w:tc>
      </w:tr>
      <w:tr w14:paraId="032E3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9803" w:type="dxa"/>
            <w:gridSpan w:val="10"/>
            <w:vAlign w:val="top"/>
          </w:tcPr>
          <w:p w14:paraId="4412A41C">
            <w:pPr>
              <w:pStyle w:val="14"/>
              <w:spacing w:before="178" w:line="222" w:lineRule="auto"/>
              <w:ind w:left="4130"/>
              <w:rPr>
                <w:sz w:val="24"/>
                <w:szCs w:val="24"/>
              </w:rPr>
            </w:pPr>
            <w:r>
              <w:rPr>
                <w:spacing w:val="-6"/>
                <w:sz w:val="24"/>
                <w:szCs w:val="24"/>
              </w:rPr>
              <w:t>经</w:t>
            </w:r>
            <w:r>
              <w:rPr>
                <w:spacing w:val="1"/>
                <w:sz w:val="24"/>
                <w:szCs w:val="24"/>
              </w:rPr>
              <w:t xml:space="preserve">         </w:t>
            </w:r>
            <w:r>
              <w:rPr>
                <w:spacing w:val="-6"/>
                <w:sz w:val="24"/>
                <w:szCs w:val="24"/>
              </w:rPr>
              <w:t>历</w:t>
            </w:r>
          </w:p>
        </w:tc>
      </w:tr>
      <w:tr w14:paraId="6BADA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9" w:hRule="atLeast"/>
        </w:trPr>
        <w:tc>
          <w:tcPr>
            <w:tcW w:w="1603" w:type="dxa"/>
            <w:gridSpan w:val="2"/>
            <w:vAlign w:val="top"/>
          </w:tcPr>
          <w:p w14:paraId="53A86656">
            <w:pPr>
              <w:spacing w:line="342" w:lineRule="auto"/>
              <w:rPr>
                <w:rFonts w:ascii="Arial"/>
                <w:sz w:val="21"/>
              </w:rPr>
            </w:pPr>
          </w:p>
          <w:p w14:paraId="58BAD1DD">
            <w:pPr>
              <w:pStyle w:val="14"/>
              <w:spacing w:before="78" w:line="221" w:lineRule="auto"/>
              <w:ind w:left="578"/>
              <w:rPr>
                <w:sz w:val="24"/>
                <w:szCs w:val="24"/>
              </w:rPr>
            </w:pPr>
            <w:r>
              <w:rPr>
                <w:spacing w:val="-11"/>
                <w:sz w:val="24"/>
                <w:szCs w:val="24"/>
              </w:rPr>
              <w:t>时间</w:t>
            </w:r>
          </w:p>
        </w:tc>
        <w:tc>
          <w:tcPr>
            <w:tcW w:w="4142" w:type="dxa"/>
            <w:gridSpan w:val="5"/>
            <w:vAlign w:val="top"/>
          </w:tcPr>
          <w:p w14:paraId="6ABE3282">
            <w:pPr>
              <w:spacing w:line="342" w:lineRule="auto"/>
              <w:rPr>
                <w:rFonts w:ascii="Arial"/>
                <w:sz w:val="21"/>
              </w:rPr>
            </w:pPr>
          </w:p>
          <w:p w14:paraId="77CCAC62">
            <w:pPr>
              <w:pStyle w:val="14"/>
              <w:spacing w:before="78" w:line="219" w:lineRule="auto"/>
              <w:ind w:left="638"/>
              <w:rPr>
                <w:sz w:val="24"/>
                <w:szCs w:val="24"/>
              </w:rPr>
            </w:pPr>
            <w:r>
              <w:rPr>
                <w:spacing w:val="-1"/>
                <w:sz w:val="24"/>
                <w:szCs w:val="24"/>
              </w:rPr>
              <w:t>参加过的类似工程项目名称</w:t>
            </w:r>
          </w:p>
        </w:tc>
        <w:tc>
          <w:tcPr>
            <w:tcW w:w="1888" w:type="dxa"/>
            <w:gridSpan w:val="2"/>
            <w:vAlign w:val="top"/>
          </w:tcPr>
          <w:p w14:paraId="4D7DA0EE">
            <w:pPr>
              <w:spacing w:line="342" w:lineRule="auto"/>
              <w:rPr>
                <w:rFonts w:ascii="Arial"/>
                <w:sz w:val="21"/>
              </w:rPr>
            </w:pPr>
          </w:p>
          <w:p w14:paraId="40E4E6B6">
            <w:pPr>
              <w:pStyle w:val="14"/>
              <w:spacing w:before="78" w:line="219" w:lineRule="auto"/>
              <w:ind w:left="472"/>
              <w:rPr>
                <w:sz w:val="24"/>
                <w:szCs w:val="24"/>
              </w:rPr>
            </w:pPr>
            <w:r>
              <w:rPr>
                <w:spacing w:val="-3"/>
                <w:sz w:val="24"/>
                <w:szCs w:val="24"/>
              </w:rPr>
              <w:t>担任职务</w:t>
            </w:r>
          </w:p>
        </w:tc>
        <w:tc>
          <w:tcPr>
            <w:tcW w:w="2170" w:type="dxa"/>
            <w:vAlign w:val="top"/>
          </w:tcPr>
          <w:p w14:paraId="4E09F1D5">
            <w:pPr>
              <w:spacing w:line="342" w:lineRule="auto"/>
              <w:rPr>
                <w:rFonts w:ascii="Arial"/>
                <w:sz w:val="21"/>
              </w:rPr>
            </w:pPr>
          </w:p>
          <w:p w14:paraId="2183E0D0">
            <w:pPr>
              <w:pStyle w:val="14"/>
              <w:spacing w:before="78" w:line="220" w:lineRule="auto"/>
              <w:ind w:left="135"/>
              <w:rPr>
                <w:sz w:val="24"/>
                <w:szCs w:val="24"/>
              </w:rPr>
            </w:pPr>
            <w:r>
              <w:rPr>
                <w:spacing w:val="-2"/>
                <w:sz w:val="24"/>
                <w:szCs w:val="24"/>
              </w:rPr>
              <w:t>发包人及联系电话</w:t>
            </w:r>
          </w:p>
        </w:tc>
      </w:tr>
      <w:tr w14:paraId="0254F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1603" w:type="dxa"/>
            <w:gridSpan w:val="2"/>
            <w:vAlign w:val="top"/>
          </w:tcPr>
          <w:p w14:paraId="451E0EB4">
            <w:pPr>
              <w:rPr>
                <w:rFonts w:ascii="Arial"/>
                <w:sz w:val="21"/>
              </w:rPr>
            </w:pPr>
          </w:p>
        </w:tc>
        <w:tc>
          <w:tcPr>
            <w:tcW w:w="4142" w:type="dxa"/>
            <w:gridSpan w:val="5"/>
            <w:vAlign w:val="top"/>
          </w:tcPr>
          <w:p w14:paraId="38CE769F">
            <w:pPr>
              <w:rPr>
                <w:rFonts w:ascii="Arial"/>
                <w:sz w:val="21"/>
              </w:rPr>
            </w:pPr>
          </w:p>
        </w:tc>
        <w:tc>
          <w:tcPr>
            <w:tcW w:w="1888" w:type="dxa"/>
            <w:gridSpan w:val="2"/>
            <w:vAlign w:val="top"/>
          </w:tcPr>
          <w:p w14:paraId="295AE725">
            <w:pPr>
              <w:rPr>
                <w:rFonts w:ascii="Arial"/>
                <w:sz w:val="21"/>
              </w:rPr>
            </w:pPr>
          </w:p>
        </w:tc>
        <w:tc>
          <w:tcPr>
            <w:tcW w:w="2170" w:type="dxa"/>
            <w:vAlign w:val="top"/>
          </w:tcPr>
          <w:p w14:paraId="21E74A25">
            <w:pPr>
              <w:rPr>
                <w:rFonts w:ascii="Arial"/>
                <w:sz w:val="21"/>
              </w:rPr>
            </w:pPr>
          </w:p>
        </w:tc>
      </w:tr>
      <w:tr w14:paraId="2830C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1603" w:type="dxa"/>
            <w:gridSpan w:val="2"/>
            <w:vAlign w:val="top"/>
          </w:tcPr>
          <w:p w14:paraId="77976AEA">
            <w:pPr>
              <w:rPr>
                <w:rFonts w:ascii="Arial"/>
                <w:sz w:val="21"/>
              </w:rPr>
            </w:pPr>
          </w:p>
        </w:tc>
        <w:tc>
          <w:tcPr>
            <w:tcW w:w="4142" w:type="dxa"/>
            <w:gridSpan w:val="5"/>
            <w:vAlign w:val="top"/>
          </w:tcPr>
          <w:p w14:paraId="4E8DD2A9">
            <w:pPr>
              <w:rPr>
                <w:rFonts w:ascii="Arial"/>
                <w:sz w:val="21"/>
              </w:rPr>
            </w:pPr>
          </w:p>
        </w:tc>
        <w:tc>
          <w:tcPr>
            <w:tcW w:w="1888" w:type="dxa"/>
            <w:gridSpan w:val="2"/>
            <w:vAlign w:val="top"/>
          </w:tcPr>
          <w:p w14:paraId="24E726E8">
            <w:pPr>
              <w:rPr>
                <w:rFonts w:ascii="Arial"/>
                <w:sz w:val="21"/>
              </w:rPr>
            </w:pPr>
          </w:p>
        </w:tc>
        <w:tc>
          <w:tcPr>
            <w:tcW w:w="2170" w:type="dxa"/>
            <w:vAlign w:val="top"/>
          </w:tcPr>
          <w:p w14:paraId="18A6D42A">
            <w:pPr>
              <w:rPr>
                <w:rFonts w:ascii="Arial"/>
                <w:sz w:val="21"/>
              </w:rPr>
            </w:pPr>
          </w:p>
        </w:tc>
      </w:tr>
      <w:tr w14:paraId="3F0E3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1603" w:type="dxa"/>
            <w:gridSpan w:val="2"/>
            <w:vAlign w:val="top"/>
          </w:tcPr>
          <w:p w14:paraId="3808ACEC">
            <w:pPr>
              <w:rPr>
                <w:rFonts w:ascii="Arial"/>
                <w:sz w:val="21"/>
              </w:rPr>
            </w:pPr>
          </w:p>
        </w:tc>
        <w:tc>
          <w:tcPr>
            <w:tcW w:w="4142" w:type="dxa"/>
            <w:gridSpan w:val="5"/>
            <w:vAlign w:val="top"/>
          </w:tcPr>
          <w:p w14:paraId="559AAB26">
            <w:pPr>
              <w:rPr>
                <w:rFonts w:ascii="Arial"/>
                <w:sz w:val="21"/>
              </w:rPr>
            </w:pPr>
          </w:p>
        </w:tc>
        <w:tc>
          <w:tcPr>
            <w:tcW w:w="1888" w:type="dxa"/>
            <w:gridSpan w:val="2"/>
            <w:vAlign w:val="top"/>
          </w:tcPr>
          <w:p w14:paraId="60696706">
            <w:pPr>
              <w:rPr>
                <w:rFonts w:ascii="Arial"/>
                <w:sz w:val="21"/>
              </w:rPr>
            </w:pPr>
          </w:p>
        </w:tc>
        <w:tc>
          <w:tcPr>
            <w:tcW w:w="2170" w:type="dxa"/>
            <w:vAlign w:val="top"/>
          </w:tcPr>
          <w:p w14:paraId="30697101">
            <w:pPr>
              <w:rPr>
                <w:rFonts w:ascii="Arial"/>
                <w:sz w:val="21"/>
              </w:rPr>
            </w:pPr>
          </w:p>
        </w:tc>
      </w:tr>
      <w:tr w14:paraId="37928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1603" w:type="dxa"/>
            <w:gridSpan w:val="2"/>
            <w:vAlign w:val="top"/>
          </w:tcPr>
          <w:p w14:paraId="779CC2C5">
            <w:pPr>
              <w:rPr>
                <w:rFonts w:ascii="Arial"/>
                <w:sz w:val="21"/>
              </w:rPr>
            </w:pPr>
          </w:p>
        </w:tc>
        <w:tc>
          <w:tcPr>
            <w:tcW w:w="4142" w:type="dxa"/>
            <w:gridSpan w:val="5"/>
            <w:vAlign w:val="top"/>
          </w:tcPr>
          <w:p w14:paraId="44BDCFCC">
            <w:pPr>
              <w:rPr>
                <w:rFonts w:ascii="Arial"/>
                <w:sz w:val="21"/>
              </w:rPr>
            </w:pPr>
          </w:p>
        </w:tc>
        <w:tc>
          <w:tcPr>
            <w:tcW w:w="1888" w:type="dxa"/>
            <w:gridSpan w:val="2"/>
            <w:vAlign w:val="top"/>
          </w:tcPr>
          <w:p w14:paraId="4216744B">
            <w:pPr>
              <w:rPr>
                <w:rFonts w:ascii="Arial"/>
                <w:sz w:val="21"/>
              </w:rPr>
            </w:pPr>
          </w:p>
        </w:tc>
        <w:tc>
          <w:tcPr>
            <w:tcW w:w="2170" w:type="dxa"/>
            <w:vAlign w:val="top"/>
          </w:tcPr>
          <w:p w14:paraId="10FF0A24">
            <w:pPr>
              <w:rPr>
                <w:rFonts w:ascii="Arial"/>
                <w:sz w:val="21"/>
              </w:rPr>
            </w:pPr>
          </w:p>
        </w:tc>
      </w:tr>
      <w:tr w14:paraId="26CA1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1603" w:type="dxa"/>
            <w:gridSpan w:val="2"/>
            <w:vAlign w:val="top"/>
          </w:tcPr>
          <w:p w14:paraId="54002BD2">
            <w:pPr>
              <w:rPr>
                <w:rFonts w:ascii="Arial"/>
                <w:sz w:val="21"/>
              </w:rPr>
            </w:pPr>
          </w:p>
        </w:tc>
        <w:tc>
          <w:tcPr>
            <w:tcW w:w="4142" w:type="dxa"/>
            <w:gridSpan w:val="5"/>
            <w:vAlign w:val="top"/>
          </w:tcPr>
          <w:p w14:paraId="5FD0CD11">
            <w:pPr>
              <w:rPr>
                <w:rFonts w:ascii="Arial"/>
                <w:sz w:val="21"/>
              </w:rPr>
            </w:pPr>
          </w:p>
        </w:tc>
        <w:tc>
          <w:tcPr>
            <w:tcW w:w="1888" w:type="dxa"/>
            <w:gridSpan w:val="2"/>
            <w:vAlign w:val="top"/>
          </w:tcPr>
          <w:p w14:paraId="488FFD8A">
            <w:pPr>
              <w:rPr>
                <w:rFonts w:ascii="Arial"/>
                <w:sz w:val="21"/>
              </w:rPr>
            </w:pPr>
          </w:p>
        </w:tc>
        <w:tc>
          <w:tcPr>
            <w:tcW w:w="2170" w:type="dxa"/>
            <w:vAlign w:val="top"/>
          </w:tcPr>
          <w:p w14:paraId="22524F1D">
            <w:pPr>
              <w:rPr>
                <w:rFonts w:ascii="Arial"/>
                <w:sz w:val="21"/>
              </w:rPr>
            </w:pPr>
          </w:p>
        </w:tc>
      </w:tr>
      <w:tr w14:paraId="6BDD15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1603" w:type="dxa"/>
            <w:gridSpan w:val="2"/>
            <w:vAlign w:val="top"/>
          </w:tcPr>
          <w:p w14:paraId="5CF10378">
            <w:pPr>
              <w:rPr>
                <w:rFonts w:ascii="Arial"/>
                <w:sz w:val="21"/>
              </w:rPr>
            </w:pPr>
          </w:p>
        </w:tc>
        <w:tc>
          <w:tcPr>
            <w:tcW w:w="4142" w:type="dxa"/>
            <w:gridSpan w:val="5"/>
            <w:vAlign w:val="top"/>
          </w:tcPr>
          <w:p w14:paraId="35740524">
            <w:pPr>
              <w:rPr>
                <w:rFonts w:ascii="Arial"/>
                <w:sz w:val="21"/>
              </w:rPr>
            </w:pPr>
          </w:p>
        </w:tc>
        <w:tc>
          <w:tcPr>
            <w:tcW w:w="1888" w:type="dxa"/>
            <w:gridSpan w:val="2"/>
            <w:vAlign w:val="top"/>
          </w:tcPr>
          <w:p w14:paraId="1DDC8FE5">
            <w:pPr>
              <w:rPr>
                <w:rFonts w:ascii="Arial"/>
                <w:sz w:val="21"/>
              </w:rPr>
            </w:pPr>
          </w:p>
        </w:tc>
        <w:tc>
          <w:tcPr>
            <w:tcW w:w="2170" w:type="dxa"/>
            <w:vAlign w:val="top"/>
          </w:tcPr>
          <w:p w14:paraId="7322FD31">
            <w:pPr>
              <w:rPr>
                <w:rFonts w:ascii="Arial"/>
                <w:sz w:val="21"/>
              </w:rPr>
            </w:pPr>
          </w:p>
        </w:tc>
      </w:tr>
      <w:tr w14:paraId="408B59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1603" w:type="dxa"/>
            <w:gridSpan w:val="2"/>
            <w:vAlign w:val="top"/>
          </w:tcPr>
          <w:p w14:paraId="3B6A3BBB">
            <w:pPr>
              <w:rPr>
                <w:rFonts w:ascii="Arial"/>
                <w:sz w:val="21"/>
              </w:rPr>
            </w:pPr>
          </w:p>
        </w:tc>
        <w:tc>
          <w:tcPr>
            <w:tcW w:w="4142" w:type="dxa"/>
            <w:gridSpan w:val="5"/>
            <w:vAlign w:val="top"/>
          </w:tcPr>
          <w:p w14:paraId="1FFEA167">
            <w:pPr>
              <w:rPr>
                <w:rFonts w:ascii="Arial"/>
                <w:sz w:val="21"/>
              </w:rPr>
            </w:pPr>
          </w:p>
        </w:tc>
        <w:tc>
          <w:tcPr>
            <w:tcW w:w="1888" w:type="dxa"/>
            <w:gridSpan w:val="2"/>
            <w:vAlign w:val="top"/>
          </w:tcPr>
          <w:p w14:paraId="28DDF07A">
            <w:pPr>
              <w:rPr>
                <w:rFonts w:ascii="Arial"/>
                <w:sz w:val="21"/>
              </w:rPr>
            </w:pPr>
          </w:p>
        </w:tc>
        <w:tc>
          <w:tcPr>
            <w:tcW w:w="2170" w:type="dxa"/>
            <w:vAlign w:val="top"/>
          </w:tcPr>
          <w:p w14:paraId="06585086">
            <w:pPr>
              <w:rPr>
                <w:rFonts w:ascii="Arial"/>
                <w:sz w:val="21"/>
              </w:rPr>
            </w:pPr>
          </w:p>
        </w:tc>
      </w:tr>
      <w:tr w14:paraId="53786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1603" w:type="dxa"/>
            <w:gridSpan w:val="2"/>
            <w:vAlign w:val="top"/>
          </w:tcPr>
          <w:p w14:paraId="715F9E5A">
            <w:pPr>
              <w:rPr>
                <w:rFonts w:ascii="Arial"/>
                <w:sz w:val="21"/>
              </w:rPr>
            </w:pPr>
          </w:p>
        </w:tc>
        <w:tc>
          <w:tcPr>
            <w:tcW w:w="4142" w:type="dxa"/>
            <w:gridSpan w:val="5"/>
            <w:vAlign w:val="top"/>
          </w:tcPr>
          <w:p w14:paraId="18AE372C">
            <w:pPr>
              <w:rPr>
                <w:rFonts w:ascii="Arial"/>
                <w:sz w:val="21"/>
              </w:rPr>
            </w:pPr>
          </w:p>
        </w:tc>
        <w:tc>
          <w:tcPr>
            <w:tcW w:w="1888" w:type="dxa"/>
            <w:gridSpan w:val="2"/>
            <w:vAlign w:val="top"/>
          </w:tcPr>
          <w:p w14:paraId="061216CB">
            <w:pPr>
              <w:rPr>
                <w:rFonts w:ascii="Arial"/>
                <w:sz w:val="21"/>
              </w:rPr>
            </w:pPr>
          </w:p>
        </w:tc>
        <w:tc>
          <w:tcPr>
            <w:tcW w:w="2170" w:type="dxa"/>
            <w:vAlign w:val="top"/>
          </w:tcPr>
          <w:p w14:paraId="2F2DC6EF">
            <w:pPr>
              <w:rPr>
                <w:rFonts w:ascii="Arial"/>
                <w:sz w:val="21"/>
              </w:rPr>
            </w:pPr>
          </w:p>
        </w:tc>
      </w:tr>
      <w:tr w14:paraId="03F61F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1603" w:type="dxa"/>
            <w:gridSpan w:val="2"/>
            <w:vAlign w:val="top"/>
          </w:tcPr>
          <w:p w14:paraId="799D6C01">
            <w:pPr>
              <w:rPr>
                <w:rFonts w:ascii="Arial"/>
                <w:sz w:val="21"/>
              </w:rPr>
            </w:pPr>
          </w:p>
        </w:tc>
        <w:tc>
          <w:tcPr>
            <w:tcW w:w="4142" w:type="dxa"/>
            <w:gridSpan w:val="5"/>
            <w:vAlign w:val="top"/>
          </w:tcPr>
          <w:p w14:paraId="0DDF9481">
            <w:pPr>
              <w:rPr>
                <w:rFonts w:ascii="Arial"/>
                <w:sz w:val="21"/>
              </w:rPr>
            </w:pPr>
          </w:p>
        </w:tc>
        <w:tc>
          <w:tcPr>
            <w:tcW w:w="1888" w:type="dxa"/>
            <w:gridSpan w:val="2"/>
            <w:vAlign w:val="top"/>
          </w:tcPr>
          <w:p w14:paraId="7EEF416F">
            <w:pPr>
              <w:rPr>
                <w:rFonts w:ascii="Arial"/>
                <w:sz w:val="21"/>
              </w:rPr>
            </w:pPr>
          </w:p>
        </w:tc>
        <w:tc>
          <w:tcPr>
            <w:tcW w:w="2170" w:type="dxa"/>
            <w:vAlign w:val="top"/>
          </w:tcPr>
          <w:p w14:paraId="25E70E8D">
            <w:pPr>
              <w:rPr>
                <w:rFonts w:ascii="Arial"/>
                <w:sz w:val="21"/>
              </w:rPr>
            </w:pPr>
          </w:p>
        </w:tc>
      </w:tr>
      <w:tr w14:paraId="4BCD4E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2762" w:type="dxa"/>
            <w:gridSpan w:val="3"/>
            <w:vAlign w:val="top"/>
          </w:tcPr>
          <w:p w14:paraId="1590BCC0">
            <w:pPr>
              <w:spacing w:line="281" w:lineRule="auto"/>
              <w:rPr>
                <w:rFonts w:ascii="Arial"/>
                <w:sz w:val="21"/>
              </w:rPr>
            </w:pPr>
          </w:p>
          <w:p w14:paraId="3DFDECE6">
            <w:pPr>
              <w:pStyle w:val="14"/>
              <w:spacing w:before="78" w:line="219" w:lineRule="auto"/>
              <w:ind w:left="911"/>
              <w:rPr>
                <w:sz w:val="24"/>
                <w:szCs w:val="24"/>
              </w:rPr>
            </w:pPr>
            <w:r>
              <w:rPr>
                <w:spacing w:val="-4"/>
                <w:sz w:val="24"/>
                <w:szCs w:val="24"/>
              </w:rPr>
              <w:t>获奖情况</w:t>
            </w:r>
          </w:p>
        </w:tc>
        <w:tc>
          <w:tcPr>
            <w:tcW w:w="7041" w:type="dxa"/>
            <w:gridSpan w:val="7"/>
            <w:vAlign w:val="top"/>
          </w:tcPr>
          <w:p w14:paraId="45643E14">
            <w:pPr>
              <w:rPr>
                <w:rFonts w:ascii="Arial"/>
                <w:sz w:val="21"/>
              </w:rPr>
            </w:pPr>
          </w:p>
        </w:tc>
      </w:tr>
      <w:tr w14:paraId="4829D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8" w:hRule="atLeast"/>
        </w:trPr>
        <w:tc>
          <w:tcPr>
            <w:tcW w:w="9803" w:type="dxa"/>
            <w:gridSpan w:val="10"/>
            <w:vAlign w:val="top"/>
          </w:tcPr>
          <w:p w14:paraId="1D124490">
            <w:pPr>
              <w:spacing w:line="289" w:lineRule="auto"/>
              <w:rPr>
                <w:rFonts w:ascii="Arial"/>
                <w:sz w:val="21"/>
              </w:rPr>
            </w:pPr>
          </w:p>
          <w:p w14:paraId="3191D4AB">
            <w:pPr>
              <w:pStyle w:val="14"/>
              <w:spacing w:before="78" w:line="310" w:lineRule="auto"/>
              <w:ind w:left="121" w:right="46" w:firstLine="475"/>
              <w:rPr>
                <w:sz w:val="24"/>
                <w:szCs w:val="24"/>
              </w:rPr>
            </w:pPr>
            <w:r>
              <w:rPr>
                <w:spacing w:val="-2"/>
                <w:sz w:val="24"/>
                <w:szCs w:val="24"/>
              </w:rPr>
              <w:t>本人</w:t>
            </w:r>
            <w:r>
              <w:rPr>
                <w:spacing w:val="18"/>
                <w:sz w:val="24"/>
                <w:szCs w:val="24"/>
                <w:u w:val="single" w:color="auto"/>
              </w:rPr>
              <w:t xml:space="preserve">      </w:t>
            </w:r>
            <w:r>
              <w:rPr>
                <w:spacing w:val="-2"/>
                <w:sz w:val="24"/>
                <w:szCs w:val="24"/>
                <w:u w:val="single" w:color="auto"/>
              </w:rPr>
              <w:t>（签名）</w:t>
            </w:r>
            <w:r>
              <w:rPr>
                <w:spacing w:val="-2"/>
                <w:sz w:val="24"/>
                <w:szCs w:val="24"/>
              </w:rPr>
              <w:t>知晓自己为本项目的</w:t>
            </w:r>
            <w:r>
              <w:rPr>
                <w:spacing w:val="-2"/>
                <w:sz w:val="24"/>
                <w:szCs w:val="24"/>
                <w:u w:val="single" w:color="auto"/>
              </w:rPr>
              <w:t xml:space="preserve">      (填写项目负责人或项目技术负责人)</w:t>
            </w:r>
            <w:r>
              <w:rPr>
                <w:spacing w:val="-2"/>
                <w:sz w:val="24"/>
                <w:szCs w:val="24"/>
              </w:rPr>
              <w:t>，并对其真实性负责。</w:t>
            </w:r>
          </w:p>
        </w:tc>
      </w:tr>
      <w:tr w14:paraId="68840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2762" w:type="dxa"/>
            <w:gridSpan w:val="3"/>
            <w:vAlign w:val="top"/>
          </w:tcPr>
          <w:p w14:paraId="650ED3DB">
            <w:pPr>
              <w:pStyle w:val="14"/>
              <w:spacing w:before="299" w:line="221" w:lineRule="auto"/>
              <w:ind w:left="850"/>
              <w:rPr>
                <w:sz w:val="24"/>
                <w:szCs w:val="24"/>
              </w:rPr>
            </w:pPr>
            <w:r>
              <w:rPr>
                <w:spacing w:val="-7"/>
                <w:sz w:val="24"/>
                <w:szCs w:val="24"/>
              </w:rPr>
              <w:t>备</w:t>
            </w:r>
            <w:r>
              <w:rPr>
                <w:spacing w:val="2"/>
                <w:sz w:val="24"/>
                <w:szCs w:val="24"/>
              </w:rPr>
              <w:t xml:space="preserve">     </w:t>
            </w:r>
            <w:r>
              <w:rPr>
                <w:spacing w:val="-7"/>
                <w:sz w:val="24"/>
                <w:szCs w:val="24"/>
              </w:rPr>
              <w:t>注</w:t>
            </w:r>
          </w:p>
        </w:tc>
        <w:tc>
          <w:tcPr>
            <w:tcW w:w="7041" w:type="dxa"/>
            <w:gridSpan w:val="7"/>
            <w:vAlign w:val="top"/>
          </w:tcPr>
          <w:p w14:paraId="2D63144B">
            <w:pPr>
              <w:rPr>
                <w:rFonts w:ascii="Arial"/>
                <w:sz w:val="21"/>
              </w:rPr>
            </w:pPr>
          </w:p>
        </w:tc>
      </w:tr>
    </w:tbl>
    <w:p w14:paraId="0DD27E8D">
      <w:pPr>
        <w:spacing w:before="30" w:line="232" w:lineRule="auto"/>
        <w:ind w:left="378"/>
        <w:rPr>
          <w:rFonts w:ascii="宋体" w:hAnsi="宋体" w:eastAsia="宋体" w:cs="宋体"/>
          <w:sz w:val="20"/>
          <w:szCs w:val="20"/>
        </w:rPr>
      </w:pPr>
      <w:r>
        <w:rPr>
          <w:rFonts w:ascii="宋体" w:hAnsi="宋体" w:eastAsia="宋体" w:cs="宋体"/>
          <w:sz w:val="20"/>
          <w:szCs w:val="20"/>
        </w:rPr>
        <w:t>注：</w:t>
      </w:r>
    </w:p>
    <w:p w14:paraId="59129388">
      <w:pPr>
        <w:spacing w:before="22" w:line="227" w:lineRule="auto"/>
        <w:ind w:left="394"/>
        <w:rPr>
          <w:rFonts w:ascii="宋体" w:hAnsi="宋体" w:eastAsia="宋体" w:cs="宋体"/>
          <w:sz w:val="20"/>
          <w:szCs w:val="20"/>
        </w:rPr>
      </w:pPr>
      <w:r>
        <w:rPr>
          <w:rFonts w:ascii="宋体" w:hAnsi="宋体" w:eastAsia="宋体" w:cs="宋体"/>
          <w:spacing w:val="9"/>
          <w:sz w:val="20"/>
          <w:szCs w:val="20"/>
        </w:rPr>
        <w:t>1、本表后应对应分别填写项目负责人和项目技</w:t>
      </w:r>
      <w:r>
        <w:rPr>
          <w:rFonts w:ascii="宋体" w:hAnsi="宋体" w:eastAsia="宋体" w:cs="宋体"/>
          <w:spacing w:val="8"/>
          <w:sz w:val="20"/>
          <w:szCs w:val="20"/>
        </w:rPr>
        <w:t>术负责人相关情况。</w:t>
      </w:r>
    </w:p>
    <w:p w14:paraId="761AF169">
      <w:pPr>
        <w:spacing w:before="25" w:line="227" w:lineRule="auto"/>
        <w:ind w:left="381"/>
        <w:rPr>
          <w:rFonts w:ascii="宋体" w:hAnsi="宋体" w:eastAsia="宋体" w:cs="宋体"/>
          <w:sz w:val="20"/>
          <w:szCs w:val="20"/>
        </w:rPr>
      </w:pPr>
      <w:r>
        <w:rPr>
          <w:rFonts w:ascii="宋体" w:hAnsi="宋体" w:eastAsia="宋体" w:cs="宋体"/>
          <w:spacing w:val="8"/>
          <w:sz w:val="20"/>
          <w:szCs w:val="20"/>
        </w:rPr>
        <w:t>2、投标人应根据招标文件第二章“投标人须知</w:t>
      </w:r>
      <w:r>
        <w:rPr>
          <w:rFonts w:ascii="宋体" w:hAnsi="宋体" w:eastAsia="宋体" w:cs="宋体"/>
          <w:spacing w:val="-73"/>
          <w:sz w:val="20"/>
          <w:szCs w:val="20"/>
        </w:rPr>
        <w:t xml:space="preserve"> </w:t>
      </w:r>
      <w:r>
        <w:rPr>
          <w:rFonts w:ascii="宋体" w:hAnsi="宋体" w:eastAsia="宋体" w:cs="宋体"/>
          <w:spacing w:val="8"/>
          <w:sz w:val="20"/>
          <w:szCs w:val="20"/>
        </w:rPr>
        <w:t>”第</w:t>
      </w:r>
      <w:r>
        <w:rPr>
          <w:rFonts w:ascii="宋体" w:hAnsi="宋体" w:eastAsia="宋体" w:cs="宋体"/>
          <w:spacing w:val="-35"/>
          <w:sz w:val="20"/>
          <w:szCs w:val="20"/>
        </w:rPr>
        <w:t xml:space="preserve"> </w:t>
      </w:r>
      <w:r>
        <w:rPr>
          <w:rFonts w:ascii="宋体" w:hAnsi="宋体" w:eastAsia="宋体" w:cs="宋体"/>
          <w:spacing w:val="8"/>
          <w:sz w:val="20"/>
          <w:szCs w:val="20"/>
        </w:rPr>
        <w:t>3.5.5</w:t>
      </w:r>
      <w:r>
        <w:rPr>
          <w:rFonts w:ascii="宋体" w:hAnsi="宋体" w:eastAsia="宋体" w:cs="宋体"/>
          <w:spacing w:val="-34"/>
          <w:sz w:val="20"/>
          <w:szCs w:val="20"/>
        </w:rPr>
        <w:t xml:space="preserve"> </w:t>
      </w:r>
      <w:r>
        <w:rPr>
          <w:rFonts w:ascii="宋体" w:hAnsi="宋体" w:eastAsia="宋体" w:cs="宋体"/>
          <w:spacing w:val="7"/>
          <w:sz w:val="20"/>
          <w:szCs w:val="20"/>
        </w:rPr>
        <w:t>项的要求在本表后附相关证明材料。</w:t>
      </w:r>
    </w:p>
    <w:p w14:paraId="49197010">
      <w:pPr>
        <w:spacing w:line="333" w:lineRule="auto"/>
        <w:rPr>
          <w:rFonts w:hint="eastAsia" w:ascii="Arial" w:eastAsia="宋体"/>
          <w:sz w:val="21"/>
          <w:lang w:eastAsia="zh-CN"/>
        </w:rPr>
      </w:pPr>
      <w:r>
        <w:rPr>
          <w:rFonts w:hint="eastAsia" w:ascii="Arial" w:eastAsia="宋体"/>
          <w:sz w:val="21"/>
          <w:lang w:eastAsia="zh-CN"/>
        </w:rPr>
        <w:br w:type="page"/>
      </w:r>
    </w:p>
    <w:p w14:paraId="2FE0E3FF">
      <w:pPr>
        <w:spacing w:line="333" w:lineRule="auto"/>
        <w:rPr>
          <w:rFonts w:ascii="Arial"/>
          <w:sz w:val="21"/>
        </w:rPr>
      </w:pPr>
    </w:p>
    <w:p w14:paraId="56921EB5">
      <w:pPr>
        <w:spacing w:before="78" w:line="233" w:lineRule="auto"/>
        <w:ind w:left="2897"/>
        <w:rPr>
          <w:rFonts w:ascii="宋体" w:hAnsi="宋体" w:eastAsia="宋体" w:cs="宋体"/>
          <w:sz w:val="12"/>
          <w:szCs w:val="12"/>
        </w:rPr>
      </w:pPr>
      <w:r>
        <w:rPr>
          <w:rFonts w:ascii="宋体" w:hAnsi="宋体" w:eastAsia="宋体" w:cs="宋体"/>
          <w:b/>
          <w:bCs/>
          <w:spacing w:val="-3"/>
          <w:sz w:val="24"/>
          <w:szCs w:val="24"/>
        </w:rPr>
        <w:t>表</w:t>
      </w:r>
      <w:r>
        <w:rPr>
          <w:rFonts w:ascii="宋体" w:hAnsi="宋体" w:eastAsia="宋体" w:cs="宋体"/>
          <w:spacing w:val="-40"/>
          <w:sz w:val="24"/>
          <w:szCs w:val="24"/>
        </w:rPr>
        <w:t xml:space="preserve"> </w:t>
      </w:r>
      <w:r>
        <w:rPr>
          <w:rFonts w:ascii="宋体" w:hAnsi="宋体" w:eastAsia="宋体" w:cs="宋体"/>
          <w:b/>
          <w:bCs/>
          <w:spacing w:val="-3"/>
          <w:sz w:val="24"/>
          <w:szCs w:val="24"/>
        </w:rPr>
        <w:t>8-</w:t>
      </w:r>
      <w:r>
        <w:rPr>
          <w:rFonts w:hint="eastAsia" w:ascii="宋体" w:hAnsi="宋体" w:eastAsia="宋体" w:cs="宋体"/>
          <w:b/>
          <w:bCs/>
          <w:spacing w:val="-3"/>
          <w:sz w:val="24"/>
          <w:szCs w:val="24"/>
          <w:lang w:val="en-US" w:eastAsia="zh-CN"/>
        </w:rPr>
        <w:t>6</w:t>
      </w:r>
      <w:r>
        <w:rPr>
          <w:rFonts w:ascii="宋体" w:hAnsi="宋体" w:eastAsia="宋体" w:cs="宋体"/>
          <w:spacing w:val="-3"/>
          <w:sz w:val="24"/>
          <w:szCs w:val="24"/>
        </w:rPr>
        <w:t xml:space="preserve"> </w:t>
      </w:r>
      <w:r>
        <w:rPr>
          <w:rFonts w:ascii="宋体" w:hAnsi="宋体" w:eastAsia="宋体" w:cs="宋体"/>
          <w:b/>
          <w:bCs/>
          <w:spacing w:val="-3"/>
          <w:sz w:val="24"/>
          <w:szCs w:val="24"/>
        </w:rPr>
        <w:t>拟投入本标段的主要设备表</w:t>
      </w:r>
    </w:p>
    <w:p w14:paraId="1EB21686">
      <w:pPr>
        <w:spacing w:before="25"/>
      </w:pPr>
    </w:p>
    <w:tbl>
      <w:tblPr>
        <w:tblStyle w:val="13"/>
        <w:tblW w:w="96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5"/>
        <w:gridCol w:w="1060"/>
        <w:gridCol w:w="743"/>
        <w:gridCol w:w="653"/>
        <w:gridCol w:w="643"/>
        <w:gridCol w:w="940"/>
        <w:gridCol w:w="624"/>
        <w:gridCol w:w="657"/>
        <w:gridCol w:w="629"/>
        <w:gridCol w:w="629"/>
        <w:gridCol w:w="634"/>
        <w:gridCol w:w="1513"/>
      </w:tblGrid>
      <w:tr w14:paraId="1D8C8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965" w:type="dxa"/>
            <w:vMerge w:val="restart"/>
            <w:tcBorders>
              <w:bottom w:val="nil"/>
            </w:tcBorders>
            <w:vAlign w:val="top"/>
          </w:tcPr>
          <w:p w14:paraId="4D650A54">
            <w:pPr>
              <w:spacing w:line="330" w:lineRule="auto"/>
              <w:rPr>
                <w:rFonts w:ascii="Arial"/>
                <w:sz w:val="21"/>
              </w:rPr>
            </w:pPr>
          </w:p>
          <w:p w14:paraId="483820A1">
            <w:pPr>
              <w:spacing w:line="330" w:lineRule="auto"/>
              <w:rPr>
                <w:rFonts w:ascii="Arial"/>
                <w:sz w:val="21"/>
              </w:rPr>
            </w:pPr>
          </w:p>
          <w:p w14:paraId="567BF8AA">
            <w:pPr>
              <w:pStyle w:val="14"/>
              <w:spacing w:before="78" w:line="221" w:lineRule="auto"/>
              <w:ind w:left="247"/>
              <w:rPr>
                <w:sz w:val="24"/>
                <w:szCs w:val="24"/>
              </w:rPr>
            </w:pPr>
            <w:r>
              <w:rPr>
                <w:spacing w:val="-5"/>
                <w:sz w:val="24"/>
                <w:szCs w:val="24"/>
              </w:rPr>
              <w:t>序号</w:t>
            </w:r>
          </w:p>
        </w:tc>
        <w:tc>
          <w:tcPr>
            <w:tcW w:w="1060" w:type="dxa"/>
            <w:vMerge w:val="restart"/>
            <w:tcBorders>
              <w:bottom w:val="nil"/>
            </w:tcBorders>
            <w:vAlign w:val="top"/>
          </w:tcPr>
          <w:p w14:paraId="11824BC8">
            <w:pPr>
              <w:spacing w:line="330" w:lineRule="auto"/>
              <w:rPr>
                <w:rFonts w:ascii="Arial"/>
                <w:sz w:val="21"/>
              </w:rPr>
            </w:pPr>
          </w:p>
          <w:p w14:paraId="22A10CCD">
            <w:pPr>
              <w:spacing w:line="330" w:lineRule="auto"/>
              <w:rPr>
                <w:rFonts w:ascii="Arial"/>
                <w:sz w:val="21"/>
              </w:rPr>
            </w:pPr>
          </w:p>
          <w:p w14:paraId="6AC30086">
            <w:pPr>
              <w:pStyle w:val="14"/>
              <w:spacing w:before="78" w:line="221" w:lineRule="auto"/>
              <w:ind w:left="57"/>
              <w:rPr>
                <w:sz w:val="24"/>
                <w:szCs w:val="24"/>
              </w:rPr>
            </w:pPr>
            <w:r>
              <w:rPr>
                <w:spacing w:val="-4"/>
                <w:sz w:val="24"/>
                <w:szCs w:val="24"/>
              </w:rPr>
              <w:t>设备名称</w:t>
            </w:r>
          </w:p>
        </w:tc>
        <w:tc>
          <w:tcPr>
            <w:tcW w:w="743" w:type="dxa"/>
            <w:vMerge w:val="restart"/>
            <w:tcBorders>
              <w:bottom w:val="nil"/>
            </w:tcBorders>
            <w:vAlign w:val="top"/>
          </w:tcPr>
          <w:p w14:paraId="31718BBE">
            <w:pPr>
              <w:spacing w:line="254" w:lineRule="auto"/>
              <w:rPr>
                <w:rFonts w:ascii="Arial"/>
                <w:sz w:val="21"/>
              </w:rPr>
            </w:pPr>
          </w:p>
          <w:p w14:paraId="06168F75">
            <w:pPr>
              <w:spacing w:line="254" w:lineRule="auto"/>
              <w:rPr>
                <w:rFonts w:ascii="Arial"/>
                <w:sz w:val="21"/>
              </w:rPr>
            </w:pPr>
          </w:p>
          <w:p w14:paraId="018FB575">
            <w:pPr>
              <w:pStyle w:val="14"/>
              <w:spacing w:before="78"/>
              <w:ind w:left="139" w:right="128" w:firstLine="6"/>
              <w:rPr>
                <w:sz w:val="24"/>
                <w:szCs w:val="24"/>
              </w:rPr>
            </w:pPr>
            <w:r>
              <w:rPr>
                <w:spacing w:val="-9"/>
                <w:sz w:val="24"/>
                <w:szCs w:val="24"/>
              </w:rPr>
              <w:t>型号</w:t>
            </w:r>
            <w:r>
              <w:rPr>
                <w:spacing w:val="-6"/>
                <w:sz w:val="24"/>
                <w:szCs w:val="24"/>
              </w:rPr>
              <w:t>规格</w:t>
            </w:r>
          </w:p>
        </w:tc>
        <w:tc>
          <w:tcPr>
            <w:tcW w:w="653" w:type="dxa"/>
            <w:vMerge w:val="restart"/>
            <w:tcBorders>
              <w:bottom w:val="nil"/>
            </w:tcBorders>
            <w:vAlign w:val="top"/>
          </w:tcPr>
          <w:p w14:paraId="2C30561E">
            <w:pPr>
              <w:spacing w:line="254" w:lineRule="auto"/>
              <w:rPr>
                <w:rFonts w:ascii="Arial"/>
                <w:sz w:val="21"/>
              </w:rPr>
            </w:pPr>
          </w:p>
          <w:p w14:paraId="4EA40078">
            <w:pPr>
              <w:spacing w:line="254" w:lineRule="auto"/>
              <w:rPr>
                <w:rFonts w:ascii="Arial"/>
                <w:sz w:val="21"/>
              </w:rPr>
            </w:pPr>
          </w:p>
          <w:p w14:paraId="77757755">
            <w:pPr>
              <w:pStyle w:val="14"/>
              <w:spacing w:before="78"/>
              <w:ind w:left="94" w:right="83" w:firstLine="23"/>
              <w:rPr>
                <w:sz w:val="24"/>
                <w:szCs w:val="24"/>
              </w:rPr>
            </w:pPr>
            <w:r>
              <w:rPr>
                <w:spacing w:val="-17"/>
                <w:sz w:val="24"/>
                <w:szCs w:val="24"/>
              </w:rPr>
              <w:t>国别</w:t>
            </w:r>
            <w:r>
              <w:rPr>
                <w:spacing w:val="-5"/>
                <w:sz w:val="24"/>
                <w:szCs w:val="24"/>
              </w:rPr>
              <w:t>产地</w:t>
            </w:r>
          </w:p>
        </w:tc>
        <w:tc>
          <w:tcPr>
            <w:tcW w:w="643" w:type="dxa"/>
            <w:vMerge w:val="restart"/>
            <w:tcBorders>
              <w:bottom w:val="nil"/>
            </w:tcBorders>
            <w:vAlign w:val="top"/>
          </w:tcPr>
          <w:p w14:paraId="3F1E82D5">
            <w:pPr>
              <w:spacing w:line="254" w:lineRule="auto"/>
              <w:rPr>
                <w:rFonts w:ascii="Arial"/>
                <w:sz w:val="21"/>
              </w:rPr>
            </w:pPr>
          </w:p>
          <w:p w14:paraId="5684DC53">
            <w:pPr>
              <w:spacing w:line="254" w:lineRule="auto"/>
              <w:rPr>
                <w:rFonts w:ascii="Arial"/>
                <w:sz w:val="21"/>
              </w:rPr>
            </w:pPr>
          </w:p>
          <w:p w14:paraId="658F3B55">
            <w:pPr>
              <w:pStyle w:val="14"/>
              <w:spacing w:before="78"/>
              <w:ind w:left="90" w:right="78"/>
              <w:rPr>
                <w:sz w:val="24"/>
                <w:szCs w:val="24"/>
              </w:rPr>
            </w:pPr>
            <w:r>
              <w:rPr>
                <w:spacing w:val="-6"/>
                <w:sz w:val="24"/>
                <w:szCs w:val="24"/>
              </w:rPr>
              <w:t>制造年份</w:t>
            </w:r>
          </w:p>
        </w:tc>
        <w:tc>
          <w:tcPr>
            <w:tcW w:w="940" w:type="dxa"/>
            <w:vMerge w:val="restart"/>
            <w:tcBorders>
              <w:bottom w:val="nil"/>
            </w:tcBorders>
            <w:vAlign w:val="top"/>
          </w:tcPr>
          <w:p w14:paraId="0ED2EA12">
            <w:pPr>
              <w:spacing w:line="254" w:lineRule="auto"/>
              <w:rPr>
                <w:rFonts w:ascii="Arial"/>
                <w:sz w:val="21"/>
              </w:rPr>
            </w:pPr>
          </w:p>
          <w:p w14:paraId="7AF8B365">
            <w:pPr>
              <w:spacing w:line="254" w:lineRule="auto"/>
              <w:rPr>
                <w:rFonts w:ascii="Arial"/>
                <w:sz w:val="21"/>
              </w:rPr>
            </w:pPr>
          </w:p>
          <w:p w14:paraId="58B8948D">
            <w:pPr>
              <w:pStyle w:val="14"/>
              <w:spacing w:before="78"/>
              <w:ind w:left="119" w:right="106" w:hanging="1"/>
              <w:rPr>
                <w:sz w:val="24"/>
                <w:szCs w:val="24"/>
              </w:rPr>
            </w:pPr>
            <w:r>
              <w:rPr>
                <w:spacing w:val="-4"/>
                <w:sz w:val="24"/>
                <w:szCs w:val="24"/>
              </w:rPr>
              <w:t>额定功</w:t>
            </w:r>
            <w:r>
              <w:rPr>
                <w:spacing w:val="-13"/>
                <w:sz w:val="24"/>
                <w:szCs w:val="24"/>
              </w:rPr>
              <w:t>率</w:t>
            </w:r>
            <w:r>
              <w:rPr>
                <w:spacing w:val="-68"/>
                <w:sz w:val="24"/>
                <w:szCs w:val="24"/>
              </w:rPr>
              <w:t xml:space="preserve"> </w:t>
            </w:r>
            <w:r>
              <w:rPr>
                <w:spacing w:val="-13"/>
                <w:sz w:val="24"/>
                <w:szCs w:val="24"/>
              </w:rPr>
              <w:t>(kW)</w:t>
            </w:r>
          </w:p>
        </w:tc>
        <w:tc>
          <w:tcPr>
            <w:tcW w:w="624" w:type="dxa"/>
            <w:vMerge w:val="restart"/>
            <w:tcBorders>
              <w:bottom w:val="nil"/>
            </w:tcBorders>
            <w:vAlign w:val="top"/>
          </w:tcPr>
          <w:p w14:paraId="5003A900">
            <w:pPr>
              <w:spacing w:line="254" w:lineRule="auto"/>
              <w:rPr>
                <w:rFonts w:ascii="Arial"/>
                <w:sz w:val="21"/>
              </w:rPr>
            </w:pPr>
          </w:p>
          <w:p w14:paraId="7CAB03BE">
            <w:pPr>
              <w:spacing w:line="254" w:lineRule="auto"/>
              <w:rPr>
                <w:rFonts w:ascii="Arial"/>
                <w:sz w:val="21"/>
              </w:rPr>
            </w:pPr>
          </w:p>
          <w:p w14:paraId="7BBE53F7">
            <w:pPr>
              <w:pStyle w:val="14"/>
              <w:spacing w:before="78"/>
              <w:ind w:left="89" w:right="67" w:hanging="7"/>
              <w:rPr>
                <w:sz w:val="24"/>
                <w:szCs w:val="24"/>
              </w:rPr>
            </w:pPr>
            <w:r>
              <w:rPr>
                <w:spacing w:val="-6"/>
                <w:sz w:val="24"/>
                <w:szCs w:val="24"/>
              </w:rPr>
              <w:t>生产</w:t>
            </w:r>
            <w:r>
              <w:rPr>
                <w:spacing w:val="-10"/>
                <w:sz w:val="24"/>
                <w:szCs w:val="24"/>
              </w:rPr>
              <w:t>能力</w:t>
            </w:r>
          </w:p>
        </w:tc>
        <w:tc>
          <w:tcPr>
            <w:tcW w:w="2549" w:type="dxa"/>
            <w:gridSpan w:val="4"/>
            <w:vAlign w:val="top"/>
          </w:tcPr>
          <w:p w14:paraId="64846D83">
            <w:pPr>
              <w:pStyle w:val="14"/>
              <w:spacing w:before="167" w:line="219" w:lineRule="auto"/>
              <w:ind w:left="684"/>
              <w:rPr>
                <w:sz w:val="24"/>
                <w:szCs w:val="24"/>
              </w:rPr>
            </w:pPr>
            <w:r>
              <w:rPr>
                <w:spacing w:val="-3"/>
                <w:sz w:val="24"/>
                <w:szCs w:val="24"/>
              </w:rPr>
              <w:t>数量（台）</w:t>
            </w:r>
          </w:p>
        </w:tc>
        <w:tc>
          <w:tcPr>
            <w:tcW w:w="1513" w:type="dxa"/>
            <w:vMerge w:val="restart"/>
            <w:tcBorders>
              <w:bottom w:val="nil"/>
            </w:tcBorders>
            <w:vAlign w:val="top"/>
          </w:tcPr>
          <w:p w14:paraId="3549DD80">
            <w:pPr>
              <w:spacing w:line="253" w:lineRule="auto"/>
              <w:rPr>
                <w:rFonts w:ascii="Arial"/>
                <w:sz w:val="21"/>
              </w:rPr>
            </w:pPr>
          </w:p>
          <w:p w14:paraId="50323E23">
            <w:pPr>
              <w:spacing w:line="253" w:lineRule="auto"/>
              <w:rPr>
                <w:rFonts w:ascii="Arial"/>
                <w:sz w:val="21"/>
              </w:rPr>
            </w:pPr>
          </w:p>
          <w:p w14:paraId="571DA773">
            <w:pPr>
              <w:pStyle w:val="14"/>
              <w:spacing w:before="78" w:line="241" w:lineRule="auto"/>
              <w:ind w:left="400" w:right="395" w:firstLine="2"/>
              <w:rPr>
                <w:sz w:val="24"/>
                <w:szCs w:val="24"/>
              </w:rPr>
            </w:pPr>
            <w:r>
              <w:rPr>
                <w:spacing w:val="-4"/>
                <w:sz w:val="24"/>
                <w:szCs w:val="24"/>
              </w:rPr>
              <w:t>预计进</w:t>
            </w:r>
            <w:r>
              <w:rPr>
                <w:spacing w:val="-3"/>
                <w:sz w:val="24"/>
                <w:szCs w:val="24"/>
              </w:rPr>
              <w:t>场时间</w:t>
            </w:r>
          </w:p>
        </w:tc>
      </w:tr>
      <w:tr w14:paraId="11653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65" w:type="dxa"/>
            <w:vMerge w:val="continue"/>
            <w:tcBorders>
              <w:top w:val="nil"/>
              <w:bottom w:val="nil"/>
            </w:tcBorders>
            <w:vAlign w:val="top"/>
          </w:tcPr>
          <w:p w14:paraId="3F166D2A">
            <w:pPr>
              <w:rPr>
                <w:rFonts w:ascii="Arial"/>
                <w:sz w:val="21"/>
              </w:rPr>
            </w:pPr>
          </w:p>
        </w:tc>
        <w:tc>
          <w:tcPr>
            <w:tcW w:w="1060" w:type="dxa"/>
            <w:vMerge w:val="continue"/>
            <w:tcBorders>
              <w:top w:val="nil"/>
              <w:bottom w:val="nil"/>
            </w:tcBorders>
            <w:vAlign w:val="top"/>
          </w:tcPr>
          <w:p w14:paraId="64D542F1">
            <w:pPr>
              <w:rPr>
                <w:rFonts w:ascii="Arial"/>
                <w:sz w:val="21"/>
              </w:rPr>
            </w:pPr>
          </w:p>
        </w:tc>
        <w:tc>
          <w:tcPr>
            <w:tcW w:w="743" w:type="dxa"/>
            <w:vMerge w:val="continue"/>
            <w:tcBorders>
              <w:top w:val="nil"/>
              <w:bottom w:val="nil"/>
            </w:tcBorders>
            <w:vAlign w:val="top"/>
          </w:tcPr>
          <w:p w14:paraId="15D99861">
            <w:pPr>
              <w:rPr>
                <w:rFonts w:ascii="Arial"/>
                <w:sz w:val="21"/>
              </w:rPr>
            </w:pPr>
          </w:p>
        </w:tc>
        <w:tc>
          <w:tcPr>
            <w:tcW w:w="653" w:type="dxa"/>
            <w:vMerge w:val="continue"/>
            <w:tcBorders>
              <w:top w:val="nil"/>
              <w:bottom w:val="nil"/>
            </w:tcBorders>
            <w:vAlign w:val="top"/>
          </w:tcPr>
          <w:p w14:paraId="2C7B911A">
            <w:pPr>
              <w:rPr>
                <w:rFonts w:ascii="Arial"/>
                <w:sz w:val="21"/>
              </w:rPr>
            </w:pPr>
          </w:p>
        </w:tc>
        <w:tc>
          <w:tcPr>
            <w:tcW w:w="643" w:type="dxa"/>
            <w:vMerge w:val="continue"/>
            <w:tcBorders>
              <w:top w:val="nil"/>
              <w:bottom w:val="nil"/>
            </w:tcBorders>
            <w:vAlign w:val="top"/>
          </w:tcPr>
          <w:p w14:paraId="78860A98">
            <w:pPr>
              <w:rPr>
                <w:rFonts w:ascii="Arial"/>
                <w:sz w:val="21"/>
              </w:rPr>
            </w:pPr>
          </w:p>
        </w:tc>
        <w:tc>
          <w:tcPr>
            <w:tcW w:w="940" w:type="dxa"/>
            <w:vMerge w:val="continue"/>
            <w:tcBorders>
              <w:top w:val="nil"/>
              <w:bottom w:val="nil"/>
            </w:tcBorders>
            <w:vAlign w:val="top"/>
          </w:tcPr>
          <w:p w14:paraId="58C77622">
            <w:pPr>
              <w:rPr>
                <w:rFonts w:ascii="Arial"/>
                <w:sz w:val="21"/>
              </w:rPr>
            </w:pPr>
          </w:p>
        </w:tc>
        <w:tc>
          <w:tcPr>
            <w:tcW w:w="624" w:type="dxa"/>
            <w:vMerge w:val="continue"/>
            <w:tcBorders>
              <w:top w:val="nil"/>
              <w:bottom w:val="nil"/>
            </w:tcBorders>
            <w:vAlign w:val="top"/>
          </w:tcPr>
          <w:p w14:paraId="232E51B1">
            <w:pPr>
              <w:rPr>
                <w:rFonts w:ascii="Arial"/>
                <w:sz w:val="21"/>
              </w:rPr>
            </w:pPr>
          </w:p>
        </w:tc>
        <w:tc>
          <w:tcPr>
            <w:tcW w:w="657" w:type="dxa"/>
            <w:vMerge w:val="restart"/>
            <w:tcBorders>
              <w:bottom w:val="nil"/>
            </w:tcBorders>
            <w:vAlign w:val="top"/>
          </w:tcPr>
          <w:p w14:paraId="35FFC20F">
            <w:pPr>
              <w:spacing w:line="371" w:lineRule="auto"/>
              <w:rPr>
                <w:rFonts w:ascii="Arial"/>
                <w:sz w:val="21"/>
              </w:rPr>
            </w:pPr>
          </w:p>
          <w:p w14:paraId="22BB33D2">
            <w:pPr>
              <w:pStyle w:val="14"/>
              <w:spacing w:before="78" w:line="221" w:lineRule="auto"/>
              <w:ind w:left="103"/>
              <w:rPr>
                <w:sz w:val="24"/>
                <w:szCs w:val="24"/>
              </w:rPr>
            </w:pPr>
            <w:r>
              <w:rPr>
                <w:spacing w:val="-8"/>
                <w:sz w:val="24"/>
                <w:szCs w:val="24"/>
              </w:rPr>
              <w:t>小计</w:t>
            </w:r>
          </w:p>
        </w:tc>
        <w:tc>
          <w:tcPr>
            <w:tcW w:w="1892" w:type="dxa"/>
            <w:gridSpan w:val="3"/>
            <w:vAlign w:val="top"/>
          </w:tcPr>
          <w:p w14:paraId="7B3CB995">
            <w:pPr>
              <w:pStyle w:val="14"/>
              <w:spacing w:before="161" w:line="220" w:lineRule="auto"/>
              <w:ind w:left="715"/>
              <w:rPr>
                <w:sz w:val="24"/>
                <w:szCs w:val="24"/>
              </w:rPr>
            </w:pPr>
            <w:r>
              <w:rPr>
                <w:spacing w:val="-6"/>
                <w:sz w:val="24"/>
                <w:szCs w:val="24"/>
              </w:rPr>
              <w:t>其中</w:t>
            </w:r>
          </w:p>
        </w:tc>
        <w:tc>
          <w:tcPr>
            <w:tcW w:w="1513" w:type="dxa"/>
            <w:vMerge w:val="continue"/>
            <w:tcBorders>
              <w:top w:val="nil"/>
              <w:bottom w:val="nil"/>
            </w:tcBorders>
            <w:vAlign w:val="top"/>
          </w:tcPr>
          <w:p w14:paraId="16DFA1DB">
            <w:pPr>
              <w:rPr>
                <w:rFonts w:ascii="Arial"/>
                <w:sz w:val="21"/>
              </w:rPr>
            </w:pPr>
          </w:p>
        </w:tc>
      </w:tr>
      <w:tr w14:paraId="18DC8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65" w:type="dxa"/>
            <w:vMerge w:val="continue"/>
            <w:tcBorders>
              <w:top w:val="nil"/>
            </w:tcBorders>
            <w:vAlign w:val="top"/>
          </w:tcPr>
          <w:p w14:paraId="58954B6E">
            <w:pPr>
              <w:rPr>
                <w:rFonts w:ascii="Arial"/>
                <w:sz w:val="21"/>
              </w:rPr>
            </w:pPr>
          </w:p>
        </w:tc>
        <w:tc>
          <w:tcPr>
            <w:tcW w:w="1060" w:type="dxa"/>
            <w:vMerge w:val="continue"/>
            <w:tcBorders>
              <w:top w:val="nil"/>
            </w:tcBorders>
            <w:vAlign w:val="top"/>
          </w:tcPr>
          <w:p w14:paraId="6D3FAED2">
            <w:pPr>
              <w:rPr>
                <w:rFonts w:ascii="Arial"/>
                <w:sz w:val="21"/>
              </w:rPr>
            </w:pPr>
          </w:p>
        </w:tc>
        <w:tc>
          <w:tcPr>
            <w:tcW w:w="743" w:type="dxa"/>
            <w:vMerge w:val="continue"/>
            <w:tcBorders>
              <w:top w:val="nil"/>
            </w:tcBorders>
            <w:vAlign w:val="top"/>
          </w:tcPr>
          <w:p w14:paraId="3DF5819F">
            <w:pPr>
              <w:rPr>
                <w:rFonts w:ascii="Arial"/>
                <w:sz w:val="21"/>
              </w:rPr>
            </w:pPr>
          </w:p>
        </w:tc>
        <w:tc>
          <w:tcPr>
            <w:tcW w:w="653" w:type="dxa"/>
            <w:vMerge w:val="continue"/>
            <w:tcBorders>
              <w:top w:val="nil"/>
            </w:tcBorders>
            <w:vAlign w:val="top"/>
          </w:tcPr>
          <w:p w14:paraId="571A1F72">
            <w:pPr>
              <w:rPr>
                <w:rFonts w:ascii="Arial"/>
                <w:sz w:val="21"/>
              </w:rPr>
            </w:pPr>
          </w:p>
        </w:tc>
        <w:tc>
          <w:tcPr>
            <w:tcW w:w="643" w:type="dxa"/>
            <w:vMerge w:val="continue"/>
            <w:tcBorders>
              <w:top w:val="nil"/>
            </w:tcBorders>
            <w:vAlign w:val="top"/>
          </w:tcPr>
          <w:p w14:paraId="6EFF56B1">
            <w:pPr>
              <w:rPr>
                <w:rFonts w:ascii="Arial"/>
                <w:sz w:val="21"/>
              </w:rPr>
            </w:pPr>
          </w:p>
        </w:tc>
        <w:tc>
          <w:tcPr>
            <w:tcW w:w="940" w:type="dxa"/>
            <w:vMerge w:val="continue"/>
            <w:tcBorders>
              <w:top w:val="nil"/>
            </w:tcBorders>
            <w:vAlign w:val="top"/>
          </w:tcPr>
          <w:p w14:paraId="59458401">
            <w:pPr>
              <w:rPr>
                <w:rFonts w:ascii="Arial"/>
                <w:sz w:val="21"/>
              </w:rPr>
            </w:pPr>
          </w:p>
        </w:tc>
        <w:tc>
          <w:tcPr>
            <w:tcW w:w="624" w:type="dxa"/>
            <w:vMerge w:val="continue"/>
            <w:tcBorders>
              <w:top w:val="nil"/>
            </w:tcBorders>
            <w:vAlign w:val="top"/>
          </w:tcPr>
          <w:p w14:paraId="377860A8">
            <w:pPr>
              <w:rPr>
                <w:rFonts w:ascii="Arial"/>
                <w:sz w:val="21"/>
              </w:rPr>
            </w:pPr>
          </w:p>
        </w:tc>
        <w:tc>
          <w:tcPr>
            <w:tcW w:w="657" w:type="dxa"/>
            <w:vMerge w:val="continue"/>
            <w:tcBorders>
              <w:top w:val="nil"/>
            </w:tcBorders>
            <w:vAlign w:val="top"/>
          </w:tcPr>
          <w:p w14:paraId="7BCF3DE0">
            <w:pPr>
              <w:rPr>
                <w:rFonts w:ascii="Arial"/>
                <w:sz w:val="21"/>
              </w:rPr>
            </w:pPr>
          </w:p>
        </w:tc>
        <w:tc>
          <w:tcPr>
            <w:tcW w:w="629" w:type="dxa"/>
            <w:vAlign w:val="top"/>
          </w:tcPr>
          <w:p w14:paraId="072BF74A">
            <w:pPr>
              <w:pStyle w:val="14"/>
              <w:spacing w:before="164" w:line="220" w:lineRule="auto"/>
              <w:ind w:left="122"/>
              <w:rPr>
                <w:sz w:val="24"/>
                <w:szCs w:val="24"/>
              </w:rPr>
            </w:pPr>
            <w:r>
              <w:rPr>
                <w:spacing w:val="-25"/>
                <w:sz w:val="24"/>
                <w:szCs w:val="24"/>
              </w:rPr>
              <w:t>自有</w:t>
            </w:r>
          </w:p>
        </w:tc>
        <w:tc>
          <w:tcPr>
            <w:tcW w:w="629" w:type="dxa"/>
            <w:vAlign w:val="top"/>
          </w:tcPr>
          <w:p w14:paraId="74771D2E">
            <w:pPr>
              <w:pStyle w:val="14"/>
              <w:spacing w:before="164" w:line="220" w:lineRule="auto"/>
              <w:ind w:left="84"/>
              <w:rPr>
                <w:sz w:val="24"/>
                <w:szCs w:val="24"/>
              </w:rPr>
            </w:pPr>
            <w:r>
              <w:rPr>
                <w:spacing w:val="-6"/>
                <w:sz w:val="24"/>
                <w:szCs w:val="24"/>
              </w:rPr>
              <w:t>新购</w:t>
            </w:r>
          </w:p>
        </w:tc>
        <w:tc>
          <w:tcPr>
            <w:tcW w:w="634" w:type="dxa"/>
            <w:vAlign w:val="top"/>
          </w:tcPr>
          <w:p w14:paraId="386EAA2A">
            <w:pPr>
              <w:pStyle w:val="14"/>
              <w:spacing w:before="164" w:line="220" w:lineRule="auto"/>
              <w:ind w:left="87"/>
              <w:rPr>
                <w:sz w:val="24"/>
                <w:szCs w:val="24"/>
              </w:rPr>
            </w:pPr>
            <w:r>
              <w:rPr>
                <w:spacing w:val="-6"/>
                <w:sz w:val="24"/>
                <w:szCs w:val="24"/>
              </w:rPr>
              <w:t>租赁</w:t>
            </w:r>
          </w:p>
        </w:tc>
        <w:tc>
          <w:tcPr>
            <w:tcW w:w="1513" w:type="dxa"/>
            <w:vMerge w:val="continue"/>
            <w:tcBorders>
              <w:top w:val="nil"/>
            </w:tcBorders>
            <w:vAlign w:val="top"/>
          </w:tcPr>
          <w:p w14:paraId="77434342">
            <w:pPr>
              <w:rPr>
                <w:rFonts w:ascii="Arial"/>
                <w:sz w:val="21"/>
              </w:rPr>
            </w:pPr>
          </w:p>
        </w:tc>
      </w:tr>
      <w:tr w14:paraId="606AC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65" w:type="dxa"/>
            <w:vAlign w:val="top"/>
          </w:tcPr>
          <w:p w14:paraId="5E5AEBBD">
            <w:pPr>
              <w:rPr>
                <w:rFonts w:ascii="Arial"/>
                <w:sz w:val="21"/>
              </w:rPr>
            </w:pPr>
          </w:p>
        </w:tc>
        <w:tc>
          <w:tcPr>
            <w:tcW w:w="1060" w:type="dxa"/>
            <w:vAlign w:val="top"/>
          </w:tcPr>
          <w:p w14:paraId="24C6F618">
            <w:pPr>
              <w:rPr>
                <w:rFonts w:ascii="Arial"/>
                <w:sz w:val="21"/>
              </w:rPr>
            </w:pPr>
          </w:p>
        </w:tc>
        <w:tc>
          <w:tcPr>
            <w:tcW w:w="743" w:type="dxa"/>
            <w:vAlign w:val="top"/>
          </w:tcPr>
          <w:p w14:paraId="30E0379D">
            <w:pPr>
              <w:rPr>
                <w:rFonts w:ascii="Arial"/>
                <w:sz w:val="21"/>
              </w:rPr>
            </w:pPr>
          </w:p>
        </w:tc>
        <w:tc>
          <w:tcPr>
            <w:tcW w:w="653" w:type="dxa"/>
            <w:vAlign w:val="top"/>
          </w:tcPr>
          <w:p w14:paraId="57658CE4">
            <w:pPr>
              <w:rPr>
                <w:rFonts w:ascii="Arial"/>
                <w:sz w:val="21"/>
              </w:rPr>
            </w:pPr>
          </w:p>
        </w:tc>
        <w:tc>
          <w:tcPr>
            <w:tcW w:w="643" w:type="dxa"/>
            <w:vAlign w:val="top"/>
          </w:tcPr>
          <w:p w14:paraId="4A579F70">
            <w:pPr>
              <w:rPr>
                <w:rFonts w:ascii="Arial"/>
                <w:sz w:val="21"/>
              </w:rPr>
            </w:pPr>
          </w:p>
        </w:tc>
        <w:tc>
          <w:tcPr>
            <w:tcW w:w="940" w:type="dxa"/>
            <w:vAlign w:val="top"/>
          </w:tcPr>
          <w:p w14:paraId="5AECB548">
            <w:pPr>
              <w:rPr>
                <w:rFonts w:ascii="Arial"/>
                <w:sz w:val="21"/>
              </w:rPr>
            </w:pPr>
          </w:p>
        </w:tc>
        <w:tc>
          <w:tcPr>
            <w:tcW w:w="624" w:type="dxa"/>
            <w:vAlign w:val="top"/>
          </w:tcPr>
          <w:p w14:paraId="3E6F24B0">
            <w:pPr>
              <w:rPr>
                <w:rFonts w:ascii="Arial"/>
                <w:sz w:val="21"/>
              </w:rPr>
            </w:pPr>
          </w:p>
        </w:tc>
        <w:tc>
          <w:tcPr>
            <w:tcW w:w="657" w:type="dxa"/>
            <w:vAlign w:val="top"/>
          </w:tcPr>
          <w:p w14:paraId="76A03DAB">
            <w:pPr>
              <w:rPr>
                <w:rFonts w:ascii="Arial"/>
                <w:sz w:val="21"/>
              </w:rPr>
            </w:pPr>
          </w:p>
        </w:tc>
        <w:tc>
          <w:tcPr>
            <w:tcW w:w="629" w:type="dxa"/>
            <w:vAlign w:val="top"/>
          </w:tcPr>
          <w:p w14:paraId="0D327063">
            <w:pPr>
              <w:rPr>
                <w:rFonts w:ascii="Arial"/>
                <w:sz w:val="21"/>
              </w:rPr>
            </w:pPr>
          </w:p>
        </w:tc>
        <w:tc>
          <w:tcPr>
            <w:tcW w:w="629" w:type="dxa"/>
            <w:vAlign w:val="top"/>
          </w:tcPr>
          <w:p w14:paraId="76D43DF4">
            <w:pPr>
              <w:rPr>
                <w:rFonts w:ascii="Arial"/>
                <w:sz w:val="21"/>
              </w:rPr>
            </w:pPr>
          </w:p>
        </w:tc>
        <w:tc>
          <w:tcPr>
            <w:tcW w:w="634" w:type="dxa"/>
            <w:vAlign w:val="top"/>
          </w:tcPr>
          <w:p w14:paraId="1A432FA5">
            <w:pPr>
              <w:rPr>
                <w:rFonts w:ascii="Arial"/>
                <w:sz w:val="21"/>
              </w:rPr>
            </w:pPr>
          </w:p>
        </w:tc>
        <w:tc>
          <w:tcPr>
            <w:tcW w:w="1513" w:type="dxa"/>
            <w:vAlign w:val="top"/>
          </w:tcPr>
          <w:p w14:paraId="44C28F31">
            <w:pPr>
              <w:rPr>
                <w:rFonts w:ascii="Arial"/>
                <w:sz w:val="21"/>
              </w:rPr>
            </w:pPr>
          </w:p>
        </w:tc>
      </w:tr>
      <w:tr w14:paraId="128A5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65" w:type="dxa"/>
            <w:vAlign w:val="top"/>
          </w:tcPr>
          <w:p w14:paraId="7108C2B8">
            <w:pPr>
              <w:rPr>
                <w:rFonts w:ascii="Arial"/>
                <w:sz w:val="21"/>
              </w:rPr>
            </w:pPr>
          </w:p>
        </w:tc>
        <w:tc>
          <w:tcPr>
            <w:tcW w:w="1060" w:type="dxa"/>
            <w:vAlign w:val="top"/>
          </w:tcPr>
          <w:p w14:paraId="362A810B">
            <w:pPr>
              <w:rPr>
                <w:rFonts w:ascii="Arial"/>
                <w:sz w:val="21"/>
              </w:rPr>
            </w:pPr>
          </w:p>
        </w:tc>
        <w:tc>
          <w:tcPr>
            <w:tcW w:w="743" w:type="dxa"/>
            <w:vAlign w:val="top"/>
          </w:tcPr>
          <w:p w14:paraId="1B6553CE">
            <w:pPr>
              <w:rPr>
                <w:rFonts w:ascii="Arial"/>
                <w:sz w:val="21"/>
              </w:rPr>
            </w:pPr>
          </w:p>
        </w:tc>
        <w:tc>
          <w:tcPr>
            <w:tcW w:w="653" w:type="dxa"/>
            <w:vAlign w:val="top"/>
          </w:tcPr>
          <w:p w14:paraId="43781314">
            <w:pPr>
              <w:rPr>
                <w:rFonts w:ascii="Arial"/>
                <w:sz w:val="21"/>
              </w:rPr>
            </w:pPr>
          </w:p>
        </w:tc>
        <w:tc>
          <w:tcPr>
            <w:tcW w:w="643" w:type="dxa"/>
            <w:vAlign w:val="top"/>
          </w:tcPr>
          <w:p w14:paraId="13680A4F">
            <w:pPr>
              <w:rPr>
                <w:rFonts w:ascii="Arial"/>
                <w:sz w:val="21"/>
              </w:rPr>
            </w:pPr>
          </w:p>
        </w:tc>
        <w:tc>
          <w:tcPr>
            <w:tcW w:w="940" w:type="dxa"/>
            <w:vAlign w:val="top"/>
          </w:tcPr>
          <w:p w14:paraId="7FFC0779">
            <w:pPr>
              <w:rPr>
                <w:rFonts w:ascii="Arial"/>
                <w:sz w:val="21"/>
              </w:rPr>
            </w:pPr>
          </w:p>
        </w:tc>
        <w:tc>
          <w:tcPr>
            <w:tcW w:w="624" w:type="dxa"/>
            <w:vAlign w:val="top"/>
          </w:tcPr>
          <w:p w14:paraId="570E7C4E">
            <w:pPr>
              <w:rPr>
                <w:rFonts w:ascii="Arial"/>
                <w:sz w:val="21"/>
              </w:rPr>
            </w:pPr>
          </w:p>
        </w:tc>
        <w:tc>
          <w:tcPr>
            <w:tcW w:w="657" w:type="dxa"/>
            <w:vAlign w:val="top"/>
          </w:tcPr>
          <w:p w14:paraId="71B61918">
            <w:pPr>
              <w:rPr>
                <w:rFonts w:ascii="Arial"/>
                <w:sz w:val="21"/>
              </w:rPr>
            </w:pPr>
          </w:p>
        </w:tc>
        <w:tc>
          <w:tcPr>
            <w:tcW w:w="629" w:type="dxa"/>
            <w:vAlign w:val="top"/>
          </w:tcPr>
          <w:p w14:paraId="75AC834A">
            <w:pPr>
              <w:rPr>
                <w:rFonts w:ascii="Arial"/>
                <w:sz w:val="21"/>
              </w:rPr>
            </w:pPr>
          </w:p>
        </w:tc>
        <w:tc>
          <w:tcPr>
            <w:tcW w:w="629" w:type="dxa"/>
            <w:vAlign w:val="top"/>
          </w:tcPr>
          <w:p w14:paraId="3A4803C4">
            <w:pPr>
              <w:rPr>
                <w:rFonts w:ascii="Arial"/>
                <w:sz w:val="21"/>
              </w:rPr>
            </w:pPr>
          </w:p>
        </w:tc>
        <w:tc>
          <w:tcPr>
            <w:tcW w:w="634" w:type="dxa"/>
            <w:vAlign w:val="top"/>
          </w:tcPr>
          <w:p w14:paraId="6E28B329">
            <w:pPr>
              <w:rPr>
                <w:rFonts w:ascii="Arial"/>
                <w:sz w:val="21"/>
              </w:rPr>
            </w:pPr>
          </w:p>
        </w:tc>
        <w:tc>
          <w:tcPr>
            <w:tcW w:w="1513" w:type="dxa"/>
            <w:vAlign w:val="top"/>
          </w:tcPr>
          <w:p w14:paraId="053B6C59">
            <w:pPr>
              <w:rPr>
                <w:rFonts w:ascii="Arial"/>
                <w:sz w:val="21"/>
              </w:rPr>
            </w:pPr>
          </w:p>
        </w:tc>
      </w:tr>
      <w:tr w14:paraId="22126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65" w:type="dxa"/>
            <w:vAlign w:val="top"/>
          </w:tcPr>
          <w:p w14:paraId="3938BE42">
            <w:pPr>
              <w:rPr>
                <w:rFonts w:ascii="Arial"/>
                <w:sz w:val="21"/>
              </w:rPr>
            </w:pPr>
          </w:p>
        </w:tc>
        <w:tc>
          <w:tcPr>
            <w:tcW w:w="1060" w:type="dxa"/>
            <w:vAlign w:val="top"/>
          </w:tcPr>
          <w:p w14:paraId="6E00578C">
            <w:pPr>
              <w:rPr>
                <w:rFonts w:ascii="Arial"/>
                <w:sz w:val="21"/>
              </w:rPr>
            </w:pPr>
          </w:p>
        </w:tc>
        <w:tc>
          <w:tcPr>
            <w:tcW w:w="743" w:type="dxa"/>
            <w:vAlign w:val="top"/>
          </w:tcPr>
          <w:p w14:paraId="43F556C3">
            <w:pPr>
              <w:rPr>
                <w:rFonts w:ascii="Arial"/>
                <w:sz w:val="21"/>
              </w:rPr>
            </w:pPr>
          </w:p>
        </w:tc>
        <w:tc>
          <w:tcPr>
            <w:tcW w:w="653" w:type="dxa"/>
            <w:vAlign w:val="top"/>
          </w:tcPr>
          <w:p w14:paraId="66C84B0B">
            <w:pPr>
              <w:rPr>
                <w:rFonts w:ascii="Arial"/>
                <w:sz w:val="21"/>
              </w:rPr>
            </w:pPr>
          </w:p>
        </w:tc>
        <w:tc>
          <w:tcPr>
            <w:tcW w:w="643" w:type="dxa"/>
            <w:vAlign w:val="top"/>
          </w:tcPr>
          <w:p w14:paraId="2D5DD932">
            <w:pPr>
              <w:rPr>
                <w:rFonts w:ascii="Arial"/>
                <w:sz w:val="21"/>
              </w:rPr>
            </w:pPr>
          </w:p>
        </w:tc>
        <w:tc>
          <w:tcPr>
            <w:tcW w:w="940" w:type="dxa"/>
            <w:vAlign w:val="top"/>
          </w:tcPr>
          <w:p w14:paraId="59A62C67">
            <w:pPr>
              <w:rPr>
                <w:rFonts w:ascii="Arial"/>
                <w:sz w:val="21"/>
              </w:rPr>
            </w:pPr>
          </w:p>
        </w:tc>
        <w:tc>
          <w:tcPr>
            <w:tcW w:w="624" w:type="dxa"/>
            <w:vAlign w:val="top"/>
          </w:tcPr>
          <w:p w14:paraId="18B28B4A">
            <w:pPr>
              <w:rPr>
                <w:rFonts w:ascii="Arial"/>
                <w:sz w:val="21"/>
              </w:rPr>
            </w:pPr>
          </w:p>
        </w:tc>
        <w:tc>
          <w:tcPr>
            <w:tcW w:w="657" w:type="dxa"/>
            <w:vAlign w:val="top"/>
          </w:tcPr>
          <w:p w14:paraId="172639AE">
            <w:pPr>
              <w:rPr>
                <w:rFonts w:ascii="Arial"/>
                <w:sz w:val="21"/>
              </w:rPr>
            </w:pPr>
          </w:p>
        </w:tc>
        <w:tc>
          <w:tcPr>
            <w:tcW w:w="629" w:type="dxa"/>
            <w:vAlign w:val="top"/>
          </w:tcPr>
          <w:p w14:paraId="600536B2">
            <w:pPr>
              <w:rPr>
                <w:rFonts w:ascii="Arial"/>
                <w:sz w:val="21"/>
              </w:rPr>
            </w:pPr>
          </w:p>
        </w:tc>
        <w:tc>
          <w:tcPr>
            <w:tcW w:w="629" w:type="dxa"/>
            <w:vAlign w:val="top"/>
          </w:tcPr>
          <w:p w14:paraId="6C95003D">
            <w:pPr>
              <w:rPr>
                <w:rFonts w:ascii="Arial"/>
                <w:sz w:val="21"/>
              </w:rPr>
            </w:pPr>
          </w:p>
        </w:tc>
        <w:tc>
          <w:tcPr>
            <w:tcW w:w="634" w:type="dxa"/>
            <w:vAlign w:val="top"/>
          </w:tcPr>
          <w:p w14:paraId="723FCD34">
            <w:pPr>
              <w:rPr>
                <w:rFonts w:ascii="Arial"/>
                <w:sz w:val="21"/>
              </w:rPr>
            </w:pPr>
          </w:p>
        </w:tc>
        <w:tc>
          <w:tcPr>
            <w:tcW w:w="1513" w:type="dxa"/>
            <w:vAlign w:val="top"/>
          </w:tcPr>
          <w:p w14:paraId="20B04171">
            <w:pPr>
              <w:rPr>
                <w:rFonts w:ascii="Arial"/>
                <w:sz w:val="21"/>
              </w:rPr>
            </w:pPr>
          </w:p>
        </w:tc>
      </w:tr>
      <w:tr w14:paraId="7B036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65" w:type="dxa"/>
            <w:vAlign w:val="top"/>
          </w:tcPr>
          <w:p w14:paraId="0D8DC7D3">
            <w:pPr>
              <w:rPr>
                <w:rFonts w:ascii="Arial"/>
                <w:sz w:val="21"/>
              </w:rPr>
            </w:pPr>
          </w:p>
        </w:tc>
        <w:tc>
          <w:tcPr>
            <w:tcW w:w="1060" w:type="dxa"/>
            <w:vAlign w:val="top"/>
          </w:tcPr>
          <w:p w14:paraId="6CF57EE4">
            <w:pPr>
              <w:rPr>
                <w:rFonts w:ascii="Arial"/>
                <w:sz w:val="21"/>
              </w:rPr>
            </w:pPr>
          </w:p>
        </w:tc>
        <w:tc>
          <w:tcPr>
            <w:tcW w:w="743" w:type="dxa"/>
            <w:vAlign w:val="top"/>
          </w:tcPr>
          <w:p w14:paraId="4F6DEAD1">
            <w:pPr>
              <w:rPr>
                <w:rFonts w:ascii="Arial"/>
                <w:sz w:val="21"/>
              </w:rPr>
            </w:pPr>
          </w:p>
        </w:tc>
        <w:tc>
          <w:tcPr>
            <w:tcW w:w="653" w:type="dxa"/>
            <w:vAlign w:val="top"/>
          </w:tcPr>
          <w:p w14:paraId="561BBA58">
            <w:pPr>
              <w:rPr>
                <w:rFonts w:ascii="Arial"/>
                <w:sz w:val="21"/>
              </w:rPr>
            </w:pPr>
          </w:p>
        </w:tc>
        <w:tc>
          <w:tcPr>
            <w:tcW w:w="643" w:type="dxa"/>
            <w:vAlign w:val="top"/>
          </w:tcPr>
          <w:p w14:paraId="2ADEAB3D">
            <w:pPr>
              <w:rPr>
                <w:rFonts w:ascii="Arial"/>
                <w:sz w:val="21"/>
              </w:rPr>
            </w:pPr>
          </w:p>
        </w:tc>
        <w:tc>
          <w:tcPr>
            <w:tcW w:w="940" w:type="dxa"/>
            <w:vAlign w:val="top"/>
          </w:tcPr>
          <w:p w14:paraId="3BAC51C7">
            <w:pPr>
              <w:rPr>
                <w:rFonts w:ascii="Arial"/>
                <w:sz w:val="21"/>
              </w:rPr>
            </w:pPr>
          </w:p>
        </w:tc>
        <w:tc>
          <w:tcPr>
            <w:tcW w:w="624" w:type="dxa"/>
            <w:vAlign w:val="top"/>
          </w:tcPr>
          <w:p w14:paraId="38A6AB0F">
            <w:pPr>
              <w:rPr>
                <w:rFonts w:ascii="Arial"/>
                <w:sz w:val="21"/>
              </w:rPr>
            </w:pPr>
          </w:p>
        </w:tc>
        <w:tc>
          <w:tcPr>
            <w:tcW w:w="657" w:type="dxa"/>
            <w:vAlign w:val="top"/>
          </w:tcPr>
          <w:p w14:paraId="7EF888E9">
            <w:pPr>
              <w:rPr>
                <w:rFonts w:ascii="Arial"/>
                <w:sz w:val="21"/>
              </w:rPr>
            </w:pPr>
          </w:p>
        </w:tc>
        <w:tc>
          <w:tcPr>
            <w:tcW w:w="629" w:type="dxa"/>
            <w:vAlign w:val="top"/>
          </w:tcPr>
          <w:p w14:paraId="5407A19B">
            <w:pPr>
              <w:rPr>
                <w:rFonts w:ascii="Arial"/>
                <w:sz w:val="21"/>
              </w:rPr>
            </w:pPr>
          </w:p>
        </w:tc>
        <w:tc>
          <w:tcPr>
            <w:tcW w:w="629" w:type="dxa"/>
            <w:vAlign w:val="top"/>
          </w:tcPr>
          <w:p w14:paraId="70E3E22F">
            <w:pPr>
              <w:rPr>
                <w:rFonts w:ascii="Arial"/>
                <w:sz w:val="21"/>
              </w:rPr>
            </w:pPr>
          </w:p>
        </w:tc>
        <w:tc>
          <w:tcPr>
            <w:tcW w:w="634" w:type="dxa"/>
            <w:vAlign w:val="top"/>
          </w:tcPr>
          <w:p w14:paraId="68FC7E02">
            <w:pPr>
              <w:rPr>
                <w:rFonts w:ascii="Arial"/>
                <w:sz w:val="21"/>
              </w:rPr>
            </w:pPr>
          </w:p>
        </w:tc>
        <w:tc>
          <w:tcPr>
            <w:tcW w:w="1513" w:type="dxa"/>
            <w:vAlign w:val="top"/>
          </w:tcPr>
          <w:p w14:paraId="5FD90DCD">
            <w:pPr>
              <w:rPr>
                <w:rFonts w:ascii="Arial"/>
                <w:sz w:val="21"/>
              </w:rPr>
            </w:pPr>
          </w:p>
        </w:tc>
      </w:tr>
      <w:tr w14:paraId="08440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65" w:type="dxa"/>
            <w:vAlign w:val="top"/>
          </w:tcPr>
          <w:p w14:paraId="58E5E325">
            <w:pPr>
              <w:rPr>
                <w:rFonts w:ascii="Arial"/>
                <w:sz w:val="21"/>
              </w:rPr>
            </w:pPr>
          </w:p>
        </w:tc>
        <w:tc>
          <w:tcPr>
            <w:tcW w:w="1060" w:type="dxa"/>
            <w:vAlign w:val="top"/>
          </w:tcPr>
          <w:p w14:paraId="1B614198">
            <w:pPr>
              <w:rPr>
                <w:rFonts w:ascii="Arial"/>
                <w:sz w:val="21"/>
              </w:rPr>
            </w:pPr>
          </w:p>
        </w:tc>
        <w:tc>
          <w:tcPr>
            <w:tcW w:w="743" w:type="dxa"/>
            <w:vAlign w:val="top"/>
          </w:tcPr>
          <w:p w14:paraId="47192557">
            <w:pPr>
              <w:rPr>
                <w:rFonts w:ascii="Arial"/>
                <w:sz w:val="21"/>
              </w:rPr>
            </w:pPr>
          </w:p>
        </w:tc>
        <w:tc>
          <w:tcPr>
            <w:tcW w:w="653" w:type="dxa"/>
            <w:vAlign w:val="top"/>
          </w:tcPr>
          <w:p w14:paraId="2146066A">
            <w:pPr>
              <w:rPr>
                <w:rFonts w:ascii="Arial"/>
                <w:sz w:val="21"/>
              </w:rPr>
            </w:pPr>
          </w:p>
        </w:tc>
        <w:tc>
          <w:tcPr>
            <w:tcW w:w="643" w:type="dxa"/>
            <w:vAlign w:val="top"/>
          </w:tcPr>
          <w:p w14:paraId="7FD79F3E">
            <w:pPr>
              <w:rPr>
                <w:rFonts w:ascii="Arial"/>
                <w:sz w:val="21"/>
              </w:rPr>
            </w:pPr>
          </w:p>
        </w:tc>
        <w:tc>
          <w:tcPr>
            <w:tcW w:w="940" w:type="dxa"/>
            <w:vAlign w:val="top"/>
          </w:tcPr>
          <w:p w14:paraId="625787A6">
            <w:pPr>
              <w:rPr>
                <w:rFonts w:ascii="Arial"/>
                <w:sz w:val="21"/>
              </w:rPr>
            </w:pPr>
          </w:p>
        </w:tc>
        <w:tc>
          <w:tcPr>
            <w:tcW w:w="624" w:type="dxa"/>
            <w:vAlign w:val="top"/>
          </w:tcPr>
          <w:p w14:paraId="0E251FBD">
            <w:pPr>
              <w:rPr>
                <w:rFonts w:ascii="Arial"/>
                <w:sz w:val="21"/>
              </w:rPr>
            </w:pPr>
          </w:p>
        </w:tc>
        <w:tc>
          <w:tcPr>
            <w:tcW w:w="657" w:type="dxa"/>
            <w:vAlign w:val="top"/>
          </w:tcPr>
          <w:p w14:paraId="49377590">
            <w:pPr>
              <w:rPr>
                <w:rFonts w:ascii="Arial"/>
                <w:sz w:val="21"/>
              </w:rPr>
            </w:pPr>
          </w:p>
        </w:tc>
        <w:tc>
          <w:tcPr>
            <w:tcW w:w="629" w:type="dxa"/>
            <w:vAlign w:val="top"/>
          </w:tcPr>
          <w:p w14:paraId="7F3B3BFD">
            <w:pPr>
              <w:rPr>
                <w:rFonts w:ascii="Arial"/>
                <w:sz w:val="21"/>
              </w:rPr>
            </w:pPr>
          </w:p>
        </w:tc>
        <w:tc>
          <w:tcPr>
            <w:tcW w:w="629" w:type="dxa"/>
            <w:vAlign w:val="top"/>
          </w:tcPr>
          <w:p w14:paraId="002CB2A7">
            <w:pPr>
              <w:rPr>
                <w:rFonts w:ascii="Arial"/>
                <w:sz w:val="21"/>
              </w:rPr>
            </w:pPr>
          </w:p>
        </w:tc>
        <w:tc>
          <w:tcPr>
            <w:tcW w:w="634" w:type="dxa"/>
            <w:vAlign w:val="top"/>
          </w:tcPr>
          <w:p w14:paraId="515D85FC">
            <w:pPr>
              <w:rPr>
                <w:rFonts w:ascii="Arial"/>
                <w:sz w:val="21"/>
              </w:rPr>
            </w:pPr>
          </w:p>
        </w:tc>
        <w:tc>
          <w:tcPr>
            <w:tcW w:w="1513" w:type="dxa"/>
            <w:vAlign w:val="top"/>
          </w:tcPr>
          <w:p w14:paraId="6D4F18B5">
            <w:pPr>
              <w:rPr>
                <w:rFonts w:ascii="Arial"/>
                <w:sz w:val="21"/>
              </w:rPr>
            </w:pPr>
          </w:p>
        </w:tc>
      </w:tr>
      <w:tr w14:paraId="0B4C4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65" w:type="dxa"/>
            <w:vAlign w:val="top"/>
          </w:tcPr>
          <w:p w14:paraId="4DFAE007">
            <w:pPr>
              <w:rPr>
                <w:rFonts w:ascii="Arial"/>
                <w:sz w:val="21"/>
              </w:rPr>
            </w:pPr>
          </w:p>
        </w:tc>
        <w:tc>
          <w:tcPr>
            <w:tcW w:w="1060" w:type="dxa"/>
            <w:vAlign w:val="top"/>
          </w:tcPr>
          <w:p w14:paraId="05D446A4">
            <w:pPr>
              <w:rPr>
                <w:rFonts w:ascii="Arial"/>
                <w:sz w:val="21"/>
              </w:rPr>
            </w:pPr>
          </w:p>
        </w:tc>
        <w:tc>
          <w:tcPr>
            <w:tcW w:w="743" w:type="dxa"/>
            <w:vAlign w:val="top"/>
          </w:tcPr>
          <w:p w14:paraId="239DD563">
            <w:pPr>
              <w:rPr>
                <w:rFonts w:ascii="Arial"/>
                <w:sz w:val="21"/>
              </w:rPr>
            </w:pPr>
          </w:p>
        </w:tc>
        <w:tc>
          <w:tcPr>
            <w:tcW w:w="653" w:type="dxa"/>
            <w:vAlign w:val="top"/>
          </w:tcPr>
          <w:p w14:paraId="41B7CEEF">
            <w:pPr>
              <w:rPr>
                <w:rFonts w:ascii="Arial"/>
                <w:sz w:val="21"/>
              </w:rPr>
            </w:pPr>
          </w:p>
        </w:tc>
        <w:tc>
          <w:tcPr>
            <w:tcW w:w="643" w:type="dxa"/>
            <w:vAlign w:val="top"/>
          </w:tcPr>
          <w:p w14:paraId="6CB08FF1">
            <w:pPr>
              <w:rPr>
                <w:rFonts w:ascii="Arial"/>
                <w:sz w:val="21"/>
              </w:rPr>
            </w:pPr>
          </w:p>
        </w:tc>
        <w:tc>
          <w:tcPr>
            <w:tcW w:w="940" w:type="dxa"/>
            <w:vAlign w:val="top"/>
          </w:tcPr>
          <w:p w14:paraId="44E665E4">
            <w:pPr>
              <w:rPr>
                <w:rFonts w:ascii="Arial"/>
                <w:sz w:val="21"/>
              </w:rPr>
            </w:pPr>
          </w:p>
        </w:tc>
        <w:tc>
          <w:tcPr>
            <w:tcW w:w="624" w:type="dxa"/>
            <w:vAlign w:val="top"/>
          </w:tcPr>
          <w:p w14:paraId="39F126E4">
            <w:pPr>
              <w:rPr>
                <w:rFonts w:ascii="Arial"/>
                <w:sz w:val="21"/>
              </w:rPr>
            </w:pPr>
          </w:p>
        </w:tc>
        <w:tc>
          <w:tcPr>
            <w:tcW w:w="657" w:type="dxa"/>
            <w:vAlign w:val="top"/>
          </w:tcPr>
          <w:p w14:paraId="19CDAD17">
            <w:pPr>
              <w:rPr>
                <w:rFonts w:ascii="Arial"/>
                <w:sz w:val="21"/>
              </w:rPr>
            </w:pPr>
          </w:p>
        </w:tc>
        <w:tc>
          <w:tcPr>
            <w:tcW w:w="629" w:type="dxa"/>
            <w:vAlign w:val="top"/>
          </w:tcPr>
          <w:p w14:paraId="12C0E9F7">
            <w:pPr>
              <w:rPr>
                <w:rFonts w:ascii="Arial"/>
                <w:sz w:val="21"/>
              </w:rPr>
            </w:pPr>
          </w:p>
        </w:tc>
        <w:tc>
          <w:tcPr>
            <w:tcW w:w="629" w:type="dxa"/>
            <w:vAlign w:val="top"/>
          </w:tcPr>
          <w:p w14:paraId="5777A305">
            <w:pPr>
              <w:rPr>
                <w:rFonts w:ascii="Arial"/>
                <w:sz w:val="21"/>
              </w:rPr>
            </w:pPr>
          </w:p>
        </w:tc>
        <w:tc>
          <w:tcPr>
            <w:tcW w:w="634" w:type="dxa"/>
            <w:vAlign w:val="top"/>
          </w:tcPr>
          <w:p w14:paraId="59868363">
            <w:pPr>
              <w:rPr>
                <w:rFonts w:ascii="Arial"/>
                <w:sz w:val="21"/>
              </w:rPr>
            </w:pPr>
          </w:p>
        </w:tc>
        <w:tc>
          <w:tcPr>
            <w:tcW w:w="1513" w:type="dxa"/>
            <w:vAlign w:val="top"/>
          </w:tcPr>
          <w:p w14:paraId="1F62B93C">
            <w:pPr>
              <w:rPr>
                <w:rFonts w:ascii="Arial"/>
                <w:sz w:val="21"/>
              </w:rPr>
            </w:pPr>
          </w:p>
        </w:tc>
      </w:tr>
      <w:tr w14:paraId="12ED4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65" w:type="dxa"/>
            <w:vAlign w:val="top"/>
          </w:tcPr>
          <w:p w14:paraId="3A9773BE">
            <w:pPr>
              <w:rPr>
                <w:rFonts w:ascii="Arial"/>
                <w:sz w:val="21"/>
              </w:rPr>
            </w:pPr>
          </w:p>
        </w:tc>
        <w:tc>
          <w:tcPr>
            <w:tcW w:w="1060" w:type="dxa"/>
            <w:vAlign w:val="top"/>
          </w:tcPr>
          <w:p w14:paraId="195823DA">
            <w:pPr>
              <w:rPr>
                <w:rFonts w:ascii="Arial"/>
                <w:sz w:val="21"/>
              </w:rPr>
            </w:pPr>
          </w:p>
        </w:tc>
        <w:tc>
          <w:tcPr>
            <w:tcW w:w="743" w:type="dxa"/>
            <w:vAlign w:val="top"/>
          </w:tcPr>
          <w:p w14:paraId="4EA6A4B2">
            <w:pPr>
              <w:rPr>
                <w:rFonts w:ascii="Arial"/>
                <w:sz w:val="21"/>
              </w:rPr>
            </w:pPr>
          </w:p>
        </w:tc>
        <w:tc>
          <w:tcPr>
            <w:tcW w:w="653" w:type="dxa"/>
            <w:vAlign w:val="top"/>
          </w:tcPr>
          <w:p w14:paraId="287CA437">
            <w:pPr>
              <w:rPr>
                <w:rFonts w:ascii="Arial"/>
                <w:sz w:val="21"/>
              </w:rPr>
            </w:pPr>
          </w:p>
        </w:tc>
        <w:tc>
          <w:tcPr>
            <w:tcW w:w="643" w:type="dxa"/>
            <w:vAlign w:val="top"/>
          </w:tcPr>
          <w:p w14:paraId="637F3A67">
            <w:pPr>
              <w:rPr>
                <w:rFonts w:ascii="Arial"/>
                <w:sz w:val="21"/>
              </w:rPr>
            </w:pPr>
          </w:p>
        </w:tc>
        <w:tc>
          <w:tcPr>
            <w:tcW w:w="940" w:type="dxa"/>
            <w:vAlign w:val="top"/>
          </w:tcPr>
          <w:p w14:paraId="05334A31">
            <w:pPr>
              <w:rPr>
                <w:rFonts w:ascii="Arial"/>
                <w:sz w:val="21"/>
              </w:rPr>
            </w:pPr>
          </w:p>
        </w:tc>
        <w:tc>
          <w:tcPr>
            <w:tcW w:w="624" w:type="dxa"/>
            <w:vAlign w:val="top"/>
          </w:tcPr>
          <w:p w14:paraId="5DA3A800">
            <w:pPr>
              <w:rPr>
                <w:rFonts w:ascii="Arial"/>
                <w:sz w:val="21"/>
              </w:rPr>
            </w:pPr>
          </w:p>
        </w:tc>
        <w:tc>
          <w:tcPr>
            <w:tcW w:w="657" w:type="dxa"/>
            <w:vAlign w:val="top"/>
          </w:tcPr>
          <w:p w14:paraId="798F6D2C">
            <w:pPr>
              <w:rPr>
                <w:rFonts w:ascii="Arial"/>
                <w:sz w:val="21"/>
              </w:rPr>
            </w:pPr>
          </w:p>
        </w:tc>
        <w:tc>
          <w:tcPr>
            <w:tcW w:w="629" w:type="dxa"/>
            <w:vAlign w:val="top"/>
          </w:tcPr>
          <w:p w14:paraId="7DA52C07">
            <w:pPr>
              <w:rPr>
                <w:rFonts w:ascii="Arial"/>
                <w:sz w:val="21"/>
              </w:rPr>
            </w:pPr>
          </w:p>
        </w:tc>
        <w:tc>
          <w:tcPr>
            <w:tcW w:w="629" w:type="dxa"/>
            <w:vAlign w:val="top"/>
          </w:tcPr>
          <w:p w14:paraId="0613B44C">
            <w:pPr>
              <w:rPr>
                <w:rFonts w:ascii="Arial"/>
                <w:sz w:val="21"/>
              </w:rPr>
            </w:pPr>
          </w:p>
        </w:tc>
        <w:tc>
          <w:tcPr>
            <w:tcW w:w="634" w:type="dxa"/>
            <w:vAlign w:val="top"/>
          </w:tcPr>
          <w:p w14:paraId="252E3CED">
            <w:pPr>
              <w:rPr>
                <w:rFonts w:ascii="Arial"/>
                <w:sz w:val="21"/>
              </w:rPr>
            </w:pPr>
          </w:p>
        </w:tc>
        <w:tc>
          <w:tcPr>
            <w:tcW w:w="1513" w:type="dxa"/>
            <w:vAlign w:val="top"/>
          </w:tcPr>
          <w:p w14:paraId="16098494">
            <w:pPr>
              <w:rPr>
                <w:rFonts w:ascii="Arial"/>
                <w:sz w:val="21"/>
              </w:rPr>
            </w:pPr>
          </w:p>
        </w:tc>
      </w:tr>
      <w:tr w14:paraId="670CB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65" w:type="dxa"/>
            <w:vAlign w:val="top"/>
          </w:tcPr>
          <w:p w14:paraId="29790E79">
            <w:pPr>
              <w:rPr>
                <w:rFonts w:ascii="Arial"/>
                <w:sz w:val="21"/>
              </w:rPr>
            </w:pPr>
          </w:p>
        </w:tc>
        <w:tc>
          <w:tcPr>
            <w:tcW w:w="1060" w:type="dxa"/>
            <w:vAlign w:val="top"/>
          </w:tcPr>
          <w:p w14:paraId="7A9B64D9">
            <w:pPr>
              <w:rPr>
                <w:rFonts w:ascii="Arial"/>
                <w:sz w:val="21"/>
              </w:rPr>
            </w:pPr>
          </w:p>
        </w:tc>
        <w:tc>
          <w:tcPr>
            <w:tcW w:w="743" w:type="dxa"/>
            <w:vAlign w:val="top"/>
          </w:tcPr>
          <w:p w14:paraId="2EB3ACF7">
            <w:pPr>
              <w:rPr>
                <w:rFonts w:ascii="Arial"/>
                <w:sz w:val="21"/>
              </w:rPr>
            </w:pPr>
          </w:p>
        </w:tc>
        <w:tc>
          <w:tcPr>
            <w:tcW w:w="653" w:type="dxa"/>
            <w:vAlign w:val="top"/>
          </w:tcPr>
          <w:p w14:paraId="59DCAD05">
            <w:pPr>
              <w:rPr>
                <w:rFonts w:ascii="Arial"/>
                <w:sz w:val="21"/>
              </w:rPr>
            </w:pPr>
          </w:p>
        </w:tc>
        <w:tc>
          <w:tcPr>
            <w:tcW w:w="643" w:type="dxa"/>
            <w:vAlign w:val="top"/>
          </w:tcPr>
          <w:p w14:paraId="12FAFC07">
            <w:pPr>
              <w:rPr>
                <w:rFonts w:ascii="Arial"/>
                <w:sz w:val="21"/>
              </w:rPr>
            </w:pPr>
          </w:p>
        </w:tc>
        <w:tc>
          <w:tcPr>
            <w:tcW w:w="940" w:type="dxa"/>
            <w:vAlign w:val="top"/>
          </w:tcPr>
          <w:p w14:paraId="49263115">
            <w:pPr>
              <w:rPr>
                <w:rFonts w:ascii="Arial"/>
                <w:sz w:val="21"/>
              </w:rPr>
            </w:pPr>
          </w:p>
        </w:tc>
        <w:tc>
          <w:tcPr>
            <w:tcW w:w="624" w:type="dxa"/>
            <w:vAlign w:val="top"/>
          </w:tcPr>
          <w:p w14:paraId="51F5EF57">
            <w:pPr>
              <w:rPr>
                <w:rFonts w:ascii="Arial"/>
                <w:sz w:val="21"/>
              </w:rPr>
            </w:pPr>
          </w:p>
        </w:tc>
        <w:tc>
          <w:tcPr>
            <w:tcW w:w="657" w:type="dxa"/>
            <w:vAlign w:val="top"/>
          </w:tcPr>
          <w:p w14:paraId="24EEC983">
            <w:pPr>
              <w:rPr>
                <w:rFonts w:ascii="Arial"/>
                <w:sz w:val="21"/>
              </w:rPr>
            </w:pPr>
          </w:p>
        </w:tc>
        <w:tc>
          <w:tcPr>
            <w:tcW w:w="629" w:type="dxa"/>
            <w:vAlign w:val="top"/>
          </w:tcPr>
          <w:p w14:paraId="2029EF94">
            <w:pPr>
              <w:rPr>
                <w:rFonts w:ascii="Arial"/>
                <w:sz w:val="21"/>
              </w:rPr>
            </w:pPr>
          </w:p>
        </w:tc>
        <w:tc>
          <w:tcPr>
            <w:tcW w:w="629" w:type="dxa"/>
            <w:vAlign w:val="top"/>
          </w:tcPr>
          <w:p w14:paraId="39F5D8B4">
            <w:pPr>
              <w:rPr>
                <w:rFonts w:ascii="Arial"/>
                <w:sz w:val="21"/>
              </w:rPr>
            </w:pPr>
          </w:p>
        </w:tc>
        <w:tc>
          <w:tcPr>
            <w:tcW w:w="634" w:type="dxa"/>
            <w:vAlign w:val="top"/>
          </w:tcPr>
          <w:p w14:paraId="02F376CD">
            <w:pPr>
              <w:rPr>
                <w:rFonts w:ascii="Arial"/>
                <w:sz w:val="21"/>
              </w:rPr>
            </w:pPr>
          </w:p>
        </w:tc>
        <w:tc>
          <w:tcPr>
            <w:tcW w:w="1513" w:type="dxa"/>
            <w:vAlign w:val="top"/>
          </w:tcPr>
          <w:p w14:paraId="5F4418CD">
            <w:pPr>
              <w:rPr>
                <w:rFonts w:ascii="Arial"/>
                <w:sz w:val="21"/>
              </w:rPr>
            </w:pPr>
          </w:p>
        </w:tc>
      </w:tr>
      <w:tr w14:paraId="2F564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65" w:type="dxa"/>
            <w:vAlign w:val="top"/>
          </w:tcPr>
          <w:p w14:paraId="020FCCC8">
            <w:pPr>
              <w:rPr>
                <w:rFonts w:ascii="Arial"/>
                <w:sz w:val="21"/>
              </w:rPr>
            </w:pPr>
          </w:p>
        </w:tc>
        <w:tc>
          <w:tcPr>
            <w:tcW w:w="1060" w:type="dxa"/>
            <w:vAlign w:val="top"/>
          </w:tcPr>
          <w:p w14:paraId="0C427266">
            <w:pPr>
              <w:rPr>
                <w:rFonts w:ascii="Arial"/>
                <w:sz w:val="21"/>
              </w:rPr>
            </w:pPr>
          </w:p>
        </w:tc>
        <w:tc>
          <w:tcPr>
            <w:tcW w:w="743" w:type="dxa"/>
            <w:vAlign w:val="top"/>
          </w:tcPr>
          <w:p w14:paraId="4396357D">
            <w:pPr>
              <w:rPr>
                <w:rFonts w:ascii="Arial"/>
                <w:sz w:val="21"/>
              </w:rPr>
            </w:pPr>
          </w:p>
        </w:tc>
        <w:tc>
          <w:tcPr>
            <w:tcW w:w="653" w:type="dxa"/>
            <w:vAlign w:val="top"/>
          </w:tcPr>
          <w:p w14:paraId="6693DF37">
            <w:pPr>
              <w:rPr>
                <w:rFonts w:ascii="Arial"/>
                <w:sz w:val="21"/>
              </w:rPr>
            </w:pPr>
          </w:p>
        </w:tc>
        <w:tc>
          <w:tcPr>
            <w:tcW w:w="643" w:type="dxa"/>
            <w:vAlign w:val="top"/>
          </w:tcPr>
          <w:p w14:paraId="381B6C3D">
            <w:pPr>
              <w:rPr>
                <w:rFonts w:ascii="Arial"/>
                <w:sz w:val="21"/>
              </w:rPr>
            </w:pPr>
          </w:p>
        </w:tc>
        <w:tc>
          <w:tcPr>
            <w:tcW w:w="940" w:type="dxa"/>
            <w:vAlign w:val="top"/>
          </w:tcPr>
          <w:p w14:paraId="50A20D33">
            <w:pPr>
              <w:rPr>
                <w:rFonts w:ascii="Arial"/>
                <w:sz w:val="21"/>
              </w:rPr>
            </w:pPr>
          </w:p>
        </w:tc>
        <w:tc>
          <w:tcPr>
            <w:tcW w:w="624" w:type="dxa"/>
            <w:vAlign w:val="top"/>
          </w:tcPr>
          <w:p w14:paraId="1E58243B">
            <w:pPr>
              <w:rPr>
                <w:rFonts w:ascii="Arial"/>
                <w:sz w:val="21"/>
              </w:rPr>
            </w:pPr>
          </w:p>
        </w:tc>
        <w:tc>
          <w:tcPr>
            <w:tcW w:w="657" w:type="dxa"/>
            <w:vAlign w:val="top"/>
          </w:tcPr>
          <w:p w14:paraId="737BF889">
            <w:pPr>
              <w:rPr>
                <w:rFonts w:ascii="Arial"/>
                <w:sz w:val="21"/>
              </w:rPr>
            </w:pPr>
          </w:p>
        </w:tc>
        <w:tc>
          <w:tcPr>
            <w:tcW w:w="629" w:type="dxa"/>
            <w:vAlign w:val="top"/>
          </w:tcPr>
          <w:p w14:paraId="4FC1E2AC">
            <w:pPr>
              <w:rPr>
                <w:rFonts w:ascii="Arial"/>
                <w:sz w:val="21"/>
              </w:rPr>
            </w:pPr>
          </w:p>
        </w:tc>
        <w:tc>
          <w:tcPr>
            <w:tcW w:w="629" w:type="dxa"/>
            <w:vAlign w:val="top"/>
          </w:tcPr>
          <w:p w14:paraId="53D070E1">
            <w:pPr>
              <w:rPr>
                <w:rFonts w:ascii="Arial"/>
                <w:sz w:val="21"/>
              </w:rPr>
            </w:pPr>
          </w:p>
        </w:tc>
        <w:tc>
          <w:tcPr>
            <w:tcW w:w="634" w:type="dxa"/>
            <w:vAlign w:val="top"/>
          </w:tcPr>
          <w:p w14:paraId="2C7A7F4E">
            <w:pPr>
              <w:rPr>
                <w:rFonts w:ascii="Arial"/>
                <w:sz w:val="21"/>
              </w:rPr>
            </w:pPr>
          </w:p>
        </w:tc>
        <w:tc>
          <w:tcPr>
            <w:tcW w:w="1513" w:type="dxa"/>
            <w:vAlign w:val="top"/>
          </w:tcPr>
          <w:p w14:paraId="4AF33CFC">
            <w:pPr>
              <w:rPr>
                <w:rFonts w:ascii="Arial"/>
                <w:sz w:val="21"/>
              </w:rPr>
            </w:pPr>
          </w:p>
        </w:tc>
      </w:tr>
      <w:tr w14:paraId="1E9AA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65" w:type="dxa"/>
            <w:vAlign w:val="top"/>
          </w:tcPr>
          <w:p w14:paraId="53C095C7">
            <w:pPr>
              <w:rPr>
                <w:rFonts w:ascii="Arial"/>
                <w:sz w:val="21"/>
              </w:rPr>
            </w:pPr>
          </w:p>
        </w:tc>
        <w:tc>
          <w:tcPr>
            <w:tcW w:w="1060" w:type="dxa"/>
            <w:vAlign w:val="top"/>
          </w:tcPr>
          <w:p w14:paraId="5DA04209">
            <w:pPr>
              <w:rPr>
                <w:rFonts w:ascii="Arial"/>
                <w:sz w:val="21"/>
              </w:rPr>
            </w:pPr>
          </w:p>
        </w:tc>
        <w:tc>
          <w:tcPr>
            <w:tcW w:w="743" w:type="dxa"/>
            <w:vAlign w:val="top"/>
          </w:tcPr>
          <w:p w14:paraId="578EFBA4">
            <w:pPr>
              <w:rPr>
                <w:rFonts w:ascii="Arial"/>
                <w:sz w:val="21"/>
              </w:rPr>
            </w:pPr>
          </w:p>
        </w:tc>
        <w:tc>
          <w:tcPr>
            <w:tcW w:w="653" w:type="dxa"/>
            <w:vAlign w:val="top"/>
          </w:tcPr>
          <w:p w14:paraId="4B1C965C">
            <w:pPr>
              <w:rPr>
                <w:rFonts w:ascii="Arial"/>
                <w:sz w:val="21"/>
              </w:rPr>
            </w:pPr>
          </w:p>
        </w:tc>
        <w:tc>
          <w:tcPr>
            <w:tcW w:w="643" w:type="dxa"/>
            <w:vAlign w:val="top"/>
          </w:tcPr>
          <w:p w14:paraId="72EEB168">
            <w:pPr>
              <w:rPr>
                <w:rFonts w:ascii="Arial"/>
                <w:sz w:val="21"/>
              </w:rPr>
            </w:pPr>
          </w:p>
        </w:tc>
        <w:tc>
          <w:tcPr>
            <w:tcW w:w="940" w:type="dxa"/>
            <w:vAlign w:val="top"/>
          </w:tcPr>
          <w:p w14:paraId="75B64E7E">
            <w:pPr>
              <w:rPr>
                <w:rFonts w:ascii="Arial"/>
                <w:sz w:val="21"/>
              </w:rPr>
            </w:pPr>
          </w:p>
        </w:tc>
        <w:tc>
          <w:tcPr>
            <w:tcW w:w="624" w:type="dxa"/>
            <w:vAlign w:val="top"/>
          </w:tcPr>
          <w:p w14:paraId="615DA4AB">
            <w:pPr>
              <w:rPr>
                <w:rFonts w:ascii="Arial"/>
                <w:sz w:val="21"/>
              </w:rPr>
            </w:pPr>
          </w:p>
        </w:tc>
        <w:tc>
          <w:tcPr>
            <w:tcW w:w="657" w:type="dxa"/>
            <w:vAlign w:val="top"/>
          </w:tcPr>
          <w:p w14:paraId="00902411">
            <w:pPr>
              <w:rPr>
                <w:rFonts w:ascii="Arial"/>
                <w:sz w:val="21"/>
              </w:rPr>
            </w:pPr>
          </w:p>
        </w:tc>
        <w:tc>
          <w:tcPr>
            <w:tcW w:w="629" w:type="dxa"/>
            <w:vAlign w:val="top"/>
          </w:tcPr>
          <w:p w14:paraId="7F7055C1">
            <w:pPr>
              <w:rPr>
                <w:rFonts w:ascii="Arial"/>
                <w:sz w:val="21"/>
              </w:rPr>
            </w:pPr>
          </w:p>
        </w:tc>
        <w:tc>
          <w:tcPr>
            <w:tcW w:w="629" w:type="dxa"/>
            <w:vAlign w:val="top"/>
          </w:tcPr>
          <w:p w14:paraId="717199E0">
            <w:pPr>
              <w:rPr>
                <w:rFonts w:ascii="Arial"/>
                <w:sz w:val="21"/>
              </w:rPr>
            </w:pPr>
          </w:p>
        </w:tc>
        <w:tc>
          <w:tcPr>
            <w:tcW w:w="634" w:type="dxa"/>
            <w:vAlign w:val="top"/>
          </w:tcPr>
          <w:p w14:paraId="0D0A1158">
            <w:pPr>
              <w:rPr>
                <w:rFonts w:ascii="Arial"/>
                <w:sz w:val="21"/>
              </w:rPr>
            </w:pPr>
          </w:p>
        </w:tc>
        <w:tc>
          <w:tcPr>
            <w:tcW w:w="1513" w:type="dxa"/>
            <w:vAlign w:val="top"/>
          </w:tcPr>
          <w:p w14:paraId="01CB1BCF">
            <w:pPr>
              <w:rPr>
                <w:rFonts w:ascii="Arial"/>
                <w:sz w:val="21"/>
              </w:rPr>
            </w:pPr>
          </w:p>
        </w:tc>
      </w:tr>
      <w:tr w14:paraId="2CB404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65" w:type="dxa"/>
            <w:vAlign w:val="top"/>
          </w:tcPr>
          <w:p w14:paraId="26426B66">
            <w:pPr>
              <w:rPr>
                <w:rFonts w:ascii="Arial"/>
                <w:sz w:val="21"/>
              </w:rPr>
            </w:pPr>
          </w:p>
        </w:tc>
        <w:tc>
          <w:tcPr>
            <w:tcW w:w="1060" w:type="dxa"/>
            <w:vAlign w:val="top"/>
          </w:tcPr>
          <w:p w14:paraId="7B2635EE">
            <w:pPr>
              <w:rPr>
                <w:rFonts w:ascii="Arial"/>
                <w:sz w:val="21"/>
              </w:rPr>
            </w:pPr>
          </w:p>
        </w:tc>
        <w:tc>
          <w:tcPr>
            <w:tcW w:w="743" w:type="dxa"/>
            <w:vAlign w:val="top"/>
          </w:tcPr>
          <w:p w14:paraId="1CD45EF5">
            <w:pPr>
              <w:rPr>
                <w:rFonts w:ascii="Arial"/>
                <w:sz w:val="21"/>
              </w:rPr>
            </w:pPr>
          </w:p>
        </w:tc>
        <w:tc>
          <w:tcPr>
            <w:tcW w:w="653" w:type="dxa"/>
            <w:vAlign w:val="top"/>
          </w:tcPr>
          <w:p w14:paraId="5B44B4F3">
            <w:pPr>
              <w:rPr>
                <w:rFonts w:ascii="Arial"/>
                <w:sz w:val="21"/>
              </w:rPr>
            </w:pPr>
          </w:p>
        </w:tc>
        <w:tc>
          <w:tcPr>
            <w:tcW w:w="643" w:type="dxa"/>
            <w:vAlign w:val="top"/>
          </w:tcPr>
          <w:p w14:paraId="085CFFDB">
            <w:pPr>
              <w:rPr>
                <w:rFonts w:ascii="Arial"/>
                <w:sz w:val="21"/>
              </w:rPr>
            </w:pPr>
          </w:p>
        </w:tc>
        <w:tc>
          <w:tcPr>
            <w:tcW w:w="940" w:type="dxa"/>
            <w:vAlign w:val="top"/>
          </w:tcPr>
          <w:p w14:paraId="7EB165E3">
            <w:pPr>
              <w:rPr>
                <w:rFonts w:ascii="Arial"/>
                <w:sz w:val="21"/>
              </w:rPr>
            </w:pPr>
          </w:p>
        </w:tc>
        <w:tc>
          <w:tcPr>
            <w:tcW w:w="624" w:type="dxa"/>
            <w:vAlign w:val="top"/>
          </w:tcPr>
          <w:p w14:paraId="6676F753">
            <w:pPr>
              <w:rPr>
                <w:rFonts w:ascii="Arial"/>
                <w:sz w:val="21"/>
              </w:rPr>
            </w:pPr>
          </w:p>
        </w:tc>
        <w:tc>
          <w:tcPr>
            <w:tcW w:w="657" w:type="dxa"/>
            <w:vAlign w:val="top"/>
          </w:tcPr>
          <w:p w14:paraId="53E54052">
            <w:pPr>
              <w:rPr>
                <w:rFonts w:ascii="Arial"/>
                <w:sz w:val="21"/>
              </w:rPr>
            </w:pPr>
          </w:p>
        </w:tc>
        <w:tc>
          <w:tcPr>
            <w:tcW w:w="629" w:type="dxa"/>
            <w:vAlign w:val="top"/>
          </w:tcPr>
          <w:p w14:paraId="36C2577C">
            <w:pPr>
              <w:rPr>
                <w:rFonts w:ascii="Arial"/>
                <w:sz w:val="21"/>
              </w:rPr>
            </w:pPr>
          </w:p>
        </w:tc>
        <w:tc>
          <w:tcPr>
            <w:tcW w:w="629" w:type="dxa"/>
            <w:vAlign w:val="top"/>
          </w:tcPr>
          <w:p w14:paraId="5A1E859F">
            <w:pPr>
              <w:rPr>
                <w:rFonts w:ascii="Arial"/>
                <w:sz w:val="21"/>
              </w:rPr>
            </w:pPr>
          </w:p>
        </w:tc>
        <w:tc>
          <w:tcPr>
            <w:tcW w:w="634" w:type="dxa"/>
            <w:vAlign w:val="top"/>
          </w:tcPr>
          <w:p w14:paraId="425854E7">
            <w:pPr>
              <w:rPr>
                <w:rFonts w:ascii="Arial"/>
                <w:sz w:val="21"/>
              </w:rPr>
            </w:pPr>
          </w:p>
        </w:tc>
        <w:tc>
          <w:tcPr>
            <w:tcW w:w="1513" w:type="dxa"/>
            <w:vAlign w:val="top"/>
          </w:tcPr>
          <w:p w14:paraId="14F5CEFD">
            <w:pPr>
              <w:rPr>
                <w:rFonts w:ascii="Arial"/>
                <w:sz w:val="21"/>
              </w:rPr>
            </w:pPr>
          </w:p>
        </w:tc>
      </w:tr>
      <w:tr w14:paraId="70A34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965" w:type="dxa"/>
            <w:vAlign w:val="top"/>
          </w:tcPr>
          <w:p w14:paraId="0AE5977B">
            <w:pPr>
              <w:rPr>
                <w:rFonts w:ascii="Arial"/>
                <w:sz w:val="21"/>
              </w:rPr>
            </w:pPr>
          </w:p>
        </w:tc>
        <w:tc>
          <w:tcPr>
            <w:tcW w:w="1060" w:type="dxa"/>
            <w:vAlign w:val="top"/>
          </w:tcPr>
          <w:p w14:paraId="77D4241C">
            <w:pPr>
              <w:rPr>
                <w:rFonts w:ascii="Arial"/>
                <w:sz w:val="21"/>
              </w:rPr>
            </w:pPr>
          </w:p>
        </w:tc>
        <w:tc>
          <w:tcPr>
            <w:tcW w:w="743" w:type="dxa"/>
            <w:vAlign w:val="top"/>
          </w:tcPr>
          <w:p w14:paraId="674D5D5F">
            <w:pPr>
              <w:rPr>
                <w:rFonts w:ascii="Arial"/>
                <w:sz w:val="21"/>
              </w:rPr>
            </w:pPr>
          </w:p>
        </w:tc>
        <w:tc>
          <w:tcPr>
            <w:tcW w:w="653" w:type="dxa"/>
            <w:vAlign w:val="top"/>
          </w:tcPr>
          <w:p w14:paraId="7164ED1D">
            <w:pPr>
              <w:rPr>
                <w:rFonts w:ascii="Arial"/>
                <w:sz w:val="21"/>
              </w:rPr>
            </w:pPr>
          </w:p>
        </w:tc>
        <w:tc>
          <w:tcPr>
            <w:tcW w:w="643" w:type="dxa"/>
            <w:vAlign w:val="top"/>
          </w:tcPr>
          <w:p w14:paraId="218D52EE">
            <w:pPr>
              <w:rPr>
                <w:rFonts w:ascii="Arial"/>
                <w:sz w:val="21"/>
              </w:rPr>
            </w:pPr>
          </w:p>
        </w:tc>
        <w:tc>
          <w:tcPr>
            <w:tcW w:w="940" w:type="dxa"/>
            <w:vAlign w:val="top"/>
          </w:tcPr>
          <w:p w14:paraId="10E922C4">
            <w:pPr>
              <w:rPr>
                <w:rFonts w:ascii="Arial"/>
                <w:sz w:val="21"/>
              </w:rPr>
            </w:pPr>
          </w:p>
        </w:tc>
        <w:tc>
          <w:tcPr>
            <w:tcW w:w="624" w:type="dxa"/>
            <w:vAlign w:val="top"/>
          </w:tcPr>
          <w:p w14:paraId="425EF503">
            <w:pPr>
              <w:rPr>
                <w:rFonts w:ascii="Arial"/>
                <w:sz w:val="21"/>
              </w:rPr>
            </w:pPr>
          </w:p>
        </w:tc>
        <w:tc>
          <w:tcPr>
            <w:tcW w:w="657" w:type="dxa"/>
            <w:vAlign w:val="top"/>
          </w:tcPr>
          <w:p w14:paraId="177A90FD">
            <w:pPr>
              <w:rPr>
                <w:rFonts w:ascii="Arial"/>
                <w:sz w:val="21"/>
              </w:rPr>
            </w:pPr>
          </w:p>
        </w:tc>
        <w:tc>
          <w:tcPr>
            <w:tcW w:w="629" w:type="dxa"/>
            <w:vAlign w:val="top"/>
          </w:tcPr>
          <w:p w14:paraId="0FAFB430">
            <w:pPr>
              <w:rPr>
                <w:rFonts w:ascii="Arial"/>
                <w:sz w:val="21"/>
              </w:rPr>
            </w:pPr>
          </w:p>
        </w:tc>
        <w:tc>
          <w:tcPr>
            <w:tcW w:w="629" w:type="dxa"/>
            <w:vAlign w:val="top"/>
          </w:tcPr>
          <w:p w14:paraId="58278F7B">
            <w:pPr>
              <w:rPr>
                <w:rFonts w:ascii="Arial"/>
                <w:sz w:val="21"/>
              </w:rPr>
            </w:pPr>
          </w:p>
        </w:tc>
        <w:tc>
          <w:tcPr>
            <w:tcW w:w="634" w:type="dxa"/>
            <w:vAlign w:val="top"/>
          </w:tcPr>
          <w:p w14:paraId="687FFDA0">
            <w:pPr>
              <w:rPr>
                <w:rFonts w:ascii="Arial"/>
                <w:sz w:val="21"/>
              </w:rPr>
            </w:pPr>
          </w:p>
        </w:tc>
        <w:tc>
          <w:tcPr>
            <w:tcW w:w="1513" w:type="dxa"/>
            <w:vAlign w:val="top"/>
          </w:tcPr>
          <w:p w14:paraId="55F60909">
            <w:pPr>
              <w:rPr>
                <w:rFonts w:ascii="Arial"/>
                <w:sz w:val="21"/>
              </w:rPr>
            </w:pPr>
          </w:p>
        </w:tc>
      </w:tr>
    </w:tbl>
    <w:p w14:paraId="26500A41">
      <w:pPr>
        <w:spacing w:before="303" w:line="232" w:lineRule="auto"/>
        <w:ind w:left="321"/>
        <w:rPr>
          <w:rFonts w:ascii="宋体" w:hAnsi="宋体" w:eastAsia="宋体" w:cs="宋体"/>
          <w:sz w:val="20"/>
          <w:szCs w:val="20"/>
        </w:rPr>
      </w:pPr>
      <w:r>
        <w:rPr>
          <w:rFonts w:ascii="宋体" w:hAnsi="宋体" w:eastAsia="宋体" w:cs="宋体"/>
          <w:sz w:val="20"/>
          <w:szCs w:val="20"/>
        </w:rPr>
        <w:t>注：</w:t>
      </w:r>
    </w:p>
    <w:p w14:paraId="27835EC1">
      <w:pPr>
        <w:spacing w:before="22" w:line="227" w:lineRule="auto"/>
        <w:ind w:left="337"/>
        <w:rPr>
          <w:rFonts w:ascii="宋体" w:hAnsi="宋体" w:eastAsia="宋体" w:cs="宋体"/>
          <w:sz w:val="20"/>
          <w:szCs w:val="20"/>
        </w:rPr>
      </w:pPr>
      <w:r>
        <w:rPr>
          <w:rFonts w:ascii="宋体" w:hAnsi="宋体" w:eastAsia="宋体" w:cs="宋体"/>
          <w:spacing w:val="7"/>
          <w:sz w:val="20"/>
          <w:szCs w:val="20"/>
        </w:rPr>
        <w:t>1.本表填报的设备应满足招标文件第二章“投标人须知</w:t>
      </w:r>
      <w:r>
        <w:rPr>
          <w:rFonts w:ascii="宋体" w:hAnsi="宋体" w:eastAsia="宋体" w:cs="宋体"/>
          <w:spacing w:val="-72"/>
          <w:sz w:val="20"/>
          <w:szCs w:val="20"/>
        </w:rPr>
        <w:t xml:space="preserve"> </w:t>
      </w:r>
      <w:r>
        <w:rPr>
          <w:rFonts w:ascii="宋体" w:hAnsi="宋体" w:eastAsia="宋体" w:cs="宋体"/>
          <w:spacing w:val="7"/>
          <w:sz w:val="20"/>
          <w:szCs w:val="20"/>
        </w:rPr>
        <w:t>”</w:t>
      </w:r>
      <w:r>
        <w:rPr>
          <w:rFonts w:ascii="宋体" w:hAnsi="宋体" w:eastAsia="宋体" w:cs="宋体"/>
          <w:spacing w:val="6"/>
          <w:sz w:val="20"/>
          <w:szCs w:val="20"/>
        </w:rPr>
        <w:t>前附表附录</w:t>
      </w:r>
      <w:r>
        <w:rPr>
          <w:rFonts w:ascii="宋体" w:hAnsi="宋体" w:eastAsia="宋体" w:cs="宋体"/>
          <w:spacing w:val="-34"/>
          <w:sz w:val="20"/>
          <w:szCs w:val="20"/>
        </w:rPr>
        <w:t xml:space="preserve"> </w:t>
      </w:r>
      <w:r>
        <w:rPr>
          <w:rFonts w:ascii="宋体" w:hAnsi="宋体" w:eastAsia="宋体" w:cs="宋体"/>
          <w:spacing w:val="6"/>
          <w:sz w:val="20"/>
          <w:szCs w:val="20"/>
        </w:rPr>
        <w:t>7</w:t>
      </w:r>
      <w:r>
        <w:rPr>
          <w:rFonts w:ascii="宋体" w:hAnsi="宋体" w:eastAsia="宋体" w:cs="宋体"/>
          <w:spacing w:val="-21"/>
          <w:sz w:val="20"/>
          <w:szCs w:val="20"/>
        </w:rPr>
        <w:t xml:space="preserve"> </w:t>
      </w:r>
      <w:r>
        <w:rPr>
          <w:rFonts w:ascii="宋体" w:hAnsi="宋体" w:eastAsia="宋体" w:cs="宋体"/>
          <w:spacing w:val="6"/>
          <w:sz w:val="20"/>
          <w:szCs w:val="20"/>
        </w:rPr>
        <w:t>的要求。</w:t>
      </w:r>
    </w:p>
    <w:p w14:paraId="252C60DD">
      <w:pPr>
        <w:spacing w:before="24" w:line="228" w:lineRule="auto"/>
        <w:ind w:left="324"/>
        <w:rPr>
          <w:rFonts w:ascii="宋体" w:hAnsi="宋体" w:eastAsia="宋体" w:cs="宋体"/>
          <w:sz w:val="20"/>
          <w:szCs w:val="20"/>
        </w:rPr>
      </w:pPr>
      <w:bookmarkStart w:id="80" w:name="bookmark239"/>
      <w:bookmarkEnd w:id="80"/>
      <w:r>
        <w:rPr>
          <w:rFonts w:ascii="宋体" w:hAnsi="宋体" w:eastAsia="宋体" w:cs="宋体"/>
          <w:spacing w:val="9"/>
          <w:sz w:val="20"/>
          <w:szCs w:val="20"/>
        </w:rPr>
        <w:t>2.如果投标人中标，发包人将据此设备表检查</w:t>
      </w:r>
      <w:r>
        <w:rPr>
          <w:rFonts w:ascii="宋体" w:hAnsi="宋体" w:eastAsia="宋体" w:cs="宋体"/>
          <w:spacing w:val="8"/>
          <w:sz w:val="20"/>
          <w:szCs w:val="20"/>
        </w:rPr>
        <w:t>进场的设备。</w:t>
      </w:r>
    </w:p>
    <w:p w14:paraId="7D2385AD">
      <w:pPr>
        <w:spacing w:line="250" w:lineRule="auto"/>
        <w:rPr>
          <w:rFonts w:ascii="Arial"/>
          <w:sz w:val="21"/>
        </w:rPr>
      </w:pPr>
    </w:p>
    <w:p w14:paraId="1D47DEBB">
      <w:pPr>
        <w:spacing w:line="250" w:lineRule="auto"/>
        <w:rPr>
          <w:rFonts w:ascii="Arial"/>
          <w:sz w:val="21"/>
        </w:rPr>
      </w:pPr>
    </w:p>
    <w:p w14:paraId="5C938849">
      <w:pPr>
        <w:spacing w:line="250" w:lineRule="auto"/>
        <w:rPr>
          <w:rFonts w:ascii="Arial"/>
          <w:sz w:val="21"/>
        </w:rPr>
      </w:pPr>
    </w:p>
    <w:p w14:paraId="663585B3">
      <w:pPr>
        <w:spacing w:line="250" w:lineRule="auto"/>
        <w:rPr>
          <w:rFonts w:ascii="Arial"/>
          <w:sz w:val="21"/>
        </w:rPr>
      </w:pPr>
    </w:p>
    <w:p w14:paraId="11035A0F">
      <w:pPr>
        <w:spacing w:line="250" w:lineRule="auto"/>
        <w:rPr>
          <w:rFonts w:ascii="Arial"/>
          <w:sz w:val="21"/>
        </w:rPr>
      </w:pPr>
    </w:p>
    <w:p w14:paraId="790C910E">
      <w:pPr>
        <w:spacing w:line="250" w:lineRule="auto"/>
        <w:rPr>
          <w:rFonts w:ascii="Arial"/>
          <w:sz w:val="21"/>
        </w:rPr>
      </w:pPr>
    </w:p>
    <w:p w14:paraId="5832B810">
      <w:pPr>
        <w:spacing w:line="250" w:lineRule="auto"/>
        <w:rPr>
          <w:rFonts w:ascii="Arial"/>
          <w:sz w:val="21"/>
        </w:rPr>
      </w:pPr>
    </w:p>
    <w:p w14:paraId="1AF34428">
      <w:pPr>
        <w:spacing w:line="250" w:lineRule="auto"/>
        <w:rPr>
          <w:rFonts w:ascii="Arial"/>
          <w:sz w:val="21"/>
        </w:rPr>
      </w:pPr>
    </w:p>
    <w:p w14:paraId="4E606636">
      <w:pPr>
        <w:spacing w:line="250" w:lineRule="auto"/>
        <w:rPr>
          <w:rFonts w:ascii="Arial"/>
          <w:sz w:val="21"/>
        </w:rPr>
      </w:pPr>
    </w:p>
    <w:p w14:paraId="6D39BD15">
      <w:pPr>
        <w:spacing w:line="250" w:lineRule="auto"/>
        <w:rPr>
          <w:rFonts w:ascii="Arial"/>
          <w:sz w:val="21"/>
        </w:rPr>
      </w:pPr>
    </w:p>
    <w:p w14:paraId="0422570D">
      <w:pPr>
        <w:spacing w:line="250" w:lineRule="auto"/>
        <w:rPr>
          <w:rFonts w:ascii="Arial"/>
          <w:sz w:val="21"/>
        </w:rPr>
      </w:pPr>
    </w:p>
    <w:p w14:paraId="1F7EED9B">
      <w:pPr>
        <w:spacing w:line="250" w:lineRule="auto"/>
        <w:rPr>
          <w:rFonts w:ascii="Arial"/>
          <w:sz w:val="21"/>
        </w:rPr>
      </w:pPr>
    </w:p>
    <w:p w14:paraId="7D716E74">
      <w:pPr>
        <w:spacing w:line="463" w:lineRule="auto"/>
        <w:rPr>
          <w:rFonts w:hint="eastAsia" w:ascii="Arial" w:eastAsia="宋体"/>
          <w:sz w:val="21"/>
          <w:lang w:eastAsia="zh-CN"/>
        </w:rPr>
      </w:pPr>
    </w:p>
    <w:p w14:paraId="27CAC716">
      <w:pPr>
        <w:rPr>
          <w:rFonts w:ascii="宋体" w:hAnsi="宋体" w:eastAsia="宋体" w:cs="宋体"/>
          <w:b/>
          <w:bCs/>
          <w:spacing w:val="-5"/>
          <w:sz w:val="28"/>
          <w:szCs w:val="28"/>
        </w:rPr>
      </w:pPr>
      <w:r>
        <w:rPr>
          <w:rFonts w:ascii="宋体" w:hAnsi="宋体" w:eastAsia="宋体" w:cs="宋体"/>
          <w:b/>
          <w:bCs/>
          <w:spacing w:val="-5"/>
          <w:sz w:val="28"/>
          <w:szCs w:val="28"/>
        </w:rPr>
        <w:br w:type="page"/>
      </w:r>
    </w:p>
    <w:p w14:paraId="0006BFC7">
      <w:pPr>
        <w:spacing w:before="91" w:line="221" w:lineRule="auto"/>
        <w:ind w:left="3705"/>
        <w:rPr>
          <w:rFonts w:ascii="宋体" w:hAnsi="宋体" w:eastAsia="宋体" w:cs="宋体"/>
          <w:sz w:val="28"/>
          <w:szCs w:val="28"/>
        </w:rPr>
      </w:pPr>
      <w:r>
        <w:rPr>
          <w:rFonts w:ascii="宋体" w:hAnsi="宋体" w:eastAsia="宋体" w:cs="宋体"/>
          <w:b/>
          <w:bCs/>
          <w:spacing w:val="-5"/>
          <w:sz w:val="28"/>
          <w:szCs w:val="28"/>
        </w:rPr>
        <w:t>九、其他资料</w:t>
      </w:r>
    </w:p>
    <w:p w14:paraId="7E7CEBDA">
      <w:pPr>
        <w:spacing w:line="361" w:lineRule="auto"/>
        <w:rPr>
          <w:rFonts w:ascii="Arial"/>
          <w:sz w:val="21"/>
        </w:rPr>
      </w:pPr>
    </w:p>
    <w:p w14:paraId="0BA34776">
      <w:pPr>
        <w:spacing w:before="78" w:line="219" w:lineRule="auto"/>
        <w:ind w:left="26"/>
        <w:rPr>
          <w:rFonts w:ascii="宋体" w:hAnsi="宋体" w:eastAsia="宋体" w:cs="宋体"/>
          <w:sz w:val="24"/>
          <w:szCs w:val="24"/>
        </w:rPr>
      </w:pPr>
      <w:r>
        <w:rPr>
          <w:rFonts w:ascii="宋体" w:hAnsi="宋体" w:eastAsia="宋体" w:cs="宋体"/>
          <w:spacing w:val="-2"/>
          <w:sz w:val="24"/>
          <w:szCs w:val="24"/>
        </w:rPr>
        <w:t>1、提供“九-1、承诺书</w:t>
      </w:r>
      <w:r>
        <w:rPr>
          <w:rFonts w:ascii="宋体" w:hAnsi="宋体" w:eastAsia="宋体" w:cs="宋体"/>
          <w:spacing w:val="-88"/>
          <w:sz w:val="24"/>
          <w:szCs w:val="24"/>
        </w:rPr>
        <w:t xml:space="preserve"> </w:t>
      </w:r>
      <w:r>
        <w:rPr>
          <w:rFonts w:ascii="宋体" w:hAnsi="宋体" w:eastAsia="宋体" w:cs="宋体"/>
          <w:spacing w:val="-2"/>
          <w:sz w:val="24"/>
          <w:szCs w:val="24"/>
        </w:rPr>
        <w:t>”。</w:t>
      </w:r>
    </w:p>
    <w:p w14:paraId="29CFDB18">
      <w:pPr>
        <w:spacing w:before="183" w:line="219" w:lineRule="auto"/>
        <w:ind w:left="11"/>
        <w:rPr>
          <w:rFonts w:ascii="宋体" w:hAnsi="宋体" w:eastAsia="宋体" w:cs="宋体"/>
          <w:sz w:val="24"/>
          <w:szCs w:val="24"/>
        </w:rPr>
      </w:pPr>
      <w:r>
        <w:rPr>
          <w:rFonts w:ascii="宋体" w:hAnsi="宋体" w:eastAsia="宋体" w:cs="宋体"/>
          <w:spacing w:val="-1"/>
          <w:sz w:val="24"/>
          <w:szCs w:val="24"/>
        </w:rPr>
        <w:t>2、提供“九-2、投标人的自评分表</w:t>
      </w:r>
      <w:r>
        <w:rPr>
          <w:rFonts w:ascii="宋体" w:hAnsi="宋体" w:eastAsia="宋体" w:cs="宋体"/>
          <w:spacing w:val="-82"/>
          <w:sz w:val="24"/>
          <w:szCs w:val="24"/>
        </w:rPr>
        <w:t xml:space="preserve"> </w:t>
      </w:r>
      <w:r>
        <w:rPr>
          <w:rFonts w:ascii="宋体" w:hAnsi="宋体" w:eastAsia="宋体" w:cs="宋体"/>
          <w:spacing w:val="-1"/>
          <w:sz w:val="24"/>
          <w:szCs w:val="24"/>
        </w:rPr>
        <w:t>”。</w:t>
      </w:r>
    </w:p>
    <w:p w14:paraId="124B7353">
      <w:pPr>
        <w:spacing w:before="184" w:line="359" w:lineRule="auto"/>
        <w:ind w:left="6" w:right="67" w:firstLine="6"/>
        <w:rPr>
          <w:rFonts w:ascii="宋体" w:hAnsi="宋体" w:eastAsia="宋体" w:cs="宋体"/>
          <w:sz w:val="24"/>
          <w:szCs w:val="24"/>
        </w:rPr>
      </w:pPr>
      <w:r>
        <w:rPr>
          <w:rFonts w:ascii="宋体" w:hAnsi="宋体" w:eastAsia="宋体" w:cs="宋体"/>
          <w:spacing w:val="-1"/>
          <w:sz w:val="24"/>
          <w:szCs w:val="24"/>
        </w:rPr>
        <w:t>3、提供最新年度广东省水运工程从业单位信用评价等级（若有</w:t>
      </w:r>
      <w:r>
        <w:rPr>
          <w:rFonts w:ascii="宋体" w:hAnsi="宋体" w:eastAsia="宋体" w:cs="宋体"/>
          <w:spacing w:val="10"/>
          <w:sz w:val="24"/>
          <w:szCs w:val="24"/>
        </w:rPr>
        <w:t>），</w:t>
      </w:r>
      <w:r>
        <w:rPr>
          <w:rFonts w:ascii="宋体" w:hAnsi="宋体" w:eastAsia="宋体" w:cs="宋体"/>
          <w:spacing w:val="-1"/>
          <w:sz w:val="24"/>
          <w:szCs w:val="24"/>
        </w:rPr>
        <w:t>并标识单位所在位</w:t>
      </w:r>
      <w:r>
        <w:rPr>
          <w:rFonts w:ascii="宋体" w:hAnsi="宋体" w:eastAsia="宋体" w:cs="宋体"/>
          <w:spacing w:val="-4"/>
          <w:sz w:val="24"/>
          <w:szCs w:val="24"/>
        </w:rPr>
        <w:t>置。</w:t>
      </w:r>
    </w:p>
    <w:p w14:paraId="21F3A863">
      <w:pPr>
        <w:spacing w:before="3" w:line="358" w:lineRule="auto"/>
        <w:ind w:left="7"/>
        <w:rPr>
          <w:rFonts w:ascii="宋体" w:hAnsi="宋体" w:eastAsia="宋体" w:cs="宋体"/>
          <w:sz w:val="24"/>
          <w:szCs w:val="24"/>
        </w:rPr>
      </w:pPr>
      <w:r>
        <w:rPr>
          <w:rFonts w:ascii="宋体" w:hAnsi="宋体" w:eastAsia="宋体" w:cs="宋体"/>
          <w:sz w:val="24"/>
          <w:szCs w:val="24"/>
        </w:rPr>
        <w:t>4、初次进入且无广东省最新年度信用评价等级的，但在最新年</w:t>
      </w:r>
      <w:r>
        <w:rPr>
          <w:rFonts w:ascii="宋体" w:hAnsi="宋体" w:eastAsia="宋体" w:cs="宋体"/>
          <w:spacing w:val="-1"/>
          <w:sz w:val="24"/>
          <w:szCs w:val="24"/>
        </w:rPr>
        <w:t>度的全国水运从业单位</w:t>
      </w:r>
      <w:r>
        <w:rPr>
          <w:rFonts w:ascii="宋体" w:hAnsi="宋体" w:eastAsia="宋体" w:cs="宋体"/>
          <w:spacing w:val="-3"/>
          <w:sz w:val="24"/>
          <w:szCs w:val="24"/>
        </w:rPr>
        <w:t>（施工单位）信用评价结果为</w:t>
      </w:r>
      <w:r>
        <w:rPr>
          <w:rFonts w:ascii="宋体" w:hAnsi="宋体" w:eastAsia="宋体" w:cs="宋体"/>
          <w:spacing w:val="-40"/>
          <w:sz w:val="24"/>
          <w:szCs w:val="24"/>
        </w:rPr>
        <w:t xml:space="preserve"> </w:t>
      </w:r>
      <w:r>
        <w:rPr>
          <w:rFonts w:ascii="宋体" w:hAnsi="宋体" w:eastAsia="宋体" w:cs="宋体"/>
          <w:spacing w:val="-3"/>
          <w:sz w:val="24"/>
          <w:szCs w:val="24"/>
        </w:rPr>
        <w:t>C</w:t>
      </w:r>
      <w:r>
        <w:rPr>
          <w:rFonts w:ascii="宋体" w:hAnsi="宋体" w:eastAsia="宋体" w:cs="宋体"/>
          <w:spacing w:val="-47"/>
          <w:sz w:val="24"/>
          <w:szCs w:val="24"/>
        </w:rPr>
        <w:t xml:space="preserve"> </w:t>
      </w:r>
      <w:r>
        <w:rPr>
          <w:rFonts w:ascii="宋体" w:hAnsi="宋体" w:eastAsia="宋体" w:cs="宋体"/>
          <w:spacing w:val="-3"/>
          <w:sz w:val="24"/>
          <w:szCs w:val="24"/>
        </w:rPr>
        <w:t>级或</w:t>
      </w:r>
      <w:r>
        <w:rPr>
          <w:rFonts w:ascii="宋体" w:hAnsi="宋体" w:eastAsia="宋体" w:cs="宋体"/>
          <w:spacing w:val="-55"/>
          <w:sz w:val="24"/>
          <w:szCs w:val="24"/>
        </w:rPr>
        <w:t xml:space="preserve"> </w:t>
      </w:r>
      <w:r>
        <w:rPr>
          <w:rFonts w:ascii="宋体" w:hAnsi="宋体" w:eastAsia="宋体" w:cs="宋体"/>
          <w:spacing w:val="-3"/>
          <w:sz w:val="24"/>
          <w:szCs w:val="24"/>
        </w:rPr>
        <w:t>D</w:t>
      </w:r>
      <w:r>
        <w:rPr>
          <w:rFonts w:ascii="宋体" w:hAnsi="宋体" w:eastAsia="宋体" w:cs="宋体"/>
          <w:spacing w:val="-47"/>
          <w:sz w:val="24"/>
          <w:szCs w:val="24"/>
        </w:rPr>
        <w:t xml:space="preserve"> </w:t>
      </w:r>
      <w:r>
        <w:rPr>
          <w:rFonts w:ascii="宋体" w:hAnsi="宋体" w:eastAsia="宋体" w:cs="宋体"/>
          <w:spacing w:val="-3"/>
          <w:sz w:val="24"/>
          <w:szCs w:val="24"/>
        </w:rPr>
        <w:t>级的，提供最新年度的全国评价结果单位查询所在页；</w:t>
      </w:r>
    </w:p>
    <w:p w14:paraId="49A76B99">
      <w:pPr>
        <w:spacing w:line="359" w:lineRule="auto"/>
        <w:ind w:left="9" w:right="67" w:firstLine="3"/>
        <w:rPr>
          <w:rFonts w:ascii="宋体" w:hAnsi="宋体" w:eastAsia="宋体" w:cs="宋体"/>
          <w:sz w:val="24"/>
          <w:szCs w:val="24"/>
        </w:rPr>
      </w:pPr>
      <w:r>
        <w:rPr>
          <w:rFonts w:ascii="宋体" w:hAnsi="宋体" w:eastAsia="宋体" w:cs="宋体"/>
          <w:sz w:val="24"/>
          <w:szCs w:val="24"/>
        </w:rPr>
        <w:t>5、如上一年度有信用评价而最新年度在广东省无</w:t>
      </w:r>
      <w:r>
        <w:rPr>
          <w:rFonts w:ascii="宋体" w:hAnsi="宋体" w:eastAsia="宋体" w:cs="宋体"/>
          <w:spacing w:val="-1"/>
          <w:sz w:val="24"/>
          <w:szCs w:val="24"/>
        </w:rPr>
        <w:t>信用等级的需提供上一年度有信用评</w:t>
      </w:r>
      <w:r>
        <w:rPr>
          <w:rFonts w:ascii="宋体" w:hAnsi="宋体" w:eastAsia="宋体" w:cs="宋体"/>
          <w:spacing w:val="-2"/>
          <w:sz w:val="24"/>
          <w:szCs w:val="24"/>
        </w:rPr>
        <w:t>价（若有</w:t>
      </w:r>
      <w:r>
        <w:rPr>
          <w:rFonts w:ascii="宋体" w:hAnsi="宋体" w:eastAsia="宋体" w:cs="宋体"/>
          <w:spacing w:val="8"/>
          <w:sz w:val="24"/>
          <w:szCs w:val="24"/>
        </w:rPr>
        <w:t>），</w:t>
      </w:r>
      <w:r>
        <w:rPr>
          <w:rFonts w:ascii="宋体" w:hAnsi="宋体" w:eastAsia="宋体" w:cs="宋体"/>
          <w:spacing w:val="-2"/>
          <w:sz w:val="24"/>
          <w:szCs w:val="24"/>
        </w:rPr>
        <w:t>并标识单位所在位置。</w:t>
      </w:r>
    </w:p>
    <w:p w14:paraId="40F47D92">
      <w:pPr>
        <w:spacing w:before="1" w:line="359" w:lineRule="auto"/>
        <w:ind w:left="11" w:hanging="1"/>
        <w:rPr>
          <w:rFonts w:ascii="宋体" w:hAnsi="宋体" w:eastAsia="宋体" w:cs="宋体"/>
          <w:sz w:val="24"/>
          <w:szCs w:val="24"/>
        </w:rPr>
      </w:pPr>
      <w:r>
        <w:rPr>
          <w:rFonts w:ascii="宋体" w:hAnsi="宋体" w:eastAsia="宋体" w:cs="宋体"/>
          <w:sz w:val="24"/>
          <w:szCs w:val="24"/>
        </w:rPr>
        <w:t>6、详细说明因水运工程（含附属设施）质量、安全事故</w:t>
      </w:r>
      <w:r>
        <w:rPr>
          <w:rFonts w:ascii="宋体" w:hAnsi="宋体" w:eastAsia="宋体" w:cs="宋体"/>
          <w:spacing w:val="-1"/>
          <w:sz w:val="24"/>
          <w:szCs w:val="24"/>
        </w:rPr>
        <w:t>被交通运输部行政处罚且在处</w:t>
      </w:r>
      <w:r>
        <w:rPr>
          <w:rFonts w:ascii="宋体" w:hAnsi="宋体" w:eastAsia="宋体" w:cs="宋体"/>
          <w:spacing w:val="-2"/>
          <w:sz w:val="24"/>
          <w:szCs w:val="24"/>
        </w:rPr>
        <w:t>罚信息公示期内、广东省交通运输厅行政处罚且在处罚信息公示期内、</w:t>
      </w:r>
      <w:r>
        <w:rPr>
          <w:rFonts w:ascii="宋体" w:hAnsi="宋体" w:eastAsia="宋体" w:cs="宋体"/>
          <w:spacing w:val="-2"/>
          <w:sz w:val="24"/>
          <w:szCs w:val="24"/>
          <w:u w:val="single" w:color="auto"/>
        </w:rPr>
        <w:t>（项目涉及各地</w:t>
      </w:r>
      <w:r>
        <w:rPr>
          <w:rFonts w:ascii="宋体" w:hAnsi="宋体" w:eastAsia="宋体" w:cs="宋体"/>
          <w:sz w:val="24"/>
          <w:szCs w:val="24"/>
          <w:u w:val="single" w:color="auto"/>
        </w:rPr>
        <w:t>级以上市）市交通运输（港口）主管部门行政处</w:t>
      </w:r>
      <w:r>
        <w:rPr>
          <w:rFonts w:ascii="宋体" w:hAnsi="宋体" w:eastAsia="宋体" w:cs="宋体"/>
          <w:spacing w:val="-1"/>
          <w:sz w:val="24"/>
          <w:szCs w:val="24"/>
          <w:u w:val="single" w:color="auto"/>
        </w:rPr>
        <w:t>罚且在处罚信息公示期内</w:t>
      </w:r>
      <w:r>
        <w:rPr>
          <w:rFonts w:ascii="宋体" w:hAnsi="宋体" w:eastAsia="宋体" w:cs="宋体"/>
          <w:spacing w:val="-1"/>
          <w:sz w:val="24"/>
          <w:szCs w:val="24"/>
        </w:rPr>
        <w:t>的文件。</w:t>
      </w:r>
    </w:p>
    <w:p w14:paraId="44CE5FBE">
      <w:pPr>
        <w:spacing w:line="219" w:lineRule="auto"/>
        <w:ind w:left="14"/>
        <w:rPr>
          <w:rFonts w:hint="eastAsia" w:ascii="宋体" w:hAnsi="宋体" w:eastAsia="宋体" w:cs="宋体"/>
          <w:sz w:val="24"/>
          <w:szCs w:val="24"/>
        </w:rPr>
      </w:pPr>
      <w:r>
        <w:rPr>
          <w:rFonts w:ascii="宋体" w:hAnsi="宋体" w:eastAsia="宋体" w:cs="宋体"/>
          <w:spacing w:val="-2"/>
          <w:sz w:val="24"/>
          <w:szCs w:val="24"/>
        </w:rPr>
        <w:t>7、投标人认为需要的其他内容。</w:t>
      </w:r>
      <w:r>
        <w:rPr>
          <w:rFonts w:hint="eastAsia" w:ascii="宋体" w:hAnsi="宋体" w:eastAsia="宋体" w:cs="宋体"/>
          <w:sz w:val="24"/>
          <w:szCs w:val="24"/>
        </w:rPr>
        <w:t>（如体现技术能力的相关证明材料）。</w:t>
      </w:r>
    </w:p>
    <w:p w14:paraId="3A9DB4EE">
      <w:pPr>
        <w:spacing w:line="464" w:lineRule="auto"/>
        <w:rPr>
          <w:rFonts w:hint="eastAsia" w:ascii="Arial" w:eastAsia="宋体"/>
          <w:sz w:val="21"/>
          <w:lang w:eastAsia="zh-CN"/>
        </w:rPr>
      </w:pPr>
      <w:r>
        <w:rPr>
          <w:rFonts w:hint="eastAsia" w:ascii="Arial" w:eastAsia="宋体"/>
          <w:sz w:val="21"/>
          <w:lang w:eastAsia="zh-CN"/>
        </w:rPr>
        <w:br w:type="page"/>
      </w:r>
    </w:p>
    <w:p w14:paraId="4C78BFA9">
      <w:pPr>
        <w:spacing w:before="91" w:line="219" w:lineRule="auto"/>
        <w:ind w:left="3705"/>
        <w:rPr>
          <w:rFonts w:ascii="宋体" w:hAnsi="宋体" w:eastAsia="宋体" w:cs="宋体"/>
          <w:sz w:val="28"/>
          <w:szCs w:val="28"/>
        </w:rPr>
      </w:pPr>
      <w:r>
        <w:rPr>
          <w:rFonts w:ascii="宋体" w:hAnsi="宋体" w:eastAsia="宋体" w:cs="宋体"/>
          <w:b/>
          <w:bCs/>
          <w:spacing w:val="-5"/>
          <w:sz w:val="28"/>
          <w:szCs w:val="28"/>
        </w:rPr>
        <w:t>九-1、承诺书</w:t>
      </w:r>
    </w:p>
    <w:p w14:paraId="7F3D3ED7">
      <w:pPr>
        <w:spacing w:before="264" w:line="218" w:lineRule="auto"/>
        <w:ind w:left="2013"/>
        <w:rPr>
          <w:rFonts w:ascii="宋体" w:hAnsi="宋体" w:eastAsia="宋体" w:cs="宋体"/>
          <w:sz w:val="24"/>
          <w:szCs w:val="24"/>
        </w:rPr>
      </w:pPr>
      <w:r>
        <w:rPr>
          <w:rFonts w:ascii="宋体" w:hAnsi="宋体" w:eastAsia="宋体" w:cs="宋体"/>
          <w:b/>
          <w:bCs/>
          <w:spacing w:val="-3"/>
          <w:sz w:val="24"/>
          <w:szCs w:val="24"/>
        </w:rPr>
        <w:t>使用广东省信用评价等级的申请承诺书（格式）</w:t>
      </w:r>
    </w:p>
    <w:p w14:paraId="51FD0DA3">
      <w:pPr>
        <w:spacing w:before="304" w:line="220" w:lineRule="auto"/>
        <w:ind w:left="8"/>
        <w:rPr>
          <w:rFonts w:ascii="宋体" w:hAnsi="宋体" w:eastAsia="宋体" w:cs="宋体"/>
          <w:sz w:val="24"/>
          <w:szCs w:val="24"/>
        </w:rPr>
      </w:pPr>
      <w:r>
        <w:rPr>
          <w:rFonts w:ascii="宋体" w:hAnsi="宋体" w:eastAsia="宋体" w:cs="宋体"/>
          <w:spacing w:val="2"/>
          <w:sz w:val="24"/>
          <w:szCs w:val="24"/>
        </w:rPr>
        <w:t>致招标人</w:t>
      </w:r>
      <w:r>
        <w:rPr>
          <w:rFonts w:ascii="宋体" w:hAnsi="宋体" w:eastAsia="宋体" w:cs="宋体"/>
          <w:spacing w:val="-16"/>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16"/>
          <w:sz w:val="24"/>
          <w:szCs w:val="24"/>
          <w:u w:val="single" w:color="auto"/>
        </w:rPr>
        <w:t>（</w:t>
      </w:r>
      <w:r>
        <w:rPr>
          <w:rFonts w:ascii="宋体" w:hAnsi="宋体" w:eastAsia="宋体" w:cs="宋体"/>
          <w:spacing w:val="2"/>
          <w:sz w:val="24"/>
          <w:szCs w:val="24"/>
          <w:u w:val="single" w:color="auto"/>
        </w:rPr>
        <w:t>招标人全称）</w:t>
      </w:r>
    </w:p>
    <w:p w14:paraId="6E5081FA">
      <w:pPr>
        <w:spacing w:before="179" w:line="219" w:lineRule="auto"/>
        <w:ind w:left="490"/>
        <w:rPr>
          <w:rFonts w:ascii="宋体" w:hAnsi="宋体" w:eastAsia="宋体" w:cs="宋体"/>
          <w:sz w:val="24"/>
          <w:szCs w:val="24"/>
        </w:rPr>
      </w:pPr>
      <w:r>
        <w:rPr>
          <w:rFonts w:ascii="宋体" w:hAnsi="宋体" w:eastAsia="宋体" w:cs="宋体"/>
          <w:spacing w:val="-1"/>
          <w:sz w:val="24"/>
          <w:szCs w:val="24"/>
        </w:rPr>
        <w:t>按相关要求，现我单位对使用信用等级申请如下：</w:t>
      </w:r>
    </w:p>
    <w:p w14:paraId="064694B4">
      <w:pPr>
        <w:spacing w:before="182" w:line="359" w:lineRule="auto"/>
        <w:ind w:left="9" w:right="2" w:firstLine="482"/>
        <w:rPr>
          <w:rFonts w:ascii="宋体" w:hAnsi="宋体" w:eastAsia="宋体" w:cs="宋体"/>
          <w:sz w:val="24"/>
          <w:szCs w:val="24"/>
        </w:rPr>
      </w:pPr>
      <w:r>
        <w:rPr>
          <w:rFonts w:ascii="宋体" w:hAnsi="宋体" w:eastAsia="宋体" w:cs="宋体"/>
          <w:spacing w:val="-4"/>
          <w:sz w:val="24"/>
          <w:szCs w:val="24"/>
        </w:rPr>
        <w:t>一、我单位在</w:t>
      </w:r>
      <w:r>
        <w:rPr>
          <w:rFonts w:ascii="宋体" w:hAnsi="宋体" w:eastAsia="宋体" w:cs="宋体"/>
          <w:spacing w:val="2"/>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4"/>
          <w:sz w:val="24"/>
          <w:szCs w:val="24"/>
        </w:rPr>
        <w:t>招标（</w:t>
      </w:r>
      <w:r>
        <w:rPr>
          <w:rFonts w:ascii="宋体" w:hAnsi="宋体" w:eastAsia="宋体" w:cs="宋体"/>
          <w:spacing w:val="-86"/>
          <w:sz w:val="24"/>
          <w:szCs w:val="24"/>
        </w:rPr>
        <w:t xml:space="preserve"> </w:t>
      </w:r>
      <w:r>
        <w:rPr>
          <w:rFonts w:ascii="宋体" w:hAnsi="宋体" w:eastAsia="宋体" w:cs="宋体"/>
          <w:spacing w:val="14"/>
          <w:sz w:val="24"/>
          <w:szCs w:val="24"/>
          <w:u w:val="single" w:color="auto"/>
        </w:rPr>
        <w:t xml:space="preserve">     </w:t>
      </w:r>
      <w:r>
        <w:rPr>
          <w:rFonts w:ascii="宋体" w:hAnsi="宋体" w:eastAsia="宋体" w:cs="宋体"/>
          <w:spacing w:val="-4"/>
          <w:sz w:val="24"/>
          <w:szCs w:val="24"/>
          <w:u w:val="single" w:color="auto"/>
        </w:rPr>
        <w:t>标类/标段</w:t>
      </w:r>
      <w:r>
        <w:rPr>
          <w:rFonts w:ascii="宋体" w:hAnsi="宋体" w:eastAsia="宋体" w:cs="宋体"/>
          <w:spacing w:val="-4"/>
          <w:sz w:val="24"/>
          <w:szCs w:val="24"/>
        </w:rPr>
        <w:t>）的招标中</w:t>
      </w:r>
      <w:r>
        <w:rPr>
          <w:rFonts w:ascii="宋体" w:hAnsi="宋体" w:eastAsia="宋体" w:cs="宋体"/>
          <w:spacing w:val="-5"/>
          <w:sz w:val="24"/>
          <w:szCs w:val="24"/>
        </w:rPr>
        <w:t>，</w:t>
      </w:r>
      <w:r>
        <w:rPr>
          <w:rFonts w:ascii="宋体" w:hAnsi="宋体" w:eastAsia="宋体" w:cs="宋体"/>
          <w:b/>
          <w:bCs/>
          <w:spacing w:val="-5"/>
          <w:sz w:val="24"/>
          <w:szCs w:val="24"/>
        </w:rPr>
        <w:t>第</w:t>
      </w:r>
      <w:r>
        <w:rPr>
          <w:rFonts w:ascii="宋体" w:hAnsi="宋体" w:eastAsia="宋体" w:cs="宋体"/>
          <w:spacing w:val="28"/>
          <w:sz w:val="24"/>
          <w:szCs w:val="24"/>
          <w:u w:val="single" w:color="auto"/>
        </w:rPr>
        <w:t xml:space="preserve">   </w:t>
      </w:r>
      <w:r>
        <w:rPr>
          <w:rFonts w:ascii="宋体" w:hAnsi="宋体" w:eastAsia="宋体" w:cs="宋体"/>
          <w:spacing w:val="-101"/>
          <w:sz w:val="24"/>
          <w:szCs w:val="24"/>
        </w:rPr>
        <w:t xml:space="preserve"> </w:t>
      </w:r>
      <w:r>
        <w:rPr>
          <w:rFonts w:ascii="宋体" w:hAnsi="宋体" w:eastAsia="宋体" w:cs="宋体"/>
          <w:b/>
          <w:bCs/>
          <w:spacing w:val="-5"/>
          <w:sz w:val="24"/>
          <w:szCs w:val="24"/>
        </w:rPr>
        <w:t>次</w:t>
      </w:r>
      <w:r>
        <w:rPr>
          <w:rFonts w:ascii="宋体" w:hAnsi="宋体" w:eastAsia="宋体" w:cs="宋体"/>
          <w:b/>
          <w:bCs/>
          <w:spacing w:val="-1"/>
          <w:sz w:val="24"/>
          <w:szCs w:val="24"/>
        </w:rPr>
        <w:t>使用（</w:t>
      </w:r>
      <w:r>
        <w:rPr>
          <w:rFonts w:ascii="宋体" w:hAnsi="宋体" w:eastAsia="宋体" w:cs="宋体"/>
          <w:b/>
          <w:bCs/>
          <w:spacing w:val="-1"/>
          <w:sz w:val="24"/>
          <w:szCs w:val="24"/>
          <w:u w:val="single" w:color="auto"/>
        </w:rPr>
        <w:t>或不使用</w:t>
      </w:r>
      <w:r>
        <w:rPr>
          <w:rFonts w:ascii="宋体" w:hAnsi="宋体" w:eastAsia="宋体" w:cs="宋体"/>
          <w:b/>
          <w:bCs/>
          <w:spacing w:val="-1"/>
          <w:sz w:val="24"/>
          <w:szCs w:val="24"/>
        </w:rPr>
        <w:t>）</w:t>
      </w:r>
      <w:r>
        <w:rPr>
          <w:rFonts w:ascii="宋体" w:hAnsi="宋体" w:eastAsia="宋体" w:cs="宋体"/>
          <w:spacing w:val="-1"/>
          <w:sz w:val="24"/>
          <w:szCs w:val="24"/>
        </w:rPr>
        <w:t>广东省交通运输厅发布的</w:t>
      </w:r>
      <w:r>
        <w:rPr>
          <w:rFonts w:ascii="宋体" w:hAnsi="宋体" w:eastAsia="宋体" w:cs="宋体"/>
          <w:spacing w:val="-1"/>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
          <w:sz w:val="24"/>
          <w:szCs w:val="24"/>
        </w:rPr>
        <w:t>年度信用评价</w:t>
      </w:r>
      <w:r>
        <w:rPr>
          <w:rFonts w:ascii="宋体" w:hAnsi="宋体" w:eastAsia="宋体" w:cs="宋体"/>
          <w:spacing w:val="-1"/>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
          <w:sz w:val="24"/>
          <w:szCs w:val="24"/>
        </w:rPr>
        <w:t>等级结</w:t>
      </w:r>
      <w:r>
        <w:rPr>
          <w:rFonts w:ascii="宋体" w:hAnsi="宋体" w:eastAsia="宋体" w:cs="宋体"/>
          <w:spacing w:val="-2"/>
          <w:sz w:val="24"/>
          <w:szCs w:val="24"/>
        </w:rPr>
        <w:t>果和对应等</w:t>
      </w:r>
      <w:r>
        <w:rPr>
          <w:rFonts w:ascii="宋体" w:hAnsi="宋体" w:eastAsia="宋体" w:cs="宋体"/>
          <w:spacing w:val="-3"/>
          <w:sz w:val="24"/>
          <w:szCs w:val="24"/>
        </w:rPr>
        <w:t>级分值。</w:t>
      </w:r>
    </w:p>
    <w:p w14:paraId="26387450">
      <w:pPr>
        <w:spacing w:before="1" w:line="359" w:lineRule="auto"/>
        <w:ind w:left="7" w:right="2" w:firstLine="484"/>
        <w:rPr>
          <w:rFonts w:ascii="宋体" w:hAnsi="宋体" w:eastAsia="宋体" w:cs="宋体"/>
          <w:sz w:val="24"/>
          <w:szCs w:val="24"/>
        </w:rPr>
      </w:pPr>
      <w:r>
        <w:rPr>
          <w:rFonts w:ascii="宋体" w:hAnsi="宋体" w:eastAsia="宋体" w:cs="宋体"/>
          <w:spacing w:val="1"/>
          <w:sz w:val="24"/>
          <w:szCs w:val="24"/>
        </w:rPr>
        <w:t>二、我单位承诺，在递交本次申请后，我单位将失去一次使用</w:t>
      </w:r>
      <w:r>
        <w:rPr>
          <w:rFonts w:ascii="宋体" w:hAnsi="宋体" w:eastAsia="宋体" w:cs="宋体"/>
          <w:spacing w:val="1"/>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1"/>
          <w:sz w:val="24"/>
          <w:szCs w:val="24"/>
        </w:rPr>
        <w:t>等级结果</w:t>
      </w:r>
      <w:r>
        <w:rPr>
          <w:rFonts w:ascii="宋体" w:hAnsi="宋体" w:eastAsia="宋体" w:cs="宋体"/>
          <w:sz w:val="24"/>
          <w:szCs w:val="24"/>
        </w:rPr>
        <w:t>（</w:t>
      </w:r>
      <w:r>
        <w:rPr>
          <w:rFonts w:ascii="宋体" w:hAnsi="宋体" w:eastAsia="宋体" w:cs="宋体"/>
          <w:b/>
          <w:bCs/>
          <w:sz w:val="24"/>
          <w:szCs w:val="24"/>
          <w:u w:val="single" w:color="auto"/>
        </w:rPr>
        <w:t>不</w:t>
      </w:r>
      <w:r>
        <w:rPr>
          <w:rFonts w:ascii="宋体" w:hAnsi="宋体" w:eastAsia="宋体" w:cs="宋体"/>
          <w:b/>
          <w:bCs/>
          <w:spacing w:val="-1"/>
          <w:sz w:val="24"/>
          <w:szCs w:val="24"/>
          <w:u w:val="single" w:color="auto"/>
        </w:rPr>
        <w:t>使用时上述填“/</w:t>
      </w:r>
      <w:r>
        <w:rPr>
          <w:rFonts w:ascii="宋体" w:hAnsi="宋体" w:eastAsia="宋体" w:cs="宋体"/>
          <w:spacing w:val="-89"/>
          <w:sz w:val="24"/>
          <w:szCs w:val="24"/>
          <w:u w:val="single" w:color="auto"/>
        </w:rPr>
        <w:t xml:space="preserve"> </w:t>
      </w:r>
      <w:r>
        <w:rPr>
          <w:rFonts w:ascii="宋体" w:hAnsi="宋体" w:eastAsia="宋体" w:cs="宋体"/>
          <w:b/>
          <w:bCs/>
          <w:spacing w:val="-1"/>
          <w:sz w:val="24"/>
          <w:szCs w:val="24"/>
          <w:u w:val="single" w:color="auto"/>
        </w:rPr>
        <w:t>”）</w:t>
      </w:r>
      <w:r>
        <w:rPr>
          <w:rFonts w:ascii="宋体" w:hAnsi="宋体" w:eastAsia="宋体" w:cs="宋体"/>
          <w:spacing w:val="-1"/>
          <w:sz w:val="24"/>
          <w:szCs w:val="24"/>
        </w:rPr>
        <w:t>参与投标的机会。当</w:t>
      </w:r>
      <w:r>
        <w:rPr>
          <w:rFonts w:ascii="宋体" w:hAnsi="宋体" w:eastAsia="宋体" w:cs="宋体"/>
          <w:spacing w:val="-2"/>
          <w:sz w:val="24"/>
          <w:szCs w:val="24"/>
        </w:rPr>
        <w:t>累计使用超过规定的次数，我单位同意按降</w:t>
      </w:r>
      <w:r>
        <w:rPr>
          <w:rFonts w:ascii="宋体" w:hAnsi="宋体" w:eastAsia="宋体" w:cs="宋体"/>
          <w:spacing w:val="-1"/>
          <w:sz w:val="24"/>
          <w:szCs w:val="24"/>
        </w:rPr>
        <w:t>低一个信用等级对应分值来认定参与投标评审。</w:t>
      </w:r>
    </w:p>
    <w:p w14:paraId="6C05B0C8">
      <w:pPr>
        <w:spacing w:line="359" w:lineRule="auto"/>
        <w:ind w:left="14" w:firstLine="474"/>
        <w:rPr>
          <w:rFonts w:ascii="宋体" w:hAnsi="宋体" w:eastAsia="宋体" w:cs="宋体"/>
          <w:sz w:val="24"/>
          <w:szCs w:val="24"/>
        </w:rPr>
      </w:pPr>
      <w:r>
        <w:rPr>
          <w:rFonts w:ascii="宋体" w:hAnsi="宋体" w:eastAsia="宋体" w:cs="宋体"/>
          <w:spacing w:val="-2"/>
          <w:sz w:val="24"/>
          <w:szCs w:val="24"/>
        </w:rPr>
        <w:t>三、如果我单位发生违反规定使用信用等级结果的情形，自愿接受省级交通运输主</w:t>
      </w:r>
      <w:r>
        <w:rPr>
          <w:rFonts w:ascii="宋体" w:hAnsi="宋体" w:eastAsia="宋体" w:cs="宋体"/>
          <w:spacing w:val="-3"/>
          <w:sz w:val="24"/>
          <w:szCs w:val="24"/>
        </w:rPr>
        <w:t>管部门的处理。</w:t>
      </w:r>
    </w:p>
    <w:p w14:paraId="0426DE98">
      <w:pPr>
        <w:spacing w:before="1" w:line="360" w:lineRule="auto"/>
        <w:ind w:left="488" w:right="427" w:firstLine="18"/>
        <w:rPr>
          <w:rFonts w:ascii="宋体" w:hAnsi="宋体" w:eastAsia="宋体" w:cs="宋体"/>
          <w:sz w:val="24"/>
          <w:szCs w:val="24"/>
        </w:rPr>
      </w:pPr>
      <w:r>
        <w:rPr>
          <w:rFonts w:ascii="宋体" w:hAnsi="宋体" w:eastAsia="宋体" w:cs="宋体"/>
          <w:spacing w:val="-1"/>
          <w:sz w:val="24"/>
          <w:szCs w:val="24"/>
        </w:rPr>
        <w:t>附件：</w:t>
      </w:r>
      <w:r>
        <w:rPr>
          <w:rFonts w:ascii="宋体" w:hAnsi="宋体" w:eastAsia="宋体" w:cs="宋体"/>
          <w:spacing w:val="-1"/>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
          <w:sz w:val="24"/>
          <w:szCs w:val="24"/>
        </w:rPr>
        <w:t xml:space="preserve">单位使用 </w:t>
      </w:r>
      <w:r>
        <w:rPr>
          <w:rFonts w:ascii="宋体" w:hAnsi="宋体" w:eastAsia="宋体" w:cs="宋体"/>
          <w:spacing w:val="-1"/>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
          <w:sz w:val="24"/>
          <w:szCs w:val="24"/>
        </w:rPr>
        <w:t>年度广东省水运工程从</w:t>
      </w:r>
      <w:r>
        <w:rPr>
          <w:rFonts w:ascii="宋体" w:hAnsi="宋体" w:eastAsia="宋体" w:cs="宋体"/>
          <w:spacing w:val="-2"/>
          <w:sz w:val="24"/>
          <w:szCs w:val="24"/>
        </w:rPr>
        <w:t>业单位信用等级情况汇总表</w:t>
      </w:r>
      <w:r>
        <w:rPr>
          <w:rFonts w:ascii="宋体" w:hAnsi="宋体" w:eastAsia="宋体" w:cs="宋体"/>
          <w:spacing w:val="-3"/>
          <w:sz w:val="24"/>
          <w:szCs w:val="24"/>
        </w:rPr>
        <w:t>特此承诺</w:t>
      </w:r>
    </w:p>
    <w:p w14:paraId="16E634A0">
      <w:pPr>
        <w:spacing w:line="382" w:lineRule="auto"/>
        <w:rPr>
          <w:rFonts w:ascii="Arial"/>
          <w:sz w:val="21"/>
        </w:rPr>
      </w:pPr>
    </w:p>
    <w:p w14:paraId="031A446B">
      <w:pPr>
        <w:spacing w:before="78" w:line="220" w:lineRule="auto"/>
        <w:ind w:left="2411"/>
        <w:rPr>
          <w:rFonts w:ascii="宋体" w:hAnsi="宋体" w:eastAsia="宋体" w:cs="宋体"/>
          <w:sz w:val="24"/>
          <w:szCs w:val="24"/>
        </w:rPr>
      </w:pPr>
      <w:r>
        <w:rPr>
          <w:rFonts w:ascii="宋体" w:hAnsi="宋体" w:eastAsia="宋体" w:cs="宋体"/>
          <w:spacing w:val="-2"/>
          <w:sz w:val="24"/>
          <w:szCs w:val="24"/>
        </w:rPr>
        <w:t>投标人（单位全称</w:t>
      </w:r>
      <w:r>
        <w:rPr>
          <w:rFonts w:ascii="宋体" w:hAnsi="宋体" w:eastAsia="宋体" w:cs="宋体"/>
          <w:spacing w:val="1"/>
          <w:sz w:val="24"/>
          <w:szCs w:val="24"/>
        </w:rPr>
        <w:t>）：</w:t>
      </w:r>
      <w:r>
        <w:rPr>
          <w:rFonts w:ascii="宋体" w:hAnsi="宋体" w:eastAsia="宋体" w:cs="宋体"/>
          <w:sz w:val="24"/>
          <w:szCs w:val="24"/>
          <w:u w:val="single" w:color="auto"/>
        </w:rPr>
        <w:t xml:space="preserve">                          </w:t>
      </w:r>
    </w:p>
    <w:p w14:paraId="3C6FAFB5">
      <w:pPr>
        <w:spacing w:line="258" w:lineRule="auto"/>
        <w:rPr>
          <w:rFonts w:ascii="Arial"/>
          <w:sz w:val="21"/>
        </w:rPr>
      </w:pPr>
    </w:p>
    <w:p w14:paraId="1300A254">
      <w:pPr>
        <w:spacing w:before="79" w:line="219" w:lineRule="auto"/>
        <w:ind w:left="2411"/>
        <w:rPr>
          <w:rFonts w:ascii="宋体" w:hAnsi="宋体" w:eastAsia="宋体" w:cs="宋体"/>
          <w:sz w:val="24"/>
          <w:szCs w:val="24"/>
        </w:rPr>
      </w:pPr>
      <w:r>
        <w:rPr>
          <w:rFonts w:ascii="宋体" w:hAnsi="宋体" w:eastAsia="宋体" w:cs="宋体"/>
          <w:spacing w:val="-1"/>
          <w:sz w:val="24"/>
          <w:szCs w:val="24"/>
        </w:rPr>
        <w:t>投标人的法定代表人或其委托代理人签名：</w:t>
      </w:r>
      <w:r>
        <w:rPr>
          <w:rFonts w:ascii="宋体" w:hAnsi="宋体" w:eastAsia="宋体" w:cs="宋体"/>
          <w:sz w:val="24"/>
          <w:szCs w:val="24"/>
          <w:u w:val="single" w:color="auto"/>
        </w:rPr>
        <w:t xml:space="preserve">            </w:t>
      </w:r>
    </w:p>
    <w:p w14:paraId="7E1D33D8">
      <w:pPr>
        <w:spacing w:line="257" w:lineRule="auto"/>
        <w:rPr>
          <w:rFonts w:ascii="Arial"/>
          <w:sz w:val="21"/>
        </w:rPr>
      </w:pPr>
    </w:p>
    <w:p w14:paraId="6EC43A2C">
      <w:pPr>
        <w:tabs>
          <w:tab w:val="left" w:pos="7385"/>
        </w:tabs>
        <w:spacing w:before="78" w:line="431" w:lineRule="auto"/>
        <w:ind w:left="7" w:firstLine="6898"/>
        <w:rPr>
          <w:rFonts w:ascii="宋体" w:hAnsi="宋体" w:eastAsia="宋体" w:cs="宋体"/>
          <w:sz w:val="20"/>
          <w:szCs w:val="20"/>
        </w:rPr>
      </w:pPr>
      <w:r>
        <w:rPr>
          <w:rFonts w:ascii="宋体" w:hAnsi="宋体" w:eastAsia="宋体" w:cs="宋体"/>
          <w:sz w:val="24"/>
          <w:szCs w:val="24"/>
          <w:u w:val="single" w:color="auto"/>
        </w:rPr>
        <w:tab/>
      </w:r>
      <w:r>
        <w:rPr>
          <w:rFonts w:ascii="宋体" w:hAnsi="宋体" w:eastAsia="宋体" w:cs="宋体"/>
          <w:spacing w:val="-108"/>
          <w:sz w:val="24"/>
          <w:szCs w:val="24"/>
        </w:rPr>
        <w:t xml:space="preserve"> </w:t>
      </w:r>
      <w:r>
        <w:rPr>
          <w:rFonts w:ascii="宋体" w:hAnsi="宋体" w:eastAsia="宋体" w:cs="宋体"/>
          <w:spacing w:val="-26"/>
          <w:sz w:val="24"/>
          <w:szCs w:val="24"/>
        </w:rPr>
        <w:t>年</w:t>
      </w:r>
      <w:r>
        <w:rPr>
          <w:rFonts w:ascii="宋体" w:hAnsi="宋体" w:eastAsia="宋体" w:cs="宋体"/>
          <w:spacing w:val="40"/>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26"/>
          <w:sz w:val="24"/>
          <w:szCs w:val="24"/>
        </w:rPr>
        <w:t>月</w:t>
      </w:r>
      <w:r>
        <w:rPr>
          <w:rFonts w:ascii="宋体" w:hAnsi="宋体" w:eastAsia="宋体" w:cs="宋体"/>
          <w:spacing w:val="40"/>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26"/>
          <w:sz w:val="24"/>
          <w:szCs w:val="24"/>
        </w:rPr>
        <w:t>日</w:t>
      </w:r>
      <w:r>
        <w:rPr>
          <w:rFonts w:ascii="宋体" w:hAnsi="宋体" w:eastAsia="宋体" w:cs="宋体"/>
          <w:sz w:val="20"/>
          <w:szCs w:val="20"/>
        </w:rPr>
        <w:t>注：</w:t>
      </w:r>
    </w:p>
    <w:p w14:paraId="26CA854B">
      <w:pPr>
        <w:spacing w:before="1" w:line="376" w:lineRule="auto"/>
        <w:ind w:left="6" w:right="2" w:firstLine="16"/>
        <w:rPr>
          <w:rFonts w:ascii="宋体" w:hAnsi="宋体" w:eastAsia="宋体" w:cs="宋体"/>
          <w:sz w:val="20"/>
          <w:szCs w:val="20"/>
        </w:rPr>
      </w:pPr>
      <w:r>
        <w:rPr>
          <w:rFonts w:ascii="宋体" w:hAnsi="宋体" w:eastAsia="宋体" w:cs="宋体"/>
          <w:spacing w:val="7"/>
          <w:sz w:val="20"/>
          <w:szCs w:val="20"/>
        </w:rPr>
        <w:t>1、</w:t>
      </w:r>
      <w:r>
        <w:rPr>
          <w:rFonts w:ascii="宋体" w:hAnsi="宋体" w:eastAsia="宋体" w:cs="宋体"/>
          <w:sz w:val="20"/>
          <w:szCs w:val="20"/>
        </w:rPr>
        <w:t>AA</w:t>
      </w:r>
      <w:r>
        <w:rPr>
          <w:rFonts w:ascii="宋体" w:hAnsi="宋体" w:eastAsia="宋体" w:cs="宋体"/>
          <w:spacing w:val="7"/>
          <w:sz w:val="20"/>
          <w:szCs w:val="20"/>
        </w:rPr>
        <w:t>、A</w:t>
      </w:r>
      <w:r>
        <w:rPr>
          <w:rFonts w:ascii="宋体" w:hAnsi="宋体" w:eastAsia="宋体" w:cs="宋体"/>
          <w:spacing w:val="-37"/>
          <w:sz w:val="20"/>
          <w:szCs w:val="20"/>
        </w:rPr>
        <w:t xml:space="preserve"> </w:t>
      </w:r>
      <w:r>
        <w:rPr>
          <w:rFonts w:ascii="宋体" w:hAnsi="宋体" w:eastAsia="宋体" w:cs="宋体"/>
          <w:spacing w:val="7"/>
          <w:sz w:val="20"/>
          <w:szCs w:val="20"/>
        </w:rPr>
        <w:t>级信用等级企业必须填写此申请承诺书；选择“使用</w:t>
      </w:r>
      <w:r>
        <w:rPr>
          <w:rFonts w:ascii="宋体" w:hAnsi="宋体" w:eastAsia="宋体" w:cs="宋体"/>
          <w:spacing w:val="-70"/>
          <w:sz w:val="20"/>
          <w:szCs w:val="20"/>
        </w:rPr>
        <w:t xml:space="preserve"> </w:t>
      </w:r>
      <w:r>
        <w:rPr>
          <w:rFonts w:ascii="宋体" w:hAnsi="宋体" w:eastAsia="宋体" w:cs="宋体"/>
          <w:spacing w:val="7"/>
          <w:sz w:val="20"/>
          <w:szCs w:val="20"/>
        </w:rPr>
        <w:t>”时需和附表（</w:t>
      </w:r>
      <w:r>
        <w:rPr>
          <w:rFonts w:ascii="宋体" w:hAnsi="宋体" w:eastAsia="宋体" w:cs="宋体"/>
          <w:spacing w:val="-68"/>
          <w:sz w:val="20"/>
          <w:szCs w:val="20"/>
        </w:rPr>
        <w:t xml:space="preserve"> </w:t>
      </w:r>
      <w:r>
        <w:rPr>
          <w:rFonts w:ascii="宋体" w:hAnsi="宋体" w:eastAsia="宋体" w:cs="宋体"/>
          <w:spacing w:val="3"/>
          <w:sz w:val="20"/>
          <w:szCs w:val="20"/>
          <w:u w:val="single" w:color="auto"/>
        </w:rPr>
        <w:t xml:space="preserve">    </w:t>
      </w:r>
      <w:r>
        <w:rPr>
          <w:rFonts w:ascii="宋体" w:hAnsi="宋体" w:eastAsia="宋体" w:cs="宋体"/>
          <w:spacing w:val="-89"/>
          <w:sz w:val="20"/>
          <w:szCs w:val="20"/>
        </w:rPr>
        <w:t xml:space="preserve"> </w:t>
      </w:r>
      <w:r>
        <w:rPr>
          <w:rFonts w:ascii="宋体" w:hAnsi="宋体" w:eastAsia="宋体" w:cs="宋体"/>
          <w:spacing w:val="7"/>
          <w:sz w:val="20"/>
          <w:szCs w:val="20"/>
        </w:rPr>
        <w:t>单位</w:t>
      </w:r>
      <w:r>
        <w:rPr>
          <w:rFonts w:ascii="宋体" w:hAnsi="宋体" w:eastAsia="宋体" w:cs="宋体"/>
          <w:spacing w:val="6"/>
          <w:sz w:val="20"/>
          <w:szCs w:val="20"/>
        </w:rPr>
        <w:t>使用</w:t>
      </w:r>
      <w:r>
        <w:rPr>
          <w:rFonts w:ascii="宋体" w:hAnsi="宋体" w:eastAsia="宋体" w:cs="宋体"/>
          <w:spacing w:val="-16"/>
          <w:sz w:val="20"/>
          <w:szCs w:val="20"/>
        </w:rPr>
        <w:t xml:space="preserve"> </w:t>
      </w:r>
      <w:r>
        <w:rPr>
          <w:rFonts w:ascii="宋体" w:hAnsi="宋体" w:eastAsia="宋体" w:cs="宋体"/>
          <w:spacing w:val="9"/>
          <w:sz w:val="20"/>
          <w:szCs w:val="20"/>
          <w:u w:val="single" w:color="auto"/>
        </w:rPr>
        <w:t xml:space="preserve">   </w:t>
      </w:r>
      <w:r>
        <w:rPr>
          <w:rFonts w:ascii="宋体" w:hAnsi="宋体" w:eastAsia="宋体" w:cs="宋体"/>
          <w:spacing w:val="-89"/>
          <w:sz w:val="20"/>
          <w:szCs w:val="20"/>
        </w:rPr>
        <w:t xml:space="preserve"> </w:t>
      </w:r>
      <w:r>
        <w:rPr>
          <w:rFonts w:ascii="宋体" w:hAnsi="宋体" w:eastAsia="宋体" w:cs="宋体"/>
          <w:spacing w:val="6"/>
          <w:sz w:val="20"/>
          <w:szCs w:val="20"/>
        </w:rPr>
        <w:t>年</w:t>
      </w:r>
      <w:r>
        <w:rPr>
          <w:rFonts w:ascii="宋体" w:hAnsi="宋体" w:eastAsia="宋体" w:cs="宋体"/>
          <w:spacing w:val="9"/>
          <w:sz w:val="20"/>
          <w:szCs w:val="20"/>
        </w:rPr>
        <w:t>度广东省水运工程从业单位信用等级情况汇总表）一起编入投标文件中。</w:t>
      </w:r>
    </w:p>
    <w:p w14:paraId="206B7175">
      <w:pPr>
        <w:spacing w:before="1" w:line="377" w:lineRule="auto"/>
        <w:ind w:left="5" w:right="2" w:firstLine="4"/>
        <w:rPr>
          <w:rFonts w:ascii="宋体" w:hAnsi="宋体" w:eastAsia="宋体" w:cs="宋体"/>
          <w:sz w:val="20"/>
          <w:szCs w:val="20"/>
        </w:rPr>
      </w:pPr>
      <w:r>
        <w:rPr>
          <w:rFonts w:ascii="宋体" w:hAnsi="宋体" w:eastAsia="宋体" w:cs="宋体"/>
          <w:spacing w:val="9"/>
          <w:sz w:val="20"/>
          <w:szCs w:val="20"/>
        </w:rPr>
        <w:t>2、</w:t>
      </w:r>
      <w:r>
        <w:rPr>
          <w:rFonts w:ascii="宋体" w:hAnsi="宋体" w:eastAsia="宋体" w:cs="宋体"/>
          <w:sz w:val="20"/>
          <w:szCs w:val="20"/>
        </w:rPr>
        <w:t>AA</w:t>
      </w:r>
      <w:r>
        <w:rPr>
          <w:rFonts w:ascii="宋体" w:hAnsi="宋体" w:eastAsia="宋体" w:cs="宋体"/>
          <w:spacing w:val="9"/>
          <w:sz w:val="20"/>
          <w:szCs w:val="20"/>
        </w:rPr>
        <w:t>、A</w:t>
      </w:r>
      <w:r>
        <w:rPr>
          <w:rFonts w:ascii="宋体" w:hAnsi="宋体" w:eastAsia="宋体" w:cs="宋体"/>
          <w:spacing w:val="-34"/>
          <w:sz w:val="20"/>
          <w:szCs w:val="20"/>
        </w:rPr>
        <w:t xml:space="preserve"> </w:t>
      </w:r>
      <w:r>
        <w:rPr>
          <w:rFonts w:ascii="宋体" w:hAnsi="宋体" w:eastAsia="宋体" w:cs="宋体"/>
          <w:spacing w:val="9"/>
          <w:sz w:val="20"/>
          <w:szCs w:val="20"/>
        </w:rPr>
        <w:t>级信用等级企业应区分标段、分别填写并提交此申请承诺书；如同时对多个标段选择“使用</w:t>
      </w:r>
      <w:r>
        <w:rPr>
          <w:rFonts w:ascii="宋体" w:hAnsi="宋体" w:eastAsia="宋体" w:cs="宋体"/>
          <w:spacing w:val="-66"/>
          <w:sz w:val="20"/>
          <w:szCs w:val="20"/>
        </w:rPr>
        <w:t xml:space="preserve"> </w:t>
      </w:r>
      <w:r>
        <w:rPr>
          <w:rFonts w:ascii="宋体" w:hAnsi="宋体" w:eastAsia="宋体" w:cs="宋体"/>
          <w:spacing w:val="9"/>
          <w:sz w:val="20"/>
          <w:szCs w:val="20"/>
        </w:rPr>
        <w:t>”时，使用次数应按标段累加（即各个标段申请承诺书的使用次数应不一致）。如同时对多个标段选择“使用</w:t>
      </w:r>
      <w:r>
        <w:rPr>
          <w:rFonts w:ascii="宋体" w:hAnsi="宋体" w:eastAsia="宋体" w:cs="宋体"/>
          <w:spacing w:val="-66"/>
          <w:sz w:val="20"/>
          <w:szCs w:val="20"/>
        </w:rPr>
        <w:t xml:space="preserve"> </w:t>
      </w:r>
      <w:r>
        <w:rPr>
          <w:rFonts w:ascii="宋体" w:hAnsi="宋体" w:eastAsia="宋体" w:cs="宋体"/>
          <w:spacing w:val="9"/>
          <w:sz w:val="20"/>
          <w:szCs w:val="20"/>
        </w:rPr>
        <w:t>”而多个标段所附申请承诺书的使用次数为同一次时，多个标段均视为未正确填报申请承诺书，均按不承诺使用对应的信用等级处理。</w:t>
      </w:r>
    </w:p>
    <w:p w14:paraId="35C4612A">
      <w:pPr>
        <w:spacing w:before="1" w:line="376" w:lineRule="auto"/>
        <w:ind w:left="7" w:right="2" w:firstLine="3"/>
        <w:rPr>
          <w:rFonts w:ascii="宋体" w:hAnsi="宋体" w:eastAsia="宋体" w:cs="宋体"/>
          <w:sz w:val="20"/>
          <w:szCs w:val="20"/>
        </w:rPr>
      </w:pPr>
      <w:r>
        <w:rPr>
          <w:rFonts w:ascii="宋体" w:hAnsi="宋体" w:eastAsia="宋体" w:cs="宋体"/>
          <w:spacing w:val="8"/>
          <w:sz w:val="20"/>
          <w:szCs w:val="20"/>
        </w:rPr>
        <w:t>3、中标候选人公示中，将对所有承诺使用最新年度</w:t>
      </w:r>
      <w:r>
        <w:rPr>
          <w:rFonts w:ascii="宋体" w:hAnsi="宋体" w:eastAsia="宋体" w:cs="宋体"/>
          <w:spacing w:val="-43"/>
          <w:sz w:val="20"/>
          <w:szCs w:val="20"/>
        </w:rPr>
        <w:t xml:space="preserve"> </w:t>
      </w:r>
      <w:r>
        <w:rPr>
          <w:rFonts w:ascii="宋体" w:hAnsi="宋体" w:eastAsia="宋体" w:cs="宋体"/>
          <w:sz w:val="20"/>
          <w:szCs w:val="20"/>
        </w:rPr>
        <w:t>AA</w:t>
      </w:r>
      <w:r>
        <w:rPr>
          <w:rFonts w:ascii="宋体" w:hAnsi="宋体" w:eastAsia="宋体" w:cs="宋体"/>
          <w:spacing w:val="8"/>
          <w:sz w:val="20"/>
          <w:szCs w:val="20"/>
        </w:rPr>
        <w:t>、A</w:t>
      </w:r>
      <w:r>
        <w:rPr>
          <w:rFonts w:ascii="宋体" w:hAnsi="宋体" w:eastAsia="宋体" w:cs="宋体"/>
          <w:spacing w:val="-35"/>
          <w:sz w:val="20"/>
          <w:szCs w:val="20"/>
        </w:rPr>
        <w:t xml:space="preserve"> </w:t>
      </w:r>
      <w:r>
        <w:rPr>
          <w:rFonts w:ascii="宋体" w:hAnsi="宋体" w:eastAsia="宋体" w:cs="宋体"/>
          <w:spacing w:val="8"/>
          <w:sz w:val="20"/>
          <w:szCs w:val="20"/>
        </w:rPr>
        <w:t>级投标</w:t>
      </w:r>
      <w:r>
        <w:rPr>
          <w:rFonts w:ascii="宋体" w:hAnsi="宋体" w:eastAsia="宋体" w:cs="宋体"/>
          <w:spacing w:val="7"/>
          <w:sz w:val="20"/>
          <w:szCs w:val="20"/>
        </w:rPr>
        <w:t>人的年度信用等级使用情况进行公</w:t>
      </w:r>
      <w:r>
        <w:rPr>
          <w:rFonts w:ascii="宋体" w:hAnsi="宋体" w:eastAsia="宋体" w:cs="宋体"/>
          <w:sz w:val="20"/>
          <w:szCs w:val="20"/>
        </w:rPr>
        <w:t>开。</w:t>
      </w:r>
    </w:p>
    <w:p w14:paraId="4E4D7E44">
      <w:pPr>
        <w:spacing w:before="1" w:line="228" w:lineRule="auto"/>
        <w:ind w:left="6"/>
        <w:rPr>
          <w:rFonts w:ascii="宋体" w:hAnsi="宋体" w:eastAsia="宋体" w:cs="宋体"/>
          <w:sz w:val="20"/>
          <w:szCs w:val="20"/>
        </w:rPr>
      </w:pPr>
      <w:r>
        <w:rPr>
          <w:rFonts w:ascii="宋体" w:hAnsi="宋体" w:eastAsia="宋体" w:cs="宋体"/>
          <w:spacing w:val="9"/>
          <w:sz w:val="20"/>
          <w:szCs w:val="20"/>
        </w:rPr>
        <w:t>4、以联合体形式投标的，联合体各成员应分别填</w:t>
      </w:r>
      <w:r>
        <w:rPr>
          <w:rFonts w:ascii="宋体" w:hAnsi="宋体" w:eastAsia="宋体" w:cs="宋体"/>
          <w:spacing w:val="8"/>
          <w:sz w:val="20"/>
          <w:szCs w:val="20"/>
        </w:rPr>
        <w:t>写。</w:t>
      </w:r>
    </w:p>
    <w:p w14:paraId="70CED6DC">
      <w:pPr>
        <w:spacing w:before="318" w:line="219" w:lineRule="auto"/>
        <w:ind w:left="199"/>
        <w:rPr>
          <w:rFonts w:ascii="宋体" w:hAnsi="宋体" w:eastAsia="宋体" w:cs="宋体"/>
          <w:sz w:val="28"/>
          <w:szCs w:val="28"/>
        </w:rPr>
      </w:pPr>
      <w:r>
        <w:rPr>
          <w:rFonts w:ascii="宋体" w:hAnsi="宋体" w:eastAsia="宋体" w:cs="宋体"/>
          <w:spacing w:val="-11"/>
          <w:sz w:val="28"/>
          <w:szCs w:val="28"/>
        </w:rPr>
        <w:br w:type="page"/>
      </w:r>
      <w:r>
        <w:rPr>
          <w:rFonts w:ascii="宋体" w:hAnsi="宋体" w:eastAsia="宋体" w:cs="宋体"/>
          <w:spacing w:val="-11"/>
          <w:sz w:val="28"/>
          <w:szCs w:val="28"/>
        </w:rPr>
        <w:t>附表：</w:t>
      </w:r>
    </w:p>
    <w:p w14:paraId="3A1B1936">
      <w:pPr>
        <w:tabs>
          <w:tab w:val="left" w:pos="2381"/>
        </w:tabs>
        <w:spacing w:before="212" w:line="361" w:lineRule="auto"/>
        <w:ind w:left="3445" w:right="837" w:hanging="2610"/>
        <w:rPr>
          <w:rFonts w:ascii="宋体" w:hAnsi="宋体" w:eastAsia="宋体" w:cs="宋体"/>
          <w:sz w:val="28"/>
          <w:szCs w:val="28"/>
        </w:rPr>
      </w:pPr>
      <w:r>
        <w:rPr>
          <w:rFonts w:ascii="宋体" w:hAnsi="宋体" w:eastAsia="宋体" w:cs="宋体"/>
          <w:sz w:val="28"/>
          <w:szCs w:val="28"/>
          <w:u w:val="single" w:color="auto"/>
        </w:rPr>
        <w:tab/>
      </w:r>
      <w:r>
        <w:rPr>
          <w:rFonts w:ascii="宋体" w:hAnsi="宋体" w:eastAsia="宋体" w:cs="宋体"/>
          <w:spacing w:val="-126"/>
          <w:sz w:val="28"/>
          <w:szCs w:val="28"/>
        </w:rPr>
        <w:t xml:space="preserve"> </w:t>
      </w:r>
      <w:r>
        <w:rPr>
          <w:rFonts w:ascii="宋体" w:hAnsi="宋体" w:eastAsia="宋体" w:cs="宋体"/>
          <w:b/>
          <w:bCs/>
          <w:spacing w:val="-2"/>
          <w:sz w:val="28"/>
          <w:szCs w:val="28"/>
        </w:rPr>
        <w:t>单位使用</w:t>
      </w:r>
      <w:r>
        <w:rPr>
          <w:rFonts w:ascii="宋体" w:hAnsi="宋体" w:eastAsia="宋体" w:cs="宋体"/>
          <w:spacing w:val="-2"/>
          <w:sz w:val="28"/>
          <w:szCs w:val="28"/>
          <w:u w:val="single" w:color="auto"/>
        </w:rPr>
        <w:t xml:space="preserve">          </w:t>
      </w:r>
      <w:r>
        <w:rPr>
          <w:rFonts w:ascii="宋体" w:hAnsi="宋体" w:eastAsia="宋体" w:cs="宋体"/>
          <w:spacing w:val="-128"/>
          <w:sz w:val="28"/>
          <w:szCs w:val="28"/>
        </w:rPr>
        <w:t xml:space="preserve"> </w:t>
      </w:r>
      <w:r>
        <w:rPr>
          <w:rFonts w:ascii="宋体" w:hAnsi="宋体" w:eastAsia="宋体" w:cs="宋体"/>
          <w:b/>
          <w:bCs/>
          <w:spacing w:val="-2"/>
          <w:sz w:val="28"/>
          <w:szCs w:val="28"/>
        </w:rPr>
        <w:t>年度广东省水运工程从业单位</w:t>
      </w:r>
      <w:r>
        <w:rPr>
          <w:rFonts w:ascii="宋体" w:hAnsi="宋体" w:eastAsia="宋体" w:cs="宋体"/>
          <w:b/>
          <w:bCs/>
          <w:spacing w:val="-4"/>
          <w:sz w:val="28"/>
          <w:szCs w:val="28"/>
        </w:rPr>
        <w:t>信用等级情况汇总表</w:t>
      </w:r>
    </w:p>
    <w:p w14:paraId="4E20FCAE">
      <w:pPr>
        <w:spacing w:before="10"/>
      </w:pPr>
    </w:p>
    <w:p w14:paraId="42470FC2">
      <w:pPr>
        <w:spacing w:before="10"/>
      </w:pPr>
    </w:p>
    <w:tbl>
      <w:tblPr>
        <w:tblStyle w:val="13"/>
        <w:tblW w:w="93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6"/>
        <w:gridCol w:w="2052"/>
        <w:gridCol w:w="1673"/>
        <w:gridCol w:w="1769"/>
        <w:gridCol w:w="1679"/>
        <w:gridCol w:w="1347"/>
      </w:tblGrid>
      <w:tr w14:paraId="29A46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876" w:type="dxa"/>
            <w:vAlign w:val="top"/>
          </w:tcPr>
          <w:p w14:paraId="3D9E6AA0">
            <w:pPr>
              <w:pStyle w:val="14"/>
              <w:spacing w:before="252" w:line="221" w:lineRule="auto"/>
              <w:ind w:left="203"/>
              <w:rPr>
                <w:sz w:val="24"/>
                <w:szCs w:val="24"/>
              </w:rPr>
            </w:pPr>
            <w:r>
              <w:rPr>
                <w:spacing w:val="-5"/>
                <w:sz w:val="24"/>
                <w:szCs w:val="24"/>
              </w:rPr>
              <w:t>序号</w:t>
            </w:r>
          </w:p>
        </w:tc>
        <w:tc>
          <w:tcPr>
            <w:tcW w:w="2052" w:type="dxa"/>
            <w:vAlign w:val="top"/>
          </w:tcPr>
          <w:p w14:paraId="4CA8B3C0">
            <w:pPr>
              <w:pStyle w:val="14"/>
              <w:spacing w:before="252" w:line="220" w:lineRule="auto"/>
              <w:ind w:left="431"/>
              <w:rPr>
                <w:sz w:val="24"/>
                <w:szCs w:val="24"/>
              </w:rPr>
            </w:pPr>
            <w:r>
              <w:rPr>
                <w:spacing w:val="-3"/>
                <w:sz w:val="24"/>
                <w:szCs w:val="24"/>
              </w:rPr>
              <w:t>招标人名称</w:t>
            </w:r>
          </w:p>
        </w:tc>
        <w:tc>
          <w:tcPr>
            <w:tcW w:w="1673" w:type="dxa"/>
            <w:vAlign w:val="top"/>
          </w:tcPr>
          <w:p w14:paraId="1CC82CDD">
            <w:pPr>
              <w:pStyle w:val="14"/>
              <w:spacing w:before="99" w:line="241" w:lineRule="auto"/>
              <w:ind w:left="605" w:right="135" w:hanging="481"/>
              <w:rPr>
                <w:sz w:val="24"/>
                <w:szCs w:val="24"/>
              </w:rPr>
            </w:pPr>
            <w:r>
              <w:rPr>
                <w:spacing w:val="-6"/>
                <w:sz w:val="24"/>
                <w:szCs w:val="24"/>
              </w:rPr>
              <w:t>标段（标类）</w:t>
            </w:r>
            <w:r>
              <w:rPr>
                <w:spacing w:val="-7"/>
                <w:sz w:val="24"/>
                <w:szCs w:val="24"/>
              </w:rPr>
              <w:t>名称</w:t>
            </w:r>
          </w:p>
        </w:tc>
        <w:tc>
          <w:tcPr>
            <w:tcW w:w="1769" w:type="dxa"/>
            <w:vAlign w:val="top"/>
          </w:tcPr>
          <w:p w14:paraId="47F16A18">
            <w:pPr>
              <w:pStyle w:val="14"/>
              <w:spacing w:before="99"/>
              <w:ind w:left="301" w:right="162" w:hanging="130"/>
              <w:rPr>
                <w:sz w:val="24"/>
                <w:szCs w:val="24"/>
              </w:rPr>
            </w:pPr>
            <w:r>
              <w:rPr>
                <w:spacing w:val="-2"/>
                <w:sz w:val="24"/>
                <w:szCs w:val="24"/>
              </w:rPr>
              <w:t>递交文件时间</w:t>
            </w:r>
            <w:r>
              <w:rPr>
                <w:spacing w:val="-5"/>
                <w:sz w:val="24"/>
                <w:szCs w:val="24"/>
              </w:rPr>
              <w:t>（年月日）</w:t>
            </w:r>
          </w:p>
        </w:tc>
        <w:tc>
          <w:tcPr>
            <w:tcW w:w="1679" w:type="dxa"/>
            <w:vAlign w:val="top"/>
          </w:tcPr>
          <w:p w14:paraId="7E94700C">
            <w:pPr>
              <w:pStyle w:val="14"/>
              <w:spacing w:before="99" w:line="219" w:lineRule="auto"/>
              <w:ind w:left="128"/>
              <w:rPr>
                <w:sz w:val="24"/>
                <w:szCs w:val="24"/>
              </w:rPr>
            </w:pPr>
            <w:r>
              <w:rPr>
                <w:spacing w:val="-2"/>
                <w:sz w:val="24"/>
                <w:szCs w:val="24"/>
              </w:rPr>
              <w:t>使用信用等级</w:t>
            </w:r>
          </w:p>
          <w:p w14:paraId="3D924F26">
            <w:pPr>
              <w:pStyle w:val="14"/>
              <w:spacing w:before="24" w:line="224" w:lineRule="auto"/>
              <w:ind w:left="379"/>
              <w:rPr>
                <w:sz w:val="24"/>
                <w:szCs w:val="24"/>
              </w:rPr>
            </w:pPr>
            <w:r>
              <w:rPr>
                <w:spacing w:val="-4"/>
                <w:sz w:val="24"/>
                <w:szCs w:val="24"/>
              </w:rPr>
              <w:t>（AA/A）</w:t>
            </w:r>
          </w:p>
        </w:tc>
        <w:tc>
          <w:tcPr>
            <w:tcW w:w="1347" w:type="dxa"/>
            <w:vAlign w:val="top"/>
          </w:tcPr>
          <w:p w14:paraId="0A42DD8B">
            <w:pPr>
              <w:pStyle w:val="14"/>
              <w:spacing w:before="252" w:line="221" w:lineRule="auto"/>
              <w:ind w:left="443"/>
              <w:rPr>
                <w:sz w:val="24"/>
                <w:szCs w:val="24"/>
              </w:rPr>
            </w:pPr>
            <w:r>
              <w:rPr>
                <w:spacing w:val="-7"/>
                <w:sz w:val="24"/>
                <w:szCs w:val="24"/>
              </w:rPr>
              <w:t>备注</w:t>
            </w:r>
          </w:p>
        </w:tc>
      </w:tr>
      <w:tr w14:paraId="0A9387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76" w:type="dxa"/>
            <w:vAlign w:val="top"/>
          </w:tcPr>
          <w:p w14:paraId="5E13F904">
            <w:pPr>
              <w:pStyle w:val="14"/>
              <w:spacing w:before="247" w:line="241" w:lineRule="auto"/>
              <w:ind w:left="402"/>
              <w:rPr>
                <w:sz w:val="24"/>
                <w:szCs w:val="24"/>
              </w:rPr>
            </w:pPr>
            <w:r>
              <w:rPr>
                <w:sz w:val="24"/>
                <w:szCs w:val="24"/>
              </w:rPr>
              <w:t>1</w:t>
            </w:r>
          </w:p>
        </w:tc>
        <w:tc>
          <w:tcPr>
            <w:tcW w:w="2052" w:type="dxa"/>
            <w:vAlign w:val="top"/>
          </w:tcPr>
          <w:p w14:paraId="3863FF04">
            <w:pPr>
              <w:rPr>
                <w:rFonts w:ascii="Arial"/>
                <w:sz w:val="21"/>
              </w:rPr>
            </w:pPr>
          </w:p>
        </w:tc>
        <w:tc>
          <w:tcPr>
            <w:tcW w:w="1673" w:type="dxa"/>
            <w:vAlign w:val="top"/>
          </w:tcPr>
          <w:p w14:paraId="7A726173">
            <w:pPr>
              <w:rPr>
                <w:rFonts w:ascii="Arial"/>
                <w:sz w:val="21"/>
              </w:rPr>
            </w:pPr>
          </w:p>
        </w:tc>
        <w:tc>
          <w:tcPr>
            <w:tcW w:w="1769" w:type="dxa"/>
            <w:vAlign w:val="top"/>
          </w:tcPr>
          <w:p w14:paraId="24B3E7CE">
            <w:pPr>
              <w:rPr>
                <w:rFonts w:ascii="Arial"/>
                <w:sz w:val="21"/>
              </w:rPr>
            </w:pPr>
          </w:p>
        </w:tc>
        <w:tc>
          <w:tcPr>
            <w:tcW w:w="1679" w:type="dxa"/>
            <w:vAlign w:val="top"/>
          </w:tcPr>
          <w:p w14:paraId="7C898AE4">
            <w:pPr>
              <w:rPr>
                <w:rFonts w:ascii="Arial"/>
                <w:sz w:val="21"/>
              </w:rPr>
            </w:pPr>
          </w:p>
        </w:tc>
        <w:tc>
          <w:tcPr>
            <w:tcW w:w="1347" w:type="dxa"/>
            <w:vAlign w:val="top"/>
          </w:tcPr>
          <w:p w14:paraId="24BEE92E">
            <w:pPr>
              <w:rPr>
                <w:rFonts w:ascii="Arial"/>
                <w:sz w:val="21"/>
              </w:rPr>
            </w:pPr>
          </w:p>
        </w:tc>
      </w:tr>
      <w:tr w14:paraId="77BBA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76" w:type="dxa"/>
            <w:vAlign w:val="top"/>
          </w:tcPr>
          <w:p w14:paraId="7D2D39ED">
            <w:pPr>
              <w:pStyle w:val="14"/>
              <w:spacing w:before="250" w:line="241" w:lineRule="auto"/>
              <w:ind w:left="387"/>
              <w:rPr>
                <w:sz w:val="24"/>
                <w:szCs w:val="24"/>
              </w:rPr>
            </w:pPr>
            <w:r>
              <w:rPr>
                <w:sz w:val="24"/>
                <w:szCs w:val="24"/>
              </w:rPr>
              <w:t>2</w:t>
            </w:r>
          </w:p>
        </w:tc>
        <w:tc>
          <w:tcPr>
            <w:tcW w:w="2052" w:type="dxa"/>
            <w:vAlign w:val="top"/>
          </w:tcPr>
          <w:p w14:paraId="349DF2D0">
            <w:pPr>
              <w:rPr>
                <w:rFonts w:ascii="Arial"/>
                <w:sz w:val="21"/>
              </w:rPr>
            </w:pPr>
          </w:p>
        </w:tc>
        <w:tc>
          <w:tcPr>
            <w:tcW w:w="1673" w:type="dxa"/>
            <w:vAlign w:val="top"/>
          </w:tcPr>
          <w:p w14:paraId="694D915A">
            <w:pPr>
              <w:rPr>
                <w:rFonts w:ascii="Arial"/>
                <w:sz w:val="21"/>
              </w:rPr>
            </w:pPr>
          </w:p>
        </w:tc>
        <w:tc>
          <w:tcPr>
            <w:tcW w:w="1769" w:type="dxa"/>
            <w:vAlign w:val="top"/>
          </w:tcPr>
          <w:p w14:paraId="27D0A499">
            <w:pPr>
              <w:rPr>
                <w:rFonts w:ascii="Arial"/>
                <w:sz w:val="21"/>
              </w:rPr>
            </w:pPr>
          </w:p>
        </w:tc>
        <w:tc>
          <w:tcPr>
            <w:tcW w:w="1679" w:type="dxa"/>
            <w:vAlign w:val="top"/>
          </w:tcPr>
          <w:p w14:paraId="5CA8F344">
            <w:pPr>
              <w:rPr>
                <w:rFonts w:ascii="Arial"/>
                <w:sz w:val="21"/>
              </w:rPr>
            </w:pPr>
          </w:p>
        </w:tc>
        <w:tc>
          <w:tcPr>
            <w:tcW w:w="1347" w:type="dxa"/>
            <w:vAlign w:val="top"/>
          </w:tcPr>
          <w:p w14:paraId="4F8383BB">
            <w:pPr>
              <w:rPr>
                <w:rFonts w:ascii="Arial"/>
                <w:sz w:val="21"/>
              </w:rPr>
            </w:pPr>
          </w:p>
        </w:tc>
      </w:tr>
      <w:tr w14:paraId="1A6D2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76" w:type="dxa"/>
            <w:vAlign w:val="top"/>
          </w:tcPr>
          <w:p w14:paraId="65DB59AD">
            <w:pPr>
              <w:pStyle w:val="14"/>
              <w:spacing w:before="249"/>
              <w:ind w:left="389"/>
              <w:rPr>
                <w:sz w:val="24"/>
                <w:szCs w:val="24"/>
              </w:rPr>
            </w:pPr>
            <w:r>
              <w:rPr>
                <w:sz w:val="24"/>
                <w:szCs w:val="24"/>
              </w:rPr>
              <w:t>3</w:t>
            </w:r>
          </w:p>
        </w:tc>
        <w:tc>
          <w:tcPr>
            <w:tcW w:w="2052" w:type="dxa"/>
            <w:vAlign w:val="top"/>
          </w:tcPr>
          <w:p w14:paraId="69C20943">
            <w:pPr>
              <w:rPr>
                <w:rFonts w:ascii="Arial"/>
                <w:sz w:val="21"/>
              </w:rPr>
            </w:pPr>
          </w:p>
        </w:tc>
        <w:tc>
          <w:tcPr>
            <w:tcW w:w="1673" w:type="dxa"/>
            <w:vAlign w:val="top"/>
          </w:tcPr>
          <w:p w14:paraId="74F7573C">
            <w:pPr>
              <w:rPr>
                <w:rFonts w:ascii="Arial"/>
                <w:sz w:val="21"/>
              </w:rPr>
            </w:pPr>
          </w:p>
        </w:tc>
        <w:tc>
          <w:tcPr>
            <w:tcW w:w="1769" w:type="dxa"/>
            <w:vAlign w:val="top"/>
          </w:tcPr>
          <w:p w14:paraId="494C16D6">
            <w:pPr>
              <w:rPr>
                <w:rFonts w:ascii="Arial"/>
                <w:sz w:val="21"/>
              </w:rPr>
            </w:pPr>
          </w:p>
        </w:tc>
        <w:tc>
          <w:tcPr>
            <w:tcW w:w="1679" w:type="dxa"/>
            <w:vAlign w:val="top"/>
          </w:tcPr>
          <w:p w14:paraId="7225AB9F">
            <w:pPr>
              <w:rPr>
                <w:rFonts w:ascii="Arial"/>
                <w:sz w:val="21"/>
              </w:rPr>
            </w:pPr>
          </w:p>
        </w:tc>
        <w:tc>
          <w:tcPr>
            <w:tcW w:w="1347" w:type="dxa"/>
            <w:vAlign w:val="top"/>
          </w:tcPr>
          <w:p w14:paraId="6B82EC67">
            <w:pPr>
              <w:rPr>
                <w:rFonts w:ascii="Arial"/>
                <w:sz w:val="21"/>
              </w:rPr>
            </w:pPr>
          </w:p>
        </w:tc>
      </w:tr>
      <w:tr w14:paraId="22FEA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76" w:type="dxa"/>
            <w:vAlign w:val="top"/>
          </w:tcPr>
          <w:p w14:paraId="72DF2486">
            <w:pPr>
              <w:pStyle w:val="14"/>
              <w:spacing w:before="249" w:line="241" w:lineRule="auto"/>
              <w:ind w:left="383"/>
              <w:rPr>
                <w:sz w:val="24"/>
                <w:szCs w:val="24"/>
              </w:rPr>
            </w:pPr>
            <w:r>
              <w:rPr>
                <w:sz w:val="24"/>
                <w:szCs w:val="24"/>
              </w:rPr>
              <w:t>4</w:t>
            </w:r>
          </w:p>
        </w:tc>
        <w:tc>
          <w:tcPr>
            <w:tcW w:w="2052" w:type="dxa"/>
            <w:vAlign w:val="top"/>
          </w:tcPr>
          <w:p w14:paraId="242778E0">
            <w:pPr>
              <w:rPr>
                <w:rFonts w:ascii="Arial"/>
                <w:sz w:val="21"/>
              </w:rPr>
            </w:pPr>
          </w:p>
        </w:tc>
        <w:tc>
          <w:tcPr>
            <w:tcW w:w="1673" w:type="dxa"/>
            <w:vAlign w:val="top"/>
          </w:tcPr>
          <w:p w14:paraId="6DBAB505">
            <w:pPr>
              <w:rPr>
                <w:rFonts w:ascii="Arial"/>
                <w:sz w:val="21"/>
              </w:rPr>
            </w:pPr>
          </w:p>
        </w:tc>
        <w:tc>
          <w:tcPr>
            <w:tcW w:w="1769" w:type="dxa"/>
            <w:vAlign w:val="top"/>
          </w:tcPr>
          <w:p w14:paraId="32940C81">
            <w:pPr>
              <w:rPr>
                <w:rFonts w:ascii="Arial"/>
                <w:sz w:val="21"/>
              </w:rPr>
            </w:pPr>
          </w:p>
        </w:tc>
        <w:tc>
          <w:tcPr>
            <w:tcW w:w="1679" w:type="dxa"/>
            <w:vAlign w:val="top"/>
          </w:tcPr>
          <w:p w14:paraId="58F8E320">
            <w:pPr>
              <w:rPr>
                <w:rFonts w:ascii="Arial"/>
                <w:sz w:val="21"/>
              </w:rPr>
            </w:pPr>
          </w:p>
        </w:tc>
        <w:tc>
          <w:tcPr>
            <w:tcW w:w="1347" w:type="dxa"/>
            <w:vAlign w:val="top"/>
          </w:tcPr>
          <w:p w14:paraId="2B49B355">
            <w:pPr>
              <w:rPr>
                <w:rFonts w:ascii="Arial"/>
                <w:sz w:val="21"/>
              </w:rPr>
            </w:pPr>
          </w:p>
        </w:tc>
      </w:tr>
      <w:tr w14:paraId="503C2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76" w:type="dxa"/>
            <w:vAlign w:val="top"/>
          </w:tcPr>
          <w:p w14:paraId="28674736">
            <w:pPr>
              <w:pStyle w:val="14"/>
              <w:spacing w:before="249"/>
              <w:ind w:left="389"/>
              <w:rPr>
                <w:sz w:val="24"/>
                <w:szCs w:val="24"/>
              </w:rPr>
            </w:pPr>
            <w:r>
              <w:rPr>
                <w:sz w:val="24"/>
                <w:szCs w:val="24"/>
              </w:rPr>
              <w:t>5</w:t>
            </w:r>
          </w:p>
        </w:tc>
        <w:tc>
          <w:tcPr>
            <w:tcW w:w="2052" w:type="dxa"/>
            <w:vAlign w:val="top"/>
          </w:tcPr>
          <w:p w14:paraId="0CD77DE7">
            <w:pPr>
              <w:rPr>
                <w:rFonts w:ascii="Arial"/>
                <w:sz w:val="21"/>
              </w:rPr>
            </w:pPr>
          </w:p>
        </w:tc>
        <w:tc>
          <w:tcPr>
            <w:tcW w:w="1673" w:type="dxa"/>
            <w:vAlign w:val="top"/>
          </w:tcPr>
          <w:p w14:paraId="01E673F4">
            <w:pPr>
              <w:rPr>
                <w:rFonts w:ascii="Arial"/>
                <w:sz w:val="21"/>
              </w:rPr>
            </w:pPr>
          </w:p>
        </w:tc>
        <w:tc>
          <w:tcPr>
            <w:tcW w:w="1769" w:type="dxa"/>
            <w:vAlign w:val="top"/>
          </w:tcPr>
          <w:p w14:paraId="48F514CC">
            <w:pPr>
              <w:rPr>
                <w:rFonts w:ascii="Arial"/>
                <w:sz w:val="21"/>
              </w:rPr>
            </w:pPr>
          </w:p>
        </w:tc>
        <w:tc>
          <w:tcPr>
            <w:tcW w:w="1679" w:type="dxa"/>
            <w:vAlign w:val="top"/>
          </w:tcPr>
          <w:p w14:paraId="382A94E2">
            <w:pPr>
              <w:rPr>
                <w:rFonts w:ascii="Arial"/>
                <w:sz w:val="21"/>
              </w:rPr>
            </w:pPr>
          </w:p>
        </w:tc>
        <w:tc>
          <w:tcPr>
            <w:tcW w:w="1347" w:type="dxa"/>
            <w:vAlign w:val="top"/>
          </w:tcPr>
          <w:p w14:paraId="093B3466">
            <w:pPr>
              <w:rPr>
                <w:rFonts w:ascii="Arial"/>
                <w:sz w:val="21"/>
              </w:rPr>
            </w:pPr>
          </w:p>
        </w:tc>
      </w:tr>
      <w:tr w14:paraId="5C9EE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76" w:type="dxa"/>
            <w:vAlign w:val="top"/>
          </w:tcPr>
          <w:p w14:paraId="0590C109">
            <w:pPr>
              <w:pStyle w:val="14"/>
              <w:spacing w:before="252"/>
              <w:ind w:left="386"/>
              <w:rPr>
                <w:sz w:val="24"/>
                <w:szCs w:val="24"/>
              </w:rPr>
            </w:pPr>
            <w:r>
              <w:rPr>
                <w:sz w:val="24"/>
                <w:szCs w:val="24"/>
              </w:rPr>
              <w:t>6</w:t>
            </w:r>
          </w:p>
        </w:tc>
        <w:tc>
          <w:tcPr>
            <w:tcW w:w="2052" w:type="dxa"/>
            <w:vAlign w:val="top"/>
          </w:tcPr>
          <w:p w14:paraId="6E97AEFA">
            <w:pPr>
              <w:rPr>
                <w:rFonts w:ascii="Arial"/>
                <w:sz w:val="21"/>
              </w:rPr>
            </w:pPr>
          </w:p>
        </w:tc>
        <w:tc>
          <w:tcPr>
            <w:tcW w:w="1673" w:type="dxa"/>
            <w:vAlign w:val="top"/>
          </w:tcPr>
          <w:p w14:paraId="39D3F56E">
            <w:pPr>
              <w:rPr>
                <w:rFonts w:ascii="Arial"/>
                <w:sz w:val="21"/>
              </w:rPr>
            </w:pPr>
          </w:p>
        </w:tc>
        <w:tc>
          <w:tcPr>
            <w:tcW w:w="1769" w:type="dxa"/>
            <w:vAlign w:val="top"/>
          </w:tcPr>
          <w:p w14:paraId="4834E3C0">
            <w:pPr>
              <w:rPr>
                <w:rFonts w:ascii="Arial"/>
                <w:sz w:val="21"/>
              </w:rPr>
            </w:pPr>
          </w:p>
        </w:tc>
        <w:tc>
          <w:tcPr>
            <w:tcW w:w="1679" w:type="dxa"/>
            <w:vAlign w:val="top"/>
          </w:tcPr>
          <w:p w14:paraId="67F9695C">
            <w:pPr>
              <w:rPr>
                <w:rFonts w:ascii="Arial"/>
                <w:sz w:val="21"/>
              </w:rPr>
            </w:pPr>
          </w:p>
        </w:tc>
        <w:tc>
          <w:tcPr>
            <w:tcW w:w="1347" w:type="dxa"/>
            <w:vAlign w:val="top"/>
          </w:tcPr>
          <w:p w14:paraId="50FA25A0">
            <w:pPr>
              <w:rPr>
                <w:rFonts w:ascii="Arial"/>
                <w:sz w:val="21"/>
              </w:rPr>
            </w:pPr>
          </w:p>
        </w:tc>
      </w:tr>
      <w:tr w14:paraId="1EECD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876" w:type="dxa"/>
            <w:vAlign w:val="top"/>
          </w:tcPr>
          <w:p w14:paraId="617AE1E1">
            <w:pPr>
              <w:pStyle w:val="14"/>
              <w:spacing w:before="251"/>
              <w:ind w:left="390"/>
              <w:rPr>
                <w:sz w:val="24"/>
                <w:szCs w:val="24"/>
              </w:rPr>
            </w:pPr>
            <w:r>
              <w:rPr>
                <w:sz w:val="24"/>
                <w:szCs w:val="24"/>
              </w:rPr>
              <w:t>7</w:t>
            </w:r>
          </w:p>
        </w:tc>
        <w:tc>
          <w:tcPr>
            <w:tcW w:w="2052" w:type="dxa"/>
            <w:vAlign w:val="top"/>
          </w:tcPr>
          <w:p w14:paraId="0146529B">
            <w:pPr>
              <w:rPr>
                <w:rFonts w:ascii="Arial"/>
                <w:sz w:val="21"/>
              </w:rPr>
            </w:pPr>
          </w:p>
        </w:tc>
        <w:tc>
          <w:tcPr>
            <w:tcW w:w="1673" w:type="dxa"/>
            <w:vAlign w:val="top"/>
          </w:tcPr>
          <w:p w14:paraId="321CC996">
            <w:pPr>
              <w:rPr>
                <w:rFonts w:ascii="Arial"/>
                <w:sz w:val="21"/>
              </w:rPr>
            </w:pPr>
          </w:p>
        </w:tc>
        <w:tc>
          <w:tcPr>
            <w:tcW w:w="1769" w:type="dxa"/>
            <w:vAlign w:val="top"/>
          </w:tcPr>
          <w:p w14:paraId="100522E4">
            <w:pPr>
              <w:rPr>
                <w:rFonts w:ascii="Arial"/>
                <w:sz w:val="21"/>
              </w:rPr>
            </w:pPr>
          </w:p>
        </w:tc>
        <w:tc>
          <w:tcPr>
            <w:tcW w:w="1679" w:type="dxa"/>
            <w:vAlign w:val="top"/>
          </w:tcPr>
          <w:p w14:paraId="16913A4C">
            <w:pPr>
              <w:rPr>
                <w:rFonts w:ascii="Arial"/>
                <w:sz w:val="21"/>
              </w:rPr>
            </w:pPr>
          </w:p>
        </w:tc>
        <w:tc>
          <w:tcPr>
            <w:tcW w:w="1347" w:type="dxa"/>
            <w:vAlign w:val="top"/>
          </w:tcPr>
          <w:p w14:paraId="6F059B48">
            <w:pPr>
              <w:rPr>
                <w:rFonts w:ascii="Arial"/>
                <w:sz w:val="21"/>
              </w:rPr>
            </w:pPr>
          </w:p>
        </w:tc>
      </w:tr>
      <w:tr w14:paraId="5F4B8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76" w:type="dxa"/>
            <w:vAlign w:val="top"/>
          </w:tcPr>
          <w:p w14:paraId="6BD56B5B">
            <w:pPr>
              <w:pStyle w:val="14"/>
              <w:spacing w:before="250"/>
              <w:ind w:left="385"/>
              <w:rPr>
                <w:sz w:val="24"/>
                <w:szCs w:val="24"/>
              </w:rPr>
            </w:pPr>
            <w:r>
              <w:rPr>
                <w:sz w:val="24"/>
                <w:szCs w:val="24"/>
              </w:rPr>
              <w:t>8</w:t>
            </w:r>
          </w:p>
        </w:tc>
        <w:tc>
          <w:tcPr>
            <w:tcW w:w="2052" w:type="dxa"/>
            <w:vAlign w:val="top"/>
          </w:tcPr>
          <w:p w14:paraId="548209D1">
            <w:pPr>
              <w:rPr>
                <w:rFonts w:ascii="Arial"/>
                <w:sz w:val="21"/>
              </w:rPr>
            </w:pPr>
          </w:p>
        </w:tc>
        <w:tc>
          <w:tcPr>
            <w:tcW w:w="1673" w:type="dxa"/>
            <w:vAlign w:val="top"/>
          </w:tcPr>
          <w:p w14:paraId="6C08C97E">
            <w:pPr>
              <w:rPr>
                <w:rFonts w:ascii="Arial"/>
                <w:sz w:val="21"/>
              </w:rPr>
            </w:pPr>
          </w:p>
        </w:tc>
        <w:tc>
          <w:tcPr>
            <w:tcW w:w="1769" w:type="dxa"/>
            <w:vAlign w:val="top"/>
          </w:tcPr>
          <w:p w14:paraId="41AE7073">
            <w:pPr>
              <w:rPr>
                <w:rFonts w:ascii="Arial"/>
                <w:sz w:val="21"/>
              </w:rPr>
            </w:pPr>
          </w:p>
        </w:tc>
        <w:tc>
          <w:tcPr>
            <w:tcW w:w="1679" w:type="dxa"/>
            <w:vAlign w:val="top"/>
          </w:tcPr>
          <w:p w14:paraId="7F0D4927">
            <w:pPr>
              <w:rPr>
                <w:rFonts w:ascii="Arial"/>
                <w:sz w:val="21"/>
              </w:rPr>
            </w:pPr>
          </w:p>
        </w:tc>
        <w:tc>
          <w:tcPr>
            <w:tcW w:w="1347" w:type="dxa"/>
            <w:vAlign w:val="top"/>
          </w:tcPr>
          <w:p w14:paraId="4747A374">
            <w:pPr>
              <w:rPr>
                <w:rFonts w:ascii="Arial"/>
                <w:sz w:val="21"/>
              </w:rPr>
            </w:pPr>
          </w:p>
        </w:tc>
      </w:tr>
      <w:tr w14:paraId="2C674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876" w:type="dxa"/>
            <w:vAlign w:val="top"/>
          </w:tcPr>
          <w:p w14:paraId="1E6B50CB">
            <w:pPr>
              <w:spacing w:line="348" w:lineRule="auto"/>
              <w:rPr>
                <w:rFonts w:ascii="Arial"/>
                <w:sz w:val="21"/>
              </w:rPr>
            </w:pPr>
          </w:p>
          <w:p w14:paraId="253CAF88">
            <w:pPr>
              <w:pStyle w:val="14"/>
              <w:spacing w:before="78" w:line="99" w:lineRule="exact"/>
              <w:ind w:left="271"/>
              <w:rPr>
                <w:sz w:val="24"/>
                <w:szCs w:val="24"/>
              </w:rPr>
            </w:pPr>
            <w:r>
              <w:rPr>
                <w:position w:val="1"/>
                <w:sz w:val="24"/>
                <w:szCs w:val="24"/>
              </w:rPr>
              <w:t>...</w:t>
            </w:r>
          </w:p>
        </w:tc>
        <w:tc>
          <w:tcPr>
            <w:tcW w:w="2052" w:type="dxa"/>
            <w:vAlign w:val="top"/>
          </w:tcPr>
          <w:p w14:paraId="2951101E">
            <w:pPr>
              <w:rPr>
                <w:rFonts w:ascii="Arial"/>
                <w:sz w:val="21"/>
              </w:rPr>
            </w:pPr>
          </w:p>
        </w:tc>
        <w:tc>
          <w:tcPr>
            <w:tcW w:w="1673" w:type="dxa"/>
            <w:vAlign w:val="top"/>
          </w:tcPr>
          <w:p w14:paraId="267A2DF4">
            <w:pPr>
              <w:rPr>
                <w:rFonts w:ascii="Arial"/>
                <w:sz w:val="21"/>
              </w:rPr>
            </w:pPr>
          </w:p>
        </w:tc>
        <w:tc>
          <w:tcPr>
            <w:tcW w:w="1769" w:type="dxa"/>
            <w:vAlign w:val="top"/>
          </w:tcPr>
          <w:p w14:paraId="120C2C48">
            <w:pPr>
              <w:rPr>
                <w:rFonts w:ascii="Arial"/>
                <w:sz w:val="21"/>
              </w:rPr>
            </w:pPr>
          </w:p>
        </w:tc>
        <w:tc>
          <w:tcPr>
            <w:tcW w:w="1679" w:type="dxa"/>
            <w:vAlign w:val="top"/>
          </w:tcPr>
          <w:p w14:paraId="33E2EFB0">
            <w:pPr>
              <w:rPr>
                <w:rFonts w:ascii="Arial"/>
                <w:sz w:val="21"/>
              </w:rPr>
            </w:pPr>
          </w:p>
        </w:tc>
        <w:tc>
          <w:tcPr>
            <w:tcW w:w="1347" w:type="dxa"/>
            <w:vAlign w:val="top"/>
          </w:tcPr>
          <w:p w14:paraId="3262182C">
            <w:pPr>
              <w:rPr>
                <w:rFonts w:ascii="Arial"/>
                <w:sz w:val="21"/>
              </w:rPr>
            </w:pPr>
          </w:p>
        </w:tc>
      </w:tr>
    </w:tbl>
    <w:p w14:paraId="7EDDCF39">
      <w:pPr>
        <w:spacing w:before="30" w:line="232" w:lineRule="auto"/>
        <w:ind w:left="174"/>
        <w:rPr>
          <w:rFonts w:ascii="宋体" w:hAnsi="宋体" w:eastAsia="宋体" w:cs="宋体"/>
          <w:sz w:val="20"/>
          <w:szCs w:val="20"/>
        </w:rPr>
      </w:pPr>
      <w:r>
        <w:rPr>
          <w:rFonts w:ascii="宋体" w:hAnsi="宋体" w:eastAsia="宋体" w:cs="宋体"/>
          <w:sz w:val="20"/>
          <w:szCs w:val="20"/>
        </w:rPr>
        <w:t>注：</w:t>
      </w:r>
    </w:p>
    <w:p w14:paraId="16016167">
      <w:pPr>
        <w:spacing w:before="157" w:line="226" w:lineRule="auto"/>
        <w:ind w:left="190"/>
        <w:rPr>
          <w:rFonts w:ascii="宋体" w:hAnsi="宋体" w:eastAsia="宋体" w:cs="宋体"/>
          <w:sz w:val="20"/>
          <w:szCs w:val="20"/>
        </w:rPr>
      </w:pPr>
      <w:r>
        <w:rPr>
          <w:rFonts w:ascii="宋体" w:hAnsi="宋体" w:eastAsia="宋体" w:cs="宋体"/>
          <w:spacing w:val="7"/>
          <w:sz w:val="20"/>
          <w:szCs w:val="20"/>
        </w:rPr>
        <w:t>1、应如实填报信用评价等级使用情况。</w:t>
      </w:r>
    </w:p>
    <w:p w14:paraId="22AD752A">
      <w:pPr>
        <w:spacing w:before="166" w:line="228" w:lineRule="auto"/>
        <w:ind w:left="177"/>
        <w:rPr>
          <w:rFonts w:ascii="宋体" w:hAnsi="宋体" w:eastAsia="宋体" w:cs="宋体"/>
          <w:sz w:val="20"/>
          <w:szCs w:val="20"/>
        </w:rPr>
      </w:pPr>
      <w:r>
        <w:rPr>
          <w:rFonts w:ascii="宋体" w:hAnsi="宋体" w:eastAsia="宋体" w:cs="宋体"/>
          <w:spacing w:val="9"/>
          <w:sz w:val="20"/>
          <w:szCs w:val="20"/>
        </w:rPr>
        <w:t>2、以联合体形式投标的，联合体各成员应分别</w:t>
      </w:r>
      <w:r>
        <w:rPr>
          <w:rFonts w:ascii="宋体" w:hAnsi="宋体" w:eastAsia="宋体" w:cs="宋体"/>
          <w:spacing w:val="8"/>
          <w:sz w:val="20"/>
          <w:szCs w:val="20"/>
        </w:rPr>
        <w:t>填写。</w:t>
      </w:r>
    </w:p>
    <w:p w14:paraId="7FAA370F">
      <w:pPr>
        <w:spacing w:line="463" w:lineRule="auto"/>
        <w:rPr>
          <w:rFonts w:hint="eastAsia" w:ascii="Arial" w:eastAsia="宋体"/>
          <w:sz w:val="21"/>
          <w:lang w:eastAsia="zh-CN"/>
        </w:rPr>
      </w:pPr>
      <w:r>
        <w:rPr>
          <w:rFonts w:hint="eastAsia" w:ascii="Arial" w:eastAsia="宋体"/>
          <w:sz w:val="21"/>
          <w:lang w:eastAsia="zh-CN"/>
        </w:rPr>
        <w:br w:type="page"/>
      </w:r>
    </w:p>
    <w:p w14:paraId="479F5060">
      <w:pPr>
        <w:spacing w:before="91" w:line="221" w:lineRule="auto"/>
        <w:ind w:left="3330"/>
        <w:rPr>
          <w:rFonts w:ascii="宋体" w:hAnsi="宋体" w:eastAsia="宋体" w:cs="宋体"/>
          <w:sz w:val="28"/>
          <w:szCs w:val="28"/>
        </w:rPr>
      </w:pPr>
      <w:r>
        <w:rPr>
          <w:rFonts w:ascii="宋体" w:hAnsi="宋体" w:eastAsia="宋体" w:cs="宋体"/>
          <w:b/>
          <w:bCs/>
          <w:spacing w:val="-4"/>
          <w:sz w:val="28"/>
          <w:szCs w:val="28"/>
        </w:rPr>
        <w:t>九-2、投标人的自评分表</w:t>
      </w:r>
    </w:p>
    <w:p w14:paraId="057B0F88">
      <w:pPr>
        <w:spacing w:before="261" w:line="218" w:lineRule="auto"/>
        <w:ind w:left="1519"/>
        <w:rPr>
          <w:rFonts w:ascii="宋体" w:hAnsi="宋体" w:eastAsia="宋体" w:cs="宋体"/>
          <w:sz w:val="24"/>
          <w:szCs w:val="24"/>
        </w:rPr>
      </w:pPr>
      <w:r>
        <w:rPr>
          <w:rFonts w:ascii="宋体" w:hAnsi="宋体" w:eastAsia="宋体" w:cs="宋体"/>
          <w:spacing w:val="-1"/>
          <w:sz w:val="24"/>
          <w:szCs w:val="24"/>
        </w:rPr>
        <w:t>（适用于双信封的综合评分法、双信封的技术评分最低标价法）</w:t>
      </w:r>
    </w:p>
    <w:p w14:paraId="164ACD0A">
      <w:pPr>
        <w:spacing w:before="26"/>
      </w:pPr>
    </w:p>
    <w:tbl>
      <w:tblPr>
        <w:tblStyle w:val="13"/>
        <w:tblW w:w="970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7"/>
        <w:gridCol w:w="1795"/>
        <w:gridCol w:w="1223"/>
        <w:gridCol w:w="1409"/>
        <w:gridCol w:w="1025"/>
        <w:gridCol w:w="1600"/>
        <w:gridCol w:w="1639"/>
      </w:tblGrid>
      <w:tr w14:paraId="31DB7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5" w:hRule="atLeast"/>
        </w:trPr>
        <w:tc>
          <w:tcPr>
            <w:tcW w:w="1017" w:type="dxa"/>
            <w:vAlign w:val="top"/>
          </w:tcPr>
          <w:p w14:paraId="6BDDA28B">
            <w:pPr>
              <w:spacing w:line="370" w:lineRule="auto"/>
              <w:rPr>
                <w:rFonts w:ascii="Arial"/>
                <w:sz w:val="21"/>
              </w:rPr>
            </w:pPr>
          </w:p>
          <w:p w14:paraId="52309EBB">
            <w:pPr>
              <w:pStyle w:val="14"/>
              <w:spacing w:before="78" w:line="221" w:lineRule="auto"/>
              <w:ind w:left="270"/>
              <w:rPr>
                <w:sz w:val="24"/>
                <w:szCs w:val="24"/>
              </w:rPr>
            </w:pPr>
            <w:r>
              <w:rPr>
                <w:spacing w:val="-5"/>
                <w:sz w:val="24"/>
                <w:szCs w:val="24"/>
              </w:rPr>
              <w:t>序号</w:t>
            </w:r>
          </w:p>
        </w:tc>
        <w:tc>
          <w:tcPr>
            <w:tcW w:w="1795" w:type="dxa"/>
            <w:vAlign w:val="top"/>
          </w:tcPr>
          <w:p w14:paraId="300CEE5E">
            <w:pPr>
              <w:spacing w:line="371" w:lineRule="auto"/>
              <w:rPr>
                <w:rFonts w:ascii="Arial"/>
                <w:sz w:val="21"/>
              </w:rPr>
            </w:pPr>
          </w:p>
          <w:p w14:paraId="23F6306B">
            <w:pPr>
              <w:pStyle w:val="14"/>
              <w:spacing w:before="78" w:line="219" w:lineRule="auto"/>
              <w:ind w:left="417"/>
              <w:rPr>
                <w:sz w:val="24"/>
                <w:szCs w:val="24"/>
              </w:rPr>
            </w:pPr>
            <w:r>
              <w:rPr>
                <w:spacing w:val="-3"/>
                <w:sz w:val="24"/>
                <w:szCs w:val="24"/>
              </w:rPr>
              <w:t>评分因素</w:t>
            </w:r>
          </w:p>
        </w:tc>
        <w:tc>
          <w:tcPr>
            <w:tcW w:w="1223" w:type="dxa"/>
            <w:vAlign w:val="top"/>
          </w:tcPr>
          <w:p w14:paraId="2E1374AC">
            <w:pPr>
              <w:spacing w:line="371" w:lineRule="auto"/>
              <w:rPr>
                <w:rFonts w:ascii="Arial"/>
                <w:sz w:val="21"/>
              </w:rPr>
            </w:pPr>
          </w:p>
          <w:p w14:paraId="1FDF424E">
            <w:pPr>
              <w:pStyle w:val="14"/>
              <w:spacing w:before="78" w:line="219" w:lineRule="auto"/>
              <w:ind w:left="373"/>
              <w:rPr>
                <w:sz w:val="24"/>
                <w:szCs w:val="24"/>
              </w:rPr>
            </w:pPr>
            <w:r>
              <w:rPr>
                <w:spacing w:val="-5"/>
                <w:sz w:val="24"/>
                <w:szCs w:val="24"/>
              </w:rPr>
              <w:t>满分</w:t>
            </w:r>
          </w:p>
        </w:tc>
        <w:tc>
          <w:tcPr>
            <w:tcW w:w="1409" w:type="dxa"/>
            <w:tcBorders>
              <w:right w:val="single" w:color="000000" w:sz="2" w:space="0"/>
            </w:tcBorders>
            <w:vAlign w:val="top"/>
          </w:tcPr>
          <w:p w14:paraId="701B5002">
            <w:pPr>
              <w:spacing w:line="371" w:lineRule="auto"/>
              <w:rPr>
                <w:rFonts w:ascii="Arial"/>
                <w:sz w:val="21"/>
              </w:rPr>
            </w:pPr>
          </w:p>
          <w:p w14:paraId="5F9CB113">
            <w:pPr>
              <w:pStyle w:val="14"/>
              <w:spacing w:before="78" w:line="220" w:lineRule="auto"/>
              <w:ind w:left="227"/>
              <w:rPr>
                <w:sz w:val="24"/>
                <w:szCs w:val="24"/>
              </w:rPr>
            </w:pPr>
            <w:r>
              <w:rPr>
                <w:spacing w:val="-3"/>
                <w:sz w:val="24"/>
                <w:szCs w:val="24"/>
              </w:rPr>
              <w:t>评分标准</w:t>
            </w:r>
          </w:p>
        </w:tc>
        <w:tc>
          <w:tcPr>
            <w:tcW w:w="1025" w:type="dxa"/>
            <w:tcBorders>
              <w:left w:val="single" w:color="000000" w:sz="2" w:space="0"/>
              <w:right w:val="single" w:color="000000" w:sz="2" w:space="0"/>
            </w:tcBorders>
            <w:vAlign w:val="top"/>
          </w:tcPr>
          <w:p w14:paraId="38190249">
            <w:pPr>
              <w:spacing w:line="371" w:lineRule="auto"/>
              <w:rPr>
                <w:rFonts w:ascii="Arial"/>
                <w:sz w:val="21"/>
              </w:rPr>
            </w:pPr>
          </w:p>
          <w:p w14:paraId="768D95E1">
            <w:pPr>
              <w:pStyle w:val="14"/>
              <w:spacing w:before="78" w:line="220" w:lineRule="auto"/>
              <w:ind w:left="200"/>
              <w:rPr>
                <w:sz w:val="24"/>
                <w:szCs w:val="24"/>
              </w:rPr>
            </w:pPr>
            <w:r>
              <w:rPr>
                <w:spacing w:val="-17"/>
                <w:sz w:val="24"/>
                <w:szCs w:val="24"/>
              </w:rPr>
              <w:t>自评分</w:t>
            </w:r>
          </w:p>
        </w:tc>
        <w:tc>
          <w:tcPr>
            <w:tcW w:w="1600" w:type="dxa"/>
            <w:tcBorders>
              <w:left w:val="single" w:color="000000" w:sz="2" w:space="0"/>
              <w:right w:val="single" w:color="000000" w:sz="2" w:space="0"/>
            </w:tcBorders>
            <w:vAlign w:val="top"/>
          </w:tcPr>
          <w:p w14:paraId="257BB051">
            <w:pPr>
              <w:pStyle w:val="14"/>
              <w:spacing w:before="295" w:line="242" w:lineRule="auto"/>
              <w:ind w:left="710" w:right="195" w:hanging="503"/>
              <w:rPr>
                <w:sz w:val="24"/>
                <w:szCs w:val="24"/>
              </w:rPr>
            </w:pPr>
            <w:r>
              <w:rPr>
                <w:spacing w:val="-2"/>
                <w:sz w:val="24"/>
                <w:szCs w:val="24"/>
              </w:rPr>
              <w:t>评分情况说</w:t>
            </w:r>
            <w:r>
              <w:rPr>
                <w:sz w:val="24"/>
                <w:szCs w:val="24"/>
              </w:rPr>
              <w:t>明</w:t>
            </w:r>
          </w:p>
        </w:tc>
        <w:tc>
          <w:tcPr>
            <w:tcW w:w="1639" w:type="dxa"/>
            <w:tcBorders>
              <w:left w:val="single" w:color="000000" w:sz="2" w:space="0"/>
            </w:tcBorders>
            <w:vAlign w:val="top"/>
          </w:tcPr>
          <w:p w14:paraId="38AC1B49">
            <w:pPr>
              <w:spacing w:line="371" w:lineRule="auto"/>
              <w:rPr>
                <w:rFonts w:ascii="Arial"/>
                <w:sz w:val="21"/>
              </w:rPr>
            </w:pPr>
          </w:p>
          <w:p w14:paraId="78089E9A">
            <w:pPr>
              <w:pStyle w:val="14"/>
              <w:spacing w:before="78" w:line="220" w:lineRule="auto"/>
              <w:ind w:left="351"/>
              <w:rPr>
                <w:sz w:val="24"/>
                <w:szCs w:val="24"/>
              </w:rPr>
            </w:pPr>
            <w:r>
              <w:rPr>
                <w:spacing w:val="-4"/>
                <w:sz w:val="24"/>
                <w:szCs w:val="24"/>
              </w:rPr>
              <w:t>页码索引</w:t>
            </w:r>
          </w:p>
        </w:tc>
      </w:tr>
      <w:tr w14:paraId="3CAA0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8" w:hRule="atLeast"/>
        </w:trPr>
        <w:tc>
          <w:tcPr>
            <w:tcW w:w="1017" w:type="dxa"/>
            <w:vAlign w:val="top"/>
          </w:tcPr>
          <w:p w14:paraId="2B6019FA">
            <w:pPr>
              <w:rPr>
                <w:rFonts w:ascii="Arial"/>
                <w:sz w:val="21"/>
              </w:rPr>
            </w:pPr>
          </w:p>
        </w:tc>
        <w:tc>
          <w:tcPr>
            <w:tcW w:w="1795" w:type="dxa"/>
            <w:vAlign w:val="top"/>
          </w:tcPr>
          <w:p w14:paraId="4660EE73">
            <w:pPr>
              <w:rPr>
                <w:rFonts w:ascii="Arial"/>
                <w:sz w:val="21"/>
              </w:rPr>
            </w:pPr>
          </w:p>
        </w:tc>
        <w:tc>
          <w:tcPr>
            <w:tcW w:w="1223" w:type="dxa"/>
            <w:vAlign w:val="top"/>
          </w:tcPr>
          <w:p w14:paraId="1D51EBF6">
            <w:pPr>
              <w:rPr>
                <w:rFonts w:ascii="Arial"/>
                <w:sz w:val="21"/>
              </w:rPr>
            </w:pPr>
          </w:p>
        </w:tc>
        <w:tc>
          <w:tcPr>
            <w:tcW w:w="1409" w:type="dxa"/>
            <w:tcBorders>
              <w:right w:val="single" w:color="000000" w:sz="2" w:space="0"/>
            </w:tcBorders>
            <w:vAlign w:val="top"/>
          </w:tcPr>
          <w:p w14:paraId="0051C31A">
            <w:pPr>
              <w:rPr>
                <w:rFonts w:ascii="Arial"/>
                <w:sz w:val="21"/>
              </w:rPr>
            </w:pPr>
          </w:p>
        </w:tc>
        <w:tc>
          <w:tcPr>
            <w:tcW w:w="1025" w:type="dxa"/>
            <w:tcBorders>
              <w:left w:val="single" w:color="000000" w:sz="2" w:space="0"/>
              <w:right w:val="single" w:color="000000" w:sz="2" w:space="0"/>
            </w:tcBorders>
            <w:vAlign w:val="top"/>
          </w:tcPr>
          <w:p w14:paraId="42EFBECC">
            <w:pPr>
              <w:rPr>
                <w:rFonts w:ascii="Arial"/>
                <w:sz w:val="21"/>
              </w:rPr>
            </w:pPr>
          </w:p>
        </w:tc>
        <w:tc>
          <w:tcPr>
            <w:tcW w:w="1600" w:type="dxa"/>
            <w:tcBorders>
              <w:left w:val="single" w:color="000000" w:sz="2" w:space="0"/>
              <w:right w:val="single" w:color="000000" w:sz="2" w:space="0"/>
            </w:tcBorders>
            <w:vAlign w:val="top"/>
          </w:tcPr>
          <w:p w14:paraId="7BF5ED13">
            <w:pPr>
              <w:rPr>
                <w:rFonts w:ascii="Arial"/>
                <w:sz w:val="21"/>
              </w:rPr>
            </w:pPr>
          </w:p>
        </w:tc>
        <w:tc>
          <w:tcPr>
            <w:tcW w:w="1639" w:type="dxa"/>
            <w:tcBorders>
              <w:left w:val="single" w:color="000000" w:sz="2" w:space="0"/>
            </w:tcBorders>
            <w:vAlign w:val="top"/>
          </w:tcPr>
          <w:p w14:paraId="1D37A34C">
            <w:pPr>
              <w:rPr>
                <w:rFonts w:ascii="Arial"/>
                <w:sz w:val="21"/>
              </w:rPr>
            </w:pPr>
          </w:p>
        </w:tc>
      </w:tr>
      <w:tr w14:paraId="299F6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8" w:hRule="atLeast"/>
        </w:trPr>
        <w:tc>
          <w:tcPr>
            <w:tcW w:w="1017" w:type="dxa"/>
            <w:vAlign w:val="top"/>
          </w:tcPr>
          <w:p w14:paraId="0810CEE5">
            <w:pPr>
              <w:rPr>
                <w:rFonts w:ascii="Arial"/>
                <w:sz w:val="21"/>
              </w:rPr>
            </w:pPr>
          </w:p>
        </w:tc>
        <w:tc>
          <w:tcPr>
            <w:tcW w:w="1795" w:type="dxa"/>
            <w:vAlign w:val="top"/>
          </w:tcPr>
          <w:p w14:paraId="4A1D2BFE">
            <w:pPr>
              <w:rPr>
                <w:rFonts w:ascii="Arial"/>
                <w:sz w:val="21"/>
              </w:rPr>
            </w:pPr>
          </w:p>
        </w:tc>
        <w:tc>
          <w:tcPr>
            <w:tcW w:w="1223" w:type="dxa"/>
            <w:vAlign w:val="top"/>
          </w:tcPr>
          <w:p w14:paraId="7A2EB54F">
            <w:pPr>
              <w:rPr>
                <w:rFonts w:ascii="Arial"/>
                <w:sz w:val="21"/>
              </w:rPr>
            </w:pPr>
          </w:p>
        </w:tc>
        <w:tc>
          <w:tcPr>
            <w:tcW w:w="1409" w:type="dxa"/>
            <w:tcBorders>
              <w:right w:val="single" w:color="000000" w:sz="2" w:space="0"/>
            </w:tcBorders>
            <w:vAlign w:val="top"/>
          </w:tcPr>
          <w:p w14:paraId="39F258C9">
            <w:pPr>
              <w:rPr>
                <w:rFonts w:ascii="Arial"/>
                <w:sz w:val="21"/>
              </w:rPr>
            </w:pPr>
          </w:p>
        </w:tc>
        <w:tc>
          <w:tcPr>
            <w:tcW w:w="1025" w:type="dxa"/>
            <w:tcBorders>
              <w:left w:val="single" w:color="000000" w:sz="2" w:space="0"/>
              <w:right w:val="single" w:color="000000" w:sz="2" w:space="0"/>
            </w:tcBorders>
            <w:vAlign w:val="top"/>
          </w:tcPr>
          <w:p w14:paraId="5638CD8C">
            <w:pPr>
              <w:rPr>
                <w:rFonts w:ascii="Arial"/>
                <w:sz w:val="21"/>
              </w:rPr>
            </w:pPr>
          </w:p>
        </w:tc>
        <w:tc>
          <w:tcPr>
            <w:tcW w:w="1600" w:type="dxa"/>
            <w:tcBorders>
              <w:left w:val="single" w:color="000000" w:sz="2" w:space="0"/>
              <w:right w:val="single" w:color="000000" w:sz="2" w:space="0"/>
            </w:tcBorders>
            <w:vAlign w:val="top"/>
          </w:tcPr>
          <w:p w14:paraId="5653A295">
            <w:pPr>
              <w:rPr>
                <w:rFonts w:ascii="Arial"/>
                <w:sz w:val="21"/>
              </w:rPr>
            </w:pPr>
          </w:p>
        </w:tc>
        <w:tc>
          <w:tcPr>
            <w:tcW w:w="1639" w:type="dxa"/>
            <w:tcBorders>
              <w:left w:val="single" w:color="000000" w:sz="2" w:space="0"/>
            </w:tcBorders>
            <w:vAlign w:val="top"/>
          </w:tcPr>
          <w:p w14:paraId="4F5D62C9">
            <w:pPr>
              <w:rPr>
                <w:rFonts w:ascii="Arial"/>
                <w:sz w:val="21"/>
              </w:rPr>
            </w:pPr>
          </w:p>
        </w:tc>
      </w:tr>
      <w:tr w14:paraId="1DC0A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8" w:hRule="atLeast"/>
        </w:trPr>
        <w:tc>
          <w:tcPr>
            <w:tcW w:w="1017" w:type="dxa"/>
            <w:vAlign w:val="top"/>
          </w:tcPr>
          <w:p w14:paraId="1190D4B1">
            <w:pPr>
              <w:rPr>
                <w:rFonts w:ascii="Arial"/>
                <w:sz w:val="21"/>
              </w:rPr>
            </w:pPr>
          </w:p>
        </w:tc>
        <w:tc>
          <w:tcPr>
            <w:tcW w:w="1795" w:type="dxa"/>
            <w:vAlign w:val="top"/>
          </w:tcPr>
          <w:p w14:paraId="2D31A85A">
            <w:pPr>
              <w:rPr>
                <w:rFonts w:ascii="Arial"/>
                <w:sz w:val="21"/>
              </w:rPr>
            </w:pPr>
          </w:p>
        </w:tc>
        <w:tc>
          <w:tcPr>
            <w:tcW w:w="1223" w:type="dxa"/>
            <w:vAlign w:val="top"/>
          </w:tcPr>
          <w:p w14:paraId="6D319E4C">
            <w:pPr>
              <w:rPr>
                <w:rFonts w:ascii="Arial"/>
                <w:sz w:val="21"/>
              </w:rPr>
            </w:pPr>
          </w:p>
        </w:tc>
        <w:tc>
          <w:tcPr>
            <w:tcW w:w="1409" w:type="dxa"/>
            <w:tcBorders>
              <w:right w:val="single" w:color="000000" w:sz="2" w:space="0"/>
            </w:tcBorders>
            <w:vAlign w:val="top"/>
          </w:tcPr>
          <w:p w14:paraId="0D7ED2A7">
            <w:pPr>
              <w:rPr>
                <w:rFonts w:ascii="Arial"/>
                <w:sz w:val="21"/>
              </w:rPr>
            </w:pPr>
          </w:p>
        </w:tc>
        <w:tc>
          <w:tcPr>
            <w:tcW w:w="1025" w:type="dxa"/>
            <w:tcBorders>
              <w:left w:val="single" w:color="000000" w:sz="2" w:space="0"/>
              <w:right w:val="single" w:color="000000" w:sz="2" w:space="0"/>
            </w:tcBorders>
            <w:vAlign w:val="top"/>
          </w:tcPr>
          <w:p w14:paraId="62DC68FC">
            <w:pPr>
              <w:rPr>
                <w:rFonts w:ascii="Arial"/>
                <w:sz w:val="21"/>
              </w:rPr>
            </w:pPr>
          </w:p>
        </w:tc>
        <w:tc>
          <w:tcPr>
            <w:tcW w:w="1600" w:type="dxa"/>
            <w:tcBorders>
              <w:left w:val="single" w:color="000000" w:sz="2" w:space="0"/>
              <w:right w:val="single" w:color="000000" w:sz="2" w:space="0"/>
            </w:tcBorders>
            <w:vAlign w:val="top"/>
          </w:tcPr>
          <w:p w14:paraId="73C93500">
            <w:pPr>
              <w:rPr>
                <w:rFonts w:ascii="Arial"/>
                <w:sz w:val="21"/>
              </w:rPr>
            </w:pPr>
          </w:p>
        </w:tc>
        <w:tc>
          <w:tcPr>
            <w:tcW w:w="1639" w:type="dxa"/>
            <w:tcBorders>
              <w:left w:val="single" w:color="000000" w:sz="2" w:space="0"/>
            </w:tcBorders>
            <w:vAlign w:val="top"/>
          </w:tcPr>
          <w:p w14:paraId="40A0191E">
            <w:pPr>
              <w:rPr>
                <w:rFonts w:ascii="Arial"/>
                <w:sz w:val="21"/>
              </w:rPr>
            </w:pPr>
          </w:p>
        </w:tc>
      </w:tr>
      <w:tr w14:paraId="2006C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8" w:hRule="atLeast"/>
        </w:trPr>
        <w:tc>
          <w:tcPr>
            <w:tcW w:w="1017" w:type="dxa"/>
            <w:tcBorders>
              <w:left w:val="single" w:color="000000" w:sz="2" w:space="0"/>
            </w:tcBorders>
            <w:vAlign w:val="top"/>
          </w:tcPr>
          <w:p w14:paraId="05526A39">
            <w:pPr>
              <w:rPr>
                <w:rFonts w:ascii="Arial"/>
                <w:sz w:val="21"/>
              </w:rPr>
            </w:pPr>
          </w:p>
        </w:tc>
        <w:tc>
          <w:tcPr>
            <w:tcW w:w="1795" w:type="dxa"/>
            <w:vAlign w:val="top"/>
          </w:tcPr>
          <w:p w14:paraId="47457216">
            <w:pPr>
              <w:rPr>
                <w:rFonts w:ascii="Arial"/>
                <w:sz w:val="21"/>
              </w:rPr>
            </w:pPr>
          </w:p>
        </w:tc>
        <w:tc>
          <w:tcPr>
            <w:tcW w:w="1223" w:type="dxa"/>
            <w:vAlign w:val="top"/>
          </w:tcPr>
          <w:p w14:paraId="291D08D9">
            <w:pPr>
              <w:rPr>
                <w:rFonts w:ascii="Arial"/>
                <w:sz w:val="21"/>
              </w:rPr>
            </w:pPr>
          </w:p>
        </w:tc>
        <w:tc>
          <w:tcPr>
            <w:tcW w:w="1409" w:type="dxa"/>
            <w:tcBorders>
              <w:right w:val="single" w:color="000000" w:sz="2" w:space="0"/>
            </w:tcBorders>
            <w:vAlign w:val="top"/>
          </w:tcPr>
          <w:p w14:paraId="7014D15F">
            <w:pPr>
              <w:rPr>
                <w:rFonts w:ascii="Arial"/>
                <w:sz w:val="21"/>
              </w:rPr>
            </w:pPr>
          </w:p>
        </w:tc>
        <w:tc>
          <w:tcPr>
            <w:tcW w:w="1025" w:type="dxa"/>
            <w:tcBorders>
              <w:left w:val="single" w:color="000000" w:sz="2" w:space="0"/>
            </w:tcBorders>
            <w:vAlign w:val="top"/>
          </w:tcPr>
          <w:p w14:paraId="3527F8AC">
            <w:pPr>
              <w:rPr>
                <w:rFonts w:ascii="Arial"/>
                <w:sz w:val="21"/>
              </w:rPr>
            </w:pPr>
          </w:p>
        </w:tc>
        <w:tc>
          <w:tcPr>
            <w:tcW w:w="1600" w:type="dxa"/>
            <w:vAlign w:val="top"/>
          </w:tcPr>
          <w:p w14:paraId="3B1ACA01">
            <w:pPr>
              <w:rPr>
                <w:rFonts w:ascii="Arial"/>
                <w:sz w:val="21"/>
              </w:rPr>
            </w:pPr>
          </w:p>
        </w:tc>
        <w:tc>
          <w:tcPr>
            <w:tcW w:w="1639" w:type="dxa"/>
            <w:vAlign w:val="top"/>
          </w:tcPr>
          <w:p w14:paraId="2E98A1E7">
            <w:pPr>
              <w:rPr>
                <w:rFonts w:ascii="Arial"/>
                <w:sz w:val="21"/>
              </w:rPr>
            </w:pPr>
          </w:p>
        </w:tc>
      </w:tr>
      <w:tr w14:paraId="4CA7F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1" w:hRule="atLeast"/>
        </w:trPr>
        <w:tc>
          <w:tcPr>
            <w:tcW w:w="2812" w:type="dxa"/>
            <w:gridSpan w:val="2"/>
            <w:tcBorders>
              <w:bottom w:val="single" w:color="000000" w:sz="2" w:space="0"/>
            </w:tcBorders>
            <w:vAlign w:val="top"/>
          </w:tcPr>
          <w:p w14:paraId="3A84608E">
            <w:pPr>
              <w:spacing w:line="369" w:lineRule="auto"/>
              <w:rPr>
                <w:rFonts w:ascii="Arial"/>
                <w:sz w:val="21"/>
              </w:rPr>
            </w:pPr>
          </w:p>
          <w:p w14:paraId="6B830235">
            <w:pPr>
              <w:pStyle w:val="14"/>
              <w:spacing w:before="78" w:line="221" w:lineRule="auto"/>
              <w:ind w:left="1170"/>
              <w:rPr>
                <w:sz w:val="24"/>
                <w:szCs w:val="24"/>
              </w:rPr>
            </w:pPr>
            <w:r>
              <w:rPr>
                <w:spacing w:val="-6"/>
                <w:sz w:val="24"/>
                <w:szCs w:val="24"/>
              </w:rPr>
              <w:t>合计</w:t>
            </w:r>
          </w:p>
        </w:tc>
        <w:tc>
          <w:tcPr>
            <w:tcW w:w="1223" w:type="dxa"/>
            <w:tcBorders>
              <w:bottom w:val="single" w:color="000000" w:sz="2" w:space="0"/>
            </w:tcBorders>
            <w:vAlign w:val="top"/>
          </w:tcPr>
          <w:p w14:paraId="4BF25134">
            <w:pPr>
              <w:rPr>
                <w:rFonts w:ascii="Arial"/>
                <w:sz w:val="21"/>
              </w:rPr>
            </w:pPr>
          </w:p>
        </w:tc>
        <w:tc>
          <w:tcPr>
            <w:tcW w:w="1409" w:type="dxa"/>
            <w:tcBorders>
              <w:bottom w:val="single" w:color="000000" w:sz="2" w:space="0"/>
              <w:right w:val="single" w:color="000000" w:sz="2" w:space="0"/>
            </w:tcBorders>
            <w:vAlign w:val="top"/>
          </w:tcPr>
          <w:p w14:paraId="68DD22BE">
            <w:pPr>
              <w:spacing w:line="241" w:lineRule="auto"/>
              <w:rPr>
                <w:rFonts w:ascii="Arial"/>
                <w:sz w:val="21"/>
              </w:rPr>
            </w:pPr>
          </w:p>
          <w:p w14:paraId="6F979BAD">
            <w:pPr>
              <w:spacing w:line="241" w:lineRule="auto"/>
              <w:rPr>
                <w:rFonts w:ascii="Arial"/>
                <w:sz w:val="21"/>
              </w:rPr>
            </w:pPr>
          </w:p>
          <w:p w14:paraId="7E8C35D3">
            <w:pPr>
              <w:pStyle w:val="14"/>
              <w:spacing w:before="78" w:line="162" w:lineRule="exact"/>
              <w:ind w:left="646"/>
              <w:rPr>
                <w:sz w:val="24"/>
                <w:szCs w:val="24"/>
              </w:rPr>
            </w:pPr>
            <w:r>
              <w:rPr>
                <w:position w:val="-4"/>
                <w:sz w:val="24"/>
                <w:szCs w:val="24"/>
              </w:rPr>
              <w:t>-</w:t>
            </w:r>
          </w:p>
        </w:tc>
        <w:tc>
          <w:tcPr>
            <w:tcW w:w="1025" w:type="dxa"/>
            <w:tcBorders>
              <w:left w:val="single" w:color="000000" w:sz="2" w:space="0"/>
              <w:bottom w:val="single" w:color="000000" w:sz="2" w:space="0"/>
            </w:tcBorders>
            <w:vAlign w:val="top"/>
          </w:tcPr>
          <w:p w14:paraId="53C1614A">
            <w:pPr>
              <w:rPr>
                <w:rFonts w:ascii="Arial"/>
                <w:sz w:val="21"/>
              </w:rPr>
            </w:pPr>
          </w:p>
        </w:tc>
        <w:tc>
          <w:tcPr>
            <w:tcW w:w="3239" w:type="dxa"/>
            <w:gridSpan w:val="2"/>
            <w:tcBorders>
              <w:bottom w:val="single" w:color="000000" w:sz="2" w:space="0"/>
            </w:tcBorders>
            <w:vAlign w:val="top"/>
          </w:tcPr>
          <w:p w14:paraId="5BB79F99">
            <w:pPr>
              <w:spacing w:line="241" w:lineRule="auto"/>
              <w:rPr>
                <w:rFonts w:ascii="Arial"/>
                <w:sz w:val="21"/>
              </w:rPr>
            </w:pPr>
          </w:p>
          <w:p w14:paraId="67AD638F">
            <w:pPr>
              <w:spacing w:line="241" w:lineRule="auto"/>
              <w:rPr>
                <w:rFonts w:ascii="Arial"/>
                <w:sz w:val="21"/>
              </w:rPr>
            </w:pPr>
          </w:p>
          <w:p w14:paraId="10076692">
            <w:pPr>
              <w:pStyle w:val="14"/>
              <w:spacing w:before="78" w:line="162" w:lineRule="exact"/>
              <w:ind w:left="1562"/>
              <w:rPr>
                <w:sz w:val="24"/>
                <w:szCs w:val="24"/>
              </w:rPr>
            </w:pPr>
            <w:r>
              <w:rPr>
                <w:position w:val="-4"/>
                <w:sz w:val="24"/>
                <w:szCs w:val="24"/>
              </w:rPr>
              <w:t>-</w:t>
            </w:r>
          </w:p>
        </w:tc>
      </w:tr>
    </w:tbl>
    <w:p w14:paraId="0B752204">
      <w:pPr>
        <w:rPr>
          <w:rFonts w:ascii="Arial"/>
          <w:sz w:val="21"/>
        </w:rPr>
      </w:pPr>
    </w:p>
    <w:p w14:paraId="5A6A6F09">
      <w:pPr>
        <w:spacing w:before="65" w:line="227" w:lineRule="auto"/>
        <w:ind w:left="3487"/>
        <w:rPr>
          <w:rFonts w:ascii="宋体" w:hAnsi="宋体" w:eastAsia="宋体" w:cs="宋体"/>
          <w:sz w:val="20"/>
          <w:szCs w:val="20"/>
        </w:rPr>
      </w:pPr>
      <w:r>
        <w:rPr>
          <w:rFonts w:ascii="宋体" w:hAnsi="宋体" w:eastAsia="宋体" w:cs="宋体"/>
          <w:spacing w:val="3"/>
          <w:sz w:val="20"/>
          <w:szCs w:val="20"/>
        </w:rPr>
        <w:t>投标人：</w:t>
      </w:r>
      <w:r>
        <w:rPr>
          <w:rFonts w:ascii="宋体" w:hAnsi="宋体" w:eastAsia="宋体" w:cs="宋体"/>
          <w:sz w:val="20"/>
          <w:szCs w:val="20"/>
          <w:u w:val="single" w:color="auto"/>
        </w:rPr>
        <w:t xml:space="preserve">                       </w:t>
      </w:r>
      <w:r>
        <w:rPr>
          <w:rFonts w:ascii="宋体" w:hAnsi="宋体" w:eastAsia="宋体" w:cs="宋体"/>
          <w:spacing w:val="-43"/>
          <w:sz w:val="20"/>
          <w:szCs w:val="20"/>
        </w:rPr>
        <w:t xml:space="preserve"> </w:t>
      </w:r>
      <w:r>
        <w:rPr>
          <w:rFonts w:ascii="宋体" w:hAnsi="宋体" w:eastAsia="宋体" w:cs="宋体"/>
          <w:spacing w:val="3"/>
          <w:sz w:val="20"/>
          <w:szCs w:val="20"/>
        </w:rPr>
        <w:t>(盖单位章)</w:t>
      </w:r>
    </w:p>
    <w:p w14:paraId="58239B27">
      <w:pPr>
        <w:spacing w:before="162" w:line="228" w:lineRule="auto"/>
        <w:ind w:left="3485"/>
        <w:rPr>
          <w:rFonts w:ascii="宋体" w:hAnsi="宋体" w:eastAsia="宋体" w:cs="宋体"/>
          <w:sz w:val="20"/>
          <w:szCs w:val="20"/>
        </w:rPr>
      </w:pPr>
      <w:r>
        <w:rPr>
          <w:rFonts w:ascii="宋体" w:hAnsi="宋体" w:eastAsia="宋体" w:cs="宋体"/>
          <w:spacing w:val="10"/>
          <w:sz w:val="20"/>
          <w:szCs w:val="20"/>
        </w:rPr>
        <w:t>法定代表人或其委托代理人</w:t>
      </w:r>
      <w:r>
        <w:rPr>
          <w:rFonts w:ascii="宋体" w:hAnsi="宋体" w:eastAsia="宋体" w:cs="宋体"/>
          <w:spacing w:val="-1"/>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1"/>
          <w:sz w:val="20"/>
          <w:szCs w:val="20"/>
        </w:rPr>
        <w:t>（</w:t>
      </w:r>
      <w:r>
        <w:rPr>
          <w:rFonts w:ascii="宋体" w:hAnsi="宋体" w:eastAsia="宋体" w:cs="宋体"/>
          <w:spacing w:val="10"/>
          <w:sz w:val="20"/>
          <w:szCs w:val="20"/>
        </w:rPr>
        <w:t>签字）</w:t>
      </w:r>
    </w:p>
    <w:p w14:paraId="5B1F4FF2">
      <w:pPr>
        <w:spacing w:line="249" w:lineRule="auto"/>
        <w:rPr>
          <w:rFonts w:hint="eastAsia" w:ascii="Arial" w:eastAsia="宋体"/>
          <w:sz w:val="21"/>
          <w:lang w:eastAsia="zh-CN"/>
        </w:rPr>
      </w:pPr>
      <w:r>
        <w:rPr>
          <w:rFonts w:hint="eastAsia" w:ascii="Arial" w:eastAsia="宋体"/>
          <w:sz w:val="21"/>
          <w:lang w:eastAsia="zh-CN"/>
        </w:rPr>
        <w:br w:type="page"/>
      </w:r>
    </w:p>
    <w:p w14:paraId="0EE405F9">
      <w:pPr>
        <w:spacing w:line="249" w:lineRule="auto"/>
        <w:rPr>
          <w:rFonts w:ascii="Arial"/>
          <w:sz w:val="21"/>
        </w:rPr>
      </w:pPr>
    </w:p>
    <w:p w14:paraId="0743CAD6">
      <w:pPr>
        <w:spacing w:line="250" w:lineRule="auto"/>
        <w:rPr>
          <w:rFonts w:ascii="Arial"/>
          <w:sz w:val="21"/>
        </w:rPr>
      </w:pPr>
    </w:p>
    <w:p w14:paraId="6DF70386">
      <w:pPr>
        <w:spacing w:before="140" w:line="223" w:lineRule="auto"/>
        <w:ind w:left="3889"/>
        <w:rPr>
          <w:rFonts w:ascii="宋体" w:hAnsi="宋体" w:eastAsia="宋体" w:cs="宋体"/>
          <w:sz w:val="43"/>
          <w:szCs w:val="43"/>
        </w:rPr>
      </w:pPr>
      <w:r>
        <w:rPr>
          <w:rFonts w:ascii="宋体" w:hAnsi="宋体" w:eastAsia="宋体" w:cs="宋体"/>
          <w:spacing w:val="4"/>
          <w:sz w:val="43"/>
          <w:szCs w:val="43"/>
        </w:rPr>
        <w:t>广东省</w:t>
      </w:r>
    </w:p>
    <w:p w14:paraId="48AF2751">
      <w:pPr>
        <w:spacing w:line="258" w:lineRule="auto"/>
        <w:rPr>
          <w:rFonts w:ascii="Arial"/>
          <w:sz w:val="21"/>
        </w:rPr>
      </w:pPr>
    </w:p>
    <w:p w14:paraId="477F2971">
      <w:pPr>
        <w:spacing w:line="259" w:lineRule="auto"/>
        <w:rPr>
          <w:rFonts w:ascii="Arial"/>
          <w:sz w:val="21"/>
        </w:rPr>
      </w:pPr>
    </w:p>
    <w:p w14:paraId="5793CEDC">
      <w:pPr>
        <w:spacing w:line="259" w:lineRule="auto"/>
        <w:rPr>
          <w:rFonts w:ascii="Arial"/>
          <w:sz w:val="21"/>
        </w:rPr>
      </w:pPr>
    </w:p>
    <w:p w14:paraId="6BA6126D">
      <w:pPr>
        <w:spacing w:line="259" w:lineRule="auto"/>
        <w:rPr>
          <w:rFonts w:ascii="Arial"/>
          <w:sz w:val="21"/>
        </w:rPr>
      </w:pPr>
    </w:p>
    <w:p w14:paraId="11FEF7BD">
      <w:pPr>
        <w:spacing w:line="259" w:lineRule="auto"/>
        <w:rPr>
          <w:rFonts w:ascii="Arial"/>
          <w:sz w:val="21"/>
        </w:rPr>
      </w:pPr>
    </w:p>
    <w:p w14:paraId="472E7FBC">
      <w:pPr>
        <w:spacing w:before="130" w:line="220" w:lineRule="auto"/>
        <w:ind w:right="34"/>
        <w:jc w:val="right"/>
        <w:rPr>
          <w:rFonts w:ascii="宋体" w:hAnsi="宋体" w:eastAsia="宋体" w:cs="宋体"/>
          <w:sz w:val="40"/>
          <w:szCs w:val="40"/>
        </w:rPr>
      </w:pPr>
      <w:r>
        <w:pict>
          <v:shape id="_x0000_s1119" o:spid="_x0000_s1119" style="position:absolute;left:0pt;margin-left:1.6pt;margin-top:25.55pt;height:1pt;width:450pt;z-index:251670528;mso-width-relative:page;mso-height-relative:page;" filled="f" stroked="t" coordsize="9000,20" path="m0,9l9000,9e">
            <v:fill on="f" focussize="0,0"/>
            <v:stroke weight="0.96pt" color="#000000" miterlimit="2" joinstyle="bevel"/>
            <v:imagedata o:title=""/>
            <o:lock v:ext="edit"/>
          </v:shape>
        </w:pict>
      </w:r>
      <w:r>
        <w:rPr>
          <w:rFonts w:ascii="宋体" w:hAnsi="宋体" w:eastAsia="宋体" w:cs="宋体"/>
          <w:spacing w:val="-5"/>
          <w:sz w:val="40"/>
          <w:szCs w:val="40"/>
        </w:rPr>
        <w:t>(项目名称)       （标类或标段）</w:t>
      </w:r>
    </w:p>
    <w:p w14:paraId="500FCAD0">
      <w:pPr>
        <w:spacing w:before="300" w:line="221" w:lineRule="auto"/>
        <w:ind w:left="3747"/>
        <w:rPr>
          <w:rFonts w:ascii="宋体" w:hAnsi="宋体" w:eastAsia="宋体" w:cs="宋体"/>
          <w:sz w:val="40"/>
          <w:szCs w:val="40"/>
        </w:rPr>
      </w:pPr>
      <w:r>
        <w:rPr>
          <w:rFonts w:ascii="宋体" w:hAnsi="宋体" w:eastAsia="宋体" w:cs="宋体"/>
          <w:spacing w:val="-4"/>
          <w:sz w:val="40"/>
          <w:szCs w:val="40"/>
        </w:rPr>
        <w:t>施工招标</w:t>
      </w:r>
    </w:p>
    <w:p w14:paraId="46D50ABC">
      <w:pPr>
        <w:spacing w:line="254" w:lineRule="auto"/>
        <w:rPr>
          <w:rFonts w:ascii="Arial"/>
          <w:sz w:val="21"/>
        </w:rPr>
      </w:pPr>
    </w:p>
    <w:p w14:paraId="4A9FA325">
      <w:pPr>
        <w:spacing w:line="254" w:lineRule="auto"/>
        <w:rPr>
          <w:rFonts w:ascii="Arial"/>
          <w:sz w:val="21"/>
        </w:rPr>
      </w:pPr>
    </w:p>
    <w:p w14:paraId="2889E88C">
      <w:pPr>
        <w:spacing w:line="255" w:lineRule="auto"/>
        <w:rPr>
          <w:rFonts w:ascii="Arial"/>
          <w:sz w:val="21"/>
        </w:rPr>
      </w:pPr>
    </w:p>
    <w:p w14:paraId="7770AB83">
      <w:pPr>
        <w:spacing w:line="255" w:lineRule="auto"/>
        <w:rPr>
          <w:rFonts w:ascii="Arial"/>
          <w:sz w:val="21"/>
        </w:rPr>
      </w:pPr>
    </w:p>
    <w:p w14:paraId="60E078CB">
      <w:pPr>
        <w:spacing w:line="255" w:lineRule="auto"/>
        <w:rPr>
          <w:rFonts w:ascii="Arial"/>
          <w:sz w:val="21"/>
        </w:rPr>
      </w:pPr>
    </w:p>
    <w:p w14:paraId="62DA2BC5">
      <w:pPr>
        <w:spacing w:line="255" w:lineRule="auto"/>
        <w:rPr>
          <w:rFonts w:ascii="Arial"/>
          <w:sz w:val="21"/>
        </w:rPr>
      </w:pPr>
    </w:p>
    <w:p w14:paraId="23D9AF23">
      <w:pPr>
        <w:spacing w:line="255" w:lineRule="auto"/>
        <w:rPr>
          <w:rFonts w:ascii="Arial"/>
          <w:sz w:val="21"/>
        </w:rPr>
      </w:pPr>
    </w:p>
    <w:p w14:paraId="1C248E69">
      <w:pPr>
        <w:spacing w:line="255" w:lineRule="auto"/>
        <w:rPr>
          <w:rFonts w:ascii="Arial"/>
          <w:sz w:val="21"/>
        </w:rPr>
      </w:pPr>
    </w:p>
    <w:p w14:paraId="05001AAC">
      <w:pPr>
        <w:spacing w:before="230" w:line="222" w:lineRule="auto"/>
        <w:ind w:left="3124"/>
        <w:rPr>
          <w:rFonts w:ascii="宋体" w:hAnsi="宋体" w:eastAsia="宋体" w:cs="宋体"/>
          <w:sz w:val="71"/>
          <w:szCs w:val="71"/>
        </w:rPr>
      </w:pPr>
      <w:r>
        <w:rPr>
          <w:rFonts w:ascii="宋体" w:hAnsi="宋体" w:eastAsia="宋体" w:cs="宋体"/>
          <w:b/>
          <w:bCs/>
          <w:spacing w:val="-5"/>
          <w:sz w:val="71"/>
          <w:szCs w:val="71"/>
        </w:rPr>
        <w:t>投标文件</w:t>
      </w:r>
    </w:p>
    <w:p w14:paraId="3E71D45C">
      <w:pPr>
        <w:spacing w:line="366" w:lineRule="auto"/>
        <w:rPr>
          <w:rFonts w:ascii="Arial"/>
          <w:sz w:val="21"/>
        </w:rPr>
      </w:pPr>
    </w:p>
    <w:p w14:paraId="3B1CB0F2">
      <w:pPr>
        <w:spacing w:before="130" w:line="218" w:lineRule="auto"/>
        <w:ind w:left="2159"/>
        <w:rPr>
          <w:rFonts w:ascii="宋体" w:hAnsi="宋体" w:eastAsia="宋体" w:cs="宋体"/>
          <w:sz w:val="40"/>
          <w:szCs w:val="40"/>
        </w:rPr>
      </w:pPr>
      <w:r>
        <w:rPr>
          <w:rFonts w:ascii="宋体" w:hAnsi="宋体" w:eastAsia="宋体" w:cs="宋体"/>
          <w:spacing w:val="-3"/>
          <w:sz w:val="40"/>
          <w:szCs w:val="40"/>
        </w:rPr>
        <w:t>（第二个信封：报价文件）</w:t>
      </w:r>
    </w:p>
    <w:p w14:paraId="07F37290">
      <w:pPr>
        <w:spacing w:line="254" w:lineRule="auto"/>
        <w:rPr>
          <w:rFonts w:ascii="Arial"/>
          <w:sz w:val="21"/>
        </w:rPr>
      </w:pPr>
    </w:p>
    <w:p w14:paraId="70FC145E">
      <w:pPr>
        <w:spacing w:line="254" w:lineRule="auto"/>
        <w:rPr>
          <w:rFonts w:ascii="Arial"/>
          <w:sz w:val="21"/>
        </w:rPr>
      </w:pPr>
    </w:p>
    <w:p w14:paraId="14BDB8E6">
      <w:pPr>
        <w:spacing w:line="254" w:lineRule="auto"/>
        <w:rPr>
          <w:rFonts w:ascii="Arial"/>
          <w:sz w:val="21"/>
        </w:rPr>
      </w:pPr>
    </w:p>
    <w:p w14:paraId="446CEEBD">
      <w:pPr>
        <w:spacing w:line="254" w:lineRule="auto"/>
        <w:rPr>
          <w:rFonts w:ascii="Arial"/>
          <w:sz w:val="21"/>
        </w:rPr>
      </w:pPr>
    </w:p>
    <w:p w14:paraId="11DB4792">
      <w:pPr>
        <w:spacing w:line="254" w:lineRule="auto"/>
        <w:rPr>
          <w:rFonts w:ascii="Arial"/>
          <w:sz w:val="21"/>
        </w:rPr>
      </w:pPr>
    </w:p>
    <w:p w14:paraId="6DC2A0BA">
      <w:pPr>
        <w:spacing w:line="254" w:lineRule="auto"/>
        <w:rPr>
          <w:rFonts w:ascii="Arial"/>
          <w:sz w:val="21"/>
        </w:rPr>
      </w:pPr>
    </w:p>
    <w:p w14:paraId="490C5892">
      <w:pPr>
        <w:spacing w:line="254" w:lineRule="auto"/>
        <w:rPr>
          <w:rFonts w:ascii="Arial"/>
          <w:sz w:val="21"/>
        </w:rPr>
      </w:pPr>
    </w:p>
    <w:p w14:paraId="2F0C9FD8">
      <w:pPr>
        <w:spacing w:line="254" w:lineRule="auto"/>
        <w:rPr>
          <w:rFonts w:ascii="Arial"/>
          <w:sz w:val="21"/>
        </w:rPr>
      </w:pPr>
    </w:p>
    <w:p w14:paraId="691E1720">
      <w:pPr>
        <w:spacing w:line="254" w:lineRule="auto"/>
        <w:rPr>
          <w:rFonts w:ascii="Arial"/>
          <w:sz w:val="21"/>
        </w:rPr>
      </w:pPr>
    </w:p>
    <w:p w14:paraId="17419634">
      <w:pPr>
        <w:spacing w:line="254" w:lineRule="auto"/>
        <w:rPr>
          <w:rFonts w:ascii="Arial"/>
          <w:sz w:val="21"/>
        </w:rPr>
      </w:pPr>
    </w:p>
    <w:p w14:paraId="4E64427B">
      <w:pPr>
        <w:spacing w:line="254" w:lineRule="auto"/>
        <w:rPr>
          <w:rFonts w:ascii="Arial"/>
          <w:sz w:val="21"/>
        </w:rPr>
      </w:pPr>
    </w:p>
    <w:p w14:paraId="41A03404">
      <w:pPr>
        <w:spacing w:line="254" w:lineRule="auto"/>
        <w:rPr>
          <w:rFonts w:ascii="Arial"/>
          <w:sz w:val="21"/>
        </w:rPr>
      </w:pPr>
    </w:p>
    <w:p w14:paraId="41DF7C65">
      <w:pPr>
        <w:spacing w:line="254" w:lineRule="auto"/>
        <w:rPr>
          <w:rFonts w:ascii="Arial"/>
          <w:sz w:val="21"/>
        </w:rPr>
      </w:pPr>
    </w:p>
    <w:p w14:paraId="130F1218">
      <w:pPr>
        <w:spacing w:line="254" w:lineRule="auto"/>
        <w:rPr>
          <w:rFonts w:ascii="Arial"/>
          <w:sz w:val="21"/>
        </w:rPr>
      </w:pPr>
    </w:p>
    <w:p w14:paraId="67B152A7">
      <w:pPr>
        <w:spacing w:line="254" w:lineRule="auto"/>
        <w:rPr>
          <w:rFonts w:ascii="Arial"/>
          <w:sz w:val="21"/>
        </w:rPr>
      </w:pPr>
    </w:p>
    <w:p w14:paraId="15C138C9">
      <w:pPr>
        <w:spacing w:line="254" w:lineRule="auto"/>
        <w:rPr>
          <w:rFonts w:ascii="Arial"/>
          <w:sz w:val="21"/>
        </w:rPr>
      </w:pPr>
    </w:p>
    <w:p w14:paraId="137A6576">
      <w:pPr>
        <w:spacing w:before="92" w:line="219" w:lineRule="auto"/>
        <w:ind w:left="906"/>
        <w:rPr>
          <w:rFonts w:ascii="宋体" w:hAnsi="宋体" w:eastAsia="宋体" w:cs="宋体"/>
          <w:sz w:val="28"/>
          <w:szCs w:val="28"/>
        </w:rPr>
      </w:pPr>
      <w:r>
        <w:rPr>
          <w:rFonts w:ascii="宋体" w:hAnsi="宋体" w:eastAsia="宋体" w:cs="宋体"/>
          <w:spacing w:val="-8"/>
          <w:sz w:val="28"/>
          <w:szCs w:val="28"/>
        </w:rPr>
        <w:t>投标人：</w:t>
      </w:r>
      <w:r>
        <w:rPr>
          <w:rFonts w:ascii="宋体" w:hAnsi="宋体" w:eastAsia="宋体" w:cs="宋体"/>
          <w:spacing w:val="4"/>
          <w:sz w:val="28"/>
          <w:szCs w:val="28"/>
          <w:u w:val="single" w:color="auto"/>
        </w:rPr>
        <w:t xml:space="preserve">                                 </w:t>
      </w:r>
      <w:r>
        <w:rPr>
          <w:rFonts w:ascii="宋体" w:hAnsi="宋体" w:eastAsia="宋体" w:cs="宋体"/>
          <w:spacing w:val="-65"/>
          <w:sz w:val="28"/>
          <w:szCs w:val="28"/>
        </w:rPr>
        <w:t xml:space="preserve"> </w:t>
      </w:r>
      <w:r>
        <w:rPr>
          <w:rFonts w:ascii="宋体" w:hAnsi="宋体" w:eastAsia="宋体" w:cs="宋体"/>
          <w:spacing w:val="-8"/>
          <w:sz w:val="28"/>
          <w:szCs w:val="28"/>
        </w:rPr>
        <w:t>(盖单位章)</w:t>
      </w:r>
    </w:p>
    <w:p w14:paraId="7B08A42A">
      <w:pPr>
        <w:spacing w:line="329" w:lineRule="auto"/>
        <w:rPr>
          <w:rFonts w:ascii="Arial"/>
          <w:sz w:val="21"/>
        </w:rPr>
      </w:pPr>
    </w:p>
    <w:p w14:paraId="791C50E0">
      <w:pPr>
        <w:spacing w:line="330" w:lineRule="auto"/>
        <w:rPr>
          <w:rFonts w:ascii="Arial"/>
          <w:sz w:val="21"/>
        </w:rPr>
      </w:pPr>
    </w:p>
    <w:p w14:paraId="48858089">
      <w:pPr>
        <w:tabs>
          <w:tab w:val="left" w:pos="3482"/>
        </w:tabs>
        <w:spacing w:before="91" w:line="220" w:lineRule="auto"/>
        <w:ind w:left="2362"/>
        <w:rPr>
          <w:rFonts w:ascii="宋体" w:hAnsi="宋体" w:eastAsia="宋体" w:cs="宋体"/>
          <w:sz w:val="28"/>
          <w:szCs w:val="28"/>
        </w:rPr>
      </w:pPr>
      <w:r>
        <w:rPr>
          <w:rFonts w:ascii="宋体" w:hAnsi="宋体" w:eastAsia="宋体" w:cs="宋体"/>
          <w:sz w:val="28"/>
          <w:szCs w:val="28"/>
          <w:u w:val="single" w:color="auto"/>
        </w:rPr>
        <w:tab/>
      </w:r>
      <w:r>
        <w:rPr>
          <w:rFonts w:ascii="宋体" w:hAnsi="宋体" w:eastAsia="宋体" w:cs="宋体"/>
          <w:spacing w:val="-125"/>
          <w:sz w:val="28"/>
          <w:szCs w:val="28"/>
        </w:rPr>
        <w:t xml:space="preserve"> </w:t>
      </w:r>
      <w:r>
        <w:rPr>
          <w:rFonts w:ascii="宋体" w:hAnsi="宋体" w:eastAsia="宋体" w:cs="宋体"/>
          <w:spacing w:val="-10"/>
          <w:sz w:val="28"/>
          <w:szCs w:val="28"/>
        </w:rPr>
        <w:t>年</w:t>
      </w:r>
      <w:r>
        <w:rPr>
          <w:rFonts w:ascii="宋体" w:hAnsi="宋体" w:eastAsia="宋体" w:cs="宋体"/>
          <w:spacing w:val="19"/>
          <w:sz w:val="28"/>
          <w:szCs w:val="28"/>
          <w:u w:val="single" w:color="auto"/>
        </w:rPr>
        <w:t xml:space="preserve">       </w:t>
      </w:r>
      <w:r>
        <w:rPr>
          <w:rFonts w:ascii="宋体" w:hAnsi="宋体" w:eastAsia="宋体" w:cs="宋体"/>
          <w:spacing w:val="-118"/>
          <w:sz w:val="28"/>
          <w:szCs w:val="28"/>
        </w:rPr>
        <w:t xml:space="preserve"> </w:t>
      </w:r>
      <w:r>
        <w:rPr>
          <w:rFonts w:ascii="宋体" w:hAnsi="宋体" w:eastAsia="宋体" w:cs="宋体"/>
          <w:spacing w:val="-10"/>
          <w:sz w:val="28"/>
          <w:szCs w:val="28"/>
        </w:rPr>
        <w:t>月</w:t>
      </w:r>
      <w:r>
        <w:rPr>
          <w:rFonts w:ascii="宋体" w:hAnsi="宋体" w:eastAsia="宋体" w:cs="宋体"/>
          <w:spacing w:val="17"/>
          <w:sz w:val="28"/>
          <w:szCs w:val="28"/>
          <w:u w:val="single" w:color="auto"/>
        </w:rPr>
        <w:t xml:space="preserve">        </w:t>
      </w:r>
      <w:r>
        <w:rPr>
          <w:rFonts w:ascii="宋体" w:hAnsi="宋体" w:eastAsia="宋体" w:cs="宋体"/>
          <w:spacing w:val="-76"/>
          <w:sz w:val="28"/>
          <w:szCs w:val="28"/>
        </w:rPr>
        <w:t xml:space="preserve"> </w:t>
      </w:r>
      <w:r>
        <w:rPr>
          <w:rFonts w:ascii="宋体" w:hAnsi="宋体" w:eastAsia="宋体" w:cs="宋体"/>
          <w:spacing w:val="-10"/>
          <w:sz w:val="28"/>
          <w:szCs w:val="28"/>
        </w:rPr>
        <w:t>日</w:t>
      </w:r>
    </w:p>
    <w:p w14:paraId="5790DD34">
      <w:pPr>
        <w:spacing w:line="247" w:lineRule="auto"/>
        <w:rPr>
          <w:rFonts w:hint="eastAsia" w:ascii="Arial" w:eastAsia="宋体"/>
          <w:sz w:val="21"/>
          <w:lang w:eastAsia="zh-CN"/>
        </w:rPr>
      </w:pPr>
      <w:r>
        <w:rPr>
          <w:rFonts w:hint="eastAsia" w:ascii="Arial" w:eastAsia="宋体"/>
          <w:sz w:val="21"/>
          <w:lang w:eastAsia="zh-CN"/>
        </w:rPr>
        <w:br w:type="page"/>
      </w:r>
    </w:p>
    <w:p w14:paraId="6D76D17F">
      <w:pPr>
        <w:spacing w:line="248" w:lineRule="auto"/>
        <w:rPr>
          <w:rFonts w:ascii="Arial"/>
          <w:sz w:val="21"/>
        </w:rPr>
      </w:pPr>
    </w:p>
    <w:p w14:paraId="52AA9684">
      <w:pPr>
        <w:spacing w:before="101" w:line="227" w:lineRule="auto"/>
        <w:ind w:left="4123"/>
        <w:rPr>
          <w:rFonts w:ascii="宋体" w:hAnsi="宋体" w:eastAsia="宋体" w:cs="宋体"/>
          <w:sz w:val="31"/>
          <w:szCs w:val="31"/>
        </w:rPr>
      </w:pPr>
      <w:r>
        <w:rPr>
          <w:rFonts w:ascii="宋体" w:hAnsi="宋体" w:eastAsia="宋体" w:cs="宋体"/>
          <w:b/>
          <w:bCs/>
          <w:spacing w:val="-36"/>
          <w:sz w:val="31"/>
          <w:szCs w:val="31"/>
        </w:rPr>
        <w:t>目</w:t>
      </w:r>
      <w:r>
        <w:rPr>
          <w:rFonts w:ascii="宋体" w:hAnsi="宋体" w:eastAsia="宋体" w:cs="宋体"/>
          <w:spacing w:val="14"/>
          <w:sz w:val="31"/>
          <w:szCs w:val="31"/>
        </w:rPr>
        <w:t xml:space="preserve">  </w:t>
      </w:r>
      <w:r>
        <w:rPr>
          <w:rFonts w:ascii="宋体" w:hAnsi="宋体" w:eastAsia="宋体" w:cs="宋体"/>
          <w:b/>
          <w:bCs/>
          <w:spacing w:val="-36"/>
          <w:sz w:val="31"/>
          <w:szCs w:val="31"/>
        </w:rPr>
        <w:t>录</w:t>
      </w:r>
    </w:p>
    <w:p w14:paraId="7F2AC68A">
      <w:pPr>
        <w:spacing w:line="357" w:lineRule="auto"/>
        <w:rPr>
          <w:rFonts w:ascii="Arial"/>
          <w:sz w:val="21"/>
        </w:rPr>
      </w:pPr>
    </w:p>
    <w:p w14:paraId="39967249">
      <w:pPr>
        <w:spacing w:line="357" w:lineRule="auto"/>
        <w:rPr>
          <w:rFonts w:ascii="Arial"/>
          <w:sz w:val="21"/>
        </w:rPr>
      </w:pPr>
    </w:p>
    <w:p w14:paraId="650533FF">
      <w:pPr>
        <w:spacing w:before="91" w:line="219" w:lineRule="auto"/>
        <w:ind w:left="9"/>
        <w:rPr>
          <w:rFonts w:ascii="宋体" w:hAnsi="宋体" w:eastAsia="宋体" w:cs="宋体"/>
          <w:sz w:val="28"/>
          <w:szCs w:val="28"/>
        </w:rPr>
      </w:pPr>
      <w:r>
        <w:rPr>
          <w:rFonts w:ascii="宋体" w:hAnsi="宋体" w:eastAsia="宋体" w:cs="宋体"/>
          <w:spacing w:val="-1"/>
          <w:sz w:val="28"/>
          <w:szCs w:val="28"/>
        </w:rPr>
        <w:t>第二个信封(报价文件)</w:t>
      </w:r>
    </w:p>
    <w:p w14:paraId="55A8872C">
      <w:pPr>
        <w:spacing w:before="215" w:line="219" w:lineRule="auto"/>
        <w:ind w:left="12"/>
        <w:rPr>
          <w:rFonts w:ascii="宋体" w:hAnsi="宋体" w:eastAsia="宋体" w:cs="宋体"/>
          <w:sz w:val="28"/>
          <w:szCs w:val="28"/>
        </w:rPr>
      </w:pPr>
      <w:r>
        <w:rPr>
          <w:rFonts w:ascii="宋体" w:hAnsi="宋体" w:eastAsia="宋体" w:cs="宋体"/>
          <w:spacing w:val="-2"/>
          <w:sz w:val="28"/>
          <w:szCs w:val="28"/>
        </w:rPr>
        <w:t>调价函格式（如有）</w:t>
      </w:r>
    </w:p>
    <w:p w14:paraId="746912B9">
      <w:pPr>
        <w:spacing w:before="212" w:line="221" w:lineRule="auto"/>
        <w:ind w:left="14"/>
        <w:rPr>
          <w:rFonts w:ascii="宋体" w:hAnsi="宋体" w:eastAsia="宋体" w:cs="宋体"/>
          <w:sz w:val="28"/>
          <w:szCs w:val="28"/>
        </w:rPr>
      </w:pPr>
      <w:r>
        <w:rPr>
          <w:rFonts w:ascii="宋体" w:hAnsi="宋体" w:eastAsia="宋体" w:cs="宋体"/>
          <w:spacing w:val="-3"/>
          <w:sz w:val="28"/>
          <w:szCs w:val="28"/>
        </w:rPr>
        <w:t>一、投标函</w:t>
      </w:r>
    </w:p>
    <w:p w14:paraId="111A0DE1">
      <w:pPr>
        <w:spacing w:before="206" w:line="219" w:lineRule="auto"/>
        <w:ind w:left="14"/>
        <w:rPr>
          <w:rFonts w:ascii="宋体" w:hAnsi="宋体" w:eastAsia="宋体" w:cs="宋体"/>
          <w:sz w:val="28"/>
          <w:szCs w:val="28"/>
        </w:rPr>
      </w:pPr>
      <w:r>
        <w:rPr>
          <w:rFonts w:ascii="宋体" w:hAnsi="宋体" w:eastAsia="宋体" w:cs="宋体"/>
          <w:spacing w:val="-2"/>
          <w:sz w:val="28"/>
          <w:szCs w:val="28"/>
        </w:rPr>
        <w:t>二、已标价工程量清单</w:t>
      </w:r>
    </w:p>
    <w:p w14:paraId="46F61F81">
      <w:pPr>
        <w:spacing w:line="422" w:lineRule="auto"/>
        <w:rPr>
          <w:rFonts w:hint="eastAsia" w:ascii="Arial" w:eastAsia="宋体"/>
          <w:sz w:val="21"/>
          <w:lang w:eastAsia="zh-CN"/>
        </w:rPr>
      </w:pPr>
      <w:r>
        <w:rPr>
          <w:rFonts w:hint="eastAsia" w:ascii="Arial" w:eastAsia="宋体"/>
          <w:sz w:val="21"/>
          <w:lang w:eastAsia="zh-CN"/>
        </w:rPr>
        <w:br w:type="page"/>
      </w:r>
    </w:p>
    <w:p w14:paraId="2E7A2903">
      <w:pPr>
        <w:spacing w:before="91" w:line="413" w:lineRule="exact"/>
        <w:ind w:left="3212"/>
        <w:rPr>
          <w:rFonts w:ascii="宋体" w:hAnsi="宋体" w:eastAsia="宋体" w:cs="宋体"/>
          <w:sz w:val="13"/>
          <w:szCs w:val="13"/>
        </w:rPr>
      </w:pPr>
      <w:r>
        <w:rPr>
          <w:rFonts w:ascii="宋体" w:hAnsi="宋体" w:eastAsia="宋体" w:cs="宋体"/>
          <w:b/>
          <w:bCs/>
          <w:spacing w:val="-3"/>
          <w:position w:val="2"/>
          <w:sz w:val="28"/>
          <w:szCs w:val="28"/>
        </w:rPr>
        <w:t>调价函格式（如有）</w:t>
      </w:r>
    </w:p>
    <w:p w14:paraId="0BFD12DA">
      <w:pPr>
        <w:tabs>
          <w:tab w:val="left" w:pos="3120"/>
        </w:tabs>
        <w:spacing w:before="224" w:line="220"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
          <w:sz w:val="24"/>
          <w:szCs w:val="24"/>
        </w:rPr>
        <w:t>（招标人名称</w:t>
      </w:r>
      <w:r>
        <w:rPr>
          <w:rFonts w:ascii="宋体" w:hAnsi="宋体" w:eastAsia="宋体" w:cs="宋体"/>
          <w:spacing w:val="2"/>
          <w:sz w:val="24"/>
          <w:szCs w:val="24"/>
        </w:rPr>
        <w:t>）：</w:t>
      </w:r>
    </w:p>
    <w:p w14:paraId="5B8C19CF">
      <w:pPr>
        <w:spacing w:before="184" w:line="359" w:lineRule="auto"/>
        <w:ind w:left="10" w:firstLine="480"/>
        <w:jc w:val="both"/>
        <w:rPr>
          <w:rFonts w:ascii="宋体" w:hAnsi="宋体" w:eastAsia="宋体" w:cs="宋体"/>
          <w:sz w:val="24"/>
          <w:szCs w:val="24"/>
        </w:rPr>
      </w:pPr>
      <w:r>
        <w:rPr>
          <w:rFonts w:ascii="宋体" w:hAnsi="宋体" w:eastAsia="宋体" w:cs="宋体"/>
          <w:sz w:val="24"/>
          <w:szCs w:val="24"/>
        </w:rPr>
        <w:t>经我方慎重研究，基于</w:t>
      </w:r>
      <w:r>
        <w:rPr>
          <w:rFonts w:ascii="宋体" w:hAnsi="宋体" w:eastAsia="宋体" w:cs="宋体"/>
          <w:spacing w:val="11"/>
          <w:sz w:val="24"/>
          <w:szCs w:val="24"/>
          <w:u w:val="single" w:color="auto"/>
        </w:rPr>
        <w:t xml:space="preserve">         </w:t>
      </w:r>
      <w:r>
        <w:rPr>
          <w:rFonts w:ascii="宋体" w:hAnsi="宋体" w:eastAsia="宋体" w:cs="宋体"/>
          <w:spacing w:val="-107"/>
          <w:sz w:val="24"/>
          <w:szCs w:val="24"/>
        </w:rPr>
        <w:t xml:space="preserve"> </w:t>
      </w:r>
      <w:r>
        <w:rPr>
          <w:rFonts w:ascii="宋体" w:hAnsi="宋体" w:eastAsia="宋体" w:cs="宋体"/>
          <w:sz w:val="24"/>
          <w:szCs w:val="24"/>
        </w:rPr>
        <w:t>理由，在</w:t>
      </w:r>
      <w:r>
        <w:rPr>
          <w:rFonts w:ascii="宋体" w:hAnsi="宋体" w:eastAsia="宋体" w:cs="宋体"/>
          <w:spacing w:val="14"/>
          <w:sz w:val="24"/>
          <w:szCs w:val="24"/>
          <w:u w:val="single" w:color="auto"/>
        </w:rPr>
        <w:t xml:space="preserve">       </w:t>
      </w:r>
      <w:r>
        <w:rPr>
          <w:rFonts w:ascii="宋体" w:hAnsi="宋体" w:eastAsia="宋体" w:cs="宋体"/>
          <w:sz w:val="24"/>
          <w:szCs w:val="24"/>
          <w:u w:val="single" w:color="auto"/>
        </w:rPr>
        <w:t>（项目名称</w:t>
      </w:r>
      <w:r>
        <w:rPr>
          <w:rFonts w:ascii="宋体" w:hAnsi="宋体" w:eastAsia="宋体" w:cs="宋体"/>
          <w:spacing w:val="-13"/>
          <w:sz w:val="24"/>
          <w:szCs w:val="24"/>
          <w:u w:val="single" w:color="auto"/>
        </w:rPr>
        <w:t>）</w:t>
      </w:r>
      <w:r>
        <w:rPr>
          <w:rFonts w:ascii="宋体" w:hAnsi="宋体" w:eastAsia="宋体" w:cs="宋体"/>
          <w:spacing w:val="22"/>
          <w:sz w:val="24"/>
          <w:szCs w:val="24"/>
          <w:u w:val="single" w:color="auto"/>
        </w:rPr>
        <w:t xml:space="preserve">     </w:t>
      </w:r>
      <w:r>
        <w:rPr>
          <w:rFonts w:ascii="宋体" w:hAnsi="宋体" w:eastAsia="宋体" w:cs="宋体"/>
          <w:spacing w:val="-13"/>
          <w:sz w:val="24"/>
          <w:szCs w:val="24"/>
          <w:u w:val="single" w:color="auto"/>
        </w:rPr>
        <w:t>（</w:t>
      </w:r>
      <w:r>
        <w:rPr>
          <w:rFonts w:ascii="宋体" w:hAnsi="宋体" w:eastAsia="宋体" w:cs="宋体"/>
          <w:sz w:val="24"/>
          <w:szCs w:val="24"/>
          <w:u w:val="single" w:color="auto"/>
        </w:rPr>
        <w:t>标类或</w:t>
      </w:r>
      <w:r>
        <w:rPr>
          <w:rFonts w:ascii="宋体" w:hAnsi="宋体" w:eastAsia="宋体" w:cs="宋体"/>
          <w:spacing w:val="-2"/>
          <w:sz w:val="24"/>
          <w:szCs w:val="24"/>
          <w:u w:val="single" w:color="auto"/>
        </w:rPr>
        <w:t>标段）</w:t>
      </w:r>
      <w:r>
        <w:rPr>
          <w:rFonts w:ascii="宋体" w:hAnsi="宋体" w:eastAsia="宋体" w:cs="宋体"/>
          <w:spacing w:val="-2"/>
          <w:sz w:val="24"/>
          <w:szCs w:val="24"/>
        </w:rPr>
        <w:t>施工招标投标函报价人民币（大写）</w:t>
      </w:r>
      <w:r>
        <w:rPr>
          <w:rFonts w:ascii="宋体" w:hAnsi="宋体" w:eastAsia="宋体" w:cs="宋体"/>
          <w:spacing w:val="-2"/>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2"/>
          <w:sz w:val="24"/>
          <w:szCs w:val="24"/>
        </w:rPr>
        <w:t>元 (¥</w:t>
      </w:r>
      <w:r>
        <w:rPr>
          <w:rFonts w:ascii="宋体" w:hAnsi="宋体" w:eastAsia="宋体" w:cs="宋体"/>
          <w:spacing w:val="-2"/>
          <w:sz w:val="24"/>
          <w:szCs w:val="24"/>
          <w:u w:val="single" w:color="auto"/>
        </w:rPr>
        <w:t xml:space="preserve">          </w:t>
      </w:r>
      <w:r>
        <w:rPr>
          <w:rFonts w:ascii="宋体" w:hAnsi="宋体" w:eastAsia="宋体" w:cs="宋体"/>
          <w:spacing w:val="-86"/>
          <w:sz w:val="24"/>
          <w:szCs w:val="24"/>
        </w:rPr>
        <w:t xml:space="preserve"> </w:t>
      </w:r>
      <w:r>
        <w:rPr>
          <w:rFonts w:ascii="宋体" w:hAnsi="宋体" w:eastAsia="宋体" w:cs="宋体"/>
          <w:spacing w:val="-2"/>
          <w:sz w:val="24"/>
          <w:szCs w:val="24"/>
        </w:rPr>
        <w:t>)</w:t>
      </w:r>
      <w:r>
        <w:rPr>
          <w:rFonts w:ascii="宋体" w:hAnsi="宋体" w:eastAsia="宋体" w:cs="宋体"/>
          <w:spacing w:val="45"/>
          <w:sz w:val="24"/>
          <w:szCs w:val="24"/>
        </w:rPr>
        <w:t xml:space="preserve"> </w:t>
      </w:r>
      <w:r>
        <w:rPr>
          <w:rFonts w:ascii="宋体" w:hAnsi="宋体" w:eastAsia="宋体" w:cs="宋体"/>
          <w:spacing w:val="-3"/>
          <w:sz w:val="24"/>
          <w:szCs w:val="24"/>
        </w:rPr>
        <w:t>的基础上进</w:t>
      </w:r>
      <w:r>
        <w:rPr>
          <w:rFonts w:ascii="宋体" w:hAnsi="宋体" w:eastAsia="宋体" w:cs="宋体"/>
          <w:spacing w:val="-4"/>
          <w:sz w:val="24"/>
          <w:szCs w:val="24"/>
        </w:rPr>
        <w:t>行调价，调价后金额为人民币（大写）</w:t>
      </w:r>
      <w:r>
        <w:rPr>
          <w:rFonts w:ascii="宋体" w:hAnsi="宋体" w:eastAsia="宋体" w:cs="宋体"/>
          <w:spacing w:val="-4"/>
          <w:sz w:val="24"/>
          <w:szCs w:val="24"/>
          <w:u w:val="single" w:color="auto"/>
        </w:rPr>
        <w:t xml:space="preserve">    </w:t>
      </w:r>
      <w:r>
        <w:rPr>
          <w:rFonts w:ascii="宋体" w:hAnsi="宋体" w:eastAsia="宋体" w:cs="宋体"/>
          <w:spacing w:val="-5"/>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5"/>
          <w:sz w:val="24"/>
          <w:szCs w:val="24"/>
        </w:rPr>
        <w:t>元 (¥</w:t>
      </w:r>
      <w:r>
        <w:rPr>
          <w:rFonts w:ascii="宋体" w:hAnsi="宋体" w:eastAsia="宋体" w:cs="宋体"/>
          <w:spacing w:val="-5"/>
          <w:sz w:val="24"/>
          <w:szCs w:val="24"/>
          <w:u w:val="single" w:color="auto"/>
        </w:rPr>
        <w:t xml:space="preserve">        </w:t>
      </w:r>
      <w:r>
        <w:rPr>
          <w:rFonts w:ascii="宋体" w:hAnsi="宋体" w:eastAsia="宋体" w:cs="宋体"/>
          <w:spacing w:val="-85"/>
          <w:sz w:val="24"/>
          <w:szCs w:val="24"/>
        </w:rPr>
        <w:t xml:space="preserve"> </w:t>
      </w:r>
      <w:r>
        <w:rPr>
          <w:rFonts w:ascii="宋体" w:hAnsi="宋体" w:eastAsia="宋体" w:cs="宋体"/>
          <w:spacing w:val="-5"/>
          <w:sz w:val="24"/>
          <w:szCs w:val="24"/>
        </w:rPr>
        <w:t>)</w:t>
      </w:r>
      <w:r>
        <w:rPr>
          <w:rFonts w:ascii="宋体" w:hAnsi="宋体" w:eastAsia="宋体" w:cs="宋体"/>
          <w:spacing w:val="45"/>
          <w:sz w:val="24"/>
          <w:szCs w:val="24"/>
        </w:rPr>
        <w:t xml:space="preserve"> </w:t>
      </w:r>
      <w:r>
        <w:rPr>
          <w:rFonts w:ascii="宋体" w:hAnsi="宋体" w:eastAsia="宋体" w:cs="宋体"/>
          <w:spacing w:val="-5"/>
          <w:sz w:val="24"/>
          <w:szCs w:val="24"/>
        </w:rPr>
        <w:t>,</w:t>
      </w:r>
      <w:r>
        <w:rPr>
          <w:rFonts w:ascii="宋体" w:hAnsi="宋体" w:eastAsia="宋体" w:cs="宋体"/>
          <w:spacing w:val="65"/>
          <w:sz w:val="24"/>
          <w:szCs w:val="24"/>
        </w:rPr>
        <w:t xml:space="preserve"> </w:t>
      </w:r>
      <w:r>
        <w:rPr>
          <w:rFonts w:ascii="宋体" w:hAnsi="宋体" w:eastAsia="宋体" w:cs="宋体"/>
          <w:spacing w:val="-5"/>
          <w:sz w:val="24"/>
          <w:szCs w:val="24"/>
        </w:rPr>
        <w:t>调价后金额为我</w:t>
      </w:r>
      <w:r>
        <w:rPr>
          <w:rFonts w:ascii="宋体" w:hAnsi="宋体" w:eastAsia="宋体" w:cs="宋体"/>
          <w:spacing w:val="-2"/>
          <w:sz w:val="24"/>
          <w:szCs w:val="24"/>
        </w:rPr>
        <w:t>方最终报价。</w:t>
      </w:r>
    </w:p>
    <w:p w14:paraId="115A2DE1">
      <w:pPr>
        <w:spacing w:before="74" w:line="218" w:lineRule="auto"/>
        <w:ind w:left="491"/>
        <w:rPr>
          <w:rFonts w:ascii="宋体" w:hAnsi="宋体" w:eastAsia="宋体" w:cs="宋体"/>
          <w:sz w:val="24"/>
          <w:szCs w:val="24"/>
        </w:rPr>
      </w:pPr>
      <w:r>
        <w:rPr>
          <w:rFonts w:ascii="宋体" w:hAnsi="宋体" w:eastAsia="宋体" w:cs="宋体"/>
          <w:spacing w:val="-1"/>
          <w:sz w:val="24"/>
          <w:szCs w:val="24"/>
        </w:rPr>
        <w:t>调价后的工程量清单附后，否则调价无效。</w:t>
      </w:r>
    </w:p>
    <w:p w14:paraId="3D15E985">
      <w:pPr>
        <w:spacing w:line="299" w:lineRule="auto"/>
        <w:rPr>
          <w:rFonts w:ascii="Arial"/>
          <w:sz w:val="21"/>
        </w:rPr>
      </w:pPr>
    </w:p>
    <w:p w14:paraId="63678054">
      <w:pPr>
        <w:spacing w:line="299" w:lineRule="auto"/>
        <w:rPr>
          <w:rFonts w:ascii="Arial"/>
          <w:sz w:val="21"/>
        </w:rPr>
      </w:pPr>
    </w:p>
    <w:p w14:paraId="79CCBD44">
      <w:pPr>
        <w:spacing w:line="300" w:lineRule="auto"/>
        <w:rPr>
          <w:rFonts w:ascii="Arial"/>
          <w:sz w:val="21"/>
        </w:rPr>
      </w:pPr>
    </w:p>
    <w:p w14:paraId="52392D6D">
      <w:pPr>
        <w:spacing w:line="300" w:lineRule="auto"/>
        <w:rPr>
          <w:rFonts w:ascii="Arial"/>
          <w:sz w:val="21"/>
        </w:rPr>
      </w:pPr>
    </w:p>
    <w:p w14:paraId="4554C284">
      <w:pPr>
        <w:spacing w:before="79" w:line="219" w:lineRule="auto"/>
        <w:ind w:left="3972"/>
        <w:rPr>
          <w:rFonts w:ascii="宋体" w:hAnsi="宋体" w:eastAsia="宋体" w:cs="宋体"/>
          <w:sz w:val="24"/>
          <w:szCs w:val="24"/>
        </w:rPr>
      </w:pPr>
      <w:r>
        <w:rPr>
          <w:rFonts w:ascii="宋体" w:hAnsi="宋体" w:eastAsia="宋体" w:cs="宋体"/>
          <w:spacing w:val="4"/>
          <w:sz w:val="24"/>
          <w:szCs w:val="24"/>
        </w:rPr>
        <w:t>投  标  人</w:t>
      </w:r>
      <w:r>
        <w:rPr>
          <w:rFonts w:ascii="宋体" w:hAnsi="宋体" w:eastAsia="宋体" w:cs="宋体"/>
          <w:spacing w:val="-31"/>
          <w:sz w:val="24"/>
          <w:szCs w:val="24"/>
        </w:rPr>
        <w:t>：</w:t>
      </w:r>
      <w:r>
        <w:rPr>
          <w:rFonts w:ascii="宋体" w:hAnsi="宋体" w:eastAsia="宋体" w:cs="宋体"/>
          <w:sz w:val="24"/>
          <w:szCs w:val="24"/>
          <w:u w:val="single" w:color="auto"/>
        </w:rPr>
        <w:t xml:space="preserve">                  </w:t>
      </w:r>
      <w:r>
        <w:rPr>
          <w:rFonts w:ascii="宋体" w:hAnsi="宋体" w:eastAsia="宋体" w:cs="宋体"/>
          <w:spacing w:val="-31"/>
          <w:sz w:val="24"/>
          <w:szCs w:val="24"/>
        </w:rPr>
        <w:t>（</w:t>
      </w:r>
      <w:r>
        <w:rPr>
          <w:rFonts w:ascii="宋体" w:hAnsi="宋体" w:eastAsia="宋体" w:cs="宋体"/>
          <w:spacing w:val="4"/>
          <w:sz w:val="24"/>
          <w:szCs w:val="24"/>
        </w:rPr>
        <w:t>盖单位章）</w:t>
      </w:r>
    </w:p>
    <w:p w14:paraId="06449F20">
      <w:pPr>
        <w:spacing w:line="260" w:lineRule="auto"/>
        <w:rPr>
          <w:rFonts w:ascii="Arial"/>
          <w:sz w:val="21"/>
        </w:rPr>
      </w:pPr>
    </w:p>
    <w:p w14:paraId="62218199">
      <w:pPr>
        <w:spacing w:before="78" w:line="219" w:lineRule="auto"/>
        <w:ind w:left="3970"/>
        <w:rPr>
          <w:rFonts w:ascii="宋体" w:hAnsi="宋体" w:eastAsia="宋体" w:cs="宋体"/>
          <w:sz w:val="24"/>
          <w:szCs w:val="24"/>
        </w:rPr>
      </w:pPr>
      <w:r>
        <w:rPr>
          <w:rFonts w:ascii="宋体" w:hAnsi="宋体" w:eastAsia="宋体" w:cs="宋体"/>
          <w:spacing w:val="1"/>
          <w:sz w:val="24"/>
          <w:szCs w:val="24"/>
        </w:rPr>
        <w:t>法定代表人或其委托代理人</w:t>
      </w:r>
      <w:r>
        <w:rPr>
          <w:rFonts w:ascii="宋体" w:hAnsi="宋体" w:eastAsia="宋体" w:cs="宋体"/>
          <w:spacing w:val="-14"/>
          <w:sz w:val="24"/>
          <w:szCs w:val="24"/>
        </w:rPr>
        <w:t>：</w:t>
      </w:r>
      <w:r>
        <w:rPr>
          <w:rFonts w:ascii="宋体" w:hAnsi="宋体" w:eastAsia="宋体" w:cs="宋体"/>
          <w:sz w:val="24"/>
          <w:szCs w:val="24"/>
          <w:u w:val="single" w:color="auto"/>
        </w:rPr>
        <w:t xml:space="preserve">        </w:t>
      </w:r>
      <w:r>
        <w:rPr>
          <w:rFonts w:ascii="宋体" w:hAnsi="宋体" w:eastAsia="宋体" w:cs="宋体"/>
          <w:spacing w:val="-14"/>
          <w:sz w:val="24"/>
          <w:szCs w:val="24"/>
        </w:rPr>
        <w:t>（</w:t>
      </w:r>
      <w:r>
        <w:rPr>
          <w:rFonts w:ascii="宋体" w:hAnsi="宋体" w:eastAsia="宋体" w:cs="宋体"/>
          <w:spacing w:val="1"/>
          <w:sz w:val="24"/>
          <w:szCs w:val="24"/>
        </w:rPr>
        <w:t>签字）</w:t>
      </w:r>
    </w:p>
    <w:p w14:paraId="24E9BA2B">
      <w:pPr>
        <w:spacing w:line="257" w:lineRule="auto"/>
        <w:rPr>
          <w:rFonts w:ascii="Arial"/>
          <w:sz w:val="21"/>
        </w:rPr>
      </w:pPr>
    </w:p>
    <w:p w14:paraId="45ADDC60">
      <w:pPr>
        <w:tabs>
          <w:tab w:val="left" w:pos="6839"/>
        </w:tabs>
        <w:spacing w:before="78" w:line="219" w:lineRule="auto"/>
        <w:ind w:left="528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6AE417BF">
      <w:pPr>
        <w:spacing w:line="244" w:lineRule="auto"/>
        <w:rPr>
          <w:rFonts w:ascii="Arial"/>
          <w:sz w:val="21"/>
        </w:rPr>
      </w:pPr>
    </w:p>
    <w:p w14:paraId="73344015">
      <w:pPr>
        <w:spacing w:line="244" w:lineRule="auto"/>
        <w:rPr>
          <w:rFonts w:ascii="Arial"/>
          <w:sz w:val="21"/>
        </w:rPr>
      </w:pPr>
    </w:p>
    <w:p w14:paraId="2CA7F73D">
      <w:pPr>
        <w:spacing w:line="244" w:lineRule="auto"/>
        <w:rPr>
          <w:rFonts w:ascii="Arial"/>
          <w:sz w:val="21"/>
        </w:rPr>
      </w:pPr>
    </w:p>
    <w:p w14:paraId="0EBF5140">
      <w:pPr>
        <w:spacing w:line="244" w:lineRule="auto"/>
        <w:rPr>
          <w:rFonts w:ascii="Arial"/>
          <w:sz w:val="21"/>
        </w:rPr>
      </w:pPr>
    </w:p>
    <w:p w14:paraId="33ADBE39">
      <w:pPr>
        <w:spacing w:line="244" w:lineRule="auto"/>
        <w:rPr>
          <w:rFonts w:ascii="Arial"/>
          <w:sz w:val="21"/>
        </w:rPr>
      </w:pPr>
    </w:p>
    <w:p w14:paraId="560FCAB3">
      <w:pPr>
        <w:spacing w:line="244" w:lineRule="auto"/>
        <w:rPr>
          <w:rFonts w:ascii="Arial"/>
          <w:sz w:val="21"/>
        </w:rPr>
      </w:pPr>
    </w:p>
    <w:p w14:paraId="26107667">
      <w:pPr>
        <w:spacing w:line="244" w:lineRule="auto"/>
        <w:rPr>
          <w:rFonts w:ascii="Arial"/>
          <w:sz w:val="21"/>
        </w:rPr>
      </w:pPr>
    </w:p>
    <w:p w14:paraId="01A3698D">
      <w:pPr>
        <w:spacing w:line="244" w:lineRule="auto"/>
        <w:rPr>
          <w:rFonts w:ascii="Arial"/>
          <w:sz w:val="21"/>
        </w:rPr>
      </w:pPr>
    </w:p>
    <w:p w14:paraId="6D27D000">
      <w:pPr>
        <w:spacing w:line="244" w:lineRule="auto"/>
        <w:rPr>
          <w:rFonts w:ascii="Arial"/>
          <w:sz w:val="21"/>
        </w:rPr>
      </w:pPr>
    </w:p>
    <w:p w14:paraId="4BE26752">
      <w:pPr>
        <w:spacing w:line="244" w:lineRule="auto"/>
        <w:rPr>
          <w:rFonts w:ascii="Arial"/>
          <w:sz w:val="21"/>
        </w:rPr>
      </w:pPr>
    </w:p>
    <w:p w14:paraId="2F7FB276">
      <w:pPr>
        <w:spacing w:line="244" w:lineRule="auto"/>
        <w:rPr>
          <w:rFonts w:ascii="Arial"/>
          <w:sz w:val="21"/>
        </w:rPr>
      </w:pPr>
    </w:p>
    <w:p w14:paraId="345176AD">
      <w:pPr>
        <w:spacing w:line="244" w:lineRule="auto"/>
        <w:rPr>
          <w:rFonts w:ascii="Arial"/>
          <w:sz w:val="21"/>
        </w:rPr>
      </w:pPr>
    </w:p>
    <w:p w14:paraId="7D834108">
      <w:pPr>
        <w:spacing w:line="244" w:lineRule="auto"/>
        <w:rPr>
          <w:rFonts w:ascii="Arial"/>
          <w:sz w:val="21"/>
        </w:rPr>
      </w:pPr>
    </w:p>
    <w:p w14:paraId="7AB36DC1">
      <w:pPr>
        <w:spacing w:line="244" w:lineRule="auto"/>
        <w:rPr>
          <w:rFonts w:ascii="Arial"/>
          <w:sz w:val="21"/>
        </w:rPr>
      </w:pPr>
    </w:p>
    <w:p w14:paraId="3ACE3463">
      <w:pPr>
        <w:spacing w:line="244" w:lineRule="auto"/>
        <w:rPr>
          <w:rFonts w:ascii="Arial"/>
          <w:sz w:val="21"/>
        </w:rPr>
      </w:pPr>
    </w:p>
    <w:p w14:paraId="4167B98C">
      <w:pPr>
        <w:spacing w:line="244" w:lineRule="auto"/>
        <w:rPr>
          <w:rFonts w:ascii="Arial"/>
          <w:sz w:val="21"/>
        </w:rPr>
      </w:pPr>
    </w:p>
    <w:p w14:paraId="720B52F5">
      <w:pPr>
        <w:spacing w:line="244" w:lineRule="auto"/>
        <w:rPr>
          <w:rFonts w:ascii="Arial"/>
          <w:sz w:val="21"/>
        </w:rPr>
      </w:pPr>
    </w:p>
    <w:p w14:paraId="2428900F">
      <w:pPr>
        <w:spacing w:line="244" w:lineRule="auto"/>
        <w:rPr>
          <w:rFonts w:ascii="Arial"/>
          <w:sz w:val="21"/>
        </w:rPr>
      </w:pPr>
    </w:p>
    <w:p w14:paraId="40B96568">
      <w:pPr>
        <w:spacing w:line="244" w:lineRule="auto"/>
        <w:rPr>
          <w:rFonts w:ascii="Arial"/>
          <w:sz w:val="21"/>
        </w:rPr>
      </w:pPr>
    </w:p>
    <w:p w14:paraId="4141B8E8">
      <w:pPr>
        <w:spacing w:line="245" w:lineRule="auto"/>
        <w:rPr>
          <w:rFonts w:ascii="Arial"/>
          <w:sz w:val="21"/>
        </w:rPr>
      </w:pPr>
    </w:p>
    <w:p w14:paraId="12D9BF48">
      <w:pPr>
        <w:spacing w:line="245" w:lineRule="auto"/>
        <w:rPr>
          <w:rFonts w:ascii="Arial"/>
          <w:sz w:val="21"/>
        </w:rPr>
      </w:pPr>
    </w:p>
    <w:p w14:paraId="506ADC6A">
      <w:pPr>
        <w:spacing w:line="245" w:lineRule="auto"/>
        <w:rPr>
          <w:rFonts w:ascii="Arial"/>
          <w:sz w:val="21"/>
        </w:rPr>
      </w:pPr>
    </w:p>
    <w:p w14:paraId="26F065C2">
      <w:pPr>
        <w:spacing w:line="245" w:lineRule="auto"/>
        <w:rPr>
          <w:rFonts w:ascii="Arial"/>
          <w:sz w:val="21"/>
        </w:rPr>
      </w:pPr>
    </w:p>
    <w:p w14:paraId="63ACDE3A">
      <w:pPr>
        <w:spacing w:line="245" w:lineRule="auto"/>
        <w:rPr>
          <w:rFonts w:ascii="Arial"/>
          <w:sz w:val="21"/>
        </w:rPr>
      </w:pPr>
    </w:p>
    <w:p w14:paraId="72771556">
      <w:pPr>
        <w:spacing w:line="245" w:lineRule="auto"/>
        <w:rPr>
          <w:rFonts w:ascii="Arial"/>
          <w:sz w:val="21"/>
        </w:rPr>
      </w:pPr>
    </w:p>
    <w:p w14:paraId="31CA5EF6">
      <w:pPr>
        <w:spacing w:line="245" w:lineRule="auto"/>
        <w:rPr>
          <w:rFonts w:ascii="Arial"/>
          <w:sz w:val="21"/>
        </w:rPr>
      </w:pPr>
    </w:p>
    <w:p w14:paraId="599311A8">
      <w:pPr>
        <w:spacing w:line="442" w:lineRule="auto"/>
        <w:rPr>
          <w:rFonts w:hint="eastAsia" w:ascii="Arial" w:eastAsia="宋体"/>
          <w:sz w:val="21"/>
          <w:lang w:eastAsia="zh-CN"/>
        </w:rPr>
      </w:pPr>
      <w:r>
        <w:rPr>
          <w:rFonts w:hint="eastAsia" w:ascii="Arial" w:eastAsia="宋体"/>
          <w:sz w:val="21"/>
          <w:lang w:eastAsia="zh-CN"/>
        </w:rPr>
        <w:br w:type="page"/>
      </w:r>
    </w:p>
    <w:p w14:paraId="6CB1AC09">
      <w:pPr>
        <w:spacing w:before="91" w:line="235" w:lineRule="auto"/>
        <w:ind w:left="3776"/>
        <w:rPr>
          <w:rFonts w:ascii="宋体" w:hAnsi="宋体" w:eastAsia="宋体" w:cs="宋体"/>
          <w:sz w:val="13"/>
          <w:szCs w:val="13"/>
        </w:rPr>
      </w:pPr>
      <w:r>
        <w:rPr>
          <w:rFonts w:ascii="宋体" w:hAnsi="宋体" w:eastAsia="宋体" w:cs="宋体"/>
          <w:b/>
          <w:bCs/>
          <w:spacing w:val="-4"/>
          <w:position w:val="-1"/>
          <w:sz w:val="28"/>
          <w:szCs w:val="28"/>
        </w:rPr>
        <w:t>一、投标函</w:t>
      </w:r>
    </w:p>
    <w:p w14:paraId="4DAEEB57">
      <w:pPr>
        <w:tabs>
          <w:tab w:val="left" w:pos="3360"/>
        </w:tabs>
        <w:spacing w:before="262" w:line="220"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
          <w:sz w:val="24"/>
          <w:szCs w:val="24"/>
        </w:rPr>
        <w:t>（招标人名称</w:t>
      </w:r>
      <w:r>
        <w:rPr>
          <w:rFonts w:ascii="宋体" w:hAnsi="宋体" w:eastAsia="宋体" w:cs="宋体"/>
          <w:spacing w:val="2"/>
          <w:sz w:val="24"/>
          <w:szCs w:val="24"/>
        </w:rPr>
        <w:t>）：</w:t>
      </w:r>
    </w:p>
    <w:p w14:paraId="3BF2AE86">
      <w:pPr>
        <w:spacing w:before="181" w:line="359" w:lineRule="auto"/>
        <w:ind w:left="8" w:firstLine="498"/>
        <w:rPr>
          <w:rFonts w:ascii="宋体" w:hAnsi="宋体" w:eastAsia="宋体" w:cs="宋体"/>
          <w:sz w:val="24"/>
          <w:szCs w:val="24"/>
        </w:rPr>
      </w:pPr>
      <w:r>
        <w:rPr>
          <w:rFonts w:ascii="宋体" w:hAnsi="宋体" w:eastAsia="宋体" w:cs="宋体"/>
          <w:sz w:val="24"/>
          <w:szCs w:val="24"/>
        </w:rPr>
        <w:t>1. 我方已仔细研究</w:t>
      </w:r>
      <w:r>
        <w:rPr>
          <w:rFonts w:ascii="宋体" w:hAnsi="宋体" w:eastAsia="宋体" w:cs="宋体"/>
          <w:sz w:val="24"/>
          <w:szCs w:val="24"/>
          <w:u w:val="single" w:color="auto"/>
        </w:rPr>
        <w:t xml:space="preserve">               （项目名称</w:t>
      </w:r>
      <w:r>
        <w:rPr>
          <w:rFonts w:ascii="宋体" w:hAnsi="宋体" w:eastAsia="宋体" w:cs="宋体"/>
          <w:spacing w:val="-15"/>
          <w:sz w:val="24"/>
          <w:szCs w:val="24"/>
          <w:u w:val="single" w:color="auto"/>
        </w:rPr>
        <w:t>）</w:t>
      </w:r>
      <w:r>
        <w:rPr>
          <w:rFonts w:ascii="宋体" w:hAnsi="宋体" w:eastAsia="宋体" w:cs="宋体"/>
          <w:spacing w:val="10"/>
          <w:sz w:val="24"/>
          <w:szCs w:val="24"/>
          <w:u w:val="single" w:color="auto"/>
        </w:rPr>
        <w:t xml:space="preserve">            </w:t>
      </w:r>
      <w:r>
        <w:rPr>
          <w:rFonts w:ascii="宋体" w:hAnsi="宋体" w:eastAsia="宋体" w:cs="宋体"/>
          <w:spacing w:val="-15"/>
          <w:sz w:val="24"/>
          <w:szCs w:val="24"/>
          <w:u w:val="single" w:color="auto"/>
        </w:rPr>
        <w:t>（</w:t>
      </w:r>
      <w:r>
        <w:rPr>
          <w:rFonts w:ascii="宋体" w:hAnsi="宋体" w:eastAsia="宋体" w:cs="宋体"/>
          <w:sz w:val="24"/>
          <w:szCs w:val="24"/>
          <w:u w:val="single" w:color="auto"/>
        </w:rPr>
        <w:t>标类或标段）</w:t>
      </w:r>
      <w:r>
        <w:rPr>
          <w:rFonts w:ascii="宋体" w:hAnsi="宋体" w:eastAsia="宋体" w:cs="宋体"/>
          <w:spacing w:val="-2"/>
          <w:sz w:val="24"/>
          <w:szCs w:val="24"/>
        </w:rPr>
        <w:t>施工招标文件的全部内容（含补遗书，如有</w:t>
      </w:r>
      <w:r>
        <w:rPr>
          <w:rFonts w:ascii="宋体" w:hAnsi="宋体" w:eastAsia="宋体" w:cs="宋体"/>
          <w:spacing w:val="1"/>
          <w:sz w:val="24"/>
          <w:szCs w:val="24"/>
        </w:rPr>
        <w:t>），</w:t>
      </w:r>
      <w:r>
        <w:rPr>
          <w:rFonts w:ascii="宋体" w:hAnsi="宋体" w:eastAsia="宋体" w:cs="宋体"/>
          <w:spacing w:val="-2"/>
          <w:sz w:val="24"/>
          <w:szCs w:val="24"/>
          <w:u w:val="single" w:color="auto"/>
        </w:rPr>
        <w:t>在考察工程现场后（如有</w:t>
      </w:r>
      <w:r>
        <w:rPr>
          <w:rFonts w:ascii="宋体" w:hAnsi="宋体" w:eastAsia="宋体" w:cs="宋体"/>
          <w:spacing w:val="1"/>
          <w:sz w:val="24"/>
          <w:szCs w:val="24"/>
          <w:u w:val="single" w:color="auto"/>
        </w:rPr>
        <w:t>），</w:t>
      </w:r>
      <w:r>
        <w:rPr>
          <w:rFonts w:ascii="宋体" w:hAnsi="宋体" w:eastAsia="宋体" w:cs="宋体"/>
          <w:spacing w:val="-2"/>
          <w:sz w:val="24"/>
          <w:szCs w:val="24"/>
        </w:rPr>
        <w:t>愿意以人</w:t>
      </w:r>
      <w:r>
        <w:rPr>
          <w:rFonts w:ascii="宋体" w:hAnsi="宋体" w:eastAsia="宋体" w:cs="宋体"/>
          <w:spacing w:val="-3"/>
          <w:sz w:val="24"/>
          <w:szCs w:val="24"/>
        </w:rPr>
        <w:t>民币（大写）</w:t>
      </w:r>
      <w:r>
        <w:rPr>
          <w:rFonts w:ascii="宋体" w:hAnsi="宋体" w:eastAsia="宋体" w:cs="宋体"/>
          <w:spacing w:val="8"/>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3"/>
          <w:sz w:val="24"/>
          <w:szCs w:val="24"/>
        </w:rPr>
        <w:t>元 (¥</w:t>
      </w:r>
      <w:r>
        <w:rPr>
          <w:rFonts w:ascii="宋体" w:hAnsi="宋体" w:eastAsia="宋体" w:cs="宋体"/>
          <w:spacing w:val="-3"/>
          <w:sz w:val="24"/>
          <w:szCs w:val="24"/>
          <w:u w:val="single" w:color="auto"/>
        </w:rPr>
        <w:t xml:space="preserve">          </w:t>
      </w:r>
      <w:r>
        <w:rPr>
          <w:rFonts w:ascii="宋体" w:hAnsi="宋体" w:eastAsia="宋体" w:cs="宋体"/>
          <w:spacing w:val="-85"/>
          <w:sz w:val="24"/>
          <w:szCs w:val="24"/>
        </w:rPr>
        <w:t xml:space="preserve"> </w:t>
      </w:r>
      <w:r>
        <w:rPr>
          <w:rFonts w:ascii="宋体" w:hAnsi="宋体" w:eastAsia="宋体" w:cs="宋体"/>
          <w:spacing w:val="-3"/>
          <w:sz w:val="24"/>
          <w:szCs w:val="24"/>
        </w:rPr>
        <w:t>)</w:t>
      </w:r>
      <w:r>
        <w:rPr>
          <w:rFonts w:ascii="宋体" w:hAnsi="宋体" w:eastAsia="宋体" w:cs="宋体"/>
          <w:spacing w:val="45"/>
          <w:sz w:val="24"/>
          <w:szCs w:val="24"/>
        </w:rPr>
        <w:t xml:space="preserve"> </w:t>
      </w:r>
      <w:r>
        <w:rPr>
          <w:rFonts w:ascii="宋体" w:hAnsi="宋体" w:eastAsia="宋体" w:cs="宋体"/>
          <w:spacing w:val="-3"/>
          <w:sz w:val="24"/>
          <w:szCs w:val="24"/>
        </w:rPr>
        <w:t>的投标总报价 （或根</w:t>
      </w:r>
      <w:r>
        <w:rPr>
          <w:rFonts w:ascii="宋体" w:hAnsi="宋体" w:eastAsia="宋体" w:cs="宋体"/>
          <w:spacing w:val="-4"/>
          <w:sz w:val="24"/>
          <w:szCs w:val="24"/>
        </w:rPr>
        <w:t>据招标文件规定修</w:t>
      </w:r>
      <w:r>
        <w:rPr>
          <w:rFonts w:ascii="宋体" w:hAnsi="宋体" w:eastAsia="宋体" w:cs="宋体"/>
          <w:spacing w:val="-1"/>
          <w:sz w:val="24"/>
          <w:szCs w:val="24"/>
        </w:rPr>
        <w:t>正核实后确定的另一金额，其中，增值税税率为</w:t>
      </w:r>
      <w:r>
        <w:rPr>
          <w:rFonts w:ascii="宋体" w:hAnsi="宋体" w:eastAsia="宋体" w:cs="宋体"/>
          <w:spacing w:val="-1"/>
          <w:sz w:val="24"/>
          <w:szCs w:val="24"/>
          <w:u w:val="single" w:color="auto"/>
        </w:rPr>
        <w:t xml:space="preserve">           </w:t>
      </w:r>
      <w:r>
        <w:rPr>
          <w:rFonts w:ascii="宋体" w:hAnsi="宋体" w:eastAsia="宋体" w:cs="宋体"/>
          <w:spacing w:val="-90"/>
          <w:sz w:val="24"/>
          <w:szCs w:val="24"/>
        </w:rPr>
        <w:t xml:space="preserve"> </w:t>
      </w:r>
      <w:r>
        <w:rPr>
          <w:rFonts w:ascii="宋体" w:hAnsi="宋体" w:eastAsia="宋体" w:cs="宋体"/>
          <w:spacing w:val="-1"/>
          <w:sz w:val="24"/>
          <w:szCs w:val="24"/>
        </w:rPr>
        <w:t>，增值税税额为</w:t>
      </w:r>
      <w:r>
        <w:rPr>
          <w:rFonts w:ascii="宋体" w:hAnsi="宋体" w:eastAsia="宋体" w:cs="宋体"/>
          <w:spacing w:val="-1"/>
          <w:sz w:val="24"/>
          <w:szCs w:val="24"/>
          <w:u w:val="single" w:color="auto"/>
        </w:rPr>
        <w:t xml:space="preserve">      </w:t>
      </w:r>
      <w:r>
        <w:rPr>
          <w:rFonts w:ascii="宋体" w:hAnsi="宋体" w:eastAsia="宋体" w:cs="宋体"/>
          <w:spacing w:val="-53"/>
          <w:sz w:val="24"/>
          <w:szCs w:val="24"/>
        </w:rPr>
        <w:t>），</w:t>
      </w:r>
      <w:r>
        <w:rPr>
          <w:rFonts w:ascii="宋体" w:hAnsi="宋体" w:eastAsia="宋体" w:cs="宋体"/>
          <w:spacing w:val="-1"/>
          <w:sz w:val="24"/>
          <w:szCs w:val="24"/>
        </w:rPr>
        <w:t>按合同约定实施和完成承包工程，修补工程中的任何缺陷。</w:t>
      </w:r>
    </w:p>
    <w:p w14:paraId="52023CF9">
      <w:pPr>
        <w:spacing w:line="359" w:lineRule="auto"/>
        <w:ind w:left="9" w:right="128" w:firstLine="482"/>
        <w:rPr>
          <w:rFonts w:ascii="宋体" w:hAnsi="宋体" w:eastAsia="宋体" w:cs="宋体"/>
          <w:sz w:val="24"/>
          <w:szCs w:val="24"/>
        </w:rPr>
      </w:pPr>
      <w:r>
        <w:rPr>
          <w:rFonts w:ascii="宋体" w:hAnsi="宋体" w:eastAsia="宋体" w:cs="宋体"/>
          <w:sz w:val="24"/>
          <w:szCs w:val="24"/>
        </w:rPr>
        <w:t>2. 在合同协议书正式签署生效之前，本投标函连</w:t>
      </w:r>
      <w:r>
        <w:rPr>
          <w:rFonts w:ascii="宋体" w:hAnsi="宋体" w:eastAsia="宋体" w:cs="宋体"/>
          <w:spacing w:val="-1"/>
          <w:sz w:val="24"/>
          <w:szCs w:val="24"/>
        </w:rPr>
        <w:t>同你方的中标通知书将构成我们双方之间共同遵守的文件，对双方具有约束力。</w:t>
      </w:r>
    </w:p>
    <w:p w14:paraId="0E921E84">
      <w:pPr>
        <w:spacing w:line="219" w:lineRule="auto"/>
        <w:ind w:left="494"/>
        <w:rPr>
          <w:rFonts w:ascii="宋体" w:hAnsi="宋体" w:eastAsia="宋体" w:cs="宋体"/>
          <w:sz w:val="24"/>
          <w:szCs w:val="24"/>
        </w:rPr>
      </w:pPr>
      <w:r>
        <w:rPr>
          <w:rFonts w:ascii="宋体" w:hAnsi="宋体" w:eastAsia="宋体" w:cs="宋体"/>
          <w:spacing w:val="-3"/>
          <w:sz w:val="24"/>
          <w:szCs w:val="24"/>
        </w:rPr>
        <w:t xml:space="preserve">3. </w:t>
      </w:r>
      <w:r>
        <w:rPr>
          <w:rFonts w:ascii="宋体" w:hAnsi="宋体" w:eastAsia="宋体" w:cs="宋体"/>
          <w:spacing w:val="-3"/>
          <w:sz w:val="24"/>
          <w:szCs w:val="24"/>
          <w:u w:val="single" w:color="auto"/>
        </w:rPr>
        <w:t xml:space="preserve">                              </w:t>
      </w:r>
      <w:r>
        <w:rPr>
          <w:rFonts w:ascii="宋体" w:hAnsi="宋体" w:eastAsia="宋体" w:cs="宋体"/>
          <w:spacing w:val="-4"/>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4"/>
          <w:sz w:val="24"/>
          <w:szCs w:val="24"/>
        </w:rPr>
        <w:t>(其他补充说明）。</w:t>
      </w:r>
    </w:p>
    <w:p w14:paraId="405B40CF">
      <w:pPr>
        <w:spacing w:line="283" w:lineRule="auto"/>
        <w:rPr>
          <w:rFonts w:ascii="Arial"/>
          <w:sz w:val="21"/>
        </w:rPr>
      </w:pPr>
    </w:p>
    <w:p w14:paraId="21887979">
      <w:pPr>
        <w:spacing w:line="283" w:lineRule="auto"/>
        <w:rPr>
          <w:rFonts w:ascii="Arial"/>
          <w:sz w:val="21"/>
        </w:rPr>
      </w:pPr>
    </w:p>
    <w:p w14:paraId="73939535">
      <w:pPr>
        <w:spacing w:before="78" w:line="219" w:lineRule="auto"/>
        <w:ind w:left="3132"/>
        <w:rPr>
          <w:rFonts w:ascii="宋体" w:hAnsi="宋体" w:eastAsia="宋体" w:cs="宋体"/>
          <w:sz w:val="24"/>
          <w:szCs w:val="24"/>
        </w:rPr>
      </w:pPr>
      <w:r>
        <w:rPr>
          <w:rFonts w:ascii="宋体" w:hAnsi="宋体" w:eastAsia="宋体" w:cs="宋体"/>
          <w:spacing w:val="5"/>
          <w:sz w:val="24"/>
          <w:szCs w:val="24"/>
        </w:rPr>
        <w:t>投 标 人</w:t>
      </w:r>
      <w:r>
        <w:rPr>
          <w:rFonts w:ascii="宋体" w:hAnsi="宋体" w:eastAsia="宋体" w:cs="宋体"/>
          <w:spacing w:val="-32"/>
          <w:sz w:val="24"/>
          <w:szCs w:val="24"/>
        </w:rPr>
        <w:t>：</w:t>
      </w:r>
      <w:r>
        <w:rPr>
          <w:rFonts w:ascii="宋体" w:hAnsi="宋体" w:eastAsia="宋体" w:cs="宋体"/>
          <w:sz w:val="24"/>
          <w:szCs w:val="24"/>
          <w:u w:val="single" w:color="auto"/>
        </w:rPr>
        <w:t xml:space="preserve">                       </w:t>
      </w:r>
      <w:r>
        <w:rPr>
          <w:rFonts w:ascii="宋体" w:hAnsi="宋体" w:eastAsia="宋体" w:cs="宋体"/>
          <w:spacing w:val="-32"/>
          <w:sz w:val="24"/>
          <w:szCs w:val="24"/>
        </w:rPr>
        <w:t>（</w:t>
      </w:r>
      <w:r>
        <w:rPr>
          <w:rFonts w:ascii="宋体" w:hAnsi="宋体" w:eastAsia="宋体" w:cs="宋体"/>
          <w:spacing w:val="5"/>
          <w:sz w:val="24"/>
          <w:szCs w:val="24"/>
        </w:rPr>
        <w:t>盖单位章）</w:t>
      </w:r>
    </w:p>
    <w:p w14:paraId="6F9CB26E">
      <w:pPr>
        <w:spacing w:before="184" w:line="219" w:lineRule="auto"/>
        <w:ind w:left="3130"/>
        <w:rPr>
          <w:rFonts w:ascii="宋体" w:hAnsi="宋体" w:eastAsia="宋体" w:cs="宋体"/>
          <w:sz w:val="24"/>
          <w:szCs w:val="24"/>
        </w:rPr>
      </w:pPr>
      <w:r>
        <w:rPr>
          <w:rFonts w:ascii="宋体" w:hAnsi="宋体" w:eastAsia="宋体" w:cs="宋体"/>
          <w:spacing w:val="1"/>
          <w:sz w:val="24"/>
          <w:szCs w:val="24"/>
        </w:rPr>
        <w:t>法定代表人或其委托代理人</w:t>
      </w:r>
      <w:r>
        <w:rPr>
          <w:rFonts w:ascii="宋体" w:hAnsi="宋体" w:eastAsia="宋体" w:cs="宋体"/>
          <w:spacing w:val="-14"/>
          <w:sz w:val="24"/>
          <w:szCs w:val="24"/>
        </w:rPr>
        <w:t>：</w:t>
      </w:r>
      <w:r>
        <w:rPr>
          <w:rFonts w:ascii="宋体" w:hAnsi="宋体" w:eastAsia="宋体" w:cs="宋体"/>
          <w:sz w:val="24"/>
          <w:szCs w:val="24"/>
          <w:u w:val="single" w:color="auto"/>
        </w:rPr>
        <w:t xml:space="preserve">             </w:t>
      </w:r>
      <w:r>
        <w:rPr>
          <w:rFonts w:ascii="宋体" w:hAnsi="宋体" w:eastAsia="宋体" w:cs="宋体"/>
          <w:spacing w:val="-14"/>
          <w:sz w:val="24"/>
          <w:szCs w:val="24"/>
        </w:rPr>
        <w:t>（</w:t>
      </w:r>
      <w:r>
        <w:rPr>
          <w:rFonts w:ascii="宋体" w:hAnsi="宋体" w:eastAsia="宋体" w:cs="宋体"/>
          <w:spacing w:val="1"/>
          <w:sz w:val="24"/>
          <w:szCs w:val="24"/>
        </w:rPr>
        <w:t>签字）</w:t>
      </w:r>
    </w:p>
    <w:p w14:paraId="52412CD4">
      <w:pPr>
        <w:spacing w:before="180" w:line="229" w:lineRule="auto"/>
        <w:ind w:left="3129"/>
        <w:rPr>
          <w:rFonts w:ascii="宋体" w:hAnsi="宋体" w:eastAsia="宋体" w:cs="宋体"/>
          <w:sz w:val="24"/>
          <w:szCs w:val="24"/>
        </w:rPr>
      </w:pPr>
      <w:r>
        <w:rPr>
          <w:rFonts w:ascii="宋体" w:hAnsi="宋体" w:eastAsia="宋体" w:cs="宋体"/>
          <w:spacing w:val="-4"/>
          <w:sz w:val="24"/>
          <w:szCs w:val="24"/>
        </w:rPr>
        <w:t>地址：</w:t>
      </w:r>
      <w:r>
        <w:rPr>
          <w:rFonts w:ascii="宋体" w:hAnsi="宋体" w:eastAsia="宋体" w:cs="宋体"/>
          <w:sz w:val="24"/>
          <w:szCs w:val="24"/>
          <w:u w:val="single" w:color="auto"/>
        </w:rPr>
        <w:t xml:space="preserve">                                         </w:t>
      </w:r>
    </w:p>
    <w:p w14:paraId="69A84DDD">
      <w:pPr>
        <w:spacing w:before="171" w:line="224" w:lineRule="auto"/>
        <w:ind w:left="3148"/>
        <w:rPr>
          <w:rFonts w:ascii="宋体" w:hAnsi="宋体" w:eastAsia="宋体" w:cs="宋体"/>
          <w:sz w:val="24"/>
          <w:szCs w:val="24"/>
        </w:rPr>
      </w:pPr>
      <w:r>
        <w:rPr>
          <w:rFonts w:ascii="宋体" w:hAnsi="宋体" w:eastAsia="宋体" w:cs="宋体"/>
          <w:spacing w:val="-6"/>
          <w:sz w:val="24"/>
          <w:szCs w:val="24"/>
        </w:rPr>
        <w:t>网址：</w:t>
      </w:r>
      <w:r>
        <w:rPr>
          <w:rFonts w:ascii="宋体" w:hAnsi="宋体" w:eastAsia="宋体" w:cs="宋体"/>
          <w:spacing w:val="-6"/>
          <w:sz w:val="24"/>
          <w:szCs w:val="24"/>
          <w:u w:val="single" w:color="auto"/>
        </w:rPr>
        <w:t xml:space="preserve">                                           </w:t>
      </w:r>
    </w:p>
    <w:p w14:paraId="764995B4">
      <w:pPr>
        <w:spacing w:before="174" w:line="221" w:lineRule="auto"/>
        <w:ind w:left="3157"/>
        <w:rPr>
          <w:rFonts w:ascii="宋体" w:hAnsi="宋体" w:eastAsia="宋体" w:cs="宋体"/>
          <w:sz w:val="24"/>
          <w:szCs w:val="24"/>
        </w:rPr>
      </w:pPr>
      <w:r>
        <w:rPr>
          <w:rFonts w:ascii="宋体" w:hAnsi="宋体" w:eastAsia="宋体" w:cs="宋体"/>
          <w:spacing w:val="-13"/>
          <w:sz w:val="24"/>
          <w:szCs w:val="24"/>
        </w:rPr>
        <w:t>电话：</w:t>
      </w:r>
      <w:r>
        <w:rPr>
          <w:rFonts w:ascii="宋体" w:hAnsi="宋体" w:eastAsia="宋体" w:cs="宋体"/>
          <w:sz w:val="24"/>
          <w:szCs w:val="24"/>
          <w:u w:val="single" w:color="auto"/>
        </w:rPr>
        <w:t xml:space="preserve">                                         </w:t>
      </w:r>
    </w:p>
    <w:p w14:paraId="11D49564">
      <w:pPr>
        <w:spacing w:before="180" w:line="219" w:lineRule="auto"/>
        <w:ind w:left="3127"/>
        <w:rPr>
          <w:rFonts w:ascii="宋体" w:hAnsi="宋体" w:eastAsia="宋体" w:cs="宋体"/>
          <w:sz w:val="24"/>
          <w:szCs w:val="24"/>
        </w:rPr>
      </w:pPr>
      <w:r>
        <w:rPr>
          <w:rFonts w:ascii="宋体" w:hAnsi="宋体" w:eastAsia="宋体" w:cs="宋体"/>
          <w:spacing w:val="-3"/>
          <w:sz w:val="24"/>
          <w:szCs w:val="24"/>
        </w:rPr>
        <w:t>传真：</w:t>
      </w:r>
      <w:r>
        <w:rPr>
          <w:rFonts w:ascii="宋体" w:hAnsi="宋体" w:eastAsia="宋体" w:cs="宋体"/>
          <w:sz w:val="24"/>
          <w:szCs w:val="24"/>
          <w:u w:val="single" w:color="auto"/>
        </w:rPr>
        <w:t xml:space="preserve">                                        </w:t>
      </w:r>
    </w:p>
    <w:p w14:paraId="4DE4EBF8">
      <w:pPr>
        <w:tabs>
          <w:tab w:val="left" w:pos="5038"/>
        </w:tabs>
        <w:spacing w:before="184" w:line="360" w:lineRule="auto"/>
        <w:ind w:left="3599" w:right="488" w:hanging="452"/>
        <w:rPr>
          <w:rFonts w:ascii="宋体" w:hAnsi="宋体" w:eastAsia="宋体" w:cs="宋体"/>
          <w:sz w:val="24"/>
          <w:szCs w:val="24"/>
        </w:rPr>
      </w:pPr>
      <w:r>
        <w:rPr>
          <w:rFonts w:ascii="宋体" w:hAnsi="宋体" w:eastAsia="宋体" w:cs="宋体"/>
          <w:spacing w:val="-6"/>
          <w:sz w:val="24"/>
          <w:szCs w:val="24"/>
        </w:rPr>
        <w:t>邮政编码：</w:t>
      </w:r>
      <w:r>
        <w:rPr>
          <w:rFonts w:ascii="宋体" w:hAnsi="宋体" w:eastAsia="宋体" w:cs="宋体"/>
          <w:sz w:val="24"/>
          <w:szCs w:val="24"/>
          <w:u w:val="single" w:color="auto"/>
        </w:rPr>
        <w:t xml:space="preserve">                                    </w:t>
      </w:r>
      <w:bookmarkStart w:id="81" w:name="bookmark242"/>
      <w:bookmarkEnd w:id="81"/>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26CDD9B3">
      <w:pPr>
        <w:spacing w:line="245" w:lineRule="auto"/>
        <w:rPr>
          <w:rFonts w:ascii="Arial"/>
          <w:sz w:val="21"/>
        </w:rPr>
      </w:pPr>
    </w:p>
    <w:p w14:paraId="572E0ED0">
      <w:pPr>
        <w:spacing w:line="245" w:lineRule="auto"/>
        <w:rPr>
          <w:rFonts w:ascii="Arial"/>
          <w:sz w:val="21"/>
        </w:rPr>
      </w:pPr>
    </w:p>
    <w:p w14:paraId="3265B546">
      <w:pPr>
        <w:spacing w:line="245" w:lineRule="auto"/>
        <w:rPr>
          <w:rFonts w:ascii="Arial"/>
          <w:sz w:val="21"/>
        </w:rPr>
      </w:pPr>
    </w:p>
    <w:p w14:paraId="57467819">
      <w:pPr>
        <w:spacing w:line="245" w:lineRule="auto"/>
        <w:rPr>
          <w:rFonts w:ascii="Arial"/>
          <w:sz w:val="21"/>
        </w:rPr>
      </w:pPr>
    </w:p>
    <w:p w14:paraId="25578E48">
      <w:pPr>
        <w:spacing w:line="245" w:lineRule="auto"/>
        <w:rPr>
          <w:rFonts w:ascii="Arial"/>
          <w:sz w:val="21"/>
        </w:rPr>
      </w:pPr>
    </w:p>
    <w:p w14:paraId="2178BF94">
      <w:pPr>
        <w:spacing w:line="246" w:lineRule="auto"/>
        <w:rPr>
          <w:rFonts w:ascii="Arial"/>
          <w:sz w:val="21"/>
        </w:rPr>
      </w:pPr>
    </w:p>
    <w:p w14:paraId="180DE58D">
      <w:pPr>
        <w:spacing w:line="246" w:lineRule="auto"/>
        <w:rPr>
          <w:rFonts w:ascii="Arial"/>
          <w:sz w:val="21"/>
        </w:rPr>
      </w:pPr>
    </w:p>
    <w:p w14:paraId="52590530">
      <w:pPr>
        <w:spacing w:line="246" w:lineRule="auto"/>
        <w:rPr>
          <w:rFonts w:ascii="Arial"/>
          <w:sz w:val="21"/>
        </w:rPr>
      </w:pPr>
    </w:p>
    <w:p w14:paraId="330973FF">
      <w:pPr>
        <w:spacing w:line="246" w:lineRule="auto"/>
        <w:rPr>
          <w:rFonts w:ascii="Arial"/>
          <w:sz w:val="21"/>
        </w:rPr>
      </w:pPr>
    </w:p>
    <w:p w14:paraId="5FDDBBBB">
      <w:pPr>
        <w:spacing w:line="246" w:lineRule="auto"/>
        <w:rPr>
          <w:rFonts w:ascii="Arial"/>
          <w:sz w:val="21"/>
        </w:rPr>
      </w:pPr>
    </w:p>
    <w:p w14:paraId="4C7954B4">
      <w:pPr>
        <w:spacing w:line="246" w:lineRule="auto"/>
        <w:rPr>
          <w:rFonts w:ascii="Arial"/>
          <w:sz w:val="21"/>
        </w:rPr>
      </w:pPr>
    </w:p>
    <w:p w14:paraId="0DBC069D">
      <w:pPr>
        <w:spacing w:line="246" w:lineRule="auto"/>
        <w:rPr>
          <w:rFonts w:ascii="Arial"/>
          <w:sz w:val="21"/>
        </w:rPr>
      </w:pPr>
    </w:p>
    <w:p w14:paraId="14997F63">
      <w:pPr>
        <w:spacing w:line="246" w:lineRule="auto"/>
        <w:rPr>
          <w:rFonts w:ascii="Arial"/>
          <w:sz w:val="21"/>
        </w:rPr>
      </w:pPr>
    </w:p>
    <w:p w14:paraId="34FF6F49">
      <w:pPr>
        <w:spacing w:line="246" w:lineRule="auto"/>
        <w:rPr>
          <w:rFonts w:ascii="Arial"/>
          <w:sz w:val="21"/>
        </w:rPr>
      </w:pPr>
    </w:p>
    <w:p w14:paraId="6EFA2FC8">
      <w:pPr>
        <w:spacing w:line="246" w:lineRule="auto"/>
        <w:rPr>
          <w:rFonts w:ascii="Arial"/>
          <w:sz w:val="21"/>
        </w:rPr>
      </w:pPr>
    </w:p>
    <w:p w14:paraId="0BF482FA">
      <w:pPr>
        <w:spacing w:line="246" w:lineRule="auto"/>
        <w:rPr>
          <w:rFonts w:ascii="Arial"/>
          <w:sz w:val="21"/>
        </w:rPr>
      </w:pPr>
    </w:p>
    <w:p w14:paraId="667F2D45">
      <w:pPr>
        <w:spacing w:line="246" w:lineRule="auto"/>
        <w:rPr>
          <w:rFonts w:ascii="Arial"/>
          <w:sz w:val="21"/>
        </w:rPr>
      </w:pPr>
    </w:p>
    <w:p w14:paraId="562D2E6E">
      <w:pPr>
        <w:spacing w:before="316" w:line="219" w:lineRule="auto"/>
        <w:ind w:left="3141"/>
        <w:rPr>
          <w:rFonts w:ascii="宋体" w:hAnsi="宋体" w:eastAsia="宋体" w:cs="宋体"/>
          <w:sz w:val="28"/>
          <w:szCs w:val="28"/>
        </w:rPr>
      </w:pPr>
      <w:r>
        <w:rPr>
          <w:rFonts w:ascii="宋体" w:hAnsi="宋体" w:eastAsia="宋体" w:cs="宋体"/>
          <w:b/>
          <w:bCs/>
          <w:spacing w:val="-4"/>
          <w:sz w:val="28"/>
          <w:szCs w:val="28"/>
        </w:rPr>
        <w:br w:type="page"/>
      </w:r>
      <w:r>
        <w:rPr>
          <w:rFonts w:ascii="宋体" w:hAnsi="宋体" w:eastAsia="宋体" w:cs="宋体"/>
          <w:b/>
          <w:bCs/>
          <w:spacing w:val="-4"/>
          <w:sz w:val="28"/>
          <w:szCs w:val="28"/>
        </w:rPr>
        <w:t>二、已标价工程量清单</w:t>
      </w:r>
    </w:p>
    <w:sectPr>
      <w:pgSz w:w="11900" w:h="16839"/>
      <w:pgMar w:top="1141" w:right="1416" w:bottom="1026" w:left="1417" w:header="829" w:footer="79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Narrow">
    <w:panose1 w:val="020B0606020202030204"/>
    <w:charset w:val="00"/>
    <w:family w:val="swiss"/>
    <w:pitch w:val="default"/>
    <w:sig w:usb0="00000287" w:usb1="00000800" w:usb2="00000000" w:usb3="00000000" w:csb0="2000009F" w:csb1="DFD70000"/>
  </w:font>
  <w:font w:name="华文细黑">
    <w:panose1 w:val="02010600040101010101"/>
    <w:charset w:val="86"/>
    <w:family w:val="auto"/>
    <w:pitch w:val="default"/>
    <w:sig w:usb0="00000287" w:usb1="080F0000" w:usb2="00000000" w:usb3="00000000" w:csb0="0004009F" w:csb1="DFD70000"/>
  </w:font>
  <w:font w:name="CIDFont+F1">
    <w:altName w:val="Times New Roman"/>
    <w:panose1 w:val="00000000000000000000"/>
    <w:charset w:val="00"/>
    <w:family w:val="roman"/>
    <w:pitch w:val="default"/>
    <w:sig w:usb0="00000000" w:usb1="00000000" w:usb2="00000000" w:usb3="00000000" w:csb0="00040001" w:csb1="00000000"/>
  </w:font>
  <w:font w:name="新宋体">
    <w:panose1 w:val="02010609030101010101"/>
    <w:charset w:val="86"/>
    <w:family w:val="modern"/>
    <w:pitch w:val="default"/>
    <w:sig w:usb0="00000003" w:usb1="288F0000" w:usb2="00000006" w:usb3="00000000" w:csb0="00040001" w:csb1="00000000"/>
  </w:font>
  <w:font w:name="MS Mincho">
    <w:panose1 w:val="02020609040205080304"/>
    <w:charset w:val="86"/>
    <w:family w:val="auto"/>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9B8C0">
    <w:pPr>
      <w:spacing w:line="229" w:lineRule="auto"/>
      <w:ind w:left="4407"/>
      <w:rPr>
        <w:rFonts w:ascii="宋体" w:hAnsi="宋体" w:eastAsia="宋体" w:cs="宋体"/>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33AA3">
    <w:pPr>
      <w:spacing w:line="229" w:lineRule="auto"/>
      <w:ind w:left="4407"/>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9" name="文本框 2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92C893">
                          <w:pPr>
                            <w:pStyle w:val="7"/>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UVU1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h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m7JRVTUCAABlBAAADgAAAAAAAAABACAAAAAfAQAAZHJzL2Uyb0RvYy54bWxQ&#10;SwUGAAAAAAYABgBZAQAAxgUAAAAA&#10;">
              <v:fill on="f" focussize="0,0"/>
              <v:stroke on="f" weight="0.5pt"/>
              <v:imagedata o:title=""/>
              <o:lock v:ext="edit" aspectratio="f"/>
              <v:textbox inset="0mm,0mm,0mm,0mm" style="mso-fit-shape-to-text:t;">
                <w:txbxContent>
                  <w:p w14:paraId="4092C893">
                    <w:pPr>
                      <w:pStyle w:val="7"/>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0C062">
    <w:pPr>
      <w:spacing w:before="48" w:line="219" w:lineRule="auto"/>
      <w:ind w:left="6"/>
      <w:rPr>
        <w:rFonts w:ascii="宋体" w:hAnsi="宋体" w:eastAsia="宋体" w:cs="宋体"/>
        <w:sz w:val="18"/>
        <w:szCs w:val="18"/>
      </w:rPr>
    </w:pPr>
    <w:r>
      <w:pict>
        <v:shape id="_x0000_s2148" o:spid="_x0000_s2148" style="position:absolute;left:0pt;margin-left:70.85pt;margin-top:54.15pt;height:0.5pt;width:453.35pt;mso-position-horizontal-relative:page;mso-position-vertical-relative:page;z-index:251659264;mso-width-relative:page;mso-height-relative:page;" fillcolor="#000000" filled="t" stroked="f" coordsize="9067,10" o:allowincell="f" path="m0,0l9066,0,9066,9,0,9,0,0xe">
          <v:path/>
          <v:fill on="t" focussize="0,0"/>
          <v:stroke on="f"/>
          <v:imagedata o:title=""/>
          <o:lock v:ext="edi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702459"/>
    <w:multiLevelType w:val="singleLevel"/>
    <w:tmpl w:val="86702459"/>
    <w:lvl w:ilvl="0" w:tentative="0">
      <w:start w:val="3"/>
      <w:numFmt w:val="decimal"/>
      <w:suff w:val="nothing"/>
      <w:lvlText w:val="（%1）"/>
      <w:lvlJc w:val="left"/>
    </w:lvl>
  </w:abstractNum>
  <w:abstractNum w:abstractNumId="1">
    <w:nsid w:val="97DA88FD"/>
    <w:multiLevelType w:val="singleLevel"/>
    <w:tmpl w:val="97DA88FD"/>
    <w:lvl w:ilvl="0" w:tentative="0">
      <w:start w:val="1"/>
      <w:numFmt w:val="decimal"/>
      <w:suff w:val="nothing"/>
      <w:lvlText w:val="%1、"/>
      <w:lvlJc w:val="left"/>
    </w:lvl>
  </w:abstractNum>
  <w:abstractNum w:abstractNumId="2">
    <w:nsid w:val="AC0A13CC"/>
    <w:multiLevelType w:val="singleLevel"/>
    <w:tmpl w:val="AC0A13CC"/>
    <w:lvl w:ilvl="0" w:tentative="0">
      <w:start w:val="1"/>
      <w:numFmt w:val="decimal"/>
      <w:suff w:val="nothing"/>
      <w:lvlText w:val="%1、"/>
      <w:lvlJc w:val="left"/>
    </w:lvl>
  </w:abstractNum>
  <w:abstractNum w:abstractNumId="3">
    <w:nsid w:val="BCDB3A70"/>
    <w:multiLevelType w:val="singleLevel"/>
    <w:tmpl w:val="BCDB3A70"/>
    <w:lvl w:ilvl="0" w:tentative="0">
      <w:start w:val="8"/>
      <w:numFmt w:val="chineseCounting"/>
      <w:suff w:val="nothing"/>
      <w:lvlText w:val="%1、"/>
      <w:lvlJc w:val="left"/>
      <w:pPr>
        <w:ind w:left="-157"/>
      </w:pPr>
      <w:rPr>
        <w:rFonts w:hint="eastAsia"/>
      </w:rPr>
    </w:lvl>
  </w:abstractNum>
  <w:abstractNum w:abstractNumId="4">
    <w:nsid w:val="EA400B57"/>
    <w:multiLevelType w:val="singleLevel"/>
    <w:tmpl w:val="EA400B57"/>
    <w:lvl w:ilvl="0" w:tentative="0">
      <w:start w:val="11"/>
      <w:numFmt w:val="decimal"/>
      <w:lvlText w:val="%1."/>
      <w:lvlJc w:val="left"/>
      <w:pPr>
        <w:tabs>
          <w:tab w:val="left" w:pos="312"/>
        </w:tabs>
      </w:pPr>
    </w:lvl>
  </w:abstractNum>
  <w:abstractNum w:abstractNumId="5">
    <w:nsid w:val="F473B590"/>
    <w:multiLevelType w:val="singleLevel"/>
    <w:tmpl w:val="F473B590"/>
    <w:lvl w:ilvl="0" w:tentative="0">
      <w:start w:val="3"/>
      <w:numFmt w:val="chineseCounting"/>
      <w:suff w:val="space"/>
      <w:lvlText w:val="第%1节"/>
      <w:lvlJc w:val="left"/>
      <w:rPr>
        <w:rFonts w:hint="eastAsia"/>
      </w:rPr>
    </w:lvl>
  </w:abstractNum>
  <w:abstractNum w:abstractNumId="6">
    <w:nsid w:val="1F6DA65F"/>
    <w:multiLevelType w:val="singleLevel"/>
    <w:tmpl w:val="1F6DA65F"/>
    <w:lvl w:ilvl="0" w:tentative="0">
      <w:start w:val="2"/>
      <w:numFmt w:val="decimal"/>
      <w:suff w:val="nothing"/>
      <w:lvlText w:val="%1、"/>
      <w:lvlJc w:val="left"/>
    </w:lvl>
  </w:abstractNum>
  <w:abstractNum w:abstractNumId="7">
    <w:nsid w:val="37902526"/>
    <w:multiLevelType w:val="singleLevel"/>
    <w:tmpl w:val="37902526"/>
    <w:lvl w:ilvl="0" w:tentative="0">
      <w:start w:val="4"/>
      <w:numFmt w:val="chineseCounting"/>
      <w:suff w:val="space"/>
      <w:lvlText w:val="第%1章"/>
      <w:lvlJc w:val="left"/>
      <w:rPr>
        <w:rFonts w:hint="eastAsia"/>
        <w:b/>
        <w:bCs/>
      </w:rPr>
    </w:lvl>
  </w:abstractNum>
  <w:abstractNum w:abstractNumId="8">
    <w:nsid w:val="7AE135DD"/>
    <w:multiLevelType w:val="singleLevel"/>
    <w:tmpl w:val="7AE135DD"/>
    <w:lvl w:ilvl="0" w:tentative="0">
      <w:start w:val="1"/>
      <w:numFmt w:val="decimal"/>
      <w:suff w:val="nothing"/>
      <w:lvlText w:val="%1、"/>
      <w:lvlJc w:val="left"/>
    </w:lvl>
  </w:abstractNum>
  <w:num w:numId="1">
    <w:abstractNumId w:val="6"/>
  </w:num>
  <w:num w:numId="2">
    <w:abstractNumId w:val="1"/>
  </w:num>
  <w:num w:numId="3">
    <w:abstractNumId w:val="2"/>
  </w:num>
  <w:num w:numId="4">
    <w:abstractNumId w:val="8"/>
  </w:num>
  <w:num w:numId="5">
    <w:abstractNumId w:val="7"/>
  </w:num>
  <w:num w:numId="6">
    <w:abstractNumId w:val="0"/>
  </w:num>
  <w:num w:numId="7">
    <w:abstractNumId w:val="4"/>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9130A21"/>
    <w:rsid w:val="094351AC"/>
    <w:rsid w:val="0AC104F6"/>
    <w:rsid w:val="12B949E9"/>
    <w:rsid w:val="14076624"/>
    <w:rsid w:val="145A50D6"/>
    <w:rsid w:val="1A67054F"/>
    <w:rsid w:val="1AB766AF"/>
    <w:rsid w:val="1C191A8A"/>
    <w:rsid w:val="1CAF1BEB"/>
    <w:rsid w:val="1D9A5BDC"/>
    <w:rsid w:val="1EDB14E4"/>
    <w:rsid w:val="249D12EE"/>
    <w:rsid w:val="28C12115"/>
    <w:rsid w:val="2E6855F6"/>
    <w:rsid w:val="31351DCD"/>
    <w:rsid w:val="315A7D66"/>
    <w:rsid w:val="31CB005B"/>
    <w:rsid w:val="361730CD"/>
    <w:rsid w:val="36D40BB2"/>
    <w:rsid w:val="378E64BD"/>
    <w:rsid w:val="3DA46460"/>
    <w:rsid w:val="42907FB1"/>
    <w:rsid w:val="44686E0F"/>
    <w:rsid w:val="47DB5B06"/>
    <w:rsid w:val="4C80758E"/>
    <w:rsid w:val="4EE36389"/>
    <w:rsid w:val="51897D37"/>
    <w:rsid w:val="52A1485A"/>
    <w:rsid w:val="54CE3F0B"/>
    <w:rsid w:val="5A714061"/>
    <w:rsid w:val="5B377A46"/>
    <w:rsid w:val="5EF323F0"/>
    <w:rsid w:val="61834D55"/>
    <w:rsid w:val="62B01F51"/>
    <w:rsid w:val="63395E1A"/>
    <w:rsid w:val="65BC53AE"/>
    <w:rsid w:val="6A491970"/>
    <w:rsid w:val="6AE73ED4"/>
    <w:rsid w:val="6BF95325"/>
    <w:rsid w:val="71DF5F2D"/>
    <w:rsid w:val="73066420"/>
    <w:rsid w:val="75595CC3"/>
    <w:rsid w:val="75957199"/>
    <w:rsid w:val="76B75DC4"/>
    <w:rsid w:val="7D641E37"/>
    <w:rsid w:val="7DA425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7"/>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4"/>
    <w:basedOn w:val="1"/>
    <w:next w:val="1"/>
    <w:qFormat/>
    <w:uiPriority w:val="0"/>
    <w:pPr>
      <w:keepNext/>
      <w:keepLines/>
      <w:spacing w:line="374" w:lineRule="auto"/>
      <w:outlineLvl w:val="3"/>
    </w:pPr>
    <w:rPr>
      <w:rFonts w:ascii="Arial" w:hAnsi="Arial"/>
    </w:rPr>
  </w:style>
  <w:style w:type="character" w:default="1" w:styleId="12">
    <w:name w:val="Default Paragraph Font"/>
    <w:semiHidden/>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qFormat/>
    <w:uiPriority w:val="0"/>
    <w:pPr>
      <w:spacing w:line="400" w:lineRule="exact"/>
      <w:ind w:firstLine="420"/>
    </w:pPr>
    <w:rPr>
      <w:rFonts w:ascii="Arial Narrow" w:hAnsi="Arial Narrow" w:eastAsia="华文细黑"/>
      <w:sz w:val="24"/>
      <w:szCs w:val="20"/>
    </w:rPr>
  </w:style>
  <w:style w:type="paragraph" w:styleId="4">
    <w:name w:val="annotation text"/>
    <w:basedOn w:val="1"/>
    <w:qFormat/>
    <w:uiPriority w:val="0"/>
    <w:pPr>
      <w:jc w:val="left"/>
    </w:pPr>
  </w:style>
  <w:style w:type="paragraph" w:styleId="5">
    <w:name w:val="Body Text"/>
    <w:basedOn w:val="1"/>
    <w:semiHidden/>
    <w:qFormat/>
    <w:uiPriority w:val="0"/>
    <w:rPr>
      <w:rFonts w:ascii="黑体" w:hAnsi="黑体" w:eastAsia="黑体" w:cs="黑体"/>
      <w:sz w:val="52"/>
      <w:szCs w:val="52"/>
      <w:lang w:val="en-US" w:eastAsia="en-US" w:bidi="ar-SA"/>
    </w:rPr>
  </w:style>
  <w:style w:type="paragraph" w:styleId="6">
    <w:name w:val="Plain Text"/>
    <w:basedOn w:val="1"/>
    <w:qFormat/>
    <w:uiPriority w:val="0"/>
    <w:rPr>
      <w:rFonts w:hint="eastAsia" w:ascii="宋体" w:hAnsi="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toc 1"/>
    <w:basedOn w:val="1"/>
    <w:next w:val="1"/>
    <w:qFormat/>
    <w:uiPriority w:val="0"/>
  </w:style>
  <w:style w:type="paragraph" w:styleId="9">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0"/>
      <w:szCs w:val="20"/>
      <w:lang w:val="en-US" w:eastAsia="en-US" w:bidi="ar-SA"/>
    </w:rPr>
  </w:style>
  <w:style w:type="character" w:customStyle="1" w:styleId="15">
    <w:name w:val="fontstyle01"/>
    <w:qFormat/>
    <w:uiPriority w:val="0"/>
    <w:rPr>
      <w:rFonts w:hint="default" w:ascii="CIDFont+F1" w:hAnsi="CIDFont+F1"/>
      <w:color w:val="000000"/>
      <w:sz w:val="24"/>
      <w:szCs w:val="24"/>
    </w:rPr>
  </w:style>
  <w:style w:type="paragraph" w:customStyle="1" w:styleId="16">
    <w:name w:val="样式 宋体 小四 行距: 1.5 倍行距"/>
    <w:basedOn w:val="1"/>
    <w:qFormat/>
    <w:uiPriority w:val="99"/>
    <w:pPr>
      <w:spacing w:line="360" w:lineRule="auto"/>
      <w:ind w:firstLine="480" w:firstLineChars="200"/>
    </w:pPr>
    <w:rPr>
      <w:rFonts w:ascii="宋体" w:hAnsi="宋体"/>
      <w:sz w:val="24"/>
    </w:rPr>
  </w:style>
  <w:style w:type="character" w:customStyle="1" w:styleId="17">
    <w:name w:val="NormalCharacter"/>
    <w:link w:val="1"/>
    <w:qFormat/>
    <w:uiPriority w:val="99"/>
    <w:rPr>
      <w:rFonts w:ascii="Arial" w:hAnsi="Arial" w:eastAsia="Arial" w:cs="Arial"/>
      <w:snapToGrid w:val="0"/>
      <w:color w:val="000000"/>
      <w:kern w:val="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148"/>
    <customShpInfo spid="_x0000_s1026" textRotate="1"/>
    <customShpInfo spid="_x0000_s1030"/>
    <customShpInfo spid="_x0000_s1031"/>
    <customShpInfo spid="_x0000_s1032"/>
    <customShpInfo spid="_x0000_s1033"/>
    <customShpInfo spid="_x0000_s1034"/>
    <customShpInfo spid="_x0000_s1035"/>
    <customShpInfo spid="_x0000_s1037"/>
    <customShpInfo spid="_x0000_s1102"/>
    <customShpInfo spid="_x0000_s1111"/>
    <customShpInfo spid="_x0000_s111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158</Pages>
  <Words>4349</Words>
  <Characters>5007</Characters>
  <TotalTime>0</TotalTime>
  <ScaleCrop>false</ScaleCrop>
  <LinksUpToDate>false</LinksUpToDate>
  <CharactersWithSpaces>5231</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2026-01-09T17:04:00Z</dcterms:created>
  <dc:creator>冬至</dc:creator>
  <cp:lastModifiedBy>项目管理赵工</cp:lastModifiedBy>
  <cp:lastPrinted>2026-09-08T03:57:00Z</cp:lastPrinted>
  <dcterms:modified xsi:type="dcterms:W3CDTF">2026-09-14T03:19:54Z</dcterms:modified>
  <dc:title>范本</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2026-06-16T08:46:26Z</vt:filetime>
  </property>
  <property fmtid="{D5CDD505-2E9C-101B-9397-08002B2CF9AE}" pid="4" name="KSOTemplateDocerSaveRecord">
    <vt:lpwstr>eyJoZGlkIjoiYWY0MWExZDI4ODllMjU1YzY1Y2M0ZTg4ZTA1MTk2ZTkiLCJ1c2VySWQiOiI0MjAyNjAyNDMifQ==</vt:lpwstr>
  </property>
  <property fmtid="{D5CDD505-2E9C-101B-9397-08002B2CF9AE}" pid="5" name="KSOProductBuildVer">
    <vt:lpwstr>2052-12.1.0.28505</vt:lpwstr>
  </property>
  <property fmtid="{D5CDD505-2E9C-101B-9397-08002B2CF9AE}" pid="6" name="ICV">
    <vt:lpwstr>9F80011BD2224E1AB6FCCC73F524F0E0_13</vt:lpwstr>
  </property>
</Properties>
</file>