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740" w:lineRule="exact"/>
        <w:jc w:val="center"/>
        <w:outlineLvl w:val="9"/>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lang w:eastAsia="zh-CN"/>
        </w:rPr>
        <w:t>始兴县墨江流域农村污水综合治理工程一期（太平镇标段）施工监理</w:t>
      </w: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before="2" w:line="240" w:lineRule="exact"/>
        <w:outlineLvl w:val="9"/>
        <w:rPr>
          <w:rFonts w:hint="eastAsia" w:ascii="宋体" w:hAnsi="宋体" w:eastAsia="宋体" w:cs="宋体"/>
          <w:color w:val="auto"/>
          <w:kern w:val="0"/>
          <w:highlight w:val="none"/>
        </w:rPr>
      </w:pPr>
    </w:p>
    <w:p>
      <w:pPr>
        <w:pStyle w:val="84"/>
        <w:outlineLvl w:val="9"/>
        <w:rPr>
          <w:rFonts w:hint="eastAsia" w:ascii="宋体" w:hAnsi="宋体" w:eastAsia="宋体" w:cs="宋体"/>
          <w:color w:val="auto"/>
          <w:highlight w:val="none"/>
        </w:rPr>
      </w:pPr>
    </w:p>
    <w:p>
      <w:pPr>
        <w:pStyle w:val="84"/>
        <w:outlineLvl w:val="9"/>
        <w:rPr>
          <w:rFonts w:hint="eastAsia" w:ascii="宋体" w:hAnsi="宋体" w:eastAsia="宋体" w:cs="宋体"/>
          <w:color w:val="auto"/>
          <w:highlight w:val="none"/>
        </w:rPr>
      </w:pPr>
    </w:p>
    <w:p>
      <w:pPr>
        <w:tabs>
          <w:tab w:val="left" w:pos="3800"/>
          <w:tab w:val="left" w:pos="4560"/>
        </w:tabs>
        <w:autoSpaceDE w:val="0"/>
        <w:autoSpaceDN w:val="0"/>
        <w:adjustRightInd w:val="0"/>
        <w:ind w:right="9"/>
        <w:jc w:val="center"/>
        <w:outlineLvl w:val="9"/>
        <w:rPr>
          <w:rFonts w:hint="eastAsia" w:ascii="宋体" w:hAnsi="宋体" w:eastAsia="宋体" w:cs="宋体"/>
          <w:color w:val="auto"/>
          <w:kern w:val="0"/>
          <w:sz w:val="112"/>
          <w:szCs w:val="96"/>
          <w:highlight w:val="none"/>
        </w:rPr>
      </w:pPr>
      <w:r>
        <w:rPr>
          <w:rFonts w:hint="eastAsia" w:ascii="宋体" w:hAnsi="宋体" w:eastAsia="宋体" w:cs="宋体"/>
          <w:b/>
          <w:bCs/>
          <w:color w:val="auto"/>
          <w:kern w:val="0"/>
          <w:sz w:val="96"/>
          <w:szCs w:val="72"/>
          <w:highlight w:val="none"/>
        </w:rPr>
        <w:t>招标文</w:t>
      </w:r>
      <w:r>
        <w:rPr>
          <w:rFonts w:hint="eastAsia" w:ascii="宋体" w:hAnsi="宋体" w:eastAsia="宋体" w:cs="宋体"/>
          <w:b/>
          <w:bCs/>
          <w:color w:val="auto"/>
          <w:w w:val="99"/>
          <w:kern w:val="0"/>
          <w:sz w:val="96"/>
          <w:szCs w:val="72"/>
          <w:highlight w:val="none"/>
        </w:rPr>
        <w:t>件</w:t>
      </w:r>
    </w:p>
    <w:p>
      <w:pPr>
        <w:autoSpaceDE w:val="0"/>
        <w:autoSpaceDN w:val="0"/>
        <w:adjustRightInd w:val="0"/>
        <w:spacing w:before="8" w:line="120" w:lineRule="exact"/>
        <w:outlineLvl w:val="9"/>
        <w:rPr>
          <w:rFonts w:hint="eastAsia" w:ascii="宋体" w:hAnsi="宋体" w:eastAsia="宋体" w:cs="宋体"/>
          <w:color w:val="auto"/>
          <w:kern w:val="0"/>
          <w:sz w:val="96"/>
          <w:szCs w:val="96"/>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pStyle w:val="84"/>
        <w:jc w:val="both"/>
        <w:outlineLvl w:val="9"/>
        <w:rPr>
          <w:rFonts w:hint="eastAsia" w:ascii="宋体" w:hAnsi="宋体" w:eastAsia="宋体" w:cs="宋体"/>
          <w:color w:val="auto"/>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p>
      <w:pPr>
        <w:autoSpaceDE w:val="0"/>
        <w:autoSpaceDN w:val="0"/>
        <w:adjustRightInd w:val="0"/>
        <w:spacing w:line="200" w:lineRule="exact"/>
        <w:outlineLvl w:val="9"/>
        <w:rPr>
          <w:rFonts w:hint="eastAsia" w:ascii="宋体" w:hAnsi="宋体" w:eastAsia="宋体" w:cs="宋体"/>
          <w:color w:val="auto"/>
          <w:kern w:val="0"/>
          <w:sz w:val="20"/>
          <w:highlight w:val="none"/>
        </w:rPr>
      </w:pPr>
    </w:p>
    <w:tbl>
      <w:tblPr>
        <w:tblStyle w:val="32"/>
        <w:tblpPr w:leftFromText="180" w:rightFromText="180" w:vertAnchor="text" w:horzAnchor="page" w:tblpX="1312" w:tblpY="423"/>
        <w:tblOverlap w:val="never"/>
        <w:tblW w:w="0" w:type="auto"/>
        <w:tblInd w:w="0" w:type="dxa"/>
        <w:tblLayout w:type="fixed"/>
        <w:tblCellMar>
          <w:top w:w="0" w:type="dxa"/>
          <w:left w:w="0" w:type="dxa"/>
          <w:bottom w:w="0" w:type="dxa"/>
          <w:right w:w="0" w:type="dxa"/>
        </w:tblCellMar>
      </w:tblPr>
      <w:tblGrid>
        <w:gridCol w:w="4850"/>
        <w:gridCol w:w="4609"/>
      </w:tblGrid>
      <w:tr>
        <w:tblPrEx>
          <w:tblCellMar>
            <w:top w:w="0" w:type="dxa"/>
            <w:left w:w="0" w:type="dxa"/>
            <w:bottom w:w="0" w:type="dxa"/>
            <w:right w:w="0" w:type="dxa"/>
          </w:tblCellMar>
        </w:tblPrEx>
        <w:trPr>
          <w:trHeight w:val="899" w:hRule="atLeast"/>
        </w:trPr>
        <w:tc>
          <w:tcPr>
            <w:tcW w:w="4850" w:type="dxa"/>
            <w:noWrap w:val="0"/>
            <w:vAlign w:val="center"/>
          </w:tcPr>
          <w:p>
            <w:pPr>
              <w:pStyle w:val="56"/>
              <w:spacing w:line="240" w:lineRule="auto"/>
              <w:jc w:val="left"/>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招        标        人（盖 章）：</w:t>
            </w:r>
          </w:p>
        </w:tc>
        <w:tc>
          <w:tcPr>
            <w:tcW w:w="4609" w:type="dxa"/>
            <w:noWrap w:val="0"/>
            <w:vAlign w:val="center"/>
          </w:tcPr>
          <w:p>
            <w:pPr>
              <w:pStyle w:val="56"/>
              <w:spacing w:line="240" w:lineRule="auto"/>
              <w:outlineLvl w:val="9"/>
              <w:rPr>
                <w:rFonts w:hint="eastAsia" w:ascii="宋体" w:hAnsi="宋体" w:eastAsia="宋体" w:cs="宋体"/>
                <w:color w:val="auto"/>
                <w:kern w:val="0"/>
                <w:szCs w:val="24"/>
                <w:highlight w:val="none"/>
                <w:lang w:eastAsia="zh-CN"/>
              </w:rPr>
            </w:pPr>
            <w:r>
              <w:rPr>
                <w:rFonts w:hint="eastAsia" w:ascii="宋体" w:hAnsi="宋体" w:eastAsia="宋体" w:cs="宋体"/>
                <w:color w:val="auto"/>
                <w:sz w:val="28"/>
                <w:szCs w:val="28"/>
                <w:highlight w:val="none"/>
                <w:lang w:eastAsia="zh-CN"/>
              </w:rPr>
              <w:t>始兴县太平镇人民政府</w:t>
            </w:r>
          </w:p>
        </w:tc>
      </w:tr>
      <w:tr>
        <w:tblPrEx>
          <w:tblCellMar>
            <w:top w:w="0" w:type="dxa"/>
            <w:left w:w="0" w:type="dxa"/>
            <w:bottom w:w="0" w:type="dxa"/>
            <w:right w:w="0" w:type="dxa"/>
          </w:tblCellMar>
        </w:tblPrEx>
        <w:trPr>
          <w:trHeight w:val="899" w:hRule="atLeast"/>
        </w:trPr>
        <w:tc>
          <w:tcPr>
            <w:tcW w:w="4850" w:type="dxa"/>
            <w:noWrap w:val="0"/>
            <w:vAlign w:val="center"/>
          </w:tcPr>
          <w:p>
            <w:pPr>
              <w:pStyle w:val="56"/>
              <w:spacing w:line="240" w:lineRule="auto"/>
              <w:jc w:val="left"/>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招标人工作领导小组负责人（签字）：</w:t>
            </w:r>
          </w:p>
        </w:tc>
        <w:tc>
          <w:tcPr>
            <w:tcW w:w="4609" w:type="dxa"/>
            <w:noWrap w:val="0"/>
            <w:vAlign w:val="center"/>
          </w:tcPr>
          <w:p>
            <w:pPr>
              <w:pStyle w:val="56"/>
              <w:spacing w:line="240" w:lineRule="auto"/>
              <w:outlineLvl w:val="9"/>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882" w:hRule="atLeast"/>
        </w:trPr>
        <w:tc>
          <w:tcPr>
            <w:tcW w:w="4850" w:type="dxa"/>
            <w:noWrap w:val="0"/>
            <w:vAlign w:val="center"/>
          </w:tcPr>
          <w:p>
            <w:pPr>
              <w:pStyle w:val="56"/>
              <w:spacing w:line="240" w:lineRule="auto"/>
              <w:jc w:val="left"/>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招  标  代  理  机  构 （盖 章）：</w:t>
            </w:r>
          </w:p>
        </w:tc>
        <w:tc>
          <w:tcPr>
            <w:tcW w:w="4609" w:type="dxa"/>
            <w:noWrap w:val="0"/>
            <w:vAlign w:val="center"/>
          </w:tcPr>
          <w:p>
            <w:pPr>
              <w:pStyle w:val="56"/>
              <w:spacing w:line="24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广州穗峰建设工程监理有限公司</w:t>
            </w:r>
          </w:p>
        </w:tc>
      </w:tr>
      <w:tr>
        <w:tblPrEx>
          <w:tblCellMar>
            <w:top w:w="0" w:type="dxa"/>
            <w:left w:w="0" w:type="dxa"/>
            <w:bottom w:w="0" w:type="dxa"/>
            <w:right w:w="0" w:type="dxa"/>
          </w:tblCellMar>
        </w:tblPrEx>
        <w:trPr>
          <w:trHeight w:val="955" w:hRule="atLeast"/>
        </w:trPr>
        <w:tc>
          <w:tcPr>
            <w:tcW w:w="4850" w:type="dxa"/>
            <w:noWrap w:val="0"/>
            <w:vAlign w:val="center"/>
          </w:tcPr>
          <w:p>
            <w:pPr>
              <w:pStyle w:val="56"/>
              <w:spacing w:line="240" w:lineRule="auto"/>
              <w:jc w:val="left"/>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招  标  文  件  编  制  人（签字）：</w:t>
            </w:r>
          </w:p>
        </w:tc>
        <w:tc>
          <w:tcPr>
            <w:tcW w:w="4609" w:type="dxa"/>
            <w:noWrap w:val="0"/>
            <w:vAlign w:val="center"/>
          </w:tcPr>
          <w:p>
            <w:pPr>
              <w:pStyle w:val="56"/>
              <w:spacing w:line="240" w:lineRule="auto"/>
              <w:outlineLvl w:val="9"/>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882" w:hRule="atLeast"/>
        </w:trPr>
        <w:tc>
          <w:tcPr>
            <w:tcW w:w="4850" w:type="dxa"/>
            <w:noWrap w:val="0"/>
            <w:vAlign w:val="center"/>
          </w:tcPr>
          <w:p>
            <w:pPr>
              <w:pStyle w:val="56"/>
              <w:wordWrap w:val="0"/>
              <w:spacing w:line="240" w:lineRule="auto"/>
              <w:jc w:val="left"/>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招标 代理 机构 项目负责人（签字）：</w:t>
            </w:r>
          </w:p>
        </w:tc>
        <w:tc>
          <w:tcPr>
            <w:tcW w:w="4609" w:type="dxa"/>
            <w:noWrap w:val="0"/>
            <w:vAlign w:val="center"/>
          </w:tcPr>
          <w:p>
            <w:pPr>
              <w:pStyle w:val="56"/>
              <w:spacing w:line="240" w:lineRule="auto"/>
              <w:outlineLvl w:val="9"/>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883" w:hRule="atLeast"/>
        </w:trPr>
        <w:tc>
          <w:tcPr>
            <w:tcW w:w="4850" w:type="dxa"/>
            <w:noWrap w:val="0"/>
            <w:vAlign w:val="center"/>
          </w:tcPr>
          <w:p>
            <w:pPr>
              <w:pStyle w:val="56"/>
              <w:wordWrap w:val="0"/>
              <w:spacing w:line="240" w:lineRule="auto"/>
              <w:jc w:val="left"/>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招  标  文  件  编  制  日  期：</w:t>
            </w:r>
          </w:p>
        </w:tc>
        <w:tc>
          <w:tcPr>
            <w:tcW w:w="4609" w:type="dxa"/>
            <w:noWrap w:val="0"/>
            <w:vAlign w:val="center"/>
          </w:tcPr>
          <w:p>
            <w:pPr>
              <w:pStyle w:val="56"/>
              <w:spacing w:line="240" w:lineRule="auto"/>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202</w:t>
            </w:r>
            <w:r>
              <w:rPr>
                <w:rFonts w:hint="eastAsia" w:ascii="宋体" w:hAnsi="宋体" w:eastAsia="宋体" w:cs="宋体"/>
                <w:color w:val="auto"/>
                <w:sz w:val="28"/>
                <w:highlight w:val="none"/>
                <w:lang w:val="en-US" w:eastAsia="zh-CN"/>
              </w:rPr>
              <w:t>3</w:t>
            </w:r>
            <w:r>
              <w:rPr>
                <w:rFonts w:hint="eastAsia" w:ascii="宋体" w:hAnsi="宋体" w:eastAsia="宋体" w:cs="宋体"/>
                <w:color w:val="auto"/>
                <w:sz w:val="28"/>
                <w:highlight w:val="none"/>
              </w:rPr>
              <w:t>年</w:t>
            </w:r>
            <w:r>
              <w:rPr>
                <w:rFonts w:hint="eastAsia" w:hAnsi="宋体" w:cs="宋体"/>
                <w:color w:val="auto"/>
                <w:sz w:val="28"/>
                <w:highlight w:val="none"/>
                <w:lang w:val="en-US" w:eastAsia="zh-CN"/>
              </w:rPr>
              <w:t>5</w:t>
            </w:r>
            <w:r>
              <w:rPr>
                <w:rFonts w:hint="eastAsia" w:ascii="宋体" w:hAnsi="宋体" w:eastAsia="宋体" w:cs="宋体"/>
                <w:color w:val="auto"/>
                <w:sz w:val="28"/>
                <w:highlight w:val="none"/>
              </w:rPr>
              <w:t>月</w:t>
            </w:r>
          </w:p>
        </w:tc>
      </w:tr>
    </w:tbl>
    <w:p>
      <w:pP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sdt>
      <w:sdtPr>
        <w:rPr>
          <w:rFonts w:hint="eastAsia" w:ascii="宋体" w:hAnsi="宋体" w:eastAsia="宋体" w:cs="宋体"/>
          <w:b/>
          <w:bCs/>
          <w:color w:val="auto"/>
          <w:kern w:val="2"/>
          <w:sz w:val="28"/>
          <w:szCs w:val="24"/>
          <w:highlight w:val="none"/>
          <w:lang w:val="en-US" w:eastAsia="zh-CN" w:bidi="ar-SA"/>
        </w:rPr>
        <w:id w:val="147474416"/>
        <w15:color w:val="DBDBDB"/>
        <w:docPartObj>
          <w:docPartGallery w:val="Table of Contents"/>
          <w:docPartUnique/>
        </w:docPartObj>
      </w:sdtPr>
      <w:sdtEndPr>
        <w:rPr>
          <w:rFonts w:hint="eastAsia" w:ascii="宋体" w:hAnsi="宋体" w:eastAsia="宋体" w:cs="宋体"/>
          <w:b/>
          <w:bCs/>
          <w:color w:val="auto"/>
          <w:kern w:val="2"/>
          <w:sz w:val="28"/>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24"/>
              <w:highlight w:val="none"/>
            </w:rPr>
          </w:pPr>
          <w:r>
            <w:rPr>
              <w:rFonts w:hint="eastAsia" w:ascii="宋体" w:hAnsi="宋体" w:eastAsia="宋体" w:cs="宋体"/>
              <w:b/>
              <w:bCs/>
              <w:color w:val="auto"/>
              <w:sz w:val="28"/>
              <w:szCs w:val="24"/>
              <w:highlight w:val="none"/>
            </w:rPr>
            <w:t>目录</w:t>
          </w:r>
        </w:p>
        <w:p>
          <w:pPr>
            <w:pStyle w:val="2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_Toc12642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第一章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_Toc27344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第一节 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_Toc27344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w:t>
          </w:r>
          <w:r>
            <w:rPr>
              <w:rFonts w:hint="eastAsia" w:ascii="宋体" w:hAnsi="宋体" w:eastAsia="宋体" w:cs="宋体"/>
              <w:snapToGrid w:val="0"/>
              <w:color w:val="auto"/>
              <w:highlight w:val="none"/>
              <w:lang w:val="en-US" w:eastAsia="zh-CN"/>
            </w:rPr>
            <w:t>二</w:t>
          </w:r>
          <w:r>
            <w:rPr>
              <w:rFonts w:hint="eastAsia" w:ascii="宋体" w:hAnsi="宋体" w:eastAsia="宋体" w:cs="宋体"/>
              <w:snapToGrid w:val="0"/>
              <w:color w:val="auto"/>
              <w:highlight w:val="none"/>
            </w:rPr>
            <w:t>节 重要事项时间地点一览表</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0</w:t>
          </w:r>
        </w:p>
        <w:p>
          <w:pPr>
            <w:pStyle w:val="27"/>
            <w:tabs>
              <w:tab w:val="right" w:leader="dot" w:pos="9746"/>
            </w:tabs>
            <w:rPr>
              <w:rFonts w:hint="eastAsia" w:ascii="宋体" w:hAnsi="宋体" w:eastAsia="宋体" w:cs="宋体"/>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_Toc27344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w:t>
          </w:r>
          <w:r>
            <w:rPr>
              <w:rFonts w:hint="eastAsia" w:ascii="宋体" w:hAnsi="宋体" w:eastAsia="宋体" w:cs="宋体"/>
              <w:snapToGrid w:val="0"/>
              <w:color w:val="auto"/>
              <w:highlight w:val="none"/>
              <w:lang w:val="en-US" w:eastAsia="zh-CN"/>
            </w:rPr>
            <w:t>三</w:t>
          </w:r>
          <w:r>
            <w:rPr>
              <w:rFonts w:hint="eastAsia" w:ascii="宋体" w:hAnsi="宋体" w:eastAsia="宋体" w:cs="宋体"/>
              <w:snapToGrid w:val="0"/>
              <w:color w:val="auto"/>
              <w:highlight w:val="none"/>
            </w:rPr>
            <w:t>节 投标人须知正文</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1</w:t>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_Toc15322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1．工程概况、招标范围和标段划分、投标费用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_Toc21101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2．投标人资格要求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_Toc11407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3．获取招标文件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_Toc21451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4．服务期限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_Toc20385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5．服务标准：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_Toc4144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6．现场踏勘</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_Toc22593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7．招标文件的提问和答疑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_Toc12548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8．最高投标限价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_Toc26951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9．投标报价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_Toc14473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10．投标文件的编制要求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_Toc25489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4"/>
              <w:highlight w:val="none"/>
              <w:lang w:val="en-US" w:eastAsia="zh-CN" w:bidi="ar-SA"/>
            </w:rPr>
            <w:t>11</w:t>
          </w:r>
          <w:r>
            <w:rPr>
              <w:rFonts w:hint="eastAsia" w:ascii="宋体" w:hAnsi="宋体" w:eastAsia="宋体" w:cs="宋体"/>
              <w:bCs/>
              <w:color w:val="auto"/>
              <w:highlight w:val="none"/>
            </w:rPr>
            <w:t>．</w:t>
          </w:r>
          <w:r>
            <w:rPr>
              <w:rFonts w:hint="eastAsia" w:ascii="宋体" w:hAnsi="宋体" w:eastAsia="宋体" w:cs="宋体"/>
              <w:bCs/>
              <w:color w:val="auto"/>
              <w:kern w:val="0"/>
              <w:szCs w:val="24"/>
              <w:highlight w:val="none"/>
              <w:lang w:val="en-US" w:eastAsia="zh-CN" w:bidi="ar-SA"/>
            </w:rPr>
            <w:t>电子投标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_Toc25489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_Toc21824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12．电子投标及投标解密失败及突发情况的补救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_Toc13708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w:t>
          </w:r>
          <w:r>
            <w:rPr>
              <w:rFonts w:hint="eastAsia" w:ascii="宋体" w:hAnsi="宋体" w:eastAsia="宋体" w:cs="宋体"/>
              <w:snapToGrid w:val="0"/>
              <w:color w:val="auto"/>
              <w:kern w:val="0"/>
              <w:highlight w:val="none"/>
              <w:lang w:val="en-US" w:eastAsia="zh-CN"/>
            </w:rPr>
            <w:t>4</w:t>
          </w:r>
          <w:r>
            <w:rPr>
              <w:rFonts w:hint="eastAsia" w:ascii="宋体" w:hAnsi="宋体" w:eastAsia="宋体" w:cs="宋体"/>
              <w:snapToGrid w:val="0"/>
              <w:color w:val="auto"/>
              <w:kern w:val="0"/>
              <w:highlight w:val="none"/>
            </w:rPr>
            <w:t>．投标有效期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_Toc11925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w:t>
          </w: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_Toc26389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lang w:eastAsia="zh-CN"/>
            </w:rPr>
            <w:t>17</w:t>
          </w:r>
          <w:r>
            <w:rPr>
              <w:rFonts w:hint="eastAsia" w:ascii="宋体" w:hAnsi="宋体" w:eastAsia="宋体" w:cs="宋体"/>
              <w:snapToGrid w:val="0"/>
              <w:color w:val="auto"/>
              <w:kern w:val="0"/>
              <w:highlight w:val="none"/>
            </w:rPr>
            <w:t>．推荐中标候选人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_Toc19862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lang w:eastAsia="zh-CN"/>
            </w:rPr>
            <w:t>18</w:t>
          </w:r>
          <w:r>
            <w:rPr>
              <w:rFonts w:hint="eastAsia" w:ascii="宋体" w:hAnsi="宋体" w:eastAsia="宋体" w:cs="宋体"/>
              <w:snapToGrid w:val="0"/>
              <w:color w:val="auto"/>
              <w:kern w:val="0"/>
              <w:highlight w:val="none"/>
            </w:rPr>
            <w:t>．中标候选人公示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_Toc32132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第四节 否决投标条件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_Toc28312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1．资格评审环节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_Toc22324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2．形式评审环节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_Toc28292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3．响应性评审环节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_Toc26394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4．其他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_Toc27640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第二章 中标人须知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_Toc27640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_Toc21226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1．中标通知书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_Toc14626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2．中标结果公示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_Toc14626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_Toc574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3．履约保证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_Toc3277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4．合同订立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_Toc28650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5．放弃中标的处理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_Toc24806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6．分包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_Toc5859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7．诚信登记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_Toc4685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8．监理服务期限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_Toc24416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9．项目监理机构</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_Toc13279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10．安全防护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_Toc22060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11．接受监督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_Toc22301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12．监理档案移交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13</w:t>
          </w:r>
          <w:r>
            <w:rPr>
              <w:rFonts w:hint="eastAsia" w:ascii="宋体" w:hAnsi="宋体" w:eastAsia="宋体" w:cs="宋体"/>
              <w:snapToGrid w:val="0"/>
              <w:color w:val="auto"/>
              <w:kern w:val="0"/>
              <w:highlight w:val="none"/>
            </w:rPr>
            <w:t>．不良行为处理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_Toc24296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第三章 拟签订合同的主要条款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_Toc24356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第四章 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_Toc22337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zCs w:val="21"/>
              <w:highlight w:val="none"/>
            </w:rPr>
            <w:t>第五章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_Toc26717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格式一 封面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_Toc32355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格式二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_Toc32560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格式三 各项承诺一览表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_Toc5981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各项承诺一览表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_Toc5516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szCs w:val="24"/>
              <w:highlight w:val="none"/>
            </w:rPr>
            <w:t>格式四 授权委托书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_Toc5516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_Toc17289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格式五 法定代表人身份证明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szCs w:val="24"/>
              <w:highlight w:val="none"/>
            </w:rPr>
            <w:t>格式六 联合体协议书（本次招标不适用）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_Toc10252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szCs w:val="24"/>
              <w:highlight w:val="none"/>
            </w:rPr>
            <w:t>格式七 投标人基本情况表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_Toc4956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格式八 总监理工程师任职声明（适用于无任职项目）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格式九 总监理工程师任职声明（适用于有任职项目）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_Toc20608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szCs w:val="24"/>
              <w:highlight w:val="none"/>
            </w:rPr>
            <w:t>格式十 总监理工程师任职项目情况表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_Toc20895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w:t>
          </w:r>
          <w:r>
            <w:rPr>
              <w:rFonts w:hint="eastAsia" w:ascii="宋体" w:hAnsi="宋体" w:eastAsia="宋体" w:cs="宋体"/>
              <w:bCs/>
              <w:snapToGrid w:val="0"/>
              <w:color w:val="auto"/>
              <w:kern w:val="0"/>
              <w:szCs w:val="24"/>
              <w:highlight w:val="none"/>
            </w:rPr>
            <w:t>十一 项目监理机构组成人员汇总表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_Toc5290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格式十二 总监理工程师简历表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_Toc4869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格式十三 其他拟派人员简历表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_Toc4869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_Toc12659 </w:instrText>
          </w:r>
          <w:r>
            <w:rPr>
              <w:rFonts w:hint="eastAsia" w:ascii="宋体" w:hAnsi="宋体" w:eastAsia="宋体" w:cs="宋体"/>
              <w:color w:val="auto"/>
              <w:highlight w:val="none"/>
            </w:rPr>
            <w:fldChar w:fldCharType="separate"/>
          </w:r>
          <w:r>
            <w:rPr>
              <w:rFonts w:hint="eastAsia" w:ascii="宋体" w:hAnsi="宋体" w:eastAsia="宋体" w:cs="宋体"/>
              <w:caps w:val="0"/>
              <w:smallCaps w:val="0"/>
              <w:snapToGrid w:val="0"/>
              <w:color w:val="auto"/>
              <w:spacing w:val="0"/>
              <w:kern w:val="0"/>
              <w:szCs w:val="22"/>
              <w:highlight w:val="none"/>
              <w:lang w:eastAsia="zh-CN"/>
            </w:rPr>
            <w:t>格式十四</w:t>
          </w:r>
          <w:r>
            <w:rPr>
              <w:rFonts w:hint="eastAsia" w:ascii="宋体" w:hAnsi="宋体" w:eastAsia="宋体" w:cs="宋体"/>
              <w:caps w:val="0"/>
              <w:smallCaps w:val="0"/>
              <w:snapToGrid w:val="0"/>
              <w:color w:val="auto"/>
              <w:spacing w:val="0"/>
              <w:kern w:val="0"/>
              <w:szCs w:val="22"/>
              <w:highlight w:val="none"/>
              <w:lang w:val="en-US" w:eastAsia="zh-CN"/>
            </w:rPr>
            <w:t xml:space="preserve"> 监理及相关服务报酬清单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_Toc31198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第六章 建设工程监理合同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pPr>
        <w:outlineLvl w:val="9"/>
        <w:rPr>
          <w:rFonts w:hint="eastAsia" w:ascii="宋体" w:hAnsi="宋体" w:eastAsia="宋体" w:cs="宋体"/>
          <w:caps w:val="0"/>
          <w:snapToGrid w:val="0"/>
          <w:color w:val="auto"/>
          <w:kern w:val="0"/>
          <w:highlight w:val="none"/>
        </w:rPr>
      </w:pPr>
      <w:r>
        <w:rPr>
          <w:rFonts w:hint="eastAsia" w:ascii="宋体" w:hAnsi="宋体" w:eastAsia="宋体" w:cs="宋体"/>
          <w:caps w:val="0"/>
          <w:snapToGrid w:val="0"/>
          <w:color w:val="auto"/>
          <w:kern w:val="0"/>
          <w:highlight w:val="none"/>
        </w:rPr>
        <w:br w:type="page"/>
      </w:r>
    </w:p>
    <w:p>
      <w:pPr>
        <w:wordWrap w:val="0"/>
        <w:autoSpaceDE/>
        <w:autoSpaceDN/>
        <w:snapToGrid w:val="0"/>
        <w:spacing w:line="440" w:lineRule="exact"/>
        <w:jc w:val="center"/>
        <w:outlineLvl w:val="0"/>
        <w:rPr>
          <w:rFonts w:hint="eastAsia" w:ascii="宋体" w:hAnsi="宋体" w:eastAsia="宋体" w:cs="宋体"/>
          <w:b/>
          <w:snapToGrid w:val="0"/>
          <w:color w:val="auto"/>
          <w:sz w:val="24"/>
          <w:highlight w:val="none"/>
        </w:rPr>
      </w:pPr>
      <w:bookmarkStart w:id="0" w:name="_Toc14094"/>
      <w:bookmarkStart w:id="1" w:name="_Toc12642"/>
      <w:bookmarkStart w:id="2" w:name="_Toc476739600"/>
      <w:bookmarkStart w:id="3" w:name="_Hlt111690251"/>
      <w:r>
        <w:rPr>
          <w:rFonts w:hint="eastAsia" w:ascii="宋体" w:hAnsi="宋体" w:eastAsia="宋体" w:cs="宋体"/>
          <w:b/>
          <w:snapToGrid w:val="0"/>
          <w:color w:val="auto"/>
          <w:sz w:val="24"/>
          <w:highlight w:val="none"/>
        </w:rPr>
        <w:t>第一章 投标人须知</w:t>
      </w:r>
      <w:bookmarkEnd w:id="0"/>
      <w:bookmarkEnd w:id="1"/>
      <w:bookmarkEnd w:id="2"/>
    </w:p>
    <w:p>
      <w:pPr>
        <w:wordWrap w:val="0"/>
        <w:autoSpaceDE/>
        <w:autoSpaceDN/>
        <w:snapToGrid w:val="0"/>
        <w:spacing w:before="260" w:after="260" w:line="440" w:lineRule="exact"/>
        <w:jc w:val="both"/>
        <w:outlineLvl w:val="1"/>
        <w:rPr>
          <w:rFonts w:hint="eastAsia" w:ascii="宋体" w:hAnsi="宋体" w:eastAsia="宋体" w:cs="宋体"/>
          <w:b/>
          <w:snapToGrid w:val="0"/>
          <w:color w:val="auto"/>
          <w:highlight w:val="none"/>
        </w:rPr>
      </w:pPr>
      <w:bookmarkStart w:id="4" w:name="_Hlt127175444"/>
      <w:bookmarkEnd w:id="4"/>
      <w:bookmarkStart w:id="5" w:name="_Toc27344"/>
      <w:bookmarkStart w:id="6" w:name="_Hlt120077520"/>
      <w:r>
        <w:rPr>
          <w:rFonts w:hint="eastAsia" w:ascii="宋体" w:hAnsi="宋体" w:eastAsia="宋体" w:cs="宋体"/>
          <w:b/>
          <w:snapToGrid w:val="0"/>
          <w:color w:val="auto"/>
          <w:highlight w:val="none"/>
        </w:rPr>
        <w:t>第一节 投标人须知前附表</w:t>
      </w:r>
      <w:bookmarkEnd w:id="5"/>
    </w:p>
    <w:bookmarkEnd w:id="6"/>
    <w:tbl>
      <w:tblPr>
        <w:tblStyle w:val="32"/>
        <w:tblW w:w="98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2"/>
        <w:gridCol w:w="1722"/>
        <w:gridCol w:w="7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内容</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wordWrap w:val="0"/>
              <w:adjustRightInd w:val="0"/>
              <w:snapToGrid w:val="0"/>
              <w:spacing w:line="400" w:lineRule="exact"/>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始兴县墨江流域农村污水综合治理工程一期（太平镇标段）施工监理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项目业主</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始兴县太平镇人民政府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项目批准部门</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始兴县发展和改革局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项目批准文号</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始发改投审〔2021〕4号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项目代码</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2108-440000-04-01-566037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资金来源</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及出资比例</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上级、本级财政资金及其他资金（100%）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始兴县太平镇人民政府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广州穗峰建设工程监理有限公司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施工单位</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建设地点</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始兴县太平镇。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建设内容和规模</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Cs w:val="24"/>
                <w:highlight w:val="none"/>
                <w:lang w:eastAsia="zh-CN"/>
              </w:rPr>
              <w:t>对太平镇纱帽岗村、白石坪村未做污水处理的自然村进行生活污水收集及污水处理设施建设，新建和已建的自然村设施点及配套管网的运行维护</w:t>
            </w:r>
            <w:r>
              <w:rPr>
                <w:rFonts w:hint="eastAsia" w:ascii="宋体" w:hAnsi="宋体" w:eastAsia="宋体" w:cs="宋体"/>
                <w:bCs/>
                <w:snapToGrid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估算</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投资额</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zh-CN"/>
              </w:rPr>
              <w:t>项目估算总投资为8344.12万元，</w:t>
            </w:r>
            <w:r>
              <w:rPr>
                <w:rFonts w:hint="eastAsia" w:hAnsi="宋体" w:cs="宋体"/>
                <w:bCs/>
                <w:snapToGrid w:val="0"/>
                <w:color w:val="auto"/>
                <w:kern w:val="0"/>
                <w:sz w:val="24"/>
                <w:szCs w:val="24"/>
                <w:highlight w:val="none"/>
                <w:lang w:eastAsia="zh-CN"/>
              </w:rPr>
              <w:t>本次太平镇标段建安费约为500.00万元</w:t>
            </w:r>
            <w:r>
              <w:rPr>
                <w:rFonts w:hint="eastAsia" w:ascii="宋体" w:hAnsi="宋体" w:eastAsia="宋体" w:cs="宋体"/>
                <w:bCs/>
                <w:snapToGrid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招标范围</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项目建设施工阶段监理（含施工准备阶段、施工阶段、工程竣工结算阶段和保修阶段监理）。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标段划分</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投标人资格要求</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本次招标</w:t>
            </w:r>
            <w:r>
              <w:rPr>
                <w:rFonts w:hint="eastAsia" w:ascii="宋体" w:hAnsi="宋体" w:eastAsia="宋体" w:cs="宋体"/>
                <w:snapToGrid w:val="0"/>
                <w:color w:val="auto"/>
                <w:kern w:val="0"/>
                <w:sz w:val="24"/>
                <w:szCs w:val="24"/>
                <w:highlight w:val="none"/>
              </w:rPr>
              <w:t>不接受联合体投标。</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2．资质要求</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 投标人须具备独立法人资格，按国家法律经营。</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 投标人须具备以下资质之一：</w:t>
            </w:r>
            <w:r>
              <w:rPr>
                <w:rFonts w:hint="eastAsia" w:ascii="宋体" w:hAnsi="宋体" w:eastAsia="宋体" w:cs="宋体"/>
                <w:snapToGrid w:val="0"/>
                <w:color w:val="auto"/>
                <w:kern w:val="0"/>
                <w:sz w:val="24"/>
                <w:szCs w:val="24"/>
                <w:highlight w:val="none"/>
                <w:u w:val="single"/>
              </w:rPr>
              <w:t>①工程监理综合资质；②</w:t>
            </w:r>
            <w:r>
              <w:rPr>
                <w:rFonts w:hint="eastAsia" w:ascii="宋体" w:hAnsi="宋体" w:eastAsia="宋体" w:cs="宋体"/>
                <w:snapToGrid w:val="0"/>
                <w:color w:val="auto"/>
                <w:kern w:val="0"/>
                <w:sz w:val="24"/>
                <w:szCs w:val="24"/>
                <w:highlight w:val="none"/>
                <w:u w:val="single"/>
                <w:lang w:eastAsia="zh-CN"/>
              </w:rPr>
              <w:t>市政公用工程监理丙级以上（含丙级）</w:t>
            </w:r>
            <w:r>
              <w:rPr>
                <w:rFonts w:hint="eastAsia" w:ascii="宋体" w:hAnsi="宋体" w:eastAsia="宋体" w:cs="宋体"/>
                <w:snapToGrid w:val="0"/>
                <w:color w:val="auto"/>
                <w:kern w:val="0"/>
                <w:sz w:val="24"/>
                <w:szCs w:val="24"/>
                <w:highlight w:val="none"/>
                <w:u w:val="single"/>
              </w:rPr>
              <w:t>资质</w:t>
            </w:r>
            <w:r>
              <w:rPr>
                <w:rFonts w:hint="eastAsia" w:ascii="宋体" w:hAnsi="宋体" w:eastAsia="宋体" w:cs="宋体"/>
                <w:snapToGrid w:val="0"/>
                <w:color w:val="auto"/>
                <w:kern w:val="0"/>
                <w:sz w:val="24"/>
                <w:szCs w:val="24"/>
                <w:highlight w:val="none"/>
              </w:rPr>
              <w:t>。</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2.3根据有关文件精神，在新冠肺炎疫情防控期间，投标人的企业资质证书、安全生产许可证有以下情形的，本次招标予以认可：</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（1）工程勘察、工程设计、建筑业企业、工程监理资质，资质证书有效期于2023年12月30日前届满的，统一延期至2023年12月31日。</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（2）由外省各级住建部门核发资质证书、安全生产许可证，投标人提供所在省、地级市住建部门印发的相关证明材料（如自动顺延或推迟办理延期业务的通知），证明在开标日继续有效的。</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3．相关人员要求</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拟派总监理工程师需具备</w:t>
            </w:r>
            <w:r>
              <w:rPr>
                <w:rFonts w:hint="eastAsia" w:ascii="宋体" w:hAnsi="宋体" w:eastAsia="宋体" w:cs="宋体"/>
                <w:snapToGrid w:val="0"/>
                <w:color w:val="auto"/>
                <w:kern w:val="0"/>
                <w:sz w:val="24"/>
                <w:szCs w:val="24"/>
                <w:highlight w:val="none"/>
                <w:u w:val="single"/>
                <w:lang w:eastAsia="zh-CN"/>
              </w:rPr>
              <w:t>市政公用工程</w:t>
            </w:r>
            <w:r>
              <w:rPr>
                <w:rFonts w:hint="eastAsia" w:ascii="宋体" w:hAnsi="宋体" w:eastAsia="宋体" w:cs="宋体"/>
                <w:snapToGrid w:val="0"/>
                <w:color w:val="auto"/>
                <w:kern w:val="0"/>
                <w:sz w:val="24"/>
                <w:szCs w:val="24"/>
                <w:highlight w:val="none"/>
                <w:u w:val="none"/>
              </w:rPr>
              <w:t>专业</w:t>
            </w:r>
            <w:r>
              <w:rPr>
                <w:rFonts w:hint="eastAsia" w:ascii="宋体" w:hAnsi="宋体" w:eastAsia="宋体" w:cs="宋体"/>
                <w:snapToGrid w:val="0"/>
                <w:color w:val="auto"/>
                <w:kern w:val="0"/>
                <w:sz w:val="24"/>
                <w:szCs w:val="24"/>
                <w:highlight w:val="none"/>
              </w:rPr>
              <w:t>注册监理工程师，应持有国家住建部印发的有效注册证书，其担任总监理工程师职务的其他在施（包括已中标未开工、已开工未竣工）建设工程项目不得超过</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个。</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拟派总监理工程师现阶段有担任其他在施建设工程项目总监理工程师职务的，须得到任职项目建设单位书面同意后方可担任本招标项目总监理工程师。</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投标人与其拟派往本项目监理机构的所有人员之间必须具备合法、唯一的劳动聘用关系。拟派人员中具备注册执业资格的，其注册单位须与投标人保持一致。</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4．禁止投标条款</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 投标人不得存在下列情形之一：</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（1）为招标人不具有独立法人资格的附属机构（单位）；</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（2）与招标人存在利害关系且可能影响招标公正性；</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的其他投标人为同一个单位负责人；</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（4）与</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的其他投标人存在控股、管理关系；</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（5）为</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的代建人；</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（6）为</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的招标代理机构；</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（7）与</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的代建人或招标代理机构同为一个法定代表人；</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（8）与</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的代建人或招标代理机构存在控股或参股关系；</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（9）与</w:t>
            </w:r>
            <w:r>
              <w:rPr>
                <w:rFonts w:hint="eastAsia" w:ascii="宋体" w:hAnsi="宋体" w:eastAsia="宋体" w:cs="宋体"/>
                <w:snapToGrid w:val="0"/>
                <w:color w:val="auto"/>
                <w:kern w:val="0"/>
                <w:sz w:val="24"/>
                <w:szCs w:val="24"/>
                <w:highlight w:val="none"/>
                <w:lang w:eastAsia="zh-CN"/>
              </w:rPr>
              <w:t>本招标项目</w:t>
            </w:r>
            <w:r>
              <w:rPr>
                <w:rFonts w:hint="eastAsia" w:ascii="宋体" w:hAnsi="宋体" w:eastAsia="宋体" w:cs="宋体"/>
                <w:snapToGrid w:val="0"/>
                <w:color w:val="auto"/>
                <w:kern w:val="0"/>
                <w:sz w:val="24"/>
                <w:szCs w:val="24"/>
                <w:highlight w:val="none"/>
              </w:rPr>
              <w:t>的施工承包人以及建筑材料、建筑构配件和设备供应商有隶属关系或者其他利害关系；</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（10）被依法暂停或者取消投标资格；</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（11）被责令停产停业、暂扣或者吊销许可证、暂扣或者吊销执照；</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（12）进入清算程序，或被宣告破产，或其他丧失履约能力的情形；</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（13）在最近三年内发生重大监理</w:t>
            </w:r>
            <w:r>
              <w:rPr>
                <w:rFonts w:hint="eastAsia" w:ascii="宋体" w:hAnsi="宋体" w:eastAsia="宋体" w:cs="宋体"/>
                <w:snapToGrid w:val="0"/>
                <w:color w:val="auto"/>
                <w:kern w:val="0"/>
                <w:sz w:val="24"/>
                <w:szCs w:val="24"/>
                <w:highlight w:val="none"/>
                <w:lang w:eastAsia="zh-CN"/>
              </w:rPr>
              <w:t>质量或安全</w:t>
            </w:r>
            <w:r>
              <w:rPr>
                <w:rFonts w:hint="eastAsia" w:ascii="宋体" w:hAnsi="宋体" w:eastAsia="宋体" w:cs="宋体"/>
                <w:snapToGrid w:val="0"/>
                <w:color w:val="auto"/>
                <w:kern w:val="0"/>
                <w:sz w:val="24"/>
                <w:szCs w:val="24"/>
                <w:highlight w:val="none"/>
              </w:rPr>
              <w:t>问题（以相关行业主管部门的行政处罚决定或司法机关出具的有关法律文书为准）；</w:t>
            </w:r>
          </w:p>
          <w:p>
            <w:pPr>
              <w:wordWrap w:val="0"/>
              <w:adjustRightInd w:val="0"/>
              <w:snapToGrid w:val="0"/>
              <w:spacing w:line="400" w:lineRule="exact"/>
              <w:ind w:firstLine="547" w:firstLineChars="228"/>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（14）</w:t>
            </w:r>
            <w:r>
              <w:rPr>
                <w:rFonts w:hint="eastAsia" w:ascii="宋体" w:hAnsi="宋体" w:eastAsia="宋体" w:cs="宋体"/>
                <w:snapToGrid w:val="0"/>
                <w:color w:val="auto"/>
                <w:kern w:val="0"/>
                <w:sz w:val="24"/>
                <w:szCs w:val="24"/>
                <w:highlight w:val="none"/>
                <w:lang w:eastAsia="zh-CN"/>
              </w:rPr>
              <w:t>被“信用中国”网站（https://www.creditchina.gov.cn）发布的《法人和非法人组织公共信用信息报告》列入严重失信主体名单的。。</w:t>
            </w:r>
          </w:p>
          <w:p>
            <w:pPr>
              <w:wordWrap w:val="0"/>
              <w:adjustRightInd w:val="0"/>
              <w:snapToGrid w:val="0"/>
              <w:spacing w:line="400" w:lineRule="exact"/>
              <w:ind w:firstLine="547" w:firstLineChars="228"/>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4.2招标人拒绝以下名单中的单位参加本次投标：</w:t>
            </w:r>
          </w:p>
          <w:tbl>
            <w:tblPr>
              <w:tblStyle w:val="32"/>
              <w:tblW w:w="709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731"/>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52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731"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839"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273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始兴县太平镇人民政府</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p>
              </w:tc>
              <w:tc>
                <w:tcPr>
                  <w:tcW w:w="273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广东河海工程咨询有限公司</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可研</w:t>
                  </w:r>
                  <w:r>
                    <w:rPr>
                      <w:rFonts w:hint="eastAsia" w:ascii="宋体" w:hAnsi="宋体" w:eastAsia="宋体" w:cs="宋体"/>
                      <w:snapToGrid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3</w:t>
                  </w:r>
                </w:p>
              </w:tc>
              <w:tc>
                <w:tcPr>
                  <w:tcW w:w="273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苏交科集团有限公司</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8"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w:t>
                  </w:r>
                </w:p>
              </w:tc>
              <w:tc>
                <w:tcPr>
                  <w:tcW w:w="273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苏交科集团有限公司</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勘察</w:t>
                  </w:r>
                  <w:r>
                    <w:rPr>
                      <w:rFonts w:hint="eastAsia" w:ascii="宋体" w:hAnsi="宋体" w:eastAsia="宋体" w:cs="宋体"/>
                      <w:snapToGrid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8"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5</w:t>
                  </w:r>
                </w:p>
              </w:tc>
              <w:tc>
                <w:tcPr>
                  <w:tcW w:w="273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首盛国际工程咨询集团有限公司</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为本招标项目的造价单位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528"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w:t>
                  </w:r>
                </w:p>
              </w:tc>
              <w:tc>
                <w:tcPr>
                  <w:tcW w:w="2731"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广州三合工程咨询有限公司</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审图单位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8"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w:t>
                  </w:r>
                </w:p>
              </w:tc>
              <w:tc>
                <w:tcPr>
                  <w:tcW w:w="2731"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广州穗峰建设工程监理有限公司</w:t>
                  </w:r>
                </w:p>
              </w:tc>
              <w:tc>
                <w:tcPr>
                  <w:tcW w:w="3839"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bl>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5．其他要求</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服务期限</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监理服务期从监理合同签订之日起计，至本工程缺陷责任期结束且本工程结算金额经政府主管部门审定且双方的责任义务履行完毕时止。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服务标准</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工程质量达到合格标准。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房屋建筑工程</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绿色建筑标准</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本工程不纳入绿色建设实施范围。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最高投标限价</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bCs/>
                <w:snapToGrid w:val="0"/>
                <w:color w:val="auto"/>
                <w:kern w:val="0"/>
                <w:sz w:val="24"/>
                <w:szCs w:val="24"/>
                <w:highlight w:val="none"/>
                <w:u w:val="single"/>
                <w:lang w:eastAsia="zh-CN"/>
              </w:rPr>
            </w:pPr>
            <w:r>
              <w:rPr>
                <w:rFonts w:hint="eastAsia" w:ascii="宋体" w:hAnsi="宋体" w:eastAsia="宋体" w:cs="宋体"/>
                <w:bCs/>
                <w:snapToGrid w:val="0"/>
                <w:color w:val="auto"/>
                <w:kern w:val="0"/>
                <w:sz w:val="24"/>
                <w:szCs w:val="24"/>
                <w:highlight w:val="none"/>
              </w:rPr>
              <w:t>详见招标文件“8、最高投标限价”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1．投标人须缴纳金额为人民币</w:t>
            </w:r>
            <w:r>
              <w:rPr>
                <w:rFonts w:hint="eastAsia" w:ascii="宋体" w:hAnsi="宋体" w:eastAsia="宋体" w:cs="宋体"/>
                <w:snapToGrid w:val="0"/>
                <w:color w:val="auto"/>
                <w:kern w:val="0"/>
                <w:sz w:val="24"/>
                <w:szCs w:val="24"/>
                <w:highlight w:val="none"/>
                <w:u w:val="single"/>
                <w:lang w:val="en-US" w:eastAsia="zh-CN"/>
              </w:rPr>
              <w:t>20000.00</w:t>
            </w:r>
            <w:r>
              <w:rPr>
                <w:rFonts w:hint="eastAsia" w:ascii="宋体" w:hAnsi="宋体" w:eastAsia="宋体" w:cs="宋体"/>
                <w:snapToGrid w:val="0"/>
                <w:color w:val="auto"/>
                <w:kern w:val="0"/>
                <w:sz w:val="24"/>
                <w:szCs w:val="24"/>
                <w:highlight w:val="none"/>
                <w:u w:val="single"/>
              </w:rPr>
              <w:t>元</w:t>
            </w:r>
            <w:r>
              <w:rPr>
                <w:rFonts w:hint="eastAsia" w:ascii="宋体" w:hAnsi="宋体" w:eastAsia="宋体" w:cs="宋体"/>
                <w:snapToGrid w:val="0"/>
                <w:color w:val="auto"/>
                <w:kern w:val="0"/>
                <w:sz w:val="24"/>
                <w:szCs w:val="24"/>
                <w:highlight w:val="none"/>
              </w:rPr>
              <w:t xml:space="preserve">的投标保证。 </w:t>
            </w:r>
          </w:p>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2．投标保证的形式包括投标保证金、投标保证担保</w:t>
            </w:r>
            <w:r>
              <w:rPr>
                <w:rFonts w:hint="eastAsia" w:ascii="宋体" w:hAnsi="宋体" w:eastAsia="宋体" w:cs="宋体"/>
                <w:snapToGrid w:val="0"/>
                <w:color w:val="auto"/>
                <w:kern w:val="0"/>
                <w:sz w:val="24"/>
                <w:szCs w:val="24"/>
                <w:highlight w:val="none"/>
                <w:lang w:val="en-US" w:eastAsia="zh-CN"/>
              </w:rPr>
              <w:t>、投标保证保险三种</w:t>
            </w:r>
            <w:r>
              <w:rPr>
                <w:rFonts w:hint="eastAsia" w:ascii="宋体" w:hAnsi="宋体" w:eastAsia="宋体" w:cs="宋体"/>
                <w:snapToGrid w:val="0"/>
                <w:color w:val="auto"/>
                <w:kern w:val="0"/>
                <w:sz w:val="24"/>
                <w:szCs w:val="24"/>
                <w:highlight w:val="none"/>
              </w:rPr>
              <w:t>，由投标人自主选择。</w:t>
            </w:r>
          </w:p>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（1）采用投标保证金的，投标人在建设工程交易系统</w:t>
            </w:r>
            <w:r>
              <w:rPr>
                <w:rFonts w:hint="eastAsia" w:ascii="宋体" w:hAnsi="宋体" w:eastAsia="宋体" w:cs="宋体"/>
                <w:snapToGrid w:val="0"/>
                <w:color w:val="auto"/>
                <w:kern w:val="0"/>
                <w:sz w:val="24"/>
                <w:szCs w:val="24"/>
                <w:highlight w:val="none"/>
                <w:lang w:eastAsia="zh-CN"/>
              </w:rPr>
              <w:t>获取招标文件</w:t>
            </w:r>
            <w:r>
              <w:rPr>
                <w:rFonts w:hint="eastAsia" w:ascii="宋体" w:hAnsi="宋体" w:eastAsia="宋体" w:cs="宋体"/>
                <w:snapToGrid w:val="0"/>
                <w:color w:val="auto"/>
                <w:kern w:val="0"/>
                <w:sz w:val="24"/>
                <w:szCs w:val="24"/>
                <w:highlight w:val="none"/>
              </w:rPr>
              <w:t>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采用投标保证担保的，投标人应提交有效的银行保函，银行保函的有效期不得短于投标有效期。投标人必须于投标保证担保上传截止时间（见本章第二节“重要事项时间地点一览表”）前，按照建设工程交易系统的要求制作和上传银行保函电子文件。</w:t>
            </w:r>
          </w:p>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snapToGrid w:val="0"/>
                <w:color w:val="auto"/>
                <w:kern w:val="0"/>
                <w:sz w:val="24"/>
                <w:szCs w:val="24"/>
                <w:highlight w:val="none"/>
                <w:lang w:eastAsia="zh-CN"/>
              </w:rPr>
              <w:t>全国公共资源交易平台 （广东省 · 韶关市）（https://ygp.gdzwfw.gov.cn/ggzy-portal/#/440200/index）</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在【服务指南】栏目中下载《韶关市公共资源交易一体化平台 建设工程交易操作指引缴纳投标保证金》</w:t>
            </w:r>
            <w:r>
              <w:rPr>
                <w:rFonts w:hint="eastAsia" w:ascii="宋体" w:hAnsi="宋体" w:eastAsia="宋体" w:cs="宋体"/>
                <w:snapToGrid w:val="0"/>
                <w:color w:val="auto"/>
                <w:kern w:val="0"/>
                <w:sz w:val="24"/>
                <w:szCs w:val="24"/>
                <w:highlight w:val="none"/>
              </w:rPr>
              <w:t>，了解网上投保具体操作流程。逾期投保的，其投标无效。</w:t>
            </w:r>
          </w:p>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投标有效期</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本次招标的投标有效期为</w:t>
            </w:r>
            <w:r>
              <w:rPr>
                <w:rFonts w:hint="eastAsia" w:ascii="宋体" w:hAnsi="宋体" w:eastAsia="宋体" w:cs="宋体"/>
                <w:snapToGrid w:val="0"/>
                <w:color w:val="auto"/>
                <w:kern w:val="0"/>
                <w:sz w:val="24"/>
                <w:szCs w:val="24"/>
                <w:highlight w:val="none"/>
                <w:u w:val="single"/>
              </w:rPr>
              <w:t xml:space="preserve"> 90 </w:t>
            </w:r>
            <w:r>
              <w:rPr>
                <w:rFonts w:hint="eastAsia" w:ascii="宋体" w:hAnsi="宋体" w:eastAsia="宋体" w:cs="宋体"/>
                <w:snapToGrid w:val="0"/>
                <w:color w:val="auto"/>
                <w:kern w:val="0"/>
                <w:sz w:val="24"/>
                <w:szCs w:val="24"/>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评标方法</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8"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监理大纲</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评审方式</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本次招标监理大纲</w:t>
            </w:r>
            <w:r>
              <w:rPr>
                <w:rFonts w:hint="eastAsia" w:ascii="宋体" w:hAnsi="宋体" w:eastAsia="宋体" w:cs="宋体"/>
                <w:snapToGrid w:val="0"/>
                <w:color w:val="auto"/>
                <w:kern w:val="0"/>
                <w:sz w:val="24"/>
                <w:szCs w:val="24"/>
                <w:highlight w:val="none"/>
                <w:u w:val="single"/>
              </w:rPr>
              <w:t xml:space="preserve"> 不采用 </w:t>
            </w:r>
            <w:r>
              <w:rPr>
                <w:rFonts w:hint="eastAsia" w:ascii="宋体" w:hAnsi="宋体" w:eastAsia="宋体" w:cs="宋体"/>
                <w:snapToGrid w:val="0"/>
                <w:color w:val="auto"/>
                <w:kern w:val="0"/>
                <w:sz w:val="24"/>
                <w:szCs w:val="24"/>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评标委员会由</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 xml:space="preserve"> 0 </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人。专家从广东省综合评标评审专家库中随机抽取，其中技术类专家</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人，经济类专家</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单位名称：</w:t>
            </w:r>
            <w:r>
              <w:rPr>
                <w:rFonts w:hint="eastAsia" w:ascii="宋体" w:hAnsi="宋体" w:eastAsia="宋体" w:cs="宋体"/>
                <w:snapToGrid w:val="0"/>
                <w:color w:val="auto"/>
                <w:kern w:val="0"/>
                <w:sz w:val="24"/>
                <w:szCs w:val="24"/>
                <w:highlight w:val="none"/>
                <w:lang w:eastAsia="zh-CN"/>
              </w:rPr>
              <w:t>始兴县太平镇人民政府</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办公地址：</w:t>
            </w:r>
            <w:r>
              <w:rPr>
                <w:rFonts w:hint="eastAsia" w:ascii="宋体" w:hAnsi="宋体" w:eastAsia="宋体" w:cs="宋体"/>
                <w:snapToGrid w:val="0"/>
                <w:color w:val="auto"/>
                <w:kern w:val="0"/>
                <w:sz w:val="24"/>
                <w:szCs w:val="24"/>
                <w:highlight w:val="none"/>
                <w:lang w:val="en-US" w:eastAsia="zh-CN"/>
              </w:rPr>
              <w:t>始兴县广东省韶关市始兴县太平镇永安大道北侧89号太平镇人民政府</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联系人（部门）：吴</w:t>
            </w:r>
            <w:r>
              <w:rPr>
                <w:rFonts w:hint="eastAsia" w:ascii="宋体" w:hAnsi="宋体" w:eastAsia="宋体" w:cs="宋体"/>
                <w:snapToGrid w:val="0"/>
                <w:color w:val="auto"/>
                <w:kern w:val="0"/>
                <w:sz w:val="24"/>
                <w:szCs w:val="24"/>
                <w:highlight w:val="none"/>
                <w:lang w:val="en-US" w:eastAsia="zh-CN"/>
              </w:rPr>
              <w:t xml:space="preserve">主任 </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lang w:val="en-US" w:eastAsia="zh-CN"/>
              </w:rPr>
              <w:t xml:space="preserve"> 0751-3332334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单位名称：</w:t>
            </w:r>
            <w:r>
              <w:rPr>
                <w:rFonts w:hint="eastAsia" w:ascii="宋体" w:hAnsi="宋体" w:eastAsia="宋体" w:cs="宋体"/>
                <w:snapToGrid w:val="0"/>
                <w:color w:val="auto"/>
                <w:kern w:val="0"/>
                <w:sz w:val="24"/>
                <w:szCs w:val="24"/>
                <w:highlight w:val="none"/>
                <w:lang w:eastAsia="zh-CN"/>
              </w:rPr>
              <w:t>广州穗峰建设工程监理有限公司</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办公地址：</w:t>
            </w:r>
            <w:r>
              <w:rPr>
                <w:rFonts w:hint="eastAsia" w:ascii="宋体" w:hAnsi="宋体" w:eastAsia="宋体" w:cs="宋体"/>
                <w:snapToGrid w:val="0"/>
                <w:color w:val="auto"/>
                <w:kern w:val="0"/>
                <w:sz w:val="24"/>
                <w:szCs w:val="24"/>
                <w:highlight w:val="none"/>
                <w:lang w:val="en-US" w:eastAsia="zh-CN"/>
              </w:rPr>
              <w:t>韶关市武江区芙蓉北路29号4楼</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联系人（部门）：</w:t>
            </w:r>
            <w:r>
              <w:rPr>
                <w:rFonts w:hint="eastAsia" w:ascii="宋体" w:hAnsi="宋体" w:eastAsia="宋体" w:cs="宋体"/>
                <w:snapToGrid w:val="0"/>
                <w:color w:val="auto"/>
                <w:kern w:val="0"/>
                <w:sz w:val="24"/>
                <w:szCs w:val="24"/>
                <w:highlight w:val="none"/>
                <w:lang w:val="en-US" w:eastAsia="zh-CN"/>
              </w:rPr>
              <w:t>蒋工、王工</w:t>
            </w:r>
          </w:p>
          <w:p>
            <w:pPr>
              <w:wordWrap w:val="0"/>
              <w:adjustRightInd w:val="0"/>
              <w:snapToGrid w:val="0"/>
              <w:spacing w:line="400" w:lineRule="exact"/>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 xml:space="preserve">    联系电话：</w:t>
            </w:r>
            <w:r>
              <w:rPr>
                <w:rFonts w:hint="eastAsia" w:ascii="宋体" w:hAnsi="宋体" w:eastAsia="宋体" w:cs="宋体"/>
                <w:snapToGrid w:val="0"/>
                <w:color w:val="auto"/>
                <w:kern w:val="0"/>
                <w:sz w:val="24"/>
                <w:szCs w:val="24"/>
                <w:highlight w:val="none"/>
                <w:lang w:val="en-US" w:eastAsia="zh-CN"/>
              </w:rPr>
              <w:t>0751-8846118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交易场所</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547" w:firstLineChars="228"/>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 韶关市公共资源交易中心</w:t>
            </w:r>
          </w:p>
          <w:p>
            <w:pPr>
              <w:wordWrap w:val="0"/>
              <w:adjustRightInd w:val="0"/>
              <w:snapToGrid w:val="0"/>
              <w:spacing w:line="400" w:lineRule="exact"/>
              <w:ind w:firstLine="547" w:firstLineChars="228"/>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办公地址：始兴县永安大道中79号行政服务大楼四楼</w:t>
            </w:r>
          </w:p>
          <w:p>
            <w:pPr>
              <w:wordWrap w:val="0"/>
              <w:adjustRightInd w:val="0"/>
              <w:snapToGrid w:val="0"/>
              <w:spacing w:line="400" w:lineRule="exact"/>
              <w:ind w:firstLine="547" w:firstLineChars="228"/>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联系人（部门）：邓工</w:t>
            </w:r>
          </w:p>
          <w:p>
            <w:pPr>
              <w:wordWrap w:val="0"/>
              <w:adjustRightInd w:val="0"/>
              <w:snapToGrid w:val="0"/>
              <w:spacing w:line="400" w:lineRule="exact"/>
              <w:ind w:firstLine="547" w:firstLineChars="228"/>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 xml:space="preserve">联系电话：0751-3315236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行政监督部门</w:t>
            </w:r>
          </w:p>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单位名称：始兴县住房和城乡建设管理局</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 xml:space="preserve">办公地址：韶关市始兴县沿江北路1号  </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联系人（部门）：建管股</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 xml:space="preserve">联系电话：0751-3315107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bookmarkStart w:id="7" w:name="_Toc5853"/>
            <w:bookmarkStart w:id="8" w:name="_Toc122859103"/>
            <w:bookmarkStart w:id="9" w:name="_Toc122671103"/>
            <w:bookmarkStart w:id="10" w:name="_Toc122769943"/>
            <w:r>
              <w:rPr>
                <w:rFonts w:hint="eastAsia" w:ascii="宋体" w:hAnsi="宋体" w:eastAsia="宋体" w:cs="宋体"/>
                <w:snapToGrid w:val="0"/>
                <w:color w:val="auto"/>
                <w:kern w:val="0"/>
                <w:sz w:val="24"/>
                <w:szCs w:val="24"/>
                <w:highlight w:val="none"/>
              </w:rPr>
              <w:t>29</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术语</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2．“相关服务”是指监理人受委托人的委托，按照合同约定，在勘察、设计、保修等阶段提供的服务活动。</w:t>
            </w:r>
          </w:p>
        </w:tc>
      </w:tr>
      <w:bookmarkEnd w:id="7"/>
      <w:bookmarkEnd w:id="8"/>
      <w:bookmarkEnd w:id="9"/>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pStyle w:val="53"/>
              <w:spacing w:line="4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en-US" w:eastAsia="zh-CN"/>
              </w:rPr>
              <w:t>招标代理服务</w:t>
            </w:r>
            <w:r>
              <w:rPr>
                <w:rFonts w:hint="eastAsia" w:ascii="宋体" w:hAnsi="宋体" w:eastAsia="宋体" w:cs="宋体"/>
                <w:color w:val="auto"/>
                <w:kern w:val="0"/>
                <w:sz w:val="24"/>
                <w:szCs w:val="24"/>
                <w:highlight w:val="none"/>
              </w:rPr>
              <w:t>的相关费用支付</w:t>
            </w:r>
          </w:p>
        </w:tc>
        <w:tc>
          <w:tcPr>
            <w:tcW w:w="7457" w:type="dxa"/>
            <w:tcBorders>
              <w:top w:val="single" w:color="auto" w:sz="4" w:space="0"/>
              <w:left w:val="single" w:color="auto" w:sz="4" w:space="0"/>
              <w:bottom w:val="single" w:color="auto" w:sz="4" w:space="0"/>
              <w:right w:val="single" w:color="auto" w:sz="4" w:space="0"/>
            </w:tcBorders>
            <w:noWrap w:val="0"/>
            <w:vAlign w:val="center"/>
          </w:tcPr>
          <w:p>
            <w:pPr>
              <w:pStyle w:val="53"/>
              <w:spacing w:line="400" w:lineRule="exac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val="en-US" w:eastAsia="zh-CN"/>
              </w:rPr>
              <w:t>招标代理服务费与</w:t>
            </w:r>
            <w:r>
              <w:rPr>
                <w:rFonts w:hint="eastAsia" w:ascii="宋体" w:hAnsi="宋体" w:eastAsia="宋体" w:cs="宋体"/>
                <w:color w:val="auto"/>
                <w:kern w:val="0"/>
                <w:sz w:val="24"/>
                <w:szCs w:val="24"/>
                <w:highlight w:val="none"/>
              </w:rPr>
              <w:t>评标专家参加评标的相关费用（包括食宿费用、交通费、专家评审劳务费等）由中标人支付。中标人须在中标公告公示期结束后，领取《中标通知书》前，向招标代理机构缴纳</w:t>
            </w:r>
            <w:r>
              <w:rPr>
                <w:rFonts w:hint="eastAsia" w:ascii="宋体" w:hAnsi="宋体" w:eastAsia="宋体" w:cs="宋体"/>
                <w:color w:val="auto"/>
                <w:kern w:val="0"/>
                <w:sz w:val="24"/>
                <w:szCs w:val="24"/>
                <w:highlight w:val="none"/>
                <w:lang w:val="en-US" w:eastAsia="zh-CN"/>
              </w:rPr>
              <w:t>招标代理服务费与</w:t>
            </w:r>
            <w:r>
              <w:rPr>
                <w:rFonts w:hint="eastAsia" w:ascii="宋体" w:hAnsi="宋体" w:eastAsia="宋体" w:cs="宋体"/>
                <w:color w:val="auto"/>
                <w:kern w:val="0"/>
                <w:sz w:val="24"/>
                <w:szCs w:val="24"/>
                <w:highlight w:val="none"/>
              </w:rPr>
              <w:t>评标专家参加评标的相关费用。</w:t>
            </w:r>
          </w:p>
        </w:tc>
      </w:tr>
    </w:tbl>
    <w:p>
      <w:pPr>
        <w:wordWrap w:val="0"/>
        <w:autoSpaceDE/>
        <w:autoSpaceDN/>
        <w:snapToGrid w:val="0"/>
        <w:spacing w:before="260" w:after="260" w:line="360" w:lineRule="exact"/>
        <w:jc w:val="both"/>
        <w:outlineLvl w:val="9"/>
        <w:rPr>
          <w:rFonts w:hint="eastAsia" w:ascii="宋体" w:hAnsi="宋体" w:eastAsia="宋体" w:cs="宋体"/>
          <w:b/>
          <w:snapToGrid w:val="0"/>
          <w:color w:val="auto"/>
          <w:highlight w:val="none"/>
        </w:rPr>
        <w:sectPr>
          <w:footerReference r:id="rId5" w:type="default"/>
          <w:endnotePr>
            <w:numFmt w:val="decimal"/>
          </w:endnotePr>
          <w:pgSz w:w="11906" w:h="16838"/>
          <w:pgMar w:top="1440" w:right="1080" w:bottom="1440" w:left="1080" w:header="850" w:footer="992" w:gutter="0"/>
          <w:pgNumType w:fmt="decimal" w:start="1"/>
          <w:cols w:space="720" w:num="1"/>
          <w:docGrid w:linePitch="327" w:charSpace="0"/>
        </w:sectPr>
      </w:pPr>
    </w:p>
    <w:p>
      <w:pPr>
        <w:wordWrap w:val="0"/>
        <w:autoSpaceDE/>
        <w:autoSpaceDN/>
        <w:snapToGrid w:val="0"/>
        <w:spacing w:after="260" w:line="440" w:lineRule="exact"/>
        <w:jc w:val="both"/>
        <w:outlineLvl w:val="9"/>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第二节 重要事项时间地点一览表</w:t>
      </w:r>
    </w:p>
    <w:tbl>
      <w:tblPr>
        <w:tblStyle w:val="32"/>
        <w:tblW w:w="98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5"/>
        <w:gridCol w:w="1403"/>
        <w:gridCol w:w="80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招标公告</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rPr>
              <w:t>发布时间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rPr>
              <w:t>日</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lang w:val="en-US" w:eastAsia="zh-CN"/>
              </w:rPr>
              <w:t>获取招标文件截止时间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26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 xml:space="preserve"> 9 </w:t>
            </w:r>
            <w:r>
              <w:rPr>
                <w:rFonts w:hint="eastAsia" w:ascii="宋体" w:hAnsi="宋体" w:eastAsia="宋体" w:cs="宋体"/>
                <w:snapToGrid w:val="0"/>
                <w:color w:val="auto"/>
                <w:kern w:val="0"/>
                <w:sz w:val="24"/>
                <w:highlight w:val="none"/>
              </w:rPr>
              <w:t>时</w:t>
            </w:r>
            <w:r>
              <w:rPr>
                <w:rFonts w:hint="eastAsia" w:ascii="宋体" w:hAnsi="宋体" w:eastAsia="宋体" w:cs="宋体"/>
                <w:snapToGrid w:val="0"/>
                <w:color w:val="auto"/>
                <w:kern w:val="0"/>
                <w:sz w:val="24"/>
                <w:highlight w:val="none"/>
                <w:u w:val="single"/>
                <w:lang w:val="en-US" w:eastAsia="zh-CN"/>
              </w:rPr>
              <w:t xml:space="preserve"> 30 </w:t>
            </w:r>
            <w:r>
              <w:rPr>
                <w:rFonts w:hint="eastAsia" w:ascii="宋体" w:hAnsi="宋体" w:eastAsia="宋体" w:cs="宋体"/>
                <w:snapToGrid w:val="0"/>
                <w:color w:val="auto"/>
                <w:kern w:val="0"/>
                <w:sz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400" w:lineRule="exact"/>
              <w:ind w:firstLine="120" w:firstLineChars="5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lang w:val="en-US" w:eastAsia="zh-CN"/>
              </w:rPr>
              <w:t>16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 xml:space="preserve"> 16 </w:t>
            </w:r>
            <w:r>
              <w:rPr>
                <w:rFonts w:hint="eastAsia" w:ascii="宋体" w:hAnsi="宋体" w:eastAsia="宋体" w:cs="宋体"/>
                <w:snapToGrid w:val="0"/>
                <w:color w:val="auto"/>
                <w:kern w:val="0"/>
                <w:sz w:val="24"/>
                <w:highlight w:val="none"/>
              </w:rPr>
              <w:t>时</w:t>
            </w:r>
            <w:r>
              <w:rPr>
                <w:rFonts w:hint="eastAsia" w:ascii="宋体" w:hAnsi="宋体" w:eastAsia="宋体" w:cs="宋体"/>
                <w:snapToGrid w:val="0"/>
                <w:color w:val="auto"/>
                <w:kern w:val="0"/>
                <w:sz w:val="24"/>
                <w:highlight w:val="none"/>
                <w:u w:val="single"/>
                <w:lang w:val="en-US" w:eastAsia="zh-CN"/>
              </w:rPr>
              <w:t xml:space="preserve"> 00 </w:t>
            </w:r>
            <w:r>
              <w:rPr>
                <w:rFonts w:hint="eastAsia" w:ascii="宋体" w:hAnsi="宋体" w:eastAsia="宋体" w:cs="宋体"/>
                <w:snapToGrid w:val="0"/>
                <w:color w:val="auto"/>
                <w:kern w:val="0"/>
                <w:sz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400" w:lineRule="exact"/>
              <w:ind w:firstLine="120" w:firstLineChars="5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16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16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19</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16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400" w:lineRule="exact"/>
              <w:ind w:firstLine="240" w:firstLineChars="1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25</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09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p>
            <w:pPr>
              <w:pStyle w:val="58"/>
              <w:wordWrap w:val="0"/>
              <w:adjustRightInd w:val="0"/>
              <w:snapToGrid w:val="0"/>
              <w:spacing w:line="400" w:lineRule="exact"/>
              <w:ind w:firstLine="240" w:firstLineChars="1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25</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09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p>
            <w:pPr>
              <w:pStyle w:val="12"/>
              <w:wordWrap w:val="0"/>
              <w:adjustRightInd w:val="0"/>
              <w:snapToGrid w:val="0"/>
              <w:spacing w:line="400" w:lineRule="exact"/>
              <w:ind w:firstLine="240" w:firstLineChars="1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25</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09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12"/>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hAnsi="宋体" w:cs="宋体"/>
                <w:snapToGrid w:val="0"/>
                <w:color w:val="auto"/>
                <w:kern w:val="0"/>
                <w:sz w:val="24"/>
                <w:highlight w:val="none"/>
                <w:lang w:val="en-US" w:eastAsia="zh-CN"/>
              </w:rPr>
              <w:t>26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09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caps w:val="0"/>
                <w:smallCaps w:val="0"/>
                <w:snapToGrid w:val="0"/>
                <w:color w:val="auto"/>
                <w:spacing w:val="0"/>
                <w:kern w:val="0"/>
                <w:sz w:val="24"/>
                <w:szCs w:val="24"/>
                <w:highlight w:val="none"/>
                <w:u w:val="none" w:color="auto"/>
                <w:lang w:val="en-US" w:eastAsia="zh-CN"/>
              </w:rPr>
              <w:t>7</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lang w:val="en-US" w:eastAsia="zh-CN"/>
              </w:rPr>
              <w:t>投标评审原件（如有）递交时间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12"/>
              <w:wordWrap w:val="0"/>
              <w:adjustRightInd w:val="0"/>
              <w:snapToGrid w:val="0"/>
              <w:spacing w:line="400" w:lineRule="exact"/>
              <w:ind w:firstLine="240" w:firstLineChars="100"/>
              <w:jc w:val="left"/>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hAnsi="宋体" w:cs="宋体"/>
                <w:snapToGrid w:val="0"/>
                <w:color w:val="auto"/>
                <w:kern w:val="0"/>
                <w:sz w:val="24"/>
                <w:highlight w:val="none"/>
                <w:lang w:val="en-US" w:eastAsia="zh-CN"/>
              </w:rPr>
              <w:t>26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hAnsi="宋体" w:cs="宋体"/>
                <w:snapToGrid w:val="0"/>
                <w:color w:val="auto"/>
                <w:kern w:val="0"/>
                <w:sz w:val="24"/>
                <w:highlight w:val="none"/>
                <w:lang w:val="en-US" w:eastAsia="zh-CN"/>
              </w:rPr>
              <w:t>26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caps w:val="0"/>
                <w:smallCaps w:val="0"/>
                <w:snapToGrid w:val="0"/>
                <w:color w:val="auto"/>
                <w:spacing w:val="0"/>
                <w:kern w:val="0"/>
                <w:sz w:val="24"/>
                <w:szCs w:val="24"/>
                <w:highlight w:val="none"/>
                <w:u w:val="none" w:color="auto"/>
                <w:lang w:val="en-US" w:eastAsia="zh-CN"/>
              </w:rPr>
              <w:t>8</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lang w:val="en-US" w:eastAsia="zh-CN"/>
              </w:rPr>
              <w:t>投标评审原件（如有）递交地点</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400" w:lineRule="exact"/>
              <w:ind w:firstLine="240" w:firstLineChars="100"/>
              <w:jc w:val="left"/>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lang w:val="en-US" w:eastAsia="zh-CN" w:bidi="ar-SA"/>
              </w:rPr>
              <w:t>递交场所：</w:t>
            </w:r>
            <w:r>
              <w:rPr>
                <w:rFonts w:hint="eastAsia" w:ascii="宋体" w:hAnsi="宋体" w:eastAsia="宋体" w:cs="宋体"/>
                <w:caps w:val="0"/>
                <w:smallCaps w:val="0"/>
                <w:snapToGrid w:val="0"/>
                <w:color w:val="auto"/>
                <w:spacing w:val="0"/>
                <w:kern w:val="0"/>
                <w:sz w:val="24"/>
                <w:szCs w:val="24"/>
                <w:highlight w:val="none"/>
                <w:u w:val="single"/>
                <w:lang w:val="en-US" w:eastAsia="zh-CN" w:bidi="ar-SA"/>
              </w:rPr>
              <w:t>韶关市公共资源交易中心，地址：始兴县永安大道中79号行政服务大楼四楼</w:t>
            </w:r>
            <w:r>
              <w:rPr>
                <w:rFonts w:hint="eastAsia" w:ascii="宋体" w:hAnsi="宋体" w:eastAsia="宋体" w:cs="宋体"/>
                <w:caps w:val="0"/>
                <w:smallCaps w:val="0"/>
                <w:snapToGrid w:val="0"/>
                <w:color w:val="auto"/>
                <w:spacing w:val="0"/>
                <w:kern w:val="0"/>
                <w:sz w:val="24"/>
                <w:szCs w:val="24"/>
                <w:highlight w:val="none"/>
                <w:u w:val="none"/>
                <w:lang w:val="en-US" w:eastAsia="zh-CN" w:bidi="ar-SA"/>
              </w:rPr>
              <w:t>，</w:t>
            </w:r>
            <w:r>
              <w:rPr>
                <w:rFonts w:hint="eastAsia" w:ascii="宋体" w:hAnsi="宋体" w:eastAsia="宋体" w:cs="宋体"/>
                <w:caps w:val="0"/>
                <w:smallCaps w:val="0"/>
                <w:snapToGrid w:val="0"/>
                <w:color w:val="auto"/>
                <w:spacing w:val="0"/>
                <w:kern w:val="0"/>
                <w:sz w:val="24"/>
                <w:szCs w:val="24"/>
                <w:highlight w:val="none"/>
                <w:lang w:val="en-US" w:eastAsia="zh-CN" w:bidi="ar-SA"/>
              </w:rPr>
              <w:t>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9</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12"/>
              <w:wordWrap w:val="0"/>
              <w:adjustRightInd w:val="0"/>
              <w:snapToGrid w:val="0"/>
              <w:spacing w:line="400" w:lineRule="exact"/>
              <w:ind w:firstLine="120" w:firstLineChars="5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2023</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月</w:t>
            </w:r>
            <w:r>
              <w:rPr>
                <w:rFonts w:hint="eastAsia" w:hAnsi="宋体" w:cs="宋体"/>
                <w:snapToGrid w:val="0"/>
                <w:color w:val="auto"/>
                <w:kern w:val="0"/>
                <w:sz w:val="24"/>
                <w:highlight w:val="none"/>
                <w:lang w:val="en-US" w:eastAsia="zh-CN"/>
              </w:rPr>
              <w:t>26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455"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w:t>
            </w:r>
          </w:p>
        </w:tc>
        <w:tc>
          <w:tcPr>
            <w:tcW w:w="1403" w:type="dxa"/>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12"/>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val="en-US" w:eastAsia="zh-CN" w:bidi="ar-SA"/>
              </w:rPr>
              <w:t>开标场所：</w:t>
            </w:r>
            <w:r>
              <w:rPr>
                <w:rFonts w:hint="eastAsia" w:ascii="宋体" w:hAnsi="宋体" w:eastAsia="宋体" w:cs="宋体"/>
                <w:caps w:val="0"/>
                <w:smallCaps w:val="0"/>
                <w:snapToGrid w:val="0"/>
                <w:color w:val="auto"/>
                <w:spacing w:val="0"/>
                <w:kern w:val="0"/>
                <w:sz w:val="24"/>
                <w:szCs w:val="24"/>
                <w:highlight w:val="none"/>
                <w:u w:val="single"/>
                <w:lang w:val="en-US" w:eastAsia="zh-CN" w:bidi="ar-SA"/>
              </w:rPr>
              <w:t>韶关市公共资源交易中心，地址：始兴县永安大道中79号行政服务大楼四楼</w:t>
            </w:r>
            <w:r>
              <w:rPr>
                <w:rFonts w:hint="eastAsia" w:ascii="宋体" w:hAnsi="宋体" w:eastAsia="宋体" w:cs="宋体"/>
                <w:caps w:val="0"/>
                <w:smallCaps w:val="0"/>
                <w:snapToGrid w:val="0"/>
                <w:color w:val="auto"/>
                <w:spacing w:val="0"/>
                <w:kern w:val="0"/>
                <w:sz w:val="24"/>
                <w:szCs w:val="24"/>
                <w:highlight w:val="none"/>
                <w:u w:val="none"/>
                <w:lang w:val="en-US" w:eastAsia="zh-CN" w:bidi="ar-SA"/>
              </w:rPr>
              <w:t>，</w:t>
            </w:r>
            <w:r>
              <w:rPr>
                <w:rFonts w:hint="eastAsia" w:ascii="宋体" w:hAnsi="宋体" w:eastAsia="宋体" w:cs="宋体"/>
                <w:caps w:val="0"/>
                <w:smallCaps w:val="0"/>
                <w:snapToGrid w:val="0"/>
                <w:color w:val="auto"/>
                <w:spacing w:val="0"/>
                <w:kern w:val="0"/>
                <w:sz w:val="24"/>
                <w:szCs w:val="24"/>
                <w:highlight w:val="none"/>
                <w:lang w:val="en-US" w:eastAsia="zh-CN" w:bidi="ar-SA"/>
              </w:rPr>
              <w:t>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1858" w:type="dxa"/>
            <w:gridSpan w:val="2"/>
            <w:tcBorders>
              <w:top w:val="single" w:color="080000" w:sz="4" w:space="0"/>
              <w:left w:val="single" w:color="080000" w:sz="4" w:space="0"/>
              <w:bottom w:val="single" w:color="080000" w:sz="4" w:space="0"/>
              <w:right w:val="single" w:color="080000" w:sz="4" w:space="0"/>
            </w:tcBorders>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val="en-US" w:eastAsia="zh-CN" w:bidi="ar-SA"/>
              </w:rPr>
              <w:t>备注</w:t>
            </w:r>
          </w:p>
        </w:tc>
        <w:tc>
          <w:tcPr>
            <w:tcW w:w="8041" w:type="dxa"/>
            <w:tcBorders>
              <w:top w:val="single" w:color="080000" w:sz="4" w:space="0"/>
              <w:left w:val="single" w:color="080000" w:sz="4" w:space="0"/>
              <w:bottom w:val="single" w:color="080000" w:sz="4" w:space="0"/>
              <w:right w:val="single" w:color="080000" w:sz="4" w:space="0"/>
            </w:tcBorders>
            <w:noWrap w:val="0"/>
            <w:vAlign w:val="center"/>
          </w:tcPr>
          <w:p>
            <w:pPr>
              <w:pStyle w:val="12"/>
              <w:wordWrap w:val="0"/>
              <w:adjustRightInd w:val="0"/>
              <w:snapToGrid w:val="0"/>
              <w:spacing w:line="400" w:lineRule="exact"/>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pPr>
        <w:tabs>
          <w:tab w:val="left" w:pos="885"/>
        </w:tabs>
        <w:wordWrap w:val="0"/>
        <w:autoSpaceDE/>
        <w:autoSpaceDN/>
        <w:snapToGrid w:val="0"/>
        <w:spacing w:line="440" w:lineRule="exact"/>
        <w:ind w:left="885" w:hanging="885"/>
        <w:jc w:val="center"/>
        <w:outlineLvl w:val="9"/>
        <w:rPr>
          <w:rFonts w:hint="eastAsia" w:ascii="宋体" w:hAnsi="宋体" w:eastAsia="宋体" w:cs="宋体"/>
          <w:snapToGrid w:val="0"/>
          <w:color w:val="auto"/>
          <w:sz w:val="24"/>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tabs>
          <w:tab w:val="left" w:pos="885"/>
        </w:tabs>
        <w:wordWrap w:val="0"/>
        <w:autoSpaceDE/>
        <w:autoSpaceDN/>
        <w:snapToGrid w:val="0"/>
        <w:spacing w:line="440" w:lineRule="exact"/>
        <w:ind w:left="885" w:hanging="885"/>
        <w:jc w:val="both"/>
        <w:outlineLvl w:val="9"/>
        <w:rPr>
          <w:rFonts w:hint="eastAsia" w:ascii="宋体" w:hAnsi="宋体" w:eastAsia="宋体" w:cs="宋体"/>
          <w:b/>
          <w:snapToGrid w:val="0"/>
          <w:color w:val="auto"/>
          <w:sz w:val="24"/>
          <w:highlight w:val="none"/>
        </w:rPr>
      </w:pPr>
      <w:bookmarkStart w:id="11" w:name="_Hlt87793819"/>
      <w:bookmarkEnd w:id="11"/>
      <w:bookmarkStart w:id="12" w:name="_Toc16803"/>
      <w:bookmarkStart w:id="13" w:name="_Hlt69698754"/>
      <w:bookmarkStart w:id="14" w:name="_Hlt69698705"/>
      <w:r>
        <w:rPr>
          <w:rFonts w:hint="eastAsia" w:ascii="宋体" w:hAnsi="宋体" w:eastAsia="宋体" w:cs="宋体"/>
          <w:b/>
          <w:snapToGrid w:val="0"/>
          <w:color w:val="auto"/>
          <w:sz w:val="24"/>
          <w:highlight w:val="none"/>
        </w:rPr>
        <w:t>第三节 投标人须知</w:t>
      </w:r>
      <w:bookmarkEnd w:id="12"/>
      <w:bookmarkStart w:id="15" w:name="_Hlt69669159"/>
      <w:bookmarkEnd w:id="15"/>
      <w:r>
        <w:rPr>
          <w:rFonts w:hint="eastAsia" w:ascii="宋体" w:hAnsi="宋体" w:eastAsia="宋体" w:cs="宋体"/>
          <w:b/>
          <w:snapToGrid w:val="0"/>
          <w:color w:val="auto"/>
          <w:sz w:val="24"/>
          <w:highlight w:val="none"/>
        </w:rPr>
        <w:t>正文</w:t>
      </w:r>
    </w:p>
    <w:bookmarkEnd w:id="13"/>
    <w:bookmarkEnd w:id="14"/>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8"/>
          <w:highlight w:val="none"/>
          <w:u w:val="single"/>
        </w:rPr>
      </w:pP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lang w:eastAsia="zh-CN"/>
        </w:rPr>
        <w:t>始兴县墨江流域农村污水综合治理工程一期（太平镇标段）施工监理</w:t>
      </w:r>
      <w:r>
        <w:rPr>
          <w:rFonts w:hint="eastAsia" w:ascii="宋体" w:hAnsi="宋体" w:eastAsia="宋体" w:cs="宋体"/>
          <w:snapToGrid w:val="0"/>
          <w:color w:val="auto"/>
          <w:kern w:val="0"/>
          <w:highlight w:val="none"/>
        </w:rPr>
        <w:t>以</w:t>
      </w:r>
      <w:r>
        <w:rPr>
          <w:rFonts w:hint="eastAsia" w:ascii="宋体" w:hAnsi="宋体" w:eastAsia="宋体" w:cs="宋体"/>
          <w:snapToGrid w:val="0"/>
          <w:color w:val="auto"/>
          <w:kern w:val="0"/>
          <w:highlight w:val="none"/>
          <w:u w:val="single"/>
          <w:lang w:eastAsia="zh-CN"/>
        </w:rPr>
        <w:t>始发改投审〔2021〕4号</w:t>
      </w:r>
      <w:r>
        <w:rPr>
          <w:rFonts w:hint="eastAsia" w:ascii="宋体" w:hAnsi="宋体" w:eastAsia="宋体" w:cs="宋体"/>
          <w:snapToGrid w:val="0"/>
          <w:color w:val="auto"/>
          <w:kern w:val="0"/>
          <w:highlight w:val="none"/>
        </w:rPr>
        <w:t>批准建设，项目代码为</w:t>
      </w:r>
      <w:r>
        <w:rPr>
          <w:rFonts w:hint="eastAsia" w:ascii="宋体" w:hAnsi="宋体" w:eastAsia="宋体" w:cs="宋体"/>
          <w:snapToGrid w:val="0"/>
          <w:color w:val="auto"/>
          <w:kern w:val="0"/>
          <w:highlight w:val="none"/>
          <w:u w:val="single"/>
          <w:lang w:val="en-US" w:eastAsia="zh-CN"/>
        </w:rPr>
        <w:t>2108-440000-04-01-566037</w:t>
      </w:r>
      <w:r>
        <w:rPr>
          <w:rFonts w:hint="eastAsia" w:ascii="宋体" w:hAnsi="宋体" w:eastAsia="宋体" w:cs="宋体"/>
          <w:snapToGrid w:val="0"/>
          <w:color w:val="auto"/>
          <w:kern w:val="0"/>
          <w:highlight w:val="none"/>
        </w:rPr>
        <w:t>。项目业主为</w:t>
      </w:r>
      <w:r>
        <w:rPr>
          <w:rFonts w:hint="eastAsia" w:ascii="宋体" w:hAnsi="宋体" w:eastAsia="宋体" w:cs="宋体"/>
          <w:snapToGrid w:val="0"/>
          <w:color w:val="auto"/>
          <w:kern w:val="0"/>
          <w:highlight w:val="none"/>
          <w:u w:val="single"/>
          <w:lang w:val="en-US" w:eastAsia="zh-CN"/>
        </w:rPr>
        <w:t>始兴县太平镇人民政府</w:t>
      </w:r>
      <w:r>
        <w:rPr>
          <w:rFonts w:hint="eastAsia" w:ascii="宋体" w:hAnsi="宋体" w:eastAsia="宋体" w:cs="宋体"/>
          <w:snapToGrid w:val="0"/>
          <w:color w:val="auto"/>
          <w:kern w:val="0"/>
          <w:highlight w:val="none"/>
        </w:rPr>
        <w:t>，建设资金来自</w:t>
      </w:r>
      <w:r>
        <w:rPr>
          <w:rFonts w:hint="eastAsia" w:ascii="宋体" w:hAnsi="宋体" w:eastAsia="宋体" w:cs="宋体"/>
          <w:snapToGrid w:val="0"/>
          <w:color w:val="auto"/>
          <w:kern w:val="0"/>
          <w:highlight w:val="none"/>
          <w:u w:val="single"/>
          <w:lang w:eastAsia="zh-CN"/>
        </w:rPr>
        <w:t>上级资金和财政资金</w:t>
      </w:r>
      <w:r>
        <w:rPr>
          <w:rFonts w:hint="eastAsia" w:ascii="宋体" w:hAnsi="宋体" w:eastAsia="宋体" w:cs="宋体"/>
          <w:snapToGrid w:val="0"/>
          <w:color w:val="auto"/>
          <w:kern w:val="0"/>
          <w:highlight w:val="none"/>
        </w:rPr>
        <w:t>，出资比例为</w:t>
      </w:r>
      <w:r>
        <w:rPr>
          <w:rFonts w:hint="eastAsia" w:ascii="宋体" w:hAnsi="宋体" w:eastAsia="宋体" w:cs="宋体"/>
          <w:snapToGrid w:val="0"/>
          <w:color w:val="auto"/>
          <w:kern w:val="0"/>
          <w:highlight w:val="none"/>
          <w:u w:val="single"/>
        </w:rPr>
        <w:t>100%</w:t>
      </w:r>
      <w:r>
        <w:rPr>
          <w:rFonts w:hint="eastAsia" w:ascii="宋体" w:hAnsi="宋体" w:eastAsia="宋体" w:cs="宋体"/>
          <w:snapToGrid w:val="0"/>
          <w:color w:val="auto"/>
          <w:kern w:val="0"/>
          <w:highlight w:val="none"/>
        </w:rPr>
        <w:t>，招标人为</w:t>
      </w:r>
      <w:r>
        <w:rPr>
          <w:rFonts w:hint="eastAsia" w:ascii="宋体" w:hAnsi="宋体" w:eastAsia="宋体" w:cs="宋体"/>
          <w:snapToGrid w:val="0"/>
          <w:color w:val="auto"/>
          <w:kern w:val="0"/>
          <w:highlight w:val="none"/>
          <w:u w:val="single"/>
          <w:lang w:eastAsia="zh-CN"/>
        </w:rPr>
        <w:t>始兴县太平镇人民政府</w:t>
      </w:r>
      <w:r>
        <w:rPr>
          <w:rFonts w:hint="eastAsia" w:ascii="宋体" w:hAnsi="宋体" w:eastAsia="宋体" w:cs="宋体"/>
          <w:snapToGrid w:val="0"/>
          <w:color w:val="auto"/>
          <w:kern w:val="0"/>
          <w:highlight w:val="none"/>
        </w:rPr>
        <w:t>，招标代理机构为</w:t>
      </w:r>
      <w:r>
        <w:rPr>
          <w:rFonts w:hint="eastAsia" w:ascii="宋体" w:hAnsi="宋体" w:eastAsia="宋体" w:cs="宋体"/>
          <w:snapToGrid w:val="0"/>
          <w:color w:val="auto"/>
          <w:kern w:val="0"/>
          <w:highlight w:val="none"/>
          <w:u w:val="single"/>
          <w:lang w:eastAsia="zh-CN"/>
        </w:rPr>
        <w:t>广州穗峰建设工程监理有限公司</w:t>
      </w:r>
      <w:r>
        <w:rPr>
          <w:rFonts w:hint="eastAsia" w:ascii="宋体" w:hAnsi="宋体" w:eastAsia="宋体" w:cs="宋体"/>
          <w:snapToGrid w:val="0"/>
          <w:color w:val="auto"/>
          <w:kern w:val="0"/>
          <w:highlight w:val="none"/>
        </w:rPr>
        <w:t>。项目已具备招标条件，现对该项目的</w:t>
      </w:r>
      <w:r>
        <w:rPr>
          <w:rFonts w:hint="eastAsia" w:ascii="宋体" w:hAnsi="宋体" w:eastAsia="宋体" w:cs="宋体"/>
          <w:snapToGrid w:val="0"/>
          <w:color w:val="auto"/>
          <w:kern w:val="0"/>
          <w:highlight w:val="none"/>
          <w:u w:val="single"/>
          <w:lang w:eastAsia="zh-CN"/>
        </w:rPr>
        <w:t>监理</w:t>
      </w:r>
      <w:r>
        <w:rPr>
          <w:rFonts w:hint="eastAsia" w:ascii="宋体" w:hAnsi="宋体" w:eastAsia="宋体" w:cs="宋体"/>
          <w:snapToGrid w:val="0"/>
          <w:color w:val="auto"/>
          <w:kern w:val="0"/>
          <w:highlight w:val="none"/>
        </w:rPr>
        <w:t>进行公开招标。</w:t>
      </w:r>
    </w:p>
    <w:p>
      <w:pPr>
        <w:keepNext w:val="0"/>
        <w:keepLines w:val="0"/>
        <w:pageBreakBefore w:val="0"/>
        <w:kinsoku/>
        <w:wordWrap w:val="0"/>
        <w:overflowPunct/>
        <w:topLinePunct w:val="0"/>
        <w:autoSpaceDE/>
        <w:autoSpaceDN/>
        <w:bidi w:val="0"/>
        <w:snapToGrid w:val="0"/>
        <w:spacing w:line="288" w:lineRule="auto"/>
        <w:ind w:firstLine="480"/>
        <w:jc w:val="both"/>
        <w:outlineLvl w:val="9"/>
        <w:rPr>
          <w:rFonts w:hint="eastAsia" w:ascii="宋体" w:hAnsi="宋体" w:eastAsia="宋体" w:cs="宋体"/>
          <w:b/>
          <w:snapToGrid w:val="0"/>
          <w:color w:val="auto"/>
          <w:highlight w:val="none"/>
        </w:rPr>
      </w:pPr>
      <w:bookmarkStart w:id="16" w:name="_Hlt74474735"/>
      <w:bookmarkEnd w:id="16"/>
      <w:bookmarkStart w:id="17" w:name="_Hlt78795222"/>
      <w:bookmarkEnd w:id="17"/>
      <w:bookmarkStart w:id="18" w:name="_Hlt119991399"/>
      <w:bookmarkEnd w:id="18"/>
      <w:bookmarkStart w:id="19" w:name="_Hlt109358474"/>
      <w:bookmarkEnd w:id="19"/>
      <w:bookmarkStart w:id="20" w:name="_Hlt87948285"/>
      <w:bookmarkEnd w:id="20"/>
      <w:bookmarkStart w:id="21" w:name="_Toc26083"/>
    </w:p>
    <w:bookmarkEnd w:id="21"/>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2"/>
        <w:rPr>
          <w:rFonts w:hint="eastAsia" w:ascii="宋体" w:hAnsi="宋体" w:eastAsia="宋体" w:cs="宋体"/>
          <w:b/>
          <w:bCs/>
          <w:snapToGrid w:val="0"/>
          <w:color w:val="auto"/>
          <w:kern w:val="0"/>
          <w:sz w:val="24"/>
          <w:highlight w:val="none"/>
        </w:rPr>
      </w:pPr>
      <w:bookmarkStart w:id="22" w:name="_Toc15322"/>
      <w:r>
        <w:rPr>
          <w:rFonts w:hint="eastAsia" w:ascii="宋体" w:hAnsi="宋体" w:eastAsia="宋体" w:cs="宋体"/>
          <w:b/>
          <w:bCs/>
          <w:snapToGrid w:val="0"/>
          <w:color w:val="auto"/>
          <w:kern w:val="0"/>
          <w:sz w:val="24"/>
          <w:highlight w:val="none"/>
        </w:rPr>
        <w:t>1．工程概况、招标范围和标段划分、投标费用</w:t>
      </w:r>
      <w:bookmarkEnd w:id="22"/>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1.1</w:t>
      </w:r>
      <w:r>
        <w:rPr>
          <w:rFonts w:hint="eastAsia" w:ascii="宋体" w:hAnsi="宋体" w:eastAsia="宋体" w:cs="宋体"/>
          <w:snapToGrid w:val="0"/>
          <w:color w:val="auto"/>
          <w:kern w:val="0"/>
          <w:sz w:val="24"/>
          <w:highlight w:val="none"/>
        </w:rPr>
        <w:t xml:space="preserve"> 工程概况</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b/>
          <w:bCs/>
          <w:snapToGrid w:val="0"/>
          <w:color w:val="auto"/>
          <w:kern w:val="0"/>
          <w:sz w:val="24"/>
          <w:highlight w:val="none"/>
        </w:rPr>
        <w:t>1.1.1</w:t>
      </w:r>
      <w:r>
        <w:rPr>
          <w:rFonts w:hint="eastAsia" w:ascii="宋体" w:hAnsi="宋体" w:eastAsia="宋体" w:cs="宋体"/>
          <w:snapToGrid w:val="0"/>
          <w:color w:val="auto"/>
          <w:kern w:val="0"/>
          <w:sz w:val="24"/>
          <w:highlight w:val="none"/>
        </w:rPr>
        <w:t xml:space="preserve"> 建设地点：</w:t>
      </w:r>
      <w:r>
        <w:rPr>
          <w:rFonts w:hint="eastAsia" w:ascii="宋体" w:hAnsi="宋体" w:eastAsia="宋体" w:cs="宋体"/>
          <w:snapToGrid w:val="0"/>
          <w:color w:val="auto"/>
          <w:kern w:val="0"/>
          <w:sz w:val="24"/>
          <w:highlight w:val="none"/>
          <w:u w:val="single"/>
          <w:lang w:eastAsia="zh-CN"/>
        </w:rPr>
        <w:t>始兴县太平镇</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b/>
          <w:bCs/>
          <w:snapToGrid w:val="0"/>
          <w:color w:val="auto"/>
          <w:kern w:val="0"/>
          <w:sz w:val="24"/>
          <w:highlight w:val="none"/>
        </w:rPr>
        <w:t>1.1.2</w:t>
      </w:r>
      <w:r>
        <w:rPr>
          <w:rFonts w:hint="eastAsia" w:ascii="宋体" w:hAnsi="宋体" w:eastAsia="宋体" w:cs="宋体"/>
          <w:snapToGrid w:val="0"/>
          <w:color w:val="auto"/>
          <w:kern w:val="0"/>
          <w:sz w:val="24"/>
          <w:highlight w:val="none"/>
        </w:rPr>
        <w:t xml:space="preserve"> 建设内容和规模：</w:t>
      </w:r>
      <w:r>
        <w:rPr>
          <w:rFonts w:hint="eastAsia" w:ascii="宋体" w:hAnsi="宋体" w:eastAsia="宋体" w:cs="宋体"/>
          <w:snapToGrid w:val="0"/>
          <w:color w:val="auto"/>
          <w:kern w:val="0"/>
          <w:sz w:val="24"/>
          <w:highlight w:val="none"/>
          <w:u w:val="single"/>
        </w:rPr>
        <w:t>对太平镇纱帽岗村、白石坪村未做污水处理的自然村进行生活污水收集及污水处理设施建设，新建和已建的自然村设施点及配套管网的运行维护。</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b/>
          <w:bCs/>
          <w:snapToGrid w:val="0"/>
          <w:color w:val="auto"/>
          <w:kern w:val="0"/>
          <w:sz w:val="24"/>
          <w:highlight w:val="none"/>
          <w:lang w:eastAsia="zh-CN"/>
        </w:rPr>
      </w:pPr>
      <w:r>
        <w:rPr>
          <w:rFonts w:hint="eastAsia" w:ascii="宋体" w:hAnsi="宋体" w:eastAsia="宋体" w:cs="宋体"/>
          <w:b/>
          <w:bCs/>
          <w:snapToGrid w:val="0"/>
          <w:color w:val="auto"/>
          <w:kern w:val="0"/>
          <w:sz w:val="24"/>
          <w:highlight w:val="none"/>
        </w:rPr>
        <w:t>1.1.3</w:t>
      </w:r>
      <w:r>
        <w:rPr>
          <w:rFonts w:hint="eastAsia" w:ascii="宋体" w:hAnsi="宋体" w:eastAsia="宋体" w:cs="宋体"/>
          <w:snapToGrid w:val="0"/>
          <w:color w:val="auto"/>
          <w:kern w:val="0"/>
          <w:sz w:val="24"/>
          <w:highlight w:val="none"/>
        </w:rPr>
        <w:t xml:space="preserve"> 工程</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lang w:val="en-US" w:eastAsia="zh-CN"/>
        </w:rPr>
        <w:t>估算</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投资额：</w:t>
      </w:r>
      <w:r>
        <w:rPr>
          <w:rFonts w:hint="eastAsia" w:ascii="宋体" w:hAnsi="宋体" w:eastAsia="宋体" w:cs="宋体"/>
          <w:snapToGrid w:val="0"/>
          <w:color w:val="auto"/>
          <w:kern w:val="0"/>
          <w:sz w:val="24"/>
          <w:highlight w:val="none"/>
          <w:u w:val="single"/>
          <w:lang w:eastAsia="zh-CN"/>
        </w:rPr>
        <w:t>项目估算总投资为8344.12万元，</w:t>
      </w:r>
      <w:r>
        <w:rPr>
          <w:rFonts w:hint="eastAsia" w:ascii="宋体" w:hAnsi="宋体" w:cs="宋体"/>
          <w:snapToGrid w:val="0"/>
          <w:color w:val="auto"/>
          <w:kern w:val="0"/>
          <w:sz w:val="24"/>
          <w:highlight w:val="none"/>
          <w:u w:val="single"/>
          <w:lang w:eastAsia="zh-CN"/>
        </w:rPr>
        <w:t>本次太平镇标段建安费约为500.00万元</w:t>
      </w:r>
      <w:r>
        <w:rPr>
          <w:rFonts w:hint="eastAsia" w:ascii="宋体" w:hAnsi="宋体" w:eastAsia="宋体" w:cs="宋体"/>
          <w:snapToGrid w:val="0"/>
          <w:color w:val="auto"/>
          <w:kern w:val="0"/>
          <w:sz w:val="24"/>
          <w:highlight w:val="none"/>
          <w:u w:val="single"/>
          <w:lang w:eastAsia="zh-CN"/>
        </w:rPr>
        <w:t>。</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 xml:space="preserve">1.2 </w:t>
      </w:r>
      <w:r>
        <w:rPr>
          <w:rFonts w:hint="eastAsia" w:ascii="宋体" w:hAnsi="宋体" w:eastAsia="宋体" w:cs="宋体"/>
          <w:snapToGrid w:val="0"/>
          <w:color w:val="auto"/>
          <w:kern w:val="0"/>
          <w:sz w:val="24"/>
          <w:highlight w:val="none"/>
        </w:rPr>
        <w:t>招标范围和标段划分</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u w:val="single"/>
        </w:rPr>
      </w:pPr>
      <w:r>
        <w:rPr>
          <w:rFonts w:hint="eastAsia" w:ascii="宋体" w:hAnsi="宋体" w:eastAsia="宋体" w:cs="宋体"/>
          <w:b/>
          <w:bCs/>
          <w:snapToGrid w:val="0"/>
          <w:color w:val="auto"/>
          <w:kern w:val="0"/>
          <w:sz w:val="24"/>
          <w:highlight w:val="none"/>
        </w:rPr>
        <w:t>1.2.1</w:t>
      </w:r>
      <w:r>
        <w:rPr>
          <w:rFonts w:hint="eastAsia" w:ascii="宋体" w:hAnsi="宋体" w:eastAsia="宋体" w:cs="宋体"/>
          <w:snapToGrid w:val="0"/>
          <w:color w:val="auto"/>
          <w:kern w:val="0"/>
          <w:sz w:val="24"/>
          <w:highlight w:val="none"/>
        </w:rPr>
        <w:t xml:space="preserve"> 招标范围：</w:t>
      </w:r>
      <w:r>
        <w:rPr>
          <w:rFonts w:hint="eastAsia" w:ascii="宋体" w:hAnsi="宋体" w:eastAsia="宋体" w:cs="宋体"/>
          <w:snapToGrid w:val="0"/>
          <w:color w:val="auto"/>
          <w:kern w:val="0"/>
          <w:sz w:val="24"/>
          <w:highlight w:val="none"/>
          <w:u w:val="single"/>
        </w:rPr>
        <w:t>项目建设施工阶段监理（含施工准备阶段、施工阶段、工程竣工结算阶段和保修阶段监理）。</w:t>
      </w:r>
    </w:p>
    <w:p>
      <w:pPr>
        <w:keepNext w:val="0"/>
        <w:keepLines w:val="0"/>
        <w:pageBreakBefore w:val="0"/>
        <w:kinsoku/>
        <w:wordWrap w:val="0"/>
        <w:overflowPunct/>
        <w:topLinePunct w:val="0"/>
        <w:autoSpaceDE/>
        <w:autoSpaceDN/>
        <w:bidi w:val="0"/>
        <w:snapToGrid w:val="0"/>
        <w:spacing w:line="288" w:lineRule="auto"/>
        <w:ind w:firstLine="480"/>
        <w:jc w:val="both"/>
        <w:outlineLvl w:val="9"/>
        <w:rPr>
          <w:rFonts w:hint="eastAsia" w:ascii="宋体" w:hAnsi="宋体" w:eastAsia="宋体" w:cs="宋体"/>
          <w:b/>
          <w:bCs/>
          <w:snapToGrid w:val="0"/>
          <w:color w:val="auto"/>
          <w:szCs w:val="24"/>
          <w:highlight w:val="none"/>
        </w:rPr>
      </w:pPr>
      <w:r>
        <w:rPr>
          <w:rFonts w:hint="eastAsia" w:ascii="宋体" w:hAnsi="宋体" w:eastAsia="宋体" w:cs="宋体"/>
          <w:b/>
          <w:bCs/>
          <w:snapToGrid w:val="0"/>
          <w:color w:val="auto"/>
          <w:highlight w:val="none"/>
        </w:rPr>
        <w:t>1.2.2</w:t>
      </w:r>
      <w:r>
        <w:rPr>
          <w:rFonts w:hint="eastAsia" w:ascii="宋体" w:hAnsi="宋体" w:eastAsia="宋体" w:cs="宋体"/>
          <w:snapToGrid w:val="0"/>
          <w:color w:val="auto"/>
          <w:highlight w:val="none"/>
        </w:rPr>
        <w:t xml:space="preserve"> 标段划分：</w:t>
      </w:r>
      <w:r>
        <w:rPr>
          <w:rFonts w:hint="eastAsia" w:ascii="宋体" w:hAnsi="宋体" w:eastAsia="宋体" w:cs="宋体"/>
          <w:snapToGrid w:val="0"/>
          <w:color w:val="auto"/>
          <w:highlight w:val="none"/>
          <w:u w:val="single"/>
          <w:lang w:eastAsia="zh-CN"/>
        </w:rPr>
        <w:t>本招标项目</w:t>
      </w:r>
      <w:r>
        <w:rPr>
          <w:rFonts w:hint="eastAsia" w:ascii="宋体" w:hAnsi="宋体" w:eastAsia="宋体" w:cs="宋体"/>
          <w:snapToGrid w:val="0"/>
          <w:color w:val="auto"/>
          <w:highlight w:val="none"/>
          <w:u w:val="single"/>
        </w:rPr>
        <w:t>不划分标段。</w:t>
      </w:r>
    </w:p>
    <w:p>
      <w:pPr>
        <w:keepNext w:val="0"/>
        <w:keepLines w:val="0"/>
        <w:pageBreakBefore w:val="0"/>
        <w:kinsoku/>
        <w:wordWrap w:val="0"/>
        <w:overflowPunct/>
        <w:topLinePunct w:val="0"/>
        <w:autoSpaceDE/>
        <w:autoSpaceDN/>
        <w:bidi w:val="0"/>
        <w:adjustRightInd w:val="0"/>
        <w:snapToGrid w:val="0"/>
        <w:spacing w:line="288" w:lineRule="auto"/>
        <w:ind w:firstLine="532" w:firstLineChars="221"/>
        <w:outlineLvl w:val="9"/>
        <w:rPr>
          <w:rFonts w:hint="eastAsia" w:ascii="宋体" w:hAnsi="宋体" w:eastAsia="宋体" w:cs="宋体"/>
          <w:snapToGrid w:val="0"/>
          <w:color w:val="auto"/>
          <w:kern w:val="0"/>
          <w:highlight w:val="none"/>
          <w:u w:val="single"/>
        </w:rPr>
      </w:pPr>
      <w:r>
        <w:rPr>
          <w:rFonts w:hint="eastAsia" w:ascii="宋体" w:hAnsi="宋体" w:eastAsia="宋体" w:cs="宋体"/>
          <w:b/>
          <w:bCs/>
          <w:snapToGrid w:val="0"/>
          <w:color w:val="auto"/>
          <w:kern w:val="0"/>
          <w:szCs w:val="24"/>
          <w:highlight w:val="none"/>
        </w:rPr>
        <w:t>1.3</w:t>
      </w:r>
      <w:r>
        <w:rPr>
          <w:rFonts w:hint="eastAsia" w:ascii="宋体" w:hAnsi="宋体" w:eastAsia="宋体" w:cs="宋体"/>
          <w:snapToGrid w:val="0"/>
          <w:color w:val="auto"/>
          <w:kern w:val="0"/>
          <w:szCs w:val="24"/>
          <w:highlight w:val="none"/>
        </w:rPr>
        <w:t xml:space="preserve"> 投标费用</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投标人应承担所有准备和参加投标的相关费用，不论投标结果如何，招标人均无义务和责任承担这些费用。</w:t>
      </w:r>
    </w:p>
    <w:p>
      <w:pPr>
        <w:keepNext w:val="0"/>
        <w:keepLines w:val="0"/>
        <w:pageBreakBefore w:val="0"/>
        <w:kinsoku/>
        <w:wordWrap w:val="0"/>
        <w:overflowPunct/>
        <w:topLinePunct w:val="0"/>
        <w:autoSpaceDE/>
        <w:autoSpaceDN/>
        <w:bidi w:val="0"/>
        <w:adjustRightInd w:val="0"/>
        <w:snapToGrid w:val="0"/>
        <w:spacing w:line="288" w:lineRule="auto"/>
        <w:ind w:firstLine="530" w:firstLineChars="221"/>
        <w:outlineLvl w:val="9"/>
        <w:rPr>
          <w:rFonts w:hint="eastAsia" w:ascii="宋体" w:hAnsi="宋体" w:eastAsia="宋体" w:cs="宋体"/>
          <w:snapToGrid w:val="0"/>
          <w:color w:val="auto"/>
          <w:kern w:val="0"/>
          <w:highlight w:val="none"/>
        </w:rPr>
      </w:pPr>
    </w:p>
    <w:p>
      <w:pPr>
        <w:keepNext w:val="0"/>
        <w:keepLines w:val="0"/>
        <w:pageBreakBefore w:val="0"/>
        <w:kinsoku/>
        <w:wordWrap w:val="0"/>
        <w:overflowPunct/>
        <w:topLinePunct w:val="0"/>
        <w:autoSpaceDE/>
        <w:autoSpaceDN/>
        <w:bidi w:val="0"/>
        <w:snapToGrid w:val="0"/>
        <w:spacing w:line="288" w:lineRule="auto"/>
        <w:ind w:firstLine="480"/>
        <w:jc w:val="both"/>
        <w:outlineLvl w:val="2"/>
        <w:rPr>
          <w:rFonts w:hint="eastAsia" w:ascii="宋体" w:hAnsi="宋体" w:eastAsia="宋体" w:cs="宋体"/>
          <w:b/>
          <w:snapToGrid w:val="0"/>
          <w:color w:val="auto"/>
          <w:highlight w:val="none"/>
        </w:rPr>
      </w:pPr>
      <w:bookmarkStart w:id="23" w:name="_Toc21101"/>
      <w:r>
        <w:rPr>
          <w:rFonts w:hint="eastAsia" w:ascii="宋体" w:hAnsi="宋体" w:eastAsia="宋体" w:cs="宋体"/>
          <w:b/>
          <w:snapToGrid w:val="0"/>
          <w:color w:val="auto"/>
          <w:highlight w:val="none"/>
        </w:rPr>
        <w:t>2．投标人资格要求</w:t>
      </w:r>
      <w:bookmarkEnd w:id="23"/>
      <w:bookmarkStart w:id="24" w:name="_Hlt74496495"/>
      <w:bookmarkEnd w:id="24"/>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2.1．</w:t>
      </w:r>
      <w:r>
        <w:rPr>
          <w:rFonts w:hint="eastAsia" w:ascii="宋体" w:hAnsi="宋体" w:eastAsia="宋体" w:cs="宋体"/>
          <w:snapToGrid w:val="0"/>
          <w:color w:val="auto"/>
          <w:kern w:val="0"/>
          <w:szCs w:val="24"/>
          <w:highlight w:val="none"/>
          <w:lang w:eastAsia="zh-CN"/>
        </w:rPr>
        <w:t>本次招标</w:t>
      </w:r>
      <w:r>
        <w:rPr>
          <w:rFonts w:hint="eastAsia" w:ascii="宋体" w:hAnsi="宋体" w:eastAsia="宋体" w:cs="宋体"/>
          <w:snapToGrid w:val="0"/>
          <w:color w:val="auto"/>
          <w:kern w:val="0"/>
          <w:szCs w:val="24"/>
          <w:highlight w:val="none"/>
        </w:rPr>
        <w:t>不接受联合体投标。</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2.2．</w:t>
      </w:r>
      <w:r>
        <w:rPr>
          <w:rFonts w:hint="eastAsia" w:ascii="宋体" w:hAnsi="宋体" w:eastAsia="宋体" w:cs="宋体"/>
          <w:snapToGrid w:val="0"/>
          <w:color w:val="auto"/>
          <w:kern w:val="0"/>
          <w:szCs w:val="24"/>
          <w:highlight w:val="none"/>
        </w:rPr>
        <w:t>资质要求</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 xml:space="preserve">2.2.1 </w:t>
      </w:r>
      <w:r>
        <w:rPr>
          <w:rFonts w:hint="eastAsia" w:ascii="宋体" w:hAnsi="宋体" w:eastAsia="宋体" w:cs="宋体"/>
          <w:snapToGrid w:val="0"/>
          <w:color w:val="auto"/>
          <w:kern w:val="0"/>
          <w:szCs w:val="24"/>
          <w:highlight w:val="none"/>
        </w:rPr>
        <w:t>投标人须具备独立法人资格，按国家法律经营。</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u w:val="single"/>
        </w:rPr>
      </w:pPr>
      <w:r>
        <w:rPr>
          <w:rFonts w:hint="eastAsia" w:ascii="宋体" w:hAnsi="宋体" w:eastAsia="宋体" w:cs="宋体"/>
          <w:b/>
          <w:bCs/>
          <w:snapToGrid w:val="0"/>
          <w:color w:val="auto"/>
          <w:kern w:val="0"/>
          <w:szCs w:val="24"/>
          <w:highlight w:val="none"/>
        </w:rPr>
        <w:t xml:space="preserve">2.2.2 </w:t>
      </w:r>
      <w:r>
        <w:rPr>
          <w:rFonts w:hint="eastAsia" w:ascii="宋体" w:hAnsi="宋体" w:eastAsia="宋体" w:cs="宋体"/>
          <w:snapToGrid w:val="0"/>
          <w:color w:val="auto"/>
          <w:kern w:val="0"/>
          <w:szCs w:val="24"/>
          <w:highlight w:val="none"/>
        </w:rPr>
        <w:t>投标人须具备以下资质之一：</w:t>
      </w:r>
      <w:r>
        <w:rPr>
          <w:rFonts w:hint="eastAsia" w:ascii="宋体" w:hAnsi="宋体" w:eastAsia="宋体" w:cs="宋体"/>
          <w:snapToGrid w:val="0"/>
          <w:color w:val="auto"/>
          <w:kern w:val="0"/>
          <w:szCs w:val="24"/>
          <w:highlight w:val="none"/>
          <w:u w:val="single"/>
        </w:rPr>
        <w:t>①工程监理综合资质；②市政公用工程监理</w:t>
      </w:r>
      <w:r>
        <w:rPr>
          <w:rFonts w:hint="eastAsia" w:ascii="宋体" w:hAnsi="宋体" w:eastAsia="宋体" w:cs="宋体"/>
          <w:snapToGrid w:val="0"/>
          <w:color w:val="auto"/>
          <w:kern w:val="0"/>
          <w:szCs w:val="24"/>
          <w:highlight w:val="none"/>
          <w:u w:val="single"/>
          <w:lang w:eastAsia="zh-CN"/>
        </w:rPr>
        <w:t>丙级以上（含丙级）</w:t>
      </w:r>
      <w:r>
        <w:rPr>
          <w:rFonts w:hint="eastAsia" w:ascii="宋体" w:hAnsi="宋体" w:eastAsia="宋体" w:cs="宋体"/>
          <w:snapToGrid w:val="0"/>
          <w:color w:val="auto"/>
          <w:kern w:val="0"/>
          <w:szCs w:val="24"/>
          <w:highlight w:val="none"/>
          <w:u w:val="single"/>
        </w:rPr>
        <w:t>资质。</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b w:val="0"/>
          <w:bCs w:val="0"/>
          <w:snapToGrid w:val="0"/>
          <w:color w:val="auto"/>
          <w:kern w:val="0"/>
          <w:szCs w:val="24"/>
          <w:highlight w:val="none"/>
        </w:rPr>
      </w:pPr>
      <w:r>
        <w:rPr>
          <w:rFonts w:hint="eastAsia" w:ascii="宋体" w:hAnsi="宋体" w:eastAsia="宋体" w:cs="宋体"/>
          <w:b/>
          <w:bCs/>
          <w:snapToGrid w:val="0"/>
          <w:color w:val="auto"/>
          <w:kern w:val="0"/>
          <w:szCs w:val="24"/>
          <w:highlight w:val="none"/>
          <w:lang w:val="en-US" w:eastAsia="zh-CN"/>
        </w:rPr>
        <w:t>2</w:t>
      </w:r>
      <w:r>
        <w:rPr>
          <w:rFonts w:hint="eastAsia" w:ascii="宋体" w:hAnsi="宋体" w:eastAsia="宋体" w:cs="宋体"/>
          <w:b/>
          <w:bCs/>
          <w:snapToGrid w:val="0"/>
          <w:color w:val="auto"/>
          <w:kern w:val="0"/>
          <w:szCs w:val="24"/>
          <w:highlight w:val="none"/>
        </w:rPr>
        <w:t>.2.3</w:t>
      </w:r>
      <w:r>
        <w:rPr>
          <w:rFonts w:hint="eastAsia" w:ascii="宋体" w:hAnsi="宋体" w:eastAsia="宋体" w:cs="宋体"/>
          <w:b w:val="0"/>
          <w:bCs w:val="0"/>
          <w:snapToGrid w:val="0"/>
          <w:color w:val="auto"/>
          <w:kern w:val="0"/>
          <w:szCs w:val="24"/>
          <w:highlight w:val="none"/>
        </w:rPr>
        <w:t>根根据有关文件精神，在新冠肺炎疫情防控期间，投标人的企业资质证书、安全生产许可证有以下情形的，本次招标予以认可：</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b w:val="0"/>
          <w:bCs w:val="0"/>
          <w:snapToGrid w:val="0"/>
          <w:color w:val="auto"/>
          <w:kern w:val="0"/>
          <w:szCs w:val="24"/>
          <w:highlight w:val="none"/>
        </w:rPr>
      </w:pPr>
      <w:r>
        <w:rPr>
          <w:rFonts w:hint="eastAsia" w:ascii="宋体" w:hAnsi="宋体" w:eastAsia="宋体" w:cs="宋体"/>
          <w:b w:val="0"/>
          <w:bCs w:val="0"/>
          <w:snapToGrid w:val="0"/>
          <w:color w:val="auto"/>
          <w:kern w:val="0"/>
          <w:szCs w:val="24"/>
          <w:highlight w:val="none"/>
        </w:rPr>
        <w:t>（1）工程勘察、工程设计、建筑业企业、工程监理资质，资质证书有效期于2023年12月30日前届满的，统一延期至2023年12月31日。</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b w:val="0"/>
          <w:bCs w:val="0"/>
          <w:snapToGrid w:val="0"/>
          <w:color w:val="auto"/>
          <w:kern w:val="0"/>
          <w:szCs w:val="24"/>
          <w:highlight w:val="none"/>
        </w:rPr>
      </w:pPr>
      <w:r>
        <w:rPr>
          <w:rFonts w:hint="eastAsia" w:ascii="宋体" w:hAnsi="宋体" w:eastAsia="宋体" w:cs="宋体"/>
          <w:b w:val="0"/>
          <w:bCs w:val="0"/>
          <w:snapToGrid w:val="0"/>
          <w:color w:val="auto"/>
          <w:kern w:val="0"/>
          <w:szCs w:val="24"/>
          <w:highlight w:val="none"/>
        </w:rPr>
        <w:t>（2）由外省各级住建部门核发资质证书、安全生产许可证，投标人提供所在省、地级市住建部门印发的相关证明材料（如自动顺延或推迟办理延期业务的通知），证明在开标日继续有效的。</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b w:val="0"/>
          <w:bCs w:val="0"/>
          <w:snapToGrid w:val="0"/>
          <w:color w:val="auto"/>
          <w:kern w:val="0"/>
          <w:szCs w:val="24"/>
          <w:highlight w:val="none"/>
        </w:rPr>
      </w:pP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2.3．</w:t>
      </w:r>
      <w:r>
        <w:rPr>
          <w:rFonts w:hint="eastAsia" w:ascii="宋体" w:hAnsi="宋体" w:eastAsia="宋体" w:cs="宋体"/>
          <w:snapToGrid w:val="0"/>
          <w:color w:val="auto"/>
          <w:kern w:val="0"/>
          <w:szCs w:val="24"/>
          <w:highlight w:val="none"/>
        </w:rPr>
        <w:t>相关人员要求</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 xml:space="preserve">2.3.1 </w:t>
      </w:r>
      <w:r>
        <w:rPr>
          <w:rFonts w:hint="eastAsia" w:ascii="宋体" w:hAnsi="宋体" w:eastAsia="宋体" w:cs="宋体"/>
          <w:snapToGrid w:val="0"/>
          <w:color w:val="auto"/>
          <w:kern w:val="0"/>
          <w:szCs w:val="24"/>
          <w:highlight w:val="none"/>
        </w:rPr>
        <w:t>拟派总监理工程师需具备</w:t>
      </w:r>
      <w:r>
        <w:rPr>
          <w:rFonts w:hint="eastAsia" w:ascii="宋体" w:hAnsi="宋体" w:eastAsia="宋体" w:cs="宋体"/>
          <w:snapToGrid w:val="0"/>
          <w:color w:val="auto"/>
          <w:kern w:val="0"/>
          <w:szCs w:val="24"/>
          <w:highlight w:val="none"/>
          <w:u w:val="single"/>
          <w:lang w:eastAsia="zh-CN"/>
        </w:rPr>
        <w:t>市政公用工程</w:t>
      </w:r>
      <w:r>
        <w:rPr>
          <w:rFonts w:hint="eastAsia" w:ascii="宋体" w:hAnsi="宋体" w:eastAsia="宋体" w:cs="宋体"/>
          <w:snapToGrid w:val="0"/>
          <w:color w:val="auto"/>
          <w:kern w:val="0"/>
          <w:szCs w:val="24"/>
          <w:highlight w:val="none"/>
          <w:u w:val="none"/>
        </w:rPr>
        <w:t>专业</w:t>
      </w:r>
      <w:r>
        <w:rPr>
          <w:rFonts w:hint="eastAsia" w:ascii="宋体" w:hAnsi="宋体" w:eastAsia="宋体" w:cs="宋体"/>
          <w:snapToGrid w:val="0"/>
          <w:color w:val="auto"/>
          <w:kern w:val="0"/>
          <w:szCs w:val="24"/>
          <w:highlight w:val="none"/>
        </w:rPr>
        <w:t>注册监理工程师，应持有国家住建部印发的有效注册证书，其担任总监理工程师职务的其他在施（包括已中标未开工、已开工未竣工）建设工程项目不得超过</w:t>
      </w:r>
      <w:r>
        <w:rPr>
          <w:rFonts w:hint="eastAsia" w:ascii="宋体" w:hAnsi="宋体" w:eastAsia="宋体" w:cs="宋体"/>
          <w:snapToGrid w:val="0"/>
          <w:color w:val="auto"/>
          <w:kern w:val="0"/>
          <w:szCs w:val="24"/>
          <w:highlight w:val="none"/>
          <w:u w:val="single"/>
        </w:rPr>
        <w:t xml:space="preserve"> 2 </w:t>
      </w:r>
      <w:r>
        <w:rPr>
          <w:rFonts w:hint="eastAsia" w:ascii="宋体" w:hAnsi="宋体" w:eastAsia="宋体" w:cs="宋体"/>
          <w:snapToGrid w:val="0"/>
          <w:color w:val="auto"/>
          <w:kern w:val="0"/>
          <w:szCs w:val="24"/>
          <w:highlight w:val="none"/>
        </w:rPr>
        <w:t>个。</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拟派总监理工程师现阶段有担任其他在施建设工程项目总监理工程师职务的，须得到任职项目建设单位书面同意后方可担任本招标项目总监理工程师。</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 xml:space="preserve">2.3.2 </w:t>
      </w:r>
      <w:r>
        <w:rPr>
          <w:rFonts w:hint="eastAsia" w:ascii="宋体" w:hAnsi="宋体" w:eastAsia="宋体" w:cs="宋体"/>
          <w:snapToGrid w:val="0"/>
          <w:color w:val="auto"/>
          <w:kern w:val="0"/>
          <w:szCs w:val="24"/>
          <w:highlight w:val="none"/>
        </w:rPr>
        <w:t>投标人与其拟派往本项目监理机构的所有人员之间必须具备合法、唯一的劳动聘用关系。拟派人员中具备注册执业资格的，其注册单位须与投标人保持一致。</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2.4．</w:t>
      </w:r>
      <w:r>
        <w:rPr>
          <w:rFonts w:hint="eastAsia" w:ascii="宋体" w:hAnsi="宋体" w:eastAsia="宋体" w:cs="宋体"/>
          <w:snapToGrid w:val="0"/>
          <w:color w:val="auto"/>
          <w:kern w:val="0"/>
          <w:szCs w:val="24"/>
          <w:highlight w:val="none"/>
        </w:rPr>
        <w:t>禁止投标条款</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 xml:space="preserve">2.4.1 </w:t>
      </w:r>
      <w:r>
        <w:rPr>
          <w:rFonts w:hint="eastAsia" w:ascii="宋体" w:hAnsi="宋体" w:eastAsia="宋体" w:cs="宋体"/>
          <w:snapToGrid w:val="0"/>
          <w:color w:val="auto"/>
          <w:kern w:val="0"/>
          <w:szCs w:val="24"/>
          <w:highlight w:val="none"/>
        </w:rPr>
        <w:t>投标人不得存在下列情形之一：</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（1）为招标人不具有独立法人资格的附属机构（单位）；</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（2）与招标人存在利害关系且可能影响招标公正性；</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（3）与</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的其他投标人为同一个单位负责人；</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（4）与</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的其他投标人存在控股、管理关系；</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（5）为</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的代建人；</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（6）为</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的招标代理机构；</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（7）与</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的代建人或招标代理机构同为一个法定代表人；</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（8）与</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的代建人或招标代理机构存在控股或参股关系；</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（9）与</w:t>
      </w:r>
      <w:r>
        <w:rPr>
          <w:rFonts w:hint="eastAsia" w:ascii="宋体" w:hAnsi="宋体" w:eastAsia="宋体" w:cs="宋体"/>
          <w:snapToGrid w:val="0"/>
          <w:color w:val="auto"/>
          <w:kern w:val="0"/>
          <w:szCs w:val="24"/>
          <w:highlight w:val="none"/>
          <w:lang w:eastAsia="zh-CN"/>
        </w:rPr>
        <w:t>本招标项目</w:t>
      </w:r>
      <w:r>
        <w:rPr>
          <w:rFonts w:hint="eastAsia" w:ascii="宋体" w:hAnsi="宋体" w:eastAsia="宋体" w:cs="宋体"/>
          <w:snapToGrid w:val="0"/>
          <w:color w:val="auto"/>
          <w:kern w:val="0"/>
          <w:szCs w:val="24"/>
          <w:highlight w:val="none"/>
        </w:rPr>
        <w:t>的施工承包人以及建筑材料、建筑构配件和设备供应商有隶属关系或者其他利害关系；</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（10）被依法暂停或者取消投标资格；</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（11）被责令停产停业、暂扣或者吊销许可证、暂扣或者吊销执照；</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（12）进入清算程序，或被宣告破产，或其他丧失履约能力的情形；</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（13）在最近三年内发生重大监理</w:t>
      </w:r>
      <w:r>
        <w:rPr>
          <w:rFonts w:hint="eastAsia" w:ascii="宋体" w:hAnsi="宋体" w:eastAsia="宋体" w:cs="宋体"/>
          <w:snapToGrid w:val="0"/>
          <w:color w:val="auto"/>
          <w:kern w:val="0"/>
          <w:szCs w:val="24"/>
          <w:highlight w:val="none"/>
          <w:lang w:eastAsia="zh-CN"/>
        </w:rPr>
        <w:t>质量或安全</w:t>
      </w:r>
      <w:r>
        <w:rPr>
          <w:rFonts w:hint="eastAsia" w:ascii="宋体" w:hAnsi="宋体" w:eastAsia="宋体" w:cs="宋体"/>
          <w:snapToGrid w:val="0"/>
          <w:color w:val="auto"/>
          <w:kern w:val="0"/>
          <w:szCs w:val="24"/>
          <w:highlight w:val="none"/>
        </w:rPr>
        <w:t>问题（以相关行业主管部门的行政处罚决定或司法机关出具的有关法律文书为准）；</w:t>
      </w:r>
    </w:p>
    <w:p>
      <w:pPr>
        <w:keepNext w:val="0"/>
        <w:keepLines w:val="0"/>
        <w:pageBreakBefore w:val="0"/>
        <w:kinsoku/>
        <w:wordWrap w:val="0"/>
        <w:overflowPunct/>
        <w:topLinePunct w:val="0"/>
        <w:autoSpaceDE/>
        <w:autoSpaceDN/>
        <w:bidi w:val="0"/>
        <w:adjustRightInd w:val="0"/>
        <w:snapToGrid w:val="0"/>
        <w:spacing w:line="288" w:lineRule="auto"/>
        <w:ind w:firstLine="547" w:firstLineChars="228"/>
        <w:jc w:val="left"/>
        <w:outlineLvl w:val="9"/>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（14）</w:t>
      </w:r>
      <w:r>
        <w:rPr>
          <w:rFonts w:hint="eastAsia" w:ascii="宋体" w:hAnsi="宋体" w:eastAsia="宋体" w:cs="宋体"/>
          <w:snapToGrid w:val="0"/>
          <w:color w:val="auto"/>
          <w:kern w:val="0"/>
          <w:szCs w:val="24"/>
          <w:highlight w:val="none"/>
          <w:lang w:eastAsia="zh-CN"/>
        </w:rPr>
        <w:t>被“信用中国”网站（https://www.creditchina.gov.cn）发布的《法人和非法人组织公共信用信息报告》列入严重失信主体名单的。</w:t>
      </w:r>
    </w:p>
    <w:p>
      <w:pPr>
        <w:pStyle w:val="10"/>
        <w:keepNext w:val="0"/>
        <w:keepLines w:val="0"/>
        <w:pageBreakBefore w:val="0"/>
        <w:kinsoku/>
        <w:overflowPunct/>
        <w:topLinePunct w:val="0"/>
        <w:autoSpaceDE/>
        <w:autoSpaceDN/>
        <w:bidi w:val="0"/>
        <w:snapToGrid w:val="0"/>
        <w:spacing w:line="288" w:lineRule="auto"/>
        <w:ind w:left="0" w:leftChars="0" w:firstLine="48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.4.2</w:t>
      </w:r>
      <w:r>
        <w:rPr>
          <w:rFonts w:hint="eastAsia" w:ascii="宋体" w:hAnsi="宋体" w:eastAsia="宋体" w:cs="宋体"/>
          <w:color w:val="auto"/>
          <w:highlight w:val="none"/>
        </w:rPr>
        <w:t>招标人拒绝以下名单中的单位参加本次投标：</w:t>
      </w:r>
    </w:p>
    <w:tbl>
      <w:tblPr>
        <w:tblStyle w:val="3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593"/>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59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5051"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3593"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始兴县太平镇人民政府</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p>
        </w:tc>
        <w:tc>
          <w:tcPr>
            <w:tcW w:w="3593"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广东河海工程咨询有限公司</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可研</w:t>
            </w:r>
            <w:r>
              <w:rPr>
                <w:rFonts w:hint="eastAsia" w:ascii="宋体" w:hAnsi="宋体" w:eastAsia="宋体" w:cs="宋体"/>
                <w:snapToGrid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3</w:t>
            </w:r>
          </w:p>
        </w:tc>
        <w:tc>
          <w:tcPr>
            <w:tcW w:w="3593"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苏交科集团有限公司</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4</w:t>
            </w:r>
          </w:p>
        </w:tc>
        <w:tc>
          <w:tcPr>
            <w:tcW w:w="3593"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苏交科集团有限公司</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勘察</w:t>
            </w:r>
            <w:r>
              <w:rPr>
                <w:rFonts w:hint="eastAsia" w:ascii="宋体" w:hAnsi="宋体" w:eastAsia="宋体" w:cs="宋体"/>
                <w:snapToGrid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5</w:t>
            </w:r>
          </w:p>
        </w:tc>
        <w:tc>
          <w:tcPr>
            <w:tcW w:w="3593"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首盛国际工程咨询集团有限公司</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为本招标项目的造价单位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w:t>
            </w:r>
          </w:p>
        </w:tc>
        <w:tc>
          <w:tcPr>
            <w:tcW w:w="359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广州三合工程咨询有限公司</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审图单位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w:t>
            </w:r>
          </w:p>
        </w:tc>
        <w:tc>
          <w:tcPr>
            <w:tcW w:w="359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广州穗峰建设工程监理有限公司</w:t>
            </w:r>
          </w:p>
        </w:tc>
        <w:tc>
          <w:tcPr>
            <w:tcW w:w="5051" w:type="dxa"/>
            <w:noWrap w:val="0"/>
            <w:vAlign w:val="center"/>
          </w:tcPr>
          <w:p>
            <w:pPr>
              <w:pStyle w:val="58"/>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bl>
    <w:p>
      <w:pPr>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b/>
          <w:bCs/>
          <w:snapToGrid w:val="0"/>
          <w:color w:val="auto"/>
          <w:kern w:val="0"/>
          <w:szCs w:val="24"/>
          <w:highlight w:val="none"/>
        </w:rPr>
      </w:pPr>
      <w:r>
        <w:rPr>
          <w:rFonts w:hint="eastAsia" w:ascii="宋体" w:hAnsi="宋体" w:eastAsia="宋体" w:cs="宋体"/>
          <w:b/>
          <w:bCs/>
          <w:snapToGrid w:val="0"/>
          <w:color w:val="auto"/>
          <w:kern w:val="0"/>
          <w:szCs w:val="24"/>
          <w:highlight w:val="none"/>
        </w:rPr>
        <w:t>2.5其他要求</w:t>
      </w:r>
    </w:p>
    <w:p>
      <w:pPr>
        <w:pStyle w:val="58"/>
        <w:keepNext w:val="0"/>
        <w:keepLines w:val="0"/>
        <w:pageBreakBefore w:val="0"/>
        <w:kinsoku/>
        <w:wordWrap w:val="0"/>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2"/>
        <w:rPr>
          <w:rFonts w:hint="eastAsia" w:ascii="宋体" w:hAnsi="宋体" w:eastAsia="宋体" w:cs="宋体"/>
          <w:snapToGrid w:val="0"/>
          <w:color w:val="auto"/>
          <w:kern w:val="0"/>
          <w:highlight w:val="none"/>
        </w:rPr>
      </w:pPr>
      <w:bookmarkStart w:id="25" w:name="_Toc11407"/>
      <w:r>
        <w:rPr>
          <w:rFonts w:hint="eastAsia" w:ascii="宋体" w:hAnsi="宋体" w:eastAsia="宋体" w:cs="宋体"/>
          <w:b/>
          <w:bCs/>
          <w:snapToGrid w:val="0"/>
          <w:color w:val="auto"/>
          <w:kern w:val="0"/>
          <w:highlight w:val="none"/>
        </w:rPr>
        <w:t>3．获取招标文件</w:t>
      </w:r>
      <w:bookmarkEnd w:id="25"/>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3.1</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 w:val="24"/>
          <w:szCs w:val="24"/>
          <w:highlight w:val="none"/>
        </w:rPr>
        <w:t>本次招标实行</w:t>
      </w:r>
      <w:r>
        <w:rPr>
          <w:rFonts w:hint="eastAsia" w:ascii="宋体" w:hAnsi="宋体" w:eastAsia="宋体" w:cs="宋体"/>
          <w:snapToGrid w:val="0"/>
          <w:color w:val="auto"/>
          <w:kern w:val="0"/>
          <w:sz w:val="24"/>
          <w:szCs w:val="24"/>
          <w:highlight w:val="none"/>
          <w:lang w:eastAsia="zh-CN"/>
        </w:rPr>
        <w:t>网上获取招标文件</w:t>
      </w:r>
      <w:r>
        <w:rPr>
          <w:rFonts w:hint="eastAsia" w:ascii="宋体" w:hAnsi="宋体" w:eastAsia="宋体" w:cs="宋体"/>
          <w:snapToGrid w:val="0"/>
          <w:color w:val="auto"/>
          <w:kern w:val="0"/>
          <w:sz w:val="24"/>
          <w:szCs w:val="24"/>
          <w:highlight w:val="none"/>
        </w:rPr>
        <w:t>和电子投标。本项目招标文件随招标公告一并在</w:t>
      </w:r>
      <w:r>
        <w:rPr>
          <w:rStyle w:val="146"/>
          <w:rFonts w:hint="eastAsia" w:ascii="宋体" w:hAnsi="宋体" w:eastAsia="宋体" w:cs="宋体"/>
          <w:color w:val="auto"/>
          <w:kern w:val="0"/>
          <w:sz w:val="24"/>
          <w:szCs w:val="24"/>
          <w:highlight w:val="none"/>
        </w:rPr>
        <w:t>全国公共资源交易平台 （广东省 · 韶关市）（https://ygp.gdzwfw.gov.cn/ggzy-portal/#/440200/index）</w:t>
      </w:r>
      <w:r>
        <w:rPr>
          <w:rFonts w:hint="eastAsia" w:ascii="宋体" w:hAnsi="宋体" w:eastAsia="宋体" w:cs="宋体"/>
          <w:snapToGrid w:val="0"/>
          <w:color w:val="auto"/>
          <w:kern w:val="0"/>
          <w:sz w:val="24"/>
          <w:szCs w:val="24"/>
          <w:highlight w:val="none"/>
        </w:rPr>
        <w:t>网站发布。招标文件一经在全国公共资源交易平台 （广东省 · 韶关市）发布，视为发售投标人，招标文件及相关附件由投标人自行在全国公共资源交易平台 （广东省 · 韶关市）网站下载。请于招标文件获取期间,（见本章第二节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重要事项时间地点一览表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）招标文件获取期间与招标公告发布时间一致，投标人须登录</w:t>
      </w:r>
      <w:r>
        <w:rPr>
          <w:rStyle w:val="146"/>
          <w:rFonts w:hint="eastAsia" w:ascii="宋体" w:hAnsi="宋体" w:eastAsia="宋体" w:cs="宋体"/>
          <w:color w:val="auto"/>
          <w:kern w:val="0"/>
          <w:sz w:val="24"/>
          <w:szCs w:val="24"/>
          <w:highlight w:val="none"/>
        </w:rPr>
        <w:t>全国公共资源交易平台 （广东省 · 韶关市）（https://ygp.gdzwfw.gov.cn/ggzy-portal/#/440200/index）</w:t>
      </w:r>
      <w:r>
        <w:rPr>
          <w:rFonts w:hint="eastAsia" w:ascii="宋体" w:hAnsi="宋体" w:eastAsia="宋体" w:cs="宋体"/>
          <w:snapToGrid w:val="0"/>
          <w:color w:val="auto"/>
          <w:kern w:val="0"/>
          <w:sz w:val="24"/>
          <w:szCs w:val="24"/>
          <w:highlight w:val="none"/>
        </w:rPr>
        <w:t>，使用新建设工程交易系统进行下载招标文件及相关附件，并于电子投标截止时间（见本章第二节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重要事项时间地点一览表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）前完成电子投标。投标人可登录</w:t>
      </w:r>
      <w:r>
        <w:rPr>
          <w:rStyle w:val="146"/>
          <w:rFonts w:hint="eastAsia" w:ascii="宋体" w:hAnsi="宋体" w:eastAsia="宋体" w:cs="宋体"/>
          <w:color w:val="auto"/>
          <w:kern w:val="0"/>
          <w:sz w:val="24"/>
          <w:szCs w:val="24"/>
          <w:highlight w:val="none"/>
        </w:rPr>
        <w:t>全国公共资源交易平台 （广东省 · 韶关市）（https://ygp.gdzwfw.gov.cn/ggzy-portal/#/440200/index）</w:t>
      </w:r>
      <w:r>
        <w:rPr>
          <w:rFonts w:hint="eastAsia" w:ascii="宋体" w:hAnsi="宋体" w:eastAsia="宋体" w:cs="宋体"/>
          <w:snapToGrid w:val="0"/>
          <w:color w:val="auto"/>
          <w:kern w:val="0"/>
          <w:sz w:val="24"/>
          <w:szCs w:val="24"/>
          <w:highlight w:val="none"/>
        </w:rPr>
        <w:t>，在【服务指南】栏目中下载《韶关市公共资源建设工程交易系统-投标人操作指南》，了解</w:t>
      </w:r>
      <w:r>
        <w:rPr>
          <w:rFonts w:hint="eastAsia" w:ascii="宋体" w:hAnsi="宋体" w:eastAsia="宋体" w:cs="宋体"/>
          <w:snapToGrid w:val="0"/>
          <w:color w:val="auto"/>
          <w:kern w:val="0"/>
          <w:sz w:val="24"/>
          <w:szCs w:val="24"/>
          <w:highlight w:val="none"/>
          <w:lang w:eastAsia="zh-CN"/>
        </w:rPr>
        <w:t>网上获取招标文件</w:t>
      </w:r>
      <w:r>
        <w:rPr>
          <w:rFonts w:hint="eastAsia" w:ascii="宋体" w:hAnsi="宋体" w:eastAsia="宋体" w:cs="宋体"/>
          <w:snapToGrid w:val="0"/>
          <w:color w:val="auto"/>
          <w:kern w:val="0"/>
          <w:sz w:val="24"/>
          <w:szCs w:val="24"/>
          <w:highlight w:val="none"/>
        </w:rPr>
        <w:t>操作流程。技术咨询电话：18819797080/0751-8379671 伍先生，业务咨询电话：0751-8633211、8633071</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9"/>
        <w:rPr>
          <w:rStyle w:val="146"/>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0"/>
          <w:highlight w:val="none"/>
        </w:rPr>
        <w:t>3.2</w:t>
      </w:r>
      <w:r>
        <w:rPr>
          <w:rFonts w:hint="eastAsia" w:ascii="宋体" w:hAnsi="宋体" w:eastAsia="宋体" w:cs="宋体"/>
          <w:snapToGrid w:val="0"/>
          <w:color w:val="auto"/>
          <w:kern w:val="0"/>
          <w:sz w:val="24"/>
          <w:highlight w:val="none"/>
        </w:rPr>
        <w:t xml:space="preserve"> </w:t>
      </w:r>
      <w:r>
        <w:rPr>
          <w:rStyle w:val="146"/>
          <w:rFonts w:hint="eastAsia" w:ascii="宋体" w:hAnsi="宋体" w:eastAsia="宋体" w:cs="宋体"/>
          <w:color w:val="auto"/>
          <w:kern w:val="0"/>
          <w:sz w:val="24"/>
          <w:szCs w:val="24"/>
          <w:highlight w:val="none"/>
        </w:rPr>
        <w:t>只有申领了数字证书（CA）、“粤企签”或GDCA/SZCA/NETCA等符合法律法规规定的电子印章，并在交易系统中完成企业信息数据入库的投标人，方可使用交易系统进行</w:t>
      </w:r>
      <w:r>
        <w:rPr>
          <w:rStyle w:val="146"/>
          <w:rFonts w:hint="eastAsia" w:ascii="宋体" w:hAnsi="宋体" w:eastAsia="宋体" w:cs="宋体"/>
          <w:color w:val="auto"/>
          <w:kern w:val="0"/>
          <w:sz w:val="24"/>
          <w:szCs w:val="24"/>
          <w:highlight w:val="none"/>
          <w:lang w:eastAsia="zh-CN"/>
        </w:rPr>
        <w:t>网上获取招标文件</w:t>
      </w:r>
      <w:r>
        <w:rPr>
          <w:rStyle w:val="146"/>
          <w:rFonts w:hint="eastAsia" w:ascii="宋体" w:hAnsi="宋体" w:eastAsia="宋体" w:cs="宋体"/>
          <w:color w:val="auto"/>
          <w:kern w:val="0"/>
          <w:sz w:val="24"/>
          <w:szCs w:val="24"/>
          <w:highlight w:val="none"/>
        </w:rPr>
        <w:t>和电子投标。首次在韶关市参与建设工程招标投标活动的投标人，必须在平台系统上传企业相关资料办理企业入库事宜。投标人可登录</w:t>
      </w:r>
      <w:r>
        <w:rPr>
          <w:rFonts w:hint="eastAsia" w:ascii="宋体" w:hAnsi="宋体" w:eastAsia="宋体" w:cs="宋体"/>
          <w:snapToGrid w:val="0"/>
          <w:color w:val="auto"/>
          <w:kern w:val="0"/>
          <w:sz w:val="24"/>
          <w:highlight w:val="none"/>
          <w:lang w:eastAsia="zh-CN"/>
        </w:rPr>
        <w:t>全国公共资源交易平台 （广东省 · 韶关市）（https://ygp.gdzwfw.gov.cn/ggzy-portal/#/440200/index）</w:t>
      </w:r>
      <w:r>
        <w:rPr>
          <w:rStyle w:val="146"/>
          <w:rFonts w:hint="eastAsia" w:ascii="宋体" w:hAnsi="宋体" w:eastAsia="宋体" w:cs="宋体"/>
          <w:color w:val="auto"/>
          <w:kern w:val="0"/>
          <w:sz w:val="24"/>
          <w:szCs w:val="24"/>
          <w:highlight w:val="none"/>
        </w:rPr>
        <w:t>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 w:val="24"/>
          <w:highlight w:val="none"/>
        </w:rPr>
      </w:pPr>
      <w:r>
        <w:rPr>
          <w:rStyle w:val="146"/>
          <w:rFonts w:hint="eastAsia" w:ascii="宋体" w:hAnsi="宋体" w:eastAsia="宋体" w:cs="宋体"/>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 w:val="24"/>
          <w:highlight w:val="none"/>
        </w:rPr>
        <w:t>已入库企业的有关信息（如单位名称、基本账号、资质、人员等）发生变化的，须及时在建设工程交易系统进行相应变更。投标人未及时变更而造成的损失和后果，由投标人自行承担。</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3.3</w:t>
      </w:r>
      <w:r>
        <w:rPr>
          <w:rFonts w:hint="eastAsia" w:ascii="宋体" w:hAnsi="宋体" w:eastAsia="宋体" w:cs="宋体"/>
          <w:snapToGrid w:val="0"/>
          <w:color w:val="auto"/>
          <w:kern w:val="0"/>
          <w:highlight w:val="none"/>
        </w:rPr>
        <w:t xml:space="preserve"> 投标保证</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3.3.1</w:t>
      </w:r>
      <w:r>
        <w:rPr>
          <w:rFonts w:hint="eastAsia" w:ascii="宋体" w:hAnsi="宋体" w:eastAsia="宋体" w:cs="宋体"/>
          <w:snapToGrid w:val="0"/>
          <w:color w:val="auto"/>
          <w:kern w:val="0"/>
          <w:highlight w:val="none"/>
        </w:rPr>
        <w:t xml:space="preserve"> 投标人须缴纳金额为人民币</w:t>
      </w:r>
      <w:r>
        <w:rPr>
          <w:rFonts w:hint="eastAsia" w:ascii="宋体" w:hAnsi="宋体" w:eastAsia="宋体" w:cs="宋体"/>
          <w:snapToGrid w:val="0"/>
          <w:color w:val="auto"/>
          <w:kern w:val="0"/>
          <w:highlight w:val="none"/>
          <w:u w:val="single"/>
          <w:lang w:val="en-US" w:eastAsia="zh-CN"/>
        </w:rPr>
        <w:t>20000.00</w:t>
      </w:r>
      <w:r>
        <w:rPr>
          <w:rFonts w:hint="eastAsia" w:ascii="宋体" w:hAnsi="宋体" w:eastAsia="宋体" w:cs="宋体"/>
          <w:snapToGrid w:val="0"/>
          <w:color w:val="auto"/>
          <w:kern w:val="0"/>
          <w:highlight w:val="none"/>
          <w:u w:val="single"/>
        </w:rPr>
        <w:t>元</w:t>
      </w:r>
      <w:r>
        <w:rPr>
          <w:rFonts w:hint="eastAsia" w:ascii="宋体" w:hAnsi="宋体" w:eastAsia="宋体" w:cs="宋体"/>
          <w:snapToGrid w:val="0"/>
          <w:color w:val="auto"/>
          <w:kern w:val="0"/>
          <w:highlight w:val="none"/>
        </w:rPr>
        <w:t>的投标保证。</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3.3.2</w:t>
      </w:r>
      <w:r>
        <w:rPr>
          <w:rFonts w:hint="eastAsia" w:ascii="宋体" w:hAnsi="宋体" w:eastAsia="宋体" w:cs="宋体"/>
          <w:snapToGrid w:val="0"/>
          <w:color w:val="auto"/>
          <w:kern w:val="0"/>
          <w:highlight w:val="none"/>
        </w:rPr>
        <w:t xml:space="preserve"> 投标保证的形式包括投标保证金、投标保证担保</w:t>
      </w:r>
      <w:r>
        <w:rPr>
          <w:rFonts w:hint="eastAsia" w:ascii="宋体" w:hAnsi="宋体" w:eastAsia="宋体" w:cs="宋体"/>
          <w:snapToGrid w:val="0"/>
          <w:color w:val="auto"/>
          <w:kern w:val="0"/>
          <w:highlight w:val="none"/>
          <w:lang w:val="en-US" w:eastAsia="zh-CN"/>
        </w:rPr>
        <w:t>、投标保证保险三种，</w:t>
      </w:r>
      <w:r>
        <w:rPr>
          <w:rFonts w:hint="eastAsia" w:ascii="宋体" w:hAnsi="宋体" w:eastAsia="宋体" w:cs="宋体"/>
          <w:snapToGrid w:val="0"/>
          <w:color w:val="auto"/>
          <w:kern w:val="0"/>
          <w:highlight w:val="none"/>
        </w:rPr>
        <w:t>由投标人自主选择。</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（1）采用投标保证金的，投标人在建设工程交易系统</w:t>
      </w:r>
      <w:r>
        <w:rPr>
          <w:rFonts w:hint="eastAsia" w:ascii="宋体" w:hAnsi="宋体" w:eastAsia="宋体" w:cs="宋体"/>
          <w:snapToGrid w:val="0"/>
          <w:color w:val="auto"/>
          <w:kern w:val="0"/>
          <w:highlight w:val="none"/>
          <w:lang w:eastAsia="zh-CN"/>
        </w:rPr>
        <w:t>获取招标文件</w:t>
      </w:r>
      <w:r>
        <w:rPr>
          <w:rFonts w:hint="eastAsia" w:ascii="宋体" w:hAnsi="宋体" w:eastAsia="宋体" w:cs="宋体"/>
          <w:snapToGrid w:val="0"/>
          <w:color w:val="auto"/>
          <w:kern w:val="0"/>
          <w:highlight w:val="none"/>
        </w:rPr>
        <w:t>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采用投标保证担保的，投标人应提交有效的银行保函，银行保函的有效期不得短于投标有效期。投标人必须于投标保证担保上传截止时间（见本章第二节“重要事项时间地点一览表”）前，按照建设工程交易系统的要求制作和上传银行保函电子文件。</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r>
        <w:rPr>
          <w:rFonts w:hint="eastAsia" w:ascii="宋体" w:hAnsi="宋体" w:eastAsia="宋体" w:cs="宋体"/>
          <w:color w:val="auto"/>
          <w:kern w:val="0"/>
          <w:sz w:val="24"/>
          <w:highlight w:val="none"/>
          <w:lang w:val="en-US" w:eastAsia="zh-CN" w:bidi="ar-SA"/>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snapToGrid w:val="0"/>
          <w:color w:val="auto"/>
          <w:kern w:val="0"/>
          <w:sz w:val="24"/>
          <w:highlight w:val="none"/>
          <w:lang w:eastAsia="zh-CN"/>
        </w:rPr>
        <w:t>全国公共资源交易平台 （广东省 · 韶关市）（https://ygp.gdzwfw.gov.cn/ggzy-portal/#/440200/index）</w:t>
      </w:r>
      <w:r>
        <w:rPr>
          <w:rFonts w:hint="eastAsia" w:ascii="宋体" w:hAnsi="宋体" w:eastAsia="宋体" w:cs="宋体"/>
          <w:color w:val="auto"/>
          <w:kern w:val="0"/>
          <w:sz w:val="24"/>
          <w:highlight w:val="none"/>
          <w:lang w:val="en-US" w:eastAsia="zh-CN" w:bidi="ar-SA"/>
        </w:rPr>
        <w:t>，在【服务指南】栏目中下载《韶关市公共资源交易一体化平台 建设工程交易操作指引缴纳投标保证金》，了解网上投保具体操作流程。逾期投保的，其投标无效</w:t>
      </w:r>
      <w:r>
        <w:rPr>
          <w:rFonts w:hint="eastAsia" w:ascii="宋体" w:hAnsi="宋体" w:eastAsia="宋体" w:cs="宋体"/>
          <w:snapToGrid w:val="0"/>
          <w:color w:val="auto"/>
          <w:kern w:val="0"/>
          <w:highlight w:val="none"/>
        </w:rPr>
        <w:t>。</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3.4</w:t>
      </w:r>
      <w:r>
        <w:rPr>
          <w:rFonts w:hint="eastAsia" w:ascii="宋体" w:hAnsi="宋体" w:eastAsia="宋体" w:cs="宋体"/>
          <w:snapToGrid w:val="0"/>
          <w:color w:val="auto"/>
          <w:kern w:val="0"/>
          <w:highlight w:val="none"/>
        </w:rPr>
        <w:t xml:space="preserve"> 若投标人因自身原因未能正确完成网上</w:t>
      </w:r>
      <w:r>
        <w:rPr>
          <w:rFonts w:hint="eastAsia" w:ascii="宋体" w:hAnsi="宋体" w:eastAsia="宋体" w:cs="宋体"/>
          <w:snapToGrid w:val="0"/>
          <w:color w:val="auto"/>
          <w:kern w:val="0"/>
          <w:highlight w:val="none"/>
          <w:lang w:eastAsia="zh-CN"/>
        </w:rPr>
        <w:t>获取招标文件</w:t>
      </w:r>
      <w:r>
        <w:rPr>
          <w:rFonts w:hint="eastAsia" w:ascii="宋体" w:hAnsi="宋体" w:eastAsia="宋体" w:cs="宋体"/>
          <w:snapToGrid w:val="0"/>
          <w:color w:val="auto"/>
          <w:kern w:val="0"/>
          <w:highlight w:val="none"/>
        </w:rPr>
        <w:t>、电子投标、缴纳投标保证的，其投标无效。</w:t>
      </w:r>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2" w:firstLineChars="200"/>
        <w:outlineLvl w:val="2"/>
        <w:rPr>
          <w:rFonts w:hint="eastAsia" w:ascii="宋体" w:hAnsi="宋体" w:eastAsia="宋体" w:cs="宋体"/>
          <w:snapToGrid w:val="0"/>
          <w:color w:val="auto"/>
          <w:kern w:val="0"/>
          <w:highlight w:val="none"/>
        </w:rPr>
      </w:pPr>
      <w:bookmarkStart w:id="26" w:name="_Toc21451"/>
      <w:r>
        <w:rPr>
          <w:rFonts w:hint="eastAsia" w:ascii="宋体" w:hAnsi="宋体" w:eastAsia="宋体" w:cs="宋体"/>
          <w:b/>
          <w:bCs/>
          <w:snapToGrid w:val="0"/>
          <w:color w:val="auto"/>
          <w:kern w:val="0"/>
          <w:highlight w:val="none"/>
        </w:rPr>
        <w:t>4．服务期限</w:t>
      </w:r>
      <w:bookmarkEnd w:id="26"/>
    </w:p>
    <w:p>
      <w:pPr>
        <w:keepNext w:val="0"/>
        <w:keepLines w:val="0"/>
        <w:pageBreakBefore w:val="0"/>
        <w:tabs>
          <w:tab w:val="left" w:pos="7020"/>
        </w:tabs>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22"/>
          <w:highlight w:val="none"/>
          <w:u w:val="single"/>
        </w:rPr>
      </w:pPr>
      <w:bookmarkStart w:id="27" w:name="_Toc7508"/>
      <w:r>
        <w:rPr>
          <w:rFonts w:hint="eastAsia" w:ascii="宋体" w:hAnsi="宋体" w:eastAsia="宋体" w:cs="宋体"/>
          <w:snapToGrid w:val="0"/>
          <w:color w:val="auto"/>
          <w:kern w:val="0"/>
          <w:highlight w:val="none"/>
          <w:u w:val="single"/>
        </w:rPr>
        <w:t>监理服务期从监理合同签订之日起计，至本工程缺陷责任期结束且本工程结算金额经政府主管部门审定</w:t>
      </w:r>
      <w:r>
        <w:rPr>
          <w:rFonts w:hint="eastAsia" w:ascii="宋体" w:hAnsi="宋体" w:eastAsia="宋体" w:cs="宋体"/>
          <w:snapToGrid w:val="0"/>
          <w:color w:val="auto"/>
          <w:kern w:val="0"/>
          <w:szCs w:val="22"/>
          <w:highlight w:val="none"/>
          <w:u w:val="single"/>
        </w:rPr>
        <w:t>且双方的责任义务履行完毕时止。</w:t>
      </w:r>
    </w:p>
    <w:p>
      <w:pPr>
        <w:keepNext w:val="0"/>
        <w:keepLines w:val="0"/>
        <w:pageBreakBefore w:val="0"/>
        <w:kinsoku/>
        <w:wordWrap w:val="0"/>
        <w:overflowPunct/>
        <w:topLinePunct w:val="0"/>
        <w:autoSpaceDE/>
        <w:autoSpaceDN/>
        <w:bidi w:val="0"/>
        <w:snapToGrid w:val="0"/>
        <w:spacing w:line="288" w:lineRule="auto"/>
        <w:ind w:firstLine="480"/>
        <w:jc w:val="both"/>
        <w:outlineLvl w:val="2"/>
        <w:rPr>
          <w:rFonts w:hint="eastAsia" w:ascii="宋体" w:hAnsi="宋体" w:eastAsia="宋体" w:cs="宋体"/>
          <w:snapToGrid w:val="0"/>
          <w:color w:val="auto"/>
          <w:highlight w:val="none"/>
        </w:rPr>
      </w:pPr>
      <w:bookmarkStart w:id="28" w:name="_Toc20385"/>
      <w:r>
        <w:rPr>
          <w:rFonts w:hint="eastAsia" w:ascii="宋体" w:hAnsi="宋体" w:eastAsia="宋体" w:cs="宋体"/>
          <w:b/>
          <w:snapToGrid w:val="0"/>
          <w:color w:val="auto"/>
          <w:highlight w:val="none"/>
        </w:rPr>
        <w:t>5．</w:t>
      </w:r>
      <w:bookmarkEnd w:id="27"/>
      <w:r>
        <w:rPr>
          <w:rFonts w:hint="eastAsia" w:ascii="宋体" w:hAnsi="宋体" w:eastAsia="宋体" w:cs="宋体"/>
          <w:b/>
          <w:snapToGrid w:val="0"/>
          <w:color w:val="auto"/>
          <w:highlight w:val="none"/>
        </w:rPr>
        <w:t>服务标准：</w:t>
      </w:r>
      <w:bookmarkEnd w:id="28"/>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2"/>
          <w:highlight w:val="none"/>
        </w:rPr>
        <w:t xml:space="preserve">5.1 </w:t>
      </w:r>
      <w:r>
        <w:rPr>
          <w:rFonts w:hint="eastAsia" w:ascii="宋体" w:hAnsi="宋体" w:eastAsia="宋体" w:cs="宋体"/>
          <w:snapToGrid w:val="0"/>
          <w:color w:val="auto"/>
          <w:kern w:val="0"/>
          <w:szCs w:val="22"/>
          <w:highlight w:val="none"/>
        </w:rPr>
        <w:t>监理：</w:t>
      </w:r>
      <w:r>
        <w:rPr>
          <w:rFonts w:hint="eastAsia" w:ascii="宋体" w:hAnsi="宋体" w:eastAsia="宋体" w:cs="宋体"/>
          <w:snapToGrid w:val="0"/>
          <w:color w:val="auto"/>
          <w:kern w:val="0"/>
          <w:highlight w:val="none"/>
          <w:u w:val="single"/>
        </w:rPr>
        <w:t>工程质量达到合格标准</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u w:val="single"/>
        </w:rPr>
      </w:pPr>
      <w:r>
        <w:rPr>
          <w:rFonts w:hint="eastAsia" w:ascii="宋体" w:hAnsi="宋体" w:eastAsia="宋体" w:cs="宋体"/>
          <w:b/>
          <w:bCs/>
          <w:snapToGrid w:val="0"/>
          <w:color w:val="auto"/>
          <w:kern w:val="0"/>
          <w:highlight w:val="none"/>
        </w:rPr>
        <w:t>5.2</w:t>
      </w:r>
      <w:r>
        <w:rPr>
          <w:rFonts w:hint="eastAsia" w:ascii="宋体" w:hAnsi="宋体" w:eastAsia="宋体" w:cs="宋体"/>
          <w:snapToGrid w:val="0"/>
          <w:color w:val="auto"/>
          <w:kern w:val="0"/>
          <w:highlight w:val="none"/>
        </w:rPr>
        <w:t xml:space="preserve"> 根据韶关市人民政府《关于加快推进全市绿色建筑发展工作的通知》（韶府办明电〔2013〕277号）有关规定，本招标项目不纳入绿色建筑实施范围。</w:t>
      </w:r>
    </w:p>
    <w:p>
      <w:pPr>
        <w:keepNext w:val="0"/>
        <w:keepLines w:val="0"/>
        <w:pageBreakBefore w:val="0"/>
        <w:kinsoku/>
        <w:wordWrap w:val="0"/>
        <w:overflowPunct/>
        <w:topLinePunct w:val="0"/>
        <w:autoSpaceDE/>
        <w:autoSpaceDN/>
        <w:bidi w:val="0"/>
        <w:snapToGrid w:val="0"/>
        <w:spacing w:line="288" w:lineRule="auto"/>
        <w:ind w:firstLine="482" w:firstLineChars="200"/>
        <w:jc w:val="both"/>
        <w:outlineLvl w:val="2"/>
        <w:rPr>
          <w:rFonts w:hint="eastAsia" w:ascii="宋体" w:hAnsi="宋体" w:eastAsia="宋体" w:cs="宋体"/>
          <w:b/>
          <w:snapToGrid w:val="0"/>
          <w:color w:val="auto"/>
          <w:highlight w:val="none"/>
        </w:rPr>
      </w:pPr>
      <w:bookmarkStart w:id="29" w:name="_Hlt88974078"/>
      <w:bookmarkEnd w:id="29"/>
      <w:bookmarkStart w:id="30" w:name="_Hlt121563076"/>
      <w:bookmarkEnd w:id="30"/>
      <w:bookmarkStart w:id="31" w:name="_Hlt74496537"/>
      <w:bookmarkEnd w:id="31"/>
      <w:bookmarkStart w:id="32" w:name="_Hlt69699204"/>
      <w:bookmarkEnd w:id="32"/>
      <w:bookmarkStart w:id="33" w:name="_Hlt69356505"/>
      <w:bookmarkEnd w:id="33"/>
      <w:bookmarkStart w:id="34" w:name="_Hlt111690342"/>
      <w:bookmarkEnd w:id="34"/>
      <w:bookmarkStart w:id="35" w:name="_Hlt120502666"/>
      <w:bookmarkEnd w:id="35"/>
      <w:bookmarkStart w:id="36" w:name="_Hlt74493474"/>
      <w:bookmarkEnd w:id="36"/>
      <w:bookmarkStart w:id="37" w:name="_Toc2679"/>
      <w:bookmarkStart w:id="38" w:name="_Toc4144"/>
      <w:r>
        <w:rPr>
          <w:rFonts w:hint="eastAsia" w:ascii="宋体" w:hAnsi="宋体" w:eastAsia="宋体" w:cs="宋体"/>
          <w:b/>
          <w:snapToGrid w:val="0"/>
          <w:color w:val="auto"/>
          <w:highlight w:val="none"/>
        </w:rPr>
        <w:t>6．现场踏勘</w:t>
      </w:r>
      <w:bookmarkEnd w:id="37"/>
      <w:bookmarkEnd w:id="38"/>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6.1</w:t>
      </w:r>
      <w:r>
        <w:rPr>
          <w:rFonts w:hint="eastAsia" w:ascii="宋体" w:hAnsi="宋体" w:eastAsia="宋体" w:cs="宋体"/>
          <w:snapToGrid w:val="0"/>
          <w:color w:val="auto"/>
          <w:kern w:val="0"/>
          <w:highlight w:val="none"/>
        </w:rPr>
        <w:t xml:space="preserve"> 招标人不组织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w:t>
      </w:r>
      <w:r>
        <w:rPr>
          <w:rFonts w:hint="eastAsia" w:ascii="宋体" w:hAnsi="宋体" w:eastAsia="宋体" w:cs="宋体"/>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w:t>
      </w:r>
      <w:r>
        <w:rPr>
          <w:rFonts w:hint="eastAsia" w:ascii="宋体" w:hAnsi="宋体" w:eastAsia="宋体" w:cs="宋体"/>
          <w:snapToGrid w:val="0"/>
          <w:color w:val="auto"/>
          <w:kern w:val="0"/>
          <w:highlight w:val="none"/>
        </w:rPr>
        <w:t xml:space="preserve"> 现场踏勘期间的交通、食宿由投标人自行安排，费用自理。</w:t>
      </w:r>
    </w:p>
    <w:p>
      <w:pPr>
        <w:keepNext w:val="0"/>
        <w:keepLines w:val="0"/>
        <w:pageBreakBefore w:val="0"/>
        <w:kinsoku/>
        <w:wordWrap w:val="0"/>
        <w:overflowPunct/>
        <w:topLinePunct w:val="0"/>
        <w:autoSpaceDE/>
        <w:autoSpaceDN/>
        <w:bidi w:val="0"/>
        <w:snapToGrid w:val="0"/>
        <w:spacing w:line="288" w:lineRule="auto"/>
        <w:ind w:firstLine="480"/>
        <w:jc w:val="both"/>
        <w:outlineLvl w:val="9"/>
        <w:rPr>
          <w:rFonts w:hint="eastAsia" w:ascii="宋体" w:hAnsi="宋体" w:eastAsia="宋体" w:cs="宋体"/>
          <w:b/>
          <w:snapToGrid w:val="0"/>
          <w:color w:val="auto"/>
          <w:highlight w:val="none"/>
        </w:rPr>
      </w:pPr>
      <w:bookmarkStart w:id="39" w:name="_Toc18204"/>
    </w:p>
    <w:p>
      <w:pPr>
        <w:keepNext w:val="0"/>
        <w:keepLines w:val="0"/>
        <w:pageBreakBefore w:val="0"/>
        <w:kinsoku/>
        <w:wordWrap w:val="0"/>
        <w:overflowPunct/>
        <w:topLinePunct w:val="0"/>
        <w:autoSpaceDE/>
        <w:autoSpaceDN/>
        <w:bidi w:val="0"/>
        <w:snapToGrid w:val="0"/>
        <w:spacing w:line="288" w:lineRule="auto"/>
        <w:ind w:firstLine="482" w:firstLineChars="200"/>
        <w:jc w:val="both"/>
        <w:outlineLvl w:val="2"/>
        <w:rPr>
          <w:rFonts w:hint="eastAsia" w:ascii="宋体" w:hAnsi="宋体" w:eastAsia="宋体" w:cs="宋体"/>
          <w:b/>
          <w:snapToGrid w:val="0"/>
          <w:color w:val="auto"/>
          <w:highlight w:val="none"/>
        </w:rPr>
      </w:pPr>
      <w:bookmarkStart w:id="40" w:name="_Toc22593"/>
      <w:r>
        <w:rPr>
          <w:rFonts w:hint="eastAsia" w:ascii="宋体" w:hAnsi="宋体" w:eastAsia="宋体" w:cs="宋体"/>
          <w:b/>
          <w:snapToGrid w:val="0"/>
          <w:color w:val="auto"/>
          <w:highlight w:val="none"/>
        </w:rPr>
        <w:t>7．招标文件的提问和答疑</w:t>
      </w:r>
      <w:bookmarkEnd w:id="39"/>
      <w:bookmarkEnd w:id="40"/>
      <w:bookmarkStart w:id="41" w:name="_Hlt74496410"/>
      <w:bookmarkEnd w:id="41"/>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szCs w:val="24"/>
          <w:highlight w:val="none"/>
          <w:lang w:bidi="ar"/>
        </w:rPr>
      </w:pPr>
      <w:r>
        <w:rPr>
          <w:rFonts w:hint="eastAsia" w:ascii="宋体" w:hAnsi="宋体" w:eastAsia="宋体" w:cs="宋体"/>
          <w:b/>
          <w:bCs/>
          <w:snapToGrid w:val="0"/>
          <w:color w:val="auto"/>
          <w:kern w:val="0"/>
          <w:highlight w:val="none"/>
        </w:rPr>
        <w:t>7.1</w:t>
      </w:r>
      <w:r>
        <w:rPr>
          <w:rFonts w:hint="eastAsia" w:ascii="宋体" w:hAnsi="宋体" w:eastAsia="宋体" w:cs="宋体"/>
          <w:snapToGrid w:val="0"/>
          <w:color w:val="auto"/>
          <w:kern w:val="0"/>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ascii="宋体" w:hAnsi="宋体" w:eastAsia="宋体" w:cs="宋体"/>
          <w:snapToGrid w:val="0"/>
          <w:color w:val="auto"/>
          <w:kern w:val="0"/>
          <w:szCs w:val="24"/>
          <w:highlight w:val="none"/>
          <w:lang w:bidi="ar"/>
        </w:rPr>
        <w:t>。</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7.2 </w:t>
      </w:r>
      <w:r>
        <w:rPr>
          <w:rFonts w:hint="eastAsia" w:ascii="宋体" w:hAnsi="宋体" w:eastAsia="宋体" w:cs="宋体"/>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7.3</w:t>
      </w:r>
      <w:r>
        <w:rPr>
          <w:rFonts w:hint="eastAsia" w:ascii="宋体" w:hAnsi="宋体" w:eastAsia="宋体" w:cs="宋体"/>
          <w:snapToGrid w:val="0"/>
          <w:color w:val="auto"/>
          <w:kern w:val="0"/>
          <w:highlight w:val="none"/>
        </w:rPr>
        <w:t xml:space="preserve"> 招标人对招标文件所作的答疑（或修改）公告，构成招标文件的组成部分。</w:t>
      </w:r>
    </w:p>
    <w:p>
      <w:pPr>
        <w:keepNext w:val="0"/>
        <w:keepLines w:val="0"/>
        <w:pageBreakBefore w:val="0"/>
        <w:kinsoku/>
        <w:wordWrap w:val="0"/>
        <w:overflowPunct/>
        <w:topLinePunct w:val="0"/>
        <w:autoSpaceDE/>
        <w:autoSpaceDN/>
        <w:bidi w:val="0"/>
        <w:snapToGrid w:val="0"/>
        <w:spacing w:line="288" w:lineRule="auto"/>
        <w:ind w:firstLine="480"/>
        <w:jc w:val="both"/>
        <w:outlineLvl w:val="2"/>
        <w:rPr>
          <w:rFonts w:hint="eastAsia" w:ascii="宋体" w:hAnsi="宋体" w:eastAsia="宋体" w:cs="宋体"/>
          <w:b/>
          <w:snapToGrid w:val="0"/>
          <w:color w:val="auto"/>
          <w:highlight w:val="none"/>
        </w:rPr>
      </w:pPr>
      <w:bookmarkStart w:id="42" w:name="_Hlt92513715"/>
      <w:bookmarkEnd w:id="42"/>
      <w:bookmarkStart w:id="43" w:name="_Hlt69699188"/>
      <w:bookmarkEnd w:id="43"/>
      <w:bookmarkStart w:id="44" w:name="_Hlt92513711"/>
      <w:bookmarkEnd w:id="44"/>
      <w:bookmarkStart w:id="45" w:name="_Toc12548"/>
      <w:bookmarkStart w:id="46" w:name="_Toc29680"/>
      <w:r>
        <w:rPr>
          <w:rFonts w:hint="eastAsia" w:ascii="宋体" w:hAnsi="宋体" w:eastAsia="宋体" w:cs="宋体"/>
          <w:b/>
          <w:snapToGrid w:val="0"/>
          <w:color w:val="auto"/>
          <w:highlight w:val="none"/>
        </w:rPr>
        <w:t>8．最高投标限价</w:t>
      </w:r>
      <w:bookmarkEnd w:id="45"/>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8.1</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lang w:eastAsia="zh-CN"/>
        </w:rPr>
        <w:t>本招标项目</w:t>
      </w:r>
      <w:r>
        <w:rPr>
          <w:rFonts w:hint="eastAsia" w:ascii="宋体" w:hAnsi="宋体" w:eastAsia="宋体" w:cs="宋体"/>
          <w:snapToGrid w:val="0"/>
          <w:color w:val="auto"/>
          <w:kern w:val="0"/>
          <w:highlight w:val="none"/>
        </w:rPr>
        <w:t>参考以下依据编制最高投标限价：</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（1）工程</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u w:val="single"/>
          <w:lang w:val="en-US" w:eastAsia="zh-CN"/>
        </w:rPr>
        <w:t xml:space="preserve">估算 </w:t>
      </w:r>
      <w:r>
        <w:rPr>
          <w:rFonts w:hint="eastAsia" w:ascii="宋体" w:hAnsi="宋体" w:eastAsia="宋体" w:cs="宋体"/>
          <w:snapToGrid w:val="0"/>
          <w:color w:val="auto"/>
          <w:kern w:val="0"/>
          <w:highlight w:val="none"/>
        </w:rPr>
        <w:t>投资额；</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（2）《建设工程监理与相关服务收费标准》；</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（3）监理及相关服务内容；</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（4）施工现场情况、工程特点；</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（5）项目所在地市场价格。</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szCs w:val="24"/>
          <w:highlight w:val="none"/>
          <w:lang w:eastAsia="zh-CN"/>
        </w:rPr>
      </w:pPr>
      <w:r>
        <w:rPr>
          <w:rFonts w:hint="eastAsia" w:ascii="宋体" w:hAnsi="宋体" w:eastAsia="宋体" w:cs="宋体"/>
          <w:b/>
          <w:bCs/>
          <w:snapToGrid w:val="0"/>
          <w:color w:val="auto"/>
          <w:kern w:val="0"/>
          <w:highlight w:val="none"/>
        </w:rPr>
        <w:t>8.2</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Cs w:val="24"/>
          <w:highlight w:val="none"/>
          <w:lang w:eastAsia="zh-CN"/>
        </w:rPr>
        <w:t>本次招标</w:t>
      </w:r>
      <w:r>
        <w:rPr>
          <w:rFonts w:hint="eastAsia" w:ascii="宋体" w:hAnsi="宋体" w:eastAsia="宋体" w:cs="宋体"/>
          <w:snapToGrid w:val="0"/>
          <w:color w:val="auto"/>
          <w:kern w:val="0"/>
          <w:szCs w:val="24"/>
          <w:highlight w:val="none"/>
        </w:rPr>
        <w:t>最高投标限价为人民币（大写）：</w:t>
      </w:r>
      <w:r>
        <w:rPr>
          <w:rFonts w:hint="eastAsia" w:hAnsi="宋体" w:cs="宋体"/>
          <w:b/>
          <w:bCs/>
          <w:snapToGrid w:val="0"/>
          <w:color w:val="auto"/>
          <w:kern w:val="0"/>
          <w:szCs w:val="24"/>
          <w:highlight w:val="none"/>
          <w:u w:val="single"/>
          <w:lang w:val="en-US" w:eastAsia="zh-CN"/>
        </w:rPr>
        <w:t>壹拾壹万零捌佰伍拾叁元陆角整</w:t>
      </w:r>
      <w:r>
        <w:rPr>
          <w:rFonts w:hint="eastAsia" w:ascii="宋体" w:hAnsi="宋体" w:eastAsia="宋体" w:cs="宋体"/>
          <w:b/>
          <w:bCs/>
          <w:snapToGrid w:val="0"/>
          <w:color w:val="auto"/>
          <w:kern w:val="0"/>
          <w:szCs w:val="24"/>
          <w:highlight w:val="none"/>
          <w:lang w:eastAsia="zh-CN"/>
        </w:rPr>
        <w:t>（</w:t>
      </w:r>
      <w:r>
        <w:rPr>
          <w:rFonts w:hint="eastAsia" w:ascii="宋体" w:hAnsi="宋体" w:eastAsia="宋体" w:cs="宋体"/>
          <w:b/>
          <w:bCs/>
          <w:snapToGrid w:val="0"/>
          <w:color w:val="auto"/>
          <w:kern w:val="0"/>
          <w:szCs w:val="24"/>
          <w:highlight w:val="none"/>
        </w:rPr>
        <w:t>¥</w:t>
      </w:r>
      <w:r>
        <w:rPr>
          <w:rFonts w:hint="eastAsia" w:ascii="宋体" w:hAnsi="宋体" w:eastAsia="宋体" w:cs="宋体"/>
          <w:b/>
          <w:bCs/>
          <w:snapToGrid w:val="0"/>
          <w:color w:val="auto"/>
          <w:kern w:val="0"/>
          <w:szCs w:val="24"/>
          <w:highlight w:val="none"/>
          <w:u w:val="single"/>
        </w:rPr>
        <w:t>110,853.60</w:t>
      </w:r>
      <w:r>
        <w:rPr>
          <w:rFonts w:hint="eastAsia" w:ascii="宋体" w:hAnsi="宋体" w:eastAsia="宋体" w:cs="宋体"/>
          <w:b/>
          <w:bCs/>
          <w:snapToGrid w:val="0"/>
          <w:color w:val="auto"/>
          <w:kern w:val="0"/>
          <w:szCs w:val="24"/>
          <w:highlight w:val="none"/>
          <w:u w:val="none"/>
        </w:rPr>
        <w:t>元</w:t>
      </w:r>
      <w:r>
        <w:rPr>
          <w:rFonts w:hint="eastAsia" w:ascii="宋体" w:hAnsi="宋体" w:eastAsia="宋体" w:cs="宋体"/>
          <w:b/>
          <w:bCs/>
          <w:snapToGrid w:val="0"/>
          <w:color w:val="auto"/>
          <w:kern w:val="0"/>
          <w:szCs w:val="24"/>
          <w:highlight w:val="none"/>
          <w:lang w:eastAsia="zh-CN"/>
        </w:rPr>
        <w:t>）</w:t>
      </w:r>
      <w:r>
        <w:rPr>
          <w:rFonts w:hint="eastAsia" w:hAnsi="宋体" w:cs="宋体"/>
          <w:b/>
          <w:bCs/>
          <w:snapToGrid w:val="0"/>
          <w:color w:val="auto"/>
          <w:kern w:val="0"/>
          <w:szCs w:val="24"/>
          <w:highlight w:val="none"/>
          <w:lang w:eastAsia="zh-CN"/>
        </w:rPr>
        <w:t>。</w:t>
      </w:r>
    </w:p>
    <w:p>
      <w:pPr>
        <w:keepNext w:val="0"/>
        <w:keepLines w:val="0"/>
        <w:pageBreakBefore w:val="0"/>
        <w:kinsoku/>
        <w:wordWrap w:val="0"/>
        <w:overflowPunct/>
        <w:topLinePunct w:val="0"/>
        <w:autoSpaceDE/>
        <w:autoSpaceDN/>
        <w:bidi w:val="0"/>
        <w:snapToGrid w:val="0"/>
        <w:spacing w:line="288" w:lineRule="auto"/>
        <w:ind w:firstLine="482" w:firstLineChars="200"/>
        <w:jc w:val="both"/>
        <w:outlineLvl w:val="2"/>
        <w:rPr>
          <w:rFonts w:hint="eastAsia" w:ascii="宋体" w:hAnsi="宋体" w:eastAsia="宋体" w:cs="宋体"/>
          <w:b/>
          <w:snapToGrid w:val="0"/>
          <w:color w:val="auto"/>
          <w:highlight w:val="none"/>
        </w:rPr>
      </w:pPr>
      <w:bookmarkStart w:id="47" w:name="_Toc26951"/>
      <w:r>
        <w:rPr>
          <w:rFonts w:hint="eastAsia" w:ascii="宋体" w:hAnsi="宋体" w:eastAsia="宋体" w:cs="宋体"/>
          <w:b/>
          <w:snapToGrid w:val="0"/>
          <w:color w:val="auto"/>
          <w:highlight w:val="none"/>
        </w:rPr>
        <w:t>9．投标报价</w:t>
      </w:r>
      <w:bookmarkEnd w:id="46"/>
      <w:bookmarkEnd w:id="47"/>
      <w:bookmarkStart w:id="48" w:name="_Hlt74498519"/>
      <w:bookmarkEnd w:id="48"/>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b w:val="0"/>
          <w:bCs w:val="0"/>
          <w:caps w:val="0"/>
          <w:smallCaps w:val="0"/>
          <w:snapToGrid w:val="0"/>
          <w:color w:val="auto"/>
          <w:spacing w:val="0"/>
          <w:kern w:val="0"/>
          <w:sz w:val="24"/>
          <w:highlight w:val="none"/>
          <w:u w:val="none" w:color="auto"/>
          <w:lang w:val="en-US" w:eastAsia="zh-CN" w:bidi="ar-SA"/>
        </w:rPr>
      </w:pPr>
      <w:r>
        <w:rPr>
          <w:rFonts w:hint="eastAsia" w:ascii="宋体" w:hAnsi="宋体" w:eastAsia="宋体" w:cs="宋体"/>
          <w:b/>
          <w:bCs/>
          <w:snapToGrid w:val="0"/>
          <w:color w:val="auto"/>
          <w:kern w:val="0"/>
          <w:highlight w:val="none"/>
        </w:rPr>
        <w:t>9.1</w:t>
      </w:r>
      <w:r>
        <w:rPr>
          <w:rFonts w:hint="eastAsia" w:ascii="宋体" w:hAnsi="宋体" w:eastAsia="宋体" w:cs="宋体"/>
          <w:snapToGrid w:val="0"/>
          <w:color w:val="auto"/>
          <w:kern w:val="0"/>
          <w:highlight w:val="none"/>
        </w:rPr>
        <w:t xml:space="preserve"> 本次招标采用填报</w:t>
      </w:r>
      <w:r>
        <w:rPr>
          <w:rFonts w:hint="eastAsia" w:ascii="宋体" w:hAnsi="宋体" w:eastAsia="宋体" w:cs="宋体"/>
          <w:snapToGrid w:val="0"/>
          <w:color w:val="auto"/>
          <w:kern w:val="0"/>
          <w:highlight w:val="none"/>
          <w:u w:val="single"/>
        </w:rPr>
        <w:t xml:space="preserve"> 报价</w:t>
      </w:r>
      <w:r>
        <w:rPr>
          <w:rFonts w:hint="eastAsia" w:ascii="宋体" w:hAnsi="宋体" w:eastAsia="宋体" w:cs="宋体"/>
          <w:snapToGrid w:val="0"/>
          <w:color w:val="auto"/>
          <w:kern w:val="0"/>
          <w:highlight w:val="none"/>
        </w:rPr>
        <w:t>的方式进行报价。</w:t>
      </w:r>
      <w:r>
        <w:rPr>
          <w:rFonts w:hint="eastAsia" w:ascii="宋体" w:hAnsi="宋体" w:eastAsia="宋体" w:cs="宋体"/>
          <w:b w:val="0"/>
          <w:bCs w:val="0"/>
          <w:caps w:val="0"/>
          <w:smallCaps w:val="0"/>
          <w:snapToGrid w:val="0"/>
          <w:color w:val="auto"/>
          <w:spacing w:val="0"/>
          <w:kern w:val="0"/>
          <w:sz w:val="24"/>
          <w:highlight w:val="none"/>
          <w:u w:val="none" w:color="auto"/>
          <w:lang w:val="en-US" w:eastAsia="zh-CN" w:bidi="ar-SA"/>
        </w:rPr>
        <w:t>投标人应在《投标函》（格式二）中进行报价并填写《监理及相关服务报酬清单》（格式十四）。</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9.2</w:t>
      </w:r>
      <w:r>
        <w:rPr>
          <w:rFonts w:hint="eastAsia" w:ascii="宋体" w:hAnsi="宋体" w:eastAsia="宋体" w:cs="宋体"/>
          <w:snapToGrid w:val="0"/>
          <w:color w:val="auto"/>
          <w:kern w:val="0"/>
          <w:highlight w:val="none"/>
        </w:rPr>
        <w:t xml:space="preserve"> 所有报价均以人民币“元”为单位，并按“四舍五入”原则精确到两位小数；</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9.3</w:t>
      </w:r>
      <w:r>
        <w:rPr>
          <w:rFonts w:hint="eastAsia" w:ascii="宋体" w:hAnsi="宋体" w:eastAsia="宋体" w:cs="宋体"/>
          <w:snapToGrid w:val="0"/>
          <w:color w:val="auto"/>
          <w:kern w:val="0"/>
          <w:highlight w:val="none"/>
        </w:rPr>
        <w:t xml:space="preserve"> 投标人只允许有一个投标总价。投标总价必须同时用大、小写表示，大、小写报价应保持一致，若不一致，以大写报价为准。</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9.4</w:t>
      </w:r>
      <w:r>
        <w:rPr>
          <w:rFonts w:hint="eastAsia" w:ascii="宋体" w:hAnsi="宋体" w:eastAsia="宋体" w:cs="宋体"/>
          <w:snapToGrid w:val="0"/>
          <w:color w:val="auto"/>
          <w:kern w:val="0"/>
          <w:highlight w:val="none"/>
        </w:rPr>
        <w:t xml:space="preserve"> 投标总价应包括国家规定的增值税税金。本次招标增值税税金按</w:t>
      </w:r>
      <w:r>
        <w:rPr>
          <w:rFonts w:hint="eastAsia" w:ascii="宋体" w:hAnsi="宋体" w:eastAsia="宋体" w:cs="宋体"/>
          <w:snapToGrid w:val="0"/>
          <w:color w:val="auto"/>
          <w:kern w:val="0"/>
          <w:highlight w:val="none"/>
          <w:u w:val="single"/>
        </w:rPr>
        <w:t xml:space="preserve"> 一般 </w:t>
      </w:r>
      <w:r>
        <w:rPr>
          <w:rFonts w:hint="eastAsia" w:ascii="宋体" w:hAnsi="宋体" w:eastAsia="宋体" w:cs="宋体"/>
          <w:snapToGrid w:val="0"/>
          <w:color w:val="auto"/>
          <w:kern w:val="0"/>
          <w:highlight w:val="none"/>
        </w:rPr>
        <w:t>计税方法计算。</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9.5</w:t>
      </w:r>
      <w:r>
        <w:rPr>
          <w:rFonts w:hint="eastAsia" w:ascii="宋体" w:hAnsi="宋体" w:eastAsia="宋体" w:cs="宋体"/>
          <w:snapToGrid w:val="0"/>
          <w:color w:val="auto"/>
          <w:kern w:val="0"/>
          <w:highlight w:val="none"/>
        </w:rPr>
        <w:t xml:space="preserve"> 投标总价不得高于最高投标限价，也不得低于成本。投标总价的所有优惠（降价、让利等），均应在《监理及相关服务报酬清单》（格式十四）中反映。</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9.6</w:t>
      </w:r>
      <w:r>
        <w:rPr>
          <w:rFonts w:hint="eastAsia" w:ascii="宋体" w:hAnsi="宋体" w:eastAsia="宋体" w:cs="宋体"/>
          <w:snapToGrid w:val="0"/>
          <w:color w:val="auto"/>
          <w:kern w:val="0"/>
          <w:highlight w:val="none"/>
        </w:rPr>
        <w:t xml:space="preserve"> 投标人应充分了解招标项目的总体情况以及影响投标报价的其他要素。</w:t>
      </w:r>
    </w:p>
    <w:p>
      <w:pPr>
        <w:keepNext w:val="0"/>
        <w:keepLines w:val="0"/>
        <w:pageBreakBefore w:val="0"/>
        <w:kinsoku/>
        <w:wordWrap w:val="0"/>
        <w:overflowPunct/>
        <w:topLinePunct w:val="0"/>
        <w:autoSpaceDE/>
        <w:autoSpaceDN/>
        <w:bidi w:val="0"/>
        <w:snapToGrid w:val="0"/>
        <w:spacing w:line="288" w:lineRule="auto"/>
        <w:ind w:firstLine="480"/>
        <w:jc w:val="both"/>
        <w:outlineLvl w:val="2"/>
        <w:rPr>
          <w:rFonts w:hint="eastAsia" w:ascii="宋体" w:hAnsi="宋体" w:eastAsia="宋体" w:cs="宋体"/>
          <w:b/>
          <w:strike/>
          <w:snapToGrid w:val="0"/>
          <w:color w:val="auto"/>
          <w:highlight w:val="none"/>
        </w:rPr>
      </w:pPr>
      <w:bookmarkStart w:id="49" w:name="_（十）投标文件的编制、包装、密封"/>
      <w:bookmarkEnd w:id="49"/>
      <w:bookmarkStart w:id="50" w:name="_Toc14473"/>
      <w:bookmarkStart w:id="51" w:name="_Toc28889"/>
      <w:r>
        <w:rPr>
          <w:rFonts w:hint="eastAsia" w:ascii="宋体" w:hAnsi="宋体" w:eastAsia="宋体" w:cs="宋体"/>
          <w:b/>
          <w:snapToGrid w:val="0"/>
          <w:color w:val="auto"/>
          <w:highlight w:val="none"/>
        </w:rPr>
        <w:t>10．投标文件的编制</w:t>
      </w:r>
      <w:bookmarkStart w:id="52" w:name="_Hlt69208262"/>
      <w:bookmarkEnd w:id="52"/>
      <w:bookmarkStart w:id="53" w:name="_Hlt69332370"/>
      <w:bookmarkEnd w:id="53"/>
      <w:r>
        <w:rPr>
          <w:rFonts w:hint="eastAsia" w:ascii="宋体" w:hAnsi="宋体" w:eastAsia="宋体" w:cs="宋体"/>
          <w:b/>
          <w:snapToGrid w:val="0"/>
          <w:color w:val="auto"/>
          <w:highlight w:val="none"/>
        </w:rPr>
        <w:t>要求</w:t>
      </w:r>
      <w:bookmarkEnd w:id="50"/>
      <w:bookmarkEnd w:id="51"/>
      <w:bookmarkStart w:id="54" w:name="_Hlt74497202"/>
      <w:bookmarkEnd w:id="54"/>
      <w:bookmarkStart w:id="55" w:name="_Hlt78768224"/>
      <w:bookmarkEnd w:id="55"/>
      <w:bookmarkStart w:id="56" w:name="_Hlt74495594"/>
      <w:bookmarkEnd w:id="56"/>
      <w:bookmarkStart w:id="57" w:name="_Toc17114"/>
    </w:p>
    <w:p>
      <w:pPr>
        <w:keepNext w:val="0"/>
        <w:keepLines w:val="0"/>
        <w:pageBreakBefore w:val="0"/>
        <w:widowControl w:val="0"/>
        <w:kinsoku/>
        <w:wordWrap w:val="0"/>
        <w:overflowPunct/>
        <w:topLinePunct w:val="0"/>
        <w:autoSpaceDE/>
        <w:autoSpaceDN/>
        <w:bidi w:val="0"/>
        <w:adjustRightInd w:val="0"/>
        <w:snapToGrid w:val="0"/>
        <w:spacing w:before="0" w:after="0" w:line="288" w:lineRule="auto"/>
        <w:ind w:firstLine="482" w:firstLineChars="200"/>
        <w:jc w:val="both"/>
        <w:outlineLvl w:val="9"/>
        <w:rPr>
          <w:rFonts w:hint="eastAsia" w:ascii="宋体" w:hAnsi="宋体" w:eastAsia="宋体" w:cs="宋体"/>
          <w:b/>
          <w:snapToGrid w:val="0"/>
          <w:color w:val="auto"/>
          <w:highlight w:val="none"/>
        </w:rPr>
      </w:pPr>
      <w:r>
        <w:rPr>
          <w:rFonts w:hint="eastAsia" w:ascii="宋体" w:hAnsi="宋体" w:eastAsia="宋体" w:cs="宋体"/>
          <w:b/>
          <w:bCs/>
          <w:snapToGrid w:val="0"/>
          <w:color w:val="auto"/>
          <w:highlight w:val="none"/>
        </w:rPr>
        <w:t>10.1</w:t>
      </w:r>
      <w:r>
        <w:rPr>
          <w:rFonts w:hint="eastAsia" w:ascii="宋体" w:hAnsi="宋体" w:eastAsia="宋体" w:cs="宋体"/>
          <w:bCs/>
          <w:snapToGrid w:val="0"/>
          <w:color w:val="auto"/>
          <w:highlight w:val="none"/>
        </w:rPr>
        <w:t xml:space="preserve"> 一般要求</w:t>
      </w:r>
      <w:bookmarkEnd w:id="57"/>
    </w:p>
    <w:p>
      <w:pPr>
        <w:pStyle w:val="13"/>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snapToGrid w:val="0"/>
          <w:color w:val="auto"/>
          <w:kern w:val="0"/>
          <w:highlight w:val="none"/>
        </w:rPr>
      </w:pPr>
      <w:r>
        <w:rPr>
          <w:rStyle w:val="146"/>
          <w:rFonts w:hint="eastAsia" w:ascii="宋体" w:hAnsi="宋体" w:eastAsia="宋体" w:cs="宋体"/>
          <w:b/>
          <w:bCs/>
          <w:color w:val="auto"/>
          <w:highlight w:val="none"/>
        </w:rPr>
        <w:t>投标文件应按第六章 投标文件格式规定的内容，投标人提交的投标文件应当使用招标文件所提供的投标文件全部格式</w:t>
      </w:r>
      <w:r>
        <w:rPr>
          <w:rFonts w:hint="eastAsia" w:ascii="宋体" w:hAnsi="宋体" w:eastAsia="宋体" w:cs="宋体"/>
          <w:snapToGrid w:val="0"/>
          <w:color w:val="auto"/>
          <w:kern w:val="0"/>
          <w:highlight w:val="none"/>
        </w:rPr>
        <w:t>。</w:t>
      </w:r>
    </w:p>
    <w:p>
      <w:pPr>
        <w:pStyle w:val="13"/>
        <w:keepNext w:val="0"/>
        <w:keepLines w:val="0"/>
        <w:pageBreakBefore w:val="0"/>
        <w:kinsoku/>
        <w:wordWrap w:val="0"/>
        <w:overflowPunct/>
        <w:topLinePunct w:val="0"/>
        <w:autoSpaceDE/>
        <w:autoSpaceDN/>
        <w:bidi w:val="0"/>
        <w:adjustRightInd w:val="0"/>
        <w:snapToGrid w:val="0"/>
        <w:spacing w:line="288" w:lineRule="auto"/>
        <w:ind w:firstLineChars="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10.1.1</w:t>
      </w:r>
      <w:r>
        <w:rPr>
          <w:rFonts w:hint="eastAsia" w:ascii="宋体" w:hAnsi="宋体" w:eastAsia="宋体" w:cs="宋体"/>
          <w:snapToGrid w:val="0"/>
          <w:color w:val="auto"/>
          <w:kern w:val="0"/>
          <w:highlight w:val="none"/>
        </w:rPr>
        <w:t xml:space="preserve"> 投标人必须响应招标文件，并在充分理解招标文件的基础</w:t>
      </w:r>
      <w:bookmarkStart w:id="58" w:name="_Hlt78709790"/>
      <w:bookmarkEnd w:id="58"/>
      <w:r>
        <w:rPr>
          <w:rFonts w:hint="eastAsia" w:ascii="宋体" w:hAnsi="宋体" w:eastAsia="宋体" w:cs="宋体"/>
          <w:snapToGrid w:val="0"/>
          <w:color w:val="auto"/>
          <w:kern w:val="0"/>
          <w:highlight w:val="none"/>
        </w:rPr>
        <w:t>上编制投标文件。因投标文件不符合招标文件的要求而造成的损失和后果，由投标人自行承担。</w:t>
      </w:r>
      <w:bookmarkStart w:id="59" w:name="_Hlt74496890"/>
      <w:bookmarkEnd w:id="59"/>
    </w:p>
    <w:p>
      <w:pPr>
        <w:pStyle w:val="13"/>
        <w:keepNext w:val="0"/>
        <w:keepLines w:val="0"/>
        <w:pageBreakBefore w:val="0"/>
        <w:kinsoku/>
        <w:wordWrap w:val="0"/>
        <w:overflowPunct/>
        <w:topLinePunct w:val="0"/>
        <w:autoSpaceDE/>
        <w:autoSpaceDN/>
        <w:bidi w:val="0"/>
        <w:adjustRightInd w:val="0"/>
        <w:snapToGrid w:val="0"/>
        <w:spacing w:line="288" w:lineRule="auto"/>
        <w:ind w:firstLineChars="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10.1.2</w:t>
      </w:r>
      <w:r>
        <w:rPr>
          <w:rFonts w:hint="eastAsia" w:ascii="宋体" w:hAnsi="宋体" w:eastAsia="宋体" w:cs="宋体"/>
          <w:snapToGrid w:val="0"/>
          <w:color w:val="auto"/>
          <w:kern w:val="0"/>
          <w:highlight w:val="none"/>
        </w:rPr>
        <w:t xml:space="preserve"> </w:t>
      </w:r>
      <w:r>
        <w:rPr>
          <w:rStyle w:val="146"/>
          <w:rFonts w:hint="eastAsia" w:ascii="宋体" w:hAnsi="宋体" w:eastAsia="宋体" w:cs="宋体"/>
          <w:b/>
          <w:bCs/>
          <w:color w:val="auto"/>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交易一体化平台交易指引</w:t>
      </w:r>
      <w:r>
        <w:rPr>
          <w:rFonts w:hint="eastAsia" w:ascii="宋体" w:hAnsi="宋体" w:eastAsia="宋体" w:cs="宋体"/>
          <w:snapToGrid w:val="0"/>
          <w:color w:val="auto"/>
          <w:kern w:val="0"/>
          <w:highlight w:val="none"/>
        </w:rPr>
        <w:t>。</w:t>
      </w:r>
    </w:p>
    <w:p>
      <w:pPr>
        <w:pStyle w:val="13"/>
        <w:keepNext w:val="0"/>
        <w:keepLines w:val="0"/>
        <w:pageBreakBefore w:val="0"/>
        <w:kinsoku/>
        <w:wordWrap w:val="0"/>
        <w:overflowPunct/>
        <w:topLinePunct w:val="0"/>
        <w:autoSpaceDE/>
        <w:autoSpaceDN/>
        <w:bidi w:val="0"/>
        <w:adjustRightInd w:val="0"/>
        <w:snapToGrid w:val="0"/>
        <w:spacing w:line="288" w:lineRule="auto"/>
        <w:ind w:firstLineChars="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w:t>
      </w:r>
      <w:r>
        <w:rPr>
          <w:rFonts w:hint="eastAsia" w:ascii="宋体" w:hAnsi="宋体" w:eastAsia="宋体" w:cs="宋体"/>
          <w:snapToGrid w:val="0"/>
          <w:color w:val="auto"/>
          <w:kern w:val="0"/>
          <w:highlight w:val="none"/>
        </w:rPr>
        <w:t xml:space="preserve"> 投标文件需按以下要求签字、盖章：</w:t>
      </w:r>
    </w:p>
    <w:p>
      <w:pPr>
        <w:pStyle w:val="13"/>
        <w:keepNext w:val="0"/>
        <w:keepLines w:val="0"/>
        <w:pageBreakBefore w:val="0"/>
        <w:kinsoku/>
        <w:wordWrap w:val="0"/>
        <w:overflowPunct/>
        <w:topLinePunct w:val="0"/>
        <w:autoSpaceDE/>
        <w:autoSpaceDN/>
        <w:bidi w:val="0"/>
        <w:adjustRightInd w:val="0"/>
        <w:snapToGrid w:val="0"/>
        <w:spacing w:line="288" w:lineRule="auto"/>
        <w:ind w:firstLineChars="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10.1.3.1</w:t>
      </w:r>
      <w:r>
        <w:rPr>
          <w:rFonts w:hint="eastAsia" w:ascii="宋体" w:hAnsi="宋体" w:eastAsia="宋体" w:cs="宋体"/>
          <w:snapToGrid w:val="0"/>
          <w:color w:val="auto"/>
          <w:kern w:val="0"/>
          <w:highlight w:val="none"/>
        </w:rPr>
        <w:t xml:space="preserve"> </w:t>
      </w:r>
      <w:r>
        <w:rPr>
          <w:rStyle w:val="146"/>
          <w:rFonts w:hint="eastAsia" w:ascii="宋体" w:hAnsi="宋体" w:eastAsia="宋体" w:cs="宋体"/>
          <w:color w:val="auto"/>
          <w:kern w:val="0"/>
          <w:highlight w:val="none"/>
        </w:rPr>
        <w:t>投标文件封面、组成内容中凡注明“签字”处由要求的人员签字或电子签章；凡注明“签字或盖章”处由要求的人员签字或盖其私章（电子印章）；凡注明“签字并盖执业印章”处由要求的人员签字并盖其执业印章</w:t>
      </w:r>
      <w:r>
        <w:rPr>
          <w:rFonts w:hint="eastAsia" w:ascii="宋体" w:hAnsi="宋体" w:eastAsia="宋体" w:cs="宋体"/>
          <w:snapToGrid w:val="0"/>
          <w:color w:val="auto"/>
          <w:kern w:val="0"/>
          <w:highlight w:val="none"/>
        </w:rPr>
        <w:t>。</w:t>
      </w:r>
    </w:p>
    <w:p>
      <w:pPr>
        <w:pStyle w:val="13"/>
        <w:keepNext w:val="0"/>
        <w:keepLines w:val="0"/>
        <w:pageBreakBefore w:val="0"/>
        <w:kinsoku/>
        <w:wordWrap w:val="0"/>
        <w:overflowPunct/>
        <w:topLinePunct w:val="0"/>
        <w:autoSpaceDE/>
        <w:autoSpaceDN/>
        <w:bidi w:val="0"/>
        <w:adjustRightInd w:val="0"/>
        <w:snapToGrid w:val="0"/>
        <w:spacing w:line="288" w:lineRule="auto"/>
        <w:ind w:firstLineChars="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10.1.3.2</w:t>
      </w:r>
      <w:r>
        <w:rPr>
          <w:rFonts w:hint="eastAsia" w:ascii="宋体" w:hAnsi="宋体" w:eastAsia="宋体" w:cs="宋体"/>
          <w:snapToGrid w:val="0"/>
          <w:color w:val="auto"/>
          <w:kern w:val="0"/>
          <w:highlight w:val="none"/>
        </w:rPr>
        <w:t xml:space="preserve"> </w:t>
      </w:r>
      <w:r>
        <w:rPr>
          <w:rStyle w:val="146"/>
          <w:rFonts w:hint="eastAsia" w:ascii="宋体" w:hAnsi="宋体" w:eastAsia="宋体" w:cs="宋体"/>
          <w:color w:val="auto"/>
          <w:kern w:val="0"/>
          <w:highlight w:val="none"/>
        </w:rPr>
        <w:t>投标文件封套、封面、组成内容中凡要求录入投标人名称且注明“盖单位章”处盖单位法人公章（电子印章）</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lang w:eastAsia="zh-CN"/>
        </w:rPr>
      </w:pPr>
      <w:r>
        <w:rPr>
          <w:rFonts w:hint="eastAsia" w:ascii="宋体" w:hAnsi="宋体" w:eastAsia="宋体" w:cs="宋体"/>
          <w:b/>
          <w:bCs/>
          <w:snapToGrid w:val="0"/>
          <w:color w:val="auto"/>
          <w:kern w:val="0"/>
          <w:highlight w:val="none"/>
        </w:rPr>
        <w:t>10.1.3.3</w:t>
      </w:r>
      <w:r>
        <w:rPr>
          <w:rFonts w:hint="eastAsia" w:ascii="宋体" w:hAnsi="宋体" w:eastAsia="宋体" w:cs="宋体"/>
          <w:snapToGrid w:val="0"/>
          <w:color w:val="auto"/>
          <w:kern w:val="0"/>
          <w:highlight w:val="none"/>
        </w:rPr>
        <w:t xml:space="preserve"> </w:t>
      </w:r>
      <w:r>
        <w:rPr>
          <w:rStyle w:val="146"/>
          <w:rFonts w:hint="eastAsia" w:ascii="宋体" w:hAnsi="宋体" w:eastAsia="宋体" w:cs="宋体"/>
          <w:color w:val="auto"/>
          <w:kern w:val="0"/>
          <w:highlight w:val="none"/>
          <w:lang w:val="en-US" w:eastAsia="zh-CN"/>
        </w:rPr>
        <w:t>投标文件的签字均为签字人本人亲笔署名或签章（电子印章），其余部分的复印件无须另行签字、盖章。10.1.3.4 联合体投标的，除《联合体协议书》外，由联合体牵头人按以上要求签字（电子印章）、盖章（电子印章）即可</w:t>
      </w:r>
      <w:r>
        <w:rPr>
          <w:rFonts w:hint="eastAsia" w:ascii="宋体" w:hAnsi="宋体" w:eastAsia="宋体" w:cs="宋体"/>
          <w:snapToGrid w:val="0"/>
          <w:color w:val="auto"/>
          <w:kern w:val="0"/>
          <w:highlight w:val="none"/>
        </w:rPr>
        <w:t>（本次招标不适用）</w:t>
      </w:r>
      <w:r>
        <w:rPr>
          <w:rFonts w:hint="eastAsia" w:ascii="宋体" w:hAnsi="宋体" w:eastAsia="宋体" w:cs="宋体"/>
          <w:snapToGrid w:val="0"/>
          <w:color w:val="auto"/>
          <w:kern w:val="0"/>
          <w:highlight w:val="none"/>
          <w:lang w:eastAsia="zh-CN"/>
        </w:rPr>
        <w:t>。</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b/>
          <w:snapToGrid w:val="0"/>
          <w:color w:val="auto"/>
          <w:kern w:val="0"/>
          <w:highlight w:val="none"/>
        </w:rPr>
      </w:pPr>
      <w:bookmarkStart w:id="60" w:name="_Toc29774"/>
      <w:bookmarkStart w:id="61" w:name="_Toc274313880"/>
      <w:bookmarkStart w:id="62" w:name="_Toc257031159"/>
      <w:r>
        <w:rPr>
          <w:rFonts w:hint="eastAsia" w:ascii="宋体" w:hAnsi="宋体" w:eastAsia="宋体" w:cs="宋体"/>
          <w:b/>
          <w:bCs/>
          <w:snapToGrid w:val="0"/>
          <w:color w:val="auto"/>
          <w:kern w:val="0"/>
          <w:highlight w:val="none"/>
        </w:rPr>
        <w:t>10.2</w:t>
      </w:r>
      <w:r>
        <w:rPr>
          <w:rFonts w:hint="eastAsia" w:ascii="宋体" w:hAnsi="宋体" w:eastAsia="宋体" w:cs="宋体"/>
          <w:bCs/>
          <w:snapToGrid w:val="0"/>
          <w:color w:val="auto"/>
          <w:kern w:val="0"/>
          <w:highlight w:val="none"/>
        </w:rPr>
        <w:t xml:space="preserve"> 商务标书的编制要求</w:t>
      </w:r>
      <w:bookmarkEnd w:id="60"/>
      <w:bookmarkEnd w:id="61"/>
      <w:bookmarkEnd w:id="62"/>
    </w:p>
    <w:p>
      <w:pPr>
        <w:keepNext w:val="0"/>
        <w:keepLines w:val="0"/>
        <w:pageBreakBefore w:val="0"/>
        <w:kinsoku/>
        <w:wordWrap w:val="0"/>
        <w:overflowPunct/>
        <w:topLinePunct w:val="0"/>
        <w:autoSpaceDE/>
        <w:autoSpaceDN/>
        <w:bidi w:val="0"/>
        <w:adjustRightInd w:val="0"/>
        <w:snapToGrid w:val="0"/>
        <w:spacing w:line="288" w:lineRule="auto"/>
        <w:ind w:firstLine="561"/>
        <w:outlineLvl w:val="9"/>
        <w:rPr>
          <w:rFonts w:hint="eastAsia" w:ascii="宋体" w:hAnsi="宋体" w:eastAsia="宋体" w:cs="宋体"/>
          <w:snapToGrid w:val="0"/>
          <w:color w:val="auto"/>
          <w:kern w:val="0"/>
          <w:highlight w:val="none"/>
          <w:u w:val="single"/>
        </w:rPr>
      </w:pPr>
      <w:r>
        <w:rPr>
          <w:rFonts w:hint="eastAsia" w:ascii="宋体" w:hAnsi="宋体" w:eastAsia="宋体" w:cs="宋体"/>
          <w:b/>
          <w:bCs/>
          <w:snapToGrid w:val="0"/>
          <w:color w:val="auto"/>
          <w:kern w:val="0"/>
          <w:highlight w:val="none"/>
        </w:rPr>
        <w:t>10.2.1</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highlight w:val="none"/>
        </w:rPr>
        <w:t>商务标书</w:t>
      </w:r>
      <w:r>
        <w:rPr>
          <w:rFonts w:hint="eastAsia" w:ascii="宋体" w:hAnsi="宋体" w:eastAsia="宋体" w:cs="宋体"/>
          <w:snapToGrid w:val="0"/>
          <w:color w:val="auto"/>
          <w:kern w:val="0"/>
          <w:highlight w:val="none"/>
        </w:rPr>
        <w:t>包括但不限于以下内容：</w:t>
      </w:r>
    </w:p>
    <w:p>
      <w:pPr>
        <w:keepNext w:val="0"/>
        <w:keepLines w:val="0"/>
        <w:pageBreakBefore w:val="0"/>
        <w:kinsoku/>
        <w:wordWrap w:val="0"/>
        <w:overflowPunct/>
        <w:topLinePunct w:val="0"/>
        <w:autoSpaceDE/>
        <w:autoSpaceDN/>
        <w:bidi w:val="0"/>
        <w:adjustRightInd w:val="0"/>
        <w:snapToGrid w:val="0"/>
        <w:spacing w:line="288" w:lineRule="auto"/>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Cs w:val="18"/>
          <w:highlight w:val="none"/>
        </w:rPr>
        <w:t>（1）封面（格式一）；</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（2）目录；</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（3）《</w:t>
      </w:r>
      <w:r>
        <w:rPr>
          <w:rFonts w:hint="eastAsia" w:ascii="宋体" w:hAnsi="宋体" w:eastAsia="宋体" w:cs="宋体"/>
          <w:snapToGrid w:val="0"/>
          <w:color w:val="auto"/>
          <w:kern w:val="0"/>
          <w:highlight w:val="none"/>
        </w:rPr>
        <w:t>投标函</w:t>
      </w:r>
      <w:r>
        <w:rPr>
          <w:rFonts w:hint="eastAsia" w:ascii="宋体" w:hAnsi="宋体" w:eastAsia="宋体" w:cs="宋体"/>
          <w:snapToGrid w:val="0"/>
          <w:color w:val="auto"/>
          <w:kern w:val="0"/>
          <w:szCs w:val="18"/>
          <w:highlight w:val="none"/>
        </w:rPr>
        <w:t>》（格式二）；</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（4）《</w:t>
      </w:r>
      <w:r>
        <w:rPr>
          <w:rFonts w:hint="eastAsia" w:ascii="宋体" w:hAnsi="宋体" w:eastAsia="宋体" w:cs="宋体"/>
          <w:snapToGrid w:val="0"/>
          <w:color w:val="auto"/>
          <w:kern w:val="0"/>
          <w:szCs w:val="22"/>
          <w:highlight w:val="none"/>
        </w:rPr>
        <w:t>各项</w:t>
      </w:r>
      <w:r>
        <w:rPr>
          <w:rFonts w:hint="eastAsia" w:ascii="宋体" w:hAnsi="宋体" w:eastAsia="宋体" w:cs="宋体"/>
          <w:snapToGrid w:val="0"/>
          <w:color w:val="auto"/>
          <w:kern w:val="0"/>
          <w:highlight w:val="none"/>
        </w:rPr>
        <w:t>承诺一览表》（格式三）；</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（5）《授权委托书》（格式四）；</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（6）《法定代表人身份证明》（格式五）；</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（7）《联合体协议书》（格式六）及所附资料（本项目不适用）；</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（9）《投标人基本情况表》（格式七）及所附资料；</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（10）《总监理工程师任职声明》（格式八或格式九，由投标人根据拟派总监理工程师任职情况选用）；</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（11）《总监理工程师任职项目情况表》（格式十）及所附资料；</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（12）《项目监理机构组成人员汇总表》（格式十一）及所附资料；</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（13）《总监理工程师简历表》（格式十二）及所附资料；</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（14）《其他拟派人员简历表》（格式十三）及所附资料；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288" w:lineRule="auto"/>
        <w:ind w:right="0" w:rightChars="0" w:firstLine="480" w:firstLineChars="200"/>
        <w:textAlignment w:val="auto"/>
        <w:outlineLvl w:val="9"/>
        <w:rPr>
          <w:rFonts w:hint="eastAsia" w:ascii="宋体" w:hAnsi="宋体" w:eastAsia="宋体" w:cs="宋体"/>
          <w:caps w:val="0"/>
          <w:smallCaps w:val="0"/>
          <w:snapToGrid w:val="0"/>
          <w:color w:val="auto"/>
          <w:spacing w:val="0"/>
          <w:kern w:val="0"/>
          <w:szCs w:val="18"/>
          <w:highlight w:val="none"/>
          <w:lang w:eastAsia="zh-CN"/>
        </w:rPr>
      </w:pPr>
      <w:r>
        <w:rPr>
          <w:rFonts w:hint="eastAsia" w:ascii="宋体" w:hAnsi="宋体" w:eastAsia="宋体" w:cs="宋体"/>
          <w:caps w:val="0"/>
          <w:smallCaps w:val="0"/>
          <w:snapToGrid w:val="0"/>
          <w:color w:val="auto"/>
          <w:spacing w:val="0"/>
          <w:kern w:val="0"/>
          <w:szCs w:val="18"/>
          <w:highlight w:val="none"/>
          <w:lang w:eastAsia="zh-CN"/>
        </w:rPr>
        <w:t>（</w:t>
      </w:r>
      <w:r>
        <w:rPr>
          <w:rFonts w:hint="eastAsia" w:ascii="宋体" w:hAnsi="宋体" w:eastAsia="宋体" w:cs="宋体"/>
          <w:caps w:val="0"/>
          <w:smallCaps w:val="0"/>
          <w:snapToGrid w:val="0"/>
          <w:color w:val="auto"/>
          <w:spacing w:val="0"/>
          <w:kern w:val="0"/>
          <w:szCs w:val="18"/>
          <w:highlight w:val="none"/>
          <w:lang w:val="en-US" w:eastAsia="zh-CN"/>
        </w:rPr>
        <w:t>15</w:t>
      </w:r>
      <w:r>
        <w:rPr>
          <w:rFonts w:hint="eastAsia" w:ascii="宋体" w:hAnsi="宋体" w:eastAsia="宋体" w:cs="宋体"/>
          <w:caps w:val="0"/>
          <w:smallCaps w:val="0"/>
          <w:snapToGrid w:val="0"/>
          <w:color w:val="auto"/>
          <w:spacing w:val="0"/>
          <w:kern w:val="0"/>
          <w:szCs w:val="18"/>
          <w:highlight w:val="none"/>
          <w:lang w:eastAsia="zh-CN"/>
        </w:rPr>
        <w:t>）《监理及相关服务报酬清单》（格式十四）；</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288" w:lineRule="auto"/>
        <w:ind w:right="0" w:rightChars="0" w:firstLine="480" w:firstLineChars="200"/>
        <w:textAlignment w:val="auto"/>
        <w:outlineLvl w:val="9"/>
        <w:rPr>
          <w:rFonts w:hint="eastAsia" w:ascii="宋体" w:hAnsi="宋体" w:eastAsia="宋体" w:cs="宋体"/>
          <w:caps w:val="0"/>
          <w:smallCaps w:val="0"/>
          <w:snapToGrid w:val="0"/>
          <w:color w:val="auto"/>
          <w:spacing w:val="0"/>
          <w:kern w:val="0"/>
          <w:szCs w:val="18"/>
          <w:highlight w:val="none"/>
          <w:lang w:eastAsia="zh-CN"/>
        </w:rPr>
      </w:pPr>
      <w:r>
        <w:rPr>
          <w:rFonts w:hint="eastAsia" w:ascii="宋体" w:hAnsi="宋体" w:eastAsia="宋体" w:cs="宋体"/>
          <w:caps w:val="0"/>
          <w:smallCaps w:val="0"/>
          <w:snapToGrid w:val="0"/>
          <w:color w:val="auto"/>
          <w:spacing w:val="0"/>
          <w:kern w:val="0"/>
          <w:szCs w:val="18"/>
          <w:highlight w:val="none"/>
          <w:lang w:eastAsia="zh-CN"/>
        </w:rPr>
        <w:t>（</w:t>
      </w:r>
      <w:r>
        <w:rPr>
          <w:rFonts w:hint="eastAsia" w:ascii="宋体" w:hAnsi="宋体" w:eastAsia="宋体" w:cs="宋体"/>
          <w:caps w:val="0"/>
          <w:smallCaps w:val="0"/>
          <w:snapToGrid w:val="0"/>
          <w:color w:val="auto"/>
          <w:spacing w:val="0"/>
          <w:kern w:val="0"/>
          <w:szCs w:val="18"/>
          <w:highlight w:val="none"/>
          <w:lang w:val="en-US" w:eastAsia="zh-CN"/>
        </w:rPr>
        <w:t>16</w:t>
      </w:r>
      <w:r>
        <w:rPr>
          <w:rFonts w:hint="eastAsia" w:ascii="宋体" w:hAnsi="宋体" w:eastAsia="宋体" w:cs="宋体"/>
          <w:caps w:val="0"/>
          <w:smallCaps w:val="0"/>
          <w:snapToGrid w:val="0"/>
          <w:color w:val="auto"/>
          <w:spacing w:val="0"/>
          <w:kern w:val="0"/>
          <w:szCs w:val="18"/>
          <w:highlight w:val="none"/>
          <w:lang w:eastAsia="zh-CN"/>
        </w:rPr>
        <w:t>）详细评审阶段要求提供的评审资料（详见本节第</w:t>
      </w:r>
      <w:r>
        <w:rPr>
          <w:rFonts w:hint="eastAsia" w:ascii="宋体" w:hAnsi="宋体" w:eastAsia="宋体" w:cs="宋体"/>
          <w:b/>
          <w:bCs/>
          <w:caps w:val="0"/>
          <w:smallCaps w:val="0"/>
          <w:snapToGrid w:val="0"/>
          <w:color w:val="auto"/>
          <w:spacing w:val="0"/>
          <w:kern w:val="0"/>
          <w:szCs w:val="18"/>
          <w:highlight w:val="none"/>
          <w:lang w:val="en-US" w:eastAsia="zh-CN"/>
        </w:rPr>
        <w:t>16</w:t>
      </w:r>
      <w:r>
        <w:rPr>
          <w:rFonts w:hint="eastAsia" w:ascii="宋体" w:hAnsi="宋体" w:eastAsia="宋体" w:cs="宋体"/>
          <w:b/>
          <w:bCs/>
          <w:caps w:val="0"/>
          <w:smallCaps w:val="0"/>
          <w:snapToGrid w:val="0"/>
          <w:color w:val="auto"/>
          <w:spacing w:val="0"/>
          <w:kern w:val="0"/>
          <w:szCs w:val="18"/>
          <w:highlight w:val="none"/>
          <w:lang w:eastAsia="zh-CN"/>
        </w:rPr>
        <w:t>.5.1</w:t>
      </w:r>
      <w:r>
        <w:rPr>
          <w:rFonts w:hint="eastAsia" w:ascii="宋体" w:hAnsi="宋体" w:eastAsia="宋体" w:cs="宋体"/>
          <w:caps w:val="0"/>
          <w:smallCaps w:val="0"/>
          <w:snapToGrid w:val="0"/>
          <w:color w:val="auto"/>
          <w:spacing w:val="0"/>
          <w:kern w:val="0"/>
          <w:szCs w:val="18"/>
          <w:highlight w:val="none"/>
          <w:lang w:eastAsia="zh-CN"/>
        </w:rPr>
        <w:t>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288" w:lineRule="auto"/>
        <w:ind w:right="0" w:rightChars="0" w:firstLine="480" w:firstLineChars="200"/>
        <w:textAlignment w:val="auto"/>
        <w:outlineLvl w:val="9"/>
        <w:rPr>
          <w:rFonts w:hint="eastAsia" w:ascii="宋体" w:hAnsi="宋体" w:eastAsia="宋体" w:cs="宋体"/>
          <w:snapToGrid w:val="0"/>
          <w:color w:val="auto"/>
          <w:kern w:val="0"/>
          <w:szCs w:val="18"/>
          <w:highlight w:val="none"/>
        </w:rPr>
      </w:pPr>
      <w:r>
        <w:rPr>
          <w:rFonts w:hint="eastAsia" w:ascii="宋体" w:hAnsi="宋体" w:eastAsia="宋体" w:cs="宋体"/>
          <w:caps w:val="0"/>
          <w:smallCaps w:val="0"/>
          <w:strike w:val="0"/>
          <w:dstrike w:val="0"/>
          <w:snapToGrid w:val="0"/>
          <w:color w:val="auto"/>
          <w:spacing w:val="0"/>
          <w:kern w:val="0"/>
          <w:szCs w:val="18"/>
          <w:highlight w:val="none"/>
          <w:lang w:eastAsia="zh-CN"/>
        </w:rPr>
        <w:t>（</w:t>
      </w:r>
      <w:r>
        <w:rPr>
          <w:rFonts w:hint="eastAsia" w:ascii="宋体" w:hAnsi="宋体" w:eastAsia="宋体" w:cs="宋体"/>
          <w:caps w:val="0"/>
          <w:smallCaps w:val="0"/>
          <w:strike w:val="0"/>
          <w:dstrike w:val="0"/>
          <w:snapToGrid w:val="0"/>
          <w:color w:val="auto"/>
          <w:spacing w:val="0"/>
          <w:kern w:val="0"/>
          <w:szCs w:val="18"/>
          <w:highlight w:val="none"/>
          <w:lang w:val="en-US" w:eastAsia="zh-CN"/>
        </w:rPr>
        <w:t>17</w:t>
      </w:r>
      <w:r>
        <w:rPr>
          <w:rFonts w:hint="eastAsia" w:ascii="宋体" w:hAnsi="宋体" w:eastAsia="宋体" w:cs="宋体"/>
          <w:caps w:val="0"/>
          <w:smallCaps w:val="0"/>
          <w:strike w:val="0"/>
          <w:dstrike w:val="0"/>
          <w:snapToGrid w:val="0"/>
          <w:color w:val="auto"/>
          <w:spacing w:val="0"/>
          <w:kern w:val="0"/>
          <w:szCs w:val="18"/>
          <w:highlight w:val="none"/>
          <w:lang w:eastAsia="zh-CN"/>
        </w:rPr>
        <w:t>）</w:t>
      </w:r>
      <w:r>
        <w:rPr>
          <w:rFonts w:hint="eastAsia" w:ascii="宋体" w:hAnsi="宋体" w:eastAsia="宋体" w:cs="宋体"/>
          <w:caps w:val="0"/>
          <w:smallCaps w:val="0"/>
          <w:strike w:val="0"/>
          <w:dstrike w:val="0"/>
          <w:snapToGrid w:val="0"/>
          <w:color w:val="auto"/>
          <w:spacing w:val="0"/>
          <w:kern w:val="0"/>
          <w:szCs w:val="18"/>
          <w:highlight w:val="none"/>
        </w:rPr>
        <w:t>投标人认为</w:t>
      </w:r>
      <w:r>
        <w:rPr>
          <w:rFonts w:hint="eastAsia" w:ascii="宋体" w:hAnsi="宋体" w:eastAsia="宋体" w:cs="宋体"/>
          <w:caps w:val="0"/>
          <w:smallCaps w:val="0"/>
          <w:strike w:val="0"/>
          <w:dstrike w:val="0"/>
          <w:snapToGrid w:val="0"/>
          <w:color w:val="auto"/>
          <w:spacing w:val="0"/>
          <w:kern w:val="0"/>
          <w:szCs w:val="18"/>
          <w:highlight w:val="none"/>
          <w:lang w:eastAsia="zh-CN"/>
        </w:rPr>
        <w:t>有必要</w:t>
      </w:r>
      <w:r>
        <w:rPr>
          <w:rFonts w:hint="eastAsia" w:ascii="宋体" w:hAnsi="宋体" w:eastAsia="宋体" w:cs="宋体"/>
          <w:caps w:val="0"/>
          <w:smallCaps w:val="0"/>
          <w:strike w:val="0"/>
          <w:dstrike w:val="0"/>
          <w:snapToGrid w:val="0"/>
          <w:color w:val="auto"/>
          <w:spacing w:val="0"/>
          <w:kern w:val="0"/>
          <w:szCs w:val="18"/>
          <w:highlight w:val="none"/>
        </w:rPr>
        <w:t>补充的其他资料。</w:t>
      </w:r>
      <w:r>
        <w:rPr>
          <w:rFonts w:hint="eastAsia" w:ascii="宋体" w:hAnsi="宋体" w:eastAsia="宋体" w:cs="宋体"/>
          <w:caps w:val="0"/>
          <w:smallCaps w:val="0"/>
          <w:strike w:val="0"/>
          <w:dstrike w:val="0"/>
          <w:snapToGrid w:val="0"/>
          <w:color w:val="auto"/>
          <w:spacing w:val="0"/>
          <w:kern w:val="0"/>
          <w:szCs w:val="18"/>
          <w:highlight w:val="none"/>
          <w:lang w:eastAsia="zh-CN"/>
        </w:rPr>
        <w:t>（例如投标人已经工商变更，但其员工执业资格注册证书上的企业名称未能在投标期间完成变更的书面说明和佐证材料；企业所在省、地级市住建部门或其授权的组织（机构）关于新冠肺炎疫情防控期间企业资质、人员资格有效期自动顺延或延期办理的相关文件等）</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szCs w:val="18"/>
          <w:highlight w:val="none"/>
        </w:rPr>
      </w:pP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 xml:space="preserve"> 本节第</w:t>
      </w:r>
      <w:r>
        <w:rPr>
          <w:rFonts w:hint="eastAsia" w:ascii="宋体" w:hAnsi="宋体" w:eastAsia="宋体" w:cs="宋体"/>
          <w:b/>
          <w:bCs/>
          <w:snapToGrid w:val="0"/>
          <w:color w:val="auto"/>
          <w:kern w:val="0"/>
          <w:szCs w:val="18"/>
          <w:highlight w:val="none"/>
        </w:rPr>
        <w:t>10.2.1</w:t>
      </w:r>
      <w:r>
        <w:rPr>
          <w:rFonts w:hint="eastAsia" w:ascii="宋体" w:hAnsi="宋体" w:eastAsia="宋体" w:cs="宋体"/>
          <w:snapToGrid w:val="0"/>
          <w:color w:val="auto"/>
          <w:kern w:val="0"/>
          <w:szCs w:val="18"/>
          <w:highlight w:val="none"/>
        </w:rPr>
        <w:t>目中所列出的商务标书组成内容中，第（1）至第（1</w:t>
      </w:r>
      <w:r>
        <w:rPr>
          <w:rFonts w:hint="eastAsia" w:ascii="宋体" w:hAnsi="宋体" w:eastAsia="宋体" w:cs="宋体"/>
          <w:snapToGrid w:val="0"/>
          <w:color w:val="auto"/>
          <w:kern w:val="0"/>
          <w:szCs w:val="18"/>
          <w:highlight w:val="none"/>
          <w:lang w:val="en-US" w:eastAsia="zh-CN"/>
        </w:rPr>
        <w:t>5</w:t>
      </w:r>
      <w:r>
        <w:rPr>
          <w:rFonts w:hint="eastAsia" w:ascii="宋体" w:hAnsi="宋体" w:eastAsia="宋体" w:cs="宋体"/>
          <w:snapToGrid w:val="0"/>
          <w:color w:val="auto"/>
          <w:kern w:val="0"/>
          <w:szCs w:val="18"/>
          <w:highlight w:val="none"/>
        </w:rPr>
        <w:t>）项所有投标人均应提供。</w:t>
      </w:r>
      <w:r>
        <w:rPr>
          <w:rFonts w:hint="eastAsia" w:ascii="宋体" w:hAnsi="宋体" w:eastAsia="宋体" w:cs="宋体"/>
          <w:b/>
          <w:bCs/>
          <w:snapToGrid w:val="0"/>
          <w:color w:val="auto"/>
          <w:kern w:val="0"/>
          <w:szCs w:val="18"/>
          <w:highlight w:val="none"/>
        </w:rPr>
        <w:t>但非联合体投标的，无需提供第（7）项内容；拟派总监理工程师现阶段未担任任何在施建设工程项目总监理工程师的，无需提供第（11）项内容。</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bCs/>
          <w:snapToGrid w:val="0"/>
          <w:color w:val="auto"/>
          <w:kern w:val="0"/>
          <w:highlight w:val="none"/>
        </w:rPr>
      </w:pPr>
      <w:bookmarkStart w:id="63" w:name="_Hlt87783273"/>
      <w:bookmarkEnd w:id="63"/>
      <w:bookmarkStart w:id="64" w:name="_Hlt69670029"/>
      <w:bookmarkEnd w:id="64"/>
      <w:bookmarkStart w:id="65" w:name="_Toc7035"/>
      <w:r>
        <w:rPr>
          <w:rFonts w:hint="eastAsia" w:ascii="宋体" w:hAnsi="宋体" w:eastAsia="宋体" w:cs="宋体"/>
          <w:b/>
          <w:bCs/>
          <w:snapToGrid w:val="0"/>
          <w:color w:val="auto"/>
          <w:kern w:val="0"/>
          <w:highlight w:val="none"/>
        </w:rPr>
        <w:t>10.3</w:t>
      </w:r>
      <w:r>
        <w:rPr>
          <w:rFonts w:hint="eastAsia" w:ascii="宋体" w:hAnsi="宋体" w:eastAsia="宋体" w:cs="宋体"/>
          <w:bCs/>
          <w:snapToGrid w:val="0"/>
          <w:color w:val="auto"/>
          <w:kern w:val="0"/>
          <w:highlight w:val="none"/>
        </w:rPr>
        <w:t xml:space="preserve"> 监理大纲的编制要求</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bCs/>
          <w:snapToGrid w:val="0"/>
          <w:color w:val="auto"/>
          <w:kern w:val="0"/>
          <w:highlight w:val="none"/>
        </w:rPr>
      </w:pPr>
      <w:r>
        <w:rPr>
          <w:rFonts w:hint="eastAsia" w:ascii="宋体" w:hAnsi="宋体" w:eastAsia="宋体" w:cs="宋体"/>
          <w:b/>
          <w:snapToGrid w:val="0"/>
          <w:color w:val="auto"/>
          <w:kern w:val="0"/>
          <w:highlight w:val="none"/>
        </w:rPr>
        <w:t>10.3.1</w:t>
      </w:r>
      <w:r>
        <w:rPr>
          <w:rFonts w:hint="eastAsia" w:ascii="宋体" w:hAnsi="宋体" w:eastAsia="宋体" w:cs="宋体"/>
          <w:bCs/>
          <w:snapToGrid w:val="0"/>
          <w:color w:val="auto"/>
          <w:kern w:val="0"/>
          <w:highlight w:val="none"/>
        </w:rPr>
        <w:t xml:space="preserve"> 监理大纲</w:t>
      </w:r>
      <w:r>
        <w:rPr>
          <w:rFonts w:hint="eastAsia" w:ascii="宋体" w:hAnsi="宋体" w:eastAsia="宋体" w:cs="宋体"/>
          <w:snapToGrid w:val="0"/>
          <w:color w:val="auto"/>
          <w:kern w:val="0"/>
          <w:highlight w:val="none"/>
        </w:rPr>
        <w:t>的编制依据包括且不限于</w:t>
      </w:r>
      <w:r>
        <w:rPr>
          <w:rFonts w:hint="eastAsia" w:ascii="宋体" w:hAnsi="宋体" w:eastAsia="宋体" w:cs="宋体"/>
          <w:bCs/>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（1）招标文件及</w:t>
      </w:r>
      <w:r>
        <w:rPr>
          <w:rFonts w:hint="eastAsia" w:ascii="宋体" w:hAnsi="宋体" w:eastAsia="宋体" w:cs="宋体"/>
          <w:snapToGrid w:val="0"/>
          <w:color w:val="auto"/>
          <w:kern w:val="0"/>
          <w:highlight w:val="none"/>
        </w:rPr>
        <w:t>其答疑（或修改）公告；</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（2）施工现场情况、工程特点；</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（3）相关法律、法规、规定；</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10.3.2</w:t>
      </w:r>
      <w:r>
        <w:rPr>
          <w:rFonts w:hint="eastAsia" w:ascii="宋体" w:hAnsi="宋体" w:eastAsia="宋体" w:cs="宋体"/>
          <w:bCs/>
          <w:snapToGrid w:val="0"/>
          <w:color w:val="auto"/>
          <w:kern w:val="0"/>
          <w:highlight w:val="none"/>
        </w:rPr>
        <w:t xml:space="preserve"> 监理大纲</w:t>
      </w:r>
      <w:r>
        <w:rPr>
          <w:rFonts w:hint="eastAsia" w:ascii="宋体" w:hAnsi="宋体" w:eastAsia="宋体" w:cs="宋体"/>
          <w:snapToGrid w:val="0"/>
          <w:color w:val="auto"/>
          <w:kern w:val="0"/>
          <w:highlight w:val="none"/>
        </w:rPr>
        <w:t>包括但不限于以下内容：</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（1）封面</w:t>
      </w:r>
      <w:r>
        <w:rPr>
          <w:rFonts w:hint="eastAsia" w:ascii="宋体" w:hAnsi="宋体" w:eastAsia="宋体" w:cs="宋体"/>
          <w:snapToGrid w:val="0"/>
          <w:color w:val="auto"/>
          <w:kern w:val="0"/>
          <w:szCs w:val="18"/>
          <w:highlight w:val="none"/>
        </w:rPr>
        <w:t>（格式一）</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（2）目录；</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（3）监理工程概况；</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（4）监理及相关服务的范围、内容；</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（5）监理及相关服务的依据、目标；</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（6）项目监理机构设置（框图）、岗位职责；</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（7）监理及相关服务的工作程序、方法和制度；</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（8）拟投入的监理及相关服务人员；</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（9）质量、进度、造价、安全施工监理措施；</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（10）合同、信息管理方案；</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（11）组织协调内容及措施；</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（12）监理及相关服务的工作重点、难点分析；</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（13）对本工程监理及相关服务的合理化建议。</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10.3.3</w:t>
      </w:r>
      <w:r>
        <w:rPr>
          <w:rFonts w:hint="eastAsia" w:ascii="宋体" w:hAnsi="宋体" w:eastAsia="宋体" w:cs="宋体"/>
          <w:snapToGrid w:val="0"/>
          <w:color w:val="auto"/>
          <w:kern w:val="0"/>
          <w:highlight w:val="none"/>
        </w:rPr>
        <w:t xml:space="preserve"> 本节第</w:t>
      </w:r>
      <w:r>
        <w:rPr>
          <w:rFonts w:hint="eastAsia" w:ascii="宋体" w:hAnsi="宋体" w:eastAsia="宋体" w:cs="宋体"/>
          <w:b/>
          <w:bCs/>
          <w:snapToGrid w:val="0"/>
          <w:color w:val="auto"/>
          <w:kern w:val="0"/>
          <w:highlight w:val="none"/>
        </w:rPr>
        <w:t>10.3.2</w:t>
      </w:r>
      <w:r>
        <w:rPr>
          <w:rFonts w:hint="eastAsia" w:ascii="宋体" w:hAnsi="宋体" w:eastAsia="宋体" w:cs="宋体"/>
          <w:snapToGrid w:val="0"/>
          <w:color w:val="auto"/>
          <w:kern w:val="0"/>
          <w:highlight w:val="none"/>
        </w:rPr>
        <w:t>目中所列出的</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组成内容，</w:t>
      </w:r>
      <w:r>
        <w:rPr>
          <w:rFonts w:hint="eastAsia" w:ascii="宋体" w:hAnsi="宋体" w:eastAsia="宋体" w:cs="宋体"/>
          <w:snapToGrid w:val="0"/>
          <w:color w:val="auto"/>
          <w:kern w:val="0"/>
          <w:szCs w:val="18"/>
          <w:highlight w:val="none"/>
        </w:rPr>
        <w:t>所有投标人均应提供</w:t>
      </w:r>
      <w:r>
        <w:rPr>
          <w:rFonts w:hint="eastAsia" w:ascii="宋体" w:hAnsi="宋体" w:eastAsia="宋体" w:cs="宋体"/>
          <w:snapToGrid w:val="0"/>
          <w:color w:val="auto"/>
          <w:kern w:val="0"/>
          <w:highlight w:val="none"/>
        </w:rPr>
        <w:t>。</w:t>
      </w:r>
    </w:p>
    <w:bookmarkEnd w:id="65"/>
    <w:p>
      <w:pPr>
        <w:pStyle w:val="149"/>
        <w:pageBreakBefore w:val="0"/>
        <w:kinsoku/>
        <w:overflowPunct/>
        <w:topLinePunct w:val="0"/>
        <w:autoSpaceDE/>
        <w:autoSpaceDN/>
        <w:bidi w:val="0"/>
        <w:snapToGrid w:val="0"/>
        <w:spacing w:line="264" w:lineRule="auto"/>
        <w:ind w:firstLine="480"/>
        <w:jc w:val="both"/>
        <w:outlineLvl w:val="2"/>
        <w:rPr>
          <w:rStyle w:val="146"/>
          <w:rFonts w:hint="eastAsia" w:ascii="宋体" w:hAnsi="宋体" w:eastAsia="宋体" w:cs="宋体"/>
          <w:color w:val="auto"/>
          <w:kern w:val="0"/>
          <w:sz w:val="24"/>
          <w:szCs w:val="24"/>
          <w:highlight w:val="none"/>
          <w:lang w:val="en-US" w:eastAsia="zh-CN" w:bidi="ar-SA"/>
        </w:rPr>
      </w:pPr>
      <w:bookmarkStart w:id="66" w:name="_Hlt66200498"/>
      <w:bookmarkEnd w:id="66"/>
      <w:bookmarkStart w:id="67" w:name="_Hlt66511038"/>
      <w:bookmarkEnd w:id="67"/>
      <w:bookmarkStart w:id="68" w:name="_Toc25489"/>
      <w:r>
        <w:rPr>
          <w:rStyle w:val="146"/>
          <w:rFonts w:hint="eastAsia" w:ascii="宋体" w:hAnsi="宋体" w:eastAsia="宋体" w:cs="宋体"/>
          <w:b/>
          <w:bCs/>
          <w:color w:val="auto"/>
          <w:kern w:val="0"/>
          <w:sz w:val="24"/>
          <w:szCs w:val="24"/>
          <w:highlight w:val="none"/>
          <w:lang w:val="en-US" w:eastAsia="zh-CN" w:bidi="ar-SA"/>
        </w:rPr>
        <w:t>11</w:t>
      </w:r>
      <w:r>
        <w:rPr>
          <w:rStyle w:val="146"/>
          <w:rFonts w:hint="eastAsia" w:ascii="宋体" w:hAnsi="宋体" w:eastAsia="宋体" w:cs="宋体"/>
          <w:b/>
          <w:bCs/>
          <w:color w:val="auto"/>
          <w:highlight w:val="none"/>
        </w:rPr>
        <w:t>．</w:t>
      </w:r>
      <w:r>
        <w:rPr>
          <w:rStyle w:val="146"/>
          <w:rFonts w:hint="eastAsia" w:ascii="宋体" w:hAnsi="宋体" w:eastAsia="宋体" w:cs="宋体"/>
          <w:b/>
          <w:bCs/>
          <w:color w:val="auto"/>
          <w:kern w:val="0"/>
          <w:sz w:val="24"/>
          <w:szCs w:val="24"/>
          <w:highlight w:val="none"/>
          <w:lang w:val="en-US" w:eastAsia="zh-CN" w:bidi="ar-SA"/>
        </w:rPr>
        <w:t>电子投标</w:t>
      </w:r>
      <w:bookmarkEnd w:id="68"/>
    </w:p>
    <w:p>
      <w:pPr>
        <w:pageBreakBefore w:val="0"/>
        <w:kinsoku/>
        <w:overflowPunct/>
        <w:topLinePunct w:val="0"/>
        <w:autoSpaceDE/>
        <w:autoSpaceDN/>
        <w:bidi w:val="0"/>
        <w:snapToGrid w:val="0"/>
        <w:spacing w:afterAutospacing="0" w:line="240" w:lineRule="auto"/>
        <w:ind w:firstLine="482" w:firstLineChars="200"/>
        <w:outlineLvl w:val="9"/>
        <w:rPr>
          <w:rStyle w:val="146"/>
          <w:rFonts w:hint="eastAsia" w:ascii="宋体" w:hAnsi="宋体" w:eastAsia="宋体" w:cs="宋体"/>
          <w:color w:val="auto"/>
          <w:kern w:val="0"/>
          <w:highlight w:val="none"/>
        </w:rPr>
      </w:pPr>
      <w:r>
        <w:rPr>
          <w:rStyle w:val="146"/>
          <w:rFonts w:hint="eastAsia" w:ascii="宋体" w:hAnsi="宋体" w:eastAsia="宋体" w:cs="宋体"/>
          <w:b/>
          <w:bCs/>
          <w:color w:val="auto"/>
          <w:kern w:val="0"/>
          <w:sz w:val="24"/>
          <w:szCs w:val="24"/>
          <w:highlight w:val="none"/>
          <w:lang w:val="en-US" w:eastAsia="zh-CN" w:bidi="ar-SA"/>
        </w:rPr>
        <w:t>11.1</w:t>
      </w:r>
      <w:r>
        <w:rPr>
          <w:rStyle w:val="146"/>
          <w:rFonts w:hint="eastAsia" w:ascii="宋体" w:hAnsi="宋体" w:eastAsia="宋体" w:cs="宋体"/>
          <w:color w:val="auto"/>
          <w:kern w:val="0"/>
          <w:sz w:val="24"/>
          <w:szCs w:val="24"/>
          <w:highlight w:val="none"/>
          <w:lang w:val="en-US" w:eastAsia="zh-CN" w:bidi="ar-SA"/>
        </w:rPr>
        <w:t xml:space="preserve"> </w:t>
      </w:r>
      <w:r>
        <w:rPr>
          <w:rStyle w:val="146"/>
          <w:rFonts w:hint="eastAsia" w:ascii="宋体" w:hAnsi="宋体" w:eastAsia="宋体" w:cs="宋体"/>
          <w:b w:val="0"/>
          <w:bCs w:val="0"/>
          <w:color w:val="auto"/>
          <w:kern w:val="0"/>
          <w:highlight w:val="none"/>
        </w:rPr>
        <w:t>在建设工程交易系统上传加盖了电子印章的投标文件、录入相关信息及标书页码信息，（页码起始从封面开始）并提交投标标书。提交标书为已加密投标文件。具体操作参照《韶关市公共资源交易一体化平台建设工程交易系统操作指引》。本项目评标采用全流程电子化进行招标投标（投标人应根据韶关市公共资源交易一体化平台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Style w:val="146"/>
          <w:rFonts w:hint="eastAsia" w:ascii="宋体" w:hAnsi="宋体" w:eastAsia="宋体" w:cs="宋体"/>
          <w:b/>
          <w:bCs/>
          <w:color w:val="auto"/>
          <w:kern w:val="0"/>
          <w:highlight w:val="none"/>
        </w:rPr>
        <w:t>11.2</w:t>
      </w:r>
      <w:r>
        <w:rPr>
          <w:rStyle w:val="146"/>
          <w:rFonts w:hint="eastAsia" w:ascii="宋体" w:hAnsi="宋体" w:eastAsia="宋体" w:cs="宋体"/>
          <w:color w:val="auto"/>
          <w:kern w:val="0"/>
          <w:highlight w:val="none"/>
        </w:rPr>
        <w:t xml:space="preserve"> 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r>
        <w:rPr>
          <w:rFonts w:hint="eastAsia" w:ascii="宋体" w:hAnsi="宋体" w:eastAsia="宋体" w:cs="宋体"/>
          <w:snapToGrid w:val="0"/>
          <w:color w:val="auto"/>
          <w:kern w:val="0"/>
          <w:highlight w:val="none"/>
        </w:rPr>
        <w:t>。</w:t>
      </w:r>
      <w:bookmarkStart w:id="69" w:name="_Hlt88627590"/>
      <w:bookmarkEnd w:id="69"/>
    </w:p>
    <w:p>
      <w:pPr>
        <w:pStyle w:val="149"/>
        <w:pageBreakBefore w:val="0"/>
        <w:kinsoku/>
        <w:overflowPunct/>
        <w:topLinePunct w:val="0"/>
        <w:autoSpaceDE/>
        <w:autoSpaceDN/>
        <w:bidi w:val="0"/>
        <w:snapToGrid w:val="0"/>
        <w:spacing w:afterAutospacing="0" w:line="240" w:lineRule="auto"/>
        <w:ind w:firstLine="480"/>
        <w:jc w:val="both"/>
        <w:outlineLvl w:val="2"/>
        <w:rPr>
          <w:rStyle w:val="146"/>
          <w:rFonts w:hint="eastAsia" w:ascii="宋体" w:hAnsi="宋体" w:eastAsia="宋体" w:cs="宋体"/>
          <w:b/>
          <w:bCs/>
          <w:color w:val="auto"/>
          <w:highlight w:val="none"/>
        </w:rPr>
      </w:pPr>
      <w:bookmarkStart w:id="70" w:name="_Toc21824"/>
      <w:bookmarkStart w:id="71" w:name="_Toc32203"/>
      <w:r>
        <w:rPr>
          <w:rStyle w:val="146"/>
          <w:rFonts w:hint="eastAsia" w:ascii="宋体" w:hAnsi="宋体" w:eastAsia="宋体" w:cs="宋体"/>
          <w:b/>
          <w:bCs/>
          <w:color w:val="auto"/>
          <w:highlight w:val="none"/>
        </w:rPr>
        <w:t>12．电子投标及投标解密失败及突发情况的补救</w:t>
      </w:r>
      <w:bookmarkEnd w:id="70"/>
    </w:p>
    <w:p>
      <w:pPr>
        <w:pStyle w:val="149"/>
        <w:pageBreakBefore w:val="0"/>
        <w:kinsoku/>
        <w:overflowPunct/>
        <w:topLinePunct w:val="0"/>
        <w:autoSpaceDE/>
        <w:autoSpaceDN/>
        <w:bidi w:val="0"/>
        <w:snapToGrid w:val="0"/>
        <w:spacing w:afterAutospacing="0" w:line="240" w:lineRule="auto"/>
        <w:ind w:firstLine="480"/>
        <w:jc w:val="both"/>
        <w:outlineLvl w:val="9"/>
        <w:rPr>
          <w:rStyle w:val="146"/>
          <w:rFonts w:hint="eastAsia" w:ascii="宋体" w:hAnsi="宋体" w:eastAsia="宋体" w:cs="宋体"/>
          <w:b w:val="0"/>
          <w:bCs w:val="0"/>
          <w:color w:val="auto"/>
          <w:highlight w:val="none"/>
        </w:rPr>
      </w:pPr>
      <w:r>
        <w:rPr>
          <w:rStyle w:val="146"/>
          <w:rFonts w:hint="eastAsia" w:ascii="宋体" w:hAnsi="宋体" w:eastAsia="宋体" w:cs="宋体"/>
          <w:b/>
          <w:bCs/>
          <w:color w:val="auto"/>
          <w:highlight w:val="none"/>
        </w:rPr>
        <w:t>12.1</w:t>
      </w:r>
      <w:r>
        <w:rPr>
          <w:rStyle w:val="146"/>
          <w:rFonts w:hint="eastAsia" w:ascii="宋体" w:hAnsi="宋体" w:eastAsia="宋体" w:cs="宋体"/>
          <w:b w:val="0"/>
          <w:bCs w:val="0"/>
          <w:color w:val="auto"/>
          <w:highlight w:val="none"/>
        </w:rPr>
        <w:t>按照交易平台关于全流程电子化项目的相关指南进行操作。</w:t>
      </w:r>
    </w:p>
    <w:p>
      <w:pPr>
        <w:pStyle w:val="149"/>
        <w:pageBreakBefore w:val="0"/>
        <w:kinsoku/>
        <w:overflowPunct/>
        <w:topLinePunct w:val="0"/>
        <w:autoSpaceDE/>
        <w:autoSpaceDN/>
        <w:bidi w:val="0"/>
        <w:snapToGrid w:val="0"/>
        <w:spacing w:afterAutospacing="0" w:line="240" w:lineRule="auto"/>
        <w:ind w:firstLine="480"/>
        <w:jc w:val="both"/>
        <w:outlineLvl w:val="9"/>
        <w:rPr>
          <w:rStyle w:val="146"/>
          <w:rFonts w:hint="eastAsia" w:ascii="宋体" w:hAnsi="宋体" w:eastAsia="宋体" w:cs="宋体"/>
          <w:b/>
          <w:bCs/>
          <w:color w:val="auto"/>
          <w:highlight w:val="none"/>
        </w:rPr>
      </w:pPr>
      <w:r>
        <w:rPr>
          <w:rStyle w:val="146"/>
          <w:rFonts w:hint="eastAsia" w:ascii="宋体" w:hAnsi="宋体" w:eastAsia="宋体" w:cs="宋体"/>
          <w:b w:val="0"/>
          <w:bCs w:val="0"/>
          <w:color w:val="auto"/>
          <w:highlight w:val="none"/>
        </w:rPr>
        <w:t>详见：韶关市公共资源交易一体化平台交易指引栏目发布的最新版操作指引。</w:t>
      </w:r>
      <w:r>
        <w:rPr>
          <w:rStyle w:val="146"/>
          <w:rFonts w:hint="eastAsia" w:ascii="宋体" w:hAnsi="宋体" w:eastAsia="宋体" w:cs="宋体"/>
          <w:b/>
          <w:bCs/>
          <w:color w:val="auto"/>
          <w:highlight w:val="none"/>
        </w:rPr>
        <w:t xml:space="preserve">  </w:t>
      </w:r>
    </w:p>
    <w:p>
      <w:pPr>
        <w:pStyle w:val="149"/>
        <w:pageBreakBefore w:val="0"/>
        <w:kinsoku/>
        <w:overflowPunct/>
        <w:topLinePunct w:val="0"/>
        <w:autoSpaceDE/>
        <w:autoSpaceDN/>
        <w:bidi w:val="0"/>
        <w:snapToGrid w:val="0"/>
        <w:spacing w:afterAutospacing="0" w:line="240" w:lineRule="auto"/>
        <w:ind w:firstLine="480"/>
        <w:jc w:val="both"/>
        <w:outlineLvl w:val="9"/>
        <w:rPr>
          <w:rStyle w:val="146"/>
          <w:rFonts w:hint="eastAsia" w:ascii="宋体" w:hAnsi="宋体" w:eastAsia="宋体" w:cs="宋体"/>
          <w:b/>
          <w:bCs/>
          <w:color w:val="auto"/>
          <w:highlight w:val="none"/>
        </w:rPr>
      </w:pPr>
      <w:r>
        <w:rPr>
          <w:rStyle w:val="146"/>
          <w:rFonts w:hint="eastAsia" w:ascii="宋体" w:hAnsi="宋体" w:eastAsia="宋体" w:cs="宋体"/>
          <w:b/>
          <w:bCs/>
          <w:color w:val="auto"/>
          <w:highlight w:val="none"/>
        </w:rPr>
        <w:t>12.</w:t>
      </w:r>
      <w:r>
        <w:rPr>
          <w:rStyle w:val="146"/>
          <w:rFonts w:hint="eastAsia" w:ascii="宋体" w:hAnsi="宋体" w:eastAsia="宋体" w:cs="宋体"/>
          <w:b/>
          <w:bCs/>
          <w:color w:val="auto"/>
          <w:highlight w:val="none"/>
          <w:lang w:val="en-US" w:eastAsia="zh-CN"/>
        </w:rPr>
        <w:t>2</w:t>
      </w:r>
      <w:r>
        <w:rPr>
          <w:rStyle w:val="146"/>
          <w:rFonts w:hint="eastAsia" w:ascii="宋体" w:hAnsi="宋体" w:eastAsia="宋体" w:cs="宋体"/>
          <w:b/>
          <w:bCs/>
          <w:color w:val="auto"/>
          <w:highlight w:val="none"/>
        </w:rPr>
        <w:t>补救方案</w:t>
      </w:r>
    </w:p>
    <w:p>
      <w:pPr>
        <w:pStyle w:val="149"/>
        <w:pageBreakBefore w:val="0"/>
        <w:kinsoku/>
        <w:overflowPunct/>
        <w:topLinePunct w:val="0"/>
        <w:autoSpaceDE/>
        <w:autoSpaceDN/>
        <w:bidi w:val="0"/>
        <w:snapToGrid w:val="0"/>
        <w:spacing w:afterAutospacing="0" w:line="240" w:lineRule="auto"/>
        <w:ind w:firstLine="480"/>
        <w:jc w:val="both"/>
        <w:outlineLvl w:val="9"/>
        <w:rPr>
          <w:rStyle w:val="146"/>
          <w:rFonts w:hint="eastAsia" w:ascii="宋体" w:hAnsi="宋体" w:eastAsia="宋体" w:cs="宋体"/>
          <w:b w:val="0"/>
          <w:bCs w:val="0"/>
          <w:color w:val="auto"/>
          <w:highlight w:val="none"/>
        </w:rPr>
      </w:pPr>
      <w:r>
        <w:rPr>
          <w:rStyle w:val="146"/>
          <w:rFonts w:hint="eastAsia" w:ascii="宋体" w:hAnsi="宋体" w:eastAsia="宋体" w:cs="宋体"/>
          <w:b w:val="0"/>
          <w:bCs w:val="0"/>
          <w:color w:val="auto"/>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w:t>
      </w:r>
      <w:r>
        <w:rPr>
          <w:rStyle w:val="146"/>
          <w:rFonts w:hint="eastAsia" w:ascii="宋体" w:hAnsi="宋体" w:eastAsia="宋体" w:cs="宋体"/>
          <w:b w:val="0"/>
          <w:bCs w:val="0"/>
          <w:color w:val="auto"/>
          <w:highlight w:val="none"/>
          <w:lang w:val="en-US" w:eastAsia="zh-CN"/>
        </w:rPr>
        <w:t>电子投标解密</w:t>
      </w:r>
      <w:r>
        <w:rPr>
          <w:rStyle w:val="146"/>
          <w:rFonts w:hint="eastAsia" w:ascii="宋体" w:hAnsi="宋体" w:eastAsia="宋体" w:cs="宋体"/>
          <w:b w:val="0"/>
          <w:bCs w:val="0"/>
          <w:color w:val="auto"/>
          <w:highlight w:val="none"/>
        </w:rPr>
        <w:t>截止时间前重新上传投标文件的，视为无效投标</w:t>
      </w:r>
      <w:r>
        <w:rPr>
          <w:rStyle w:val="146"/>
          <w:rFonts w:hint="eastAsia" w:ascii="宋体" w:hAnsi="宋体" w:eastAsia="宋体" w:cs="宋体"/>
          <w:b w:val="0"/>
          <w:bCs w:val="0"/>
          <w:color w:val="auto"/>
          <w:highlight w:val="none"/>
          <w:lang w:eastAsia="zh-CN"/>
        </w:rPr>
        <w:t>（关于投标人解密失败如何获取投标人信息问题：在开标解密环节会有投标人相关信息，投标人重传时间为30分钟，30分钟未重传系统会判断投标无效。解密环节不会显示开标具体内容）</w:t>
      </w:r>
      <w:r>
        <w:rPr>
          <w:rStyle w:val="146"/>
          <w:rFonts w:hint="eastAsia" w:ascii="宋体" w:hAnsi="宋体" w:eastAsia="宋体" w:cs="宋体"/>
          <w:b w:val="0"/>
          <w:bCs w:val="0"/>
          <w:color w:val="auto"/>
          <w:highlight w:val="none"/>
        </w:rPr>
        <w:t>。</w:t>
      </w:r>
    </w:p>
    <w:p>
      <w:pPr>
        <w:pStyle w:val="149"/>
        <w:pageBreakBefore w:val="0"/>
        <w:kinsoku/>
        <w:overflowPunct/>
        <w:topLinePunct w:val="0"/>
        <w:autoSpaceDE/>
        <w:autoSpaceDN/>
        <w:bidi w:val="0"/>
        <w:snapToGrid w:val="0"/>
        <w:spacing w:afterAutospacing="0" w:line="240" w:lineRule="auto"/>
        <w:ind w:firstLine="480"/>
        <w:jc w:val="both"/>
        <w:outlineLvl w:val="9"/>
        <w:rPr>
          <w:rStyle w:val="146"/>
          <w:rFonts w:hint="eastAsia" w:ascii="宋体" w:hAnsi="宋体" w:eastAsia="宋体" w:cs="宋体"/>
          <w:b w:val="0"/>
          <w:bCs w:val="0"/>
          <w:color w:val="auto"/>
          <w:highlight w:val="none"/>
        </w:rPr>
      </w:pPr>
      <w:r>
        <w:rPr>
          <w:rStyle w:val="146"/>
          <w:rFonts w:hint="eastAsia" w:ascii="宋体" w:hAnsi="宋体" w:eastAsia="宋体" w:cs="宋体"/>
          <w:b w:val="0"/>
          <w:bCs w:val="0"/>
          <w:color w:val="auto"/>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pStyle w:val="149"/>
        <w:pageBreakBefore w:val="0"/>
        <w:kinsoku/>
        <w:overflowPunct/>
        <w:topLinePunct w:val="0"/>
        <w:autoSpaceDE/>
        <w:autoSpaceDN/>
        <w:bidi w:val="0"/>
        <w:snapToGrid w:val="0"/>
        <w:spacing w:afterAutospacing="0" w:line="240" w:lineRule="auto"/>
        <w:ind w:firstLine="480"/>
        <w:jc w:val="both"/>
        <w:outlineLvl w:val="9"/>
        <w:rPr>
          <w:rStyle w:val="146"/>
          <w:rFonts w:hint="eastAsia" w:ascii="宋体" w:hAnsi="宋体" w:eastAsia="宋体" w:cs="宋体"/>
          <w:b/>
          <w:bCs/>
          <w:color w:val="auto"/>
          <w:highlight w:val="none"/>
        </w:rPr>
      </w:pPr>
      <w:r>
        <w:rPr>
          <w:rStyle w:val="146"/>
          <w:rFonts w:hint="eastAsia" w:ascii="宋体" w:hAnsi="宋体" w:eastAsia="宋体" w:cs="宋体"/>
          <w:b w:val="0"/>
          <w:bCs w:val="0"/>
          <w:color w:val="auto"/>
          <w:highlight w:val="none"/>
        </w:rPr>
        <w:t>（3）除发生上述情况外，开标评标均以投标人通过交易平台网上递交的电子投标文件为准。</w:t>
      </w:r>
    </w:p>
    <w:p>
      <w:pPr>
        <w:keepNext w:val="0"/>
        <w:keepLines w:val="0"/>
        <w:pageBreakBefore w:val="0"/>
        <w:kinsoku/>
        <w:wordWrap w:val="0"/>
        <w:overflowPunct/>
        <w:topLinePunct w:val="0"/>
        <w:autoSpaceDE/>
        <w:autoSpaceDN/>
        <w:bidi w:val="0"/>
        <w:snapToGrid w:val="0"/>
        <w:spacing w:line="288" w:lineRule="auto"/>
        <w:ind w:firstLine="480"/>
        <w:jc w:val="both"/>
        <w:outlineLvl w:val="2"/>
        <w:rPr>
          <w:rFonts w:hint="eastAsia" w:ascii="宋体" w:hAnsi="宋体" w:eastAsia="宋体" w:cs="宋体"/>
          <w:b/>
          <w:snapToGrid w:val="0"/>
          <w:color w:val="auto"/>
          <w:highlight w:val="none"/>
        </w:rPr>
      </w:pPr>
      <w:bookmarkStart w:id="72" w:name="_Toc12364"/>
      <w:r>
        <w:rPr>
          <w:rFonts w:hint="eastAsia" w:ascii="宋体" w:hAnsi="宋体" w:eastAsia="宋体" w:cs="宋体"/>
          <w:b/>
          <w:snapToGrid w:val="0"/>
          <w:color w:val="auto"/>
          <w:highlight w:val="none"/>
        </w:rPr>
        <w:t>1</w:t>
      </w:r>
      <w:r>
        <w:rPr>
          <w:rFonts w:hint="eastAsia" w:ascii="宋体" w:hAnsi="宋体" w:eastAsia="宋体" w:cs="宋体"/>
          <w:b/>
          <w:snapToGrid w:val="0"/>
          <w:color w:val="auto"/>
          <w:highlight w:val="none"/>
          <w:lang w:val="en-US" w:eastAsia="zh-CN"/>
        </w:rPr>
        <w:t>3</w:t>
      </w:r>
      <w:r>
        <w:rPr>
          <w:rFonts w:hint="eastAsia" w:ascii="宋体" w:hAnsi="宋体" w:eastAsia="宋体" w:cs="宋体"/>
          <w:b/>
          <w:snapToGrid w:val="0"/>
          <w:color w:val="auto"/>
          <w:highlight w:val="none"/>
        </w:rPr>
        <w:t>．投标文件的递交</w:t>
      </w:r>
      <w:bookmarkEnd w:id="71"/>
      <w:bookmarkEnd w:id="72"/>
    </w:p>
    <w:p>
      <w:pPr>
        <w:pStyle w:val="58"/>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3</w:t>
      </w:r>
      <w:r>
        <w:rPr>
          <w:rFonts w:hint="eastAsia" w:ascii="宋体" w:hAnsi="宋体" w:eastAsia="宋体" w:cs="宋体"/>
          <w:b/>
          <w:bCs/>
          <w:snapToGrid w:val="0"/>
          <w:color w:val="auto"/>
          <w:kern w:val="0"/>
          <w:sz w:val="24"/>
          <w:szCs w:val="20"/>
          <w:highlight w:val="none"/>
        </w:rPr>
        <w:t>.1</w:t>
      </w:r>
      <w:r>
        <w:rPr>
          <w:rFonts w:hint="eastAsia" w:ascii="宋体" w:hAnsi="宋体" w:eastAsia="宋体" w:cs="宋体"/>
          <w:snapToGrid w:val="0"/>
          <w:color w:val="auto"/>
          <w:kern w:val="0"/>
          <w:sz w:val="24"/>
          <w:highlight w:val="none"/>
        </w:rPr>
        <w:t xml:space="preserve"> 在投标文件提交截止时间前，投标人通过韶关市公共资源交易一体化平台提交已加密投标文件。逾期提交的电子投标文件，韶关市公共资源交易一体化平台将予以拒收。</w:t>
      </w:r>
    </w:p>
    <w:p>
      <w:pPr>
        <w:pStyle w:val="58"/>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3</w:t>
      </w:r>
      <w:r>
        <w:rPr>
          <w:rFonts w:hint="eastAsia" w:ascii="宋体" w:hAnsi="宋体" w:eastAsia="宋体" w:cs="宋体"/>
          <w:b/>
          <w:bCs/>
          <w:snapToGrid w:val="0"/>
          <w:color w:val="auto"/>
          <w:kern w:val="0"/>
          <w:sz w:val="24"/>
          <w:szCs w:val="20"/>
          <w:highlight w:val="none"/>
        </w:rPr>
        <w:t>.1.1</w:t>
      </w:r>
      <w:r>
        <w:rPr>
          <w:rFonts w:hint="eastAsia" w:ascii="宋体" w:hAnsi="宋体" w:eastAsia="宋体" w:cs="宋体"/>
          <w:snapToGrid w:val="0"/>
          <w:color w:val="auto"/>
          <w:kern w:val="0"/>
          <w:sz w:val="24"/>
          <w:highlight w:val="none"/>
        </w:rPr>
        <w:t xml:space="preserve"> </w:t>
      </w:r>
      <w:r>
        <w:rPr>
          <w:rFonts w:hint="eastAsia" w:ascii="宋体" w:hAnsi="宋体" w:eastAsia="宋体" w:cs="宋体"/>
          <w:snapToGrid w:val="0"/>
          <w:color w:val="auto"/>
          <w:kern w:val="0"/>
          <w:sz w:val="24"/>
          <w:highlight w:val="none"/>
          <w:lang w:val="en-US" w:eastAsia="zh-CN"/>
        </w:rPr>
        <w:t>提交电子投标文件截止</w:t>
      </w:r>
      <w:r>
        <w:rPr>
          <w:rFonts w:hint="eastAsia" w:ascii="宋体" w:hAnsi="宋体" w:eastAsia="宋体" w:cs="宋体"/>
          <w:snapToGrid w:val="0"/>
          <w:color w:val="auto"/>
          <w:kern w:val="0"/>
          <w:sz w:val="24"/>
          <w:highlight w:val="none"/>
        </w:rPr>
        <w:t>时间：见本章第二节“重要事项时间地点一览表”。</w:t>
      </w:r>
    </w:p>
    <w:p>
      <w:pPr>
        <w:pStyle w:val="58"/>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3</w:t>
      </w:r>
      <w:r>
        <w:rPr>
          <w:rFonts w:hint="eastAsia" w:ascii="宋体" w:hAnsi="宋体" w:eastAsia="宋体" w:cs="宋体"/>
          <w:b/>
          <w:bCs/>
          <w:snapToGrid w:val="0"/>
          <w:color w:val="auto"/>
          <w:kern w:val="0"/>
          <w:sz w:val="24"/>
          <w:szCs w:val="20"/>
          <w:highlight w:val="none"/>
        </w:rPr>
        <w:t>.</w:t>
      </w:r>
      <w:r>
        <w:rPr>
          <w:rFonts w:hint="eastAsia" w:ascii="宋体" w:hAnsi="宋体" w:eastAsia="宋体" w:cs="宋体"/>
          <w:b/>
          <w:bCs/>
          <w:snapToGrid w:val="0"/>
          <w:color w:val="auto"/>
          <w:kern w:val="0"/>
          <w:sz w:val="24"/>
          <w:szCs w:val="20"/>
          <w:highlight w:val="none"/>
          <w:lang w:val="en-US" w:eastAsia="zh-CN"/>
        </w:rPr>
        <w:t>2</w:t>
      </w:r>
      <w:r>
        <w:rPr>
          <w:rFonts w:hint="eastAsia" w:ascii="宋体" w:hAnsi="宋体" w:eastAsia="宋体" w:cs="宋体"/>
          <w:snapToGrid w:val="0"/>
          <w:color w:val="auto"/>
          <w:kern w:val="0"/>
          <w:sz w:val="24"/>
          <w:highlight w:val="none"/>
        </w:rPr>
        <w:t xml:space="preserve"> 投标人代表除</w:t>
      </w:r>
      <w:r>
        <w:rPr>
          <w:rFonts w:hint="eastAsia" w:ascii="宋体" w:hAnsi="宋体" w:eastAsia="宋体" w:cs="宋体"/>
          <w:snapToGrid w:val="0"/>
          <w:color w:val="auto"/>
          <w:kern w:val="0"/>
          <w:sz w:val="24"/>
          <w:highlight w:val="none"/>
          <w:lang w:val="en-US" w:eastAsia="zh-CN"/>
        </w:rPr>
        <w:t>提交电子投标文件</w:t>
      </w:r>
      <w:r>
        <w:rPr>
          <w:rFonts w:hint="eastAsia" w:ascii="宋体" w:hAnsi="宋体" w:eastAsia="宋体" w:cs="宋体"/>
          <w:snapToGrid w:val="0"/>
          <w:color w:val="auto"/>
          <w:kern w:val="0"/>
          <w:sz w:val="24"/>
          <w:highlight w:val="none"/>
        </w:rPr>
        <w:t>外，</w:t>
      </w:r>
      <w:r>
        <w:rPr>
          <w:rStyle w:val="146"/>
          <w:rFonts w:hint="eastAsia" w:ascii="宋体" w:hAnsi="宋体" w:eastAsia="宋体" w:cs="宋体"/>
          <w:b/>
          <w:bCs/>
          <w:color w:val="auto"/>
          <w:kern w:val="0"/>
          <w:sz w:val="24"/>
          <w:szCs w:val="24"/>
          <w:highlight w:val="none"/>
          <w:lang w:val="en-US" w:eastAsia="zh-CN" w:bidi="ar-SA"/>
        </w:rPr>
        <w:t>投标人无须进行现场签到，如有招标文件要求提交的用于评审的证书、证件、证明原件等相关资料，投标人可在规定的地点、时间内递交至开标现场（附一式两份清单），</w:t>
      </w:r>
      <w:r>
        <w:rPr>
          <w:rFonts w:hint="eastAsia" w:ascii="宋体" w:hAnsi="宋体" w:eastAsia="宋体" w:cs="宋体"/>
          <w:b/>
          <w:bCs/>
          <w:snapToGrid w:val="0"/>
          <w:color w:val="auto"/>
          <w:kern w:val="0"/>
          <w:sz w:val="24"/>
          <w:szCs w:val="20"/>
          <w:highlight w:val="none"/>
          <w:lang w:val="en-US" w:eastAsia="zh-CN"/>
        </w:rPr>
        <w:t>可自行委派授权委托人（递交资料的授权委托人可与投标代理人不是同一人）（授权委托人</w:t>
      </w:r>
      <w:r>
        <w:rPr>
          <w:rFonts w:hint="eastAsia" w:ascii="宋体" w:hAnsi="宋体" w:eastAsia="宋体" w:cs="宋体"/>
          <w:b/>
          <w:bCs/>
          <w:snapToGrid w:val="0"/>
          <w:color w:val="auto"/>
          <w:kern w:val="0"/>
          <w:sz w:val="24"/>
          <w:szCs w:val="20"/>
          <w:highlight w:val="none"/>
        </w:rPr>
        <w:t>到场的，应同时出示《授权委托书》（格式四）和《法定代表人身份证明》（格式五）</w:t>
      </w:r>
      <w:r>
        <w:rPr>
          <w:rFonts w:hint="eastAsia" w:ascii="宋体" w:hAnsi="宋体" w:eastAsia="宋体" w:cs="宋体"/>
          <w:b/>
          <w:bCs/>
          <w:snapToGrid w:val="0"/>
          <w:color w:val="auto"/>
          <w:kern w:val="0"/>
          <w:sz w:val="24"/>
          <w:szCs w:val="20"/>
          <w:highlight w:val="none"/>
          <w:lang w:val="en-US" w:eastAsia="zh-CN"/>
        </w:rPr>
        <w:t>），</w:t>
      </w:r>
      <w:r>
        <w:rPr>
          <w:rStyle w:val="146"/>
          <w:rFonts w:hint="eastAsia" w:ascii="宋体" w:hAnsi="宋体" w:eastAsia="宋体" w:cs="宋体"/>
          <w:b/>
          <w:bCs/>
          <w:color w:val="auto"/>
          <w:kern w:val="0"/>
          <w:sz w:val="24"/>
          <w:szCs w:val="24"/>
          <w:highlight w:val="none"/>
          <w:lang w:val="en-US" w:eastAsia="zh-CN" w:bidi="ar-SA"/>
        </w:rPr>
        <w:t>无原件的不作要求。</w:t>
      </w:r>
    </w:p>
    <w:p>
      <w:pPr>
        <w:pStyle w:val="58"/>
        <w:keepNext w:val="0"/>
        <w:keepLines w:val="0"/>
        <w:pageBreakBefore w:val="0"/>
        <w:kinsoku/>
        <w:wordWrap w:val="0"/>
        <w:overflowPunct/>
        <w:topLinePunct w:val="0"/>
        <w:autoSpaceDE/>
        <w:autoSpaceDN/>
        <w:bidi w:val="0"/>
        <w:adjustRightInd w:val="0"/>
        <w:snapToGrid w:val="0"/>
        <w:spacing w:line="288" w:lineRule="auto"/>
        <w:ind w:firstLine="482"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3</w:t>
      </w:r>
      <w:r>
        <w:rPr>
          <w:rFonts w:hint="eastAsia" w:ascii="宋体" w:hAnsi="宋体" w:eastAsia="宋体" w:cs="宋体"/>
          <w:b/>
          <w:bCs/>
          <w:snapToGrid w:val="0"/>
          <w:color w:val="auto"/>
          <w:kern w:val="0"/>
          <w:sz w:val="24"/>
          <w:szCs w:val="20"/>
          <w:highlight w:val="none"/>
        </w:rPr>
        <w:t>.</w:t>
      </w:r>
      <w:r>
        <w:rPr>
          <w:rFonts w:hint="eastAsia" w:ascii="宋体" w:hAnsi="宋体" w:eastAsia="宋体" w:cs="宋体"/>
          <w:b/>
          <w:bCs/>
          <w:snapToGrid w:val="0"/>
          <w:color w:val="auto"/>
          <w:kern w:val="0"/>
          <w:sz w:val="24"/>
          <w:szCs w:val="20"/>
          <w:highlight w:val="none"/>
          <w:lang w:val="en-US" w:eastAsia="zh-CN"/>
        </w:rPr>
        <w:t>3</w:t>
      </w:r>
      <w:r>
        <w:rPr>
          <w:rFonts w:hint="eastAsia" w:ascii="宋体" w:hAnsi="宋体" w:eastAsia="宋体" w:cs="宋体"/>
          <w:snapToGrid w:val="0"/>
          <w:color w:val="auto"/>
          <w:kern w:val="0"/>
          <w:sz w:val="24"/>
          <w:highlight w:val="none"/>
        </w:rPr>
        <w:t xml:space="preserve"> 联合体投标的，由联合体牵头人按以上要求</w:t>
      </w:r>
      <w:r>
        <w:rPr>
          <w:rFonts w:hint="eastAsia" w:ascii="宋体" w:hAnsi="宋体" w:eastAsia="宋体" w:cs="宋体"/>
          <w:snapToGrid w:val="0"/>
          <w:color w:val="auto"/>
          <w:kern w:val="0"/>
          <w:sz w:val="24"/>
          <w:highlight w:val="none"/>
          <w:lang w:eastAsia="zh-CN"/>
        </w:rPr>
        <w:t>提交电子投标文件</w:t>
      </w:r>
      <w:r>
        <w:rPr>
          <w:rFonts w:hint="eastAsia" w:ascii="宋体" w:hAnsi="宋体" w:eastAsia="宋体" w:cs="宋体"/>
          <w:snapToGrid w:val="0"/>
          <w:color w:val="auto"/>
          <w:kern w:val="0"/>
          <w:sz w:val="24"/>
          <w:highlight w:val="none"/>
        </w:rPr>
        <w:t>和相关资料。（本次招标不适用）</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w:t>
      </w:r>
      <w:r>
        <w:rPr>
          <w:rFonts w:hint="eastAsia" w:ascii="宋体" w:hAnsi="宋体" w:eastAsia="宋体" w:cs="宋体"/>
          <w:b/>
          <w:bCs/>
          <w:snapToGrid w:val="0"/>
          <w:color w:val="auto"/>
          <w:kern w:val="0"/>
          <w:highlight w:val="none"/>
          <w:lang w:val="en-US" w:eastAsia="zh-CN"/>
        </w:rPr>
        <w:t>3</w:t>
      </w:r>
      <w:r>
        <w:rPr>
          <w:rFonts w:hint="eastAsia" w:ascii="宋体" w:hAnsi="宋体" w:eastAsia="宋体" w:cs="宋体"/>
          <w:b/>
          <w:bCs/>
          <w:snapToGrid w:val="0"/>
          <w:color w:val="auto"/>
          <w:kern w:val="0"/>
          <w:highlight w:val="none"/>
        </w:rPr>
        <w:t>.</w:t>
      </w:r>
      <w:r>
        <w:rPr>
          <w:rFonts w:hint="eastAsia" w:ascii="宋体" w:hAnsi="宋体" w:eastAsia="宋体" w:cs="宋体"/>
          <w:b/>
          <w:bCs/>
          <w:snapToGrid w:val="0"/>
          <w:color w:val="auto"/>
          <w:kern w:val="0"/>
          <w:highlight w:val="none"/>
          <w:lang w:val="en-US" w:eastAsia="zh-CN"/>
        </w:rPr>
        <w:t>4</w:t>
      </w:r>
      <w:r>
        <w:rPr>
          <w:rFonts w:hint="eastAsia" w:ascii="宋体" w:hAnsi="宋体" w:eastAsia="宋体" w:cs="宋体"/>
          <w:snapToGrid w:val="0"/>
          <w:color w:val="auto"/>
          <w:kern w:val="0"/>
          <w:highlight w:val="none"/>
        </w:rPr>
        <w:t>招标人或其授权的招标代理机构核对、接收投标人递交的相关资料后，应向投标人出具标明签收人和签收时间的凭证，并妥善保管。</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13.</w:t>
      </w:r>
      <w:r>
        <w:rPr>
          <w:rFonts w:hint="eastAsia" w:ascii="宋体" w:hAnsi="宋体" w:eastAsia="宋体" w:cs="宋体"/>
          <w:b/>
          <w:bCs/>
          <w:snapToGrid w:val="0"/>
          <w:color w:val="auto"/>
          <w:kern w:val="0"/>
          <w:highlight w:val="none"/>
          <w:lang w:val="en-US" w:eastAsia="zh-CN"/>
        </w:rPr>
        <w:t>5</w:t>
      </w:r>
      <w:r>
        <w:rPr>
          <w:rFonts w:hint="eastAsia" w:ascii="宋体" w:hAnsi="宋体" w:eastAsia="宋体" w:cs="宋体"/>
          <w:snapToGrid w:val="0"/>
          <w:color w:val="auto"/>
          <w:kern w:val="0"/>
          <w:highlight w:val="none"/>
        </w:rPr>
        <w:t>出现下述情形之一，属于未成功提交投标文件，按无效投标处理：</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（1）至提交投标文件截止时，投标文件未完整上传及提交标书；</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（2）解密失败且在规定时间内未重新提交投标文件的</w:t>
      </w:r>
      <w:r>
        <w:rPr>
          <w:rFonts w:hint="eastAsia" w:ascii="宋体" w:hAnsi="宋体" w:eastAsia="宋体" w:cs="宋体"/>
          <w:snapToGrid w:val="0"/>
          <w:color w:val="auto"/>
          <w:kern w:val="0"/>
          <w:highlight w:val="none"/>
          <w:lang w:eastAsia="zh-CN"/>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（3）投标文件损坏或格式不正确的；</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b/>
          <w:bCs/>
          <w:snapToGrid w:val="0"/>
          <w:color w:val="auto"/>
          <w:kern w:val="0"/>
          <w:highlight w:val="none"/>
          <w:lang w:val="en-US" w:eastAsia="zh-CN"/>
        </w:rPr>
      </w:pPr>
      <w:r>
        <w:rPr>
          <w:rFonts w:hint="eastAsia" w:ascii="宋体" w:hAnsi="宋体" w:eastAsia="宋体" w:cs="宋体"/>
          <w:b/>
          <w:bCs/>
          <w:snapToGrid w:val="0"/>
          <w:color w:val="auto"/>
          <w:kern w:val="0"/>
          <w:highlight w:val="none"/>
          <w:lang w:val="en-US" w:eastAsia="zh-CN"/>
        </w:rPr>
        <w:t>13.</w:t>
      </w:r>
      <w:r>
        <w:rPr>
          <w:rFonts w:hint="eastAsia" w:hAnsi="宋体" w:cs="宋体"/>
          <w:b/>
          <w:bCs/>
          <w:snapToGrid w:val="0"/>
          <w:color w:val="auto"/>
          <w:kern w:val="0"/>
          <w:highlight w:val="none"/>
          <w:lang w:val="en-US" w:eastAsia="zh-CN"/>
        </w:rPr>
        <w:t>6</w:t>
      </w:r>
      <w:r>
        <w:rPr>
          <w:rFonts w:hint="eastAsia" w:ascii="宋体" w:hAnsi="宋体" w:eastAsia="宋体" w:cs="宋体"/>
          <w:b/>
          <w:bCs/>
          <w:snapToGrid w:val="0"/>
          <w:color w:val="auto"/>
          <w:kern w:val="0"/>
          <w:highlight w:val="none"/>
          <w:lang w:val="en-US" w:eastAsia="zh-CN"/>
        </w:rPr>
        <w:t>由于投标人原因导致未按投标截止时间上传完整的电子投标文件、在交易平台中上传的电子投标文件无法解密、电子投标文件损坏或格式不正确、电子投标文件未按招标文件要求加盖电子印章或电子印章不完整、电子投标文件解密失败且未按要求上传备用投标文件等情形导致投标无效的，由投标人自行负责。</w:t>
      </w:r>
      <w:bookmarkStart w:id="204" w:name="_GoBack"/>
      <w:bookmarkEnd w:id="204"/>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highlight w:val="none"/>
        </w:rPr>
      </w:pP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2"/>
        <w:rPr>
          <w:rFonts w:hint="eastAsia" w:ascii="宋体" w:hAnsi="宋体" w:eastAsia="宋体" w:cs="宋体"/>
          <w:snapToGrid w:val="0"/>
          <w:color w:val="auto"/>
          <w:kern w:val="0"/>
          <w:highlight w:val="none"/>
        </w:rPr>
      </w:pPr>
      <w:bookmarkStart w:id="73" w:name="_Toc13708"/>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highlight w:val="none"/>
          <w:lang w:val="en-US" w:eastAsia="zh-CN"/>
        </w:rPr>
        <w:t>4</w:t>
      </w:r>
      <w:r>
        <w:rPr>
          <w:rFonts w:hint="eastAsia" w:ascii="宋体" w:hAnsi="宋体" w:eastAsia="宋体" w:cs="宋体"/>
          <w:b/>
          <w:snapToGrid w:val="0"/>
          <w:color w:val="auto"/>
          <w:kern w:val="0"/>
          <w:highlight w:val="none"/>
        </w:rPr>
        <w:t>．投标有效期</w:t>
      </w:r>
      <w:bookmarkEnd w:id="73"/>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本次招标投标有效期为</w:t>
      </w:r>
      <w:r>
        <w:rPr>
          <w:rFonts w:hint="eastAsia" w:ascii="宋体" w:hAnsi="宋体" w:eastAsia="宋体" w:cs="宋体"/>
          <w:snapToGrid w:val="0"/>
          <w:color w:val="auto"/>
          <w:kern w:val="0"/>
          <w:highlight w:val="none"/>
          <w:u w:val="single"/>
        </w:rPr>
        <w:t xml:space="preserve"> 90 </w:t>
      </w:r>
      <w:r>
        <w:rPr>
          <w:rFonts w:hint="eastAsia" w:ascii="宋体" w:hAnsi="宋体" w:eastAsia="宋体" w:cs="宋体"/>
          <w:snapToGrid w:val="0"/>
          <w:color w:val="auto"/>
          <w:kern w:val="0"/>
          <w:highlight w:val="none"/>
        </w:rPr>
        <w:t>个日历天，自投标人</w:t>
      </w:r>
      <w:r>
        <w:rPr>
          <w:rFonts w:hint="eastAsia" w:ascii="宋体" w:hAnsi="宋体" w:eastAsia="宋体" w:cs="宋体"/>
          <w:snapToGrid w:val="0"/>
          <w:color w:val="auto"/>
          <w:kern w:val="0"/>
          <w:highlight w:val="none"/>
          <w:lang w:val="en-US" w:eastAsia="zh-CN"/>
        </w:rPr>
        <w:t>提交电子</w:t>
      </w:r>
      <w:r>
        <w:rPr>
          <w:rFonts w:hint="eastAsia" w:ascii="宋体" w:hAnsi="宋体" w:eastAsia="宋体" w:cs="宋体"/>
          <w:snapToGrid w:val="0"/>
          <w:color w:val="auto"/>
          <w:kern w:val="0"/>
          <w:highlight w:val="none"/>
        </w:rPr>
        <w:t>投标文件之日起计。在此期间，投标人不得撤销或修改其投标文件，否则其投标保证不予退还。</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2"/>
        <w:rPr>
          <w:rFonts w:hint="eastAsia" w:ascii="宋体" w:hAnsi="宋体" w:eastAsia="宋体" w:cs="宋体"/>
          <w:snapToGrid w:val="0"/>
          <w:color w:val="auto"/>
          <w:kern w:val="0"/>
          <w:highlight w:val="none"/>
        </w:rPr>
      </w:pPr>
      <w:bookmarkStart w:id="74" w:name="_Toc11925"/>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highlight w:val="none"/>
          <w:lang w:val="en-US" w:eastAsia="zh-CN"/>
        </w:rPr>
        <w:t>5</w:t>
      </w:r>
      <w:r>
        <w:rPr>
          <w:rFonts w:hint="eastAsia" w:ascii="宋体" w:hAnsi="宋体" w:eastAsia="宋体" w:cs="宋体"/>
          <w:b/>
          <w:snapToGrid w:val="0"/>
          <w:color w:val="auto"/>
          <w:kern w:val="0"/>
          <w:highlight w:val="none"/>
        </w:rPr>
        <w:t>．开标</w:t>
      </w:r>
      <w:bookmarkEnd w:id="74"/>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w:t>
      </w:r>
      <w:r>
        <w:rPr>
          <w:rFonts w:hint="eastAsia" w:ascii="宋体" w:hAnsi="宋体" w:eastAsia="宋体" w:cs="宋体"/>
          <w:b/>
          <w:bCs/>
          <w:snapToGrid w:val="0"/>
          <w:color w:val="auto"/>
          <w:kern w:val="0"/>
          <w:sz w:val="24"/>
          <w:highlight w:val="none"/>
          <w:lang w:val="en-US" w:eastAsia="zh-CN"/>
        </w:rPr>
        <w:t>5</w:t>
      </w:r>
      <w:r>
        <w:rPr>
          <w:rFonts w:hint="eastAsia" w:ascii="宋体" w:hAnsi="宋体" w:eastAsia="宋体" w:cs="宋体"/>
          <w:b/>
          <w:bCs/>
          <w:snapToGrid w:val="0"/>
          <w:color w:val="auto"/>
          <w:kern w:val="0"/>
          <w:sz w:val="24"/>
          <w:highlight w:val="none"/>
        </w:rPr>
        <w:t>.1</w:t>
      </w:r>
      <w:r>
        <w:rPr>
          <w:rFonts w:hint="eastAsia" w:ascii="宋体" w:hAnsi="宋体" w:eastAsia="宋体" w:cs="宋体"/>
          <w:snapToGrid w:val="0"/>
          <w:color w:val="auto"/>
          <w:kern w:val="0"/>
          <w:sz w:val="24"/>
          <w:highlight w:val="none"/>
        </w:rPr>
        <w:t xml:space="preserve"> 招标人邀请所有正确完成了网上</w:t>
      </w:r>
      <w:r>
        <w:rPr>
          <w:rFonts w:hint="eastAsia" w:ascii="宋体" w:hAnsi="宋体" w:eastAsia="宋体" w:cs="宋体"/>
          <w:snapToGrid w:val="0"/>
          <w:color w:val="auto"/>
          <w:kern w:val="0"/>
          <w:sz w:val="24"/>
          <w:highlight w:val="none"/>
          <w:lang w:eastAsia="zh-CN"/>
        </w:rPr>
        <w:t>获取招标文件</w:t>
      </w:r>
      <w:r>
        <w:rPr>
          <w:rFonts w:hint="eastAsia" w:ascii="宋体" w:hAnsi="宋体" w:eastAsia="宋体" w:cs="宋体"/>
          <w:snapToGrid w:val="0"/>
          <w:color w:val="auto"/>
          <w:kern w:val="0"/>
          <w:sz w:val="24"/>
          <w:highlight w:val="none"/>
        </w:rPr>
        <w:t>、电子投标、缴纳投标保证、</w:t>
      </w:r>
      <w:r>
        <w:rPr>
          <w:rFonts w:hint="eastAsia" w:ascii="宋体" w:hAnsi="宋体" w:eastAsia="宋体" w:cs="宋体"/>
          <w:snapToGrid w:val="0"/>
          <w:color w:val="auto"/>
          <w:kern w:val="0"/>
          <w:sz w:val="24"/>
          <w:highlight w:val="none"/>
          <w:lang w:eastAsia="zh-CN"/>
        </w:rPr>
        <w:t>提交电子投标文件</w:t>
      </w:r>
      <w:r>
        <w:rPr>
          <w:rFonts w:hint="eastAsia" w:ascii="宋体" w:hAnsi="宋体" w:eastAsia="宋体" w:cs="宋体"/>
          <w:snapToGrid w:val="0"/>
          <w:color w:val="auto"/>
          <w:kern w:val="0"/>
          <w:sz w:val="24"/>
          <w:highlight w:val="none"/>
        </w:rPr>
        <w:t>的投标人参加开标，投标人可自主决定是否参加。投标人不参加开标的，视其默认开标结果，以及放弃在开标期间见证、监督、投诉、申辩的权利。</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b/>
          <w:bCs/>
          <w:snapToGrid w:val="0"/>
          <w:color w:val="auto"/>
          <w:kern w:val="0"/>
          <w:sz w:val="24"/>
          <w:szCs w:val="20"/>
          <w:highlight w:val="none"/>
        </w:rPr>
        <w:t>.1.1</w:t>
      </w:r>
      <w:r>
        <w:rPr>
          <w:rFonts w:hint="eastAsia" w:ascii="宋体" w:hAnsi="宋体" w:eastAsia="宋体" w:cs="宋体"/>
          <w:snapToGrid w:val="0"/>
          <w:color w:val="auto"/>
          <w:kern w:val="0"/>
          <w:sz w:val="24"/>
          <w:highlight w:val="none"/>
        </w:rPr>
        <w:t xml:space="preserve"> 开标时间和地点：见本章第二节“重要事项时间地点一览表”。</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b/>
          <w:bCs/>
          <w:snapToGrid w:val="0"/>
          <w:color w:val="auto"/>
          <w:kern w:val="0"/>
          <w:sz w:val="24"/>
          <w:szCs w:val="20"/>
          <w:highlight w:val="none"/>
        </w:rPr>
        <w:t>.1.2</w:t>
      </w:r>
      <w:r>
        <w:rPr>
          <w:rFonts w:hint="eastAsia" w:ascii="宋体" w:hAnsi="宋体" w:eastAsia="宋体" w:cs="宋体"/>
          <w:snapToGrid w:val="0"/>
          <w:color w:val="auto"/>
          <w:kern w:val="0"/>
          <w:sz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Style w:val="146"/>
          <w:rFonts w:hint="eastAsia" w:ascii="宋体" w:hAnsi="宋体" w:eastAsia="宋体" w:cs="宋体"/>
          <w:color w:val="auto"/>
          <w:kern w:val="0"/>
          <w:sz w:val="24"/>
          <w:szCs w:val="24"/>
          <w:highlight w:val="none"/>
        </w:rPr>
        <w:t>广东省公共资源交易平台（韶关市）（https://ygp.gdzwfw.gov.cn/ggzy-portal/#/440200/index）</w:t>
      </w:r>
      <w:r>
        <w:rPr>
          <w:rFonts w:hint="eastAsia" w:ascii="宋体" w:hAnsi="宋体" w:eastAsia="宋体" w:cs="宋体"/>
          <w:snapToGrid w:val="0"/>
          <w:color w:val="auto"/>
          <w:kern w:val="0"/>
          <w:sz w:val="24"/>
          <w:highlight w:val="none"/>
        </w:rPr>
        <w:t>查询是否发布了取消开标活动的相关信息。</w:t>
      </w:r>
    </w:p>
    <w:p>
      <w:pPr>
        <w:pStyle w:val="58"/>
        <w:keepNext w:val="0"/>
        <w:keepLines w:val="0"/>
        <w:pageBreakBefore w:val="0"/>
        <w:kinsoku/>
        <w:wordWrap w:val="0"/>
        <w:overflowPunct/>
        <w:topLinePunct w:val="0"/>
        <w:autoSpaceDE/>
        <w:autoSpaceDN/>
        <w:bidi w:val="0"/>
        <w:adjustRightInd w:val="0"/>
        <w:snapToGrid w:val="0"/>
        <w:spacing w:line="288" w:lineRule="auto"/>
        <w:ind w:firstLine="480"/>
        <w:jc w:val="left"/>
        <w:outlineLvl w:val="9"/>
        <w:rPr>
          <w:rFonts w:hint="eastAsia" w:ascii="宋体" w:hAnsi="宋体" w:eastAsia="宋体" w:cs="宋体"/>
          <w:snapToGrid w:val="0"/>
          <w:color w:val="auto"/>
          <w:kern w:val="0"/>
          <w:sz w:val="24"/>
          <w:highlight w:val="none"/>
          <w:lang w:val="en-US" w:eastAsia="zh-CN"/>
        </w:rPr>
      </w:pPr>
      <w:r>
        <w:rPr>
          <w:rFonts w:hint="eastAsia" w:ascii="宋体" w:hAnsi="宋体" w:eastAsia="宋体" w:cs="宋体"/>
          <w:b/>
          <w:bCs/>
          <w:snapToGrid w:val="0"/>
          <w:color w:val="auto"/>
          <w:kern w:val="0"/>
          <w:sz w:val="24"/>
          <w:szCs w:val="20"/>
          <w:highlight w:val="none"/>
          <w:lang w:val="en-US" w:eastAsia="zh-CN"/>
        </w:rPr>
        <w:t xml:space="preserve">15.1.3 </w:t>
      </w:r>
      <w:r>
        <w:rPr>
          <w:rFonts w:hint="eastAsia" w:ascii="宋体" w:hAnsi="宋体" w:eastAsia="宋体" w:cs="宋体"/>
          <w:snapToGrid w:val="0"/>
          <w:color w:val="auto"/>
          <w:kern w:val="0"/>
          <w:sz w:val="24"/>
          <w:highlight w:val="none"/>
          <w:lang w:val="en-US" w:eastAsia="zh-CN"/>
        </w:rPr>
        <w:t>实行全流程电子化招标投标的项目，投标人无须进行现场签到，可登录交易平台观看开标实况、提出异议或进行澄清、确认等操作，具体按招标文件和系统操作手册为准。</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w:t>
      </w:r>
      <w:r>
        <w:rPr>
          <w:rFonts w:hint="eastAsia" w:ascii="宋体" w:hAnsi="宋体" w:eastAsia="宋体" w:cs="宋体"/>
          <w:b/>
          <w:bCs/>
          <w:snapToGrid w:val="0"/>
          <w:color w:val="auto"/>
          <w:kern w:val="0"/>
          <w:highlight w:val="none"/>
          <w:lang w:val="en-US" w:eastAsia="zh-CN"/>
        </w:rPr>
        <w:t>5</w:t>
      </w:r>
      <w:r>
        <w:rPr>
          <w:rFonts w:hint="eastAsia" w:ascii="宋体" w:hAnsi="宋体" w:eastAsia="宋体" w:cs="宋体"/>
          <w:b/>
          <w:bCs/>
          <w:snapToGrid w:val="0"/>
          <w:color w:val="auto"/>
          <w:kern w:val="0"/>
          <w:highlight w:val="none"/>
        </w:rPr>
        <w:t>.2</w:t>
      </w:r>
      <w:r>
        <w:rPr>
          <w:rFonts w:hint="eastAsia" w:ascii="宋体" w:hAnsi="宋体" w:eastAsia="宋体" w:cs="宋体"/>
          <w:snapToGrid w:val="0"/>
          <w:color w:val="auto"/>
          <w:kern w:val="0"/>
          <w:highlight w:val="none"/>
        </w:rPr>
        <w:t xml:space="preserve"> 开标程序</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（1）主持人（招标人代表或招标人授权的招标代理机构人员）宣读开标纪律。</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（2）主持人宣布唱标人、记录人、见证人、监督人等有关人员姓名。</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（3）唱标人公布在投标截止时间前</w:t>
      </w:r>
      <w:r>
        <w:rPr>
          <w:rFonts w:hint="eastAsia" w:ascii="宋体" w:hAnsi="宋体" w:eastAsia="宋体" w:cs="宋体"/>
          <w:snapToGrid w:val="0"/>
          <w:color w:val="auto"/>
          <w:kern w:val="0"/>
          <w:highlight w:val="none"/>
          <w:lang w:eastAsia="zh-CN"/>
        </w:rPr>
        <w:t>提交电子投标文件</w:t>
      </w:r>
      <w:r>
        <w:rPr>
          <w:rFonts w:hint="eastAsia" w:ascii="宋体" w:hAnsi="宋体" w:eastAsia="宋体" w:cs="宋体"/>
          <w:snapToGrid w:val="0"/>
          <w:color w:val="auto"/>
          <w:kern w:val="0"/>
          <w:highlight w:val="none"/>
        </w:rPr>
        <w:t>的投标人数量和名称</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sz w:val="24"/>
          <w:highlight w:val="none"/>
        </w:rPr>
        <w:t>投标人不参加开标的，视其默认开标结果</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highlight w:val="none"/>
        </w:rPr>
        <w:t>招标代理机构应将有关情形在《开标一览表》“备注”栏中注明。</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（4）招标代理机构在交易场所工作人员见证下对投标人的电子投标信息进行解密，建设工程交易系统自动生成《投标保证缴纳情况表》和《开标一览表》。</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（5）唱标人检查《投标保证缴纳情况表》中各投标人所缴纳投标保证的金额、有效期是否符合招标文件规定。若不符合规定，该投标人的投标无效</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并将有关情形在《投标保证缴纳情况表》“备注”栏中注明。</w:t>
      </w:r>
    </w:p>
    <w:p>
      <w:pPr>
        <w:keepNext w:val="0"/>
        <w:keepLines w:val="0"/>
        <w:wordWrap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）投标文件的</w:t>
      </w:r>
      <w:r>
        <w:rPr>
          <w:rFonts w:hint="eastAsia" w:ascii="宋体" w:hAnsi="宋体" w:eastAsia="宋体" w:cs="宋体"/>
          <w:snapToGrid w:val="0"/>
          <w:color w:val="auto"/>
          <w:kern w:val="0"/>
          <w:highlight w:val="none"/>
          <w:lang w:val="en-US" w:eastAsia="zh-CN"/>
        </w:rPr>
        <w:t>解密</w:t>
      </w:r>
    </w:p>
    <w:p>
      <w:pPr>
        <w:keepNext w:val="0"/>
        <w:keepLines w:val="0"/>
        <w:wordWrap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按照前面开标程序处理后，剩余投标人的投标文件均应</w:t>
      </w:r>
      <w:r>
        <w:rPr>
          <w:rFonts w:hint="eastAsia" w:ascii="宋体" w:hAnsi="宋体" w:eastAsia="宋体" w:cs="宋体"/>
          <w:snapToGrid w:val="0"/>
          <w:color w:val="auto"/>
          <w:kern w:val="0"/>
          <w:highlight w:val="none"/>
          <w:lang w:val="en-US" w:eastAsia="zh-CN"/>
        </w:rPr>
        <w:t>解密</w:t>
      </w:r>
      <w:r>
        <w:rPr>
          <w:rFonts w:hint="eastAsia" w:ascii="宋体" w:hAnsi="宋体" w:eastAsia="宋体" w:cs="宋体"/>
          <w:snapToGrid w:val="0"/>
          <w:color w:val="auto"/>
          <w:kern w:val="0"/>
          <w:highlight w:val="none"/>
        </w:rPr>
        <w:t>。是否按照招标文件规定提供电子</w:t>
      </w:r>
      <w:r>
        <w:rPr>
          <w:rFonts w:hint="eastAsia" w:ascii="宋体" w:hAnsi="宋体" w:eastAsia="宋体" w:cs="宋体"/>
          <w:snapToGrid w:val="0"/>
          <w:color w:val="auto"/>
          <w:kern w:val="0"/>
          <w:highlight w:val="none"/>
          <w:lang w:val="en-US" w:eastAsia="zh-CN"/>
        </w:rPr>
        <w:t>投标</w:t>
      </w:r>
      <w:r>
        <w:rPr>
          <w:rFonts w:hint="eastAsia" w:ascii="宋体" w:hAnsi="宋体" w:eastAsia="宋体" w:cs="宋体"/>
          <w:snapToGrid w:val="0"/>
          <w:color w:val="auto"/>
          <w:kern w:val="0"/>
          <w:highlight w:val="none"/>
        </w:rPr>
        <w:t>文件。若不符合规定，招标代理机构应将有关情形在《开标一览表》</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备注</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栏中注明。</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7</w:t>
      </w:r>
      <w:r>
        <w:rPr>
          <w:rFonts w:hint="eastAsia" w:ascii="宋体" w:hAnsi="宋体" w:eastAsia="宋体" w:cs="宋体"/>
          <w:snapToGrid w:val="0"/>
          <w:color w:val="auto"/>
          <w:kern w:val="0"/>
          <w:highlight w:val="none"/>
        </w:rPr>
        <w:t>）唱标人检查《开标一览表》中各投标人的投标总价、监理服务期限是否符合招标文件规定。若不符合规定，招标代理机构应将有关情形在《开标一览表》“备注”栏中注明。</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8</w:t>
      </w:r>
      <w:r>
        <w:rPr>
          <w:rFonts w:hint="eastAsia" w:ascii="宋体" w:hAnsi="宋体" w:eastAsia="宋体" w:cs="宋体"/>
          <w:snapToGrid w:val="0"/>
          <w:color w:val="auto"/>
          <w:kern w:val="0"/>
          <w:highlight w:val="none"/>
        </w:rPr>
        <w:t>）投标人代表、招标人代表、唱标人、记录人等有关人员在《投标保证缴纳情况表》以及《开标一览表》上签字确认。</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9</w:t>
      </w:r>
      <w:r>
        <w:rPr>
          <w:rFonts w:hint="eastAsia" w:ascii="宋体" w:hAnsi="宋体" w:eastAsia="宋体" w:cs="宋体"/>
          <w:snapToGrid w:val="0"/>
          <w:color w:val="auto"/>
          <w:kern w:val="0"/>
          <w:highlight w:val="none"/>
        </w:rPr>
        <w:t>）主持人宣布有关注意事项后，宣布开标结束。</w:t>
      </w:r>
    </w:p>
    <w:p>
      <w:pPr>
        <w:keepNext w:val="0"/>
        <w:keepLines w:val="0"/>
        <w:pageBreakBefore w:val="0"/>
        <w:widowControl/>
        <w:kinsoku/>
        <w:wordWrap w:val="0"/>
        <w:overflowPunct/>
        <w:topLinePunct w:val="0"/>
        <w:autoSpaceDE/>
        <w:autoSpaceDN/>
        <w:bidi w:val="0"/>
        <w:adjustRightInd w:val="0"/>
        <w:snapToGrid w:val="0"/>
        <w:spacing w:line="288" w:lineRule="auto"/>
        <w:ind w:firstLine="480" w:firstLineChars="200"/>
        <w:textAlignment w:val="baseline"/>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w:t>
      </w:r>
      <w:r>
        <w:rPr>
          <w:rFonts w:hint="eastAsia" w:ascii="宋体" w:hAnsi="宋体" w:eastAsia="宋体" w:cs="宋体"/>
          <w:b/>
          <w:bCs/>
          <w:snapToGrid w:val="0"/>
          <w:color w:val="auto"/>
          <w:kern w:val="0"/>
          <w:highlight w:val="none"/>
          <w:lang w:val="en-US" w:eastAsia="zh-CN"/>
        </w:rPr>
        <w:t>5</w:t>
      </w:r>
      <w:r>
        <w:rPr>
          <w:rFonts w:hint="eastAsia" w:ascii="宋体" w:hAnsi="宋体" w:eastAsia="宋体" w:cs="宋体"/>
          <w:b/>
          <w:bCs/>
          <w:snapToGrid w:val="0"/>
          <w:color w:val="auto"/>
          <w:kern w:val="0"/>
          <w:highlight w:val="none"/>
        </w:rPr>
        <w:t>.</w:t>
      </w:r>
      <w:r>
        <w:rPr>
          <w:rFonts w:hint="eastAsia" w:ascii="宋体" w:hAnsi="宋体" w:eastAsia="宋体" w:cs="宋体"/>
          <w:b/>
          <w:bCs/>
          <w:snapToGrid w:val="0"/>
          <w:color w:val="auto"/>
          <w:kern w:val="0"/>
          <w:highlight w:val="none"/>
          <w:lang w:val="en-US" w:eastAsia="zh-CN"/>
        </w:rPr>
        <w:t>3</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采用“暗标”方式进行评审的，在开标结束并清场后，由招标人代表在见证人或监督人见证下对</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文本及对应保密信封进行编号。号码可为随机数字或字母，但应确保同一投标人的</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文本编号与保密信封编号保持一致。招标人代表编号完毕后，将所有投标人的保密信封取出并装入同一个密封袋，并用封条密封。（本次招标不适用）</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15</w:t>
      </w:r>
      <w:r>
        <w:rPr>
          <w:rFonts w:hint="eastAsia" w:ascii="宋体" w:hAnsi="宋体" w:eastAsia="宋体" w:cs="宋体"/>
          <w:b/>
          <w:bCs/>
          <w:snapToGrid w:val="0"/>
          <w:color w:val="auto"/>
          <w:kern w:val="0"/>
          <w:highlight w:val="none"/>
        </w:rPr>
        <w:t>.</w:t>
      </w:r>
      <w:r>
        <w:rPr>
          <w:rFonts w:hint="eastAsia" w:ascii="宋体" w:hAnsi="宋体" w:eastAsia="宋体" w:cs="宋体"/>
          <w:b/>
          <w:bCs/>
          <w:snapToGrid w:val="0"/>
          <w:color w:val="auto"/>
          <w:kern w:val="0"/>
          <w:highlight w:val="none"/>
          <w:lang w:val="en-US" w:eastAsia="zh-CN"/>
        </w:rPr>
        <w:t>4</w:t>
      </w:r>
      <w:r>
        <w:rPr>
          <w:rFonts w:hint="eastAsia" w:ascii="宋体" w:hAnsi="宋体" w:eastAsia="宋体" w:cs="宋体"/>
          <w:snapToGrid w:val="0"/>
          <w:color w:val="auto"/>
          <w:kern w:val="0"/>
          <w:highlight w:val="none"/>
        </w:rPr>
        <w:t xml:space="preserve"> 招标代理机构将</w:t>
      </w:r>
      <w:r>
        <w:rPr>
          <w:rFonts w:hint="eastAsia" w:ascii="宋体" w:hAnsi="宋体" w:eastAsia="宋体" w:cs="宋体"/>
          <w:snapToGrid w:val="0"/>
          <w:color w:val="auto"/>
          <w:kern w:val="0"/>
          <w:highlight w:val="none"/>
          <w:lang w:val="en-US" w:eastAsia="zh-CN"/>
        </w:rPr>
        <w:t>投标单位提供的证明材料</w:t>
      </w:r>
      <w:r>
        <w:rPr>
          <w:rFonts w:hint="eastAsia" w:ascii="宋体" w:hAnsi="宋体" w:eastAsia="宋体" w:cs="宋体"/>
          <w:snapToGrid w:val="0"/>
          <w:color w:val="auto"/>
          <w:kern w:val="0"/>
          <w:highlight w:val="none"/>
        </w:rPr>
        <w:t>原件（若有）、《开标一览表》以及其他有关资料移交评标委员会。</w:t>
      </w:r>
      <w:bookmarkStart w:id="75" w:name="_Hlt127093805"/>
      <w:bookmarkEnd w:id="75"/>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2"/>
        <w:rPr>
          <w:rFonts w:hint="eastAsia" w:ascii="宋体" w:hAnsi="宋体" w:eastAsia="宋体" w:cs="宋体"/>
          <w:b/>
          <w:snapToGrid w:val="0"/>
          <w:color w:val="auto"/>
          <w:kern w:val="0"/>
          <w:highlight w:val="none"/>
        </w:rPr>
      </w:pPr>
      <w:bookmarkStart w:id="76" w:name="_Toc1358"/>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highlight w:val="none"/>
          <w:lang w:val="en-US" w:eastAsia="zh-CN"/>
        </w:rPr>
        <w:t>6</w:t>
      </w:r>
      <w:r>
        <w:rPr>
          <w:rFonts w:hint="eastAsia" w:ascii="宋体" w:hAnsi="宋体" w:eastAsia="宋体" w:cs="宋体"/>
          <w:b/>
          <w:snapToGrid w:val="0"/>
          <w:color w:val="auto"/>
          <w:kern w:val="0"/>
          <w:highlight w:val="none"/>
        </w:rPr>
        <w:t>．评标</w:t>
      </w:r>
      <w:bookmarkEnd w:id="76"/>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评标分为初步评审和详细评审两个阶段，由评标委员会在有关部门的监督下，严格按照本招标文件指定的评标方法，对投标人的投标文件进行评审。</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.1</w:t>
      </w:r>
      <w:r>
        <w:rPr>
          <w:rFonts w:hint="eastAsia" w:ascii="宋体" w:hAnsi="宋体" w:eastAsia="宋体" w:cs="宋体"/>
          <w:bCs/>
          <w:snapToGrid w:val="0"/>
          <w:color w:val="auto"/>
          <w:kern w:val="0"/>
          <w:highlight w:val="none"/>
        </w:rPr>
        <w:t xml:space="preserve"> 评标委员会</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.1.1</w:t>
      </w:r>
      <w:r>
        <w:rPr>
          <w:rFonts w:hint="eastAsia" w:ascii="宋体" w:hAnsi="宋体" w:eastAsia="宋体" w:cs="宋体"/>
          <w:snapToGrid w:val="0"/>
          <w:color w:val="auto"/>
          <w:kern w:val="0"/>
          <w:highlight w:val="none"/>
        </w:rPr>
        <w:t xml:space="preserve"> 评标委员会由</w:t>
      </w:r>
      <w:r>
        <w:rPr>
          <w:rFonts w:hint="eastAsia" w:ascii="宋体" w:hAnsi="宋体" w:eastAsia="宋体" w:cs="宋体"/>
          <w:snapToGrid w:val="0"/>
          <w:color w:val="auto"/>
          <w:kern w:val="0"/>
          <w:highlight w:val="none"/>
          <w:u w:val="single"/>
        </w:rPr>
        <w:t xml:space="preserve"> 5 </w:t>
      </w:r>
      <w:r>
        <w:rPr>
          <w:rFonts w:hint="eastAsia" w:ascii="宋体" w:hAnsi="宋体" w:eastAsia="宋体" w:cs="宋体"/>
          <w:snapToGrid w:val="0"/>
          <w:color w:val="auto"/>
          <w:kern w:val="0"/>
          <w:highlight w:val="none"/>
        </w:rPr>
        <w:t>人组成，其中招标人代表</w:t>
      </w:r>
      <w:r>
        <w:rPr>
          <w:rFonts w:hint="eastAsia" w:ascii="宋体" w:hAnsi="宋体" w:eastAsia="宋体" w:cs="宋体"/>
          <w:snapToGrid w:val="0"/>
          <w:color w:val="auto"/>
          <w:kern w:val="0"/>
          <w:highlight w:val="none"/>
          <w:u w:val="single"/>
        </w:rPr>
        <w:t xml:space="preserve"> 0 </w:t>
      </w:r>
      <w:r>
        <w:rPr>
          <w:rFonts w:hint="eastAsia" w:ascii="宋体" w:hAnsi="宋体" w:eastAsia="宋体" w:cs="宋体"/>
          <w:snapToGrid w:val="0"/>
          <w:color w:val="auto"/>
          <w:kern w:val="0"/>
          <w:highlight w:val="none"/>
        </w:rPr>
        <w:t>人，专家</w:t>
      </w:r>
      <w:r>
        <w:rPr>
          <w:rFonts w:hint="eastAsia" w:ascii="宋体" w:hAnsi="宋体" w:eastAsia="宋体" w:cs="宋体"/>
          <w:snapToGrid w:val="0"/>
          <w:color w:val="auto"/>
          <w:kern w:val="0"/>
          <w:highlight w:val="none"/>
          <w:u w:val="single"/>
        </w:rPr>
        <w:t xml:space="preserve"> 5 </w:t>
      </w:r>
      <w:r>
        <w:rPr>
          <w:rFonts w:hint="eastAsia" w:ascii="宋体" w:hAnsi="宋体" w:eastAsia="宋体" w:cs="宋体"/>
          <w:snapToGrid w:val="0"/>
          <w:color w:val="auto"/>
          <w:kern w:val="0"/>
          <w:highlight w:val="none"/>
        </w:rPr>
        <w:t>人。专家从广东省综合评标评审专家库中随机抽取，其中技术类专家</w:t>
      </w:r>
      <w:r>
        <w:rPr>
          <w:rFonts w:hint="eastAsia" w:ascii="宋体" w:hAnsi="宋体" w:eastAsia="宋体" w:cs="宋体"/>
          <w:snapToGrid w:val="0"/>
          <w:color w:val="auto"/>
          <w:kern w:val="0"/>
          <w:highlight w:val="none"/>
          <w:u w:val="single"/>
        </w:rPr>
        <w:t xml:space="preserve"> 3 </w:t>
      </w:r>
      <w:r>
        <w:rPr>
          <w:rFonts w:hint="eastAsia" w:ascii="宋体" w:hAnsi="宋体" w:eastAsia="宋体" w:cs="宋体"/>
          <w:snapToGrid w:val="0"/>
          <w:color w:val="auto"/>
          <w:kern w:val="0"/>
          <w:highlight w:val="none"/>
        </w:rPr>
        <w:t>人，经济类专家</w:t>
      </w:r>
      <w:r>
        <w:rPr>
          <w:rFonts w:hint="eastAsia" w:ascii="宋体" w:hAnsi="宋体" w:eastAsia="宋体" w:cs="宋体"/>
          <w:snapToGrid w:val="0"/>
          <w:color w:val="auto"/>
          <w:kern w:val="0"/>
          <w:highlight w:val="none"/>
          <w:u w:val="single"/>
        </w:rPr>
        <w:t xml:space="preserve"> 2 </w:t>
      </w:r>
      <w:r>
        <w:rPr>
          <w:rFonts w:hint="eastAsia" w:ascii="宋体" w:hAnsi="宋体" w:eastAsia="宋体" w:cs="宋体"/>
          <w:snapToGrid w:val="0"/>
          <w:color w:val="auto"/>
          <w:kern w:val="0"/>
          <w:highlight w:val="none"/>
        </w:rPr>
        <w:t>人。评标委员会设负责人，由评标委员会成员推举产生。评标委员会负责人与评标委员会的其他成员有同等的表决权。</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.1.2</w:t>
      </w:r>
      <w:r>
        <w:rPr>
          <w:rFonts w:hint="eastAsia" w:ascii="宋体" w:hAnsi="宋体" w:eastAsia="宋体" w:cs="宋体"/>
          <w:snapToGrid w:val="0"/>
          <w:color w:val="auto"/>
          <w:kern w:val="0"/>
          <w:highlight w:val="none"/>
        </w:rPr>
        <w:t xml:space="preserve"> 评标委员会应认真、公正、诚实、廉洁地履行职责。有下列情形之一的，不得担任评标委员会成员：</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（1）投标人或投标人主要负责人的近亲属；</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（2）项目主管部门或者行政监督部门的人员；</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（3）与投标人有经济利益关系，可能影响对投标公正评审的；</w:t>
      </w:r>
    </w:p>
    <w:p>
      <w:pPr>
        <w:keepNext w:val="0"/>
        <w:keepLines w:val="0"/>
        <w:pageBreakBefore w:val="0"/>
        <w:kinsoku/>
        <w:wordWrap w:val="0"/>
        <w:overflowPunct/>
        <w:topLinePunct w:val="0"/>
        <w:autoSpaceDE/>
        <w:autoSpaceDN/>
        <w:bidi w:val="0"/>
        <w:adjustRightInd w:val="0"/>
        <w:snapToGrid w:val="0"/>
        <w:spacing w:line="288" w:lineRule="auto"/>
        <w:ind w:firstLine="56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（4）曾因在招标、评标以及其他与招标投标有关活动中从事违法行为而受过行政处罚或刑事处罚的。</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评标委员会成员有以上情形之一的，应主动提出回避。</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szCs w:val="22"/>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.1.3</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Cs w:val="22"/>
          <w:highlight w:val="none"/>
        </w:rPr>
        <w:t>评标全过程实行封闭式管理，在中标结果公布前，禁止评标委员会成员以任何方式私下接触投标人。</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.1.4</w:t>
      </w:r>
      <w:r>
        <w:rPr>
          <w:rFonts w:hint="eastAsia" w:ascii="宋体" w:hAnsi="宋体" w:eastAsia="宋体" w:cs="宋体"/>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.1.5</w:t>
      </w:r>
      <w:r>
        <w:rPr>
          <w:rFonts w:hint="eastAsia" w:ascii="宋体" w:hAnsi="宋体" w:eastAsia="宋体" w:cs="宋体"/>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.2</w:t>
      </w:r>
      <w:r>
        <w:rPr>
          <w:rFonts w:hint="eastAsia" w:ascii="宋体" w:hAnsi="宋体" w:eastAsia="宋体" w:cs="宋体"/>
          <w:bCs/>
          <w:snapToGrid w:val="0"/>
          <w:color w:val="auto"/>
          <w:kern w:val="0"/>
          <w:szCs w:val="22"/>
          <w:highlight w:val="none"/>
        </w:rPr>
        <w:t xml:space="preserve"> 评标方法</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i/>
          <w:iCs/>
          <w:snapToGrid w:val="0"/>
          <w:color w:val="auto"/>
          <w:kern w:val="0"/>
          <w:highlight w:val="none"/>
        </w:rPr>
      </w:pPr>
      <w:r>
        <w:rPr>
          <w:rFonts w:hint="eastAsia" w:ascii="宋体" w:hAnsi="宋体" w:eastAsia="宋体" w:cs="宋体"/>
          <w:snapToGrid w:val="0"/>
          <w:color w:val="auto"/>
          <w:kern w:val="0"/>
          <w:highlight w:val="none"/>
        </w:rPr>
        <w:t>根据有关法律、法规的相关规定，结合</w:t>
      </w:r>
      <w:r>
        <w:rPr>
          <w:rFonts w:hint="eastAsia" w:ascii="宋体" w:hAnsi="宋体" w:eastAsia="宋体" w:cs="宋体"/>
          <w:snapToGrid w:val="0"/>
          <w:color w:val="auto"/>
          <w:kern w:val="0"/>
          <w:highlight w:val="none"/>
          <w:lang w:eastAsia="zh-CN"/>
        </w:rPr>
        <w:t>本招标项目</w:t>
      </w:r>
      <w:r>
        <w:rPr>
          <w:rFonts w:hint="eastAsia" w:ascii="宋体" w:hAnsi="宋体" w:eastAsia="宋体" w:cs="宋体"/>
          <w:snapToGrid w:val="0"/>
          <w:color w:val="auto"/>
          <w:kern w:val="0"/>
          <w:highlight w:val="none"/>
        </w:rPr>
        <w:t>资金来源和规模特点，本次招标采用“综合评估法”进行评标。</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.3</w:t>
      </w:r>
      <w:r>
        <w:rPr>
          <w:rFonts w:hint="eastAsia" w:ascii="宋体" w:hAnsi="宋体" w:eastAsia="宋体" w:cs="宋体"/>
          <w:bCs/>
          <w:snapToGrid w:val="0"/>
          <w:color w:val="auto"/>
          <w:kern w:val="0"/>
          <w:szCs w:val="22"/>
          <w:highlight w:val="none"/>
        </w:rPr>
        <w:t xml:space="preserve"> 评审范围：</w:t>
      </w:r>
      <w:r>
        <w:rPr>
          <w:rFonts w:hint="eastAsia" w:ascii="宋体" w:hAnsi="宋体" w:eastAsia="宋体" w:cs="宋体"/>
          <w:snapToGrid w:val="0"/>
          <w:color w:val="auto"/>
          <w:kern w:val="0"/>
          <w:highlight w:val="none"/>
        </w:rPr>
        <w:t>评标委员会应对所有进入评标投标人的投标文件进行评审。</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.4</w:t>
      </w:r>
      <w:r>
        <w:rPr>
          <w:rFonts w:hint="eastAsia" w:ascii="宋体" w:hAnsi="宋体" w:eastAsia="宋体" w:cs="宋体"/>
          <w:snapToGrid w:val="0"/>
          <w:color w:val="auto"/>
          <w:kern w:val="0"/>
          <w:highlight w:val="none"/>
        </w:rPr>
        <w:t xml:space="preserve"> 初步评审阶段</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初步评审阶段分为资格评审、形式评审和响应性评审三个环节。</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.4.1</w:t>
      </w:r>
      <w:r>
        <w:rPr>
          <w:rFonts w:hint="eastAsia" w:ascii="宋体" w:hAnsi="宋体" w:eastAsia="宋体" w:cs="宋体"/>
          <w:snapToGrid w:val="0"/>
          <w:color w:val="auto"/>
          <w:kern w:val="0"/>
          <w:highlight w:val="none"/>
        </w:rPr>
        <w:t xml:space="preserve"> 资格评审环节</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资格评审事项包括：</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r>
        <w:rPr>
          <w:rFonts w:hint="eastAsia" w:ascii="宋体" w:hAnsi="宋体" w:eastAsia="宋体" w:cs="宋体"/>
          <w:snapToGrid w:val="0"/>
          <w:color w:val="auto"/>
          <w:kern w:val="0"/>
          <w:sz w:val="24"/>
          <w:szCs w:val="24"/>
          <w:highlight w:val="none"/>
        </w:rPr>
        <w:t>投标人须具备独立法人资格，按国家法律经营</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sz w:val="24"/>
          <w:szCs w:val="24"/>
          <w:highlight w:val="none"/>
        </w:rPr>
        <w:t>投标人须具备以下资质之一：</w:t>
      </w:r>
      <w:r>
        <w:rPr>
          <w:rFonts w:hint="eastAsia" w:ascii="宋体" w:hAnsi="宋体" w:eastAsia="宋体" w:cs="宋体"/>
          <w:snapToGrid w:val="0"/>
          <w:color w:val="auto"/>
          <w:kern w:val="0"/>
          <w:sz w:val="24"/>
          <w:szCs w:val="24"/>
          <w:highlight w:val="none"/>
          <w:u w:val="single"/>
        </w:rPr>
        <w:t>①工程监理综合资质；②</w:t>
      </w:r>
      <w:r>
        <w:rPr>
          <w:rFonts w:hint="eastAsia" w:ascii="宋体" w:hAnsi="宋体" w:eastAsia="宋体" w:cs="宋体"/>
          <w:snapToGrid w:val="0"/>
          <w:color w:val="auto"/>
          <w:kern w:val="0"/>
          <w:sz w:val="24"/>
          <w:szCs w:val="24"/>
          <w:highlight w:val="none"/>
          <w:u w:val="single"/>
          <w:lang w:eastAsia="zh-CN"/>
        </w:rPr>
        <w:t>市政公用工程监理丙级以上（含丙级）</w:t>
      </w:r>
      <w:r>
        <w:rPr>
          <w:rFonts w:hint="eastAsia" w:ascii="宋体" w:hAnsi="宋体" w:eastAsia="宋体" w:cs="宋体"/>
          <w:snapToGrid w:val="0"/>
          <w:color w:val="auto"/>
          <w:kern w:val="0"/>
          <w:sz w:val="24"/>
          <w:szCs w:val="24"/>
          <w:highlight w:val="none"/>
          <w:u w:val="single"/>
        </w:rPr>
        <w:t>资质</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 w:val="24"/>
          <w:szCs w:val="24"/>
          <w:highlight w:val="none"/>
        </w:rPr>
        <w:t>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r>
        <w:rPr>
          <w:rFonts w:hint="eastAsia" w:ascii="宋体" w:hAnsi="宋体" w:eastAsia="宋体" w:cs="宋体"/>
          <w:snapToGrid w:val="0"/>
          <w:color w:val="auto"/>
          <w:kern w:val="0"/>
          <w:sz w:val="24"/>
          <w:szCs w:val="24"/>
          <w:highlight w:val="none"/>
        </w:rPr>
        <w:t>拟派总监理工程师需具备</w:t>
      </w:r>
      <w:r>
        <w:rPr>
          <w:rFonts w:hint="eastAsia" w:ascii="宋体" w:hAnsi="宋体" w:eastAsia="宋体" w:cs="宋体"/>
          <w:snapToGrid w:val="0"/>
          <w:color w:val="auto"/>
          <w:kern w:val="0"/>
          <w:sz w:val="24"/>
          <w:szCs w:val="24"/>
          <w:highlight w:val="none"/>
          <w:u w:val="single"/>
          <w:lang w:eastAsia="zh-CN"/>
        </w:rPr>
        <w:t>市政公用工程</w:t>
      </w:r>
      <w:r>
        <w:rPr>
          <w:rFonts w:hint="eastAsia" w:ascii="宋体" w:hAnsi="宋体" w:eastAsia="宋体" w:cs="宋体"/>
          <w:snapToGrid w:val="0"/>
          <w:color w:val="auto"/>
          <w:kern w:val="0"/>
          <w:sz w:val="24"/>
          <w:szCs w:val="24"/>
          <w:highlight w:val="none"/>
          <w:u w:val="none"/>
        </w:rPr>
        <w:t>专业</w:t>
      </w:r>
      <w:r>
        <w:rPr>
          <w:rFonts w:hint="eastAsia" w:ascii="宋体" w:hAnsi="宋体" w:eastAsia="宋体" w:cs="宋体"/>
          <w:snapToGrid w:val="0"/>
          <w:color w:val="auto"/>
          <w:kern w:val="0"/>
          <w:sz w:val="24"/>
          <w:szCs w:val="24"/>
          <w:highlight w:val="none"/>
        </w:rPr>
        <w:t>注册监理工程师，应持有国家住建部印发的有效注册证书，其担任总监理工程师职务的其他在施（包括已中标未开工、已开工未竣工）建设工程项目不得超过</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个</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sz w:val="24"/>
          <w:szCs w:val="24"/>
          <w:highlight w:val="none"/>
        </w:rPr>
        <w:t>拟派总监理工程师现阶段有担任其他在施建设工程项目总监理工程师职务的，须得到任职项目建设单位书面同意后方可担任本招标项目总监理工程师</w:t>
      </w:r>
      <w:r>
        <w:rPr>
          <w:rFonts w:hint="eastAsia" w:ascii="宋体" w:hAnsi="宋体" w:eastAsia="宋体" w:cs="宋体"/>
          <w:snapToGrid w:val="0"/>
          <w:color w:val="auto"/>
          <w:kern w:val="0"/>
          <w:sz w:val="24"/>
          <w:szCs w:val="24"/>
          <w:highlight w:val="none"/>
          <w:lang w:eastAsia="zh-CN"/>
        </w:rPr>
        <w:t>。</w:t>
      </w:r>
    </w:p>
    <w:p>
      <w:pPr>
        <w:wordWrap w:val="0"/>
        <w:adjustRightInd w:val="0"/>
        <w:snapToGrid w:val="0"/>
        <w:spacing w:line="400" w:lineRule="exact"/>
        <w:ind w:firstLine="480" w:firstLineChars="200"/>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highlight w:val="none"/>
        </w:rPr>
        <w:t>（4）</w:t>
      </w:r>
      <w:r>
        <w:rPr>
          <w:rFonts w:hint="eastAsia" w:ascii="宋体" w:hAnsi="宋体" w:eastAsia="宋体" w:cs="宋体"/>
          <w:snapToGrid w:val="0"/>
          <w:color w:val="auto"/>
          <w:kern w:val="0"/>
          <w:sz w:val="24"/>
          <w:szCs w:val="24"/>
          <w:highlight w:val="none"/>
        </w:rPr>
        <w:t>投标人与其拟派往本项目监理机构的所有人员之间必须具备合法、唯一的劳动聘用关系。拟派人员中具备注册执业资格的，其注册单位须与投标人保持一致。</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投标人不是本次招标禁止投标条款中的单位</w:t>
      </w:r>
      <w:r>
        <w:rPr>
          <w:rFonts w:hint="eastAsia" w:ascii="宋体" w:hAnsi="宋体" w:eastAsia="宋体" w:cs="宋体"/>
          <w:snapToGrid w:val="0"/>
          <w:color w:val="auto"/>
          <w:kern w:val="0"/>
          <w:sz w:val="24"/>
          <w:szCs w:val="24"/>
          <w:highlight w:val="none"/>
          <w:lang w:eastAsia="zh-CN"/>
        </w:rPr>
        <w:t>，没</w:t>
      </w:r>
      <w:r>
        <w:rPr>
          <w:rFonts w:hint="eastAsia" w:ascii="宋体" w:hAnsi="宋体" w:eastAsia="宋体" w:cs="宋体"/>
          <w:snapToGrid w:val="0"/>
          <w:color w:val="auto"/>
          <w:kern w:val="0"/>
          <w:sz w:val="24"/>
          <w:szCs w:val="24"/>
          <w:highlight w:val="none"/>
        </w:rPr>
        <w:t>有本次招标禁止投标条款中规定的任何一种情形</w:t>
      </w:r>
      <w:r>
        <w:rPr>
          <w:rFonts w:hint="eastAsia" w:ascii="宋体" w:hAnsi="宋体" w:eastAsia="宋体" w:cs="宋体"/>
          <w:snapToGrid w:val="0"/>
          <w:color w:val="auto"/>
          <w:kern w:val="0"/>
          <w:sz w:val="24"/>
          <w:szCs w:val="24"/>
          <w:highlight w:val="none"/>
          <w:lang w:eastAsia="zh-CN"/>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 w:val="24"/>
          <w:szCs w:val="24"/>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.4.2</w:t>
      </w:r>
      <w:r>
        <w:rPr>
          <w:rFonts w:hint="eastAsia" w:ascii="宋体" w:hAnsi="宋体" w:eastAsia="宋体" w:cs="宋体"/>
          <w:snapToGrid w:val="0"/>
          <w:color w:val="auto"/>
          <w:kern w:val="0"/>
          <w:highlight w:val="none"/>
        </w:rPr>
        <w:t xml:space="preserve"> 形式评审环节</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形式评审事项包括：</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r>
        <w:rPr>
          <w:rStyle w:val="146"/>
          <w:rFonts w:hint="eastAsia" w:ascii="宋体" w:hAnsi="宋体" w:eastAsia="宋体" w:cs="宋体"/>
          <w:b w:val="0"/>
          <w:bCs w:val="0"/>
          <w:color w:val="auto"/>
          <w:kern w:val="0"/>
          <w:highlight w:val="none"/>
          <w:lang w:val="en-US" w:eastAsia="zh-CN"/>
        </w:rPr>
        <w:t>各分册是否按招标文件规定加盖电子印章、投标文件中需个人签字或盖章的是否按招标文件要求在相应位置加盖个人电子印章或在线下完成签字或盖章后扫描上传</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r>
        <w:rPr>
          <w:rStyle w:val="146"/>
          <w:rFonts w:hint="eastAsia" w:ascii="宋体" w:hAnsi="宋体" w:eastAsia="宋体" w:cs="宋体"/>
          <w:b w:val="0"/>
          <w:bCs w:val="0"/>
          <w:color w:val="auto"/>
          <w:kern w:val="0"/>
          <w:highlight w:val="none"/>
          <w:lang w:val="en-US" w:eastAsia="zh-CN"/>
        </w:rPr>
        <w:t>本节第</w:t>
      </w: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10.3.3</w:t>
      </w:r>
      <w:r>
        <w:rPr>
          <w:rFonts w:hint="eastAsia" w:ascii="宋体" w:hAnsi="宋体" w:eastAsia="宋体" w:cs="宋体"/>
          <w:snapToGrid w:val="0"/>
          <w:color w:val="auto"/>
          <w:kern w:val="0"/>
          <w:szCs w:val="18"/>
          <w:highlight w:val="none"/>
        </w:rPr>
        <w:t>目</w:t>
      </w:r>
      <w:r>
        <w:rPr>
          <w:rStyle w:val="146"/>
          <w:rFonts w:hint="eastAsia" w:ascii="宋体" w:hAnsi="宋体" w:eastAsia="宋体" w:cs="宋体"/>
          <w:b w:val="0"/>
          <w:bCs w:val="0"/>
          <w:color w:val="auto"/>
          <w:kern w:val="0"/>
          <w:highlight w:val="none"/>
          <w:lang w:val="en-US" w:eastAsia="zh-CN"/>
        </w:rPr>
        <w:t>中规定的“所有投标人均应提供”的组成内容（包括该组成内容的所附资料）是否完整、齐全</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.4.3</w:t>
      </w:r>
      <w:r>
        <w:rPr>
          <w:rFonts w:hint="eastAsia" w:ascii="宋体" w:hAnsi="宋体" w:eastAsia="宋体" w:cs="宋体"/>
          <w:snapToGrid w:val="0"/>
          <w:color w:val="auto"/>
          <w:kern w:val="0"/>
          <w:highlight w:val="none"/>
        </w:rPr>
        <w:t xml:space="preserve"> 响应性评审环节</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响应性评审事项包括：</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（1）投标有效期、监理及相关服务期限等是否响应招标文件实质性要求；是否擅自修改、遗漏《投标函》《各项承诺一览表》的实质性内容。</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（2）投标总价是否唯一；投标总价是否超出最高投标限价。</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（3）监理大纲中的监理及相关服务的范围、内容、目标是否符合招标文件规定。</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.4.4</w:t>
      </w:r>
      <w:r>
        <w:rPr>
          <w:rFonts w:hint="eastAsia" w:ascii="宋体" w:hAnsi="宋体" w:eastAsia="宋体" w:cs="宋体"/>
          <w:snapToGrid w:val="0"/>
          <w:color w:val="auto"/>
          <w:kern w:val="0"/>
          <w:highlight w:val="none"/>
        </w:rPr>
        <w:t xml:space="preserve"> 否决投标说明</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不进入下一环节（或阶段）评审。经初步评审后，若所有投标均被否决，招标人应当依法重新招标。</w:t>
      </w:r>
    </w:p>
    <w:p>
      <w:pPr>
        <w:keepNext w:val="0"/>
        <w:keepLines w:val="0"/>
        <w:pageBreakBefore w:val="0"/>
        <w:kinsoku/>
        <w:wordWrap w:val="0"/>
        <w:overflowPunct/>
        <w:topLinePunct w:val="0"/>
        <w:autoSpaceDE/>
        <w:autoSpaceDN/>
        <w:bidi w:val="0"/>
        <w:adjustRightInd w:val="0"/>
        <w:snapToGrid w:val="0"/>
        <w:spacing w:line="288" w:lineRule="auto"/>
        <w:ind w:firstLine="562"/>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.5</w:t>
      </w:r>
      <w:r>
        <w:rPr>
          <w:rFonts w:hint="eastAsia" w:ascii="宋体" w:hAnsi="宋体" w:eastAsia="宋体" w:cs="宋体"/>
          <w:snapToGrid w:val="0"/>
          <w:color w:val="auto"/>
          <w:kern w:val="0"/>
          <w:highlight w:val="none"/>
        </w:rPr>
        <w:t xml:space="preserve"> 详细评审</w:t>
      </w:r>
      <w:bookmarkStart w:id="77" w:name="_Hlt121629839"/>
      <w:r>
        <w:rPr>
          <w:rFonts w:hint="eastAsia" w:ascii="宋体" w:hAnsi="宋体" w:eastAsia="宋体" w:cs="宋体"/>
          <w:snapToGrid w:val="0"/>
          <w:color w:val="auto"/>
          <w:kern w:val="0"/>
          <w:highlight w:val="none"/>
        </w:rPr>
        <w:t>阶段</w:t>
      </w:r>
    </w:p>
    <w:p>
      <w:pPr>
        <w:keepNext w:val="0"/>
        <w:keepLines w:val="0"/>
        <w:pageBreakBefore w:val="0"/>
        <w:kinsoku/>
        <w:wordWrap w:val="0"/>
        <w:overflowPunct/>
        <w:topLinePunct w:val="0"/>
        <w:autoSpaceDE/>
        <w:autoSpaceDN/>
        <w:bidi w:val="0"/>
        <w:adjustRightInd w:val="0"/>
        <w:snapToGrid w:val="0"/>
        <w:spacing w:line="288" w:lineRule="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    </w:t>
      </w: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.5.1</w:t>
      </w:r>
      <w:r>
        <w:rPr>
          <w:rFonts w:hint="eastAsia" w:ascii="宋体" w:hAnsi="宋体" w:eastAsia="宋体" w:cs="宋体"/>
          <w:bCs/>
          <w:snapToGrid w:val="0"/>
          <w:color w:val="auto"/>
          <w:kern w:val="0"/>
          <w:highlight w:val="none"/>
        </w:rPr>
        <w:t xml:space="preserve"> “综合评估法”评审程序</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评审内容分为商务、技术和投标报价三大部分，综合得分满分为100分。其中，商务满分为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u w:val="single"/>
          <w:lang w:val="en-US" w:eastAsia="zh-CN"/>
        </w:rPr>
        <w:t>55</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分，技术满分为</w:t>
      </w:r>
      <w:r>
        <w:rPr>
          <w:rFonts w:hint="eastAsia" w:ascii="宋体" w:hAnsi="宋体" w:eastAsia="宋体" w:cs="宋体"/>
          <w:snapToGrid w:val="0"/>
          <w:color w:val="auto"/>
          <w:kern w:val="0"/>
          <w:highlight w:val="none"/>
          <w:u w:val="single"/>
        </w:rPr>
        <w:t xml:space="preserve"> </w:t>
      </w:r>
      <w:r>
        <w:rPr>
          <w:rFonts w:hint="eastAsia" w:hAnsi="宋体" w:cs="宋体"/>
          <w:snapToGrid w:val="0"/>
          <w:color w:val="auto"/>
          <w:kern w:val="0"/>
          <w:highlight w:val="none"/>
          <w:u w:val="single"/>
          <w:lang w:val="en-US" w:eastAsia="zh-CN"/>
        </w:rPr>
        <w:t>15</w:t>
      </w:r>
      <w:r>
        <w:rPr>
          <w:rFonts w:hint="eastAsia" w:ascii="宋体" w:hAnsi="宋体" w:eastAsia="宋体" w:cs="宋体"/>
          <w:snapToGrid w:val="0"/>
          <w:color w:val="auto"/>
          <w:kern w:val="0"/>
          <w:highlight w:val="none"/>
        </w:rPr>
        <w:t>分，投标报价部分满分为</w:t>
      </w:r>
      <w:r>
        <w:rPr>
          <w:rFonts w:hint="eastAsia" w:ascii="宋体" w:hAnsi="宋体" w:eastAsia="宋体" w:cs="宋体"/>
          <w:snapToGrid w:val="0"/>
          <w:color w:val="auto"/>
          <w:kern w:val="0"/>
          <w:highlight w:val="none"/>
          <w:u w:val="single"/>
        </w:rPr>
        <w:t xml:space="preserve"> </w:t>
      </w:r>
      <w:r>
        <w:rPr>
          <w:rFonts w:hint="eastAsia" w:hAnsi="宋体" w:cs="宋体"/>
          <w:snapToGrid w:val="0"/>
          <w:color w:val="auto"/>
          <w:kern w:val="0"/>
          <w:highlight w:val="none"/>
          <w:u w:val="single"/>
          <w:lang w:val="en-US" w:eastAsia="zh-CN"/>
        </w:rPr>
        <w:t>30</w:t>
      </w:r>
      <w:r>
        <w:rPr>
          <w:rFonts w:hint="eastAsia" w:ascii="宋体" w:hAnsi="宋体" w:eastAsia="宋体" w:cs="宋体"/>
          <w:snapToGrid w:val="0"/>
          <w:color w:val="auto"/>
          <w:kern w:val="0"/>
          <w:highlight w:val="none"/>
        </w:rPr>
        <w:t>分。</w:t>
      </w:r>
    </w:p>
    <w:p>
      <w:pPr>
        <w:keepNext w:val="0"/>
        <w:keepLines w:val="0"/>
        <w:pageBreakBefore w:val="0"/>
        <w:kinsoku/>
        <w:wordWrap w:val="0"/>
        <w:overflowPunct/>
        <w:topLinePunct w:val="0"/>
        <w:autoSpaceDE/>
        <w:autoSpaceDN/>
        <w:bidi w:val="0"/>
        <w:adjustRightInd w:val="0"/>
        <w:snapToGrid w:val="0"/>
        <w:spacing w:line="288" w:lineRule="auto"/>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除特别注明外，综合得分以及商务、技术、投标报价得分的中间过程计算值和最终值，均按“四舍五入”原则精确到两位小数。</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（1）商务得分M</w:t>
      </w:r>
      <w:r>
        <w:rPr>
          <w:rFonts w:hint="eastAsia" w:ascii="宋体" w:hAnsi="宋体" w:eastAsia="宋体" w:cs="宋体"/>
          <w:snapToGrid w:val="0"/>
          <w:color w:val="auto"/>
          <w:kern w:val="0"/>
          <w:highlight w:val="none"/>
          <w:vertAlign w:val="subscript"/>
        </w:rPr>
        <w:t>1</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评标委员会按照《综合评分表》商务部分指定的评分标准对各评分因素进行打分。各评分因素得分之和即为某投标人的商务得分M</w:t>
      </w:r>
      <w:r>
        <w:rPr>
          <w:rFonts w:hint="eastAsia" w:ascii="宋体" w:hAnsi="宋体" w:eastAsia="宋体" w:cs="宋体"/>
          <w:snapToGrid w:val="0"/>
          <w:color w:val="auto"/>
          <w:kern w:val="0"/>
          <w:highlight w:val="none"/>
          <w:vertAlign w:val="subscript"/>
        </w:rPr>
        <w:t>1</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（2）技术得分M</w:t>
      </w:r>
      <w:r>
        <w:rPr>
          <w:rFonts w:hint="eastAsia" w:ascii="宋体" w:hAnsi="宋体" w:eastAsia="宋体" w:cs="宋体"/>
          <w:snapToGrid w:val="0"/>
          <w:color w:val="auto"/>
          <w:kern w:val="0"/>
          <w:highlight w:val="none"/>
          <w:vertAlign w:val="subscript"/>
        </w:rPr>
        <w:t>2</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ascii="宋体" w:hAnsi="宋体" w:eastAsia="宋体" w:cs="宋体"/>
          <w:snapToGrid w:val="0"/>
          <w:color w:val="auto"/>
          <w:kern w:val="0"/>
          <w:highlight w:val="none"/>
          <w:vertAlign w:val="subscript"/>
        </w:rPr>
        <w:t>2</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（3）投标报价得分M</w:t>
      </w:r>
      <w:r>
        <w:rPr>
          <w:rFonts w:hint="eastAsia" w:ascii="宋体" w:hAnsi="宋体" w:eastAsia="宋体" w:cs="宋体"/>
          <w:snapToGrid w:val="0"/>
          <w:color w:val="auto"/>
          <w:kern w:val="0"/>
          <w:highlight w:val="none"/>
          <w:vertAlign w:val="subscript"/>
        </w:rPr>
        <w:t>3</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a</w:t>
      </w:r>
      <w:r>
        <w:rPr>
          <w:rFonts w:hint="eastAsia" w:ascii="宋体" w:hAnsi="宋体" w:eastAsia="宋体" w:cs="宋体"/>
          <w:snapToGrid w:val="0"/>
          <w:color w:val="auto"/>
          <w:kern w:val="0"/>
          <w:highlight w:val="none"/>
        </w:rPr>
        <w:t>．评标委员会按照《综合评分表》投标报价部分指定的方法计算评标基准价D。</w:t>
      </w:r>
    </w:p>
    <w:p>
      <w:pPr>
        <w:keepNext w:val="0"/>
        <w:keepLines w:val="0"/>
        <w:pageBreakBefore w:val="0"/>
        <w:kinsoku/>
        <w:wordWrap w:val="0"/>
        <w:overflowPunct/>
        <w:topLinePunct w:val="0"/>
        <w:autoSpaceDE/>
        <w:autoSpaceDN/>
        <w:bidi w:val="0"/>
        <w:adjustRightInd w:val="0"/>
        <w:snapToGrid w:val="0"/>
        <w:spacing w:line="288" w:lineRule="auto"/>
        <w:ind w:firstLine="482" w:firstLineChars="200"/>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b</w:t>
      </w:r>
      <w:r>
        <w:rPr>
          <w:rFonts w:hint="eastAsia" w:ascii="宋体" w:hAnsi="宋体" w:eastAsia="宋体" w:cs="宋体"/>
          <w:snapToGrid w:val="0"/>
          <w:color w:val="auto"/>
          <w:kern w:val="0"/>
          <w:highlight w:val="none"/>
        </w:rPr>
        <w:t>．采用内插法计算某投标人的投标报价得分M</w:t>
      </w:r>
      <w:r>
        <w:rPr>
          <w:rFonts w:hint="eastAsia" w:ascii="宋体" w:hAnsi="宋体" w:eastAsia="宋体" w:cs="宋体"/>
          <w:snapToGrid w:val="0"/>
          <w:color w:val="auto"/>
          <w:kern w:val="0"/>
          <w:highlight w:val="none"/>
          <w:vertAlign w:val="subscript"/>
        </w:rPr>
        <w:t>3</w:t>
      </w:r>
      <w:r>
        <w:rPr>
          <w:rFonts w:hint="eastAsia" w:ascii="宋体" w:hAnsi="宋体" w:eastAsia="宋体" w:cs="宋体"/>
          <w:snapToGrid w:val="0"/>
          <w:color w:val="auto"/>
          <w:kern w:val="0"/>
          <w:highlight w:val="none"/>
        </w:rPr>
        <w:t>，即当投标人的投标总价等于评标基准价时得满分，每高于评标基准价一个百分点扣</w:t>
      </w:r>
      <w:r>
        <w:rPr>
          <w:rFonts w:hint="eastAsia" w:ascii="宋体" w:hAnsi="宋体" w:eastAsia="宋体" w:cs="宋体"/>
          <w:snapToGrid w:val="0"/>
          <w:color w:val="auto"/>
          <w:kern w:val="0"/>
          <w:highlight w:val="none"/>
          <w:lang w:val="en-US" w:eastAsia="zh-CN"/>
        </w:rPr>
        <w:t>1</w:t>
      </w:r>
      <w:r>
        <w:rPr>
          <w:rFonts w:hint="eastAsia" w:ascii="宋体" w:hAnsi="宋体" w:eastAsia="宋体" w:cs="宋体"/>
          <w:snapToGrid w:val="0"/>
          <w:color w:val="auto"/>
          <w:kern w:val="0"/>
          <w:highlight w:val="none"/>
        </w:rPr>
        <w:t>分, 每低于评标基准价一个百分点扣0.</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分，扣完为止。公式如下：</w:t>
      </w:r>
    </w:p>
    <w:p>
      <w:pPr>
        <w:keepNext w:val="0"/>
        <w:keepLines w:val="0"/>
        <w:pageBreakBefore w:val="0"/>
        <w:kinsoku/>
        <w:wordWrap w:val="0"/>
        <w:overflowPunct/>
        <w:topLinePunct w:val="0"/>
        <w:autoSpaceDE/>
        <w:autoSpaceDN/>
        <w:bidi w:val="0"/>
        <w:adjustRightInd w:val="0"/>
        <w:snapToGrid w:val="0"/>
        <w:spacing w:line="288"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M</w:t>
      </w:r>
      <w:r>
        <w:rPr>
          <w:rFonts w:hint="eastAsia" w:ascii="宋体" w:hAnsi="宋体" w:eastAsia="宋体" w:cs="宋体"/>
          <w:snapToGrid w:val="0"/>
          <w:color w:val="auto"/>
          <w:kern w:val="0"/>
          <w:highlight w:val="none"/>
          <w:vertAlign w:val="subscript"/>
        </w:rPr>
        <w:t>3</w:t>
      </w:r>
      <w:r>
        <w:rPr>
          <w:rFonts w:hint="eastAsia" w:ascii="宋体" w:hAnsi="宋体" w:eastAsia="宋体" w:cs="宋体"/>
          <w:snapToGrid w:val="0"/>
          <w:color w:val="auto"/>
          <w:kern w:val="0"/>
          <w:highlight w:val="none"/>
        </w:rPr>
        <w:t>＝投标报价满分－（| Di－D | ÷D）×100×E</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式中：D为评标基准价，Di为某投标人的投标总价；</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E为扣分因子。当Di＞D时，E＝</w:t>
      </w:r>
      <w:r>
        <w:rPr>
          <w:rFonts w:hint="eastAsia" w:ascii="宋体" w:hAnsi="宋体" w:eastAsia="宋体" w:cs="宋体"/>
          <w:snapToGrid w:val="0"/>
          <w:color w:val="auto"/>
          <w:kern w:val="0"/>
          <w:highlight w:val="none"/>
          <w:lang w:val="en-US" w:eastAsia="zh-CN"/>
        </w:rPr>
        <w:t>1</w:t>
      </w:r>
      <w:r>
        <w:rPr>
          <w:rFonts w:hint="eastAsia" w:ascii="宋体" w:hAnsi="宋体" w:eastAsia="宋体" w:cs="宋体"/>
          <w:snapToGrid w:val="0"/>
          <w:color w:val="auto"/>
          <w:kern w:val="0"/>
          <w:highlight w:val="none"/>
        </w:rPr>
        <w:t>；当Di＜D时，E＝0</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（4）综合得分M</w:t>
      </w:r>
    </w:p>
    <w:p>
      <w:pPr>
        <w:keepNext w:val="0"/>
        <w:keepLines w:val="0"/>
        <w:pageBreakBefore w:val="0"/>
        <w:kinsoku/>
        <w:wordWrap w:val="0"/>
        <w:overflowPunct/>
        <w:topLinePunct w:val="0"/>
        <w:autoSpaceDE/>
        <w:autoSpaceDN/>
        <w:bidi w:val="0"/>
        <w:adjustRightInd w:val="0"/>
        <w:snapToGrid w:val="0"/>
        <w:spacing w:line="288"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M＝M</w:t>
      </w:r>
      <w:r>
        <w:rPr>
          <w:rFonts w:hint="eastAsia" w:ascii="宋体" w:hAnsi="宋体" w:eastAsia="宋体" w:cs="宋体"/>
          <w:snapToGrid w:val="0"/>
          <w:color w:val="auto"/>
          <w:kern w:val="0"/>
          <w:highlight w:val="none"/>
          <w:vertAlign w:val="subscript"/>
        </w:rPr>
        <w:t>1</w:t>
      </w:r>
      <w:r>
        <w:rPr>
          <w:rFonts w:hint="eastAsia" w:ascii="宋体" w:hAnsi="宋体" w:eastAsia="宋体" w:cs="宋体"/>
          <w:snapToGrid w:val="0"/>
          <w:color w:val="auto"/>
          <w:kern w:val="0"/>
          <w:highlight w:val="none"/>
        </w:rPr>
        <w:t>＋M</w:t>
      </w:r>
      <w:r>
        <w:rPr>
          <w:rFonts w:hint="eastAsia" w:ascii="宋体" w:hAnsi="宋体" w:eastAsia="宋体" w:cs="宋体"/>
          <w:snapToGrid w:val="0"/>
          <w:color w:val="auto"/>
          <w:kern w:val="0"/>
          <w:highlight w:val="none"/>
          <w:vertAlign w:val="subscript"/>
        </w:rPr>
        <w:t>2</w:t>
      </w:r>
      <w:r>
        <w:rPr>
          <w:rFonts w:hint="eastAsia" w:ascii="宋体" w:hAnsi="宋体" w:eastAsia="宋体" w:cs="宋体"/>
          <w:snapToGrid w:val="0"/>
          <w:color w:val="auto"/>
          <w:kern w:val="0"/>
          <w:highlight w:val="none"/>
        </w:rPr>
        <w:t>＋M</w:t>
      </w:r>
      <w:r>
        <w:rPr>
          <w:rFonts w:hint="eastAsia" w:ascii="宋体" w:hAnsi="宋体" w:eastAsia="宋体" w:cs="宋体"/>
          <w:snapToGrid w:val="0"/>
          <w:color w:val="auto"/>
          <w:kern w:val="0"/>
          <w:highlight w:val="none"/>
          <w:vertAlign w:val="subscript"/>
        </w:rPr>
        <w:t>3</w:t>
      </w:r>
    </w:p>
    <w:p>
      <w:pPr>
        <w:keepNext w:val="0"/>
        <w:keepLines w:val="0"/>
        <w:pageBreakBefore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r>
        <w:rPr>
          <w:rFonts w:hint="eastAsia" w:ascii="宋体" w:hAnsi="宋体" w:eastAsia="宋体" w:cs="宋体"/>
          <w:snapToGrid w:val="0"/>
          <w:color w:val="auto"/>
          <w:kern w:val="0"/>
          <w:highlight w:val="none"/>
        </w:rPr>
        <w:t>式中：M为综合得分，M</w:t>
      </w:r>
      <w:r>
        <w:rPr>
          <w:rFonts w:hint="eastAsia" w:ascii="宋体" w:hAnsi="宋体" w:eastAsia="宋体" w:cs="宋体"/>
          <w:snapToGrid w:val="0"/>
          <w:color w:val="auto"/>
          <w:kern w:val="0"/>
          <w:highlight w:val="none"/>
          <w:vertAlign w:val="subscript"/>
        </w:rPr>
        <w:t>1</w:t>
      </w:r>
      <w:r>
        <w:rPr>
          <w:rFonts w:hint="eastAsia" w:ascii="宋体" w:hAnsi="宋体" w:eastAsia="宋体" w:cs="宋体"/>
          <w:snapToGrid w:val="0"/>
          <w:color w:val="auto"/>
          <w:kern w:val="0"/>
          <w:highlight w:val="none"/>
        </w:rPr>
        <w:t>为商务得分，M</w:t>
      </w:r>
      <w:r>
        <w:rPr>
          <w:rFonts w:hint="eastAsia" w:ascii="宋体" w:hAnsi="宋体" w:eastAsia="宋体" w:cs="宋体"/>
          <w:snapToGrid w:val="0"/>
          <w:color w:val="auto"/>
          <w:kern w:val="0"/>
          <w:highlight w:val="none"/>
          <w:vertAlign w:val="subscript"/>
        </w:rPr>
        <w:t>2</w:t>
      </w:r>
      <w:r>
        <w:rPr>
          <w:rFonts w:hint="eastAsia" w:ascii="宋体" w:hAnsi="宋体" w:eastAsia="宋体" w:cs="宋体"/>
          <w:snapToGrid w:val="0"/>
          <w:color w:val="auto"/>
          <w:kern w:val="0"/>
          <w:highlight w:val="none"/>
        </w:rPr>
        <w:t>为技术得分，M</w:t>
      </w:r>
      <w:r>
        <w:rPr>
          <w:rFonts w:hint="eastAsia" w:ascii="宋体" w:hAnsi="宋体" w:eastAsia="宋体" w:cs="宋体"/>
          <w:snapToGrid w:val="0"/>
          <w:color w:val="auto"/>
          <w:kern w:val="0"/>
          <w:highlight w:val="none"/>
          <w:vertAlign w:val="subscript"/>
        </w:rPr>
        <w:t>3</w:t>
      </w:r>
      <w:r>
        <w:rPr>
          <w:rFonts w:hint="eastAsia" w:ascii="宋体" w:hAnsi="宋体" w:eastAsia="宋体" w:cs="宋体"/>
          <w:snapToGrid w:val="0"/>
          <w:color w:val="auto"/>
          <w:kern w:val="0"/>
          <w:highlight w:val="none"/>
        </w:rPr>
        <w:t>为投标报价得分。</w:t>
      </w:r>
    </w:p>
    <w:p>
      <w:pPr>
        <w:keepNext w:val="0"/>
        <w:keepLines w:val="0"/>
        <w:pageBreakBefore w:val="0"/>
        <w:widowControl w:val="0"/>
        <w:kinsoku/>
        <w:wordWrap w:val="0"/>
        <w:overflowPunct/>
        <w:topLinePunct w:val="0"/>
        <w:autoSpaceDE/>
        <w:autoSpaceDN/>
        <w:bidi w:val="0"/>
        <w:adjustRightInd w:val="0"/>
        <w:snapToGrid w:val="0"/>
        <w:spacing w:before="260" w:beforeLines="0" w:after="260" w:afterLines="0" w:line="440" w:lineRule="exact"/>
        <w:ind w:left="0" w:leftChars="0" w:right="0" w:rightChars="0" w:firstLine="602" w:firstLineChars="200"/>
        <w:jc w:val="center"/>
        <w:textAlignment w:val="auto"/>
        <w:outlineLvl w:val="9"/>
        <w:rPr>
          <w:rFonts w:hint="eastAsia" w:ascii="宋体" w:hAnsi="宋体" w:eastAsia="宋体" w:cs="宋体"/>
          <w:b/>
          <w:bCs/>
          <w:caps w:val="0"/>
          <w:smallCaps w:val="0"/>
          <w:snapToGrid w:val="0"/>
          <w:color w:val="auto"/>
          <w:spacing w:val="0"/>
          <w:kern w:val="0"/>
          <w:sz w:val="30"/>
          <w:szCs w:val="30"/>
          <w:highlight w:val="none"/>
        </w:rPr>
      </w:pPr>
      <w:r>
        <w:rPr>
          <w:rFonts w:hint="eastAsia" w:ascii="宋体" w:hAnsi="宋体" w:eastAsia="宋体" w:cs="宋体"/>
          <w:b/>
          <w:bCs/>
          <w:caps w:val="0"/>
          <w:smallCaps w:val="0"/>
          <w:snapToGrid w:val="0"/>
          <w:color w:val="auto"/>
          <w:spacing w:val="0"/>
          <w:kern w:val="0"/>
          <w:sz w:val="30"/>
          <w:szCs w:val="30"/>
          <w:highlight w:val="none"/>
          <w:lang w:eastAsia="zh-CN"/>
        </w:rPr>
        <w:t>表</w:t>
      </w:r>
      <w:r>
        <w:rPr>
          <w:rFonts w:hint="eastAsia" w:ascii="宋体" w:hAnsi="宋体" w:eastAsia="宋体" w:cs="宋体"/>
          <w:b/>
          <w:bCs/>
          <w:caps w:val="0"/>
          <w:smallCaps w:val="0"/>
          <w:snapToGrid w:val="0"/>
          <w:color w:val="auto"/>
          <w:spacing w:val="0"/>
          <w:kern w:val="0"/>
          <w:sz w:val="30"/>
          <w:szCs w:val="30"/>
          <w:highlight w:val="none"/>
          <w:lang w:val="en-US" w:eastAsia="zh-CN"/>
        </w:rPr>
        <w:t xml:space="preserve">1 </w:t>
      </w:r>
      <w:r>
        <w:rPr>
          <w:rFonts w:hint="eastAsia" w:ascii="宋体" w:hAnsi="宋体" w:eastAsia="宋体" w:cs="宋体"/>
          <w:b/>
          <w:bCs/>
          <w:caps w:val="0"/>
          <w:smallCaps w:val="0"/>
          <w:snapToGrid w:val="0"/>
          <w:color w:val="auto"/>
          <w:spacing w:val="0"/>
          <w:kern w:val="0"/>
          <w:sz w:val="30"/>
          <w:szCs w:val="30"/>
          <w:highlight w:val="none"/>
        </w:rPr>
        <w:t>综合评分表</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jc w:val="both"/>
        <w:textAlignment w:val="auto"/>
        <w:outlineLvl w:val="9"/>
        <w:rPr>
          <w:rFonts w:hint="eastAsia" w:ascii="宋体" w:hAnsi="宋体" w:eastAsia="宋体" w:cs="宋体"/>
          <w:b/>
          <w:bCs/>
          <w:caps w:val="0"/>
          <w:smallCaps w:val="0"/>
          <w:snapToGrid w:val="0"/>
          <w:color w:val="auto"/>
          <w:spacing w:val="0"/>
          <w:kern w:val="0"/>
          <w:highlight w:val="none"/>
        </w:rPr>
      </w:pPr>
    </w:p>
    <w:tbl>
      <w:tblPr>
        <w:tblStyle w:val="32"/>
        <w:tblW w:w="10086" w:type="dxa"/>
        <w:jc w:val="center"/>
        <w:tblLayout w:type="fixed"/>
        <w:tblCellMar>
          <w:top w:w="0" w:type="dxa"/>
          <w:left w:w="108" w:type="dxa"/>
          <w:bottom w:w="0" w:type="dxa"/>
          <w:right w:w="108" w:type="dxa"/>
        </w:tblCellMar>
      </w:tblPr>
      <w:tblGrid>
        <w:gridCol w:w="1185"/>
        <w:gridCol w:w="1260"/>
        <w:gridCol w:w="3977"/>
        <w:gridCol w:w="3664"/>
      </w:tblGrid>
      <w:tr>
        <w:tblPrEx>
          <w:tblCellMar>
            <w:top w:w="0" w:type="dxa"/>
            <w:left w:w="108" w:type="dxa"/>
            <w:bottom w:w="0" w:type="dxa"/>
            <w:right w:w="108" w:type="dxa"/>
          </w:tblCellMar>
        </w:tblPrEx>
        <w:trPr>
          <w:trHeight w:val="544" w:hRule="exact"/>
          <w:jc w:val="center"/>
        </w:trPr>
        <w:tc>
          <w:tcPr>
            <w:tcW w:w="10086"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pStyle w:val="11"/>
              <w:tabs>
                <w:tab w:val="left" w:pos="1354"/>
                <w:tab w:val="left" w:pos="1459"/>
                <w:tab w:val="center" w:pos="3902"/>
                <w:tab w:val="right" w:pos="7805"/>
              </w:tabs>
              <w:wordWrap w:val="0"/>
              <w:adjustRightInd w:val="0"/>
              <w:snapToGrid w:val="0"/>
              <w:spacing w:after="0" w:line="44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商务部分，满分：</w:t>
            </w:r>
            <w:r>
              <w:rPr>
                <w:rFonts w:hint="eastAsia" w:ascii="宋体" w:hAnsi="宋体" w:eastAsia="宋体" w:cs="宋体"/>
                <w:snapToGrid w:val="0"/>
                <w:kern w:val="0"/>
                <w:sz w:val="24"/>
                <w:szCs w:val="24"/>
                <w:highlight w:val="none"/>
                <w:u w:val="single"/>
              </w:rPr>
              <w:t xml:space="preserve">  5</w:t>
            </w:r>
            <w:r>
              <w:rPr>
                <w:rFonts w:hint="eastAsia" w:ascii="宋体" w:hAnsi="宋体" w:eastAsia="宋体" w:cs="宋体"/>
                <w:snapToGrid w:val="0"/>
                <w:kern w:val="0"/>
                <w:sz w:val="24"/>
                <w:szCs w:val="24"/>
                <w:highlight w:val="none"/>
                <w:u w:val="single"/>
                <w:lang w:val="en-US" w:eastAsia="zh-CN"/>
              </w:rPr>
              <w:t>5</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分。</w:t>
            </w:r>
          </w:p>
        </w:tc>
      </w:tr>
      <w:tr>
        <w:tblPrEx>
          <w:tblCellMar>
            <w:top w:w="0" w:type="dxa"/>
            <w:left w:w="108" w:type="dxa"/>
            <w:bottom w:w="0" w:type="dxa"/>
            <w:right w:w="108" w:type="dxa"/>
          </w:tblCellMar>
        </w:tblPrEx>
        <w:trPr>
          <w:trHeight w:val="559" w:hRule="exac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1"/>
              <w:tabs>
                <w:tab w:val="left" w:pos="1354"/>
                <w:tab w:val="left" w:pos="1459"/>
                <w:tab w:val="center" w:pos="3902"/>
                <w:tab w:val="right" w:pos="7805"/>
              </w:tabs>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评分因素</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tabs>
                <w:tab w:val="left" w:pos="1354"/>
                <w:tab w:val="left" w:pos="1459"/>
                <w:tab w:val="center" w:pos="3902"/>
                <w:tab w:val="right" w:pos="7805"/>
              </w:tabs>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评分标准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tabs>
                <w:tab w:val="left" w:pos="1354"/>
                <w:tab w:val="left" w:pos="1459"/>
                <w:tab w:val="center" w:pos="3902"/>
                <w:tab w:val="right" w:pos="7805"/>
              </w:tabs>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备注</w:t>
            </w:r>
          </w:p>
        </w:tc>
      </w:tr>
      <w:tr>
        <w:tblPrEx>
          <w:tblCellMar>
            <w:top w:w="0" w:type="dxa"/>
            <w:left w:w="108" w:type="dxa"/>
            <w:bottom w:w="0" w:type="dxa"/>
            <w:right w:w="108" w:type="dxa"/>
          </w:tblCellMar>
        </w:tblPrEx>
        <w:trPr>
          <w:trHeight w:val="1897" w:hRule="atLeast"/>
          <w:jc w:val="center"/>
        </w:trPr>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业绩情况</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color w:val="000000"/>
                <w:kern w:val="0"/>
                <w:sz w:val="24"/>
                <w:szCs w:val="24"/>
                <w:highlight w:val="none"/>
                <w:lang w:bidi="ar"/>
              </w:rPr>
              <w:t>（</w:t>
            </w:r>
            <w:r>
              <w:rPr>
                <w:rFonts w:hint="eastAsia" w:ascii="宋体" w:hAnsi="宋体" w:eastAsia="宋体" w:cs="宋体"/>
                <w:snapToGrid w:val="0"/>
                <w:color w:val="000000"/>
                <w:kern w:val="0"/>
                <w:sz w:val="24"/>
                <w:szCs w:val="24"/>
                <w:highlight w:val="none"/>
                <w:lang w:val="en-US" w:eastAsia="zh-CN" w:bidi="ar"/>
              </w:rPr>
              <w:t>6</w:t>
            </w:r>
            <w:r>
              <w:rPr>
                <w:rFonts w:hint="eastAsia" w:ascii="宋体" w:hAnsi="宋体" w:eastAsia="宋体" w:cs="宋体"/>
                <w:snapToGrid w:val="0"/>
                <w:color w:val="000000"/>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2020年1月1日至今企业</w:t>
            </w:r>
            <w:r>
              <w:rPr>
                <w:rFonts w:hint="eastAsia" w:ascii="宋体" w:hAnsi="宋体" w:eastAsia="宋体" w:cs="宋体"/>
                <w:sz w:val="24"/>
                <w:szCs w:val="24"/>
                <w:highlight w:val="none"/>
                <w:lang w:val="en-US" w:eastAsia="zh-CN"/>
              </w:rPr>
              <w:t>承接</w:t>
            </w:r>
            <w:r>
              <w:rPr>
                <w:rFonts w:hint="eastAsia" w:ascii="宋体" w:hAnsi="宋体" w:eastAsia="宋体" w:cs="宋体"/>
                <w:sz w:val="24"/>
                <w:szCs w:val="24"/>
                <w:highlight w:val="none"/>
              </w:rPr>
              <w:t>过建安工程造价≥</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w:t>
            </w:r>
            <w:r>
              <w:rPr>
                <w:rFonts w:hint="eastAsia" w:ascii="宋体" w:hAnsi="宋体" w:eastAsia="宋体" w:cs="宋体"/>
                <w:sz w:val="24"/>
                <w:szCs w:val="24"/>
                <w:highlight w:val="none"/>
              </w:rPr>
              <w:t>万元的</w:t>
            </w:r>
            <w:r>
              <w:rPr>
                <w:rFonts w:hint="eastAsia" w:ascii="宋体" w:hAnsi="宋体" w:eastAsia="宋体" w:cs="宋体"/>
                <w:sz w:val="24"/>
                <w:szCs w:val="24"/>
                <w:highlight w:val="none"/>
                <w:lang w:val="en-US" w:eastAsia="zh-CN"/>
              </w:rPr>
              <w:t>同类工程工程监理</w:t>
            </w:r>
            <w:r>
              <w:rPr>
                <w:rFonts w:hint="eastAsia" w:ascii="宋体" w:hAnsi="宋体" w:eastAsia="宋体" w:cs="宋体"/>
                <w:sz w:val="24"/>
                <w:szCs w:val="24"/>
                <w:highlight w:val="none"/>
              </w:rPr>
              <w:t>的</w:t>
            </w:r>
            <w:r>
              <w:rPr>
                <w:rFonts w:hint="eastAsia" w:ascii="宋体" w:hAnsi="宋体" w:eastAsia="宋体" w:cs="宋体"/>
                <w:color w:val="auto"/>
                <w:sz w:val="24"/>
                <w:szCs w:val="24"/>
                <w:highlight w:val="none"/>
                <w:lang w:val="en-US" w:eastAsia="zh-CN"/>
              </w:rPr>
              <w:t>每个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360" w:lineRule="auto"/>
              <w:rPr>
                <w:rFonts w:hint="eastAsia" w:ascii="宋体" w:hAnsi="宋体" w:eastAsia="宋体" w:cs="宋体"/>
                <w:b/>
                <w:sz w:val="24"/>
                <w:szCs w:val="24"/>
                <w:highlight w:val="none"/>
                <w:lang w:val="en-US" w:eastAsia="zh-CN"/>
              </w:rPr>
            </w:pPr>
            <w:r>
              <w:rPr>
                <w:rFonts w:hint="eastAsia" w:ascii="宋体" w:hAnsi="宋体" w:eastAsia="宋体" w:cs="宋体"/>
                <w:b w:val="0"/>
                <w:bCs/>
                <w:color w:val="auto"/>
                <w:sz w:val="24"/>
                <w:szCs w:val="24"/>
                <w:highlight w:val="none"/>
                <w:lang w:val="en-US" w:eastAsia="zh-CN"/>
              </w:rPr>
              <w:t>同类工程指：污水处理工程或污水管网工程，时间以竣工验收报告为准。</w:t>
            </w:r>
            <w:r>
              <w:rPr>
                <w:rFonts w:hint="eastAsia" w:ascii="宋体" w:hAnsi="宋体" w:eastAsia="宋体" w:cs="宋体"/>
                <w:b w:val="0"/>
                <w:bCs/>
                <w:color w:val="auto"/>
                <w:sz w:val="24"/>
                <w:szCs w:val="24"/>
                <w:highlight w:val="none"/>
              </w:rPr>
              <w:t>须提供监理合同关键页和公共资源交易中心签发的中标通知书</w:t>
            </w:r>
            <w:r>
              <w:rPr>
                <w:rFonts w:hint="eastAsia" w:ascii="宋体" w:hAnsi="宋体" w:eastAsia="宋体" w:cs="宋体"/>
                <w:b w:val="0"/>
                <w:bCs/>
                <w:color w:val="auto"/>
                <w:sz w:val="24"/>
                <w:szCs w:val="24"/>
                <w:highlight w:val="none"/>
                <w:lang w:val="en-US" w:eastAsia="zh-CN"/>
              </w:rPr>
              <w:t>扫描件</w:t>
            </w:r>
            <w:r>
              <w:rPr>
                <w:rFonts w:hint="eastAsia" w:ascii="宋体" w:hAnsi="宋体" w:eastAsia="宋体" w:cs="宋体"/>
                <w:b w:val="0"/>
                <w:bCs/>
                <w:color w:val="auto"/>
                <w:sz w:val="24"/>
                <w:szCs w:val="24"/>
                <w:highlight w:val="none"/>
              </w:rPr>
              <w:t>。</w:t>
            </w:r>
          </w:p>
        </w:tc>
      </w:tr>
      <w:tr>
        <w:tblPrEx>
          <w:tblCellMar>
            <w:top w:w="0" w:type="dxa"/>
            <w:left w:w="108" w:type="dxa"/>
            <w:bottom w:w="0" w:type="dxa"/>
            <w:right w:w="108" w:type="dxa"/>
          </w:tblCellMar>
        </w:tblPrEx>
        <w:trPr>
          <w:trHeight w:val="3700" w:hRule="atLeast"/>
          <w:jc w:val="center"/>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企业获奖</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color w:val="000000"/>
                <w:kern w:val="0"/>
                <w:sz w:val="24"/>
                <w:szCs w:val="24"/>
                <w:highlight w:val="none"/>
                <w:lang w:bidi="ar"/>
              </w:rPr>
              <w:t>（</w:t>
            </w:r>
            <w:r>
              <w:rPr>
                <w:rFonts w:hint="eastAsia" w:ascii="宋体" w:hAnsi="宋体" w:eastAsia="宋体" w:cs="宋体"/>
                <w:snapToGrid w:val="0"/>
                <w:color w:val="000000"/>
                <w:kern w:val="0"/>
                <w:sz w:val="24"/>
                <w:szCs w:val="24"/>
                <w:highlight w:val="none"/>
                <w:lang w:val="en-US" w:eastAsia="zh-CN" w:bidi="ar"/>
              </w:rPr>
              <w:t>8</w:t>
            </w:r>
            <w:r>
              <w:rPr>
                <w:rFonts w:hint="eastAsia" w:ascii="宋体" w:hAnsi="宋体" w:eastAsia="宋体" w:cs="宋体"/>
                <w:snapToGrid w:val="0"/>
                <w:color w:val="000000"/>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2020年1月1日至今企业监理过的市政项目获奖情况：</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1.获得省级（或以上）奖项的，每个得2分，最多得8分。</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2.获得地市级奖项的，每个得1分，最多得4分。</w:t>
            </w:r>
          </w:p>
          <w:p>
            <w:pPr>
              <w:pStyle w:val="84"/>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b w:val="0"/>
                <w:bCs/>
                <w:kern w:val="2"/>
                <w:sz w:val="24"/>
                <w:szCs w:val="24"/>
                <w:highlight w:val="none"/>
                <w:lang w:val="en-US" w:eastAsia="zh-CN" w:bidi="ar-SA"/>
              </w:rPr>
              <w:t>本项最高得8分。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snapToGrid w:val="0"/>
                <w:kern w:val="0"/>
                <w:sz w:val="24"/>
                <w:szCs w:val="24"/>
                <w:highlight w:val="none"/>
              </w:rPr>
            </w:pPr>
            <w:r>
              <w:rPr>
                <w:rFonts w:hint="eastAsia" w:ascii="宋体" w:hAnsi="宋体" w:eastAsia="宋体" w:cs="宋体"/>
                <w:b w:val="0"/>
                <w:bCs w:val="0"/>
                <w:sz w:val="24"/>
                <w:szCs w:val="24"/>
                <w:highlight w:val="none"/>
                <w:lang w:val="en-US" w:eastAsia="zh-CN"/>
              </w:rPr>
              <w:t>同一项目不同奖项可分别计分。</w:t>
            </w:r>
            <w:r>
              <w:rPr>
                <w:rFonts w:hint="eastAsia" w:ascii="宋体" w:hAnsi="宋体" w:eastAsia="宋体" w:cs="宋体"/>
                <w:b w:val="0"/>
                <w:bCs w:val="0"/>
                <w:sz w:val="24"/>
                <w:szCs w:val="24"/>
                <w:highlight w:val="none"/>
              </w:rPr>
              <w:t>须提供获奖证书</w:t>
            </w:r>
            <w:r>
              <w:rPr>
                <w:rFonts w:hint="eastAsia" w:ascii="宋体" w:hAnsi="宋体" w:eastAsia="宋体" w:cs="宋体"/>
                <w:b w:val="0"/>
                <w:bCs/>
                <w:color w:val="auto"/>
                <w:sz w:val="24"/>
                <w:szCs w:val="24"/>
                <w:highlight w:val="none"/>
                <w:lang w:val="en-US" w:eastAsia="zh-CN"/>
              </w:rPr>
              <w:t>扫描件</w:t>
            </w:r>
            <w:r>
              <w:rPr>
                <w:rFonts w:hint="eastAsia" w:ascii="宋体" w:hAnsi="宋体" w:eastAsia="宋体" w:cs="宋体"/>
                <w:b w:val="0"/>
                <w:bCs w:val="0"/>
                <w:snapToGrid w:val="0"/>
                <w:kern w:val="0"/>
                <w:sz w:val="24"/>
                <w:szCs w:val="24"/>
                <w:highlight w:val="none"/>
                <w:lang w:eastAsia="zh-CN"/>
              </w:rPr>
              <w:t>，</w:t>
            </w:r>
            <w:r>
              <w:rPr>
                <w:rFonts w:hint="eastAsia" w:ascii="宋体" w:hAnsi="宋体" w:eastAsia="宋体" w:cs="宋体"/>
                <w:b w:val="0"/>
                <w:bCs w:val="0"/>
                <w:snapToGrid w:val="0"/>
                <w:kern w:val="0"/>
                <w:sz w:val="24"/>
                <w:szCs w:val="24"/>
                <w:highlight w:val="none"/>
              </w:rPr>
              <w:t>获奖时间以获奖证书发证时间为准。</w:t>
            </w:r>
          </w:p>
        </w:tc>
      </w:tr>
      <w:tr>
        <w:tblPrEx>
          <w:tblCellMar>
            <w:top w:w="0" w:type="dxa"/>
            <w:left w:w="108" w:type="dxa"/>
            <w:bottom w:w="0" w:type="dxa"/>
            <w:right w:w="108" w:type="dxa"/>
          </w:tblCellMar>
        </w:tblPrEx>
        <w:trPr>
          <w:trHeight w:val="818" w:hRule="atLeast"/>
          <w:jc w:val="center"/>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企业管理</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体系认证</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color w:val="000000"/>
                <w:kern w:val="0"/>
                <w:sz w:val="24"/>
                <w:szCs w:val="24"/>
                <w:highlight w:val="none"/>
                <w:lang w:bidi="ar"/>
              </w:rPr>
              <w:t>（</w:t>
            </w:r>
            <w:r>
              <w:rPr>
                <w:rFonts w:hint="eastAsia" w:ascii="宋体" w:hAnsi="宋体" w:eastAsia="宋体" w:cs="宋体"/>
                <w:snapToGrid w:val="0"/>
                <w:color w:val="000000"/>
                <w:kern w:val="0"/>
                <w:sz w:val="24"/>
                <w:szCs w:val="24"/>
                <w:highlight w:val="none"/>
                <w:lang w:val="en-US" w:eastAsia="zh-CN" w:bidi="ar"/>
              </w:rPr>
              <w:t>6</w:t>
            </w:r>
            <w:r>
              <w:rPr>
                <w:rFonts w:hint="eastAsia" w:ascii="宋体" w:hAnsi="宋体" w:eastAsia="宋体" w:cs="宋体"/>
                <w:snapToGrid w:val="0"/>
                <w:color w:val="000000"/>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企业在获得质量管理体系认证、职业健康安全管理体系认证、环境管理体系认证、企业诚信管理体系认证、信息安全管理体系认证、知识产权管理体系认证证书中，具备全部认证证书的得6分，每缺少一个认证证书扣3分，扣完为止。</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color w:val="000000"/>
                <w:kern w:val="0"/>
                <w:sz w:val="24"/>
                <w:szCs w:val="24"/>
                <w:highlight w:val="none"/>
                <w:lang w:val="en-US" w:eastAsia="zh-CN"/>
              </w:rPr>
              <w:t>须提供</w:t>
            </w:r>
            <w:r>
              <w:rPr>
                <w:rFonts w:hint="eastAsia" w:ascii="宋体" w:hAnsi="宋体" w:eastAsia="宋体" w:cs="宋体"/>
                <w:snapToGrid w:val="0"/>
                <w:color w:val="000000"/>
                <w:kern w:val="0"/>
                <w:sz w:val="24"/>
                <w:szCs w:val="24"/>
                <w:highlight w:val="none"/>
              </w:rPr>
              <w:t>在有效期内的认证证书</w:t>
            </w:r>
            <w:r>
              <w:rPr>
                <w:rFonts w:hint="eastAsia" w:ascii="宋体" w:hAnsi="宋体" w:eastAsia="宋体" w:cs="宋体"/>
                <w:b w:val="0"/>
                <w:bCs/>
                <w:color w:val="auto"/>
                <w:sz w:val="24"/>
                <w:szCs w:val="24"/>
                <w:highlight w:val="none"/>
                <w:lang w:val="en-US" w:eastAsia="zh-CN"/>
              </w:rPr>
              <w:t>扫描件</w:t>
            </w:r>
            <w:r>
              <w:rPr>
                <w:rFonts w:hint="eastAsia" w:ascii="宋体" w:hAnsi="宋体" w:eastAsia="宋体" w:cs="宋体"/>
                <w:b w:val="0"/>
                <w:bCs w:val="0"/>
                <w:snapToGrid w:val="0"/>
                <w:kern w:val="0"/>
                <w:sz w:val="24"/>
                <w:szCs w:val="24"/>
                <w:highlight w:val="none"/>
              </w:rPr>
              <w:t>。</w:t>
            </w:r>
          </w:p>
        </w:tc>
      </w:tr>
      <w:tr>
        <w:tblPrEx>
          <w:tblCellMar>
            <w:top w:w="0" w:type="dxa"/>
            <w:left w:w="108" w:type="dxa"/>
            <w:bottom w:w="0" w:type="dxa"/>
            <w:right w:w="108" w:type="dxa"/>
          </w:tblCellMar>
        </w:tblPrEx>
        <w:trPr>
          <w:trHeight w:val="1717" w:hRule="atLeast"/>
          <w:jc w:val="center"/>
        </w:trPr>
        <w:tc>
          <w:tcPr>
            <w:tcW w:w="1185" w:type="dxa"/>
            <w:vMerge w:val="continue"/>
            <w:tcBorders>
              <w:top w:val="single" w:color="auto" w:sz="4" w:space="0"/>
              <w:left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企业技术能力</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bidi="ar"/>
              </w:rPr>
              <w:t>（</w:t>
            </w:r>
            <w:r>
              <w:rPr>
                <w:rFonts w:hint="eastAsia" w:ascii="宋体" w:hAnsi="宋体" w:eastAsia="宋体" w:cs="宋体"/>
                <w:snapToGrid w:val="0"/>
                <w:color w:val="000000"/>
                <w:kern w:val="0"/>
                <w:sz w:val="24"/>
                <w:szCs w:val="24"/>
                <w:highlight w:val="none"/>
                <w:lang w:val="en-US" w:eastAsia="zh-CN" w:bidi="ar"/>
              </w:rPr>
              <w:t>5</w:t>
            </w:r>
            <w:r>
              <w:rPr>
                <w:rFonts w:hint="eastAsia" w:ascii="宋体" w:hAnsi="宋体" w:eastAsia="宋体" w:cs="宋体"/>
                <w:snapToGrid w:val="0"/>
                <w:color w:val="000000"/>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企业</w:t>
            </w:r>
            <w:r>
              <w:rPr>
                <w:rFonts w:hint="eastAsia" w:ascii="宋体" w:hAnsi="宋体" w:eastAsia="宋体" w:cs="宋体"/>
                <w:bCs/>
                <w:sz w:val="24"/>
                <w:szCs w:val="24"/>
                <w:highlight w:val="none"/>
              </w:rPr>
              <w:t>获得高新技术企业且证书在有效期内的得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en-US" w:eastAsia="zh-CN"/>
              </w:rPr>
              <w:t>。</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snapToGrid w:val="0"/>
                <w:kern w:val="0"/>
                <w:sz w:val="24"/>
                <w:szCs w:val="24"/>
                <w:highlight w:val="none"/>
              </w:rPr>
            </w:pPr>
            <w:r>
              <w:rPr>
                <w:rFonts w:hint="eastAsia" w:ascii="宋体" w:hAnsi="宋体" w:eastAsia="宋体" w:cs="宋体"/>
                <w:b w:val="0"/>
                <w:bCs/>
                <w:snapToGrid w:val="0"/>
                <w:kern w:val="0"/>
                <w:sz w:val="24"/>
                <w:szCs w:val="24"/>
                <w:highlight w:val="none"/>
              </w:rPr>
              <w:t>须提供证书</w:t>
            </w:r>
            <w:r>
              <w:rPr>
                <w:rFonts w:hint="eastAsia" w:ascii="宋体" w:hAnsi="宋体" w:eastAsia="宋体" w:cs="宋体"/>
                <w:b w:val="0"/>
                <w:bCs/>
                <w:color w:val="auto"/>
                <w:sz w:val="24"/>
                <w:szCs w:val="24"/>
                <w:highlight w:val="none"/>
                <w:lang w:val="en-US" w:eastAsia="zh-CN"/>
              </w:rPr>
              <w:t>扫描件</w:t>
            </w:r>
            <w:r>
              <w:rPr>
                <w:rFonts w:hint="eastAsia" w:ascii="宋体" w:hAnsi="宋体" w:eastAsia="宋体" w:cs="宋体"/>
                <w:b w:val="0"/>
                <w:bCs/>
                <w:snapToGrid w:val="0"/>
                <w:kern w:val="0"/>
                <w:sz w:val="24"/>
                <w:szCs w:val="24"/>
                <w:highlight w:val="none"/>
              </w:rPr>
              <w:t>。</w:t>
            </w:r>
          </w:p>
        </w:tc>
      </w:tr>
      <w:tr>
        <w:tblPrEx>
          <w:tblCellMar>
            <w:top w:w="0" w:type="dxa"/>
            <w:left w:w="108" w:type="dxa"/>
            <w:bottom w:w="0" w:type="dxa"/>
            <w:right w:w="108" w:type="dxa"/>
          </w:tblCellMar>
        </w:tblPrEx>
        <w:trPr>
          <w:trHeight w:val="1772" w:hRule="atLeast"/>
          <w:jc w:val="center"/>
        </w:trPr>
        <w:tc>
          <w:tcPr>
            <w:tcW w:w="1185" w:type="dxa"/>
            <w:vMerge w:val="continue"/>
            <w:tcBorders>
              <w:left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bidi="ar"/>
              </w:rPr>
              <w:t>企业纳税</w:t>
            </w:r>
            <w:r>
              <w:rPr>
                <w:rFonts w:hint="eastAsia" w:ascii="宋体" w:hAnsi="宋体" w:eastAsia="宋体" w:cs="宋体"/>
                <w:snapToGrid w:val="0"/>
                <w:color w:val="000000"/>
                <w:kern w:val="0"/>
                <w:sz w:val="24"/>
                <w:szCs w:val="24"/>
                <w:highlight w:val="none"/>
                <w:lang w:val="en-US" w:eastAsia="zh-CN" w:bidi="ar"/>
              </w:rPr>
              <w:t>信用等级</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napToGrid w:val="0"/>
                <w:color w:val="auto"/>
                <w:kern w:val="0"/>
                <w:sz w:val="24"/>
                <w:szCs w:val="24"/>
                <w:highlight w:val="none"/>
                <w:lang w:bidi="ar"/>
              </w:rPr>
              <w:t>（</w:t>
            </w:r>
            <w:r>
              <w:rPr>
                <w:rFonts w:hint="eastAsia" w:ascii="宋体" w:hAnsi="宋体" w:eastAsia="宋体" w:cs="宋体"/>
                <w:snapToGrid w:val="0"/>
                <w:color w:val="auto"/>
                <w:kern w:val="0"/>
                <w:sz w:val="24"/>
                <w:szCs w:val="24"/>
                <w:highlight w:val="none"/>
                <w:lang w:val="en-US" w:eastAsia="zh-CN" w:bidi="ar"/>
              </w:rPr>
              <w:t>5</w:t>
            </w:r>
            <w:r>
              <w:rPr>
                <w:rFonts w:hint="eastAsia" w:ascii="宋体" w:hAnsi="宋体" w:eastAsia="宋体" w:cs="宋体"/>
                <w:snapToGrid w:val="0"/>
                <w:color w:val="auto"/>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企业</w:t>
            </w:r>
            <w:r>
              <w:rPr>
                <w:rFonts w:hint="eastAsia" w:ascii="宋体" w:hAnsi="宋体" w:eastAsia="宋体" w:cs="宋体"/>
                <w:bCs/>
                <w:sz w:val="24"/>
                <w:szCs w:val="24"/>
                <w:highlight w:val="none"/>
              </w:rPr>
              <w:t>至今获得纳税</w:t>
            </w:r>
            <w:r>
              <w:rPr>
                <w:rFonts w:hint="eastAsia" w:ascii="宋体" w:hAnsi="宋体" w:eastAsia="宋体" w:cs="宋体"/>
                <w:bCs/>
                <w:sz w:val="24"/>
                <w:szCs w:val="24"/>
                <w:highlight w:val="none"/>
                <w:lang w:val="en-US" w:eastAsia="zh-CN"/>
              </w:rPr>
              <w:t>信用</w:t>
            </w:r>
            <w:r>
              <w:rPr>
                <w:rFonts w:hint="eastAsia" w:ascii="宋体" w:hAnsi="宋体" w:eastAsia="宋体" w:cs="宋体"/>
                <w:bCs/>
                <w:sz w:val="24"/>
                <w:szCs w:val="24"/>
                <w:highlight w:val="none"/>
              </w:rPr>
              <w:t>A级</w:t>
            </w:r>
            <w:r>
              <w:rPr>
                <w:rFonts w:hint="eastAsia" w:ascii="宋体" w:hAnsi="宋体" w:eastAsia="宋体" w:cs="宋体"/>
                <w:bCs/>
                <w:sz w:val="24"/>
                <w:szCs w:val="24"/>
                <w:highlight w:val="none"/>
                <w:lang w:val="en-US" w:eastAsia="zh-CN"/>
              </w:rPr>
              <w:t>荣誉情况（必须要有2022年度）：1年得1分，连续2年得2分，连续3年得3</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en-US" w:eastAsia="zh-CN"/>
              </w:rPr>
              <w:t>，连续4年或以上的得5分</w:t>
            </w:r>
            <w:r>
              <w:rPr>
                <w:rFonts w:hint="eastAsia" w:ascii="宋体" w:hAnsi="宋体" w:eastAsia="宋体" w:cs="宋体"/>
                <w:bCs/>
                <w:sz w:val="24"/>
                <w:szCs w:val="24"/>
                <w:highlight w:val="none"/>
              </w:rPr>
              <w:t>。</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snapToGrid w:val="0"/>
                <w:kern w:val="0"/>
                <w:sz w:val="24"/>
                <w:szCs w:val="24"/>
                <w:highlight w:val="none"/>
              </w:rPr>
            </w:pPr>
            <w:r>
              <w:rPr>
                <w:rFonts w:hint="eastAsia" w:ascii="宋体" w:hAnsi="宋体" w:eastAsia="宋体" w:cs="宋体"/>
                <w:b w:val="0"/>
                <w:bCs/>
                <w:snapToGrid w:val="0"/>
                <w:kern w:val="0"/>
                <w:sz w:val="24"/>
                <w:szCs w:val="24"/>
                <w:highlight w:val="none"/>
              </w:rPr>
              <w:t>须</w:t>
            </w:r>
            <w:r>
              <w:rPr>
                <w:rFonts w:hint="eastAsia" w:ascii="宋体" w:hAnsi="宋体" w:eastAsia="宋体" w:cs="宋体"/>
                <w:b w:val="0"/>
                <w:bCs/>
                <w:snapToGrid w:val="0"/>
                <w:kern w:val="0"/>
                <w:sz w:val="24"/>
                <w:szCs w:val="24"/>
                <w:highlight w:val="none"/>
                <w:lang w:val="en-US" w:eastAsia="zh-CN"/>
              </w:rPr>
              <w:t>提供地市级或以上税务机关颁发的“</w:t>
            </w:r>
            <w:r>
              <w:rPr>
                <w:rFonts w:hint="eastAsia" w:ascii="宋体" w:hAnsi="宋体" w:eastAsia="宋体" w:cs="宋体"/>
                <w:bCs/>
                <w:sz w:val="24"/>
                <w:szCs w:val="24"/>
                <w:highlight w:val="none"/>
              </w:rPr>
              <w:t>纳税</w:t>
            </w:r>
            <w:r>
              <w:rPr>
                <w:rFonts w:hint="eastAsia" w:ascii="宋体" w:hAnsi="宋体" w:eastAsia="宋体" w:cs="宋体"/>
                <w:bCs/>
                <w:sz w:val="24"/>
                <w:szCs w:val="24"/>
                <w:highlight w:val="none"/>
                <w:lang w:val="en-US" w:eastAsia="zh-CN"/>
              </w:rPr>
              <w:t>信用</w:t>
            </w:r>
            <w:r>
              <w:rPr>
                <w:rFonts w:hint="eastAsia" w:ascii="宋体" w:hAnsi="宋体" w:eastAsia="宋体" w:cs="宋体"/>
                <w:bCs/>
                <w:sz w:val="24"/>
                <w:szCs w:val="24"/>
                <w:highlight w:val="none"/>
              </w:rPr>
              <w:t>A级</w:t>
            </w:r>
            <w:r>
              <w:rPr>
                <w:rFonts w:hint="eastAsia" w:ascii="宋体" w:hAnsi="宋体" w:eastAsia="宋体" w:cs="宋体"/>
                <w:bCs/>
                <w:sz w:val="24"/>
                <w:szCs w:val="24"/>
                <w:highlight w:val="none"/>
                <w:lang w:val="en-US" w:eastAsia="zh-CN"/>
              </w:rPr>
              <w:t>荣誉证书”电子证书</w:t>
            </w:r>
            <w:r>
              <w:rPr>
                <w:rFonts w:hint="eastAsia" w:ascii="宋体" w:hAnsi="宋体" w:eastAsia="宋体" w:cs="宋体"/>
                <w:b w:val="0"/>
                <w:bCs/>
                <w:color w:val="auto"/>
                <w:sz w:val="24"/>
                <w:szCs w:val="24"/>
                <w:highlight w:val="none"/>
                <w:lang w:val="en-US" w:eastAsia="zh-CN"/>
              </w:rPr>
              <w:t>扫描件</w:t>
            </w:r>
            <w:r>
              <w:rPr>
                <w:rFonts w:hint="eastAsia" w:ascii="宋体" w:hAnsi="宋体" w:eastAsia="宋体" w:cs="宋体"/>
                <w:b w:val="0"/>
                <w:bCs/>
                <w:snapToGrid w:val="0"/>
                <w:kern w:val="0"/>
                <w:sz w:val="24"/>
                <w:szCs w:val="24"/>
                <w:highlight w:val="none"/>
              </w:rPr>
              <w:t>（不</w:t>
            </w:r>
            <w:r>
              <w:rPr>
                <w:rFonts w:hint="eastAsia" w:ascii="宋体" w:hAnsi="宋体" w:eastAsia="宋体" w:cs="宋体"/>
                <w:b w:val="0"/>
                <w:bCs/>
                <w:snapToGrid w:val="0"/>
                <w:kern w:val="0"/>
                <w:sz w:val="24"/>
                <w:szCs w:val="24"/>
                <w:highlight w:val="none"/>
                <w:lang w:val="en-US" w:eastAsia="zh-CN"/>
              </w:rPr>
              <w:t>包含</w:t>
            </w:r>
            <w:r>
              <w:rPr>
                <w:rFonts w:hint="eastAsia" w:ascii="宋体" w:hAnsi="宋体" w:eastAsia="宋体" w:cs="宋体"/>
                <w:b w:val="0"/>
                <w:bCs/>
                <w:snapToGrid w:val="0"/>
                <w:kern w:val="0"/>
                <w:sz w:val="24"/>
                <w:szCs w:val="24"/>
                <w:highlight w:val="none"/>
              </w:rPr>
              <w:t>投标人的分公司和子公司）</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napToGrid w:val="0"/>
                <w:kern w:val="0"/>
                <w:sz w:val="24"/>
                <w:szCs w:val="24"/>
                <w:highlight w:val="none"/>
              </w:rPr>
              <w:t>否则不得分。</w:t>
            </w:r>
          </w:p>
        </w:tc>
      </w:tr>
      <w:tr>
        <w:tblPrEx>
          <w:tblCellMar>
            <w:top w:w="0" w:type="dxa"/>
            <w:left w:w="108" w:type="dxa"/>
            <w:bottom w:w="0" w:type="dxa"/>
            <w:right w:w="108" w:type="dxa"/>
          </w:tblCellMar>
        </w:tblPrEx>
        <w:trPr>
          <w:trHeight w:val="3638" w:hRule="atLeast"/>
          <w:jc w:val="center"/>
        </w:trPr>
        <w:tc>
          <w:tcPr>
            <w:tcW w:w="1185"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企业诚信</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考评等级</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rPr>
              <w:t>（</w:t>
            </w:r>
            <w:r>
              <w:rPr>
                <w:rFonts w:hint="eastAsia" w:ascii="宋体" w:hAnsi="宋体" w:eastAsia="宋体" w:cs="宋体"/>
                <w:snapToGrid w:val="0"/>
                <w:color w:val="000000"/>
                <w:kern w:val="0"/>
                <w:sz w:val="24"/>
                <w:szCs w:val="24"/>
                <w:highlight w:val="none"/>
                <w:lang w:val="en-US" w:eastAsia="zh-CN"/>
              </w:rPr>
              <w:t>10</w:t>
            </w:r>
            <w:r>
              <w:rPr>
                <w:rFonts w:hint="eastAsia" w:ascii="宋体" w:hAnsi="宋体" w:eastAsia="宋体" w:cs="宋体"/>
                <w:snapToGrid w:val="0"/>
                <w:color w:val="00000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64"/>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建设行政主管部门发布的近三个月（</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年</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eastAsia="zh-CN"/>
              </w:rPr>
              <w:t>月</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年</w:t>
            </w:r>
            <w:r>
              <w:rPr>
                <w:rFonts w:hint="eastAsia" w:ascii="宋体" w:hAnsi="宋体" w:eastAsia="宋体" w:cs="宋体"/>
                <w:snapToGrid w:val="0"/>
                <w:color w:val="auto"/>
                <w:kern w:val="0"/>
                <w:sz w:val="24"/>
                <w:szCs w:val="24"/>
                <w:highlight w:val="none"/>
                <w:lang w:val="en-US" w:eastAsia="zh-CN"/>
              </w:rPr>
              <w:t>4月）</w:t>
            </w:r>
            <w:r>
              <w:rPr>
                <w:rFonts w:hint="eastAsia" w:ascii="宋体" w:hAnsi="宋体" w:eastAsia="宋体" w:cs="宋体"/>
                <w:snapToGrid w:val="0"/>
                <w:color w:val="auto"/>
                <w:kern w:val="0"/>
                <w:sz w:val="24"/>
                <w:szCs w:val="24"/>
                <w:highlight w:val="none"/>
                <w:lang w:eastAsia="zh-CN"/>
              </w:rPr>
              <w:t>建筑行业企业诚信综合考评等级情况：</w:t>
            </w:r>
          </w:p>
          <w:p>
            <w:pPr>
              <w:pStyle w:val="64"/>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全部</w:t>
            </w:r>
            <w:r>
              <w:rPr>
                <w:rFonts w:hint="eastAsia" w:ascii="宋体" w:hAnsi="宋体" w:eastAsia="宋体" w:cs="宋体"/>
                <w:snapToGrid w:val="0"/>
                <w:color w:val="auto"/>
                <w:kern w:val="0"/>
                <w:sz w:val="24"/>
                <w:szCs w:val="24"/>
                <w:highlight w:val="none"/>
              </w:rPr>
              <w:t>考评等级</w:t>
            </w:r>
            <w:r>
              <w:rPr>
                <w:rFonts w:hint="eastAsia" w:ascii="宋体" w:hAnsi="宋体" w:eastAsia="宋体" w:cs="宋体"/>
                <w:snapToGrid w:val="0"/>
                <w:color w:val="auto"/>
                <w:kern w:val="0"/>
                <w:sz w:val="24"/>
                <w:szCs w:val="24"/>
                <w:highlight w:val="none"/>
                <w:lang w:val="en-US" w:eastAsia="zh-CN"/>
              </w:rPr>
              <w:t>均</w:t>
            </w:r>
            <w:r>
              <w:rPr>
                <w:rFonts w:hint="eastAsia" w:ascii="宋体" w:hAnsi="宋体" w:eastAsia="宋体" w:cs="宋体"/>
                <w:snapToGrid w:val="0"/>
                <w:color w:val="auto"/>
                <w:kern w:val="0"/>
                <w:sz w:val="24"/>
                <w:szCs w:val="24"/>
                <w:highlight w:val="none"/>
              </w:rPr>
              <w:t>为</w:t>
            </w:r>
            <w:r>
              <w:rPr>
                <w:rFonts w:hint="eastAsia" w:ascii="宋体" w:hAnsi="宋体" w:eastAsia="宋体" w:cs="宋体"/>
                <w:snapToGrid w:val="0"/>
                <w:color w:val="auto"/>
                <w:kern w:val="0"/>
                <w:sz w:val="24"/>
                <w:szCs w:val="24"/>
                <w:highlight w:val="none"/>
                <w:lang w:val="en-US" w:eastAsia="zh-CN"/>
              </w:rPr>
              <w:t>A</w:t>
            </w:r>
            <w:r>
              <w:rPr>
                <w:rFonts w:hint="eastAsia" w:ascii="宋体" w:hAnsi="宋体" w:eastAsia="宋体" w:cs="宋体"/>
                <w:snapToGrid w:val="0"/>
                <w:color w:val="auto"/>
                <w:kern w:val="0"/>
                <w:sz w:val="24"/>
                <w:szCs w:val="24"/>
                <w:highlight w:val="none"/>
              </w:rPr>
              <w:t>A级</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或以上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的得</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p>
            <w:pPr>
              <w:pStyle w:val="64"/>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2．考评等级</w:t>
            </w:r>
            <w:r>
              <w:rPr>
                <w:rFonts w:hint="eastAsia" w:ascii="宋体" w:hAnsi="宋体" w:eastAsia="宋体" w:cs="宋体"/>
                <w:snapToGrid w:val="0"/>
                <w:color w:val="auto"/>
                <w:kern w:val="0"/>
                <w:sz w:val="24"/>
                <w:szCs w:val="24"/>
                <w:highlight w:val="none"/>
                <w:lang w:val="en-US" w:eastAsia="zh-CN"/>
              </w:rPr>
              <w:t>最低</w:t>
            </w:r>
            <w:r>
              <w:rPr>
                <w:rFonts w:hint="eastAsia" w:ascii="宋体" w:hAnsi="宋体" w:eastAsia="宋体" w:cs="宋体"/>
                <w:snapToGrid w:val="0"/>
                <w:color w:val="auto"/>
                <w:kern w:val="0"/>
                <w:sz w:val="24"/>
                <w:szCs w:val="24"/>
                <w:highlight w:val="none"/>
              </w:rPr>
              <w:t>为A级的得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p>
          <w:p>
            <w:pPr>
              <w:pStyle w:val="64"/>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．考评等级</w:t>
            </w:r>
            <w:r>
              <w:rPr>
                <w:rFonts w:hint="eastAsia" w:ascii="宋体" w:hAnsi="宋体" w:eastAsia="宋体" w:cs="宋体"/>
                <w:snapToGrid w:val="0"/>
                <w:color w:val="auto"/>
                <w:kern w:val="0"/>
                <w:sz w:val="24"/>
                <w:szCs w:val="24"/>
                <w:highlight w:val="none"/>
                <w:lang w:val="en-US" w:eastAsia="zh-CN"/>
              </w:rPr>
              <w:t>最低</w:t>
            </w:r>
            <w:r>
              <w:rPr>
                <w:rFonts w:hint="eastAsia" w:ascii="宋体" w:hAnsi="宋体" w:eastAsia="宋体" w:cs="宋体"/>
                <w:snapToGrid w:val="0"/>
                <w:color w:val="auto"/>
                <w:kern w:val="0"/>
                <w:sz w:val="24"/>
                <w:szCs w:val="24"/>
                <w:highlight w:val="none"/>
              </w:rPr>
              <w:t>为</w:t>
            </w:r>
            <w:r>
              <w:rPr>
                <w:rFonts w:hint="eastAsia" w:ascii="宋体" w:hAnsi="宋体" w:eastAsia="宋体" w:cs="宋体"/>
                <w:snapToGrid w:val="0"/>
                <w:color w:val="auto"/>
                <w:kern w:val="0"/>
                <w:sz w:val="24"/>
                <w:szCs w:val="24"/>
                <w:highlight w:val="none"/>
                <w:lang w:val="en-US" w:eastAsia="zh-CN"/>
              </w:rPr>
              <w:t>B</w:t>
            </w:r>
            <w:r>
              <w:rPr>
                <w:rFonts w:hint="eastAsia" w:ascii="宋体" w:hAnsi="宋体" w:eastAsia="宋体" w:cs="宋体"/>
                <w:snapToGrid w:val="0"/>
                <w:color w:val="auto"/>
                <w:kern w:val="0"/>
                <w:sz w:val="24"/>
                <w:szCs w:val="24"/>
                <w:highlight w:val="none"/>
              </w:rPr>
              <w:t>级的，得</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w:t>
            </w:r>
          </w:p>
          <w:p>
            <w:pPr>
              <w:pStyle w:val="64"/>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．其他情况或无评级的，不予计分。本项最高得</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1、须</w:t>
            </w:r>
            <w:r>
              <w:rPr>
                <w:rFonts w:hint="eastAsia" w:ascii="宋体" w:hAnsi="宋体" w:eastAsia="宋体" w:cs="宋体"/>
                <w:snapToGrid w:val="0"/>
                <w:color w:val="auto"/>
                <w:kern w:val="0"/>
                <w:sz w:val="24"/>
                <w:szCs w:val="24"/>
                <w:highlight w:val="none"/>
                <w:lang w:eastAsia="zh-CN"/>
              </w:rPr>
              <w:t>附</w:t>
            </w:r>
            <w:r>
              <w:rPr>
                <w:rFonts w:hint="eastAsia" w:ascii="宋体" w:hAnsi="宋体" w:eastAsia="宋体" w:cs="宋体"/>
                <w:snapToGrid w:val="0"/>
                <w:color w:val="auto"/>
                <w:kern w:val="0"/>
                <w:sz w:val="24"/>
                <w:szCs w:val="24"/>
                <w:highlight w:val="none"/>
                <w:lang w:val="en-US" w:eastAsia="zh-CN"/>
              </w:rPr>
              <w:t>期间建设行政主管部门发布的</w:t>
            </w:r>
            <w:r>
              <w:rPr>
                <w:rFonts w:hint="eastAsia" w:ascii="宋体" w:hAnsi="宋体" w:eastAsia="宋体" w:cs="宋体"/>
                <w:snapToGrid w:val="0"/>
                <w:color w:val="auto"/>
                <w:kern w:val="0"/>
                <w:sz w:val="24"/>
                <w:szCs w:val="24"/>
                <w:highlight w:val="none"/>
                <w:lang w:eastAsia="zh-CN"/>
              </w:rPr>
              <w:t>《建筑行业企业诚信综合考评等级》</w:t>
            </w:r>
            <w:r>
              <w:rPr>
                <w:rFonts w:hint="eastAsia" w:ascii="宋体" w:hAnsi="宋体" w:eastAsia="宋体" w:cs="宋体"/>
                <w:b w:val="0"/>
                <w:bCs/>
                <w:color w:val="auto"/>
                <w:sz w:val="24"/>
                <w:szCs w:val="24"/>
                <w:highlight w:val="none"/>
                <w:lang w:val="en-US" w:eastAsia="zh-CN"/>
              </w:rPr>
              <w:t>扫描件</w:t>
            </w:r>
            <w:r>
              <w:rPr>
                <w:rFonts w:hint="eastAsia" w:ascii="宋体" w:hAnsi="宋体" w:eastAsia="宋体" w:cs="宋体"/>
                <w:snapToGrid w:val="0"/>
                <w:color w:val="auto"/>
                <w:kern w:val="0"/>
                <w:sz w:val="24"/>
                <w:szCs w:val="24"/>
                <w:highlight w:val="none"/>
                <w:lang w:eastAsia="zh-CN"/>
              </w:rPr>
              <w:t>以及发布文件的网页截图打印页</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eastAsia="zh-CN"/>
              </w:rPr>
              <w:t>应显示网站名称和网址</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eastAsia="zh-CN"/>
              </w:rPr>
              <w:t>并加盖公章；</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2．发布机关、考评时间不符合要求的，不予计分。</w:t>
            </w:r>
          </w:p>
        </w:tc>
      </w:tr>
      <w:tr>
        <w:tblPrEx>
          <w:tblCellMar>
            <w:top w:w="0" w:type="dxa"/>
            <w:left w:w="108" w:type="dxa"/>
            <w:bottom w:w="0" w:type="dxa"/>
            <w:right w:w="108" w:type="dxa"/>
          </w:tblCellMar>
        </w:tblPrEx>
        <w:trPr>
          <w:trHeight w:val="2234" w:hRule="atLeast"/>
          <w:jc w:val="center"/>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z w:val="24"/>
                <w:szCs w:val="24"/>
                <w:highlight w:val="none"/>
              </w:rPr>
              <w:t>企业环保能力（</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获得省级或以上环境保护产业协会颁发的企业信用等级证书且证书在有效期内：</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评价等级为A级的得1分；</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评价等级为AA级的得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评价等级为AAA级的得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Cs/>
                <w:sz w:val="24"/>
                <w:szCs w:val="24"/>
                <w:highlight w:val="none"/>
              </w:rPr>
              <w:t>本项最高得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00" w:lineRule="exact"/>
              <w:rPr>
                <w:rFonts w:hint="eastAsia" w:ascii="宋体" w:hAnsi="宋体" w:eastAsia="宋体" w:cs="宋体"/>
                <w:b w:val="0"/>
                <w:bCs/>
                <w:snapToGrid w:val="0"/>
                <w:kern w:val="0"/>
                <w:sz w:val="24"/>
                <w:szCs w:val="24"/>
                <w:highlight w:val="none"/>
              </w:rPr>
            </w:pPr>
            <w:r>
              <w:rPr>
                <w:rFonts w:hint="eastAsia" w:ascii="宋体" w:hAnsi="宋体" w:eastAsia="宋体" w:cs="宋体"/>
                <w:b w:val="0"/>
                <w:bCs/>
                <w:snapToGrid w:val="0"/>
                <w:kern w:val="0"/>
                <w:sz w:val="24"/>
                <w:szCs w:val="24"/>
                <w:highlight w:val="none"/>
                <w:lang w:val="en-US" w:eastAsia="zh-CN"/>
              </w:rPr>
              <w:t>1.</w:t>
            </w:r>
            <w:r>
              <w:rPr>
                <w:rFonts w:hint="eastAsia" w:ascii="宋体" w:hAnsi="宋体" w:eastAsia="宋体" w:cs="宋体"/>
                <w:b w:val="0"/>
                <w:bCs/>
                <w:snapToGrid w:val="0"/>
                <w:kern w:val="0"/>
                <w:sz w:val="24"/>
                <w:szCs w:val="24"/>
                <w:highlight w:val="none"/>
              </w:rPr>
              <w:t>须提供相关证书扫描件</w:t>
            </w:r>
            <w:r>
              <w:rPr>
                <w:rFonts w:hint="eastAsia" w:ascii="宋体" w:hAnsi="宋体" w:eastAsia="宋体" w:cs="宋体"/>
                <w:b w:val="0"/>
                <w:bCs/>
                <w:sz w:val="24"/>
                <w:szCs w:val="24"/>
                <w:highlight w:val="none"/>
              </w:rPr>
              <w:t>并加盖公章</w:t>
            </w:r>
            <w:r>
              <w:rPr>
                <w:rFonts w:hint="eastAsia" w:ascii="宋体" w:hAnsi="宋体" w:eastAsia="宋体" w:cs="宋体"/>
                <w:b w:val="0"/>
                <w:bCs/>
                <w:snapToGrid w:val="0"/>
                <w:kern w:val="0"/>
                <w:sz w:val="24"/>
                <w:szCs w:val="24"/>
                <w:highlight w:val="none"/>
              </w:rPr>
              <w:t>，否则不得分。</w:t>
            </w:r>
          </w:p>
          <w:p>
            <w:pPr>
              <w:pStyle w:val="11"/>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2．发布机关不符合要求的，不予计分。</w:t>
            </w:r>
          </w:p>
        </w:tc>
      </w:tr>
      <w:tr>
        <w:tblPrEx>
          <w:tblCellMar>
            <w:top w:w="0" w:type="dxa"/>
            <w:left w:w="108" w:type="dxa"/>
            <w:bottom w:w="0" w:type="dxa"/>
            <w:right w:w="108" w:type="dxa"/>
          </w:tblCellMar>
        </w:tblPrEx>
        <w:trPr>
          <w:trHeight w:val="805" w:hRule="atLeast"/>
          <w:jc w:val="center"/>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项目总监</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000000"/>
                <w:kern w:val="0"/>
                <w:sz w:val="24"/>
                <w:szCs w:val="24"/>
                <w:highlight w:val="none"/>
                <w:lang w:bidi="ar"/>
              </w:rPr>
              <w:t>（</w:t>
            </w:r>
            <w:r>
              <w:rPr>
                <w:rFonts w:hint="eastAsia" w:ascii="宋体" w:hAnsi="宋体" w:eastAsia="宋体" w:cs="宋体"/>
                <w:snapToGrid w:val="0"/>
                <w:color w:val="000000"/>
                <w:kern w:val="0"/>
                <w:sz w:val="24"/>
                <w:szCs w:val="24"/>
                <w:highlight w:val="none"/>
                <w:lang w:val="en-US" w:eastAsia="zh-CN" w:bidi="ar"/>
              </w:rPr>
              <w:t>4</w:t>
            </w:r>
            <w:r>
              <w:rPr>
                <w:rFonts w:hint="eastAsia" w:ascii="宋体" w:hAnsi="宋体" w:eastAsia="宋体" w:cs="宋体"/>
                <w:snapToGrid w:val="0"/>
                <w:color w:val="000000"/>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1.职称情况：</w:t>
            </w:r>
            <w:r>
              <w:rPr>
                <w:rFonts w:hint="eastAsia" w:ascii="宋体" w:hAnsi="宋体" w:eastAsia="宋体" w:cs="宋体"/>
                <w:bCs/>
                <w:sz w:val="24"/>
                <w:szCs w:val="24"/>
                <w:highlight w:val="none"/>
              </w:rPr>
              <w:t>总监理工程师</w:t>
            </w:r>
            <w:r>
              <w:rPr>
                <w:rFonts w:hint="eastAsia" w:ascii="宋体" w:hAnsi="宋体" w:eastAsia="宋体" w:cs="宋体"/>
                <w:bCs/>
                <w:sz w:val="24"/>
                <w:szCs w:val="24"/>
                <w:highlight w:val="none"/>
                <w:lang w:val="en-US" w:eastAsia="zh-CN"/>
              </w:rPr>
              <w:t>具有初级职称的得1分，具有中级（或以上）</w:t>
            </w:r>
            <w:r>
              <w:rPr>
                <w:rFonts w:hint="eastAsia" w:ascii="宋体" w:hAnsi="宋体" w:eastAsia="宋体" w:cs="宋体"/>
                <w:bCs/>
                <w:sz w:val="24"/>
                <w:szCs w:val="24"/>
                <w:highlight w:val="none"/>
              </w:rPr>
              <w:t>职称</w:t>
            </w:r>
            <w:r>
              <w:rPr>
                <w:rFonts w:hint="eastAsia" w:ascii="宋体" w:hAnsi="宋体" w:eastAsia="宋体" w:cs="宋体"/>
                <w:bCs/>
                <w:sz w:val="24"/>
                <w:szCs w:val="24"/>
                <w:highlight w:val="none"/>
                <w:lang w:val="en-US" w:eastAsia="zh-CN"/>
              </w:rPr>
              <w:t>的得2分；</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2.其他职业资格情况：</w:t>
            </w:r>
            <w:r>
              <w:rPr>
                <w:rFonts w:hint="eastAsia" w:ascii="宋体" w:hAnsi="宋体" w:eastAsia="宋体" w:cs="宋体"/>
                <w:bCs/>
                <w:sz w:val="24"/>
                <w:szCs w:val="24"/>
                <w:highlight w:val="none"/>
              </w:rPr>
              <w:t>总监理工程师具有</w:t>
            </w:r>
            <w:r>
              <w:rPr>
                <w:rFonts w:hint="eastAsia" w:ascii="宋体" w:hAnsi="宋体" w:eastAsia="宋体" w:cs="宋体"/>
                <w:bCs/>
                <w:sz w:val="24"/>
                <w:szCs w:val="24"/>
                <w:highlight w:val="none"/>
                <w:lang w:val="en-US" w:eastAsia="zh-CN"/>
              </w:rPr>
              <w:t>一级建造师资格的得2分；</w:t>
            </w:r>
          </w:p>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sz w:val="24"/>
                <w:szCs w:val="24"/>
                <w:highlight w:val="none"/>
                <w:lang w:val="en-US"/>
              </w:rPr>
            </w:pPr>
            <w:r>
              <w:rPr>
                <w:rFonts w:hint="eastAsia" w:ascii="宋体" w:hAnsi="宋体" w:eastAsia="宋体" w:cs="宋体"/>
                <w:bCs/>
                <w:sz w:val="24"/>
                <w:szCs w:val="24"/>
                <w:highlight w:val="none"/>
                <w:lang w:val="en-US" w:eastAsia="zh-CN"/>
              </w:rPr>
              <w:t>本项最高得4分。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textAlignment w:val="auto"/>
              <w:rPr>
                <w:rFonts w:hint="eastAsia" w:ascii="宋体" w:hAnsi="宋体" w:eastAsia="宋体" w:cs="宋体"/>
                <w:b/>
                <w:bCs/>
                <w:snapToGrid w:val="0"/>
                <w:kern w:val="0"/>
                <w:sz w:val="24"/>
                <w:szCs w:val="24"/>
                <w:highlight w:val="none"/>
              </w:rPr>
            </w:pPr>
            <w:r>
              <w:rPr>
                <w:rFonts w:hint="eastAsia" w:ascii="宋体" w:hAnsi="宋体" w:eastAsia="宋体" w:cs="宋体"/>
                <w:b w:val="0"/>
                <w:bCs w:val="0"/>
                <w:snapToGrid w:val="0"/>
                <w:kern w:val="0"/>
                <w:sz w:val="24"/>
                <w:szCs w:val="24"/>
                <w:highlight w:val="none"/>
              </w:rPr>
              <w:t>需附提供职称证书</w:t>
            </w:r>
            <w:r>
              <w:rPr>
                <w:rFonts w:hint="eastAsia" w:ascii="宋体" w:hAnsi="宋体" w:eastAsia="宋体" w:cs="宋体"/>
                <w:b w:val="0"/>
                <w:bCs w:val="0"/>
                <w:snapToGrid w:val="0"/>
                <w:kern w:val="0"/>
                <w:sz w:val="24"/>
                <w:szCs w:val="24"/>
                <w:highlight w:val="none"/>
                <w:lang w:eastAsia="zh-CN"/>
              </w:rPr>
              <w:t>、</w:t>
            </w:r>
            <w:r>
              <w:rPr>
                <w:rFonts w:hint="eastAsia" w:ascii="宋体" w:hAnsi="宋体" w:eastAsia="宋体" w:cs="宋体"/>
                <w:b w:val="0"/>
                <w:bCs w:val="0"/>
                <w:snapToGrid w:val="0"/>
                <w:kern w:val="0"/>
                <w:sz w:val="24"/>
                <w:szCs w:val="24"/>
                <w:highlight w:val="none"/>
                <w:lang w:val="en-US" w:eastAsia="zh-CN"/>
              </w:rPr>
              <w:t>执业资格证书扫描件</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napToGrid w:val="0"/>
                <w:kern w:val="0"/>
                <w:sz w:val="24"/>
                <w:szCs w:val="24"/>
                <w:highlight w:val="none"/>
              </w:rPr>
              <w:t>否则不得分。</w:t>
            </w:r>
          </w:p>
        </w:tc>
      </w:tr>
      <w:tr>
        <w:tblPrEx>
          <w:tblCellMar>
            <w:top w:w="0" w:type="dxa"/>
            <w:left w:w="108" w:type="dxa"/>
            <w:bottom w:w="0" w:type="dxa"/>
            <w:right w:w="108" w:type="dxa"/>
          </w:tblCellMar>
        </w:tblPrEx>
        <w:trPr>
          <w:trHeight w:val="3570" w:hRule="atLeast"/>
          <w:jc w:val="center"/>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exact"/>
              <w:jc w:val="center"/>
              <w:textAlignment w:val="auto"/>
              <w:rPr>
                <w:rFonts w:hint="eastAsia" w:ascii="宋体" w:hAnsi="宋体" w:eastAsia="宋体" w:cs="宋体"/>
                <w:snapToGrid w:val="0"/>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color w:val="000000"/>
                <w:kern w:val="0"/>
                <w:sz w:val="24"/>
                <w:szCs w:val="24"/>
                <w:highlight w:val="none"/>
                <w:lang w:bidi="ar"/>
              </w:rPr>
              <w:t>其他人员配备程度（</w:t>
            </w:r>
            <w:r>
              <w:rPr>
                <w:rFonts w:hint="eastAsia" w:ascii="宋体" w:hAnsi="宋体" w:eastAsia="宋体" w:cs="宋体"/>
                <w:snapToGrid w:val="0"/>
                <w:color w:val="000000"/>
                <w:kern w:val="0"/>
                <w:sz w:val="24"/>
                <w:szCs w:val="24"/>
                <w:highlight w:val="none"/>
                <w:lang w:val="en-US" w:eastAsia="zh-CN" w:bidi="ar"/>
              </w:rPr>
              <w:t>6</w:t>
            </w:r>
            <w:r>
              <w:rPr>
                <w:rFonts w:hint="eastAsia" w:ascii="宋体" w:hAnsi="宋体" w:eastAsia="宋体" w:cs="宋体"/>
                <w:snapToGrid w:val="0"/>
                <w:color w:val="000000"/>
                <w:kern w:val="0"/>
                <w:sz w:val="24"/>
                <w:szCs w:val="24"/>
                <w:highlight w:val="none"/>
                <w:lang w:bidi="ar"/>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满足表2《项目监理机构其他人员需求表》</w:t>
            </w:r>
            <w:r>
              <w:rPr>
                <w:rFonts w:hint="eastAsia" w:ascii="宋体" w:hAnsi="宋体" w:eastAsia="宋体" w:cs="宋体"/>
                <w:caps w:val="0"/>
                <w:smallCaps w:val="0"/>
                <w:snapToGrid w:val="0"/>
                <w:color w:val="auto"/>
                <w:spacing w:val="0"/>
                <w:kern w:val="0"/>
                <w:sz w:val="24"/>
                <w:szCs w:val="24"/>
                <w:highlight w:val="none"/>
                <w:lang w:eastAsia="zh-CN"/>
              </w:rPr>
              <w:t>要求的得</w:t>
            </w:r>
            <w:r>
              <w:rPr>
                <w:rFonts w:hint="eastAsia" w:ascii="宋体" w:hAnsi="宋体" w:eastAsia="宋体" w:cs="宋体"/>
                <w:caps w:val="0"/>
                <w:smallCaps w:val="0"/>
                <w:snapToGrid w:val="0"/>
                <w:color w:val="auto"/>
                <w:spacing w:val="0"/>
                <w:kern w:val="0"/>
                <w:sz w:val="24"/>
                <w:szCs w:val="24"/>
                <w:highlight w:val="none"/>
                <w:u w:val="none" w:color="auto"/>
                <w:lang w:val="en-US" w:eastAsia="zh-CN"/>
              </w:rPr>
              <w:t>2</w:t>
            </w:r>
            <w:r>
              <w:rPr>
                <w:rFonts w:hint="eastAsia" w:ascii="宋体" w:hAnsi="宋体" w:eastAsia="宋体" w:cs="宋体"/>
                <w:caps w:val="0"/>
                <w:smallCaps w:val="0"/>
                <w:snapToGrid w:val="0"/>
                <w:color w:val="auto"/>
                <w:spacing w:val="0"/>
                <w:kern w:val="0"/>
                <w:sz w:val="24"/>
                <w:szCs w:val="24"/>
                <w:highlight w:val="none"/>
              </w:rPr>
              <w:t>分</w:t>
            </w:r>
            <w:r>
              <w:rPr>
                <w:rFonts w:hint="eastAsia" w:ascii="宋体" w:hAnsi="宋体" w:eastAsia="宋体" w:cs="宋体"/>
                <w:caps w:val="0"/>
                <w:smallCaps w:val="0"/>
                <w:snapToGrid w:val="0"/>
                <w:color w:val="auto"/>
                <w:spacing w:val="0"/>
                <w:kern w:val="0"/>
                <w:sz w:val="24"/>
                <w:szCs w:val="24"/>
                <w:highlight w:val="none"/>
                <w:lang w:eastAsia="zh-CN"/>
              </w:rPr>
              <w:t>；不</w:t>
            </w:r>
            <w:r>
              <w:rPr>
                <w:rFonts w:hint="eastAsia" w:ascii="宋体" w:hAnsi="宋体" w:eastAsia="宋体" w:cs="宋体"/>
                <w:sz w:val="24"/>
                <w:szCs w:val="24"/>
                <w:highlight w:val="none"/>
              </w:rPr>
              <w:t>满足</w:t>
            </w:r>
            <w:r>
              <w:rPr>
                <w:rFonts w:hint="eastAsia" w:ascii="宋体" w:hAnsi="宋体" w:eastAsia="宋体" w:cs="宋体"/>
                <w:caps w:val="0"/>
                <w:smallCaps w:val="0"/>
                <w:snapToGrid w:val="0"/>
                <w:color w:val="auto"/>
                <w:spacing w:val="0"/>
                <w:kern w:val="0"/>
                <w:sz w:val="24"/>
                <w:szCs w:val="24"/>
                <w:highlight w:val="none"/>
                <w:lang w:eastAsia="zh-CN"/>
              </w:rPr>
              <w:t>要求的</w:t>
            </w:r>
            <w:r>
              <w:rPr>
                <w:rFonts w:hint="eastAsia" w:ascii="宋体" w:hAnsi="宋体" w:eastAsia="宋体" w:cs="宋体"/>
                <w:caps w:val="0"/>
                <w:smallCaps w:val="0"/>
                <w:snapToGrid w:val="0"/>
                <w:color w:val="auto"/>
                <w:spacing w:val="0"/>
                <w:kern w:val="0"/>
                <w:sz w:val="24"/>
                <w:szCs w:val="24"/>
                <w:highlight w:val="none"/>
                <w:lang w:val="en-US" w:eastAsia="zh-CN"/>
              </w:rPr>
              <w:t>本项不得分</w:t>
            </w:r>
            <w:r>
              <w:rPr>
                <w:rFonts w:hint="eastAsia" w:ascii="宋体" w:hAnsi="宋体" w:eastAsia="宋体" w:cs="宋体"/>
                <w:caps w:val="0"/>
                <w:smallCaps w:val="0"/>
                <w:snapToGrid w:val="0"/>
                <w:color w:val="auto"/>
                <w:spacing w:val="0"/>
                <w:kern w:val="0"/>
                <w:sz w:val="24"/>
                <w:szCs w:val="24"/>
                <w:highlight w:val="none"/>
                <w:lang w:eastAsia="zh-CN"/>
              </w:rPr>
              <w:t>。</w:t>
            </w:r>
          </w:p>
          <w:p>
            <w:pPr>
              <w:pStyle w:val="87"/>
              <w:keepNext w:val="0"/>
              <w:keepLines w:val="0"/>
              <w:pageBreakBefore w:val="0"/>
              <w:widowControl/>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拟派市政公用工程</w:t>
            </w:r>
            <w:r>
              <w:rPr>
                <w:rFonts w:hint="eastAsia" w:ascii="宋体" w:hAnsi="宋体" w:eastAsia="宋体" w:cs="宋体"/>
                <w:kern w:val="2"/>
                <w:sz w:val="24"/>
                <w:szCs w:val="24"/>
                <w:highlight w:val="none"/>
                <w:lang w:val="en-US" w:eastAsia="zh-CN" w:bidi="ar-SA"/>
              </w:rPr>
              <w:t>专业监理工程师具备给水排水专业高级</w:t>
            </w:r>
            <w:r>
              <w:rPr>
                <w:rFonts w:hint="eastAsia" w:ascii="宋体" w:hAnsi="宋体" w:eastAsia="宋体" w:cs="宋体"/>
                <w:color w:val="auto"/>
                <w:sz w:val="24"/>
                <w:szCs w:val="24"/>
                <w:highlight w:val="none"/>
                <w:lang w:val="en-US" w:eastAsia="zh-CN"/>
              </w:rPr>
              <w:t>（或以上）职称的</w:t>
            </w:r>
            <w:r>
              <w:rPr>
                <w:rFonts w:hint="eastAsia" w:ascii="宋体" w:hAnsi="宋体" w:eastAsia="宋体" w:cs="宋体"/>
                <w:sz w:val="24"/>
                <w:szCs w:val="24"/>
                <w:highlight w:val="none"/>
                <w:lang w:val="en-US" w:eastAsia="zh-CN"/>
              </w:rPr>
              <w:t>得4分。</w:t>
            </w:r>
          </w:p>
          <w:p>
            <w:pPr>
              <w:pStyle w:val="87"/>
              <w:keepNext w:val="0"/>
              <w:keepLines w:val="0"/>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b w:val="0"/>
                <w:bCs w:val="0"/>
                <w:snapToGrid w:val="0"/>
                <w:kern w:val="0"/>
                <w:sz w:val="24"/>
                <w:szCs w:val="24"/>
                <w:highlight w:val="none"/>
              </w:rPr>
              <w:t>须提供相应证书</w:t>
            </w:r>
            <w:r>
              <w:rPr>
                <w:rFonts w:hint="eastAsia" w:ascii="宋体" w:hAnsi="宋体" w:eastAsia="宋体" w:cs="宋体"/>
                <w:b w:val="0"/>
                <w:bCs w:val="0"/>
                <w:snapToGrid w:val="0"/>
                <w:kern w:val="0"/>
                <w:sz w:val="24"/>
                <w:szCs w:val="24"/>
                <w:highlight w:val="none"/>
                <w:lang w:val="en-US" w:eastAsia="zh-CN"/>
              </w:rPr>
              <w:t>扫描件</w:t>
            </w:r>
            <w:r>
              <w:rPr>
                <w:rFonts w:hint="eastAsia" w:ascii="宋体" w:hAnsi="宋体" w:eastAsia="宋体" w:cs="宋体"/>
                <w:b w:val="0"/>
                <w:bCs w:val="0"/>
                <w:snapToGrid w:val="0"/>
                <w:kern w:val="0"/>
                <w:sz w:val="24"/>
                <w:szCs w:val="24"/>
                <w:highlight w:val="none"/>
              </w:rPr>
              <w:t>，否则不得分。</w:t>
            </w:r>
          </w:p>
        </w:tc>
      </w:tr>
      <w:tr>
        <w:tblPrEx>
          <w:tblCellMar>
            <w:top w:w="0" w:type="dxa"/>
            <w:left w:w="108" w:type="dxa"/>
            <w:bottom w:w="0" w:type="dxa"/>
            <w:right w:w="108" w:type="dxa"/>
          </w:tblCellMar>
        </w:tblPrEx>
        <w:trPr>
          <w:trHeight w:val="525" w:hRule="exact"/>
          <w:jc w:val="center"/>
        </w:trPr>
        <w:tc>
          <w:tcPr>
            <w:tcW w:w="10086"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1"/>
              <w:wordWrap w:val="0"/>
              <w:adjustRightInd w:val="0"/>
              <w:snapToGrid w:val="0"/>
              <w:spacing w:after="0" w:line="440" w:lineRule="exact"/>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技术部分（监理大纲），满分：</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u w:val="single"/>
                <w:lang w:val="en-US" w:eastAsia="zh-CN"/>
              </w:rPr>
              <w:t>15</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分。</w:t>
            </w:r>
          </w:p>
        </w:tc>
      </w:tr>
      <w:tr>
        <w:tblPrEx>
          <w:tblCellMar>
            <w:top w:w="0" w:type="dxa"/>
            <w:left w:w="108" w:type="dxa"/>
            <w:bottom w:w="0" w:type="dxa"/>
            <w:right w:w="108" w:type="dxa"/>
          </w:tblCellMar>
        </w:tblPrEx>
        <w:trPr>
          <w:trHeight w:val="500" w:hRule="exac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评分因素</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评分标准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备注</w:t>
            </w:r>
          </w:p>
        </w:tc>
      </w:tr>
      <w:tr>
        <w:tblPrEx>
          <w:tblCellMar>
            <w:top w:w="0" w:type="dxa"/>
            <w:left w:w="108" w:type="dxa"/>
            <w:bottom w:w="0" w:type="dxa"/>
            <w:right w:w="108" w:type="dxa"/>
          </w:tblCellMar>
        </w:tblPrEx>
        <w:trPr>
          <w:trHeight w:val="300"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监理依据</w:t>
            </w:r>
          </w:p>
          <w:p>
            <w:pPr>
              <w:pStyle w:val="54"/>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及工作目标</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1</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100%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要求依据全面、适用；目标清晰、正确；针对性强。</w:t>
            </w:r>
          </w:p>
        </w:tc>
      </w:tr>
      <w:tr>
        <w:tblPrEx>
          <w:tblCellMar>
            <w:top w:w="0" w:type="dxa"/>
            <w:left w:w="108" w:type="dxa"/>
            <w:bottom w:w="0" w:type="dxa"/>
            <w:right w:w="108" w:type="dxa"/>
          </w:tblCellMar>
        </w:tblPrEx>
        <w:trPr>
          <w:trHeight w:val="1400"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工程质量</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监理措施</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2</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100%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tc>
        <w:tc>
          <w:tcPr>
            <w:tcW w:w="3664" w:type="dxa"/>
            <w:vMerge w:val="restart"/>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要求目标正确、方法可行、预控和动态管理措施具体、针对性强。脱离本工程实际、机械照搬照抄规范和技术标准的，不能得满分。</w:t>
            </w:r>
          </w:p>
        </w:tc>
      </w:tr>
      <w:tr>
        <w:tblPrEx>
          <w:tblCellMar>
            <w:top w:w="0" w:type="dxa"/>
            <w:left w:w="108" w:type="dxa"/>
            <w:bottom w:w="0" w:type="dxa"/>
            <w:right w:w="108" w:type="dxa"/>
          </w:tblCellMar>
        </w:tblPrEx>
        <w:trPr>
          <w:trHeight w:val="1497"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工程进度</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监理措施</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2</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【优】得该项因素分的85%～100%（含85%）；</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【良】得该项因素分的70%～85%（含70%）；</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【中】得该项因素分的60%～70%（含60%）；</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【差】得该项因素分的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0～60%（含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p>
        </w:tc>
      </w:tr>
      <w:tr>
        <w:tblPrEx>
          <w:tblCellMar>
            <w:top w:w="0" w:type="dxa"/>
            <w:left w:w="108" w:type="dxa"/>
            <w:bottom w:w="0" w:type="dxa"/>
            <w:right w:w="108" w:type="dxa"/>
          </w:tblCellMar>
        </w:tblPrEx>
        <w:trPr>
          <w:trHeight w:val="395"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工程造价</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监理措施</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1</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100%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p>
        </w:tc>
      </w:tr>
      <w:tr>
        <w:tblPrEx>
          <w:tblCellMar>
            <w:top w:w="0" w:type="dxa"/>
            <w:left w:w="108" w:type="dxa"/>
            <w:bottom w:w="0" w:type="dxa"/>
            <w:right w:w="108" w:type="dxa"/>
          </w:tblCellMar>
        </w:tblPrEx>
        <w:trPr>
          <w:trHeight w:val="289"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安全防护</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监理措施</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2</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【优】得该项因素分的85%～100%（含85%）；</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【良】得该项因素分的70%～85%（含70%）；</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【中】得该项因素分的60%～70%（含60%）；</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【差】得该项因素分的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0～60%（含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p>
        </w:tc>
      </w:tr>
      <w:tr>
        <w:tblPrEx>
          <w:tblCellMar>
            <w:top w:w="0" w:type="dxa"/>
            <w:left w:w="108" w:type="dxa"/>
            <w:bottom w:w="0" w:type="dxa"/>
            <w:right w:w="108" w:type="dxa"/>
          </w:tblCellMar>
        </w:tblPrEx>
        <w:trPr>
          <w:trHeight w:val="2154"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绿色施工</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、文明施工</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监理措施</w:t>
            </w:r>
          </w:p>
          <w:p>
            <w:pPr>
              <w:pStyle w:val="143"/>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1</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100%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p>
        </w:tc>
      </w:tr>
      <w:tr>
        <w:tblPrEx>
          <w:tblCellMar>
            <w:top w:w="0" w:type="dxa"/>
            <w:left w:w="108" w:type="dxa"/>
            <w:bottom w:w="0" w:type="dxa"/>
            <w:right w:w="108" w:type="dxa"/>
          </w:tblCellMar>
        </w:tblPrEx>
        <w:trPr>
          <w:trHeight w:val="2154"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合同、信息</w:t>
            </w:r>
          </w:p>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管理方案</w:t>
            </w:r>
          </w:p>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1</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【优】得该项因素分的85%～100%（含85%）；</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【良】得该项因素分的70%～85%（含70%）；</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【中】得该项因素分的60%～70%（含60%）；</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【差】得该项因素分的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0～60%（含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要求各项制度规范清晰，方法科学合理，措施及时有效，针对性强。能够切实防范和处理合同纠纷，提升监理工作效能。</w:t>
            </w:r>
          </w:p>
        </w:tc>
      </w:tr>
      <w:tr>
        <w:tblPrEx>
          <w:tblCellMar>
            <w:top w:w="0" w:type="dxa"/>
            <w:left w:w="108" w:type="dxa"/>
            <w:bottom w:w="0" w:type="dxa"/>
            <w:right w:w="108" w:type="dxa"/>
          </w:tblCellMar>
        </w:tblPrEx>
        <w:trPr>
          <w:trHeight w:val="2154"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组织协调</w:t>
            </w:r>
          </w:p>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内容及措施</w:t>
            </w:r>
          </w:p>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2</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100%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en-US" w:eastAsia="zh-CN" w:bidi="ar-SA"/>
              </w:rPr>
              <w:t>【差】得该项因素分的50～60%（含50分）。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要求各项制度规范清晰，方法科学合理，措施及时有效，针对性强。能够高效收集、协调、处理、反馈各方各类问题。</w:t>
            </w:r>
          </w:p>
        </w:tc>
      </w:tr>
      <w:tr>
        <w:tblPrEx>
          <w:tblCellMar>
            <w:top w:w="0" w:type="dxa"/>
            <w:left w:w="108" w:type="dxa"/>
            <w:bottom w:w="0" w:type="dxa"/>
            <w:right w:w="108" w:type="dxa"/>
          </w:tblCellMar>
        </w:tblPrEx>
        <w:trPr>
          <w:trHeight w:val="2154"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监理工作重点、难点分析</w:t>
            </w:r>
          </w:p>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2</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100%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85%</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11"/>
              <w:keepNext w:val="0"/>
              <w:keepLines w:val="0"/>
              <w:pageBreakBefore w:val="0"/>
              <w:widowControl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70%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w:t>
            </w:r>
            <w:r>
              <w:rPr>
                <w:rFonts w:hint="eastAsia" w:ascii="宋体" w:hAnsi="宋体" w:eastAsia="宋体" w:cs="宋体"/>
                <w:snapToGrid w:val="0"/>
                <w:kern w:val="0"/>
                <w:sz w:val="24"/>
                <w:szCs w:val="24"/>
                <w:highlight w:val="none"/>
                <w:lang w:eastAsia="zh-CN"/>
              </w:rPr>
              <w:t>该项因素分</w:t>
            </w:r>
            <w:r>
              <w:rPr>
                <w:rFonts w:hint="eastAsia" w:ascii="宋体" w:hAnsi="宋体" w:eastAsia="宋体" w:cs="宋体"/>
                <w:snapToGrid w:val="0"/>
                <w:kern w:val="0"/>
                <w:sz w:val="24"/>
                <w:szCs w:val="24"/>
                <w:highlight w:val="none"/>
              </w:rPr>
              <w:t>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60%</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要求方法可行、措施具体、针对性强。</w:t>
            </w:r>
          </w:p>
        </w:tc>
      </w:tr>
      <w:tr>
        <w:tblPrEx>
          <w:tblCellMar>
            <w:top w:w="0" w:type="dxa"/>
            <w:left w:w="108" w:type="dxa"/>
            <w:bottom w:w="0" w:type="dxa"/>
            <w:right w:w="108" w:type="dxa"/>
          </w:tblCellMar>
        </w:tblPrEx>
        <w:trPr>
          <w:trHeight w:val="2341"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合理化建议</w:t>
            </w:r>
          </w:p>
          <w:p>
            <w:pPr>
              <w:pStyle w:val="143"/>
              <w:keepNext w:val="0"/>
              <w:keepLines w:val="0"/>
              <w:pageBreakBefore w:val="0"/>
              <w:widowControl w:val="0"/>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u w:val="single"/>
                <w:lang w:val="en-US" w:eastAsia="zh-CN"/>
              </w:rPr>
              <w:t>1</w:t>
            </w:r>
            <w:r>
              <w:rPr>
                <w:rFonts w:hint="eastAsia" w:ascii="宋体" w:hAnsi="宋体" w:eastAsia="宋体" w:cs="宋体"/>
                <w:snapToGrid w:val="0"/>
                <w:kern w:val="0"/>
                <w:sz w:val="24"/>
                <w:szCs w:val="24"/>
                <w:highlight w:val="none"/>
              </w:rPr>
              <w:t>分）</w:t>
            </w:r>
          </w:p>
        </w:tc>
        <w:tc>
          <w:tcPr>
            <w:tcW w:w="3977"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【优】得该项因素分的85%～100%（含85%）；</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【良】得该项因素分的70%～85%（含70%）；</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【中】得该项因素分的60%～70%（含60%）；</w:t>
            </w:r>
          </w:p>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【差】得该项因素分的</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0～60%（含</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0分）。</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Style w:val="73"/>
              <w:keepNext w:val="0"/>
              <w:keepLines w:val="0"/>
              <w:pageBreakBefore w:val="0"/>
              <w:widowControl w:val="0"/>
              <w:kinsoku/>
              <w:wordWrap w:val="0"/>
              <w:overflowPunct/>
              <w:topLinePunct w:val="0"/>
              <w:autoSpaceDE/>
              <w:autoSpaceDN/>
              <w:bidi w:val="0"/>
              <w:adjustRightInd w:val="0"/>
              <w:snapToGrid w:val="0"/>
              <w:spacing w:line="3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要求方法可行、措施具体、针对性强。</w:t>
            </w:r>
          </w:p>
        </w:tc>
      </w:tr>
      <w:tr>
        <w:tblPrEx>
          <w:tblCellMar>
            <w:top w:w="0" w:type="dxa"/>
            <w:left w:w="108" w:type="dxa"/>
            <w:bottom w:w="0" w:type="dxa"/>
            <w:right w:w="108" w:type="dxa"/>
          </w:tblCellMar>
        </w:tblPrEx>
        <w:trPr>
          <w:trHeight w:val="624" w:hRule="exact"/>
          <w:jc w:val="center"/>
        </w:trPr>
        <w:tc>
          <w:tcPr>
            <w:tcW w:w="10086"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73"/>
              <w:wordWrap w:val="0"/>
              <w:adjustRightInd w:val="0"/>
              <w:snapToGrid w:val="0"/>
              <w:spacing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投标报价部分，满分：</w:t>
            </w:r>
            <w:r>
              <w:rPr>
                <w:rFonts w:hint="eastAsia" w:ascii="宋体" w:hAnsi="宋体" w:eastAsia="宋体" w:cs="宋体"/>
                <w:snapToGrid w:val="0"/>
                <w:kern w:val="0"/>
                <w:sz w:val="24"/>
                <w:szCs w:val="24"/>
                <w:highlight w:val="none"/>
                <w:u w:val="single"/>
              </w:rPr>
              <w:t xml:space="preserve">  30  </w:t>
            </w:r>
            <w:r>
              <w:rPr>
                <w:rFonts w:hint="eastAsia" w:ascii="宋体" w:hAnsi="宋体" w:eastAsia="宋体" w:cs="宋体"/>
                <w:snapToGrid w:val="0"/>
                <w:kern w:val="0"/>
                <w:sz w:val="24"/>
                <w:szCs w:val="24"/>
                <w:highlight w:val="none"/>
              </w:rPr>
              <w:t>分。</w:t>
            </w:r>
          </w:p>
        </w:tc>
      </w:tr>
      <w:tr>
        <w:tblPrEx>
          <w:tblCellMar>
            <w:top w:w="0" w:type="dxa"/>
            <w:left w:w="108" w:type="dxa"/>
            <w:bottom w:w="0" w:type="dxa"/>
            <w:right w:w="108" w:type="dxa"/>
          </w:tblCellMar>
        </w:tblPrEx>
        <w:trPr>
          <w:trHeight w:val="624" w:hRule="exac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评分事项</w:t>
            </w:r>
          </w:p>
        </w:tc>
        <w:tc>
          <w:tcPr>
            <w:tcW w:w="7641" w:type="dxa"/>
            <w:gridSpan w:val="2"/>
            <w:tcBorders>
              <w:top w:val="single" w:color="auto" w:sz="4" w:space="0"/>
              <w:left w:val="single" w:color="auto" w:sz="4" w:space="0"/>
              <w:bottom w:val="single" w:color="auto" w:sz="4" w:space="0"/>
              <w:right w:val="single" w:color="auto" w:sz="4" w:space="0"/>
            </w:tcBorders>
            <w:noWrap w:val="0"/>
            <w:vAlign w:val="center"/>
          </w:tcPr>
          <w:p>
            <w:pPr>
              <w:pStyle w:val="11"/>
              <w:wordWrap w:val="0"/>
              <w:adjustRightInd w:val="0"/>
              <w:snapToGrid w:val="0"/>
              <w:spacing w:after="0" w:line="44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评分方法</w:t>
            </w:r>
          </w:p>
        </w:tc>
      </w:tr>
      <w:tr>
        <w:tblPrEx>
          <w:tblCellMar>
            <w:top w:w="0" w:type="dxa"/>
            <w:left w:w="108" w:type="dxa"/>
            <w:bottom w:w="0" w:type="dxa"/>
            <w:right w:w="108" w:type="dxa"/>
          </w:tblCellMar>
        </w:tblPrEx>
        <w:trPr>
          <w:trHeight w:val="7366"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wordWrap w:val="0"/>
              <w:adjustRightInd w:val="0"/>
              <w:snapToGrid w:val="0"/>
              <w:spacing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评标基准价D</w:t>
            </w:r>
          </w:p>
        </w:tc>
        <w:tc>
          <w:tcPr>
            <w:tcW w:w="7641"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wordWrap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rPr>
              <w:t>确定</w:t>
            </w:r>
            <w:r>
              <w:rPr>
                <w:rFonts w:hint="eastAsia" w:ascii="宋体" w:hAnsi="宋体" w:eastAsia="宋体" w:cs="宋体"/>
                <w:sz w:val="24"/>
                <w:szCs w:val="24"/>
                <w:highlight w:val="none"/>
                <w:lang w:eastAsia="zh-CN"/>
              </w:rPr>
              <w:t>最高投标限价</w:t>
            </w:r>
            <w:r>
              <w:rPr>
                <w:rFonts w:hint="eastAsia" w:ascii="宋体" w:hAnsi="宋体" w:eastAsia="宋体" w:cs="宋体"/>
                <w:sz w:val="24"/>
                <w:szCs w:val="24"/>
                <w:highlight w:val="none"/>
              </w:rPr>
              <w:t>下浮系数n：用1～</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号球分别代表一个下浮系数，由评委代表从这</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个号码中随机抽取 3 次，每次抽取1个号码，抽出的号球不参与下次抽取。所抽取的3个号码对应下浮系数的算术平均值作为</w:t>
            </w:r>
            <w:r>
              <w:rPr>
                <w:rFonts w:hint="eastAsia" w:ascii="宋体" w:hAnsi="宋体" w:eastAsia="宋体" w:cs="宋体"/>
                <w:sz w:val="24"/>
                <w:szCs w:val="24"/>
                <w:highlight w:val="none"/>
                <w:lang w:eastAsia="zh-CN"/>
              </w:rPr>
              <w:t>最高投标限价</w:t>
            </w:r>
            <w:r>
              <w:rPr>
                <w:rFonts w:hint="eastAsia" w:ascii="宋体" w:hAnsi="宋体" w:eastAsia="宋体" w:cs="宋体"/>
                <w:sz w:val="24"/>
                <w:szCs w:val="24"/>
                <w:highlight w:val="none"/>
              </w:rPr>
              <w:t>下浮系数n。具体号码对应的下浮系数可参考下表。</w:t>
            </w:r>
          </w:p>
          <w:tbl>
            <w:tblPr>
              <w:tblStyle w:val="32"/>
              <w:tblW w:w="7217" w:type="dxa"/>
              <w:tblInd w:w="28" w:type="dxa"/>
              <w:tblLayout w:type="fixed"/>
              <w:tblCellMar>
                <w:top w:w="0" w:type="dxa"/>
                <w:left w:w="108" w:type="dxa"/>
                <w:bottom w:w="0" w:type="dxa"/>
                <w:right w:w="108" w:type="dxa"/>
              </w:tblCellMar>
            </w:tblPr>
            <w:tblGrid>
              <w:gridCol w:w="1723"/>
              <w:gridCol w:w="841"/>
              <w:gridCol w:w="908"/>
              <w:gridCol w:w="945"/>
              <w:gridCol w:w="928"/>
              <w:gridCol w:w="965"/>
              <w:gridCol w:w="907"/>
            </w:tblGrid>
            <w:tr>
              <w:tblPrEx>
                <w:tblCellMar>
                  <w:top w:w="0" w:type="dxa"/>
                  <w:left w:w="108" w:type="dxa"/>
                  <w:bottom w:w="0" w:type="dxa"/>
                  <w:right w:w="108" w:type="dxa"/>
                </w:tblCellMar>
              </w:tblPrEx>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号球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r>
            <w:tr>
              <w:tblPrEx>
                <w:tblCellMar>
                  <w:top w:w="0" w:type="dxa"/>
                  <w:left w:w="108" w:type="dxa"/>
                  <w:bottom w:w="0" w:type="dxa"/>
                  <w:right w:w="108" w:type="dxa"/>
                </w:tblCellMar>
              </w:tblPrEx>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下浮系数（%）</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0.1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0.6</w:t>
                  </w:r>
                </w:p>
              </w:tc>
            </w:tr>
            <w:tr>
              <w:tblPrEx>
                <w:tblCellMar>
                  <w:top w:w="0" w:type="dxa"/>
                  <w:left w:w="108" w:type="dxa"/>
                  <w:bottom w:w="0" w:type="dxa"/>
                  <w:right w:w="108" w:type="dxa"/>
                </w:tblCellMar>
              </w:tblPrEx>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号球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7</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w:t>
                  </w:r>
                </w:p>
              </w:tc>
            </w:tr>
            <w:tr>
              <w:tblPrEx>
                <w:tblCellMar>
                  <w:top w:w="0" w:type="dxa"/>
                  <w:left w:w="108" w:type="dxa"/>
                  <w:bottom w:w="0" w:type="dxa"/>
                  <w:right w:w="108" w:type="dxa"/>
                </w:tblCellMar>
              </w:tblPrEx>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下浮系数（%）</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0.7</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p>
              </w:tc>
            </w:tr>
            <w:tr>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号球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13</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17</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18</w:t>
                  </w:r>
                </w:p>
              </w:tc>
            </w:tr>
            <w:tr>
              <w:tblPrEx>
                <w:tblCellMar>
                  <w:top w:w="0" w:type="dxa"/>
                  <w:left w:w="108" w:type="dxa"/>
                  <w:bottom w:w="0" w:type="dxa"/>
                  <w:right w:w="108" w:type="dxa"/>
                </w:tblCellMar>
              </w:tblPrEx>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下浮系数（%）</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1.7</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p>
              </w:tc>
            </w:tr>
            <w:tr>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号球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19</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r>
            <w:tr>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下浮系数（%）</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1.9</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r>
            <w:tr>
              <w:tblPrEx>
                <w:tblCellMar>
                  <w:top w:w="0" w:type="dxa"/>
                  <w:left w:w="108" w:type="dxa"/>
                  <w:bottom w:w="0" w:type="dxa"/>
                  <w:right w:w="108" w:type="dxa"/>
                </w:tblCellMar>
              </w:tblPrEx>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号球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29</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r>
            <w:tr>
              <w:trPr>
                <w:trHeight w:val="23" w:hRule="atLeast"/>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下浮系数（%）</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2.9</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r>
          </w:tbl>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评标基准价D＝</w:t>
            </w:r>
            <w:r>
              <w:rPr>
                <w:rFonts w:hint="eastAsia" w:ascii="宋体" w:hAnsi="宋体" w:eastAsia="宋体" w:cs="宋体"/>
                <w:sz w:val="24"/>
                <w:szCs w:val="24"/>
                <w:highlight w:val="none"/>
                <w:lang w:eastAsia="zh-CN"/>
              </w:rPr>
              <w:t>最高投标限价</w:t>
            </w:r>
            <w:r>
              <w:rPr>
                <w:rFonts w:hint="eastAsia" w:ascii="宋体" w:hAnsi="宋体" w:eastAsia="宋体" w:cs="宋体"/>
                <w:sz w:val="24"/>
                <w:szCs w:val="24"/>
                <w:highlight w:val="none"/>
              </w:rPr>
              <w:t>×（1－n）</w:t>
            </w:r>
          </w:p>
        </w:tc>
      </w:tr>
      <w:tr>
        <w:tblPrEx>
          <w:tblCellMar>
            <w:top w:w="0" w:type="dxa"/>
            <w:left w:w="108" w:type="dxa"/>
            <w:bottom w:w="0" w:type="dxa"/>
            <w:right w:w="108" w:type="dxa"/>
          </w:tblCellMar>
        </w:tblPrEx>
        <w:trPr>
          <w:trHeight w:val="2659"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pStyle w:val="143"/>
              <w:wordWrap w:val="0"/>
              <w:adjustRightInd w:val="0"/>
              <w:snapToGrid w:val="0"/>
              <w:spacing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投标报价</w:t>
            </w:r>
          </w:p>
          <w:p>
            <w:pPr>
              <w:pStyle w:val="143"/>
              <w:wordWrap w:val="0"/>
              <w:adjustRightInd w:val="0"/>
              <w:snapToGrid w:val="0"/>
              <w:spacing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得分M</w:t>
            </w:r>
            <w:r>
              <w:rPr>
                <w:rFonts w:hint="eastAsia" w:ascii="宋体" w:hAnsi="宋体" w:eastAsia="宋体" w:cs="宋体"/>
                <w:snapToGrid w:val="0"/>
                <w:kern w:val="0"/>
                <w:sz w:val="24"/>
                <w:szCs w:val="24"/>
                <w:highlight w:val="none"/>
                <w:vertAlign w:val="subscript"/>
              </w:rPr>
              <w:t>3</w:t>
            </w:r>
          </w:p>
        </w:tc>
        <w:tc>
          <w:tcPr>
            <w:tcW w:w="76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采用内插法计算某投标人的投标报价得分</w:t>
            </w:r>
            <w:r>
              <w:rPr>
                <w:rFonts w:hint="eastAsia" w:ascii="宋体" w:hAnsi="宋体" w:eastAsia="宋体" w:cs="宋体"/>
                <w:caps w:val="0"/>
                <w:smallCaps w:val="0"/>
                <w:snapToGrid w:val="0"/>
                <w:color w:val="auto"/>
                <w:spacing w:val="0"/>
                <w:kern w:val="0"/>
                <w:sz w:val="24"/>
                <w:szCs w:val="24"/>
                <w:highlight w:val="none"/>
                <w:lang w:val="en-US" w:eastAsia="zh-CN"/>
              </w:rPr>
              <w:t>M</w:t>
            </w:r>
            <w:r>
              <w:rPr>
                <w:rFonts w:hint="eastAsia" w:ascii="宋体" w:hAnsi="宋体" w:eastAsia="宋体" w:cs="宋体"/>
                <w:caps w:val="0"/>
                <w:smallCaps w:val="0"/>
                <w:snapToGrid w:val="0"/>
                <w:color w:val="auto"/>
                <w:spacing w:val="0"/>
                <w:kern w:val="0"/>
                <w:sz w:val="24"/>
                <w:szCs w:val="24"/>
                <w:highlight w:val="none"/>
                <w:vertAlign w:val="subscript"/>
                <w:lang w:val="en-US" w:eastAsia="zh-CN"/>
              </w:rPr>
              <w:t>3</w:t>
            </w:r>
            <w:r>
              <w:rPr>
                <w:rFonts w:hint="eastAsia" w:ascii="宋体" w:hAnsi="宋体" w:eastAsia="宋体" w:cs="宋体"/>
                <w:caps w:val="0"/>
                <w:smallCaps w:val="0"/>
                <w:snapToGrid w:val="0"/>
                <w:color w:val="auto"/>
                <w:spacing w:val="0"/>
                <w:kern w:val="0"/>
                <w:sz w:val="24"/>
                <w:szCs w:val="24"/>
                <w:highlight w:val="none"/>
                <w:lang w:eastAsia="zh-CN"/>
              </w:rPr>
              <w:t>，即当投标人的投标总价等于评标基准价时得满分，每高于评标基准价一个百分点扣</w:t>
            </w:r>
            <w:r>
              <w:rPr>
                <w:rFonts w:hint="eastAsia" w:ascii="宋体" w:hAnsi="宋体" w:eastAsia="宋体" w:cs="宋体"/>
                <w:caps w:val="0"/>
                <w:smallCaps w:val="0"/>
                <w:snapToGrid w:val="0"/>
                <w:color w:val="auto"/>
                <w:spacing w:val="0"/>
                <w:kern w:val="0"/>
                <w:sz w:val="24"/>
                <w:szCs w:val="24"/>
                <w:highlight w:val="none"/>
                <w:lang w:val="en-US" w:eastAsia="zh-CN"/>
              </w:rPr>
              <w:t>1</w:t>
            </w:r>
            <w:r>
              <w:rPr>
                <w:rFonts w:hint="eastAsia" w:ascii="宋体" w:hAnsi="宋体" w:eastAsia="宋体" w:cs="宋体"/>
                <w:caps w:val="0"/>
                <w:smallCaps w:val="0"/>
                <w:snapToGrid w:val="0"/>
                <w:color w:val="auto"/>
                <w:spacing w:val="0"/>
                <w:kern w:val="0"/>
                <w:sz w:val="24"/>
                <w:szCs w:val="24"/>
                <w:highlight w:val="none"/>
                <w:lang w:eastAsia="zh-CN"/>
              </w:rPr>
              <w:t>分, 每低于评标基准价一个百分点扣</w:t>
            </w:r>
            <w:r>
              <w:rPr>
                <w:rFonts w:hint="eastAsia" w:ascii="宋体" w:hAnsi="宋体" w:eastAsia="宋体" w:cs="宋体"/>
                <w:caps w:val="0"/>
                <w:smallCaps w:val="0"/>
                <w:snapToGrid w:val="0"/>
                <w:color w:val="auto"/>
                <w:spacing w:val="0"/>
                <w:kern w:val="0"/>
                <w:sz w:val="24"/>
                <w:szCs w:val="24"/>
                <w:highlight w:val="none"/>
                <w:lang w:val="en-US" w:eastAsia="zh-CN"/>
              </w:rPr>
              <w:t>0.5</w:t>
            </w:r>
            <w:r>
              <w:rPr>
                <w:rFonts w:hint="eastAsia" w:ascii="宋体" w:hAnsi="宋体" w:eastAsia="宋体" w:cs="宋体"/>
                <w:caps w:val="0"/>
                <w:smallCaps w:val="0"/>
                <w:snapToGrid w:val="0"/>
                <w:color w:val="auto"/>
                <w:spacing w:val="0"/>
                <w:kern w:val="0"/>
                <w:sz w:val="24"/>
                <w:szCs w:val="24"/>
                <w:highlight w:val="none"/>
                <w:lang w:eastAsia="zh-CN"/>
              </w:rPr>
              <w:t>分，扣完为止。公式如下：</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val="en-US" w:eastAsia="zh-CN"/>
              </w:rPr>
              <w:t>M</w:t>
            </w:r>
            <w:r>
              <w:rPr>
                <w:rFonts w:hint="eastAsia" w:ascii="宋体" w:hAnsi="宋体" w:eastAsia="宋体" w:cs="宋体"/>
                <w:caps w:val="0"/>
                <w:smallCaps w:val="0"/>
                <w:snapToGrid w:val="0"/>
                <w:color w:val="auto"/>
                <w:spacing w:val="0"/>
                <w:kern w:val="0"/>
                <w:sz w:val="24"/>
                <w:szCs w:val="24"/>
                <w:highlight w:val="none"/>
                <w:vertAlign w:val="subscript"/>
                <w:lang w:val="en-US" w:eastAsia="zh-CN"/>
              </w:rPr>
              <w:t>3</w:t>
            </w:r>
            <w:r>
              <w:rPr>
                <w:rFonts w:hint="eastAsia" w:ascii="宋体" w:hAnsi="宋体" w:eastAsia="宋体" w:cs="宋体"/>
                <w:caps w:val="0"/>
                <w:smallCaps w:val="0"/>
                <w:snapToGrid w:val="0"/>
                <w:color w:val="auto"/>
                <w:spacing w:val="0"/>
                <w:kern w:val="0"/>
                <w:sz w:val="24"/>
                <w:szCs w:val="24"/>
                <w:highlight w:val="none"/>
                <w:lang w:eastAsia="zh-CN"/>
              </w:rPr>
              <w:t>＝投标报价满分－（|</w:t>
            </w:r>
            <w:r>
              <w:rPr>
                <w:rFonts w:hint="eastAsia" w:ascii="宋体" w:hAnsi="宋体" w:eastAsia="宋体" w:cs="宋体"/>
                <w:caps w:val="0"/>
                <w:smallCaps w:val="0"/>
                <w:snapToGrid w:val="0"/>
                <w:color w:val="auto"/>
                <w:spacing w:val="0"/>
                <w:kern w:val="0"/>
                <w:sz w:val="24"/>
                <w:szCs w:val="24"/>
                <w:highlight w:val="none"/>
                <w:lang w:val="en-US" w:eastAsia="zh-CN"/>
              </w:rPr>
              <w:t xml:space="preserve"> </w:t>
            </w:r>
            <w:r>
              <w:rPr>
                <w:rFonts w:hint="eastAsia" w:ascii="宋体" w:hAnsi="宋体" w:eastAsia="宋体" w:cs="宋体"/>
                <w:caps w:val="0"/>
                <w:smallCaps w:val="0"/>
                <w:snapToGrid w:val="0"/>
                <w:color w:val="auto"/>
                <w:spacing w:val="0"/>
                <w:kern w:val="0"/>
                <w:sz w:val="24"/>
                <w:szCs w:val="24"/>
                <w:highlight w:val="none"/>
                <w:lang w:eastAsia="zh-CN"/>
              </w:rPr>
              <w:t>Di－D</w:t>
            </w:r>
            <w:r>
              <w:rPr>
                <w:rFonts w:hint="eastAsia" w:ascii="宋体" w:hAnsi="宋体" w:eastAsia="宋体" w:cs="宋体"/>
                <w:caps w:val="0"/>
                <w:smallCaps w:val="0"/>
                <w:snapToGrid w:val="0"/>
                <w:color w:val="auto"/>
                <w:spacing w:val="0"/>
                <w:kern w:val="0"/>
                <w:sz w:val="24"/>
                <w:szCs w:val="24"/>
                <w:highlight w:val="none"/>
                <w:lang w:val="en-US" w:eastAsia="zh-CN"/>
              </w:rPr>
              <w:t xml:space="preserve"> </w:t>
            </w:r>
            <w:r>
              <w:rPr>
                <w:rFonts w:hint="eastAsia" w:ascii="宋体" w:hAnsi="宋体" w:eastAsia="宋体" w:cs="宋体"/>
                <w:caps w:val="0"/>
                <w:smallCaps w:val="0"/>
                <w:snapToGrid w:val="0"/>
                <w:color w:val="auto"/>
                <w:spacing w:val="0"/>
                <w:kern w:val="0"/>
                <w:sz w:val="24"/>
                <w:szCs w:val="24"/>
                <w:highlight w:val="none"/>
                <w:lang w:eastAsia="zh-CN"/>
              </w:rPr>
              <w:t>|</w:t>
            </w:r>
            <w:r>
              <w:rPr>
                <w:rFonts w:hint="eastAsia" w:ascii="宋体" w:hAnsi="宋体" w:eastAsia="宋体" w:cs="宋体"/>
                <w:caps w:val="0"/>
                <w:smallCaps w:val="0"/>
                <w:snapToGrid w:val="0"/>
                <w:color w:val="auto"/>
                <w:spacing w:val="0"/>
                <w:kern w:val="0"/>
                <w:sz w:val="24"/>
                <w:szCs w:val="24"/>
                <w:highlight w:val="none"/>
                <w:lang w:val="en-US" w:eastAsia="zh-CN"/>
              </w:rPr>
              <w:t xml:space="preserve"> </w:t>
            </w:r>
            <w:r>
              <w:rPr>
                <w:rFonts w:hint="eastAsia" w:ascii="宋体" w:hAnsi="宋体" w:eastAsia="宋体" w:cs="宋体"/>
                <w:caps w:val="0"/>
                <w:smallCaps w:val="0"/>
                <w:snapToGrid w:val="0"/>
                <w:color w:val="auto"/>
                <w:spacing w:val="0"/>
                <w:kern w:val="0"/>
                <w:sz w:val="24"/>
                <w:szCs w:val="24"/>
                <w:highlight w:val="none"/>
                <w:lang w:eastAsia="zh-CN"/>
              </w:rPr>
              <w:t>÷D）×100×E</w:t>
            </w:r>
          </w:p>
          <w:p>
            <w:pPr>
              <w:wordWrap w:val="0"/>
              <w:adjustRightInd w:val="0"/>
              <w:snapToGrid w:val="0"/>
              <w:spacing w:line="40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eastAsia="zh-CN"/>
              </w:rPr>
              <w:t>式中：D为评标基准价，Di为某投标人的投标总价；E为扣分因子。当Di＞D时，E＝</w:t>
            </w:r>
            <w:r>
              <w:rPr>
                <w:rFonts w:hint="eastAsia" w:ascii="宋体" w:hAnsi="宋体" w:eastAsia="宋体" w:cs="宋体"/>
                <w:caps w:val="0"/>
                <w:smallCaps w:val="0"/>
                <w:snapToGrid w:val="0"/>
                <w:color w:val="auto"/>
                <w:spacing w:val="0"/>
                <w:kern w:val="0"/>
                <w:sz w:val="24"/>
                <w:szCs w:val="24"/>
                <w:highlight w:val="none"/>
                <w:lang w:val="en-US" w:eastAsia="zh-CN"/>
              </w:rPr>
              <w:t>1</w:t>
            </w:r>
            <w:r>
              <w:rPr>
                <w:rFonts w:hint="eastAsia" w:ascii="宋体" w:hAnsi="宋体" w:eastAsia="宋体" w:cs="宋体"/>
                <w:caps w:val="0"/>
                <w:smallCaps w:val="0"/>
                <w:snapToGrid w:val="0"/>
                <w:color w:val="auto"/>
                <w:spacing w:val="0"/>
                <w:kern w:val="0"/>
                <w:sz w:val="24"/>
                <w:szCs w:val="24"/>
                <w:highlight w:val="none"/>
                <w:lang w:eastAsia="zh-CN"/>
              </w:rPr>
              <w:t>；当Di＜D时，E＝</w:t>
            </w:r>
            <w:r>
              <w:rPr>
                <w:rFonts w:hint="eastAsia" w:ascii="宋体" w:hAnsi="宋体" w:eastAsia="宋体" w:cs="宋体"/>
                <w:caps w:val="0"/>
                <w:smallCaps w:val="0"/>
                <w:snapToGrid w:val="0"/>
                <w:color w:val="auto"/>
                <w:spacing w:val="0"/>
                <w:kern w:val="0"/>
                <w:sz w:val="24"/>
                <w:szCs w:val="24"/>
                <w:highlight w:val="none"/>
                <w:lang w:val="en-US" w:eastAsia="zh-CN"/>
              </w:rPr>
              <w:t>0.5</w:t>
            </w:r>
            <w:r>
              <w:rPr>
                <w:rFonts w:hint="eastAsia" w:ascii="宋体" w:hAnsi="宋体" w:eastAsia="宋体" w:cs="宋体"/>
                <w:caps w:val="0"/>
                <w:smallCaps w:val="0"/>
                <w:snapToGrid w:val="0"/>
                <w:color w:val="auto"/>
                <w:spacing w:val="0"/>
                <w:kern w:val="0"/>
                <w:sz w:val="24"/>
                <w:szCs w:val="24"/>
                <w:highlight w:val="none"/>
                <w:lang w:eastAsia="zh-CN"/>
              </w:rPr>
              <w:t>。</w:t>
            </w:r>
          </w:p>
        </w:tc>
      </w:tr>
    </w:tbl>
    <w:p>
      <w:pPr>
        <w:pStyle w:val="2"/>
        <w:rPr>
          <w:rFonts w:hint="eastAsia" w:ascii="宋体" w:hAnsi="宋体" w:eastAsia="宋体" w:cs="宋体"/>
          <w:color w:val="auto"/>
          <w:highlight w:val="none"/>
        </w:rPr>
      </w:pPr>
    </w:p>
    <w:p>
      <w:pPr>
        <w:pStyle w:val="10"/>
        <w:outlineLvl w:val="9"/>
        <w:rPr>
          <w:rFonts w:hint="eastAsia" w:ascii="宋体" w:hAnsi="宋体" w:eastAsia="宋体" w:cs="宋体"/>
          <w:color w:val="auto"/>
          <w:highlight w:val="none"/>
        </w:rPr>
      </w:pPr>
    </w:p>
    <w:p>
      <w:pPr>
        <w:rPr>
          <w:rFonts w:hint="eastAsia" w:ascii="宋体" w:hAnsi="宋体" w:eastAsia="宋体" w:cs="宋体"/>
          <w:b/>
          <w:bCs/>
          <w:snapToGrid w:val="0"/>
          <w:color w:val="auto"/>
          <w:kern w:val="0"/>
          <w:sz w:val="30"/>
          <w:highlight w:val="none"/>
        </w:rPr>
      </w:pPr>
      <w:r>
        <w:rPr>
          <w:rFonts w:hint="eastAsia" w:ascii="宋体" w:hAnsi="宋体" w:eastAsia="宋体" w:cs="宋体"/>
          <w:b/>
          <w:bCs/>
          <w:snapToGrid w:val="0"/>
          <w:color w:val="auto"/>
          <w:kern w:val="0"/>
          <w:sz w:val="30"/>
          <w:highlight w:val="none"/>
        </w:rPr>
        <w:br w:type="page"/>
      </w:r>
    </w:p>
    <w:p>
      <w:pPr>
        <w:wordWrap w:val="0"/>
        <w:adjustRightInd w:val="0"/>
        <w:snapToGrid w:val="0"/>
        <w:spacing w:line="440" w:lineRule="exact"/>
        <w:jc w:val="center"/>
        <w:outlineLvl w:val="9"/>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sz w:val="30"/>
          <w:highlight w:val="none"/>
        </w:rPr>
        <w:t>表2 项目监理机构其他人员需求表</w:t>
      </w:r>
    </w:p>
    <w:tbl>
      <w:tblPr>
        <w:tblStyle w:val="32"/>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754"/>
        <w:gridCol w:w="917"/>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0" w:type="dxa"/>
            <w:gridSpan w:val="4"/>
            <w:noWrap w:val="0"/>
            <w:vAlign w:val="center"/>
          </w:tcPr>
          <w:p>
            <w:pPr>
              <w:pStyle w:val="58"/>
              <w:wordWrap w:val="0"/>
              <w:adjustRightInd w:val="0"/>
              <w:snapToGrid w:val="0"/>
              <w:spacing w:line="360" w:lineRule="exact"/>
              <w:jc w:val="lef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监理人员：共</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4" w:type="dxa"/>
            <w:noWrap w:val="0"/>
            <w:vAlign w:val="center"/>
          </w:tcPr>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职务</w:t>
            </w:r>
          </w:p>
        </w:tc>
        <w:tc>
          <w:tcPr>
            <w:tcW w:w="1754" w:type="dxa"/>
            <w:noWrap w:val="0"/>
            <w:vAlign w:val="center"/>
          </w:tcPr>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专业要求</w:t>
            </w:r>
          </w:p>
        </w:tc>
        <w:tc>
          <w:tcPr>
            <w:tcW w:w="917" w:type="dxa"/>
            <w:noWrap w:val="0"/>
            <w:vAlign w:val="center"/>
          </w:tcPr>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数量</w:t>
            </w:r>
          </w:p>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要求</w:t>
            </w:r>
          </w:p>
        </w:tc>
        <w:tc>
          <w:tcPr>
            <w:tcW w:w="6345" w:type="dxa"/>
            <w:noWrap w:val="0"/>
            <w:vAlign w:val="center"/>
          </w:tcPr>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持证要求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项目总监代表</w:t>
            </w:r>
          </w:p>
        </w:tc>
        <w:tc>
          <w:tcPr>
            <w:tcW w:w="175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市政公用工程</w:t>
            </w:r>
            <w:r>
              <w:rPr>
                <w:rFonts w:hint="eastAsia" w:ascii="宋体" w:hAnsi="宋体" w:eastAsia="宋体" w:cs="宋体"/>
                <w:snapToGrid w:val="0"/>
                <w:color w:val="auto"/>
                <w:kern w:val="0"/>
                <w:sz w:val="24"/>
                <w:szCs w:val="24"/>
                <w:highlight w:val="none"/>
              </w:rPr>
              <w:t>专业</w:t>
            </w:r>
          </w:p>
        </w:tc>
        <w:tc>
          <w:tcPr>
            <w:tcW w:w="917"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6345" w:type="dxa"/>
            <w:vMerge w:val="restart"/>
            <w:noWrap w:val="0"/>
            <w:vAlign w:val="center"/>
          </w:tcPr>
          <w:p>
            <w:pPr>
              <w:pStyle w:val="58"/>
              <w:wordWrap w:val="0"/>
              <w:adjustRightInd w:val="0"/>
              <w:snapToGrid w:val="0"/>
              <w:spacing w:line="240" w:lineRule="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符合以下3种情形之一均可：</w:t>
            </w:r>
          </w:p>
          <w:p>
            <w:pPr>
              <w:pStyle w:val="58"/>
              <w:wordWrap w:val="0"/>
              <w:adjustRightInd w:val="0"/>
              <w:snapToGrid w:val="0"/>
              <w:spacing w:line="240" w:lineRule="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1．具备所需专业注册监理工程师执业资格，持有效的注册证书；</w:t>
            </w:r>
          </w:p>
          <w:p>
            <w:pPr>
              <w:pStyle w:val="58"/>
              <w:wordWrap w:val="0"/>
              <w:adjustRightInd w:val="0"/>
              <w:snapToGrid w:val="0"/>
              <w:spacing w:line="240" w:lineRule="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2．具备工程类注册执业资格，并经监理业务培训。持有效的注册证书、省级建设行政主管部门或其授权的组织（机构）颁发的岗位证书；</w:t>
            </w:r>
          </w:p>
          <w:p>
            <w:pPr>
              <w:pStyle w:val="58"/>
              <w:wordWrap w:val="0"/>
              <w:adjustRightInd w:val="0"/>
              <w:snapToGrid w:val="0"/>
              <w:spacing w:line="240" w:lineRule="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3．具备中级及以上专业技术职称，并经监理业务培训。持有效的职称证书、省级建设行政主管部门或其授权的组织（机构）颁发的岗位证书。</w:t>
            </w:r>
          </w:p>
          <w:p>
            <w:pPr>
              <w:pStyle w:val="58"/>
              <w:wordWrap w:val="0"/>
              <w:adjustRightInd w:val="0"/>
              <w:snapToGrid w:val="0"/>
              <w:spacing w:line="240" w:lineRule="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注：专业类别以注册证书或专业监理工程师证书或职称证书或毕业证所列明的专业为准。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专业监理</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工程师</w:t>
            </w:r>
          </w:p>
        </w:tc>
        <w:tc>
          <w:tcPr>
            <w:tcW w:w="175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市政公用工程</w:t>
            </w:r>
            <w:r>
              <w:rPr>
                <w:rFonts w:hint="eastAsia" w:ascii="宋体" w:hAnsi="宋体" w:eastAsia="宋体" w:cs="宋体"/>
                <w:snapToGrid w:val="0"/>
                <w:color w:val="auto"/>
                <w:kern w:val="0"/>
                <w:sz w:val="24"/>
                <w:szCs w:val="24"/>
                <w:highlight w:val="none"/>
              </w:rPr>
              <w:t>专业</w:t>
            </w:r>
          </w:p>
        </w:tc>
        <w:tc>
          <w:tcPr>
            <w:tcW w:w="917"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1</w:t>
            </w:r>
          </w:p>
        </w:tc>
        <w:tc>
          <w:tcPr>
            <w:tcW w:w="6345" w:type="dxa"/>
            <w:vMerge w:val="continue"/>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造价</w:t>
            </w:r>
          </w:p>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工程师</w:t>
            </w:r>
          </w:p>
        </w:tc>
        <w:tc>
          <w:tcPr>
            <w:tcW w:w="1754" w:type="dxa"/>
            <w:noWrap w:val="0"/>
            <w:vAlign w:val="center"/>
          </w:tcPr>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具备国家注册造价工程师资格（有效期内）</w:t>
            </w:r>
          </w:p>
        </w:tc>
        <w:tc>
          <w:tcPr>
            <w:tcW w:w="917" w:type="dxa"/>
            <w:noWrap w:val="0"/>
            <w:vAlign w:val="center"/>
          </w:tcPr>
          <w:p>
            <w:pPr>
              <w:pStyle w:val="58"/>
              <w:wordWrap w:val="0"/>
              <w:adjustRightInd w:val="0"/>
              <w:snapToGrid w:val="0"/>
              <w:spacing w:line="30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6345" w:type="dxa"/>
            <w:noWrap w:val="0"/>
            <w:vAlign w:val="center"/>
          </w:tcPr>
          <w:p>
            <w:pPr>
              <w:pStyle w:val="58"/>
              <w:wordWrap w:val="0"/>
              <w:adjustRightInd w:val="0"/>
              <w:snapToGrid w:val="0"/>
              <w:spacing w:line="360" w:lineRule="exact"/>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具备国家注册造价工程师资格（有效期内）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监理员</w:t>
            </w:r>
          </w:p>
        </w:tc>
        <w:tc>
          <w:tcPr>
            <w:tcW w:w="1754"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具备监理员岗位证书（有效期内）</w:t>
            </w:r>
          </w:p>
        </w:tc>
        <w:tc>
          <w:tcPr>
            <w:tcW w:w="917" w:type="dxa"/>
            <w:noWrap w:val="0"/>
            <w:vAlign w:val="center"/>
          </w:tcPr>
          <w:p>
            <w:pPr>
              <w:pStyle w:val="58"/>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w:t>
            </w:r>
          </w:p>
        </w:tc>
        <w:tc>
          <w:tcPr>
            <w:tcW w:w="6345" w:type="dxa"/>
            <w:noWrap w:val="0"/>
            <w:vAlign w:val="center"/>
          </w:tcPr>
          <w:p>
            <w:pPr>
              <w:pStyle w:val="58"/>
              <w:wordWrap w:val="0"/>
              <w:adjustRightInd w:val="0"/>
              <w:snapToGrid w:val="0"/>
              <w:spacing w:line="360" w:lineRule="exac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经监理业务培训，持有效的省级建设行政主管部门或其授权的组织（机构）颁发的岗位证书。</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其中</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名</w:t>
            </w:r>
            <w:r>
              <w:rPr>
                <w:rFonts w:hint="eastAsia" w:ascii="宋体" w:hAnsi="宋体" w:eastAsia="宋体" w:cs="宋体"/>
                <w:snapToGrid w:val="0"/>
                <w:color w:val="auto"/>
                <w:kern w:val="0"/>
                <w:sz w:val="24"/>
                <w:szCs w:val="24"/>
                <w:highlight w:val="none"/>
                <w:lang w:val="en-US" w:eastAsia="zh-CN"/>
              </w:rPr>
              <w:t>为</w:t>
            </w:r>
            <w:r>
              <w:rPr>
                <w:rFonts w:hint="eastAsia" w:ascii="宋体" w:hAnsi="宋体" w:eastAsia="宋体" w:cs="宋体"/>
                <w:snapToGrid w:val="0"/>
                <w:color w:val="auto"/>
                <w:kern w:val="0"/>
                <w:sz w:val="24"/>
                <w:szCs w:val="24"/>
                <w:highlight w:val="none"/>
              </w:rPr>
              <w:t>安全监理员</w:t>
            </w:r>
            <w:r>
              <w:rPr>
                <w:rFonts w:hint="eastAsia" w:ascii="宋体" w:hAnsi="宋体" w:eastAsia="宋体" w:cs="宋体"/>
                <w:snapToGrid w:val="0"/>
                <w:color w:val="auto"/>
                <w:kern w:val="0"/>
                <w:sz w:val="24"/>
                <w:szCs w:val="24"/>
                <w:highlight w:val="none"/>
                <w:lang w:eastAsia="zh-CN"/>
              </w:rPr>
              <w:t>）</w:t>
            </w:r>
          </w:p>
        </w:tc>
      </w:tr>
    </w:tbl>
    <w:p>
      <w:pPr>
        <w:pStyle w:val="58"/>
        <w:wordWrap w:val="0"/>
        <w:adjustRightInd w:val="0"/>
        <w:snapToGrid w:val="0"/>
        <w:spacing w:line="240" w:lineRule="auto"/>
        <w:ind w:firstLine="420" w:firstLineChars="200"/>
        <w:jc w:val="left"/>
        <w:outlineLvl w:val="9"/>
        <w:rPr>
          <w:rFonts w:hint="eastAsia" w:ascii="宋体" w:hAnsi="宋体" w:eastAsia="宋体" w:cs="宋体"/>
          <w:b/>
          <w:bCs/>
          <w:snapToGrid w:val="0"/>
          <w:color w:val="auto"/>
          <w:kern w:val="0"/>
          <w:highlight w:val="none"/>
        </w:rPr>
      </w:pPr>
      <w:r>
        <w:rPr>
          <w:rFonts w:hint="eastAsia" w:ascii="宋体" w:hAnsi="宋体" w:eastAsia="宋体" w:cs="宋体"/>
          <w:color w:val="auto"/>
          <w:szCs w:val="28"/>
          <w:highlight w:val="none"/>
        </w:rPr>
        <w:t>说明：鉴于</w:t>
      </w:r>
      <w:r>
        <w:rPr>
          <w:rFonts w:hint="eastAsia" w:ascii="宋体" w:hAnsi="宋体" w:eastAsia="宋体" w:cs="宋体"/>
          <w:color w:val="auto"/>
          <w:szCs w:val="28"/>
          <w:highlight w:val="none"/>
          <w:lang w:eastAsia="zh-CN"/>
        </w:rPr>
        <w:t>本次招标</w:t>
      </w:r>
      <w:r>
        <w:rPr>
          <w:rFonts w:hint="eastAsia" w:ascii="宋体" w:hAnsi="宋体" w:eastAsia="宋体" w:cs="宋体"/>
          <w:color w:val="auto"/>
          <w:szCs w:val="28"/>
          <w:highlight w:val="none"/>
        </w:rPr>
        <w:t>实际情况，除总监理工程师外，拟委派的</w:t>
      </w:r>
      <w:r>
        <w:rPr>
          <w:rFonts w:hint="eastAsia" w:ascii="宋体" w:hAnsi="宋体" w:eastAsia="宋体" w:cs="宋体"/>
          <w:color w:val="auto"/>
          <w:highlight w:val="none"/>
        </w:rPr>
        <w:t>监理机构其他人员</w:t>
      </w:r>
      <w:r>
        <w:rPr>
          <w:rFonts w:hint="eastAsia" w:ascii="宋体" w:hAnsi="宋体" w:eastAsia="宋体" w:cs="宋体"/>
          <w:color w:val="auto"/>
          <w:szCs w:val="28"/>
          <w:highlight w:val="none"/>
        </w:rPr>
        <w:t>不得少于</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人。监理人</w:t>
      </w:r>
      <w:r>
        <w:rPr>
          <w:rFonts w:hint="eastAsia" w:ascii="宋体" w:hAnsi="宋体" w:eastAsia="宋体" w:cs="宋体"/>
          <w:color w:val="auto"/>
          <w:highlight w:val="none"/>
        </w:rPr>
        <w:t>拟驻现场的监理机构组成人员数量须符合广东省建设厅粤建管（2002）97号文关于工程项目监理最少人数配置要求。</w:t>
      </w:r>
    </w:p>
    <w:p>
      <w:pPr>
        <w:pStyle w:val="84"/>
        <w:spacing w:line="240" w:lineRule="auto"/>
        <w:ind w:firstLine="422" w:firstLineChars="200"/>
        <w:jc w:val="left"/>
        <w:outlineLvl w:val="9"/>
        <w:rPr>
          <w:rFonts w:hint="eastAsia" w:ascii="宋体" w:hAnsi="宋体" w:eastAsia="宋体" w:cs="宋体"/>
          <w:b w:val="0"/>
          <w:color w:val="auto"/>
          <w:sz w:val="21"/>
          <w:szCs w:val="24"/>
          <w:highlight w:val="none"/>
        </w:rPr>
        <w:sectPr>
          <w:endnotePr>
            <w:numFmt w:val="decimal"/>
          </w:endnotePr>
          <w:pgSz w:w="11906" w:h="16838"/>
          <w:pgMar w:top="1440" w:right="1080" w:bottom="1440" w:left="1080" w:header="850" w:footer="992" w:gutter="0"/>
          <w:pgNumType w:fmt="decimal"/>
          <w:cols w:space="720" w:num="1"/>
          <w:docGrid w:linePitch="327" w:charSpace="0"/>
        </w:sectPr>
      </w:pPr>
      <w:r>
        <w:rPr>
          <w:rFonts w:hint="eastAsia" w:ascii="宋体" w:hAnsi="宋体" w:eastAsia="宋体" w:cs="宋体"/>
          <w:b/>
          <w:bCs/>
          <w:color w:val="auto"/>
          <w:sz w:val="21"/>
          <w:szCs w:val="24"/>
          <w:highlight w:val="none"/>
        </w:rPr>
        <w:t>注：除总监理工程师外，拟委派的监理机构其他人员不作为形式评审、资格评审、响应性评审的审查内容，只作为综合评分的评审依据。</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16</w:t>
      </w:r>
      <w:r>
        <w:rPr>
          <w:rFonts w:hint="eastAsia" w:ascii="宋体" w:hAnsi="宋体" w:eastAsia="宋体" w:cs="宋体"/>
          <w:b/>
          <w:bCs/>
          <w:snapToGrid w:val="0"/>
          <w:color w:val="auto"/>
          <w:kern w:val="0"/>
          <w:highlight w:val="none"/>
        </w:rPr>
        <w:t xml:space="preserve">.5.2 </w:t>
      </w:r>
      <w:r>
        <w:rPr>
          <w:rFonts w:hint="eastAsia" w:ascii="宋体" w:hAnsi="宋体" w:eastAsia="宋体" w:cs="宋体"/>
          <w:snapToGrid w:val="0"/>
          <w:color w:val="auto"/>
          <w:kern w:val="0"/>
          <w:highlight w:val="none"/>
        </w:rPr>
        <w:t>否决投标说明</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详细评审阶段否决投标的全部条件，在本章第四节“否决投标条件”第</w:t>
      </w:r>
      <w:r>
        <w:rPr>
          <w:rFonts w:hint="eastAsia" w:ascii="宋体" w:hAnsi="宋体" w:eastAsia="宋体" w:cs="宋体"/>
          <w:b/>
          <w:bCs/>
          <w:snapToGrid w:val="0"/>
          <w:color w:val="auto"/>
          <w:kern w:val="0"/>
          <w:highlight w:val="none"/>
        </w:rPr>
        <w:t>4</w:t>
      </w:r>
      <w:r>
        <w:rPr>
          <w:rFonts w:hint="eastAsia" w:ascii="宋体" w:hAnsi="宋体" w:eastAsia="宋体" w:cs="宋体"/>
          <w:snapToGrid w:val="0"/>
          <w:color w:val="auto"/>
          <w:kern w:val="0"/>
          <w:highlight w:val="none"/>
        </w:rPr>
        <w:t>条中集中列示。投标人有其中所列任何一种情形的，由评标委员会否决其投标。经详细评审后，若所有投标均被否决，招标人应当依法重新招标。</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b/>
          <w:bCs/>
          <w:snapToGrid w:val="0"/>
          <w:color w:val="auto"/>
          <w:kern w:val="0"/>
          <w:highlight w:val="none"/>
          <w:lang w:eastAsia="zh-CN"/>
        </w:rPr>
      </w:pPr>
      <w:r>
        <w:rPr>
          <w:rFonts w:hint="eastAsia" w:ascii="宋体" w:hAnsi="宋体" w:eastAsia="宋体" w:cs="宋体"/>
          <w:b/>
          <w:bCs/>
          <w:snapToGrid w:val="0"/>
          <w:color w:val="auto"/>
          <w:kern w:val="0"/>
          <w:highlight w:val="none"/>
        </w:rPr>
        <w:t>注：投标人在详细评审阶段根据评分方法提供的佐证材料，其合法性、有效性和准确性不符合要求的，有关评分因素的评分按相应评分标准处理，但不否决投标。</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b/>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2"/>
        <w:rPr>
          <w:rFonts w:hint="eastAsia" w:ascii="宋体" w:hAnsi="宋体" w:eastAsia="宋体" w:cs="宋体"/>
          <w:b/>
          <w:snapToGrid w:val="0"/>
          <w:color w:val="auto"/>
          <w:kern w:val="0"/>
          <w:highlight w:val="none"/>
        </w:rPr>
      </w:pPr>
      <w:bookmarkStart w:id="78" w:name="_Toc26389"/>
      <w:r>
        <w:rPr>
          <w:rFonts w:hint="eastAsia" w:ascii="宋体" w:hAnsi="宋体" w:eastAsia="宋体" w:cs="宋体"/>
          <w:b/>
          <w:snapToGrid w:val="0"/>
          <w:color w:val="auto"/>
          <w:kern w:val="0"/>
          <w:highlight w:val="none"/>
          <w:lang w:eastAsia="zh-CN"/>
        </w:rPr>
        <w:t>17</w:t>
      </w:r>
      <w:r>
        <w:rPr>
          <w:rFonts w:hint="eastAsia" w:ascii="宋体" w:hAnsi="宋体" w:eastAsia="宋体" w:cs="宋体"/>
          <w:b/>
          <w:snapToGrid w:val="0"/>
          <w:color w:val="auto"/>
          <w:kern w:val="0"/>
          <w:highlight w:val="none"/>
        </w:rPr>
        <w:t>．推荐中标候选人</w:t>
      </w:r>
      <w:bookmarkEnd w:id="78"/>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17</w:t>
      </w:r>
      <w:r>
        <w:rPr>
          <w:rFonts w:hint="eastAsia" w:ascii="宋体" w:hAnsi="宋体" w:eastAsia="宋体" w:cs="宋体"/>
          <w:b/>
          <w:bCs/>
          <w:snapToGrid w:val="0"/>
          <w:color w:val="auto"/>
          <w:kern w:val="0"/>
          <w:highlight w:val="none"/>
        </w:rPr>
        <w:t>.1</w:t>
      </w:r>
      <w:r>
        <w:rPr>
          <w:rFonts w:hint="eastAsia" w:ascii="宋体" w:hAnsi="宋体" w:eastAsia="宋体" w:cs="宋体"/>
          <w:snapToGrid w:val="0"/>
          <w:color w:val="auto"/>
          <w:kern w:val="0"/>
          <w:highlight w:val="none"/>
        </w:rPr>
        <w:t xml:space="preserve"> 确定排名</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17</w:t>
      </w:r>
      <w:r>
        <w:rPr>
          <w:rFonts w:hint="eastAsia" w:ascii="宋体" w:hAnsi="宋体" w:eastAsia="宋体" w:cs="宋体"/>
          <w:b/>
          <w:bCs/>
          <w:snapToGrid w:val="0"/>
          <w:color w:val="auto"/>
          <w:kern w:val="0"/>
          <w:highlight w:val="none"/>
        </w:rPr>
        <w:t>.2</w:t>
      </w:r>
      <w:r>
        <w:rPr>
          <w:rFonts w:hint="eastAsia" w:ascii="宋体" w:hAnsi="宋体" w:eastAsia="宋体" w:cs="宋体"/>
          <w:snapToGrid w:val="0"/>
          <w:color w:val="auto"/>
          <w:kern w:val="0"/>
          <w:highlight w:val="none"/>
        </w:rPr>
        <w:t xml:space="preserve"> 推荐方法</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（1）有效投标人数量达到或超过3个的，评标委员会将前三名投标人作为中标候选人向招标人推荐，并标明排列顺序。</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i/>
          <w:iCs/>
          <w:snapToGrid w:val="0"/>
          <w:color w:val="auto"/>
          <w:kern w:val="0"/>
          <w:highlight w:val="none"/>
        </w:rPr>
      </w:pPr>
      <w:r>
        <w:rPr>
          <w:rFonts w:hint="eastAsia" w:ascii="宋体" w:hAnsi="宋体" w:eastAsia="宋体" w:cs="宋体"/>
          <w:snapToGrid w:val="0"/>
          <w:color w:val="auto"/>
          <w:kern w:val="0"/>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17</w:t>
      </w:r>
      <w:r>
        <w:rPr>
          <w:rFonts w:hint="eastAsia" w:ascii="宋体" w:hAnsi="宋体" w:eastAsia="宋体" w:cs="宋体"/>
          <w:b/>
          <w:bCs/>
          <w:snapToGrid w:val="0"/>
          <w:color w:val="auto"/>
          <w:kern w:val="0"/>
          <w:highlight w:val="none"/>
        </w:rPr>
        <w:t>.3</w:t>
      </w:r>
      <w:r>
        <w:rPr>
          <w:rFonts w:hint="eastAsia" w:ascii="宋体" w:hAnsi="宋体" w:eastAsia="宋体" w:cs="宋体"/>
          <w:snapToGrid w:val="0"/>
          <w:color w:val="auto"/>
          <w:kern w:val="0"/>
          <w:highlight w:val="none"/>
        </w:rPr>
        <w:t xml:space="preserve"> 评标委员会完成评标后，应向招标人提交由全体评标委员会成员签字的评标报告和中标候选人名单。</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2"/>
        <w:rPr>
          <w:rFonts w:hint="eastAsia" w:ascii="宋体" w:hAnsi="宋体" w:eastAsia="宋体" w:cs="宋体"/>
          <w:b/>
          <w:snapToGrid w:val="0"/>
          <w:color w:val="auto"/>
          <w:kern w:val="0"/>
          <w:highlight w:val="none"/>
        </w:rPr>
      </w:pPr>
      <w:bookmarkStart w:id="79" w:name="_Toc19862"/>
      <w:r>
        <w:rPr>
          <w:rFonts w:hint="eastAsia" w:ascii="宋体" w:hAnsi="宋体" w:eastAsia="宋体" w:cs="宋体"/>
          <w:b/>
          <w:snapToGrid w:val="0"/>
          <w:color w:val="auto"/>
          <w:kern w:val="0"/>
          <w:highlight w:val="none"/>
          <w:lang w:eastAsia="zh-CN"/>
        </w:rPr>
        <w:t>18</w:t>
      </w:r>
      <w:r>
        <w:rPr>
          <w:rFonts w:hint="eastAsia" w:ascii="宋体" w:hAnsi="宋体" w:eastAsia="宋体" w:cs="宋体"/>
          <w:b/>
          <w:snapToGrid w:val="0"/>
          <w:color w:val="auto"/>
          <w:kern w:val="0"/>
          <w:highlight w:val="none"/>
        </w:rPr>
        <w:t>．中标候选人公示</w:t>
      </w:r>
      <w:bookmarkEnd w:id="79"/>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18</w:t>
      </w:r>
      <w:r>
        <w:rPr>
          <w:rFonts w:hint="eastAsia" w:ascii="宋体" w:hAnsi="宋体" w:eastAsia="宋体" w:cs="宋体"/>
          <w:b/>
          <w:bCs/>
          <w:snapToGrid w:val="0"/>
          <w:color w:val="auto"/>
          <w:kern w:val="0"/>
          <w:highlight w:val="none"/>
        </w:rPr>
        <w:t>.1</w:t>
      </w:r>
      <w:r>
        <w:rPr>
          <w:rFonts w:hint="eastAsia" w:ascii="宋体" w:hAnsi="宋体" w:eastAsia="宋体" w:cs="宋体"/>
          <w:bCs/>
          <w:snapToGrid w:val="0"/>
          <w:color w:val="auto"/>
          <w:kern w:val="0"/>
          <w:highlight w:val="none"/>
        </w:rPr>
        <w:t xml:space="preserve"> </w:t>
      </w:r>
      <w:r>
        <w:rPr>
          <w:rFonts w:hint="eastAsia" w:ascii="宋体" w:hAnsi="宋体" w:eastAsia="宋体" w:cs="宋体"/>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w:t>
      </w:r>
      <w:r>
        <w:rPr>
          <w:rFonts w:hint="eastAsia" w:ascii="宋体" w:hAnsi="宋体" w:eastAsia="宋体" w:cs="宋体"/>
          <w:snapToGrid w:val="0"/>
          <w:color w:val="auto"/>
          <w:kern w:val="0"/>
          <w:highlight w:val="none"/>
          <w:lang w:eastAsia="zh-CN"/>
        </w:rPr>
        <w:t>韶关市公共资源交易一体化平台</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eastAsia="zh-CN"/>
        </w:rPr>
        <w:t>http://portal.ythpt.sg.gov.cn</w:t>
      </w:r>
      <w:r>
        <w:rPr>
          <w:rFonts w:hint="eastAsia" w:ascii="宋体" w:hAnsi="宋体" w:eastAsia="宋体" w:cs="宋体"/>
          <w:snapToGrid w:val="0"/>
          <w:color w:val="auto"/>
          <w:kern w:val="0"/>
          <w:highlight w:val="none"/>
        </w:rPr>
        <w:t>）进行公示，公示期不得少于3天。</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18</w:t>
      </w:r>
      <w:r>
        <w:rPr>
          <w:rFonts w:hint="eastAsia" w:ascii="宋体" w:hAnsi="宋体" w:eastAsia="宋体" w:cs="宋体"/>
          <w:b/>
          <w:bCs/>
          <w:snapToGrid w:val="0"/>
          <w:color w:val="auto"/>
          <w:kern w:val="0"/>
          <w:highlight w:val="none"/>
        </w:rPr>
        <w:t>.</w:t>
      </w:r>
      <w:r>
        <w:rPr>
          <w:rFonts w:hint="eastAsia" w:ascii="宋体" w:hAnsi="宋体" w:eastAsia="宋体" w:cs="宋体"/>
          <w:b/>
          <w:bCs/>
          <w:snapToGrid w:val="0"/>
          <w:color w:val="auto"/>
          <w:kern w:val="0"/>
          <w:highlight w:val="none"/>
          <w:lang w:val="en-US" w:eastAsia="zh-CN"/>
        </w:rPr>
        <w:t>2</w:t>
      </w:r>
      <w:r>
        <w:rPr>
          <w:rFonts w:hint="eastAsia" w:ascii="宋体" w:hAnsi="宋体" w:eastAsia="宋体" w:cs="宋体"/>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暂行办法》（韶发改办〔2018〕6号）执行。</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eastAsia="zh-CN"/>
        </w:rPr>
        <w:t>18</w:t>
      </w:r>
      <w:r>
        <w:rPr>
          <w:rFonts w:hint="eastAsia" w:ascii="宋体" w:hAnsi="宋体" w:eastAsia="宋体" w:cs="宋体"/>
          <w:b/>
          <w:bCs/>
          <w:snapToGrid w:val="0"/>
          <w:color w:val="auto"/>
          <w:kern w:val="0"/>
          <w:highlight w:val="none"/>
        </w:rPr>
        <w:t>.</w:t>
      </w:r>
      <w:r>
        <w:rPr>
          <w:rFonts w:hint="eastAsia" w:ascii="宋体" w:hAnsi="宋体" w:eastAsia="宋体" w:cs="宋体"/>
          <w:b/>
          <w:bCs/>
          <w:snapToGrid w:val="0"/>
          <w:color w:val="auto"/>
          <w:kern w:val="0"/>
          <w:highlight w:val="none"/>
          <w:lang w:val="en-US" w:eastAsia="zh-CN"/>
        </w:rPr>
        <w:t>3</w:t>
      </w:r>
      <w:r>
        <w:rPr>
          <w:rFonts w:hint="eastAsia" w:ascii="宋体" w:hAnsi="宋体" w:eastAsia="宋体" w:cs="宋体"/>
          <w:snapToGrid w:val="0"/>
          <w:color w:val="auto"/>
          <w:kern w:val="0"/>
          <w:highlight w:val="none"/>
        </w:rPr>
        <w:t>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outlineLvl w:val="1"/>
        <w:rPr>
          <w:rFonts w:hint="eastAsia" w:ascii="宋体" w:hAnsi="宋体" w:eastAsia="宋体" w:cs="宋体"/>
          <w:snapToGrid w:val="0"/>
          <w:color w:val="auto"/>
          <w:kern w:val="0"/>
          <w:highlight w:val="none"/>
        </w:rPr>
      </w:pPr>
      <w:bookmarkStart w:id="80" w:name="_Toc32132"/>
      <w:r>
        <w:rPr>
          <w:rFonts w:hint="eastAsia" w:ascii="宋体" w:hAnsi="宋体" w:eastAsia="宋体" w:cs="宋体"/>
          <w:b/>
          <w:bCs/>
          <w:snapToGrid w:val="0"/>
          <w:color w:val="auto"/>
          <w:kern w:val="0"/>
          <w:highlight w:val="none"/>
        </w:rPr>
        <w:t>第四节 否决投标条件</w:t>
      </w:r>
      <w:bookmarkEnd w:id="80"/>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w:t>
      </w:r>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highlight w:val="none"/>
        </w:rPr>
        <w:t>投标人未有列入本节情形的，评标时一律不得否决其投标。</w:t>
      </w:r>
      <w:r>
        <w:rPr>
          <w:rFonts w:hint="eastAsia" w:ascii="宋体" w:hAnsi="宋体" w:eastAsia="宋体" w:cs="宋体"/>
          <w:snapToGrid w:val="0"/>
          <w:color w:val="auto"/>
          <w:kern w:val="0"/>
          <w:highlight w:val="none"/>
        </w:rPr>
        <w:t>本节所称“规定”均指招标文件的规定。</w:t>
      </w:r>
    </w:p>
    <w:p>
      <w:pPr>
        <w:wordWrap w:val="0"/>
        <w:adjustRightInd w:val="0"/>
        <w:snapToGrid w:val="0"/>
        <w:spacing w:line="440" w:lineRule="exact"/>
        <w:ind w:firstLine="480"/>
        <w:outlineLvl w:val="2"/>
        <w:rPr>
          <w:rFonts w:hint="eastAsia" w:ascii="宋体" w:hAnsi="宋体" w:eastAsia="宋体" w:cs="宋体"/>
          <w:snapToGrid w:val="0"/>
          <w:color w:val="auto"/>
          <w:kern w:val="0"/>
          <w:highlight w:val="none"/>
        </w:rPr>
      </w:pPr>
      <w:bookmarkStart w:id="81" w:name="_Toc28312"/>
      <w:r>
        <w:rPr>
          <w:rFonts w:hint="eastAsia" w:ascii="宋体" w:hAnsi="宋体" w:eastAsia="宋体" w:cs="宋体"/>
          <w:b/>
          <w:bCs/>
          <w:snapToGrid w:val="0"/>
          <w:color w:val="auto"/>
          <w:kern w:val="0"/>
          <w:highlight w:val="none"/>
        </w:rPr>
        <w:t>1．资格评审环节</w:t>
      </w:r>
      <w:bookmarkEnd w:id="81"/>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投标人有下列情形之一的，评标委员会应否决其投标。被否决的投标，不进入形式评审环节。</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（1）有本章第三节第</w:t>
      </w:r>
      <w:r>
        <w:rPr>
          <w:rFonts w:hint="eastAsia" w:ascii="宋体" w:hAnsi="宋体" w:eastAsia="宋体" w:cs="宋体"/>
          <w:b/>
          <w:bCs/>
          <w:snapToGrid w:val="0"/>
          <w:color w:val="auto"/>
          <w:kern w:val="0"/>
          <w:highlight w:val="none"/>
        </w:rPr>
        <w:t>2.4</w:t>
      </w:r>
      <w:r>
        <w:rPr>
          <w:rFonts w:hint="eastAsia" w:ascii="宋体" w:hAnsi="宋体" w:eastAsia="宋体" w:cs="宋体"/>
          <w:snapToGrid w:val="0"/>
          <w:color w:val="auto"/>
          <w:kern w:val="0"/>
          <w:highlight w:val="none"/>
        </w:rPr>
        <w:t>条“禁止投标条款”规定的任何一种情形；</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（2）投标人资质不符合</w:t>
      </w:r>
      <w:r>
        <w:rPr>
          <w:rFonts w:hint="eastAsia" w:ascii="宋体" w:hAnsi="宋体" w:eastAsia="宋体" w:cs="宋体"/>
          <w:snapToGrid w:val="0"/>
          <w:color w:val="auto"/>
          <w:kern w:val="0"/>
          <w:szCs w:val="18"/>
          <w:highlight w:val="none"/>
        </w:rPr>
        <w:t>规定的；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（3）投标人名称与营业执照、资质证书上的企业名称相互不一致的；其资质证书不是由住房城乡建设主管部门颁发的；营业执照、资质证书被吊销、暂扣或不在有效期内的；</w:t>
      </w:r>
    </w:p>
    <w:p>
      <w:pPr>
        <w:wordWrap w:val="0"/>
        <w:adjustRightInd w:val="0"/>
        <w:snapToGrid w:val="0"/>
        <w:spacing w:line="440" w:lineRule="exact"/>
        <w:ind w:firstLine="480"/>
        <w:outlineLvl w:val="9"/>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注：投标人已经工商变更，但其企业资质证书的企业名称未完成变更的，不得否决其投标；投标人营业执照、资质证书之间登记的信息不一致，应当允许投标人澄清，不得直接否决其投标。</w:t>
      </w:r>
    </w:p>
    <w:p>
      <w:pPr>
        <w:wordWrap w:val="0"/>
        <w:adjustRightInd w:val="0"/>
        <w:snapToGrid w:val="0"/>
        <w:spacing w:line="440" w:lineRule="exact"/>
        <w:ind w:firstLine="480"/>
        <w:outlineLvl w:val="9"/>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根据有关文件精神，在新冠肺炎疫情防控期间，投标人的企业资质证书有效期届满的，但投标人提供了发证机构相关行业主管部门的证明材料（如自动顺延或推迟办理延期业务的通知），证明在开标日继续有效的，不得否决其投标。</w:t>
      </w:r>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投标文件中拟派总监理工程师与《开标一览表》不一致的；拟派总监理工程师的条件不符合规定的；擅自修改、遗漏《总监理工程师任职声明》实质性内容的；拟派总监理工程师现阶段有担任其他在施建设工程项目总监理工程师职务，但《</w:t>
      </w:r>
      <w:r>
        <w:rPr>
          <w:rFonts w:hint="eastAsia" w:ascii="宋体" w:hAnsi="宋体" w:eastAsia="宋体" w:cs="宋体"/>
          <w:snapToGrid w:val="0"/>
          <w:color w:val="auto"/>
          <w:kern w:val="0"/>
          <w:szCs w:val="18"/>
          <w:highlight w:val="none"/>
        </w:rPr>
        <w:t>总监理工程师任职项目情况表</w:t>
      </w:r>
      <w:r>
        <w:rPr>
          <w:rFonts w:hint="eastAsia" w:ascii="宋体" w:hAnsi="宋体" w:eastAsia="宋体" w:cs="宋体"/>
          <w:snapToGrid w:val="0"/>
          <w:color w:val="auto"/>
          <w:kern w:val="0"/>
          <w:highlight w:val="none"/>
        </w:rPr>
        <w:t>》未经任职项目建设单位盖章同意、又未提交任职项目建设单位另行出具的书面同意意见的；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（5）拟派总监理工程师的注册证书不是住房和城乡建设主管部门颁发的，或注册单位与投标人不一致的，或不在有效期内的；</w:t>
      </w:r>
    </w:p>
    <w:p>
      <w:pPr>
        <w:wordWrap w:val="0"/>
        <w:adjustRightInd w:val="0"/>
        <w:snapToGrid w:val="0"/>
        <w:spacing w:line="440" w:lineRule="exact"/>
        <w:ind w:firstLine="480"/>
        <w:outlineLvl w:val="9"/>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（6）招标文件规定不接受联合体投标，但以联合体投标的；</w:t>
      </w:r>
    </w:p>
    <w:p>
      <w:pPr>
        <w:wordWrap w:val="0"/>
        <w:adjustRightInd w:val="0"/>
        <w:snapToGrid w:val="0"/>
        <w:spacing w:line="440" w:lineRule="exact"/>
        <w:ind w:firstLine="480"/>
        <w:outlineLvl w:val="9"/>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（7）联合体投标，未提交</w:t>
      </w:r>
      <w:r>
        <w:rPr>
          <w:rFonts w:hint="eastAsia" w:ascii="宋体" w:hAnsi="宋体" w:eastAsia="宋体" w:cs="宋体"/>
          <w:snapToGrid w:val="0"/>
          <w:color w:val="auto"/>
          <w:kern w:val="0"/>
          <w:szCs w:val="18"/>
          <w:highlight w:val="none"/>
        </w:rPr>
        <w:t>《联合体协议书》的；</w:t>
      </w:r>
      <w:r>
        <w:rPr>
          <w:rFonts w:hint="eastAsia" w:ascii="宋体" w:hAnsi="宋体" w:eastAsia="宋体" w:cs="宋体"/>
          <w:snapToGrid w:val="0"/>
          <w:color w:val="auto"/>
          <w:kern w:val="0"/>
          <w:highlight w:val="none"/>
        </w:rPr>
        <w:t>擅自修改、遗漏</w:t>
      </w:r>
      <w:r>
        <w:rPr>
          <w:rFonts w:hint="eastAsia" w:ascii="宋体" w:hAnsi="宋体" w:eastAsia="宋体" w:cs="宋体"/>
          <w:snapToGrid w:val="0"/>
          <w:color w:val="auto"/>
          <w:kern w:val="0"/>
          <w:szCs w:val="18"/>
          <w:highlight w:val="none"/>
        </w:rPr>
        <w:t>《联合体协议书》</w:t>
      </w:r>
      <w:r>
        <w:rPr>
          <w:rFonts w:hint="eastAsia" w:ascii="宋体" w:hAnsi="宋体" w:eastAsia="宋体" w:cs="宋体"/>
          <w:snapToGrid w:val="0"/>
          <w:color w:val="auto"/>
          <w:kern w:val="0"/>
          <w:highlight w:val="none"/>
        </w:rPr>
        <w:t>实质性内容的；</w:t>
      </w:r>
      <w:r>
        <w:rPr>
          <w:rFonts w:hint="eastAsia" w:ascii="宋体" w:hAnsi="宋体" w:eastAsia="宋体" w:cs="宋体"/>
          <w:snapToGrid w:val="0"/>
          <w:color w:val="auto"/>
          <w:kern w:val="0"/>
          <w:szCs w:val="18"/>
          <w:highlight w:val="none"/>
        </w:rPr>
        <w:t>联合体成员的数量、资质不符合规定的；联合体成员同时以自己名义单独投标或者参加其他联合体投标的；</w:t>
      </w:r>
      <w:r>
        <w:rPr>
          <w:rFonts w:hint="eastAsia" w:ascii="宋体" w:hAnsi="宋体" w:eastAsia="宋体" w:cs="宋体"/>
          <w:snapToGrid w:val="0"/>
          <w:color w:val="auto"/>
          <w:kern w:val="0"/>
          <w:highlight w:val="none"/>
        </w:rPr>
        <w:t>（本次招标不适用）</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（8）投标人为外省企业，但未提供“进粤企业和人员诚信信息登记平台”企业信息情况打印页的。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p>
    <w:p>
      <w:pPr>
        <w:wordWrap w:val="0"/>
        <w:adjustRightInd w:val="0"/>
        <w:snapToGrid w:val="0"/>
        <w:spacing w:line="440" w:lineRule="exact"/>
        <w:ind w:firstLine="480"/>
        <w:outlineLvl w:val="2"/>
        <w:rPr>
          <w:rFonts w:hint="eastAsia" w:ascii="宋体" w:hAnsi="宋体" w:eastAsia="宋体" w:cs="宋体"/>
          <w:snapToGrid w:val="0"/>
          <w:color w:val="auto"/>
          <w:kern w:val="0"/>
          <w:highlight w:val="none"/>
        </w:rPr>
      </w:pPr>
      <w:bookmarkStart w:id="82" w:name="_Toc22324"/>
      <w:r>
        <w:rPr>
          <w:rFonts w:hint="eastAsia" w:ascii="宋体" w:hAnsi="宋体" w:eastAsia="宋体" w:cs="宋体"/>
          <w:b/>
          <w:bCs/>
          <w:snapToGrid w:val="0"/>
          <w:color w:val="auto"/>
          <w:kern w:val="0"/>
          <w:highlight w:val="none"/>
        </w:rPr>
        <w:t>2．形式评审环节</w:t>
      </w:r>
      <w:bookmarkEnd w:id="82"/>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投标人有下列情形之一的，评标委员会应否决其投标。被否决的投标，不进入响应性评审环节。</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r>
        <w:rPr>
          <w:rStyle w:val="146"/>
          <w:rFonts w:hint="eastAsia" w:ascii="宋体" w:hAnsi="宋体" w:eastAsia="宋体" w:cs="宋体"/>
          <w:color w:val="auto"/>
          <w:kern w:val="0"/>
          <w:highlight w:val="none"/>
          <w:lang w:val="en-US" w:eastAsia="zh-CN"/>
        </w:rPr>
        <w:t>各分册未按招标文件规定加盖电子印章、投标文件中需个人签字或盖章的未按招标文件要求在相应位置加盖个人电子印章或在线下完成签字或盖章后扫描上传</w:t>
      </w:r>
      <w:r>
        <w:rPr>
          <w:rFonts w:hint="eastAsia" w:ascii="宋体" w:hAnsi="宋体" w:eastAsia="宋体" w:cs="宋体"/>
          <w:snapToGrid w:val="0"/>
          <w:color w:val="auto"/>
          <w:kern w:val="0"/>
          <w:highlight w:val="none"/>
        </w:rPr>
        <w:t>；</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Style w:val="146"/>
          <w:rFonts w:hint="eastAsia" w:ascii="宋体" w:hAnsi="宋体" w:eastAsia="宋体" w:cs="宋体"/>
          <w:color w:val="auto"/>
          <w:kern w:val="0"/>
          <w:highlight w:val="none"/>
          <w:lang w:eastAsia="zh-CN"/>
        </w:rPr>
        <w:t>（</w:t>
      </w:r>
      <w:r>
        <w:rPr>
          <w:rStyle w:val="146"/>
          <w:rFonts w:hint="eastAsia" w:ascii="宋体" w:hAnsi="宋体" w:eastAsia="宋体" w:cs="宋体"/>
          <w:color w:val="auto"/>
          <w:kern w:val="0"/>
          <w:highlight w:val="none"/>
          <w:lang w:val="en-US" w:eastAsia="zh-CN"/>
        </w:rPr>
        <w:t>10</w:t>
      </w:r>
      <w:r>
        <w:rPr>
          <w:rStyle w:val="146"/>
          <w:rFonts w:hint="eastAsia" w:ascii="宋体" w:hAnsi="宋体" w:eastAsia="宋体" w:cs="宋体"/>
          <w:color w:val="auto"/>
          <w:kern w:val="0"/>
          <w:highlight w:val="none"/>
          <w:lang w:eastAsia="zh-CN"/>
        </w:rPr>
        <w:t>）</w:t>
      </w:r>
      <w:r>
        <w:rPr>
          <w:rStyle w:val="146"/>
          <w:rFonts w:hint="eastAsia" w:ascii="宋体" w:hAnsi="宋体" w:eastAsia="宋体" w:cs="宋体"/>
          <w:color w:val="auto"/>
          <w:kern w:val="0"/>
          <w:highlight w:val="none"/>
        </w:rPr>
        <w:t>关键字迹模糊、无法辨认，</w:t>
      </w:r>
      <w:r>
        <w:rPr>
          <w:rStyle w:val="146"/>
          <w:rFonts w:hint="eastAsia" w:ascii="宋体" w:hAnsi="宋体" w:eastAsia="宋体" w:cs="宋体"/>
          <w:b/>
          <w:bCs/>
          <w:color w:val="auto"/>
          <w:kern w:val="0"/>
          <w:highlight w:val="none"/>
        </w:rPr>
        <w:t>且该种过错将导致评标委员会无法判断投标文件是否响应招标文件实质性要求的</w:t>
      </w:r>
      <w:r>
        <w:rPr>
          <w:rStyle w:val="146"/>
          <w:rFonts w:hint="eastAsia" w:ascii="宋体" w:hAnsi="宋体" w:eastAsia="宋体" w:cs="宋体"/>
          <w:color w:val="auto"/>
          <w:kern w:val="0"/>
          <w:highlight w:val="none"/>
        </w:rPr>
        <w:t>；出现手工涂改、行间插字或删除，但未加盖单位</w:t>
      </w:r>
      <w:r>
        <w:rPr>
          <w:rStyle w:val="146"/>
          <w:rFonts w:hint="eastAsia" w:ascii="宋体" w:hAnsi="宋体" w:eastAsia="宋体" w:cs="宋体"/>
          <w:color w:val="auto"/>
          <w:kern w:val="0"/>
          <w:highlight w:val="none"/>
          <w:lang w:val="en-US" w:eastAsia="zh-CN"/>
        </w:rPr>
        <w:t>电子印章</w:t>
      </w:r>
      <w:r>
        <w:rPr>
          <w:rStyle w:val="146"/>
          <w:rFonts w:hint="eastAsia" w:ascii="宋体" w:hAnsi="宋体" w:eastAsia="宋体" w:cs="宋体"/>
          <w:color w:val="auto"/>
          <w:kern w:val="0"/>
          <w:highlight w:val="none"/>
        </w:rPr>
        <w:t>或</w:t>
      </w:r>
      <w:r>
        <w:rPr>
          <w:rStyle w:val="146"/>
          <w:rFonts w:hint="eastAsia" w:ascii="宋体" w:hAnsi="宋体" w:eastAsia="宋体" w:cs="宋体"/>
          <w:color w:val="auto"/>
          <w:kern w:val="0"/>
          <w:highlight w:val="none"/>
          <w:lang w:val="en-US" w:eastAsia="zh-CN"/>
        </w:rPr>
        <w:t>未按招标文件要求在相应位置加盖个人电子印章或在线下完成签字或盖章后扫描上传的；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r>
        <w:rPr>
          <w:rStyle w:val="146"/>
          <w:rFonts w:hint="eastAsia" w:ascii="宋体" w:hAnsi="宋体" w:eastAsia="宋体" w:cs="宋体"/>
          <w:color w:val="auto"/>
          <w:kern w:val="0"/>
          <w:highlight w:val="none"/>
          <w:lang w:val="en-US" w:eastAsia="zh-CN"/>
        </w:rPr>
        <w:t>未按招标文件</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10.3.3</w:t>
      </w:r>
      <w:r>
        <w:rPr>
          <w:rFonts w:hint="eastAsia" w:ascii="宋体" w:hAnsi="宋体" w:eastAsia="宋体" w:cs="宋体"/>
          <w:snapToGrid w:val="0"/>
          <w:color w:val="auto"/>
          <w:kern w:val="0"/>
          <w:szCs w:val="18"/>
          <w:highlight w:val="none"/>
        </w:rPr>
        <w:t>目</w:t>
      </w:r>
      <w:r>
        <w:rPr>
          <w:rStyle w:val="146"/>
          <w:rFonts w:hint="eastAsia" w:ascii="宋体" w:hAnsi="宋体" w:eastAsia="宋体" w:cs="宋体"/>
          <w:color w:val="auto"/>
          <w:kern w:val="0"/>
          <w:highlight w:val="none"/>
        </w:rPr>
        <w:t>中规定的“所有投标人均应提供”的组成内容（包括该组成内容的所附资料）</w:t>
      </w:r>
      <w:r>
        <w:rPr>
          <w:rStyle w:val="146"/>
          <w:rFonts w:hint="eastAsia" w:ascii="宋体" w:hAnsi="宋体" w:eastAsia="宋体" w:cs="宋体"/>
          <w:color w:val="auto"/>
          <w:kern w:val="0"/>
          <w:highlight w:val="none"/>
          <w:lang w:val="en-US" w:eastAsia="zh-CN"/>
        </w:rPr>
        <w:t>提供投标文件的</w:t>
      </w:r>
      <w:r>
        <w:rPr>
          <w:rFonts w:hint="eastAsia" w:ascii="宋体" w:hAnsi="宋体" w:eastAsia="宋体" w:cs="宋体"/>
          <w:snapToGrid w:val="0"/>
          <w:color w:val="auto"/>
          <w:kern w:val="0"/>
          <w:highlight w:val="none"/>
        </w:rPr>
        <w:t>；</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p>
    <w:p>
      <w:pPr>
        <w:wordWrap w:val="0"/>
        <w:adjustRightInd w:val="0"/>
        <w:snapToGrid w:val="0"/>
        <w:spacing w:line="440" w:lineRule="exact"/>
        <w:ind w:firstLine="480"/>
        <w:outlineLvl w:val="2"/>
        <w:rPr>
          <w:rFonts w:hint="eastAsia" w:ascii="宋体" w:hAnsi="宋体" w:eastAsia="宋体" w:cs="宋体"/>
          <w:b/>
          <w:bCs/>
          <w:snapToGrid w:val="0"/>
          <w:color w:val="auto"/>
          <w:kern w:val="0"/>
          <w:highlight w:val="none"/>
        </w:rPr>
      </w:pPr>
      <w:bookmarkStart w:id="83" w:name="_Toc28292"/>
      <w:r>
        <w:rPr>
          <w:rFonts w:hint="eastAsia" w:ascii="宋体" w:hAnsi="宋体" w:eastAsia="宋体" w:cs="宋体"/>
          <w:b/>
          <w:bCs/>
          <w:snapToGrid w:val="0"/>
          <w:color w:val="auto"/>
          <w:kern w:val="0"/>
          <w:highlight w:val="none"/>
        </w:rPr>
        <w:t>3．响应性评审环节</w:t>
      </w:r>
      <w:bookmarkEnd w:id="83"/>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投标人有下列情形之一的，评标委员会应否决其投标。被否决的投标，不进入详细评审阶段。</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（14）投标有效期、服务期限不符合规定的；擅自修改、遗漏《投标函》《各项承诺一览表》实质性内容的；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（15）出现两个或两个以上投标总价的（同一个投标总价大、小写不一致的除外）；投标总价超出最高投标限价的；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（16）在监理大纲评审中，评标委员会认定监理及相关服务的范围、内容、目标不符合规定的；质量、进度、造价监理措施明显不符合国家和省市现行有关规范、规定、标准，</w:t>
      </w:r>
      <w:r>
        <w:rPr>
          <w:rFonts w:hint="eastAsia" w:ascii="宋体" w:hAnsi="宋体" w:eastAsia="宋体" w:cs="宋体"/>
          <w:b/>
          <w:bCs/>
          <w:snapToGrid w:val="0"/>
          <w:color w:val="auto"/>
          <w:kern w:val="0"/>
          <w:highlight w:val="none"/>
        </w:rPr>
        <w:t>且该种过错将导致“三控制”目标无法实现的</w:t>
      </w:r>
      <w:r>
        <w:rPr>
          <w:rFonts w:hint="eastAsia" w:ascii="宋体" w:hAnsi="宋体" w:eastAsia="宋体" w:cs="宋体"/>
          <w:snapToGrid w:val="0"/>
          <w:color w:val="auto"/>
          <w:kern w:val="0"/>
          <w:highlight w:val="none"/>
        </w:rPr>
        <w:t>。</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p>
    <w:p>
      <w:pPr>
        <w:wordWrap w:val="0"/>
        <w:adjustRightInd w:val="0"/>
        <w:snapToGrid w:val="0"/>
        <w:spacing w:line="440" w:lineRule="exact"/>
        <w:ind w:firstLine="480"/>
        <w:outlineLvl w:val="2"/>
        <w:rPr>
          <w:rFonts w:hint="eastAsia" w:ascii="宋体" w:hAnsi="宋体" w:eastAsia="宋体" w:cs="宋体"/>
          <w:b/>
          <w:bCs/>
          <w:snapToGrid w:val="0"/>
          <w:color w:val="auto"/>
          <w:kern w:val="0"/>
          <w:highlight w:val="none"/>
        </w:rPr>
      </w:pPr>
      <w:bookmarkStart w:id="84" w:name="_Toc26394"/>
      <w:r>
        <w:rPr>
          <w:rFonts w:hint="eastAsia" w:ascii="宋体" w:hAnsi="宋体" w:eastAsia="宋体" w:cs="宋体"/>
          <w:b/>
          <w:bCs/>
          <w:snapToGrid w:val="0"/>
          <w:color w:val="auto"/>
          <w:kern w:val="0"/>
          <w:highlight w:val="none"/>
        </w:rPr>
        <w:t>4．其他</w:t>
      </w:r>
      <w:bookmarkEnd w:id="84"/>
    </w:p>
    <w:p>
      <w:pPr>
        <w:wordWrap w:val="0"/>
        <w:adjustRightInd w:val="0"/>
        <w:snapToGrid w:val="0"/>
        <w:spacing w:line="440" w:lineRule="exact"/>
        <w:ind w:firstLine="480"/>
        <w:outlineLvl w:val="9"/>
        <w:rPr>
          <w:rFonts w:hint="eastAsia" w:ascii="宋体" w:hAnsi="宋体" w:eastAsia="宋体" w:cs="宋体"/>
          <w:snapToGrid w:val="0"/>
          <w:color w:val="auto"/>
          <w:kern w:val="0"/>
          <w:szCs w:val="22"/>
          <w:highlight w:val="none"/>
        </w:rPr>
      </w:pPr>
      <w:r>
        <w:rPr>
          <w:rFonts w:hint="eastAsia" w:ascii="宋体" w:hAnsi="宋体" w:eastAsia="宋体" w:cs="宋体"/>
          <w:snapToGrid w:val="0"/>
          <w:color w:val="auto"/>
          <w:kern w:val="0"/>
          <w:highlight w:val="none"/>
        </w:rPr>
        <w:t>在任何评标环节（或阶段），投标人有下列情形之一的，评标委员会应否决其投标。</w:t>
      </w:r>
      <w:r>
        <w:rPr>
          <w:rFonts w:hint="eastAsia" w:ascii="宋体" w:hAnsi="宋体" w:eastAsia="宋体" w:cs="宋体"/>
          <w:snapToGrid w:val="0"/>
          <w:color w:val="auto"/>
          <w:kern w:val="0"/>
          <w:szCs w:val="22"/>
          <w:highlight w:val="none"/>
        </w:rPr>
        <w:t>被否决的投标，不进入下一环节（或阶段）。</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（17）不按评标委员会要求澄清、说明或补正的；</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（18）有下列情形之一，被评标委员会认定属于串通投标的：</w:t>
      </w:r>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①不同投标人的投标文件两处以上（含两处）错、漏一致；</w:t>
      </w:r>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②不同投标人的投标各项报价存在异常一致或者呈规律性变化；</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③不同投标人的投标文件由同一单位或者同一个人编制；</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④不同投标人的投标文件由同一电脑编制或同一台附属设备打印；</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⑤不同投标人的投标保证由同一企业或同一账户资金缴纳；</w:t>
      </w:r>
    </w:p>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⑥不同投标人委托同一个人或注册在同一家企业的注册人员或同一家企业为其投标提供投标咨询、商务报价、技术咨询（招标项目本身要求采用专有技术的除外）等服务。</w:t>
      </w:r>
    </w:p>
    <w:bookmarkEnd w:id="77"/>
    <w:p>
      <w:pPr>
        <w:wordWrap w:val="0"/>
        <w:adjustRightInd w:val="0"/>
        <w:snapToGrid w:val="0"/>
        <w:spacing w:line="440" w:lineRule="exact"/>
        <w:ind w:firstLine="480"/>
        <w:outlineLvl w:val="9"/>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jc w:val="center"/>
        <w:outlineLvl w:val="0"/>
        <w:rPr>
          <w:rFonts w:hint="eastAsia" w:ascii="宋体" w:hAnsi="宋体" w:eastAsia="宋体" w:cs="宋体"/>
          <w:b/>
          <w:snapToGrid w:val="0"/>
          <w:color w:val="auto"/>
          <w:kern w:val="0"/>
          <w:highlight w:val="none"/>
        </w:rPr>
      </w:pPr>
      <w:bookmarkStart w:id="85" w:name="_Hlt87952408"/>
      <w:bookmarkEnd w:id="85"/>
      <w:bookmarkStart w:id="86" w:name="_Hlt70150994"/>
      <w:bookmarkEnd w:id="86"/>
      <w:bookmarkStart w:id="87" w:name="_Hlt112206772"/>
      <w:bookmarkEnd w:id="87"/>
      <w:bookmarkStart w:id="88" w:name="_Hlt69669771"/>
      <w:bookmarkEnd w:id="88"/>
      <w:bookmarkStart w:id="89" w:name="_Toc27640"/>
      <w:bookmarkStart w:id="90" w:name="_Toc20451"/>
      <w:bookmarkStart w:id="91" w:name="_Hlt69698769"/>
      <w:bookmarkStart w:id="92" w:name="_Hlt69698741"/>
      <w:bookmarkStart w:id="93" w:name="_Hlt69698722"/>
      <w:r>
        <w:rPr>
          <w:rFonts w:hint="eastAsia" w:ascii="宋体" w:hAnsi="宋体" w:eastAsia="宋体" w:cs="宋体"/>
          <w:b/>
          <w:snapToGrid w:val="0"/>
          <w:color w:val="auto"/>
          <w:kern w:val="0"/>
          <w:highlight w:val="none"/>
        </w:rPr>
        <w:t>第</w:t>
      </w:r>
      <w:bookmarkStart w:id="94" w:name="_Hlt69669171"/>
      <w:bookmarkEnd w:id="94"/>
      <w:r>
        <w:rPr>
          <w:rFonts w:hint="eastAsia" w:ascii="宋体" w:hAnsi="宋体" w:eastAsia="宋体" w:cs="宋体"/>
          <w:b/>
          <w:snapToGrid w:val="0"/>
          <w:color w:val="auto"/>
          <w:kern w:val="0"/>
          <w:highlight w:val="none"/>
        </w:rPr>
        <w:t>二章</w:t>
      </w:r>
      <w:bookmarkStart w:id="95" w:name="_Hlt87793839"/>
      <w:bookmarkEnd w:id="95"/>
      <w:r>
        <w:rPr>
          <w:rFonts w:hint="eastAsia" w:ascii="宋体" w:hAnsi="宋体" w:eastAsia="宋体" w:cs="宋体"/>
          <w:b/>
          <w:snapToGrid w:val="0"/>
          <w:color w:val="auto"/>
          <w:kern w:val="0"/>
          <w:highlight w:val="none"/>
        </w:rPr>
        <w:t xml:space="preserve"> 中标人须知</w:t>
      </w:r>
      <w:bookmarkEnd w:id="89"/>
      <w:bookmarkEnd w:id="90"/>
    </w:p>
    <w:bookmarkEnd w:id="91"/>
    <w:bookmarkEnd w:id="92"/>
    <w:bookmarkEnd w:id="93"/>
    <w:p>
      <w:pPr>
        <w:wordWrap w:val="0"/>
        <w:adjustRightInd w:val="0"/>
        <w:snapToGrid w:val="0"/>
        <w:spacing w:line="440" w:lineRule="exact"/>
        <w:ind w:firstLine="562"/>
        <w:outlineLvl w:val="9"/>
        <w:rPr>
          <w:rFonts w:hint="eastAsia" w:ascii="宋体" w:hAnsi="宋体" w:eastAsia="宋体" w:cs="宋体"/>
          <w:b/>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1"/>
        <w:rPr>
          <w:rFonts w:hint="eastAsia" w:ascii="宋体" w:hAnsi="宋体" w:eastAsia="宋体" w:cs="宋体"/>
          <w:snapToGrid w:val="0"/>
          <w:color w:val="auto"/>
          <w:kern w:val="0"/>
          <w:highlight w:val="none"/>
        </w:rPr>
      </w:pPr>
      <w:bookmarkStart w:id="96" w:name="_Toc21226"/>
      <w:r>
        <w:rPr>
          <w:rFonts w:hint="eastAsia" w:ascii="宋体" w:hAnsi="宋体" w:eastAsia="宋体" w:cs="宋体"/>
          <w:b/>
          <w:snapToGrid w:val="0"/>
          <w:color w:val="auto"/>
          <w:kern w:val="0"/>
          <w:highlight w:val="none"/>
        </w:rPr>
        <w:t>1．中标通知书</w:t>
      </w:r>
      <w:bookmarkEnd w:id="96"/>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r>
        <w:rPr>
          <w:rFonts w:hint="eastAsia" w:ascii="宋体" w:hAnsi="宋体" w:eastAsia="宋体" w:cs="宋体"/>
          <w:snapToGrid w:val="0"/>
          <w:color w:val="auto"/>
          <w:kern w:val="0"/>
          <w:highlight w:val="none"/>
          <w:lang w:eastAsia="zh-CN"/>
        </w:rPr>
        <w:t>中标通知书发出后，业主单位将对监理单位拟派工作人员进行政审，政审不合格人员，中标单位需进行替换，且替换人员的专业资质不得低于投标文件中拟派人员专业资质。如中标单位拒不替换，我方有权拒绝签订合同，重新确定中标单位。</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1"/>
        <w:rPr>
          <w:rFonts w:hint="eastAsia" w:ascii="宋体" w:hAnsi="宋体" w:eastAsia="宋体" w:cs="宋体"/>
          <w:snapToGrid w:val="0"/>
          <w:color w:val="auto"/>
          <w:kern w:val="0"/>
          <w:highlight w:val="none"/>
        </w:rPr>
      </w:pPr>
      <w:bookmarkStart w:id="97" w:name="_Toc14626"/>
      <w:r>
        <w:rPr>
          <w:rFonts w:hint="eastAsia" w:ascii="宋体" w:hAnsi="宋体" w:eastAsia="宋体" w:cs="宋体"/>
          <w:b/>
          <w:bCs/>
          <w:snapToGrid w:val="0"/>
          <w:color w:val="auto"/>
          <w:kern w:val="0"/>
          <w:highlight w:val="none"/>
        </w:rPr>
        <w:t>2．中标结果公示</w:t>
      </w:r>
      <w:bookmarkEnd w:id="97"/>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中标通知书发出后15日内，招标人应将中标结果在广东省招标投标监管网（http://zbtb.gd.gov.cn）及</w:t>
      </w:r>
      <w:r>
        <w:rPr>
          <w:rStyle w:val="146"/>
          <w:rFonts w:hint="eastAsia" w:ascii="宋体" w:hAnsi="宋体" w:eastAsia="宋体" w:cs="宋体"/>
          <w:color w:val="auto"/>
          <w:kern w:val="0"/>
          <w:sz w:val="24"/>
          <w:szCs w:val="24"/>
          <w:highlight w:val="none"/>
        </w:rPr>
        <w:t>广东省公共资源交易平台（韶关市）（https://ygp.gdzwfw.gov.cn/ggzy-portal/#/440200/index）</w:t>
      </w:r>
      <w:r>
        <w:rPr>
          <w:rFonts w:hint="eastAsia" w:ascii="宋体" w:hAnsi="宋体" w:eastAsia="宋体" w:cs="宋体"/>
          <w:snapToGrid w:val="0"/>
          <w:color w:val="auto"/>
          <w:kern w:val="0"/>
          <w:highlight w:val="none"/>
        </w:rPr>
        <w:t>进行公示。</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1"/>
        <w:rPr>
          <w:rFonts w:hint="eastAsia" w:ascii="宋体" w:hAnsi="宋体" w:eastAsia="宋体" w:cs="宋体"/>
          <w:snapToGrid w:val="0"/>
          <w:color w:val="auto"/>
          <w:kern w:val="0"/>
          <w:highlight w:val="none"/>
        </w:rPr>
      </w:pPr>
      <w:bookmarkStart w:id="98" w:name="_Toc574"/>
      <w:r>
        <w:rPr>
          <w:rFonts w:hint="eastAsia" w:ascii="宋体" w:hAnsi="宋体" w:eastAsia="宋体" w:cs="宋体"/>
          <w:b/>
          <w:bCs/>
          <w:snapToGrid w:val="0"/>
          <w:color w:val="auto"/>
          <w:kern w:val="0"/>
          <w:highlight w:val="none"/>
        </w:rPr>
        <w:t>3．履约保证</w:t>
      </w:r>
      <w:bookmarkEnd w:id="98"/>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3.1</w:t>
      </w:r>
      <w:r>
        <w:rPr>
          <w:rFonts w:hint="eastAsia" w:ascii="宋体" w:hAnsi="宋体" w:eastAsia="宋体" w:cs="宋体"/>
          <w:snapToGrid w:val="0"/>
          <w:color w:val="auto"/>
          <w:kern w:val="0"/>
          <w:highlight w:val="none"/>
        </w:rPr>
        <w:t xml:space="preserve"> 中标人须在领取中标通知书之日起</w:t>
      </w:r>
      <w:r>
        <w:rPr>
          <w:rFonts w:hint="eastAsia" w:hAnsi="宋体" w:cs="宋体"/>
          <w:snapToGrid w:val="0"/>
          <w:color w:val="auto"/>
          <w:kern w:val="0"/>
          <w:highlight w:val="none"/>
          <w:u w:val="single"/>
          <w:lang w:val="en-US" w:eastAsia="zh-CN"/>
        </w:rPr>
        <w:t>5</w:t>
      </w:r>
      <w:r>
        <w:rPr>
          <w:rFonts w:hint="eastAsia" w:ascii="宋体" w:hAnsi="宋体" w:eastAsia="宋体" w:cs="宋体"/>
          <w:snapToGrid w:val="0"/>
          <w:color w:val="auto"/>
          <w:kern w:val="0"/>
          <w:highlight w:val="none"/>
        </w:rPr>
        <w:t>个工作日内、签订合同前向招标人提交金额为中标价</w:t>
      </w:r>
      <w:r>
        <w:rPr>
          <w:rFonts w:hint="eastAsia" w:ascii="宋体" w:hAnsi="宋体" w:eastAsia="宋体" w:cs="宋体"/>
          <w:snapToGrid w:val="0"/>
          <w:color w:val="auto"/>
          <w:kern w:val="0"/>
          <w:highlight w:val="none"/>
          <w:u w:val="single"/>
        </w:rPr>
        <w:t xml:space="preserve"> 5 </w:t>
      </w:r>
      <w:r>
        <w:rPr>
          <w:rFonts w:hint="eastAsia" w:ascii="宋体" w:hAnsi="宋体" w:eastAsia="宋体" w:cs="宋体"/>
          <w:snapToGrid w:val="0"/>
          <w:color w:val="auto"/>
          <w:kern w:val="0"/>
          <w:highlight w:val="none"/>
        </w:rPr>
        <w:t>%的履约保证。</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2"/>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3.2</w:t>
      </w:r>
      <w:r>
        <w:rPr>
          <w:rFonts w:hint="eastAsia" w:ascii="宋体" w:hAnsi="宋体" w:eastAsia="宋体" w:cs="宋体"/>
          <w:snapToGrid w:val="0"/>
          <w:color w:val="auto"/>
          <w:kern w:val="0"/>
          <w:highlight w:val="none"/>
        </w:rPr>
        <w:t xml:space="preserve"> 履约保证的形式包括履约保证金、履约保证担保、履约保证保险三种，由中标人自主选择。</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（1）采用履约保证金的，中标人须从其法人开户银行的账号将履约保证金划至招标人账户，并详细注明项目名称及用途。</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（2）采用履约保证担保</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
          <w:color w:val="auto"/>
          <w:sz w:val="24"/>
          <w:szCs w:val="24"/>
          <w:highlight w:val="none"/>
        </w:rPr>
        <w:t>保函类型为见索即付银行保函,保函格式详见本章附件，必须按招标人提供的格式开具保函</w:t>
      </w:r>
      <w:r>
        <w:rPr>
          <w:rFonts w:hint="eastAsia" w:ascii="宋体" w:hAnsi="宋体" w:eastAsia="宋体" w:cs="宋体"/>
          <w:b w:val="0"/>
          <w:bCs/>
          <w:color w:val="auto"/>
          <w:sz w:val="24"/>
          <w:szCs w:val="24"/>
          <w:highlight w:val="none"/>
          <w:lang w:eastAsia="zh-CN"/>
        </w:rPr>
        <w:t>）</w:t>
      </w:r>
      <w:r>
        <w:rPr>
          <w:rFonts w:hint="eastAsia" w:ascii="宋体" w:hAnsi="宋体" w:eastAsia="宋体" w:cs="宋体"/>
          <w:snapToGrid w:val="0"/>
          <w:color w:val="auto"/>
          <w:kern w:val="0"/>
          <w:highlight w:val="none"/>
        </w:rPr>
        <w:t>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工程竣工日期的，保证期间按照变更后的竣工日期做相应调整”或类似约定的条款。</w:t>
      </w:r>
      <w:r>
        <w:rPr>
          <w:rFonts w:hint="eastAsia" w:ascii="宋体" w:hAnsi="宋体" w:eastAsia="宋体" w:cs="宋体"/>
          <w:b/>
          <w:bCs/>
          <w:snapToGrid w:val="0"/>
          <w:color w:val="auto"/>
          <w:kern w:val="0"/>
          <w:highlight w:val="none"/>
        </w:rPr>
        <w:t>无论何种原因，中标人应在履约保证担保或履约保证保险过期</w:t>
      </w:r>
      <w:r>
        <w:rPr>
          <w:rFonts w:hint="eastAsia" w:ascii="宋体" w:hAnsi="宋体" w:eastAsia="宋体" w:cs="宋体"/>
          <w:b/>
          <w:bCs/>
          <w:snapToGrid w:val="0"/>
          <w:color w:val="auto"/>
          <w:kern w:val="0"/>
          <w:highlight w:val="none"/>
          <w:lang w:eastAsia="zh-CN"/>
        </w:rPr>
        <w:t>前</w:t>
      </w:r>
      <w:r>
        <w:rPr>
          <w:rFonts w:hint="eastAsia" w:ascii="宋体" w:hAnsi="宋体" w:eastAsia="宋体" w:cs="宋体"/>
          <w:b/>
          <w:bCs/>
          <w:snapToGrid w:val="0"/>
          <w:color w:val="auto"/>
          <w:kern w:val="0"/>
          <w:highlight w:val="none"/>
          <w:lang w:val="en-US" w:eastAsia="zh-CN"/>
        </w:rPr>
        <w:t>一个月</w:t>
      </w:r>
      <w:r>
        <w:rPr>
          <w:rFonts w:hint="eastAsia" w:ascii="宋体" w:hAnsi="宋体" w:eastAsia="宋体" w:cs="宋体"/>
          <w:b/>
          <w:bCs/>
          <w:snapToGrid w:val="0"/>
          <w:color w:val="auto"/>
          <w:kern w:val="0"/>
          <w:highlight w:val="none"/>
        </w:rPr>
        <w:t>内进行续期或补缴等额资金作为履约保证金，否则，招标人有权拒付工程款。</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3.3</w:t>
      </w:r>
      <w:r>
        <w:rPr>
          <w:rFonts w:hint="eastAsia" w:ascii="宋体" w:hAnsi="宋体" w:eastAsia="宋体" w:cs="宋体"/>
          <w:snapToGrid w:val="0"/>
          <w:color w:val="auto"/>
          <w:kern w:val="0"/>
          <w:highlight w:val="none"/>
        </w:rPr>
        <w:t xml:space="preserve"> 中标人在</w:t>
      </w:r>
      <w:r>
        <w:rPr>
          <w:rFonts w:hint="eastAsia" w:ascii="宋体" w:hAnsi="宋体" w:eastAsia="宋体" w:cs="宋体"/>
          <w:snapToGrid w:val="0"/>
          <w:color w:val="auto"/>
          <w:kern w:val="0"/>
          <w:highlight w:val="none"/>
          <w:lang w:eastAsia="zh-CN"/>
        </w:rPr>
        <w:t>招标人发出</w:t>
      </w:r>
      <w:r>
        <w:rPr>
          <w:rFonts w:hint="eastAsia" w:ascii="宋体" w:hAnsi="宋体" w:eastAsia="宋体" w:cs="宋体"/>
          <w:snapToGrid w:val="0"/>
          <w:color w:val="auto"/>
          <w:kern w:val="0"/>
          <w:highlight w:val="none"/>
        </w:rPr>
        <w:t>中标通知书之日起</w:t>
      </w:r>
      <w:r>
        <w:rPr>
          <w:rFonts w:hint="eastAsia" w:hAnsi="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个工作日内仍未提交履约保证的，招标人发出第一次提醒函；在</w:t>
      </w:r>
      <w:r>
        <w:rPr>
          <w:rFonts w:hint="eastAsia" w:ascii="宋体" w:hAnsi="宋体" w:eastAsia="宋体" w:cs="宋体"/>
          <w:snapToGrid w:val="0"/>
          <w:color w:val="auto"/>
          <w:kern w:val="0"/>
          <w:highlight w:val="none"/>
          <w:lang w:eastAsia="zh-CN"/>
        </w:rPr>
        <w:t>发出</w:t>
      </w:r>
      <w:r>
        <w:rPr>
          <w:rFonts w:hint="eastAsia" w:ascii="宋体" w:hAnsi="宋体" w:eastAsia="宋体" w:cs="宋体"/>
          <w:snapToGrid w:val="0"/>
          <w:color w:val="auto"/>
          <w:kern w:val="0"/>
          <w:highlight w:val="none"/>
        </w:rPr>
        <w:t>中标通知书之日起</w:t>
      </w:r>
      <w:r>
        <w:rPr>
          <w:rFonts w:hint="eastAsia" w:hAnsi="宋体" w:cs="宋体"/>
          <w:snapToGrid w:val="0"/>
          <w:color w:val="auto"/>
          <w:kern w:val="0"/>
          <w:highlight w:val="none"/>
          <w:lang w:val="en-US" w:eastAsia="zh-CN"/>
        </w:rPr>
        <w:t>15</w:t>
      </w:r>
      <w:r>
        <w:rPr>
          <w:rFonts w:hint="eastAsia" w:ascii="宋体" w:hAnsi="宋体" w:eastAsia="宋体" w:cs="宋体"/>
          <w:snapToGrid w:val="0"/>
          <w:color w:val="auto"/>
          <w:kern w:val="0"/>
          <w:highlight w:val="none"/>
        </w:rPr>
        <w:t>个工作日内仍未提交的，招标人发出第二次提醒函；在</w:t>
      </w:r>
      <w:r>
        <w:rPr>
          <w:rFonts w:hint="eastAsia" w:ascii="宋体" w:hAnsi="宋体" w:eastAsia="宋体" w:cs="宋体"/>
          <w:snapToGrid w:val="0"/>
          <w:color w:val="auto"/>
          <w:kern w:val="0"/>
          <w:highlight w:val="none"/>
          <w:lang w:eastAsia="zh-CN"/>
        </w:rPr>
        <w:t>发出</w:t>
      </w:r>
      <w:r>
        <w:rPr>
          <w:rFonts w:hint="eastAsia" w:ascii="宋体" w:hAnsi="宋体" w:eastAsia="宋体" w:cs="宋体"/>
          <w:snapToGrid w:val="0"/>
          <w:color w:val="auto"/>
          <w:kern w:val="0"/>
          <w:highlight w:val="none"/>
        </w:rPr>
        <w:t>中标通知书之日起</w:t>
      </w:r>
      <w:r>
        <w:rPr>
          <w:rFonts w:hint="eastAsia" w:hAnsi="宋体" w:cs="宋体"/>
          <w:snapToGrid w:val="0"/>
          <w:color w:val="auto"/>
          <w:kern w:val="0"/>
          <w:highlight w:val="none"/>
          <w:lang w:val="en-US" w:eastAsia="zh-CN"/>
        </w:rPr>
        <w:t>20</w:t>
      </w:r>
      <w:r>
        <w:rPr>
          <w:rFonts w:hint="eastAsia" w:ascii="宋体" w:hAnsi="宋体" w:eastAsia="宋体" w:cs="宋体"/>
          <w:snapToGrid w:val="0"/>
          <w:color w:val="auto"/>
          <w:kern w:val="0"/>
          <w:highlight w:val="none"/>
        </w:rPr>
        <w:t>个工作日内仍未提交的，视其放弃中标。并由招标人通报建设行政管理部门。如采用商业保函、银行保函或保险合同方式缴纳履约保证金，在保函或保险合同到期前一个月，中标人须主动办理续期手续或提交新的商业保函、银行保函或保险合同。</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3.4</w:t>
      </w:r>
      <w:r>
        <w:rPr>
          <w:rFonts w:hint="eastAsia" w:ascii="宋体" w:hAnsi="宋体" w:eastAsia="宋体" w:cs="宋体"/>
          <w:snapToGrid w:val="0"/>
          <w:color w:val="auto"/>
          <w:kern w:val="0"/>
          <w:highlight w:val="none"/>
        </w:rPr>
        <w:t xml:space="preserve"> 在监理实施过程中，如果监理人（即招标阶段的中标人，下同）不履行合同约定的义务或其履行不符合合同的约定，委托人（即招标阶段的招标人，下同）有权扣划相应金额的履约保证。</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3.5</w:t>
      </w:r>
      <w:r>
        <w:rPr>
          <w:rFonts w:hint="eastAsia" w:ascii="宋体" w:hAnsi="宋体" w:eastAsia="宋体" w:cs="宋体"/>
          <w:snapToGrid w:val="0"/>
          <w:color w:val="auto"/>
          <w:kern w:val="0"/>
          <w:highlight w:val="none"/>
        </w:rPr>
        <w:t xml:space="preserve"> 项目通过竣工验收之日后28天内，委托人将履约保证退还给监理人。</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b/>
          <w:bCs/>
          <w:snapToGrid w:val="0"/>
          <w:color w:val="auto"/>
          <w:kern w:val="0"/>
          <w:highlight w:val="none"/>
        </w:rPr>
      </w:pPr>
      <w:bookmarkStart w:id="99" w:name="_Toc3277"/>
      <w:r>
        <w:rPr>
          <w:rFonts w:hint="eastAsia" w:ascii="宋体" w:hAnsi="宋体" w:eastAsia="宋体" w:cs="宋体"/>
          <w:b/>
          <w:bCs/>
          <w:snapToGrid w:val="0"/>
          <w:color w:val="auto"/>
          <w:kern w:val="0"/>
          <w:highlight w:val="none"/>
        </w:rPr>
        <w:t>4．合同订立</w:t>
      </w:r>
      <w:bookmarkEnd w:id="99"/>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4.1</w:t>
      </w:r>
      <w:r>
        <w:rPr>
          <w:rFonts w:hint="eastAsia" w:ascii="宋体" w:hAnsi="宋体" w:eastAsia="宋体" w:cs="宋体"/>
          <w:snapToGrid w:val="0"/>
          <w:color w:val="auto"/>
          <w:kern w:val="0"/>
          <w:highlight w:val="none"/>
        </w:rPr>
        <w:t xml:space="preserve"> 招标人应当自中标通知书发出之日起</w:t>
      </w:r>
      <w:r>
        <w:rPr>
          <w:rFonts w:hint="eastAsia" w:ascii="宋体" w:hAnsi="宋体" w:eastAsia="宋体" w:cs="宋体"/>
          <w:snapToGrid w:val="0"/>
          <w:color w:val="auto"/>
          <w:kern w:val="0"/>
          <w:highlight w:val="none"/>
          <w:u w:val="single"/>
        </w:rPr>
        <w:t xml:space="preserve"> 30 </w:t>
      </w:r>
      <w:r>
        <w:rPr>
          <w:rFonts w:hint="eastAsia" w:ascii="宋体" w:hAnsi="宋体" w:eastAsia="宋体" w:cs="宋体"/>
          <w:snapToGrid w:val="0"/>
          <w:color w:val="auto"/>
          <w:kern w:val="0"/>
          <w:highlight w:val="none"/>
        </w:rPr>
        <w:t>日内，按照招标文件、中标人的投标文件与中标人订立书面合同。</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4.2</w:t>
      </w:r>
      <w:r>
        <w:rPr>
          <w:rFonts w:hint="eastAsia" w:ascii="宋体" w:hAnsi="宋体" w:eastAsia="宋体" w:cs="宋体"/>
          <w:snapToGrid w:val="0"/>
          <w:color w:val="auto"/>
          <w:kern w:val="0"/>
          <w:highlight w:val="none"/>
        </w:rPr>
        <w:t xml:space="preserve"> 合同的标的、质量、履行期限条款和合同的价款、风险分担等主要条款，应当与招标文件、中标人的投标文件的内容一致。中标人在签订合同时不得向招标人提出附加条件。</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4.3</w:t>
      </w:r>
      <w:r>
        <w:rPr>
          <w:rFonts w:hint="eastAsia" w:ascii="宋体" w:hAnsi="宋体" w:eastAsia="宋体" w:cs="宋体"/>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4.4</w:t>
      </w:r>
      <w:r>
        <w:rPr>
          <w:rFonts w:hint="eastAsia" w:ascii="宋体" w:hAnsi="宋体" w:eastAsia="宋体" w:cs="宋体"/>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snapToGrid w:val="0"/>
          <w:color w:val="auto"/>
          <w:kern w:val="0"/>
          <w:highlight w:val="none"/>
        </w:rPr>
      </w:pPr>
      <w:bookmarkStart w:id="100" w:name="_Toc28650"/>
      <w:r>
        <w:rPr>
          <w:rFonts w:hint="eastAsia" w:ascii="宋体" w:hAnsi="宋体" w:eastAsia="宋体" w:cs="宋体"/>
          <w:b/>
          <w:bCs/>
          <w:snapToGrid w:val="0"/>
          <w:color w:val="auto"/>
          <w:kern w:val="0"/>
          <w:highlight w:val="none"/>
        </w:rPr>
        <w:t>5．放弃中标的处理</w:t>
      </w:r>
      <w:bookmarkEnd w:id="100"/>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5.1</w:t>
      </w:r>
      <w:r>
        <w:rPr>
          <w:rFonts w:hint="eastAsia" w:ascii="宋体" w:hAnsi="宋体" w:eastAsia="宋体" w:cs="宋体"/>
          <w:snapToGrid w:val="0"/>
          <w:color w:val="auto"/>
          <w:kern w:val="0"/>
          <w:highlight w:val="none"/>
        </w:rPr>
        <w:t xml:space="preserve"> 中标人</w:t>
      </w:r>
      <w:r>
        <w:rPr>
          <w:rFonts w:hint="eastAsia" w:ascii="宋体" w:hAnsi="宋体" w:eastAsia="宋体" w:cs="宋体"/>
          <w:snapToGrid w:val="0"/>
          <w:color w:val="auto"/>
          <w:highlight w:val="none"/>
        </w:rPr>
        <w:t>无正当理由放弃中标的，</w:t>
      </w:r>
      <w:r>
        <w:rPr>
          <w:rFonts w:hint="eastAsia" w:ascii="宋体" w:hAnsi="宋体" w:eastAsia="宋体" w:cs="宋体"/>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宋体" w:hAnsi="宋体" w:eastAsia="宋体" w:cs="宋体"/>
          <w:bCs/>
          <w:snapToGrid w:val="0"/>
          <w:color w:val="auto"/>
          <w:kern w:val="0"/>
          <w:highlight w:val="none"/>
        </w:rPr>
        <w:t>因此种情况造成招标人重新招标的</w:t>
      </w:r>
      <w:r>
        <w:rPr>
          <w:rFonts w:hint="eastAsia" w:ascii="宋体" w:hAnsi="宋体" w:eastAsia="宋体" w:cs="宋体"/>
          <w:snapToGrid w:val="0"/>
          <w:color w:val="auto"/>
          <w:kern w:val="0"/>
          <w:highlight w:val="none"/>
        </w:rPr>
        <w:t>，招标人可不接受该弃标人再次投标。同时，招标人应将该弃标人的失信行为向行政监督部门报告。</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5.2</w:t>
      </w:r>
      <w:r>
        <w:rPr>
          <w:rFonts w:hint="eastAsia" w:ascii="宋体" w:hAnsi="宋体" w:eastAsia="宋体" w:cs="宋体"/>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snapToGrid w:val="0"/>
          <w:color w:val="auto"/>
          <w:kern w:val="0"/>
          <w:highlight w:val="none"/>
        </w:rPr>
      </w:pPr>
      <w:bookmarkStart w:id="101" w:name="_Toc24806"/>
      <w:r>
        <w:rPr>
          <w:rFonts w:hint="eastAsia" w:ascii="宋体" w:hAnsi="宋体" w:eastAsia="宋体" w:cs="宋体"/>
          <w:b/>
          <w:bCs/>
          <w:snapToGrid w:val="0"/>
          <w:color w:val="auto"/>
          <w:kern w:val="0"/>
          <w:highlight w:val="none"/>
        </w:rPr>
        <w:t>6．分包</w:t>
      </w:r>
      <w:bookmarkEnd w:id="101"/>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合同范围内的监理服务严禁分包，一经发现，委托人有权解除合同，由此引起的一切经济损失和法律责任由监理人自行承担。</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snapToGrid w:val="0"/>
          <w:color w:val="auto"/>
          <w:kern w:val="0"/>
          <w:highlight w:val="none"/>
        </w:rPr>
      </w:pPr>
      <w:bookmarkStart w:id="102" w:name="_Toc5859"/>
      <w:r>
        <w:rPr>
          <w:rFonts w:hint="eastAsia" w:ascii="宋体" w:hAnsi="宋体" w:eastAsia="宋体" w:cs="宋体"/>
          <w:b/>
          <w:bCs/>
          <w:snapToGrid w:val="0"/>
          <w:color w:val="auto"/>
          <w:kern w:val="0"/>
          <w:highlight w:val="none"/>
        </w:rPr>
        <w:t>7．诚信登记</w:t>
      </w:r>
      <w:bookmarkEnd w:id="102"/>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监理人在签订合同之日起30日内，须按《韶关市住建管理局关于加强我市建筑行业企业及注册执业人员诚信管理的通知》（韶市建字〔2018）56号）的要求办理诚信登记，纳入诚信管理范围。</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b/>
          <w:bCs/>
          <w:snapToGrid w:val="0"/>
          <w:color w:val="auto"/>
          <w:kern w:val="0"/>
          <w:highlight w:val="none"/>
        </w:rPr>
      </w:pPr>
      <w:bookmarkStart w:id="103" w:name="_Toc4685"/>
      <w:r>
        <w:rPr>
          <w:rFonts w:hint="eastAsia" w:ascii="宋体" w:hAnsi="宋体" w:eastAsia="宋体" w:cs="宋体"/>
          <w:b/>
          <w:bCs/>
          <w:snapToGrid w:val="0"/>
          <w:color w:val="auto"/>
          <w:kern w:val="0"/>
          <w:highlight w:val="none"/>
        </w:rPr>
        <w:t>8．监理服务期限</w:t>
      </w:r>
      <w:bookmarkEnd w:id="103"/>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8.1</w:t>
      </w:r>
      <w:r>
        <w:rPr>
          <w:rFonts w:hint="eastAsia" w:ascii="宋体" w:hAnsi="宋体" w:eastAsia="宋体" w:cs="宋体"/>
          <w:snapToGrid w:val="0"/>
          <w:color w:val="auto"/>
          <w:kern w:val="0"/>
          <w:highlight w:val="none"/>
        </w:rPr>
        <w:t xml:space="preserve"> 当满足专用合同条款约定的开始监理条件时，委托人应提前7天向监理人发出开始监理通知。监理服务期限自开始监理通知中载明的开始监理日期起计算。</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8.2</w:t>
      </w:r>
      <w:r>
        <w:rPr>
          <w:rFonts w:hint="eastAsia" w:ascii="宋体" w:hAnsi="宋体" w:eastAsia="宋体" w:cs="宋体"/>
          <w:snapToGrid w:val="0"/>
          <w:color w:val="auto"/>
          <w:kern w:val="0"/>
          <w:highlight w:val="none"/>
        </w:rPr>
        <w:t xml:space="preserve"> 在合同履行过程中，由于下列原因造成监理服务期限延误的，委托人应当延长监理服务期限并增加监理酬金，具体方法在专用合同条款中约定。</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（1）合同变更；</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（2）因委托人原因导致的监理工作暂停；</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（3）未按合同约定及时支付监理服务酬金；</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（4）未及时履行合同约定的相关义务；</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（5）由于承包人（指在</w:t>
      </w:r>
      <w:r>
        <w:rPr>
          <w:rFonts w:hint="eastAsia" w:ascii="宋体" w:hAnsi="宋体" w:eastAsia="宋体" w:cs="宋体"/>
          <w:snapToGrid w:val="0"/>
          <w:color w:val="auto"/>
          <w:kern w:val="0"/>
          <w:highlight w:val="none"/>
          <w:lang w:eastAsia="zh-CN"/>
        </w:rPr>
        <w:t>本招标项目</w:t>
      </w:r>
      <w:r>
        <w:rPr>
          <w:rFonts w:hint="eastAsia" w:ascii="宋体" w:hAnsi="宋体" w:eastAsia="宋体" w:cs="宋体"/>
          <w:snapToGrid w:val="0"/>
          <w:color w:val="auto"/>
          <w:kern w:val="0"/>
          <w:highlight w:val="none"/>
        </w:rPr>
        <w:t>监理范围内，与委托人签订勘察、设计、施工承包合同的当事人，下同）延误、行政管理造成的监理服务期限延误；</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（6）造成监理服务期限延误的其他原因。</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snapToGrid w:val="0"/>
          <w:color w:val="auto"/>
          <w:kern w:val="0"/>
          <w:highlight w:val="none"/>
        </w:rPr>
      </w:pPr>
      <w:bookmarkStart w:id="104" w:name="_Toc24416"/>
      <w:r>
        <w:rPr>
          <w:rFonts w:hint="eastAsia" w:ascii="宋体" w:hAnsi="宋体" w:eastAsia="宋体" w:cs="宋体"/>
          <w:b/>
          <w:bCs/>
          <w:snapToGrid w:val="0"/>
          <w:color w:val="auto"/>
          <w:kern w:val="0"/>
          <w:highlight w:val="none"/>
        </w:rPr>
        <w:t>9．项目监理机构</w:t>
      </w:r>
      <w:bookmarkEnd w:id="104"/>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9.1</w:t>
      </w:r>
      <w:r>
        <w:rPr>
          <w:rFonts w:hint="eastAsia" w:ascii="宋体" w:hAnsi="宋体" w:eastAsia="宋体" w:cs="宋体"/>
          <w:snapToGrid w:val="0"/>
          <w:color w:val="auto"/>
          <w:kern w:val="0"/>
          <w:highlight w:val="none"/>
        </w:rPr>
        <w:t xml:space="preserve"> 监理人派驻项目监理机构的人员必须为其投标文件确定的人员，否则委托人有权解除合同。</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9.2</w:t>
      </w:r>
      <w:r>
        <w:rPr>
          <w:rFonts w:hint="eastAsia" w:ascii="宋体" w:hAnsi="宋体" w:eastAsia="宋体" w:cs="宋体"/>
          <w:snapToGrid w:val="0"/>
          <w:color w:val="auto"/>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strike/>
          <w:snapToGrid w:val="0"/>
          <w:color w:val="auto"/>
          <w:kern w:val="0"/>
          <w:highlight w:val="none"/>
        </w:rPr>
      </w:pPr>
      <w:bookmarkStart w:id="105" w:name="_Toc13279"/>
      <w:r>
        <w:rPr>
          <w:rFonts w:hint="eastAsia" w:ascii="宋体" w:hAnsi="宋体" w:eastAsia="宋体" w:cs="宋体"/>
          <w:b/>
          <w:snapToGrid w:val="0"/>
          <w:color w:val="auto"/>
          <w:kern w:val="0"/>
          <w:highlight w:val="none"/>
        </w:rPr>
        <w:t>10．安全防护</w:t>
      </w:r>
      <w:bookmarkEnd w:id="105"/>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监理人应按照安全监理有关规定，采取严格、科学的安全防护措施，确保监理人员人身安全，承担由于自身安全防护措施不力所造成的安全事故责任和发生的费用。</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482" w:firstLineChars="200"/>
        <w:textAlignment w:val="auto"/>
        <w:outlineLvl w:val="1"/>
        <w:rPr>
          <w:rFonts w:hint="eastAsia" w:ascii="宋体" w:hAnsi="宋体" w:eastAsia="宋体" w:cs="宋体"/>
          <w:strike/>
          <w:snapToGrid w:val="0"/>
          <w:color w:val="auto"/>
          <w:kern w:val="0"/>
          <w:highlight w:val="none"/>
        </w:rPr>
      </w:pPr>
      <w:bookmarkStart w:id="106" w:name="_Toc22060"/>
      <w:r>
        <w:rPr>
          <w:rFonts w:hint="eastAsia" w:ascii="宋体" w:hAnsi="宋体" w:eastAsia="宋体" w:cs="宋体"/>
          <w:b/>
          <w:snapToGrid w:val="0"/>
          <w:color w:val="auto"/>
          <w:kern w:val="0"/>
          <w:highlight w:val="none"/>
        </w:rPr>
        <w:t>11．接受监督</w:t>
      </w:r>
      <w:bookmarkEnd w:id="106"/>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监理人应严格按照法律、法规以及</w:t>
      </w:r>
      <w:r>
        <w:rPr>
          <w:rFonts w:hint="eastAsia" w:ascii="宋体" w:hAnsi="宋体" w:eastAsia="宋体" w:cs="宋体"/>
          <w:bCs/>
          <w:snapToGrid w:val="0"/>
          <w:color w:val="auto"/>
          <w:kern w:val="0"/>
          <w:highlight w:val="none"/>
        </w:rPr>
        <w:t>《建设工程监理规范》（GB/T 50319—2013）有关规定实施监理，同时须</w:t>
      </w:r>
      <w:r>
        <w:rPr>
          <w:rFonts w:hint="eastAsia" w:ascii="宋体" w:hAnsi="宋体" w:eastAsia="宋体" w:cs="宋体"/>
          <w:snapToGrid w:val="0"/>
          <w:color w:val="auto"/>
          <w:kern w:val="0"/>
          <w:highlight w:val="none"/>
        </w:rPr>
        <w:t>服从委托人以及建设行政主管部门对监理工作全方位的监督，及时将监理大纲、监理规划、监理实施细则等监理文件报委托人审查备案。</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bCs/>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1"/>
        <w:rPr>
          <w:rFonts w:hint="eastAsia" w:ascii="宋体" w:hAnsi="宋体" w:eastAsia="宋体" w:cs="宋体"/>
          <w:bCs/>
          <w:snapToGrid w:val="0"/>
          <w:color w:val="auto"/>
          <w:kern w:val="0"/>
          <w:highlight w:val="none"/>
        </w:rPr>
      </w:pPr>
      <w:bookmarkStart w:id="107" w:name="_Toc22301"/>
      <w:r>
        <w:rPr>
          <w:rFonts w:hint="eastAsia" w:ascii="宋体" w:hAnsi="宋体" w:eastAsia="宋体" w:cs="宋体"/>
          <w:b/>
          <w:snapToGrid w:val="0"/>
          <w:color w:val="auto"/>
          <w:kern w:val="0"/>
          <w:highlight w:val="none"/>
        </w:rPr>
        <w:t>12．监理档案移交</w:t>
      </w:r>
      <w:bookmarkEnd w:id="107"/>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工程竣工验收后，监理人应向委托人提交一式</w:t>
      </w:r>
      <w:r>
        <w:rPr>
          <w:rFonts w:hint="eastAsia" w:ascii="宋体" w:hAnsi="宋体" w:eastAsia="宋体" w:cs="宋体"/>
          <w:bCs/>
          <w:snapToGrid w:val="0"/>
          <w:color w:val="auto"/>
          <w:kern w:val="0"/>
          <w:highlight w:val="none"/>
          <w:u w:val="single"/>
        </w:rPr>
        <w:t xml:space="preserve"> 八 </w:t>
      </w:r>
      <w:r>
        <w:rPr>
          <w:rFonts w:hint="eastAsia" w:ascii="宋体" w:hAnsi="宋体" w:eastAsia="宋体" w:cs="宋体"/>
          <w:bCs/>
          <w:snapToGrid w:val="0"/>
          <w:color w:val="auto"/>
          <w:kern w:val="0"/>
          <w:highlight w:val="none"/>
        </w:rPr>
        <w:t>份符合《建设工程监理规范》（GB/T 50319—2013）以及《韶关市城市建设档案管理办法》要求的监理档案。</w:t>
      </w: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bCs/>
          <w:snapToGrid w:val="0"/>
          <w:color w:val="auto"/>
          <w:kern w:val="0"/>
          <w:highlight w:val="none"/>
        </w:rPr>
      </w:pPr>
    </w:p>
    <w:p>
      <w:pPr>
        <w:keepNext w:val="0"/>
        <w:keepLines w:val="0"/>
        <w:pageBreakBefore w:val="0"/>
        <w:widowControl w:val="0"/>
        <w:kinsoku/>
        <w:wordWrap w:val="0"/>
        <w:overflowPunct/>
        <w:topLinePunct w:val="0"/>
        <w:autoSpaceDE/>
        <w:autoSpaceDN/>
        <w:bidi w:val="0"/>
        <w:adjustRightInd w:val="0"/>
        <w:snapToGrid w:val="0"/>
        <w:spacing w:line="288" w:lineRule="auto"/>
        <w:ind w:firstLine="560"/>
        <w:textAlignment w:val="auto"/>
        <w:outlineLvl w:val="1"/>
        <w:rPr>
          <w:rFonts w:hint="eastAsia" w:ascii="宋体" w:hAnsi="宋体" w:eastAsia="宋体" w:cs="宋体"/>
          <w:strike/>
          <w:snapToGrid w:val="0"/>
          <w:color w:val="auto"/>
          <w:kern w:val="0"/>
          <w:highlight w:val="none"/>
        </w:rPr>
      </w:pPr>
      <w:bookmarkStart w:id="108" w:name="_Toc1842"/>
      <w:r>
        <w:rPr>
          <w:rFonts w:hint="eastAsia" w:ascii="宋体" w:hAnsi="宋体" w:eastAsia="宋体" w:cs="宋体"/>
          <w:b/>
          <w:bCs/>
          <w:snapToGrid w:val="0"/>
          <w:color w:val="auto"/>
          <w:kern w:val="0"/>
          <w:highlight w:val="none"/>
        </w:rPr>
        <w:t>13</w:t>
      </w:r>
      <w:r>
        <w:rPr>
          <w:rFonts w:hint="eastAsia" w:ascii="宋体" w:hAnsi="宋体" w:eastAsia="宋体" w:cs="宋体"/>
          <w:b/>
          <w:snapToGrid w:val="0"/>
          <w:color w:val="auto"/>
          <w:kern w:val="0"/>
          <w:highlight w:val="none"/>
        </w:rPr>
        <w:t>．不良行为处理</w:t>
      </w:r>
      <w:bookmarkEnd w:id="108"/>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（1）转让监理业务的；</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（2）非原参加投标中标的总监理工程师负责组织监理或在实施过程中擅自更换总监理工程师的、项目监理机构的其他监理人员与中标文件确定的人员不相符的；</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（3）与建设单位、施工单位串通，签认虚假工程量或工程造价的；</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（4）现场监理不到位的；</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（5）非本人资格证书注册单位从事监理工作的；</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（6）总监理工程师承担超过三项工程监理任务的；</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（7）违反有关法律、法规、规章规定的其它行为。</w:t>
      </w:r>
    </w:p>
    <w:p>
      <w:pPr>
        <w:pStyle w:val="75"/>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jc w:val="left"/>
        <w:textAlignment w:val="auto"/>
        <w:outlineLvl w:val="9"/>
        <w:rPr>
          <w:rFonts w:hint="eastAsia" w:ascii="宋体" w:hAnsi="宋体" w:eastAsia="宋体" w:cs="宋体"/>
          <w:snapToGrid w:val="0"/>
          <w:color w:val="auto"/>
          <w:kern w:val="0"/>
          <w:highlight w:val="none"/>
        </w:rPr>
      </w:pPr>
    </w:p>
    <w:p>
      <w:pPr>
        <w:pStyle w:val="75"/>
        <w:keepNext w:val="0"/>
        <w:keepLines w:val="0"/>
        <w:pageBreakBefore w:val="0"/>
        <w:widowControl w:val="0"/>
        <w:numPr>
          <w:ilvl w:val="0"/>
          <w:numId w:val="2"/>
        </w:numPr>
        <w:kinsoku/>
        <w:wordWrap w:val="0"/>
        <w:overflowPunct/>
        <w:topLinePunct w:val="0"/>
        <w:autoSpaceDE/>
        <w:autoSpaceDN/>
        <w:bidi w:val="0"/>
        <w:adjustRightInd w:val="0"/>
        <w:snapToGrid w:val="0"/>
        <w:spacing w:line="288" w:lineRule="auto"/>
        <w:ind w:firstLine="482" w:firstLineChars="200"/>
        <w:jc w:val="left"/>
        <w:textAlignment w:val="auto"/>
        <w:outlineLvl w:val="9"/>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信用评价条款内容（无）</w:t>
      </w:r>
    </w:p>
    <w:p>
      <w:pPr>
        <w:pStyle w:val="75"/>
        <w:keepNext w:val="0"/>
        <w:keepLines w:val="0"/>
        <w:pageBreakBefore w:val="0"/>
        <w:widowControl w:val="0"/>
        <w:numPr>
          <w:ilvl w:val="0"/>
          <w:numId w:val="0"/>
        </w:numPr>
        <w:kinsoku/>
        <w:wordWrap w:val="0"/>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snapToGrid w:val="0"/>
          <w:color w:val="auto"/>
          <w:kern w:val="0"/>
          <w:szCs w:val="28"/>
          <w:highlight w:val="none"/>
        </w:rPr>
      </w:pPr>
    </w:p>
    <w:p>
      <w:pPr>
        <w:pStyle w:val="67"/>
        <w:keepNext w:val="0"/>
        <w:keepLines w:val="0"/>
        <w:pageBreakBefore w:val="0"/>
        <w:widowControl w:val="0"/>
        <w:numPr>
          <w:ilvl w:val="0"/>
          <w:numId w:val="3"/>
        </w:numPr>
        <w:kinsoku/>
        <w:wordWrap w:val="0"/>
        <w:overflowPunct/>
        <w:topLinePunct w:val="0"/>
        <w:autoSpaceDE/>
        <w:autoSpaceDN/>
        <w:bidi w:val="0"/>
        <w:adjustRightInd w:val="0"/>
        <w:snapToGrid w:val="0"/>
        <w:spacing w:line="288" w:lineRule="auto"/>
        <w:ind w:firstLine="560"/>
        <w:textAlignment w:val="auto"/>
        <w:outlineLvl w:val="9"/>
        <w:rPr>
          <w:rFonts w:hint="eastAsia" w:ascii="宋体" w:hAnsi="宋体" w:eastAsia="宋体" w:cs="宋体"/>
          <w:b/>
          <w:bCs/>
          <w:snapToGrid w:val="0"/>
          <w:color w:val="auto"/>
          <w:kern w:val="0"/>
          <w:sz w:val="24"/>
          <w:szCs w:val="20"/>
          <w:highlight w:val="none"/>
          <w:lang w:val="en-US" w:eastAsia="zh-CN" w:bidi="ar-SA"/>
        </w:rPr>
      </w:pPr>
      <w:r>
        <w:rPr>
          <w:rFonts w:hint="eastAsia" w:ascii="宋体" w:hAnsi="宋体" w:eastAsia="宋体" w:cs="宋体"/>
          <w:b/>
          <w:bCs/>
          <w:snapToGrid w:val="0"/>
          <w:color w:val="auto"/>
          <w:kern w:val="0"/>
          <w:sz w:val="24"/>
          <w:szCs w:val="20"/>
          <w:highlight w:val="none"/>
          <w:lang w:val="en-US" w:eastAsia="zh-CN" w:bidi="ar-SA"/>
        </w:rPr>
        <w:t>其他事项</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15.1</w:t>
      </w:r>
      <w:r>
        <w:rPr>
          <w:rFonts w:hint="eastAsia" w:ascii="宋体" w:hAnsi="宋体" w:eastAsia="宋体" w:cs="宋体"/>
          <w:color w:val="auto"/>
          <w:szCs w:val="24"/>
          <w:highlight w:val="none"/>
        </w:rPr>
        <w:t xml:space="preserve"> 若由于监理单位的过错或失职，对委托人造成损失的，监理人必须依法承担赔偿责任。</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15.2 </w:t>
      </w:r>
      <w:r>
        <w:rPr>
          <w:rFonts w:hint="eastAsia" w:ascii="宋体" w:hAnsi="宋体" w:eastAsia="宋体" w:cs="宋体"/>
          <w:color w:val="auto"/>
          <w:szCs w:val="24"/>
          <w:highlight w:val="none"/>
        </w:rPr>
        <w:t>本工程质量</w:t>
      </w:r>
      <w:r>
        <w:rPr>
          <w:rFonts w:hint="eastAsia" w:ascii="宋体" w:hAnsi="宋体" w:eastAsia="宋体" w:cs="宋体"/>
          <w:color w:val="auto"/>
          <w:szCs w:val="24"/>
          <w:highlight w:val="none"/>
          <w:u w:val="single"/>
        </w:rPr>
        <w:t>必须达到合格标准</w:t>
      </w:r>
      <w:r>
        <w:rPr>
          <w:rFonts w:hint="eastAsia" w:ascii="宋体" w:hAnsi="宋体" w:eastAsia="宋体" w:cs="宋体"/>
          <w:color w:val="auto"/>
          <w:szCs w:val="24"/>
          <w:highlight w:val="none"/>
        </w:rPr>
        <w:t>。若因监理人原因，工程在竣工验收或分部工程验收时没有达到此标准，监理人按监理合同价款（指监理结算价款）的</w:t>
      </w:r>
      <w:r>
        <w:rPr>
          <w:rFonts w:hint="eastAsia" w:ascii="宋体" w:hAnsi="宋体" w:eastAsia="宋体" w:cs="宋体"/>
          <w:b/>
          <w:color w:val="auto"/>
          <w:szCs w:val="24"/>
          <w:highlight w:val="none"/>
          <w:u w:val="single"/>
        </w:rPr>
        <w:t xml:space="preserve"> </w:t>
      </w:r>
      <w:r>
        <w:rPr>
          <w:rFonts w:hint="eastAsia" w:ascii="宋体" w:hAnsi="宋体" w:eastAsia="宋体" w:cs="宋体"/>
          <w:b/>
          <w:color w:val="auto"/>
          <w:szCs w:val="24"/>
          <w:highlight w:val="none"/>
          <w:u w:val="single"/>
          <w:lang w:val="en-US" w:eastAsia="zh-CN"/>
        </w:rPr>
        <w:t>5</w:t>
      </w:r>
      <w:r>
        <w:rPr>
          <w:rFonts w:hint="eastAsia" w:ascii="宋体" w:hAnsi="宋体" w:eastAsia="宋体" w:cs="宋体"/>
          <w:b/>
          <w:color w:val="auto"/>
          <w:szCs w:val="24"/>
          <w:highlight w:val="none"/>
          <w:u w:val="single"/>
        </w:rPr>
        <w:t xml:space="preserve"> </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lang w:eastAsia="zh-CN"/>
        </w:rPr>
        <w:t>缴纳</w:t>
      </w:r>
      <w:r>
        <w:rPr>
          <w:rFonts w:hint="eastAsia" w:ascii="宋体" w:hAnsi="宋体" w:eastAsia="宋体" w:cs="宋体"/>
          <w:color w:val="auto"/>
          <w:szCs w:val="24"/>
          <w:highlight w:val="none"/>
        </w:rPr>
        <w:t>质量违约金。</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15.3 </w:t>
      </w:r>
      <w:r>
        <w:rPr>
          <w:rFonts w:hint="eastAsia" w:ascii="宋体" w:hAnsi="宋体" w:eastAsia="宋体" w:cs="宋体"/>
          <w:color w:val="auto"/>
          <w:szCs w:val="24"/>
          <w:highlight w:val="none"/>
        </w:rPr>
        <w:t>监理人必须按投标标书中的服务承诺条款履行合同。</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15.4 </w:t>
      </w:r>
      <w:r>
        <w:rPr>
          <w:rFonts w:hint="eastAsia" w:ascii="宋体" w:hAnsi="宋体" w:eastAsia="宋体" w:cs="宋体"/>
          <w:color w:val="auto"/>
          <w:szCs w:val="24"/>
          <w:highlight w:val="none"/>
        </w:rPr>
        <w:t>监理人若是韶关市以外的企业，则其提供的监理费发票必须是在本工程所在地的税务部门开具的，委托人收到符合要求的发票后方可支付监理费。</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15.5 </w:t>
      </w:r>
      <w:r>
        <w:rPr>
          <w:rFonts w:hint="eastAsia" w:ascii="宋体" w:hAnsi="宋体" w:eastAsia="宋体" w:cs="宋体"/>
          <w:color w:val="auto"/>
          <w:szCs w:val="24"/>
          <w:highlight w:val="none"/>
        </w:rPr>
        <w:t>监理人在监理期间应严格遵守国家、省、市有关防火、爆破和监理安全以及文明监理、深夜监理、环卫城管等规定，建立规章制度和防护措施。否则，由此造成的经济和法律责任，均由监理人负责。</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15.6</w:t>
      </w:r>
      <w:r>
        <w:rPr>
          <w:rFonts w:hint="eastAsia" w:ascii="宋体" w:hAnsi="宋体" w:eastAsia="宋体" w:cs="宋体"/>
          <w:color w:val="auto"/>
          <w:szCs w:val="24"/>
          <w:highlight w:val="none"/>
        </w:rPr>
        <w:t xml:space="preserve"> 监理人应按安全监理的要求，采取严格科学的安全措施，确保监理安全和第三者的安全，承担由于自身安全措施不力所造成的事故责任和发生的费用。</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15.7</w:t>
      </w:r>
      <w:r>
        <w:rPr>
          <w:rFonts w:hint="eastAsia" w:ascii="宋体" w:hAnsi="宋体" w:eastAsia="宋体" w:cs="宋体"/>
          <w:color w:val="auto"/>
          <w:szCs w:val="24"/>
          <w:highlight w:val="none"/>
        </w:rPr>
        <w:t xml:space="preserve"> 工程竣工验收后，监理人应向委托人提供符合现行《建设工程监理规范》（GB/t50319-2013）、《韶关市城市建设档案管理办法》及韶关市城市建设档案馆的要求（质量、数量），编制成册的监理档案资料（制作标准和相关要求按韶关市城市建设档案馆的有关规定执行），并承担档案涉及的所有费用。</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15.8 </w:t>
      </w:r>
      <w:r>
        <w:rPr>
          <w:rFonts w:hint="eastAsia" w:ascii="宋体" w:hAnsi="宋体" w:eastAsia="宋体" w:cs="宋体"/>
          <w:color w:val="auto"/>
          <w:szCs w:val="24"/>
          <w:highlight w:val="none"/>
        </w:rPr>
        <w:t>监理人须服从委托人及政府工程质量监督部门对监理工程全方位的监督，监理资料应及时报送委托人审查备案。</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15.9</w:t>
      </w:r>
      <w:r>
        <w:rPr>
          <w:rFonts w:hint="eastAsia" w:ascii="宋体" w:hAnsi="宋体" w:eastAsia="宋体" w:cs="宋体"/>
          <w:color w:val="auto"/>
          <w:szCs w:val="24"/>
          <w:highlight w:val="none"/>
        </w:rPr>
        <w:t xml:space="preserve"> 监理人在施工过程中若发生现场签证时，按委托人签证管理办法执行。</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15.10</w:t>
      </w:r>
      <w:r>
        <w:rPr>
          <w:rFonts w:hint="eastAsia" w:ascii="宋体" w:hAnsi="宋体" w:eastAsia="宋体" w:cs="宋体"/>
          <w:color w:val="auto"/>
          <w:szCs w:val="24"/>
          <w:highlight w:val="none"/>
        </w:rPr>
        <w:t xml:space="preserve"> 招标文件、招标答疑书、投标文件和中标通知书是委托人与监理人双方签订的施工监理合同的主要组成部分，并与合同一样，具有相同的法律效力。如中标通知书发出后，发现监理人的投标文件中有与招标文件所述内容及要求不符的，按招标文件执行。</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15.11</w:t>
      </w:r>
      <w:r>
        <w:rPr>
          <w:rFonts w:hint="eastAsia" w:ascii="宋体" w:hAnsi="宋体" w:eastAsia="宋体" w:cs="宋体"/>
          <w:color w:val="auto"/>
          <w:szCs w:val="24"/>
          <w:highlight w:val="none"/>
        </w:rPr>
        <w:t xml:space="preserve"> 投标报价应充分考虑在施工中由于委托人造成停工或工期延误等因素所产生的相关费用，委托人不予另计费；停工发生后，若可复工时，监理人应在收到委托人发出的复工通知书的当日通知施工单位复工，并安排现场监理人员及时到场进行现场监理。</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15.12</w:t>
      </w:r>
      <w:r>
        <w:rPr>
          <w:rFonts w:hint="eastAsia" w:ascii="宋体" w:hAnsi="宋体" w:eastAsia="宋体" w:cs="宋体"/>
          <w:color w:val="auto"/>
          <w:szCs w:val="24"/>
          <w:highlight w:val="none"/>
        </w:rPr>
        <w:t xml:space="preserve"> 监理人若在韶关市无固定服务场所和固定专业负责人的，则在合同签订后尽快完成驻韶固定办公场所办理和安排固定项目负责人及其他相关监理人员驻韶办公。</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15.13</w:t>
      </w:r>
      <w:r>
        <w:rPr>
          <w:rFonts w:hint="eastAsia" w:ascii="宋体" w:hAnsi="宋体" w:eastAsia="宋体" w:cs="宋体"/>
          <w:color w:val="auto"/>
          <w:szCs w:val="24"/>
          <w:highlight w:val="none"/>
        </w:rPr>
        <w:t xml:space="preserve"> 监理人拟派驻现场的监理机构组成人员数量须符合《广东省建设厅转发建设部关于印发&lt;</w:t>
      </w:r>
      <w:r>
        <w:rPr>
          <w:rFonts w:hint="eastAsia" w:ascii="宋体" w:hAnsi="宋体" w:eastAsia="宋体" w:cs="宋体"/>
          <w:color w:val="auto"/>
          <w:szCs w:val="24"/>
          <w:highlight w:val="none"/>
          <w:lang w:eastAsia="zh-CN"/>
        </w:rPr>
        <w:t>市政公用工程</w:t>
      </w:r>
      <w:r>
        <w:rPr>
          <w:rFonts w:hint="eastAsia" w:ascii="宋体" w:hAnsi="宋体" w:eastAsia="宋体" w:cs="宋体"/>
          <w:color w:val="auto"/>
          <w:szCs w:val="24"/>
          <w:highlight w:val="none"/>
        </w:rPr>
        <w:t>施工旁站监理管理办法（试行）&gt;的通知》（粤建管（2002）97号文》关于工程项目监理人数配置要求。同时，监理人派驻到工程所在地进行监理服务的监理人员，应能够胜任监理合同约定的监理服务工作。发包人有权以书面形式要求监理人更换不能按照监理合同的约定进行监理服务的派驻人员。</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15.14</w:t>
      </w:r>
      <w:r>
        <w:rPr>
          <w:rFonts w:hint="eastAsia" w:ascii="宋体" w:hAnsi="宋体" w:eastAsia="宋体" w:cs="宋体"/>
          <w:color w:val="auto"/>
          <w:szCs w:val="24"/>
          <w:highlight w:val="none"/>
        </w:rPr>
        <w:t>监理单位应在开工前向业主方提交派驻现场监理人员名单。</w:t>
      </w:r>
    </w:p>
    <w:p>
      <w:pPr>
        <w:keepNext w:val="0"/>
        <w:keepLines w:val="0"/>
        <w:pageBreakBefore w:val="0"/>
        <w:widowControl w:val="0"/>
        <w:kinsoku/>
        <w:overflowPunct/>
        <w:topLinePunct w:val="0"/>
        <w:autoSpaceDE/>
        <w:autoSpaceDN/>
        <w:bidi w:val="0"/>
        <w:adjustRightInd w:val="0"/>
        <w:snapToGrid w:val="0"/>
        <w:spacing w:line="288" w:lineRule="auto"/>
        <w:ind w:firstLine="482" w:firstLineChars="200"/>
        <w:textAlignment w:val="auto"/>
        <w:outlineLvl w:val="9"/>
        <w:rPr>
          <w:rFonts w:hint="eastAsia" w:ascii="宋体" w:hAnsi="宋体" w:eastAsia="宋体" w:cs="宋体"/>
          <w:b/>
          <w:bCs/>
          <w:snapToGrid w:val="0"/>
          <w:color w:val="auto"/>
          <w:kern w:val="0"/>
          <w:highlight w:val="none"/>
        </w:rPr>
      </w:pPr>
      <w:r>
        <w:rPr>
          <w:rFonts w:hint="eastAsia" w:ascii="宋体" w:hAnsi="宋体" w:eastAsia="宋体" w:cs="宋体"/>
          <w:b/>
          <w:bCs/>
          <w:color w:val="auto"/>
          <w:szCs w:val="24"/>
          <w:highlight w:val="none"/>
        </w:rPr>
        <w:t>15.1</w:t>
      </w:r>
      <w:r>
        <w:rPr>
          <w:rFonts w:hint="eastAsia" w:ascii="宋体" w:hAnsi="宋体" w:eastAsia="宋体" w:cs="宋体"/>
          <w:b/>
          <w:bCs/>
          <w:color w:val="auto"/>
          <w:szCs w:val="24"/>
          <w:highlight w:val="none"/>
          <w:lang w:val="en-US" w:eastAsia="zh-CN"/>
        </w:rPr>
        <w:t>5</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val="en-US" w:eastAsia="zh-CN"/>
        </w:rPr>
        <w:t>招标代理服务费与</w:t>
      </w:r>
      <w:r>
        <w:rPr>
          <w:rFonts w:hint="eastAsia" w:ascii="宋体" w:hAnsi="宋体" w:eastAsia="宋体" w:cs="宋体"/>
          <w:color w:val="auto"/>
          <w:kern w:val="0"/>
          <w:sz w:val="24"/>
          <w:szCs w:val="24"/>
          <w:highlight w:val="none"/>
        </w:rPr>
        <w:t>评标专家参加评标的相关费用（包括食宿费用、交通费、专家评审劳务费等）由中标人支付。中标人须在中标公告公示期结束后，领取《中标通知书》前，向招标代理机构缴纳</w:t>
      </w:r>
      <w:r>
        <w:rPr>
          <w:rFonts w:hint="eastAsia" w:ascii="宋体" w:hAnsi="宋体" w:eastAsia="宋体" w:cs="宋体"/>
          <w:color w:val="auto"/>
          <w:kern w:val="0"/>
          <w:sz w:val="24"/>
          <w:szCs w:val="24"/>
          <w:highlight w:val="none"/>
          <w:lang w:val="en-US" w:eastAsia="zh-CN"/>
        </w:rPr>
        <w:t>招标代理服务费与</w:t>
      </w:r>
      <w:r>
        <w:rPr>
          <w:rFonts w:hint="eastAsia" w:ascii="宋体" w:hAnsi="宋体" w:eastAsia="宋体" w:cs="宋体"/>
          <w:color w:val="auto"/>
          <w:kern w:val="0"/>
          <w:sz w:val="24"/>
          <w:szCs w:val="24"/>
          <w:highlight w:val="none"/>
        </w:rPr>
        <w:t>评标专家参加评标的相关费用。</w:t>
      </w:r>
    </w:p>
    <w:p>
      <w:pPr>
        <w:pageBreakBefore/>
        <w:jc w:val="left"/>
        <w:outlineLvl w:val="9"/>
        <w:rPr>
          <w:rStyle w:val="37"/>
          <w:rFonts w:hint="eastAsia" w:ascii="宋体" w:hAnsi="宋体" w:eastAsia="宋体" w:cs="宋体"/>
          <w:b/>
          <w:bCs/>
          <w:color w:val="auto"/>
          <w:sz w:val="24"/>
          <w:szCs w:val="24"/>
          <w:highlight w:val="none"/>
          <w:u w:val="none"/>
        </w:rPr>
      </w:pPr>
      <w:r>
        <w:rPr>
          <w:rStyle w:val="37"/>
          <w:rFonts w:hint="eastAsia" w:ascii="宋体" w:hAnsi="宋体" w:eastAsia="宋体" w:cs="宋体"/>
          <w:b/>
          <w:bCs/>
          <w:color w:val="auto"/>
          <w:sz w:val="24"/>
          <w:szCs w:val="24"/>
          <w:highlight w:val="none"/>
          <w:u w:val="none"/>
        </w:rPr>
        <w:t>附件</w:t>
      </w:r>
    </w:p>
    <w:p>
      <w:pPr>
        <w:ind w:left="3614" w:hanging="3614" w:hangingChars="1500"/>
        <w:jc w:val="center"/>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履约保函</w:t>
      </w:r>
    </w:p>
    <w:p>
      <w:pPr>
        <w:pStyle w:val="139"/>
        <w:spacing w:line="440" w:lineRule="exact"/>
        <w:ind w:firstLine="0" w:firstLineChars="0"/>
        <w:outlineLvl w:val="9"/>
        <w:rPr>
          <w:rFonts w:hint="eastAsia" w:ascii="宋体" w:hAnsi="宋体" w:eastAsia="宋体" w:cs="宋体"/>
          <w:color w:val="auto"/>
          <w:szCs w:val="24"/>
          <w:highlight w:val="none"/>
        </w:rPr>
      </w:pPr>
    </w:p>
    <w:p>
      <w:pPr>
        <w:pStyle w:val="139"/>
        <w:spacing w:line="440" w:lineRule="exact"/>
        <w:ind w:firstLine="0" w:firstLineChars="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lang w:eastAsia="zh-CN"/>
        </w:rPr>
        <w:t>始兴县太平镇人民政府</w:t>
      </w:r>
      <w:r>
        <w:rPr>
          <w:rFonts w:hint="eastAsia" w:ascii="宋体" w:hAnsi="宋体" w:eastAsia="宋体" w:cs="宋体"/>
          <w:color w:val="auto"/>
          <w:szCs w:val="24"/>
          <w:highlight w:val="none"/>
          <w:u w:val="single"/>
        </w:rPr>
        <w:t>(下称受益人)</w:t>
      </w:r>
      <w:r>
        <w:rPr>
          <w:rFonts w:hint="eastAsia" w:ascii="宋体" w:hAnsi="宋体" w:eastAsia="宋体" w:cs="宋体"/>
          <w:color w:val="auto"/>
          <w:szCs w:val="24"/>
          <w:highlight w:val="none"/>
        </w:rPr>
        <w:t xml:space="preserve"> :</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鉴于</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(下称“被保证人”)己/拟与贵方签订编号为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合同(下称“主合同" )。我行在此接受被保证人的委托,在此向受益人提供不可撤销的履约保证担保：</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一、本保函最高担保金额为人民币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二、本保函的有效期自</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在本保证担保的保证期间内,我方将收到受益人经法定代表人或其授权委托代理人签字并加盖公章的书面索赔通知后二十个工作日内,不争辩、不挑剔、不可撤销地向受益人支付索赔款,直至本保证担保的最高担保金额。</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四、索赔通知应说明索赔理由、索赔款额的计算方法,并必须在本保证担保的保证期内送达我方。</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五、本保函担保项下的权利不得转让。</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六、我方提供本保证担保后,受益人与被保证人对主合同进行修订的,应当由被保证人将修订后的合同原件送我方备案。</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七、本保证担保的保证期届满,或我方向受益人支付的索赔款已达本保证担保的最高担保金额，我方的保证责任免除。</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八、本保函适用中华人民共和国法律。</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九、本保函以中文文本为准，涂改无效。</w:t>
      </w:r>
    </w:p>
    <w:p>
      <w:pPr>
        <w:pStyle w:val="139"/>
        <w:spacing w:line="440" w:lineRule="exact"/>
        <w:ind w:firstLine="480"/>
        <w:outlineLvl w:val="9"/>
        <w:rPr>
          <w:rFonts w:hint="eastAsia" w:ascii="宋体" w:hAnsi="宋体" w:eastAsia="宋体" w:cs="宋体"/>
          <w:color w:val="auto"/>
          <w:szCs w:val="24"/>
          <w:highlight w:val="none"/>
        </w:rPr>
      </w:pPr>
    </w:p>
    <w:p>
      <w:pPr>
        <w:pStyle w:val="139"/>
        <w:spacing w:line="440" w:lineRule="exact"/>
        <w:ind w:firstLine="480"/>
        <w:outlineLvl w:val="9"/>
        <w:rPr>
          <w:rFonts w:hint="eastAsia" w:ascii="宋体" w:hAnsi="宋体" w:eastAsia="宋体" w:cs="宋体"/>
          <w:color w:val="auto"/>
          <w:szCs w:val="24"/>
          <w:highlight w:val="none"/>
        </w:rPr>
      </w:pPr>
    </w:p>
    <w:p>
      <w:pPr>
        <w:pStyle w:val="139"/>
        <w:spacing w:line="440" w:lineRule="exact"/>
        <w:ind w:firstLine="480"/>
        <w:outlineLvl w:val="9"/>
        <w:rPr>
          <w:rFonts w:hint="eastAsia" w:ascii="宋体" w:hAnsi="宋体" w:eastAsia="宋体" w:cs="宋体"/>
          <w:color w:val="auto"/>
          <w:szCs w:val="24"/>
          <w:highlight w:val="none"/>
        </w:rPr>
      </w:pP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担保人名称（盖章）：</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法人代表人或其授权委托代理人：</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单位地址：</w:t>
      </w:r>
    </w:p>
    <w:p>
      <w:pPr>
        <w:pStyle w:val="139"/>
        <w:spacing w:line="440" w:lineRule="exact"/>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日期：</w:t>
      </w:r>
    </w:p>
    <w:p>
      <w:pPr>
        <w:pStyle w:val="10"/>
        <w:outlineLvl w:val="9"/>
        <w:rPr>
          <w:rStyle w:val="37"/>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                         邮编：                 电话：</w:t>
      </w:r>
    </w:p>
    <w:p>
      <w:pPr>
        <w:pStyle w:val="67"/>
        <w:wordWrap w:val="0"/>
        <w:adjustRightInd w:val="0"/>
        <w:snapToGrid w:val="0"/>
        <w:spacing w:line="440" w:lineRule="exact"/>
        <w:ind w:firstLine="560"/>
        <w:outlineLvl w:val="9"/>
        <w:rPr>
          <w:rFonts w:hint="eastAsia" w:ascii="宋体" w:hAnsi="宋体" w:eastAsia="宋体" w:cs="宋体"/>
          <w:b/>
          <w:bCs/>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tabs>
          <w:tab w:val="left" w:pos="885"/>
        </w:tabs>
        <w:wordWrap w:val="0"/>
        <w:autoSpaceDE/>
        <w:autoSpaceDN/>
        <w:snapToGrid w:val="0"/>
        <w:spacing w:line="440" w:lineRule="exact"/>
        <w:ind w:left="885" w:hanging="885"/>
        <w:jc w:val="center"/>
        <w:outlineLvl w:val="0"/>
        <w:rPr>
          <w:rFonts w:hint="eastAsia" w:ascii="宋体" w:hAnsi="宋体" w:eastAsia="宋体" w:cs="宋体"/>
          <w:b/>
          <w:snapToGrid w:val="0"/>
          <w:color w:val="auto"/>
          <w:sz w:val="24"/>
          <w:highlight w:val="none"/>
        </w:rPr>
      </w:pPr>
      <w:bookmarkStart w:id="109" w:name="_Toc24296"/>
      <w:bookmarkStart w:id="110" w:name="_Toc28684"/>
      <w:bookmarkStart w:id="111" w:name="_Hlt69698765"/>
      <w:bookmarkStart w:id="112" w:name="_Hlt69698713"/>
      <w:bookmarkStart w:id="113" w:name="_Hlt69698776"/>
      <w:bookmarkStart w:id="114" w:name="_Toc28918"/>
      <w:r>
        <w:rPr>
          <w:rFonts w:hint="eastAsia" w:ascii="宋体" w:hAnsi="宋体" w:eastAsia="宋体" w:cs="宋体"/>
          <w:b/>
          <w:snapToGrid w:val="0"/>
          <w:color w:val="auto"/>
          <w:sz w:val="24"/>
          <w:highlight w:val="none"/>
        </w:rPr>
        <w:t>第三章</w:t>
      </w:r>
      <w:bookmarkStart w:id="115" w:name="_Hlt87793831"/>
      <w:bookmarkEnd w:id="115"/>
      <w:r>
        <w:rPr>
          <w:rFonts w:hint="eastAsia" w:ascii="宋体" w:hAnsi="宋体" w:eastAsia="宋体" w:cs="宋体"/>
          <w:b/>
          <w:snapToGrid w:val="0"/>
          <w:color w:val="auto"/>
          <w:sz w:val="24"/>
          <w:highlight w:val="none"/>
        </w:rPr>
        <w:t xml:space="preserve"> 拟签订合同的主要条款</w:t>
      </w:r>
      <w:bookmarkEnd w:id="109"/>
      <w:bookmarkEnd w:id="110"/>
    </w:p>
    <w:bookmarkEnd w:id="111"/>
    <w:bookmarkEnd w:id="112"/>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1．现场办公条件</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1.1</w:t>
      </w:r>
      <w:r>
        <w:rPr>
          <w:rFonts w:hint="eastAsia" w:hAnsi="宋体" w:cs="宋体"/>
          <w:snapToGrid w:val="0"/>
          <w:color w:val="000000"/>
          <w:kern w:val="0"/>
          <w:highlight w:val="none"/>
        </w:rPr>
        <w:t xml:space="preserve"> 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1.2</w:t>
      </w:r>
      <w:r>
        <w:rPr>
          <w:rFonts w:hint="eastAsia" w:hAnsi="宋体" w:cs="宋体"/>
          <w:snapToGrid w:val="0"/>
          <w:color w:val="000000"/>
          <w:kern w:val="0"/>
          <w:highlight w:val="none"/>
        </w:rPr>
        <w:t xml:space="preserve"> 监理人应按照工程需要，自行配备以下的设施、设备：</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（1）办公桌椅、文件柜、床铺被褥、供冷采暖设施等办公和生活设施；</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（2）电脑、投影、打印机、复印机、传真机等办公设备及其耗材；</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（3）拍摄、录音、录像等取证器材；</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（4）信息化管理软件或系统；</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（5）通信和交通工具；</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（6）本招标项目必备的规范标准、图集等书籍手册；</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（7）安全帽、安全鞋、安全手套、安全服装、手电筒等安全防护用具；</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（8）</w:t>
      </w:r>
      <w:r>
        <w:rPr>
          <w:rFonts w:hint="eastAsia" w:hAnsi="宋体" w:cs="宋体"/>
          <w:snapToGrid w:val="0"/>
          <w:color w:val="000000"/>
          <w:kern w:val="0"/>
          <w:highlight w:val="none"/>
          <w:u w:val="single"/>
        </w:rPr>
        <w:t xml:space="preserve"> 打卡</w:t>
      </w:r>
      <w:r>
        <w:rPr>
          <w:rFonts w:hint="eastAsia" w:hAnsi="宋体" w:cs="宋体"/>
          <w:snapToGrid w:val="0"/>
          <w:color w:val="000000"/>
          <w:kern w:val="0"/>
          <w:highlight w:val="none"/>
        </w:rPr>
        <w:t>考勤设备；</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（9）其他与监理工作有关的设备与用品。</w:t>
      </w:r>
    </w:p>
    <w:p>
      <w:pPr>
        <w:wordWrap w:val="0"/>
        <w:adjustRightInd w:val="0"/>
        <w:snapToGrid w:val="0"/>
        <w:spacing w:line="360" w:lineRule="auto"/>
        <w:ind w:firstLine="482" w:firstLineChars="200"/>
        <w:rPr>
          <w:rFonts w:hAnsi="宋体" w:cs="宋体"/>
          <w:b/>
          <w:bCs/>
          <w:snapToGrid w:val="0"/>
          <w:color w:val="000000"/>
          <w:kern w:val="0"/>
          <w:highlight w:val="none"/>
        </w:rPr>
      </w:pPr>
      <w:r>
        <w:rPr>
          <w:rFonts w:hint="eastAsia" w:hAnsi="宋体" w:cs="宋体"/>
          <w:b/>
          <w:bCs/>
          <w:snapToGrid w:val="0"/>
          <w:color w:val="000000"/>
          <w:kern w:val="0"/>
          <w:highlight w:val="none"/>
        </w:rPr>
        <w:t>2．酬金</w:t>
      </w:r>
    </w:p>
    <w:p>
      <w:pPr>
        <w:wordWrap w:val="0"/>
        <w:adjustRightInd w:val="0"/>
        <w:snapToGrid w:val="0"/>
        <w:spacing w:line="360" w:lineRule="auto"/>
        <w:ind w:firstLine="482" w:firstLineChars="200"/>
        <w:rPr>
          <w:rFonts w:hAnsi="宋体" w:cs="宋体"/>
          <w:strike/>
          <w:dstrike w:val="0"/>
          <w:snapToGrid w:val="0"/>
          <w:color w:val="000000"/>
          <w:kern w:val="0"/>
          <w:highlight w:val="none"/>
        </w:rPr>
      </w:pPr>
      <w:r>
        <w:rPr>
          <w:rFonts w:hint="eastAsia" w:hAnsi="宋体" w:cs="宋体"/>
          <w:b/>
          <w:bCs/>
          <w:snapToGrid w:val="0"/>
          <w:color w:val="000000"/>
          <w:kern w:val="0"/>
          <w:highlight w:val="none"/>
        </w:rPr>
        <w:t>2.1</w:t>
      </w:r>
      <w:r>
        <w:rPr>
          <w:rFonts w:hint="eastAsia" w:hAnsi="宋体" w:cs="宋体"/>
          <w:snapToGrid w:val="0"/>
          <w:color w:val="000000"/>
          <w:kern w:val="0"/>
          <w:highlight w:val="none"/>
        </w:rPr>
        <w:t xml:space="preserve"> “酬金”指监理人履行本合同义务，委托人按照本合同约定（包括按照合同约定进行的变更和调整）给付监理人的金额</w:t>
      </w:r>
      <w:r>
        <w:rPr>
          <w:rFonts w:hint="eastAsia" w:hAnsi="宋体" w:cs="宋体"/>
          <w:snapToGrid w:val="0"/>
          <w:color w:val="000000"/>
          <w:kern w:val="0"/>
          <w:highlight w:val="none"/>
          <w:lang w:eastAsia="zh-CN"/>
        </w:rPr>
        <w:t>。</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2.2</w:t>
      </w:r>
      <w:r>
        <w:rPr>
          <w:rFonts w:hint="eastAsia" w:hAnsi="宋体" w:cs="宋体"/>
          <w:snapToGrid w:val="0"/>
          <w:color w:val="000000"/>
          <w:kern w:val="0"/>
          <w:highlight w:val="none"/>
        </w:rPr>
        <w:t xml:space="preserve"> 酬金结算原则：</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szCs w:val="22"/>
          <w:highlight w:val="none"/>
        </w:rPr>
        <w:t>（1）</w:t>
      </w:r>
      <w:r>
        <w:rPr>
          <w:rFonts w:hint="eastAsia" w:hAnsi="宋体" w:cs="宋体"/>
          <w:snapToGrid w:val="0"/>
          <w:color w:val="000000"/>
          <w:kern w:val="0"/>
          <w:highlight w:val="none"/>
          <w:u w:val="single"/>
        </w:rPr>
        <w:t xml:space="preserve">  监理中标价=签约合同价  </w:t>
      </w:r>
      <w:r>
        <w:rPr>
          <w:rFonts w:hint="eastAsia" w:hAnsi="宋体" w:cs="宋体"/>
          <w:snapToGrid w:val="0"/>
          <w:color w:val="000000"/>
          <w:kern w:val="0"/>
          <w:highlight w:val="none"/>
        </w:rPr>
        <w:t>。</w:t>
      </w:r>
    </w:p>
    <w:p>
      <w:pPr>
        <w:wordWrap w:val="0"/>
        <w:adjustRightInd w:val="0"/>
        <w:snapToGrid w:val="0"/>
        <w:spacing w:line="360" w:lineRule="auto"/>
        <w:ind w:firstLine="482" w:firstLineChars="200"/>
        <w:rPr>
          <w:rFonts w:hint="eastAsia" w:hAnsi="宋体" w:cs="宋体"/>
          <w:snapToGrid w:val="0"/>
          <w:color w:val="000000"/>
          <w:kern w:val="0"/>
          <w:highlight w:val="none"/>
        </w:rPr>
      </w:pPr>
      <w:r>
        <w:rPr>
          <w:rFonts w:hint="eastAsia" w:hAnsi="宋体" w:cs="宋体"/>
          <w:b/>
          <w:bCs/>
          <w:snapToGrid w:val="0"/>
          <w:color w:val="000000"/>
          <w:kern w:val="0"/>
          <w:szCs w:val="22"/>
          <w:highlight w:val="none"/>
        </w:rPr>
        <w:t xml:space="preserve">（2） </w:t>
      </w:r>
      <w:r>
        <w:rPr>
          <w:rFonts w:hint="eastAsia" w:hAnsi="宋体" w:cs="宋体"/>
          <w:snapToGrid w:val="0"/>
          <w:color w:val="000000"/>
          <w:kern w:val="0"/>
          <w:highlight w:val="none"/>
          <w:lang w:val="en-US" w:eastAsia="zh-CN"/>
        </w:rPr>
        <w:t>签约合同价即为监理结算价。</w:t>
      </w:r>
    </w:p>
    <w:p>
      <w:pPr>
        <w:wordWrap w:val="0"/>
        <w:adjustRightInd w:val="0"/>
        <w:snapToGrid w:val="0"/>
        <w:spacing w:line="360" w:lineRule="auto"/>
        <w:ind w:firstLine="482" w:firstLineChars="200"/>
        <w:rPr>
          <w:rFonts w:hint="eastAsia" w:hAnsi="宋体" w:cs="宋体"/>
          <w:snapToGrid w:val="0"/>
          <w:color w:val="000000"/>
          <w:kern w:val="0"/>
          <w:highlight w:val="none"/>
        </w:rPr>
      </w:pPr>
      <w:r>
        <w:rPr>
          <w:rFonts w:hint="eastAsia" w:hAnsi="宋体" w:cs="宋体"/>
          <w:b/>
          <w:bCs/>
          <w:snapToGrid w:val="0"/>
          <w:color w:val="000000"/>
          <w:kern w:val="0"/>
          <w:highlight w:val="none"/>
        </w:rPr>
        <w:t>（3）</w:t>
      </w:r>
      <w:r>
        <w:rPr>
          <w:rFonts w:hint="eastAsia" w:hAnsi="宋体" w:cs="宋体"/>
          <w:snapToGrid w:val="0"/>
          <w:color w:val="000000"/>
          <w:kern w:val="0"/>
          <w:highlight w:val="none"/>
        </w:rPr>
        <w:t>项目建设期间，即使出现缓建或停建事件导致监理工期延长，不另增加监理服务费。</w:t>
      </w:r>
    </w:p>
    <w:p>
      <w:pPr>
        <w:wordWrap w:val="0"/>
        <w:adjustRightInd w:val="0"/>
        <w:snapToGrid w:val="0"/>
        <w:spacing w:line="360" w:lineRule="auto"/>
        <w:ind w:firstLine="482" w:firstLineChars="200"/>
        <w:rPr>
          <w:rFonts w:hint="eastAsia" w:hAnsi="宋体" w:cs="宋体"/>
          <w:snapToGrid w:val="0"/>
          <w:color w:val="000000"/>
          <w:kern w:val="0"/>
          <w:highlight w:val="none"/>
        </w:rPr>
      </w:pPr>
      <w:r>
        <w:rPr>
          <w:rFonts w:hint="eastAsia" w:hAnsi="宋体" w:cs="宋体"/>
          <w:b/>
          <w:bCs/>
          <w:snapToGrid w:val="0"/>
          <w:color w:val="000000"/>
          <w:kern w:val="0"/>
          <w:highlight w:val="none"/>
        </w:rPr>
        <w:t>（4）</w:t>
      </w:r>
      <w:r>
        <w:rPr>
          <w:rFonts w:hint="eastAsia" w:hAnsi="宋体" w:cs="宋体"/>
          <w:snapToGrid w:val="0"/>
          <w:color w:val="000000"/>
          <w:kern w:val="0"/>
          <w:highlight w:val="none"/>
        </w:rPr>
        <w:t>因工程规模、监理范围的变化导致监理人的正常工作量减少时，按减少工作量的比例从协议书约定的正常工作酬金中扣减相同比例的酬金。</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3．酬金发票</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委托人每次支付酬金前，监理人均应提供有效的增值税发票。如果监理人无法提供符合要求的酬金发票，由此造成的相应损失由监理人承担。</w:t>
      </w:r>
      <w:r>
        <w:rPr>
          <w:rFonts w:hint="eastAsia" w:hAnsi="宋体" w:cs="宋体"/>
          <w:snapToGrid w:val="0"/>
          <w:color w:val="000000"/>
          <w:kern w:val="0"/>
          <w:highlight w:val="none"/>
        </w:rPr>
        <w:t xml:space="preserve"> </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4．违约责任</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4.1</w:t>
      </w:r>
      <w:r>
        <w:rPr>
          <w:rFonts w:hint="eastAsia" w:hAnsi="宋体" w:cs="宋体"/>
          <w:snapToGrid w:val="0"/>
          <w:color w:val="000000"/>
          <w:kern w:val="0"/>
          <w:highlight w:val="none"/>
        </w:rPr>
        <w:t xml:space="preserve"> 监理人的违约责任</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snapToGrid w:val="0"/>
          <w:color w:val="000000"/>
          <w:kern w:val="0"/>
          <w:highlight w:val="none"/>
        </w:rPr>
        <w:t>监理人未履行本合同义务的，应承担相应的责任。</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4.1.1</w:t>
      </w:r>
      <w:r>
        <w:rPr>
          <w:rFonts w:hint="eastAsia" w:hAnsi="宋体" w:cs="宋体"/>
          <w:snapToGrid w:val="0"/>
          <w:color w:val="000000"/>
          <w:kern w:val="0"/>
          <w:highlight w:val="none"/>
        </w:rPr>
        <w:t xml:space="preserve"> 因监理人违反本合同约定给委托人造成损失的，监理人应当赔偿委托人损失。</w:t>
      </w:r>
    </w:p>
    <w:p>
      <w:pPr>
        <w:wordWrap w:val="0"/>
        <w:adjustRightInd w:val="0"/>
        <w:snapToGrid w:val="0"/>
        <w:spacing w:line="360" w:lineRule="auto"/>
        <w:rPr>
          <w:rFonts w:hAnsi="宋体" w:cs="宋体"/>
          <w:snapToGrid w:val="0"/>
          <w:color w:val="000000"/>
          <w:kern w:val="0"/>
          <w:highlight w:val="none"/>
        </w:rPr>
      </w:pPr>
      <w:r>
        <w:rPr>
          <w:rFonts w:hint="eastAsia" w:hAnsi="宋体" w:cs="宋体"/>
          <w:snapToGrid w:val="0"/>
          <w:color w:val="000000"/>
          <w:kern w:val="0"/>
          <w:highlight w:val="none"/>
        </w:rPr>
        <w:t xml:space="preserve">    监理人赔偿金额按下列方法确定：</w:t>
      </w:r>
      <w:r>
        <w:rPr>
          <w:rFonts w:hint="eastAsia" w:hAnsi="宋体" w:cs="宋体"/>
          <w:snapToGrid w:val="0"/>
          <w:color w:val="000000"/>
          <w:kern w:val="0"/>
          <w:highlight w:val="none"/>
          <w:u w:val="single"/>
        </w:rPr>
        <w:t xml:space="preserve">  赔偿金=直接经济损失×正常工作酬金÷项目建安费（总额不超过税后合同监理费）</w:t>
      </w:r>
      <w:r>
        <w:rPr>
          <w:rFonts w:hint="eastAsia" w:hAnsi="宋体" w:cs="宋体"/>
          <w:snapToGrid w:val="0"/>
          <w:color w:val="000000"/>
          <w:kern w:val="0"/>
          <w:highlight w:val="none"/>
        </w:rPr>
        <w:t>。</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snapToGrid w:val="0"/>
          <w:color w:val="000000"/>
          <w:kern w:val="0"/>
          <w:highlight w:val="none"/>
        </w:rPr>
        <w:t>监理人承担部分赔偿责任的，其承担赔偿金额由双方协商确定。</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4.1.2</w:t>
      </w:r>
      <w:r>
        <w:rPr>
          <w:rFonts w:hint="eastAsia" w:hAnsi="宋体" w:cs="宋体"/>
          <w:snapToGrid w:val="0"/>
          <w:color w:val="000000"/>
          <w:kern w:val="0"/>
          <w:highlight w:val="none"/>
        </w:rPr>
        <w:t xml:space="preserve"> 监理人向委托人的索赔不成立时，监理人应赔偿委托人由此发生的费用。</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4.2</w:t>
      </w:r>
      <w:r>
        <w:rPr>
          <w:rFonts w:hint="eastAsia" w:hAnsi="宋体" w:cs="宋体"/>
          <w:snapToGrid w:val="0"/>
          <w:color w:val="000000"/>
          <w:kern w:val="0"/>
          <w:highlight w:val="none"/>
        </w:rPr>
        <w:t xml:space="preserve"> 委托人的违约责任</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snapToGrid w:val="0"/>
          <w:color w:val="000000"/>
          <w:kern w:val="0"/>
          <w:highlight w:val="none"/>
        </w:rPr>
        <w:t>委托人未履行本合同义务的，应承担相应的责任。</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4.2.1</w:t>
      </w:r>
      <w:r>
        <w:rPr>
          <w:rFonts w:hint="eastAsia" w:hAnsi="宋体" w:cs="宋体"/>
          <w:snapToGrid w:val="0"/>
          <w:color w:val="000000"/>
          <w:kern w:val="0"/>
          <w:highlight w:val="none"/>
        </w:rPr>
        <w:t xml:space="preserve"> 委托人违反本合同约定造成监理人损失的，委托人应予以赔偿。</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4.2.2</w:t>
      </w:r>
      <w:r>
        <w:rPr>
          <w:rFonts w:hint="eastAsia" w:hAnsi="宋体" w:cs="宋体"/>
          <w:snapToGrid w:val="0"/>
          <w:color w:val="000000"/>
          <w:kern w:val="0"/>
          <w:highlight w:val="none"/>
        </w:rPr>
        <w:t xml:space="preserve"> 委托人向监理人的索赔不成立时，应赔偿监理人由此引起的费用。</w:t>
      </w:r>
    </w:p>
    <w:p>
      <w:pPr>
        <w:wordWrap w:val="0"/>
        <w:adjustRightInd w:val="0"/>
        <w:snapToGrid w:val="0"/>
        <w:spacing w:line="360" w:lineRule="auto"/>
        <w:ind w:firstLine="560"/>
        <w:rPr>
          <w:rFonts w:hint="eastAsia" w:hAnsi="宋体" w:cs="宋体"/>
          <w:b/>
          <w:bCs/>
          <w:snapToGrid w:val="0"/>
          <w:color w:val="000000"/>
          <w:kern w:val="0"/>
          <w:highlight w:val="none"/>
        </w:rPr>
      </w:pP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4.3</w:t>
      </w:r>
      <w:r>
        <w:rPr>
          <w:rFonts w:hint="eastAsia" w:hAnsi="宋体" w:cs="宋体"/>
          <w:snapToGrid w:val="0"/>
          <w:color w:val="000000"/>
          <w:kern w:val="0"/>
          <w:highlight w:val="none"/>
        </w:rPr>
        <w:t xml:space="preserve"> 除外责任</w:t>
      </w: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snapToGrid w:val="0"/>
          <w:color w:val="000000"/>
          <w:kern w:val="0"/>
          <w:highlight w:val="none"/>
        </w:rPr>
        <w:t>因非监理人的原因，且监理人无过错，发生工程质量事故、安全事故、工期延误等造成的损失，监理人不承担赔偿责任。</w:t>
      </w:r>
    </w:p>
    <w:p>
      <w:pPr>
        <w:wordWrap w:val="0"/>
        <w:adjustRightInd w:val="0"/>
        <w:snapToGrid w:val="0"/>
        <w:spacing w:line="360" w:lineRule="auto"/>
        <w:ind w:firstLine="560"/>
        <w:rPr>
          <w:color w:val="000000"/>
          <w:highlight w:val="none"/>
        </w:rPr>
      </w:pPr>
      <w:r>
        <w:rPr>
          <w:rFonts w:hint="eastAsia" w:hAnsi="宋体" w:cs="宋体"/>
          <w:snapToGrid w:val="0"/>
          <w:color w:val="000000"/>
          <w:kern w:val="0"/>
          <w:highlight w:val="none"/>
        </w:rPr>
        <w:t>因不可抗力导致本合同全部或部分不能履行时，双方各自承担其因此而造成的损失、损害。</w:t>
      </w:r>
    </w:p>
    <w:p>
      <w:pPr>
        <w:wordWrap w:val="0"/>
        <w:adjustRightInd w:val="0"/>
        <w:snapToGrid w:val="0"/>
        <w:spacing w:line="360" w:lineRule="auto"/>
        <w:ind w:firstLine="560"/>
        <w:rPr>
          <w:rFonts w:hint="eastAsia" w:hAnsi="宋体" w:cs="宋体"/>
          <w:b/>
          <w:bCs/>
          <w:snapToGrid w:val="0"/>
          <w:color w:val="000000"/>
          <w:kern w:val="0"/>
          <w:highlight w:val="none"/>
        </w:rPr>
      </w:pPr>
    </w:p>
    <w:p>
      <w:pPr>
        <w:wordWrap w:val="0"/>
        <w:adjustRightInd w:val="0"/>
        <w:snapToGrid w:val="0"/>
        <w:spacing w:line="360" w:lineRule="auto"/>
        <w:ind w:firstLine="560"/>
        <w:rPr>
          <w:rFonts w:hAnsi="宋体" w:cs="宋体"/>
          <w:snapToGrid w:val="0"/>
          <w:color w:val="000000"/>
          <w:kern w:val="0"/>
          <w:highlight w:val="none"/>
        </w:rPr>
      </w:pPr>
      <w:r>
        <w:rPr>
          <w:rFonts w:hint="eastAsia" w:hAnsi="宋体" w:cs="宋体"/>
          <w:b/>
          <w:bCs/>
          <w:snapToGrid w:val="0"/>
          <w:color w:val="000000"/>
          <w:kern w:val="0"/>
          <w:highlight w:val="none"/>
        </w:rPr>
        <w:t>5．支付</w:t>
      </w:r>
    </w:p>
    <w:p>
      <w:pPr>
        <w:wordWrap w:val="0"/>
        <w:adjustRightInd w:val="0"/>
        <w:snapToGrid w:val="0"/>
        <w:spacing w:line="360" w:lineRule="auto"/>
        <w:ind w:firstLine="560"/>
        <w:rPr>
          <w:rFonts w:hint="eastAsia" w:hAnsi="宋体" w:cs="宋体"/>
          <w:snapToGrid w:val="0"/>
          <w:color w:val="000000"/>
          <w:kern w:val="0"/>
          <w:highlight w:val="none"/>
        </w:rPr>
      </w:pPr>
      <w:r>
        <w:rPr>
          <w:rFonts w:hint="eastAsia" w:hAnsi="宋体" w:cs="宋体"/>
          <w:snapToGrid w:val="0"/>
          <w:color w:val="000000"/>
          <w:kern w:val="0"/>
          <w:highlight w:val="none"/>
        </w:rPr>
        <w:t>5.1本项目不支付监理服务费预付款；</w:t>
      </w:r>
    </w:p>
    <w:p>
      <w:pPr>
        <w:wordWrap w:val="0"/>
        <w:adjustRightInd w:val="0"/>
        <w:snapToGrid w:val="0"/>
        <w:spacing w:line="360" w:lineRule="auto"/>
        <w:ind w:firstLine="560"/>
        <w:rPr>
          <w:rFonts w:hint="eastAsia" w:hAnsi="宋体" w:cs="宋体"/>
          <w:snapToGrid w:val="0"/>
          <w:color w:val="000000"/>
          <w:kern w:val="0"/>
          <w:highlight w:val="none"/>
        </w:rPr>
      </w:pPr>
      <w:r>
        <w:rPr>
          <w:rFonts w:hint="eastAsia" w:hAnsi="宋体" w:cs="宋体"/>
          <w:snapToGrid w:val="0"/>
          <w:color w:val="000000"/>
          <w:kern w:val="0"/>
          <w:highlight w:val="none"/>
        </w:rPr>
        <w:t>5.2本项目施工阶段按</w:t>
      </w:r>
      <w:r>
        <w:rPr>
          <w:rFonts w:hint="eastAsia" w:hAnsi="宋体" w:cs="宋体"/>
          <w:snapToGrid w:val="0"/>
          <w:color w:val="000000"/>
          <w:kern w:val="0"/>
          <w:highlight w:val="none"/>
          <w:lang w:val="en-US" w:eastAsia="zh-CN"/>
        </w:rPr>
        <w:t>一次性</w:t>
      </w:r>
      <w:r>
        <w:rPr>
          <w:rFonts w:hint="eastAsia" w:hAnsi="宋体" w:cs="宋体"/>
          <w:snapToGrid w:val="0"/>
          <w:color w:val="000000"/>
          <w:kern w:val="0"/>
          <w:highlight w:val="none"/>
        </w:rPr>
        <w:t>支付监理服务费，具体支付方式如下：</w:t>
      </w:r>
    </w:p>
    <w:p>
      <w:pPr>
        <w:wordWrap w:val="0"/>
        <w:adjustRightInd w:val="0"/>
        <w:snapToGrid w:val="0"/>
        <w:spacing w:line="360" w:lineRule="auto"/>
        <w:ind w:firstLine="560"/>
        <w:rPr>
          <w:rFonts w:hint="eastAsia" w:hAnsi="宋体" w:cs="宋体"/>
          <w:snapToGrid w:val="0"/>
          <w:color w:val="000000"/>
          <w:kern w:val="0"/>
          <w:highlight w:val="none"/>
        </w:rPr>
      </w:pPr>
      <w:r>
        <w:rPr>
          <w:rFonts w:hint="eastAsia" w:hAnsi="宋体" w:cs="宋体"/>
          <w:snapToGrid w:val="0"/>
          <w:color w:val="000000"/>
          <w:kern w:val="0"/>
          <w:highlight w:val="none"/>
        </w:rPr>
        <w:t>5.2.1竣工验收合格后，经委托人或委托人委托的第三方审核机构结算定案后支付至监理结算价的</w:t>
      </w:r>
      <w:r>
        <w:rPr>
          <w:rFonts w:hint="eastAsia" w:hAnsi="宋体" w:cs="宋体"/>
          <w:snapToGrid w:val="0"/>
          <w:color w:val="000000"/>
          <w:kern w:val="0"/>
          <w:highlight w:val="none"/>
          <w:lang w:val="en-US" w:eastAsia="zh-CN"/>
        </w:rPr>
        <w:t>100</w:t>
      </w:r>
      <w:r>
        <w:rPr>
          <w:rFonts w:hint="eastAsia" w:hAnsi="宋体" w:cs="宋体"/>
          <w:snapToGrid w:val="0"/>
          <w:color w:val="000000"/>
          <w:kern w:val="0"/>
          <w:highlight w:val="none"/>
        </w:rPr>
        <w:t>%；</w:t>
      </w:r>
    </w:p>
    <w:p>
      <w:pPr>
        <w:wordWrap w:val="0"/>
        <w:adjustRightInd w:val="0"/>
        <w:snapToGrid w:val="0"/>
        <w:spacing w:line="360" w:lineRule="auto"/>
        <w:ind w:firstLine="560"/>
        <w:rPr>
          <w:rFonts w:hint="eastAsia" w:hAnsi="宋体" w:cs="宋体"/>
          <w:snapToGrid w:val="0"/>
          <w:color w:val="000000"/>
          <w:kern w:val="0"/>
          <w:highlight w:val="none"/>
        </w:rPr>
      </w:pPr>
      <w:r>
        <w:rPr>
          <w:rFonts w:hint="eastAsia" w:hAnsi="宋体" w:cs="宋体"/>
          <w:snapToGrid w:val="0"/>
          <w:color w:val="000000"/>
          <w:kern w:val="0"/>
          <w:highlight w:val="none"/>
        </w:rPr>
        <w:t>5.2.2监理人将符合财政部门审批要求的本期监理服务费支付申请资料上报委托人，委托人在收到监理支付申请资料后7日内予以审核，报有关部门审定。监理人按审定金额开具发票。</w:t>
      </w:r>
    </w:p>
    <w:p>
      <w:pPr>
        <w:wordWrap w:val="0"/>
        <w:adjustRightInd w:val="0"/>
        <w:snapToGrid w:val="0"/>
        <w:spacing w:line="360" w:lineRule="auto"/>
        <w:ind w:firstLine="560"/>
        <w:rPr>
          <w:rFonts w:hint="eastAsia" w:hAnsi="宋体" w:cs="宋体"/>
          <w:snapToGrid w:val="0"/>
          <w:color w:val="000000"/>
          <w:kern w:val="0"/>
          <w:highlight w:val="none"/>
        </w:rPr>
      </w:pPr>
      <w:r>
        <w:rPr>
          <w:rFonts w:hint="eastAsia" w:hAnsi="宋体" w:cs="宋体"/>
          <w:snapToGrid w:val="0"/>
          <w:color w:val="000000"/>
          <w:kern w:val="0"/>
          <w:highlight w:val="none"/>
        </w:rPr>
        <w:t>5.</w:t>
      </w:r>
      <w:r>
        <w:rPr>
          <w:rFonts w:hint="eastAsia" w:hAnsi="宋体" w:cs="宋体"/>
          <w:snapToGrid w:val="0"/>
          <w:color w:val="000000"/>
          <w:kern w:val="0"/>
          <w:highlight w:val="none"/>
          <w:lang w:val="en-US" w:eastAsia="zh-CN"/>
        </w:rPr>
        <w:t>3</w:t>
      </w:r>
      <w:r>
        <w:rPr>
          <w:rFonts w:hint="eastAsia" w:hAnsi="宋体" w:cs="宋体"/>
          <w:snapToGrid w:val="0"/>
          <w:color w:val="000000"/>
          <w:kern w:val="0"/>
          <w:highlight w:val="none"/>
        </w:rPr>
        <w:t xml:space="preserve"> 有争议部分的付款</w:t>
      </w:r>
    </w:p>
    <w:p>
      <w:pPr>
        <w:wordWrap w:val="0"/>
        <w:adjustRightInd w:val="0"/>
        <w:snapToGrid w:val="0"/>
        <w:spacing w:line="360" w:lineRule="auto"/>
        <w:ind w:firstLine="560"/>
        <w:rPr>
          <w:rFonts w:hint="eastAsia" w:hAnsi="宋体" w:cs="宋体"/>
          <w:snapToGrid w:val="0"/>
          <w:color w:val="000000"/>
          <w:kern w:val="0"/>
          <w:highlight w:val="none"/>
        </w:rPr>
      </w:pPr>
      <w:r>
        <w:rPr>
          <w:rFonts w:hint="eastAsia" w:hAnsi="宋体" w:cs="宋体"/>
          <w:snapToGrid w:val="0"/>
          <w:color w:val="000000"/>
          <w:kern w:val="0"/>
          <w:highlight w:val="none"/>
        </w:rPr>
        <w:t>委托人对监理人提交的支付申请书有异议时，应当在收到监理人提交的支付申请书后7天内，以书面形式向监理人发出异议通知。无异议部分的款项应按期支付，有异议部分的款项按本章第7条处理。</w:t>
      </w:r>
    </w:p>
    <w:p>
      <w:pPr>
        <w:wordWrap w:val="0"/>
        <w:adjustRightInd w:val="0"/>
        <w:snapToGrid w:val="0"/>
        <w:spacing w:line="360" w:lineRule="auto"/>
        <w:ind w:firstLine="482" w:firstLineChars="200"/>
        <w:rPr>
          <w:rFonts w:hAnsi="宋体" w:cs="宋体"/>
          <w:b/>
          <w:bCs/>
          <w:snapToGrid w:val="0"/>
          <w:color w:val="000000"/>
          <w:kern w:val="0"/>
          <w:highlight w:val="none"/>
        </w:rPr>
      </w:pPr>
      <w:r>
        <w:rPr>
          <w:rFonts w:hint="eastAsia" w:hAnsi="宋体" w:cs="宋体"/>
          <w:b/>
          <w:bCs/>
          <w:snapToGrid w:val="0"/>
          <w:color w:val="000000"/>
          <w:kern w:val="0"/>
          <w:highlight w:val="none"/>
        </w:rPr>
        <w:t>6．合同生效、变更、暂停、解除与终止</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6.1</w:t>
      </w:r>
      <w:r>
        <w:rPr>
          <w:rFonts w:hint="eastAsia" w:hAnsi="宋体" w:cs="宋体"/>
          <w:snapToGrid w:val="0"/>
          <w:color w:val="000000"/>
          <w:kern w:val="0"/>
          <w:highlight w:val="none"/>
        </w:rPr>
        <w:t xml:space="preserve"> 生效</w:t>
      </w:r>
    </w:p>
    <w:p>
      <w:pPr>
        <w:wordWrap w:val="0"/>
        <w:adjustRightInd w:val="0"/>
        <w:snapToGrid w:val="0"/>
        <w:spacing w:line="360" w:lineRule="auto"/>
        <w:rPr>
          <w:rFonts w:hAnsi="宋体" w:cs="宋体"/>
          <w:snapToGrid w:val="0"/>
          <w:color w:val="000000"/>
          <w:kern w:val="0"/>
          <w:highlight w:val="none"/>
        </w:rPr>
      </w:pPr>
      <w:r>
        <w:rPr>
          <w:rFonts w:hint="eastAsia" w:hAnsi="宋体" w:cs="宋体"/>
          <w:snapToGrid w:val="0"/>
          <w:color w:val="000000"/>
          <w:kern w:val="0"/>
          <w:highlight w:val="none"/>
        </w:rPr>
        <w:t xml:space="preserve">   委托人和监理人的法定代表人或其授权代理人在协议书上签字并盖单位章后本合同生效。</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w:t>
      </w:r>
      <w:r>
        <w:rPr>
          <w:rFonts w:hint="eastAsia" w:hAnsi="宋体" w:cs="宋体"/>
          <w:snapToGrid w:val="0"/>
          <w:color w:val="000000"/>
          <w:kern w:val="0"/>
          <w:highlight w:val="none"/>
        </w:rPr>
        <w:t xml:space="preserve"> 变更</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6.2.1</w:t>
      </w:r>
      <w:r>
        <w:rPr>
          <w:rFonts w:hint="eastAsia" w:hAnsi="宋体" w:cs="宋体"/>
          <w:snapToGrid w:val="0"/>
          <w:color w:val="000000"/>
          <w:kern w:val="0"/>
          <w:highlight w:val="none"/>
        </w:rPr>
        <w:t xml:space="preserve"> 任何一方提出变更请求时，双方经协商一致后可进行变更。</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6.2.2</w:t>
      </w:r>
      <w:r>
        <w:rPr>
          <w:rFonts w:hint="eastAsia" w:hAnsi="宋体" w:cs="宋体"/>
          <w:snapToGrid w:val="0"/>
          <w:color w:val="000000"/>
          <w:kern w:val="0"/>
          <w:highlight w:val="none"/>
        </w:rPr>
        <w:t>除不可抗力外，因非监理人原因导致监理人履行合同期限延长、内容增加时，监理人应当将此情况与可能产生的影响及时通知委托人。增加的监理工作时间、工作内容应视为附加工作。</w:t>
      </w:r>
    </w:p>
    <w:p>
      <w:pPr>
        <w:wordWrap w:val="0"/>
        <w:adjustRightInd w:val="0"/>
        <w:snapToGrid w:val="0"/>
        <w:spacing w:line="360" w:lineRule="auto"/>
        <w:rPr>
          <w:rFonts w:hAnsi="宋体" w:cs="宋体"/>
          <w:snapToGrid w:val="0"/>
          <w:color w:val="000000"/>
          <w:kern w:val="0"/>
          <w:highlight w:val="none"/>
        </w:rPr>
      </w:pPr>
      <w:r>
        <w:rPr>
          <w:rFonts w:hint="eastAsia" w:hAnsi="宋体" w:cs="宋体"/>
          <w:snapToGrid w:val="0"/>
          <w:color w:val="000000"/>
          <w:kern w:val="0"/>
          <w:highlight w:val="none"/>
        </w:rPr>
        <w:t xml:space="preserve">    发生以上情形的附加工作酬金的确定方法为：</w:t>
      </w:r>
      <w:r>
        <w:rPr>
          <w:rFonts w:hint="eastAsia" w:hAnsi="宋体" w:cs="宋体"/>
          <w:snapToGrid w:val="0"/>
          <w:color w:val="000000"/>
          <w:kern w:val="0"/>
          <w:highlight w:val="none"/>
          <w:u w:val="single"/>
        </w:rPr>
        <w:t xml:space="preserve">  双方协商 </w:t>
      </w:r>
      <w:r>
        <w:rPr>
          <w:rFonts w:hint="eastAsia" w:hAnsi="宋体" w:cs="宋体"/>
          <w:snapToGrid w:val="0"/>
          <w:color w:val="000000"/>
          <w:kern w:val="0"/>
          <w:highlight w:val="none"/>
        </w:rPr>
        <w:t>。</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6.2.3</w:t>
      </w:r>
      <w:r>
        <w:rPr>
          <w:rFonts w:hint="eastAsia" w:hAnsi="宋体" w:cs="宋体"/>
          <w:snapToGrid w:val="0"/>
          <w:color w:val="000000"/>
          <w:kern w:val="0"/>
          <w:highlight w:val="none"/>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pPr>
        <w:wordWrap w:val="0"/>
        <w:adjustRightInd w:val="0"/>
        <w:snapToGrid w:val="0"/>
        <w:spacing w:line="360" w:lineRule="auto"/>
        <w:rPr>
          <w:rFonts w:hAnsi="宋体" w:cs="宋体"/>
          <w:snapToGrid w:val="0"/>
          <w:color w:val="000000"/>
          <w:kern w:val="0"/>
          <w:highlight w:val="none"/>
        </w:rPr>
      </w:pPr>
      <w:r>
        <w:rPr>
          <w:rFonts w:hint="eastAsia" w:hAnsi="宋体" w:cs="宋体"/>
          <w:snapToGrid w:val="0"/>
          <w:color w:val="000000"/>
          <w:kern w:val="0"/>
          <w:highlight w:val="none"/>
        </w:rPr>
        <w:t xml:space="preserve">   发生以上情形的附加工作酬金的确定方法为：</w:t>
      </w:r>
      <w:r>
        <w:rPr>
          <w:rFonts w:hint="eastAsia" w:hAnsi="宋体" w:cs="宋体"/>
          <w:snapToGrid w:val="0"/>
          <w:color w:val="000000"/>
          <w:kern w:val="0"/>
          <w:highlight w:val="none"/>
          <w:u w:val="single"/>
        </w:rPr>
        <w:t xml:space="preserve">   双方协商 </w:t>
      </w:r>
      <w:r>
        <w:rPr>
          <w:rFonts w:hint="eastAsia" w:hAnsi="宋体" w:cs="宋体"/>
          <w:snapToGrid w:val="0"/>
          <w:color w:val="000000"/>
          <w:kern w:val="0"/>
          <w:highlight w:val="none"/>
        </w:rPr>
        <w:t>。</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6.2.4</w:t>
      </w:r>
      <w:r>
        <w:rPr>
          <w:rFonts w:hint="eastAsia" w:hAnsi="宋体" w:cs="宋体"/>
          <w:snapToGrid w:val="0"/>
          <w:color w:val="000000"/>
          <w:kern w:val="0"/>
          <w:highlight w:val="none"/>
        </w:rPr>
        <w:t xml:space="preserve"> 合同签订后，遇有与招标项目相关的法律法规、标准颁布或修订的，双方应遵照执行。由此引起监理与相关服务的范围、时间、酬金变化的，双方应通过协商进行相应调整。</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6.2.5</w:t>
      </w:r>
      <w:r>
        <w:rPr>
          <w:rFonts w:hint="eastAsia" w:hAnsi="宋体" w:cs="宋体"/>
          <w:snapToGrid w:val="0"/>
          <w:color w:val="000000"/>
          <w:kern w:val="0"/>
          <w:highlight w:val="none"/>
        </w:rPr>
        <w:t xml:space="preserve"> 因非监理人原因造成项目</w:t>
      </w:r>
      <w:r>
        <w:rPr>
          <w:rFonts w:hint="eastAsia" w:hAnsi="宋体" w:cs="宋体"/>
          <w:snapToGrid w:val="0"/>
          <w:color w:val="000000"/>
          <w:kern w:val="0"/>
          <w:highlight w:val="none"/>
          <w:u w:val="single"/>
        </w:rPr>
        <w:t xml:space="preserve"> 预</w:t>
      </w:r>
      <w:r>
        <w:rPr>
          <w:rFonts w:hint="eastAsia" w:hAnsi="宋体" w:cs="宋体"/>
          <w:snapToGrid w:val="0"/>
          <w:color w:val="000000"/>
          <w:kern w:val="0"/>
          <w:szCs w:val="22"/>
          <w:highlight w:val="none"/>
          <w:u w:val="single"/>
        </w:rPr>
        <w:t>算</w:t>
      </w:r>
      <w:r>
        <w:rPr>
          <w:rFonts w:hint="eastAsia" w:hAnsi="宋体" w:cs="宋体"/>
          <w:snapToGrid w:val="0"/>
          <w:color w:val="000000"/>
          <w:kern w:val="0"/>
          <w:highlight w:val="none"/>
          <w:u w:val="single"/>
        </w:rPr>
        <w:t xml:space="preserve"> </w:t>
      </w:r>
      <w:r>
        <w:rPr>
          <w:rFonts w:hint="eastAsia" w:hAnsi="宋体" w:cs="宋体"/>
          <w:snapToGrid w:val="0"/>
          <w:color w:val="000000"/>
          <w:kern w:val="0"/>
          <w:highlight w:val="none"/>
        </w:rPr>
        <w:t>投资额增加时，正常工作酬金应作相应调整。</w:t>
      </w:r>
    </w:p>
    <w:p>
      <w:pPr>
        <w:wordWrap w:val="0"/>
        <w:adjustRightInd w:val="0"/>
        <w:snapToGrid w:val="0"/>
        <w:spacing w:line="360" w:lineRule="auto"/>
        <w:rPr>
          <w:rFonts w:hAnsi="宋体" w:cs="宋体"/>
          <w:snapToGrid w:val="0"/>
          <w:color w:val="000000"/>
          <w:kern w:val="0"/>
          <w:highlight w:val="none"/>
        </w:rPr>
      </w:pPr>
      <w:r>
        <w:rPr>
          <w:rFonts w:hint="eastAsia" w:hAnsi="宋体" w:cs="宋体"/>
          <w:snapToGrid w:val="0"/>
          <w:color w:val="000000"/>
          <w:kern w:val="0"/>
          <w:highlight w:val="none"/>
        </w:rPr>
        <w:t xml:space="preserve">    发生以上情形的正常工作酬金增加额的确定方法为：</w:t>
      </w:r>
      <w:r>
        <w:rPr>
          <w:rFonts w:hint="eastAsia" w:hAnsi="宋体" w:cs="宋体"/>
          <w:snapToGrid w:val="0"/>
          <w:color w:val="000000"/>
          <w:kern w:val="0"/>
          <w:highlight w:val="none"/>
          <w:u w:val="single"/>
        </w:rPr>
        <w:t xml:space="preserve"> 双方协商 </w:t>
      </w:r>
      <w:r>
        <w:rPr>
          <w:rFonts w:hint="eastAsia" w:hAnsi="宋体" w:cs="宋体"/>
          <w:snapToGrid w:val="0"/>
          <w:color w:val="000000"/>
          <w:kern w:val="0"/>
          <w:highlight w:val="none"/>
        </w:rPr>
        <w:t>。</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6.2.6</w:t>
      </w:r>
      <w:r>
        <w:rPr>
          <w:rFonts w:hint="eastAsia" w:hAnsi="宋体" w:cs="宋体"/>
          <w:snapToGrid w:val="0"/>
          <w:color w:val="000000"/>
          <w:kern w:val="0"/>
          <w:highlight w:val="none"/>
        </w:rPr>
        <w:t xml:space="preserve"> 因工程规模、监理范围的变化导致监理人的正常工作量减少时，按减少工作量的比例从协议书约定的正常工作酬金中扣减相同比例的酬金。</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w:t>
      </w:r>
      <w:r>
        <w:rPr>
          <w:rFonts w:hint="eastAsia" w:hAnsi="宋体" w:cs="宋体"/>
          <w:snapToGrid w:val="0"/>
          <w:color w:val="000000"/>
          <w:kern w:val="0"/>
          <w:highlight w:val="none"/>
        </w:rPr>
        <w:t xml:space="preserve"> 暂停与解除</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除双方协商一致可以解除本合同外，当一方无正当理由未履行本合同约定的义务时，另一方可以根据本合同约定暂停履行本合同直至解除本合同。</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6.3.1</w:t>
      </w:r>
      <w:r>
        <w:rPr>
          <w:rFonts w:hint="eastAsia" w:hAnsi="宋体" w:cs="宋体"/>
          <w:snapToGrid w:val="0"/>
          <w:color w:val="000000"/>
          <w:kern w:val="0"/>
          <w:highlight w:val="none"/>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因解除本合同或解除监理人的部分义务导致监理人遭受的损失，除依法可以免除责任的情况外，应由委托人予以补偿，补偿金额由双方协商确定。</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解除本合同的协议必须采取书面形式，协议未达成之前，本合同仍然有效。</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6.3.2</w:t>
      </w:r>
      <w:r>
        <w:rPr>
          <w:rFonts w:hint="eastAsia" w:hAnsi="宋体" w:cs="宋体"/>
          <w:snapToGrid w:val="0"/>
          <w:color w:val="000000"/>
          <w:kern w:val="0"/>
          <w:highlight w:val="none"/>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本章第</w:t>
      </w:r>
      <w:r>
        <w:rPr>
          <w:rFonts w:hint="eastAsia" w:hAnsi="宋体" w:cs="宋体"/>
          <w:b/>
          <w:bCs/>
          <w:snapToGrid w:val="0"/>
          <w:color w:val="000000"/>
          <w:kern w:val="0"/>
          <w:highlight w:val="none"/>
        </w:rPr>
        <w:t>4.2</w:t>
      </w:r>
      <w:r>
        <w:rPr>
          <w:rFonts w:hint="eastAsia" w:hAnsi="宋体" w:cs="宋体"/>
          <w:snapToGrid w:val="0"/>
          <w:color w:val="000000"/>
          <w:kern w:val="0"/>
          <w:highlight w:val="none"/>
        </w:rPr>
        <w:t>条约定的责任。</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6.3.3</w:t>
      </w:r>
      <w:r>
        <w:rPr>
          <w:rFonts w:hint="eastAsia" w:hAnsi="宋体" w:cs="宋体"/>
          <w:snapToGrid w:val="0"/>
          <w:color w:val="000000"/>
          <w:kern w:val="0"/>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hAnsi="宋体" w:cs="宋体"/>
          <w:b/>
          <w:bCs/>
          <w:snapToGrid w:val="0"/>
          <w:color w:val="000000"/>
          <w:kern w:val="0"/>
          <w:highlight w:val="none"/>
        </w:rPr>
        <w:t>4.1</w:t>
      </w:r>
      <w:r>
        <w:rPr>
          <w:rFonts w:hint="eastAsia" w:hAnsi="宋体" w:cs="宋体"/>
          <w:snapToGrid w:val="0"/>
          <w:color w:val="000000"/>
          <w:kern w:val="0"/>
          <w:highlight w:val="none"/>
        </w:rPr>
        <w:t>条约定的责任。</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6.3.4</w:t>
      </w:r>
      <w:r>
        <w:rPr>
          <w:rFonts w:hint="eastAsia" w:hAnsi="宋体" w:cs="宋体"/>
          <w:snapToGrid w:val="0"/>
          <w:color w:val="000000"/>
          <w:kern w:val="0"/>
          <w:highlight w:val="none"/>
        </w:rPr>
        <w:t xml:space="preserve"> 监理人在专用条件</w:t>
      </w:r>
      <w:r>
        <w:rPr>
          <w:rFonts w:hint="eastAsia" w:hAnsi="宋体" w:cs="宋体"/>
          <w:b/>
          <w:bCs/>
          <w:snapToGrid w:val="0"/>
          <w:color w:val="000000"/>
          <w:kern w:val="0"/>
          <w:highlight w:val="none"/>
        </w:rPr>
        <w:t>5.3</w:t>
      </w:r>
      <w:r>
        <w:rPr>
          <w:rFonts w:hint="eastAsia" w:hAnsi="宋体" w:cs="宋体"/>
          <w:snapToGrid w:val="0"/>
          <w:color w:val="000000"/>
          <w:kern w:val="0"/>
          <w:highlight w:val="none"/>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本章第</w:t>
      </w:r>
      <w:r>
        <w:rPr>
          <w:rFonts w:hint="eastAsia" w:hAnsi="宋体" w:cs="宋体"/>
          <w:b/>
          <w:bCs/>
          <w:snapToGrid w:val="0"/>
          <w:color w:val="000000"/>
          <w:kern w:val="0"/>
          <w:highlight w:val="none"/>
        </w:rPr>
        <w:t>4.2.3</w:t>
      </w:r>
      <w:r>
        <w:rPr>
          <w:rFonts w:hint="eastAsia" w:hAnsi="宋体" w:cs="宋体"/>
          <w:snapToGrid w:val="0"/>
          <w:color w:val="000000"/>
          <w:kern w:val="0"/>
          <w:highlight w:val="none"/>
        </w:rPr>
        <w:t>目约定的责任。</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6.3.5</w:t>
      </w:r>
      <w:r>
        <w:rPr>
          <w:rFonts w:hint="eastAsia" w:hAnsi="宋体" w:cs="宋体"/>
          <w:snapToGrid w:val="0"/>
          <w:color w:val="000000"/>
          <w:kern w:val="0"/>
          <w:highlight w:val="none"/>
        </w:rPr>
        <w:t xml:space="preserve"> 因不可抗力致使本合同部分或全部不能履行时，一方应立即通知另一方，可暂停或解除本合同。</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6.3.6</w:t>
      </w:r>
      <w:r>
        <w:rPr>
          <w:rFonts w:hint="eastAsia" w:hAnsi="宋体" w:cs="宋体"/>
          <w:snapToGrid w:val="0"/>
          <w:color w:val="000000"/>
          <w:kern w:val="0"/>
          <w:highlight w:val="none"/>
        </w:rPr>
        <w:t xml:space="preserve"> 本合同解除后，本合同约定的有关结算、清理、争议解决方式的条件仍然有效。</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6.4</w:t>
      </w:r>
      <w:r>
        <w:rPr>
          <w:rFonts w:hint="eastAsia" w:hAnsi="宋体" w:cs="宋体"/>
          <w:snapToGrid w:val="0"/>
          <w:color w:val="000000"/>
          <w:kern w:val="0"/>
          <w:highlight w:val="none"/>
        </w:rPr>
        <w:t xml:space="preserve"> 终止</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以下条件全部满足时，本合同即告终止：</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（1）监理人完成本合同约定的全部工作；</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（2）委托人与监理人结清并支付全部酬金。</w:t>
      </w:r>
    </w:p>
    <w:p>
      <w:pPr>
        <w:wordWrap w:val="0"/>
        <w:adjustRightInd w:val="0"/>
        <w:snapToGrid w:val="0"/>
        <w:spacing w:line="360" w:lineRule="auto"/>
        <w:ind w:firstLine="482" w:firstLineChars="200"/>
        <w:rPr>
          <w:rFonts w:hAnsi="宋体" w:cs="宋体"/>
          <w:b/>
          <w:bCs/>
          <w:snapToGrid w:val="0"/>
          <w:color w:val="000000"/>
          <w:kern w:val="0"/>
          <w:highlight w:val="none"/>
        </w:rPr>
      </w:pPr>
      <w:r>
        <w:rPr>
          <w:rFonts w:hint="eastAsia" w:hAnsi="宋体" w:cs="宋体"/>
          <w:b/>
          <w:bCs/>
          <w:snapToGrid w:val="0"/>
          <w:color w:val="000000"/>
          <w:kern w:val="0"/>
          <w:highlight w:val="none"/>
        </w:rPr>
        <w:t>7．争议解决</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7.1</w:t>
      </w:r>
      <w:r>
        <w:rPr>
          <w:rFonts w:hint="eastAsia" w:hAnsi="宋体" w:cs="宋体"/>
          <w:snapToGrid w:val="0"/>
          <w:color w:val="000000"/>
          <w:kern w:val="0"/>
          <w:highlight w:val="none"/>
        </w:rPr>
        <w:t xml:space="preserve"> 协商</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双方应本着诚信原则协商解决彼此间的争议。</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7.2</w:t>
      </w:r>
      <w:r>
        <w:rPr>
          <w:rFonts w:hint="eastAsia" w:hAnsi="宋体" w:cs="宋体"/>
          <w:snapToGrid w:val="0"/>
          <w:color w:val="000000"/>
          <w:kern w:val="0"/>
          <w:highlight w:val="none"/>
        </w:rPr>
        <w:t xml:space="preserve"> 调解</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如果双方不能在14天内或双方商定的其他时间内解决本合同争议，可以将其提交给</w:t>
      </w:r>
      <w:r>
        <w:rPr>
          <w:rFonts w:hint="eastAsia" w:hAnsi="宋体" w:cs="宋体"/>
          <w:snapToGrid w:val="0"/>
          <w:color w:val="000000"/>
          <w:kern w:val="0"/>
          <w:highlight w:val="none"/>
          <w:u w:val="single"/>
        </w:rPr>
        <w:t>行政主管部门</w:t>
      </w:r>
      <w:r>
        <w:rPr>
          <w:rFonts w:hint="eastAsia" w:hAnsi="宋体" w:cs="宋体"/>
          <w:snapToGrid w:val="0"/>
          <w:color w:val="000000"/>
          <w:kern w:val="0"/>
          <w:highlight w:val="none"/>
        </w:rPr>
        <w:t>进行调解。</w:t>
      </w:r>
    </w:p>
    <w:p>
      <w:pPr>
        <w:wordWrap w:val="0"/>
        <w:adjustRightInd w:val="0"/>
        <w:snapToGrid w:val="0"/>
        <w:spacing w:line="360" w:lineRule="auto"/>
        <w:ind w:firstLine="482" w:firstLineChars="200"/>
        <w:rPr>
          <w:rFonts w:hAnsi="宋体" w:cs="宋体"/>
          <w:snapToGrid w:val="0"/>
          <w:color w:val="000000"/>
          <w:kern w:val="0"/>
          <w:highlight w:val="none"/>
        </w:rPr>
      </w:pPr>
      <w:r>
        <w:rPr>
          <w:rFonts w:hint="eastAsia" w:hAnsi="宋体" w:cs="宋体"/>
          <w:b/>
          <w:bCs/>
          <w:snapToGrid w:val="0"/>
          <w:color w:val="000000"/>
          <w:kern w:val="0"/>
          <w:highlight w:val="none"/>
        </w:rPr>
        <w:t>7.3</w:t>
      </w:r>
      <w:r>
        <w:rPr>
          <w:rFonts w:hint="eastAsia" w:hAnsi="宋体" w:cs="宋体"/>
          <w:snapToGrid w:val="0"/>
          <w:color w:val="000000"/>
          <w:kern w:val="0"/>
          <w:highlight w:val="none"/>
        </w:rPr>
        <w:t xml:space="preserve"> 仲裁或诉讼</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双方均有权不经调解直接向专用条件约定的仲裁机构申请仲裁或向有管辖权的人民法院提起诉讼。</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本合同争议的最终解决方式为下列第</w:t>
      </w:r>
      <w:r>
        <w:rPr>
          <w:rFonts w:hint="eastAsia" w:hAnsi="宋体" w:cs="宋体"/>
          <w:snapToGrid w:val="0"/>
          <w:color w:val="000000"/>
          <w:kern w:val="0"/>
          <w:highlight w:val="none"/>
          <w:u w:val="single"/>
        </w:rPr>
        <w:t xml:space="preserve"> </w:t>
      </w:r>
      <w:r>
        <w:rPr>
          <w:rFonts w:hint="eastAsia" w:hAnsi="宋体" w:cs="宋体"/>
          <w:snapToGrid w:val="0"/>
          <w:color w:val="000000"/>
          <w:kern w:val="0"/>
          <w:highlight w:val="none"/>
          <w:u w:val="single"/>
          <w:lang w:val="en-US" w:eastAsia="zh-CN"/>
        </w:rPr>
        <w:t>2</w:t>
      </w:r>
      <w:r>
        <w:rPr>
          <w:rFonts w:hint="eastAsia" w:hAnsi="宋体" w:cs="宋体"/>
          <w:snapToGrid w:val="0"/>
          <w:color w:val="000000"/>
          <w:kern w:val="0"/>
          <w:highlight w:val="none"/>
          <w:u w:val="single"/>
        </w:rPr>
        <w:t xml:space="preserve"> </w:t>
      </w:r>
      <w:r>
        <w:rPr>
          <w:rFonts w:hint="eastAsia" w:hAnsi="宋体" w:cs="宋体"/>
          <w:snapToGrid w:val="0"/>
          <w:color w:val="000000"/>
          <w:kern w:val="0"/>
          <w:highlight w:val="none"/>
        </w:rPr>
        <w:t>种方式：</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（1）提请</w:t>
      </w:r>
      <w:r>
        <w:rPr>
          <w:rFonts w:hint="eastAsia" w:hAnsi="宋体" w:cs="宋体"/>
          <w:snapToGrid w:val="0"/>
          <w:color w:val="000000"/>
          <w:kern w:val="0"/>
          <w:highlight w:val="none"/>
          <w:u w:val="single"/>
        </w:rPr>
        <w:t xml:space="preserve">  韶关   </w:t>
      </w:r>
      <w:r>
        <w:rPr>
          <w:rFonts w:hint="eastAsia" w:hAnsi="宋体" w:cs="宋体"/>
          <w:snapToGrid w:val="0"/>
          <w:color w:val="000000"/>
          <w:kern w:val="0"/>
          <w:highlight w:val="none"/>
        </w:rPr>
        <w:t>仲裁委员会进行仲裁。</w:t>
      </w:r>
    </w:p>
    <w:p>
      <w:pPr>
        <w:wordWrap w:val="0"/>
        <w:adjustRightInd w:val="0"/>
        <w:snapToGrid w:val="0"/>
        <w:spacing w:line="360" w:lineRule="auto"/>
        <w:ind w:firstLine="480" w:firstLineChars="200"/>
        <w:rPr>
          <w:rFonts w:hAnsi="宋体" w:cs="宋体"/>
          <w:snapToGrid w:val="0"/>
          <w:color w:val="000000"/>
          <w:kern w:val="0"/>
          <w:highlight w:val="none"/>
        </w:rPr>
      </w:pPr>
      <w:r>
        <w:rPr>
          <w:rFonts w:hint="eastAsia" w:hAnsi="宋体" w:cs="宋体"/>
          <w:snapToGrid w:val="0"/>
          <w:color w:val="000000"/>
          <w:kern w:val="0"/>
          <w:highlight w:val="none"/>
        </w:rPr>
        <w:t>（2）向</w:t>
      </w:r>
      <w:r>
        <w:rPr>
          <w:rFonts w:hint="eastAsia" w:hAnsi="宋体" w:cs="宋体"/>
          <w:snapToGrid w:val="0"/>
          <w:color w:val="000000"/>
          <w:kern w:val="0"/>
          <w:highlight w:val="none"/>
          <w:u w:val="single"/>
        </w:rPr>
        <w:t xml:space="preserve">  </w:t>
      </w:r>
      <w:r>
        <w:rPr>
          <w:rFonts w:hint="eastAsia" w:hAnsi="宋体" w:cs="宋体"/>
          <w:snapToGrid w:val="0"/>
          <w:color w:val="000000"/>
          <w:kern w:val="0"/>
          <w:highlight w:val="none"/>
          <w:u w:val="single"/>
          <w:lang w:val="en-US" w:eastAsia="zh-CN"/>
        </w:rPr>
        <w:t>始兴县</w:t>
      </w:r>
      <w:r>
        <w:rPr>
          <w:rFonts w:hint="eastAsia" w:hAnsi="宋体" w:cs="宋体"/>
          <w:snapToGrid w:val="0"/>
          <w:color w:val="000000"/>
          <w:kern w:val="0"/>
          <w:highlight w:val="none"/>
          <w:u w:val="single"/>
        </w:rPr>
        <w:t xml:space="preserve">  </w:t>
      </w:r>
      <w:r>
        <w:rPr>
          <w:rFonts w:hint="eastAsia" w:hAnsi="宋体" w:cs="宋体"/>
          <w:snapToGrid w:val="0"/>
          <w:color w:val="000000"/>
          <w:kern w:val="0"/>
          <w:highlight w:val="none"/>
        </w:rPr>
        <w:t>人民法院提起诉讼。</w:t>
      </w:r>
    </w:p>
    <w:p>
      <w:pPr>
        <w:keepNext w:val="0"/>
        <w:keepLines w:val="0"/>
        <w:pageBreakBefore w:val="0"/>
        <w:widowControl w:val="0"/>
        <w:kinsoku/>
        <w:wordWrap w:val="0"/>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snapToGrid w:val="0"/>
          <w:color w:val="auto"/>
          <w:kern w:val="0"/>
          <w:highlight w:val="none"/>
        </w:rPr>
      </w:pPr>
    </w:p>
    <w:p>
      <w:pPr>
        <w:pStyle w:val="10"/>
        <w:keepNext w:val="0"/>
        <w:keepLines w:val="0"/>
        <w:pageBreakBefore w:val="0"/>
        <w:widowControl w:val="0"/>
        <w:kinsoku/>
        <w:wordWrap/>
        <w:overflowPunct/>
        <w:topLinePunct w:val="0"/>
        <w:autoSpaceDE/>
        <w:autoSpaceDN/>
        <w:bidi w:val="0"/>
        <w:adjustRightInd w:val="0"/>
        <w:snapToGrid w:val="0"/>
        <w:spacing w:line="288" w:lineRule="auto"/>
        <w:textAlignment w:val="baseline"/>
        <w:outlineLvl w:val="9"/>
        <w:rPr>
          <w:rFonts w:hint="eastAsia" w:ascii="宋体" w:hAnsi="宋体" w:eastAsia="宋体" w:cs="宋体"/>
          <w:snapToGrid w:val="0"/>
          <w:color w:val="auto"/>
          <w:kern w:val="0"/>
          <w:szCs w:val="22"/>
          <w:highlight w:val="none"/>
        </w:rPr>
        <w:sectPr>
          <w:endnotePr>
            <w:numFmt w:val="decimal"/>
          </w:endnotePr>
          <w:pgSz w:w="11906" w:h="16838"/>
          <w:pgMar w:top="1440" w:right="1080" w:bottom="1440" w:left="1080" w:header="850" w:footer="992" w:gutter="0"/>
          <w:pgNumType w:fmt="decimal"/>
          <w:cols w:space="720" w:num="1"/>
          <w:docGrid w:linePitch="327" w:charSpace="0"/>
        </w:sectPr>
      </w:pPr>
    </w:p>
    <w:bookmarkEnd w:id="113"/>
    <w:bookmarkEnd w:id="114"/>
    <w:p>
      <w:pPr>
        <w:tabs>
          <w:tab w:val="left" w:pos="885"/>
        </w:tabs>
        <w:wordWrap w:val="0"/>
        <w:autoSpaceDE/>
        <w:autoSpaceDN/>
        <w:snapToGrid w:val="0"/>
        <w:spacing w:line="440" w:lineRule="exact"/>
        <w:ind w:left="885" w:hanging="885"/>
        <w:jc w:val="center"/>
        <w:outlineLvl w:val="0"/>
        <w:rPr>
          <w:rFonts w:hint="eastAsia" w:ascii="宋体" w:hAnsi="宋体" w:eastAsia="宋体" w:cs="宋体"/>
          <w:b/>
          <w:snapToGrid w:val="0"/>
          <w:color w:val="auto"/>
          <w:sz w:val="24"/>
          <w:highlight w:val="none"/>
        </w:rPr>
      </w:pPr>
      <w:bookmarkStart w:id="116" w:name="_Toc24356"/>
      <w:bookmarkStart w:id="117" w:name="_Toc21669"/>
      <w:bookmarkStart w:id="118" w:name="_Hlt69698796"/>
      <w:r>
        <w:rPr>
          <w:rFonts w:hint="eastAsia" w:ascii="宋体" w:hAnsi="宋体" w:eastAsia="宋体" w:cs="宋体"/>
          <w:b/>
          <w:snapToGrid w:val="0"/>
          <w:color w:val="auto"/>
          <w:sz w:val="24"/>
          <w:highlight w:val="none"/>
        </w:rPr>
        <w:t>第四章</w:t>
      </w:r>
      <w:bookmarkStart w:id="119" w:name="_Hlt87793853"/>
      <w:bookmarkEnd w:id="119"/>
      <w:r>
        <w:rPr>
          <w:rFonts w:hint="eastAsia" w:ascii="宋体" w:hAnsi="宋体" w:eastAsia="宋体" w:cs="宋体"/>
          <w:b/>
          <w:snapToGrid w:val="0"/>
          <w:color w:val="auto"/>
          <w:sz w:val="24"/>
          <w:highlight w:val="none"/>
        </w:rPr>
        <w:t xml:space="preserve"> 技术要求</w:t>
      </w:r>
      <w:bookmarkEnd w:id="116"/>
      <w:bookmarkEnd w:id="117"/>
    </w:p>
    <w:bookmarkEnd w:id="118"/>
    <w:p>
      <w:pPr>
        <w:keepNext w:val="0"/>
        <w:keepLines w:val="0"/>
        <w:widowControl w:val="0"/>
        <w:wordWrap w:val="0"/>
        <w:adjustRightInd w:val="0"/>
        <w:snapToGrid w:val="0"/>
        <w:spacing w:before="0" w:after="0" w:line="440" w:lineRule="exact"/>
        <w:ind w:left="643" w:firstLine="0"/>
        <w:jc w:val="both"/>
        <w:outlineLvl w:val="9"/>
        <w:rPr>
          <w:rFonts w:hint="eastAsia" w:ascii="宋体" w:hAnsi="宋体" w:eastAsia="宋体" w:cs="宋体"/>
          <w:b/>
          <w:snapToGrid w:val="0"/>
          <w:color w:val="auto"/>
          <w:highlight w:val="none"/>
        </w:rPr>
      </w:pPr>
      <w:bookmarkStart w:id="120" w:name="_Hlt69265216"/>
      <w:bookmarkEnd w:id="120"/>
      <w:bookmarkStart w:id="121" w:name="_Hlt69358207"/>
      <w:bookmarkEnd w:id="121"/>
      <w:bookmarkStart w:id="122" w:name="_Hlt68774758"/>
      <w:bookmarkEnd w:id="122"/>
      <w:bookmarkStart w:id="123" w:name="_Hlt69359335"/>
      <w:bookmarkEnd w:id="123"/>
      <w:bookmarkStart w:id="124" w:name="_Hlt87793346"/>
      <w:bookmarkEnd w:id="124"/>
      <w:bookmarkStart w:id="125" w:name="_Hlt75685840"/>
      <w:bookmarkEnd w:id="125"/>
      <w:bookmarkStart w:id="126" w:name="_Hlt66104926"/>
      <w:bookmarkEnd w:id="126"/>
      <w:bookmarkStart w:id="127" w:name="_Hlt80411122"/>
      <w:bookmarkEnd w:id="127"/>
      <w:bookmarkStart w:id="128" w:name="_Hlt87793370"/>
      <w:bookmarkEnd w:id="128"/>
      <w:bookmarkStart w:id="129" w:name="_Hlt69116854"/>
      <w:bookmarkEnd w:id="129"/>
      <w:bookmarkStart w:id="130" w:name="_Hlt69357851"/>
      <w:bookmarkEnd w:id="130"/>
    </w:p>
    <w:p>
      <w:pPr>
        <w:wordWrap w:val="0"/>
        <w:adjustRightInd w:val="0"/>
        <w:snapToGrid w:val="0"/>
        <w:spacing w:line="240" w:lineRule="auto"/>
        <w:ind w:firstLine="482" w:firstLineChars="200"/>
        <w:outlineLvl w:val="9"/>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highlight w:val="none"/>
          <w:lang w:eastAsia="zh-CN"/>
        </w:rPr>
        <w:t>市政公用工程</w:t>
      </w:r>
      <w:r>
        <w:rPr>
          <w:rFonts w:hint="eastAsia" w:ascii="宋体" w:hAnsi="宋体" w:eastAsia="宋体" w:cs="宋体"/>
          <w:b/>
          <w:snapToGrid w:val="0"/>
          <w:color w:val="auto"/>
          <w:kern w:val="0"/>
          <w:highlight w:val="none"/>
        </w:rPr>
        <w:t>建设项目</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bookmarkStart w:id="131" w:name="_Hlt69116858"/>
      <w:bookmarkEnd w:id="131"/>
      <w:bookmarkStart w:id="132" w:name="_Hlt69359245"/>
      <w:bookmarkEnd w:id="132"/>
      <w:bookmarkStart w:id="133" w:name="_Hlt69359243"/>
      <w:bookmarkEnd w:id="133"/>
      <w:bookmarkStart w:id="134" w:name="_Hlt78709799"/>
      <w:bookmarkEnd w:id="134"/>
      <w:bookmarkStart w:id="135" w:name="_Hlt69358458"/>
      <w:bookmarkEnd w:id="135"/>
      <w:bookmarkStart w:id="136" w:name="_Hlt69635252"/>
      <w:bookmarkEnd w:id="136"/>
      <w:bookmarkStart w:id="137" w:name="_Hlt69359086"/>
      <w:bookmarkEnd w:id="137"/>
      <w:r>
        <w:rPr>
          <w:rFonts w:hint="eastAsia" w:ascii="宋体" w:hAnsi="宋体" w:eastAsia="宋体" w:cs="宋体"/>
          <w:bCs/>
          <w:snapToGrid w:val="0"/>
          <w:color w:val="auto"/>
          <w:kern w:val="0"/>
          <w:highlight w:val="none"/>
          <w:lang w:eastAsia="zh-CN"/>
        </w:rPr>
        <w:t>市政公用工程</w:t>
      </w:r>
      <w:r>
        <w:rPr>
          <w:rFonts w:hint="eastAsia" w:ascii="宋体" w:hAnsi="宋体" w:eastAsia="宋体" w:cs="宋体"/>
          <w:bCs/>
          <w:snapToGrid w:val="0"/>
          <w:color w:val="auto"/>
          <w:kern w:val="0"/>
          <w:highlight w:val="none"/>
        </w:rPr>
        <w:t>建设项目必须执行的现行技术规范，包括且不限于：</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（1）《建筑工程施工质量验收统一标准》；</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（2）《建筑地基基础工程施工质量验收规范》；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（3）《砌体工程施工质量验收规范》；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（4）《混凝土结构工程施工质量验收规范》；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（5）《屋面工程质量验收规范》；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（6）《地下防水工程质量验收规范》；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（7）</w:t>
      </w:r>
      <w:bookmarkStart w:id="138" w:name="_Hlt78795211"/>
      <w:bookmarkEnd w:id="138"/>
      <w:r>
        <w:rPr>
          <w:rFonts w:hint="eastAsia" w:ascii="宋体" w:hAnsi="宋体" w:eastAsia="宋体" w:cs="宋体"/>
          <w:bCs/>
          <w:snapToGrid w:val="0"/>
          <w:color w:val="auto"/>
          <w:kern w:val="0"/>
          <w:highlight w:val="none"/>
        </w:rPr>
        <w:t>《建筑地面工程施工质量验收规范》；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（8）《建筑装饰装修工程施工质量验收规范》；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（9）《建筑给排水及采暖工程施工质量验收规范》；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（10）《建筑电气工程施工质量验收规范》；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（11）《广东省住房和城乡建设厅绿色施工导则》；</w:t>
      </w:r>
    </w:p>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（12）《广东省建筑工程绿色施工评价标准》；</w:t>
      </w:r>
    </w:p>
    <w:p>
      <w:pPr>
        <w:pStyle w:val="10"/>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baseline"/>
        <w:outlineLvl w:val="9"/>
        <w:rPr>
          <w:rFonts w:hint="eastAsia" w:ascii="宋体" w:hAnsi="宋体" w:eastAsia="宋体" w:cs="宋体"/>
          <w:bCs/>
          <w:snapToGrid w:val="0"/>
          <w:color w:val="auto"/>
          <w:kern w:val="0"/>
          <w:sz w:val="24"/>
          <w:highlight w:val="none"/>
          <w:lang w:val="en-US" w:eastAsia="zh-CN" w:bidi="ar-SA"/>
        </w:rPr>
      </w:pPr>
      <w:r>
        <w:rPr>
          <w:rFonts w:hint="eastAsia" w:ascii="宋体" w:hAnsi="宋体" w:eastAsia="宋体" w:cs="宋体"/>
          <w:bCs/>
          <w:snapToGrid w:val="0"/>
          <w:color w:val="auto"/>
          <w:kern w:val="0"/>
          <w:sz w:val="24"/>
          <w:highlight w:val="none"/>
          <w:lang w:val="en-US" w:eastAsia="zh-CN" w:bidi="ar-SA"/>
        </w:rPr>
        <w:t>（13）韶关市代建局《政府投资建设项目市政公用工程管理指引》；</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14</w:t>
      </w:r>
      <w:r>
        <w:rPr>
          <w:rFonts w:hint="eastAsia" w:ascii="宋体" w:hAnsi="宋体" w:eastAsia="宋体" w:cs="宋体"/>
          <w:bCs/>
          <w:snapToGrid w:val="0"/>
          <w:color w:val="auto"/>
          <w:kern w:val="0"/>
          <w:highlight w:val="none"/>
          <w:lang w:eastAsia="zh-CN"/>
        </w:rPr>
        <w:t xml:space="preserve">）《疾病预防控制中心建筑技术规范》  GB 50881-2013 </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15</w:t>
      </w:r>
      <w:r>
        <w:rPr>
          <w:rFonts w:hint="eastAsia" w:ascii="宋体" w:hAnsi="宋体" w:eastAsia="宋体" w:cs="宋体"/>
          <w:bCs/>
          <w:snapToGrid w:val="0"/>
          <w:color w:val="auto"/>
          <w:kern w:val="0"/>
          <w:highlight w:val="none"/>
          <w:lang w:eastAsia="zh-CN"/>
        </w:rPr>
        <w:t>）《疾病预防控制中心建设标准》  建标-127-2009</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16</w:t>
      </w:r>
      <w:r>
        <w:rPr>
          <w:rFonts w:hint="eastAsia" w:ascii="宋体" w:hAnsi="宋体" w:eastAsia="宋体" w:cs="宋体"/>
          <w:bCs/>
          <w:snapToGrid w:val="0"/>
          <w:color w:val="auto"/>
          <w:kern w:val="0"/>
          <w:highlight w:val="none"/>
          <w:lang w:eastAsia="zh-CN"/>
        </w:rPr>
        <w:t>）《病原微生物实验室生物安全通用准则》  WS233-2017</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17</w:t>
      </w:r>
      <w:r>
        <w:rPr>
          <w:rFonts w:hint="eastAsia" w:ascii="宋体" w:hAnsi="宋体" w:eastAsia="宋体" w:cs="宋体"/>
          <w:bCs/>
          <w:snapToGrid w:val="0"/>
          <w:color w:val="auto"/>
          <w:kern w:val="0"/>
          <w:highlight w:val="none"/>
          <w:lang w:eastAsia="zh-CN"/>
        </w:rPr>
        <w:t xml:space="preserve">）《实验室 生物安全通用要求》GB 19489-2008 </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18</w:t>
      </w:r>
      <w:r>
        <w:rPr>
          <w:rFonts w:hint="eastAsia" w:ascii="宋体" w:hAnsi="宋体" w:eastAsia="宋体" w:cs="宋体"/>
          <w:bCs/>
          <w:snapToGrid w:val="0"/>
          <w:color w:val="auto"/>
          <w:kern w:val="0"/>
          <w:highlight w:val="none"/>
          <w:lang w:eastAsia="zh-CN"/>
        </w:rPr>
        <w:t>）《医疗机构临床基因扩增管理办法》卫办医政发〔2010〕194号</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19</w:t>
      </w:r>
      <w:r>
        <w:rPr>
          <w:rFonts w:hint="eastAsia" w:ascii="宋体" w:hAnsi="宋体" w:eastAsia="宋体" w:cs="宋体"/>
          <w:bCs/>
          <w:snapToGrid w:val="0"/>
          <w:color w:val="auto"/>
          <w:kern w:val="0"/>
          <w:highlight w:val="none"/>
          <w:lang w:eastAsia="zh-CN"/>
        </w:rPr>
        <w:t xml:space="preserve">）《医学生物安全二级实验室建筑技术标准》  TCECS 662-2020 </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lang w:eastAsia="zh-CN"/>
        </w:rPr>
      </w:pPr>
      <w:r>
        <w:rPr>
          <w:rFonts w:hint="eastAsia" w:ascii="宋体" w:hAnsi="宋体" w:eastAsia="宋体" w:cs="宋体"/>
          <w:bCs/>
          <w:snapToGrid w:val="0"/>
          <w:color w:val="auto"/>
          <w:kern w:val="0"/>
          <w:highlight w:val="none"/>
          <w:lang w:eastAsia="zh-CN"/>
        </w:rPr>
        <w:t>（</w:t>
      </w:r>
      <w:r>
        <w:rPr>
          <w:rFonts w:hint="eastAsia" w:ascii="宋体" w:hAnsi="宋体" w:eastAsia="宋体" w:cs="宋体"/>
          <w:bCs/>
          <w:snapToGrid w:val="0"/>
          <w:color w:val="auto"/>
          <w:kern w:val="0"/>
          <w:highlight w:val="none"/>
          <w:lang w:val="en-US" w:eastAsia="zh-CN"/>
        </w:rPr>
        <w:t>20</w:t>
      </w:r>
      <w:r>
        <w:rPr>
          <w:rFonts w:hint="eastAsia" w:ascii="宋体" w:hAnsi="宋体" w:eastAsia="宋体" w:cs="宋体"/>
          <w:bCs/>
          <w:snapToGrid w:val="0"/>
          <w:color w:val="auto"/>
          <w:kern w:val="0"/>
          <w:highlight w:val="none"/>
          <w:lang w:eastAsia="zh-CN"/>
        </w:rPr>
        <w:t>）《科学实验室建筑设计规范》  JGJ91-93</w:t>
      </w:r>
    </w:p>
    <w:p>
      <w:pPr>
        <w:pStyle w:val="10"/>
        <w:spacing w:line="240" w:lineRule="auto"/>
        <w:outlineLvl w:val="9"/>
        <w:rPr>
          <w:rFonts w:hint="eastAsia" w:ascii="宋体" w:hAnsi="宋体" w:eastAsia="宋体" w:cs="宋体"/>
          <w:color w:val="auto"/>
          <w:highlight w:val="none"/>
          <w:lang w:eastAsia="zh-CN"/>
        </w:rPr>
      </w:pP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p>
    <w:p>
      <w:pPr>
        <w:wordWrap w:val="0"/>
        <w:adjustRightInd w:val="0"/>
        <w:snapToGrid w:val="0"/>
        <w:spacing w:line="240" w:lineRule="auto"/>
        <w:ind w:firstLine="482"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
          <w:snapToGrid w:val="0"/>
          <w:color w:val="auto"/>
          <w:kern w:val="0"/>
          <w:highlight w:val="none"/>
        </w:rPr>
        <w:t>2．市政基础设施工程建设项目</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szCs w:val="28"/>
          <w:highlight w:val="none"/>
        </w:rPr>
      </w:pPr>
      <w:r>
        <w:rPr>
          <w:rFonts w:hint="eastAsia" w:ascii="宋体" w:hAnsi="宋体" w:eastAsia="宋体" w:cs="宋体"/>
          <w:bCs/>
          <w:snapToGrid w:val="0"/>
          <w:color w:val="auto"/>
          <w:kern w:val="0"/>
          <w:highlight w:val="none"/>
        </w:rPr>
        <w:t>市政基础设施工程建设项目必须执行的现行技术规范，包括且不限于：</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szCs w:val="28"/>
          <w:highlight w:val="none"/>
        </w:rPr>
        <w:t>（1）《公路路基施工技术规范》</w:t>
      </w:r>
      <w:r>
        <w:rPr>
          <w:rFonts w:hint="eastAsia" w:ascii="宋体" w:hAnsi="宋体" w:eastAsia="宋体" w:cs="宋体"/>
          <w:bCs/>
          <w:snapToGrid w:val="0"/>
          <w:color w:val="auto"/>
          <w:kern w:val="0"/>
          <w:highlight w:val="none"/>
        </w:rPr>
        <w:t>；</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（2）《市政道路工程质量检验评定标准》；</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（3）《市政排水管渠工程质量检验评定标准》；</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（4）《给水排水管道工程施工及验收规范》；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（5）《城市道路路基工程施工及验收规范》；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（6）《水泥砼路面施工及验收规范》；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（7）《公路水泥砼路面施工技术规范》；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（8）《埋地硬聚氯乙烯排水管道工程技术规程》；</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（9）《沥青路面施工及验收规范》；</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（10）《广东省市政工程施工质量技术资料统一用表》。</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（11）其他现行国家、广东省关于市政工程的技术及验收规范、规程、标准。</w:t>
      </w:r>
    </w:p>
    <w:p>
      <w:pPr>
        <w:wordWrap w:val="0"/>
        <w:adjustRightInd w:val="0"/>
        <w:snapToGrid w:val="0"/>
        <w:spacing w:line="240" w:lineRule="auto"/>
        <w:ind w:firstLine="480" w:firstLineChars="200"/>
        <w:outlineLvl w:val="9"/>
        <w:rPr>
          <w:rFonts w:hint="eastAsia" w:ascii="宋体" w:hAnsi="宋体" w:eastAsia="宋体" w:cs="宋体"/>
          <w:bCs/>
          <w:snapToGrid w:val="0"/>
          <w:color w:val="auto"/>
          <w:kern w:val="0"/>
          <w:highlight w:val="none"/>
        </w:rPr>
      </w:pPr>
    </w:p>
    <w:p>
      <w:pPr>
        <w:wordWrap w:val="0"/>
        <w:adjustRightInd w:val="0"/>
        <w:snapToGrid w:val="0"/>
        <w:spacing w:line="240" w:lineRule="auto"/>
        <w:ind w:firstLine="560"/>
        <w:outlineLvl w:val="9"/>
        <w:rPr>
          <w:rFonts w:hint="eastAsia" w:ascii="宋体" w:hAnsi="宋体" w:eastAsia="宋体" w:cs="宋体"/>
          <w:strike/>
          <w:snapToGrid w:val="0"/>
          <w:color w:val="auto"/>
          <w:kern w:val="0"/>
          <w:highlight w:val="none"/>
        </w:rPr>
      </w:pPr>
      <w:r>
        <w:rPr>
          <w:rFonts w:hint="eastAsia" w:ascii="宋体" w:hAnsi="宋体" w:eastAsia="宋体" w:cs="宋体"/>
          <w:b/>
          <w:snapToGrid w:val="0"/>
          <w:color w:val="auto"/>
          <w:kern w:val="0"/>
          <w:highlight w:val="none"/>
        </w:rPr>
        <w:t>3．备查要求</w:t>
      </w:r>
    </w:p>
    <w:p>
      <w:pPr>
        <w:wordWrap w:val="0"/>
        <w:adjustRightInd w:val="0"/>
        <w:snapToGrid w:val="0"/>
        <w:spacing w:line="240" w:lineRule="auto"/>
        <w:ind w:firstLine="560"/>
        <w:outlineLvl w:val="9"/>
        <w:rPr>
          <w:rFonts w:hint="eastAsia" w:ascii="宋体" w:hAnsi="宋体" w:eastAsia="宋体" w:cs="宋体"/>
          <w:strike/>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r>
        <w:rPr>
          <w:rFonts w:hint="eastAsia" w:ascii="宋体" w:hAnsi="宋体" w:eastAsia="宋体" w:cs="宋体"/>
          <w:snapToGrid w:val="0"/>
          <w:color w:val="auto"/>
          <w:kern w:val="0"/>
          <w:highlight w:val="none"/>
        </w:rPr>
        <w:t>监理人</w:t>
      </w:r>
      <w:r>
        <w:rPr>
          <w:rFonts w:hint="eastAsia" w:ascii="宋体" w:hAnsi="宋体" w:eastAsia="宋体" w:cs="宋体"/>
          <w:bCs/>
          <w:snapToGrid w:val="0"/>
          <w:color w:val="auto"/>
          <w:kern w:val="0"/>
          <w:highlight w:val="none"/>
        </w:rPr>
        <w:t>必须在施工现场准备至少一套上述规范，委托人可随时检查监理人的上述规范，并监督监理人按规范要求执行。</w:t>
      </w:r>
      <w:bookmarkStart w:id="139" w:name="_Hlt69670335"/>
      <w:bookmarkEnd w:id="139"/>
    </w:p>
    <w:p>
      <w:pPr>
        <w:wordWrap w:val="0"/>
        <w:autoSpaceDE/>
        <w:autoSpaceDN/>
        <w:snapToGrid w:val="0"/>
        <w:spacing w:line="440" w:lineRule="exact"/>
        <w:jc w:val="center"/>
        <w:outlineLvl w:val="0"/>
        <w:rPr>
          <w:rFonts w:hint="eastAsia" w:ascii="宋体" w:hAnsi="宋体" w:eastAsia="宋体" w:cs="宋体"/>
          <w:b/>
          <w:snapToGrid w:val="0"/>
          <w:color w:val="auto"/>
          <w:sz w:val="24"/>
          <w:highlight w:val="none"/>
        </w:rPr>
      </w:pPr>
      <w:bookmarkStart w:id="140" w:name="_Hlt69338190"/>
      <w:bookmarkEnd w:id="140"/>
      <w:bookmarkStart w:id="141" w:name="_Hlt69635247"/>
      <w:bookmarkEnd w:id="141"/>
      <w:bookmarkStart w:id="142" w:name="_Hlt69265207"/>
      <w:bookmarkEnd w:id="142"/>
      <w:bookmarkStart w:id="143" w:name="_Hlt66848640"/>
      <w:bookmarkEnd w:id="143"/>
      <w:bookmarkStart w:id="144" w:name="_Hlt69116863"/>
      <w:bookmarkEnd w:id="144"/>
      <w:bookmarkStart w:id="145" w:name="_Hlt69358336"/>
      <w:bookmarkEnd w:id="145"/>
      <w:bookmarkStart w:id="146" w:name="_Toc25252"/>
      <w:bookmarkStart w:id="147" w:name="_Toc22337"/>
      <w:bookmarkStart w:id="148" w:name="_Hlt69698785"/>
      <w:r>
        <w:rPr>
          <w:rFonts w:hint="eastAsia" w:ascii="宋体" w:hAnsi="宋体" w:eastAsia="宋体" w:cs="宋体"/>
          <w:b/>
          <w:snapToGrid w:val="0"/>
          <w:color w:val="auto"/>
          <w:sz w:val="28"/>
          <w:szCs w:val="21"/>
          <w:highlight w:val="none"/>
        </w:rPr>
        <w:t xml:space="preserve">第五章 </w:t>
      </w:r>
      <w:bookmarkEnd w:id="146"/>
      <w:bookmarkStart w:id="149" w:name="_Hlt75747044"/>
      <w:bookmarkEnd w:id="149"/>
      <w:r>
        <w:rPr>
          <w:rFonts w:hint="eastAsia" w:ascii="宋体" w:hAnsi="宋体" w:eastAsia="宋体" w:cs="宋体"/>
          <w:b/>
          <w:snapToGrid w:val="0"/>
          <w:color w:val="auto"/>
          <w:sz w:val="28"/>
          <w:szCs w:val="21"/>
          <w:highlight w:val="none"/>
        </w:rPr>
        <w:t>投标文件格式</w:t>
      </w:r>
      <w:bookmarkEnd w:id="147"/>
    </w:p>
    <w:bookmarkEnd w:id="148"/>
    <w:p>
      <w:pPr>
        <w:pStyle w:val="112"/>
        <w:keepNext w:val="0"/>
        <w:keepLines w:val="0"/>
        <w:widowControl w:val="0"/>
        <w:wordWrap w:val="0"/>
        <w:adjustRightInd w:val="0"/>
        <w:snapToGrid w:val="0"/>
        <w:spacing w:before="0" w:after="0" w:line="240" w:lineRule="auto"/>
        <w:ind w:left="3640" w:leftChars="15" w:hanging="3604" w:hangingChars="1496"/>
        <w:jc w:val="both"/>
        <w:outlineLvl w:val="9"/>
        <w:rPr>
          <w:rFonts w:hint="eastAsia" w:ascii="宋体" w:hAnsi="宋体" w:eastAsia="宋体" w:cs="宋体"/>
          <w:b/>
          <w:snapToGrid w:val="0"/>
          <w:color w:val="auto"/>
          <w:highlight w:val="none"/>
        </w:rPr>
      </w:pPr>
      <w:bookmarkStart w:id="150" w:name="_附件一：投标函"/>
      <w:bookmarkEnd w:id="150"/>
      <w:bookmarkStart w:id="151" w:name="_附件五：综合评审合理低价法"/>
      <w:bookmarkEnd w:id="151"/>
      <w:bookmarkStart w:id="152" w:name="_附件一：对招标文件条款自愿接受承诺书"/>
      <w:bookmarkEnd w:id="152"/>
      <w:bookmarkStart w:id="153" w:name="_附件二：近三年度主要施工项目（竣工及在建）一览表"/>
      <w:bookmarkEnd w:id="153"/>
      <w:bookmarkStart w:id="154" w:name="_附件四：工期承诺书"/>
      <w:bookmarkEnd w:id="154"/>
      <w:bookmarkStart w:id="155" w:name="_附件二：工期承诺书"/>
      <w:bookmarkEnd w:id="155"/>
      <w:bookmarkStart w:id="156" w:name="_Toc66849200"/>
      <w:bookmarkStart w:id="157" w:name="_Toc137621693"/>
      <w:bookmarkStart w:id="158" w:name="_Hlt66847557"/>
      <w:bookmarkStart w:id="159" w:name="_Toc200338097"/>
    </w:p>
    <w:p>
      <w:pPr>
        <w:pStyle w:val="112"/>
        <w:keepNext w:val="0"/>
        <w:keepLines w:val="0"/>
        <w:widowControl w:val="0"/>
        <w:wordWrap w:val="0"/>
        <w:adjustRightInd w:val="0"/>
        <w:snapToGrid w:val="0"/>
        <w:spacing w:before="0" w:after="0" w:line="240" w:lineRule="auto"/>
        <w:ind w:left="3640" w:leftChars="15" w:hanging="3604" w:hangingChars="1496"/>
        <w:jc w:val="both"/>
        <w:outlineLvl w:val="2"/>
        <w:rPr>
          <w:rFonts w:hint="eastAsia" w:ascii="宋体" w:hAnsi="宋体" w:eastAsia="宋体" w:cs="宋体"/>
          <w:b/>
          <w:snapToGrid w:val="0"/>
          <w:color w:val="auto"/>
          <w:highlight w:val="none"/>
        </w:rPr>
      </w:pPr>
      <w:bookmarkStart w:id="160" w:name="_Toc26717"/>
      <w:bookmarkStart w:id="161" w:name="_Toc15279"/>
      <w:r>
        <w:rPr>
          <w:rFonts w:hint="eastAsia" w:ascii="宋体" w:hAnsi="宋体" w:eastAsia="宋体" w:cs="宋体"/>
          <w:b/>
          <w:snapToGrid w:val="0"/>
          <w:color w:val="auto"/>
          <w:highlight w:val="none"/>
        </w:rPr>
        <w:t>格式一 封面</w:t>
      </w:r>
      <w:bookmarkEnd w:id="160"/>
      <w:bookmarkEnd w:id="161"/>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b/>
          <w:snapToGrid w:val="0"/>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2" name="文本框 2"/>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 w:val="52"/>
                              </w:rPr>
                            </w:pPr>
                            <w:r>
                              <w:rPr>
                                <w:rFonts w:hint="eastAsia"/>
                                <w:b/>
                                <w:bCs/>
                                <w:sz w:val="52"/>
                              </w:rPr>
                              <w:t>正本（或副本）</w:t>
                            </w:r>
                          </w:p>
                        </w:txbxContent>
                      </wps:txbx>
                      <wps:bodyPr wrap="square" upright="1"/>
                    </wps:wsp>
                  </a:graphicData>
                </a:graphic>
              </wp:anchor>
            </w:drawing>
          </mc:Choice>
          <mc:Fallback>
            <w:pict>
              <v:shape id="_x0000_s1026" o:spid="_x0000_s1026" o:spt="202" type="#_x0000_t202" style="position:absolute;left:0pt;margin-left:269pt;margin-top:8.2pt;height:39pt;width:177.75pt;z-index:251660288;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zlckXZAAAACQEAAA8A&#10;AAAAAAAAAQAgAAAAIgAAAGRycy9kb3ducmV2LnhtbFBLAQIUABQAAAAIAIdO4kCAAfK0FgIAAEQE&#10;AAAOAAAAAAAAAAEAIAAAACgBAABkcnMvZTJvRG9jLnhtbFBLBQYAAAAABgAGAFkBAACwBQAAAAA=&#10;">
                <v:fill on="t" focussize="0,0"/>
                <v:stroke color="#000000" joinstyle="miter"/>
                <v:imagedata o:title=""/>
                <o:lock v:ext="edit" aspectratio="f"/>
                <v:textbox>
                  <w:txbxContent>
                    <w:p>
                      <w:pPr>
                        <w:rPr>
                          <w:rFonts w:hint="eastAsia"/>
                          <w:b/>
                          <w:bCs/>
                          <w:sz w:val="52"/>
                        </w:rPr>
                      </w:pPr>
                      <w:r>
                        <w:rPr>
                          <w:rFonts w:hint="eastAsia"/>
                          <w:b/>
                          <w:bCs/>
                          <w:sz w:val="52"/>
                        </w:rPr>
                        <w:t>正本（或副本）</w:t>
                      </w:r>
                    </w:p>
                  </w:txbxContent>
                </v:textbox>
              </v:shape>
            </w:pict>
          </mc:Fallback>
        </mc:AlternateContent>
      </w:r>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ind w:left="0" w:leftChars="0" w:firstLine="0" w:firstLineChars="0"/>
        <w:outlineLvl w:val="9"/>
        <w:rPr>
          <w:rFonts w:hint="eastAsia" w:ascii="宋体" w:hAnsi="宋体" w:eastAsia="宋体" w:cs="宋体"/>
          <w:b/>
          <w:snapToGrid w:val="0"/>
          <w:color w:val="auto"/>
          <w:sz w:val="24"/>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Cs/>
          <w:snapToGrid w:val="0"/>
          <w:color w:val="auto"/>
          <w:sz w:val="48"/>
          <w:szCs w:val="48"/>
          <w:highlight w:val="none"/>
          <w:u w:val="single"/>
          <w:lang w:eastAsia="zh-CN"/>
        </w:rPr>
      </w:pPr>
      <w:r>
        <w:rPr>
          <w:rFonts w:hint="eastAsia" w:ascii="宋体" w:hAnsi="宋体" w:eastAsia="宋体" w:cs="宋体"/>
          <w:bCs/>
          <w:snapToGrid w:val="0"/>
          <w:color w:val="auto"/>
          <w:sz w:val="48"/>
          <w:szCs w:val="48"/>
          <w:highlight w:val="none"/>
          <w:u w:val="single"/>
          <w:lang w:eastAsia="zh-CN"/>
        </w:rPr>
        <w:t>粤北区域高水平疾控中心综合实验大楼</w:t>
      </w: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sz w:val="48"/>
          <w:szCs w:val="48"/>
          <w:highlight w:val="none"/>
        </w:rPr>
      </w:pPr>
      <w:r>
        <w:rPr>
          <w:rFonts w:hint="eastAsia" w:ascii="宋体" w:hAnsi="宋体" w:eastAsia="宋体" w:cs="宋体"/>
          <w:bCs/>
          <w:snapToGrid w:val="0"/>
          <w:color w:val="auto"/>
          <w:sz w:val="48"/>
          <w:szCs w:val="48"/>
          <w:highlight w:val="none"/>
          <w:u w:val="single"/>
          <w:lang w:eastAsia="zh-CN"/>
        </w:rPr>
        <w:t>建设项目-主体工程监理</w:t>
      </w: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sz w:val="72"/>
          <w:highlight w:val="none"/>
        </w:rPr>
      </w:pPr>
      <w:r>
        <w:rPr>
          <w:rFonts w:hint="eastAsia" w:ascii="宋体" w:hAnsi="宋体" w:eastAsia="宋体" w:cs="宋体"/>
          <w:b/>
          <w:snapToGrid w:val="0"/>
          <w:color w:val="auto"/>
          <w:sz w:val="72"/>
          <w:highlight w:val="none"/>
        </w:rPr>
        <w:t>投  标  文  件</w:t>
      </w: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sz w:val="48"/>
          <w:szCs w:val="48"/>
          <w:highlight w:val="none"/>
        </w:rPr>
      </w:pPr>
      <w:r>
        <w:rPr>
          <w:rFonts w:hint="eastAsia" w:ascii="宋体" w:hAnsi="宋体" w:eastAsia="宋体" w:cs="宋体"/>
          <w:b/>
          <w:snapToGrid w:val="0"/>
          <w:color w:val="auto"/>
          <w:sz w:val="48"/>
          <w:szCs w:val="48"/>
          <w:highlight w:val="none"/>
        </w:rPr>
        <w:t>（商务标书／监理大纲）</w:t>
      </w:r>
    </w:p>
    <w:p>
      <w:pPr>
        <w:pStyle w:val="113"/>
        <w:widowControl w:val="0"/>
        <w:wordWrap w:val="0"/>
        <w:adjustRightInd w:val="0"/>
        <w:snapToGrid w:val="0"/>
        <w:spacing w:line="240" w:lineRule="auto"/>
        <w:outlineLvl w:val="9"/>
        <w:rPr>
          <w:rFonts w:hint="eastAsia" w:ascii="宋体" w:hAnsi="宋体" w:eastAsia="宋体" w:cs="宋体"/>
          <w:b/>
          <w:snapToGrid w:val="0"/>
          <w:color w:val="auto"/>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ind w:left="0" w:leftChars="0" w:firstLine="0" w:firstLineChars="0"/>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outlineLvl w:val="9"/>
        <w:rPr>
          <w:rFonts w:hint="eastAsia" w:ascii="宋体" w:hAnsi="宋体" w:eastAsia="宋体" w:cs="宋体"/>
          <w:b/>
          <w:snapToGrid w:val="0"/>
          <w:color w:val="auto"/>
          <w:sz w:val="32"/>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pPr>
        <w:pStyle w:val="113"/>
        <w:widowControl w:val="0"/>
        <w:wordWrap w:val="0"/>
        <w:adjustRightInd w:val="0"/>
        <w:snapToGrid w:val="0"/>
        <w:spacing w:line="240" w:lineRule="auto"/>
        <w:ind w:firstLine="0"/>
        <w:jc w:val="center"/>
        <w:outlineLvl w:val="9"/>
        <w:rPr>
          <w:rFonts w:hint="eastAsia" w:ascii="宋体" w:hAnsi="宋体" w:eastAsia="宋体" w:cs="宋体"/>
          <w:bCs/>
          <w:snapToGrid w:val="0"/>
          <w:color w:val="auto"/>
          <w:sz w:val="32"/>
          <w:highlight w:val="none"/>
        </w:rPr>
      </w:pPr>
    </w:p>
    <w:p>
      <w:pPr>
        <w:pStyle w:val="113"/>
        <w:widowControl w:val="0"/>
        <w:wordWrap w:val="0"/>
        <w:adjustRightInd w:val="0"/>
        <w:snapToGrid w:val="0"/>
        <w:spacing w:line="240" w:lineRule="auto"/>
        <w:ind w:firstLine="0"/>
        <w:jc w:val="both"/>
        <w:outlineLvl w:val="9"/>
        <w:rPr>
          <w:rFonts w:hint="eastAsia" w:ascii="宋体" w:hAnsi="宋体" w:eastAsia="宋体" w:cs="宋体"/>
          <w:bCs/>
          <w:snapToGrid w:val="0"/>
          <w:color w:val="auto"/>
          <w:sz w:val="32"/>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pPr>
        <w:pStyle w:val="113"/>
        <w:widowControl w:val="0"/>
        <w:wordWrap w:val="0"/>
        <w:adjustRightInd w:val="0"/>
        <w:snapToGrid w:val="0"/>
        <w:spacing w:line="240" w:lineRule="auto"/>
        <w:ind w:firstLine="0"/>
        <w:jc w:val="center"/>
        <w:outlineLvl w:val="9"/>
        <w:rPr>
          <w:rFonts w:hint="eastAsia" w:ascii="宋体" w:hAnsi="宋体" w:eastAsia="宋体" w:cs="宋体"/>
          <w:bCs/>
          <w:snapToGrid w:val="0"/>
          <w:color w:val="auto"/>
          <w:sz w:val="32"/>
          <w:highlight w:val="none"/>
        </w:rPr>
      </w:pPr>
    </w:p>
    <w:p>
      <w:pPr>
        <w:pStyle w:val="113"/>
        <w:widowControl w:val="0"/>
        <w:wordWrap w:val="0"/>
        <w:adjustRightInd w:val="0"/>
        <w:snapToGrid w:val="0"/>
        <w:spacing w:line="240" w:lineRule="auto"/>
        <w:ind w:firstLine="0"/>
        <w:jc w:val="center"/>
        <w:outlineLvl w:val="9"/>
        <w:rPr>
          <w:rFonts w:hint="eastAsia" w:ascii="宋体" w:hAnsi="宋体" w:eastAsia="宋体" w:cs="宋体"/>
          <w:bCs/>
          <w:snapToGrid w:val="0"/>
          <w:color w:val="auto"/>
          <w:sz w:val="32"/>
          <w:highlight w:val="none"/>
          <w:u w:val="single"/>
        </w:rPr>
      </w:pPr>
    </w:p>
    <w:p>
      <w:pPr>
        <w:pStyle w:val="113"/>
        <w:widowControl w:val="0"/>
        <w:wordWrap w:val="0"/>
        <w:adjustRightInd w:val="0"/>
        <w:snapToGrid w:val="0"/>
        <w:spacing w:line="240" w:lineRule="auto"/>
        <w:ind w:firstLine="0"/>
        <w:jc w:val="center"/>
        <w:outlineLvl w:val="9"/>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pPr>
        <w:pStyle w:val="113"/>
        <w:widowControl w:val="0"/>
        <w:wordWrap w:val="0"/>
        <w:adjustRightInd w:val="0"/>
        <w:snapToGrid w:val="0"/>
        <w:outlineLvl w:val="9"/>
        <w:rPr>
          <w:rFonts w:hint="eastAsia" w:ascii="宋体" w:hAnsi="宋体" w:eastAsia="宋体" w:cs="宋体"/>
          <w:b/>
          <w:snapToGrid w:val="0"/>
          <w:color w:val="auto"/>
          <w:highlight w:val="none"/>
        </w:rPr>
      </w:pPr>
    </w:p>
    <w:p>
      <w:pPr>
        <w:keepNext w:val="0"/>
        <w:keepLines w:val="0"/>
        <w:widowControl w:val="0"/>
        <w:wordWrap w:val="0"/>
        <w:adjustRightInd w:val="0"/>
        <w:snapToGrid w:val="0"/>
        <w:spacing w:before="0" w:after="0" w:line="440" w:lineRule="exact"/>
        <w:ind w:firstLine="0"/>
        <w:jc w:val="left"/>
        <w:outlineLvl w:val="2"/>
        <w:rPr>
          <w:rFonts w:hint="eastAsia" w:ascii="宋体" w:hAnsi="宋体" w:eastAsia="宋体" w:cs="宋体"/>
          <w:b/>
          <w:snapToGrid w:val="0"/>
          <w:color w:val="auto"/>
          <w:highlight w:val="none"/>
        </w:rPr>
      </w:pPr>
      <w:bookmarkStart w:id="162" w:name="_Toc32355"/>
      <w:bookmarkStart w:id="163" w:name="_Toc104711098"/>
      <w:bookmarkStart w:id="164" w:name="_Toc106418843"/>
      <w:bookmarkStart w:id="165" w:name="_Toc28280"/>
      <w:r>
        <w:rPr>
          <w:rFonts w:hint="eastAsia" w:ascii="宋体" w:hAnsi="宋体" w:eastAsia="宋体" w:cs="宋体"/>
          <w:b/>
          <w:snapToGrid w:val="0"/>
          <w:color w:val="auto"/>
          <w:highlight w:val="none"/>
        </w:rPr>
        <w:t>格式</w:t>
      </w:r>
      <w:bookmarkStart w:id="166" w:name="_Hlt97526007"/>
      <w:bookmarkEnd w:id="166"/>
      <w:r>
        <w:rPr>
          <w:rFonts w:hint="eastAsia" w:ascii="宋体" w:hAnsi="宋体" w:eastAsia="宋体" w:cs="宋体"/>
          <w:b/>
          <w:snapToGrid w:val="0"/>
          <w:color w:val="auto"/>
          <w:highlight w:val="none"/>
        </w:rPr>
        <w:t>二 投标函</w:t>
      </w:r>
      <w:bookmarkEnd w:id="162"/>
    </w:p>
    <w:p>
      <w:pPr>
        <w:keepNext w:val="0"/>
        <w:keepLines w:val="0"/>
        <w:widowControl w:val="0"/>
        <w:wordWrap w:val="0"/>
        <w:adjustRightInd w:val="0"/>
        <w:snapToGrid w:val="0"/>
        <w:spacing w:before="260" w:after="260" w:line="440" w:lineRule="exact"/>
        <w:ind w:firstLine="0"/>
        <w:jc w:val="center"/>
        <w:outlineLvl w:val="9"/>
        <w:rPr>
          <w:rFonts w:hint="eastAsia" w:ascii="宋体" w:hAnsi="宋体" w:eastAsia="宋体" w:cs="宋体"/>
          <w:b/>
          <w:snapToGrid w:val="0"/>
          <w:color w:val="auto"/>
          <w:highlight w:val="none"/>
        </w:rPr>
      </w:pPr>
      <w:r>
        <w:rPr>
          <w:rFonts w:hint="eastAsia" w:ascii="宋体" w:hAnsi="宋体" w:eastAsia="宋体" w:cs="宋体"/>
          <w:b/>
          <w:snapToGrid w:val="0"/>
          <w:color w:val="auto"/>
          <w:sz w:val="30"/>
          <w:highlight w:val="none"/>
        </w:rPr>
        <w:t>投  标  函</w:t>
      </w:r>
      <w:bookmarkEnd w:id="163"/>
      <w:bookmarkEnd w:id="164"/>
      <w:bookmarkEnd w:id="165"/>
    </w:p>
    <w:p>
      <w:pPr>
        <w:wordWrap w:val="0"/>
        <w:adjustRightInd w:val="0"/>
        <w:snapToGrid w:val="0"/>
        <w:spacing w:line="440" w:lineRule="exact"/>
        <w:jc w:val="center"/>
        <w:outlineLvl w:val="9"/>
        <w:rPr>
          <w:rFonts w:hint="eastAsia" w:ascii="宋体" w:hAnsi="宋体" w:eastAsia="宋体" w:cs="宋体"/>
          <w:b/>
          <w:snapToGrid w:val="0"/>
          <w:color w:val="auto"/>
          <w:kern w:val="0"/>
          <w:highlight w:val="none"/>
        </w:rPr>
      </w:pPr>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（招标人名称）</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rPr>
        <w:t xml:space="preserve">1. </w:t>
      </w:r>
      <w:r>
        <w:rPr>
          <w:rFonts w:hint="eastAsia" w:ascii="宋体" w:hAnsi="宋体" w:eastAsia="宋体" w:cs="宋体"/>
          <w:snapToGrid w:val="0"/>
          <w:color w:val="auto"/>
          <w:kern w:val="0"/>
          <w:szCs w:val="22"/>
          <w:highlight w:val="none"/>
        </w:rPr>
        <w:t>我方在</w:t>
      </w:r>
      <w:r>
        <w:rPr>
          <w:rFonts w:hint="eastAsia" w:ascii="宋体" w:hAnsi="宋体" w:eastAsia="宋体" w:cs="宋体"/>
          <w:snapToGrid w:val="0"/>
          <w:color w:val="auto"/>
          <w:kern w:val="0"/>
          <w:highlight w:val="none"/>
        </w:rPr>
        <w:t>仔细研究</w:t>
      </w:r>
      <w:r>
        <w:rPr>
          <w:rFonts w:hint="eastAsia" w:ascii="宋体" w:hAnsi="宋体" w:eastAsia="宋体" w:cs="宋体"/>
          <w:snapToGrid w:val="0"/>
          <w:color w:val="auto"/>
          <w:kern w:val="0"/>
          <w:highlight w:val="none"/>
          <w:u w:val="single"/>
          <w:lang w:eastAsia="zh-CN"/>
        </w:rPr>
        <w:t>始兴县墨江流域农村污水综合治理工程一期（太平镇标段）施工监理</w:t>
      </w:r>
      <w:r>
        <w:rPr>
          <w:rFonts w:hint="eastAsia" w:ascii="宋体" w:hAnsi="宋体" w:eastAsia="宋体" w:cs="宋体"/>
          <w:snapToGrid w:val="0"/>
          <w:color w:val="auto"/>
          <w:kern w:val="0"/>
          <w:highlight w:val="none"/>
        </w:rPr>
        <w:t>（以下简称“本项目”）招标文件的全部内容后，结合自身资质、能力和特点，愿意接受招标文件的全部内容和条件。兹以人民币（大写）：</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2"/>
          <w:highlight w:val="none"/>
        </w:rPr>
        <w:t>的投标总价</w:t>
      </w:r>
      <w:r>
        <w:rPr>
          <w:rFonts w:hint="eastAsia" w:ascii="宋体" w:hAnsi="宋体" w:eastAsia="宋体" w:cs="宋体"/>
          <w:snapToGrid w:val="0"/>
          <w:color w:val="auto"/>
          <w:kern w:val="0"/>
          <w:highlight w:val="none"/>
        </w:rPr>
        <w:t>竞投本项目</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caps w:val="0"/>
          <w:smallCaps w:val="0"/>
          <w:snapToGrid w:val="0"/>
          <w:color w:val="auto"/>
          <w:spacing w:val="0"/>
          <w:kern w:val="0"/>
          <w:highlight w:val="none"/>
          <w:u w:val="single" w:color="auto"/>
          <w:lang w:eastAsia="zh-CN"/>
        </w:rPr>
        <w:t>监理及相关服务</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rPr>
        <w:t>。</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 如果我方中标，我方保证按照委托人发出的开始监理通知中写明的日期开始本项目的</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caps w:val="0"/>
          <w:smallCaps w:val="0"/>
          <w:snapToGrid w:val="0"/>
          <w:color w:val="auto"/>
          <w:spacing w:val="0"/>
          <w:kern w:val="0"/>
          <w:highlight w:val="none"/>
          <w:u w:val="single" w:color="auto"/>
          <w:lang w:eastAsia="zh-CN"/>
        </w:rPr>
        <w:t>监理及相关服务</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，并在合同约定的服务期限内完成合同规定的全部义务。</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 本投标函在你方接收我方</w:t>
      </w:r>
      <w:r>
        <w:rPr>
          <w:rFonts w:hint="eastAsia" w:ascii="宋体" w:hAnsi="宋体" w:eastAsia="宋体" w:cs="宋体"/>
          <w:snapToGrid w:val="0"/>
          <w:color w:val="auto"/>
          <w:kern w:val="0"/>
          <w:highlight w:val="none"/>
          <w:lang w:val="en-US" w:eastAsia="zh-CN"/>
        </w:rPr>
        <w:t>提交</w:t>
      </w:r>
      <w:r>
        <w:rPr>
          <w:rFonts w:hint="eastAsia" w:ascii="宋体" w:hAnsi="宋体" w:eastAsia="宋体" w:cs="宋体"/>
          <w:snapToGrid w:val="0"/>
          <w:color w:val="auto"/>
          <w:kern w:val="0"/>
          <w:highlight w:val="none"/>
        </w:rPr>
        <w:t>的</w:t>
      </w:r>
      <w:r>
        <w:rPr>
          <w:rFonts w:hint="eastAsia" w:ascii="宋体" w:hAnsi="宋体" w:eastAsia="宋体" w:cs="宋体"/>
          <w:snapToGrid w:val="0"/>
          <w:color w:val="auto"/>
          <w:kern w:val="0"/>
          <w:highlight w:val="none"/>
          <w:lang w:val="en-US" w:eastAsia="zh-CN"/>
        </w:rPr>
        <w:t>电子</w:t>
      </w:r>
      <w:r>
        <w:rPr>
          <w:rFonts w:hint="eastAsia" w:ascii="宋体" w:hAnsi="宋体" w:eastAsia="宋体" w:cs="宋体"/>
          <w:snapToGrid w:val="0"/>
          <w:color w:val="auto"/>
          <w:kern w:val="0"/>
          <w:highlight w:val="none"/>
        </w:rPr>
        <w:t>投标文件之日起、到招标文件规定的投标有效期期满前对我方具有约束力。我方随时准备接受你方发出的中标通知书。</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4．我方在此声明，我方不存在本项目招标文件第一章第三节第</w:t>
      </w:r>
      <w:r>
        <w:rPr>
          <w:rFonts w:hint="eastAsia" w:ascii="宋体" w:hAnsi="宋体" w:eastAsia="宋体" w:cs="宋体"/>
          <w:b/>
          <w:bCs/>
          <w:snapToGrid w:val="0"/>
          <w:color w:val="auto"/>
          <w:kern w:val="0"/>
          <w:highlight w:val="none"/>
        </w:rPr>
        <w:t>2.4</w:t>
      </w:r>
      <w:r>
        <w:rPr>
          <w:rFonts w:hint="eastAsia" w:ascii="宋体" w:hAnsi="宋体" w:eastAsia="宋体" w:cs="宋体"/>
          <w:snapToGrid w:val="0"/>
          <w:color w:val="auto"/>
          <w:kern w:val="0"/>
          <w:highlight w:val="none"/>
        </w:rPr>
        <w:t>条“禁止投标条款”所列出的任何一种情形，并愿意承担因我方就此弄虚作假所引起的一切法律后果。</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5．我方在此承诺，所</w:t>
      </w:r>
      <w:r>
        <w:rPr>
          <w:rFonts w:hint="eastAsia" w:ascii="宋体" w:hAnsi="宋体" w:eastAsia="宋体" w:cs="宋体"/>
          <w:snapToGrid w:val="0"/>
          <w:color w:val="auto"/>
          <w:kern w:val="0"/>
          <w:highlight w:val="none"/>
          <w:lang w:eastAsia="zh-CN"/>
        </w:rPr>
        <w:t>提交电子投标文件</w:t>
      </w:r>
      <w:r>
        <w:rPr>
          <w:rFonts w:hint="eastAsia" w:ascii="宋体" w:hAnsi="宋体" w:eastAsia="宋体" w:cs="宋体"/>
          <w:snapToGrid w:val="0"/>
          <w:color w:val="auto"/>
          <w:kern w:val="0"/>
          <w:highlight w:val="none"/>
        </w:rPr>
        <w:t>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rPr>
      </w:pPr>
      <w:bookmarkStart w:id="167" w:name="_Hlt68771070"/>
      <w:bookmarkEnd w:id="167"/>
      <w:r>
        <w:rPr>
          <w:rFonts w:hint="eastAsia" w:ascii="宋体" w:hAnsi="宋体" w:eastAsia="宋体" w:cs="宋体"/>
          <w:snapToGrid w:val="0"/>
          <w:color w:val="auto"/>
          <w:kern w:val="0"/>
          <w:highlight w:val="none"/>
        </w:rPr>
        <w:t>6. 我方理解你方不一定要接纳收到的最低投标总价或任何投标总价的投标人中标，也不要求你方解释我方是否中标的原因。</w:t>
      </w:r>
    </w:p>
    <w:p>
      <w:pPr>
        <w:wordWrap w:val="0"/>
        <w:adjustRightInd w:val="0"/>
        <w:snapToGrid w:val="0"/>
        <w:spacing w:line="440" w:lineRule="exact"/>
        <w:ind w:firstLine="57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p>
    <w:p>
      <w:pPr>
        <w:wordWrap w:val="0"/>
        <w:adjustRightInd w:val="0"/>
        <w:snapToGrid w:val="0"/>
        <w:spacing w:line="440" w:lineRule="exact"/>
        <w:outlineLvl w:val="9"/>
        <w:rPr>
          <w:rFonts w:hint="eastAsia" w:ascii="宋体" w:hAnsi="宋体" w:eastAsia="宋体" w:cs="宋体"/>
          <w:snapToGrid w:val="0"/>
          <w:color w:val="auto"/>
          <w:kern w:val="0"/>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投标人：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（盖单位章）</w:t>
      </w:r>
    </w:p>
    <w:p>
      <w:pPr>
        <w:wordWrap w:val="0"/>
        <w:adjustRightInd w:val="0"/>
        <w:snapToGrid w:val="0"/>
        <w:spacing w:line="440" w:lineRule="exact"/>
        <w:jc w:val="both"/>
        <w:outlineLvl w:val="9"/>
        <w:rPr>
          <w:rFonts w:hint="eastAsia" w:ascii="宋体" w:hAnsi="宋体" w:eastAsia="宋体" w:cs="宋体"/>
          <w:snapToGrid w:val="0"/>
          <w:color w:val="auto"/>
          <w:kern w:val="0"/>
          <w:highlight w:val="none"/>
        </w:rPr>
      </w:pPr>
    </w:p>
    <w:p>
      <w:pPr>
        <w:wordWrap w:val="0"/>
        <w:adjustRightInd w:val="0"/>
        <w:snapToGrid w:val="0"/>
        <w:spacing w:line="440" w:lineRule="exact"/>
        <w:ind w:firstLine="480" w:firstLineChars="200"/>
        <w:jc w:val="righ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法定代表人或其委托代理人：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（签字或盖章）</w:t>
      </w:r>
    </w:p>
    <w:p>
      <w:pPr>
        <w:wordWrap w:val="0"/>
        <w:adjustRightInd w:val="0"/>
        <w:snapToGrid w:val="0"/>
        <w:spacing w:line="440" w:lineRule="exact"/>
        <w:ind w:firstLine="480" w:firstLineChars="200"/>
        <w:jc w:val="right"/>
        <w:outlineLvl w:val="9"/>
        <w:rPr>
          <w:rFonts w:hint="eastAsia" w:ascii="宋体" w:hAnsi="宋体" w:eastAsia="宋体" w:cs="宋体"/>
          <w:snapToGrid w:val="0"/>
          <w:color w:val="auto"/>
          <w:kern w:val="0"/>
          <w:highlight w:val="none"/>
        </w:rPr>
      </w:pPr>
    </w:p>
    <w:p>
      <w:pPr>
        <w:wordWrap w:val="0"/>
        <w:adjustRightInd w:val="0"/>
        <w:snapToGrid w:val="0"/>
        <w:spacing w:line="440" w:lineRule="exact"/>
        <w:jc w:val="left"/>
        <w:outlineLvl w:val="9"/>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pPr>
        <w:pStyle w:val="113"/>
        <w:widowControl w:val="0"/>
        <w:wordWrap w:val="0"/>
        <w:adjustRightInd w:val="0"/>
        <w:snapToGrid w:val="0"/>
        <w:spacing w:line="400" w:lineRule="exact"/>
        <w:ind w:firstLine="0"/>
        <w:outlineLvl w:val="2"/>
        <w:rPr>
          <w:rFonts w:hint="eastAsia" w:ascii="宋体" w:hAnsi="宋体" w:eastAsia="宋体" w:cs="宋体"/>
          <w:b/>
          <w:snapToGrid w:val="0"/>
          <w:color w:val="auto"/>
          <w:sz w:val="24"/>
          <w:highlight w:val="none"/>
        </w:rPr>
      </w:pPr>
      <w:bookmarkStart w:id="168" w:name="_Toc32560"/>
      <w:r>
        <w:rPr>
          <w:rFonts w:hint="eastAsia" w:ascii="宋体" w:hAnsi="宋体" w:eastAsia="宋体" w:cs="宋体"/>
          <w:b/>
          <w:snapToGrid w:val="0"/>
          <w:color w:val="auto"/>
          <w:sz w:val="24"/>
          <w:highlight w:val="none"/>
        </w:rPr>
        <w:t>格式三 各项承诺一览表</w:t>
      </w:r>
      <w:bookmarkEnd w:id="168"/>
    </w:p>
    <w:p>
      <w:pPr>
        <w:pStyle w:val="112"/>
        <w:keepNext w:val="0"/>
        <w:keepLines w:val="0"/>
        <w:widowControl w:val="0"/>
        <w:wordWrap w:val="0"/>
        <w:adjustRightInd w:val="0"/>
        <w:snapToGrid w:val="0"/>
        <w:spacing w:before="260" w:after="260" w:line="440" w:lineRule="exact"/>
        <w:ind w:firstLine="0"/>
        <w:outlineLvl w:val="9"/>
        <w:rPr>
          <w:rFonts w:hint="eastAsia" w:ascii="宋体" w:hAnsi="宋体" w:eastAsia="宋体" w:cs="宋体"/>
          <w:b/>
          <w:snapToGrid w:val="0"/>
          <w:color w:val="auto"/>
          <w:highlight w:val="none"/>
        </w:rPr>
      </w:pPr>
      <w:bookmarkStart w:id="169" w:name="_Toc5981"/>
      <w:bookmarkStart w:id="170" w:name="_Toc16802"/>
      <w:r>
        <w:rPr>
          <w:rFonts w:hint="eastAsia" w:ascii="宋体" w:hAnsi="宋体" w:eastAsia="宋体" w:cs="宋体"/>
          <w:b/>
          <w:snapToGrid w:val="0"/>
          <w:color w:val="auto"/>
          <w:sz w:val="30"/>
          <w:highlight w:val="none"/>
        </w:rPr>
        <w:t>各项承诺一览表</w:t>
      </w:r>
      <w:bookmarkEnd w:id="169"/>
      <w:bookmarkEnd w:id="17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序号</w:t>
            </w:r>
          </w:p>
        </w:tc>
        <w:tc>
          <w:tcPr>
            <w:tcW w:w="1573" w:type="dxa"/>
            <w:noWrap w:val="0"/>
            <w:vAlign w:val="center"/>
          </w:tcPr>
          <w:p>
            <w:pPr>
              <w:pStyle w:val="114"/>
              <w:wordWrap w:val="0"/>
              <w:adjustRightInd w:val="0"/>
              <w:snapToGrid w:val="0"/>
              <w:spacing w:line="380" w:lineRule="exact"/>
              <w:jc w:val="center"/>
              <w:outlineLvl w:val="9"/>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承诺事项</w:t>
            </w:r>
          </w:p>
        </w:tc>
        <w:tc>
          <w:tcPr>
            <w:tcW w:w="2923" w:type="dxa"/>
            <w:noWrap w:val="0"/>
            <w:vAlign w:val="center"/>
          </w:tcPr>
          <w:p>
            <w:pPr>
              <w:pStyle w:val="114"/>
              <w:wordWrap w:val="0"/>
              <w:adjustRightInd w:val="0"/>
              <w:snapToGrid w:val="0"/>
              <w:spacing w:line="380" w:lineRule="exact"/>
              <w:jc w:val="center"/>
              <w:outlineLvl w:val="9"/>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承诺内容</w:t>
            </w:r>
          </w:p>
        </w:tc>
        <w:tc>
          <w:tcPr>
            <w:tcW w:w="4019" w:type="dxa"/>
            <w:noWrap w:val="0"/>
            <w:vAlign w:val="center"/>
          </w:tcPr>
          <w:p>
            <w:pPr>
              <w:pStyle w:val="114"/>
              <w:wordWrap w:val="0"/>
              <w:adjustRightInd w:val="0"/>
              <w:snapToGrid w:val="0"/>
              <w:spacing w:line="380" w:lineRule="exact"/>
              <w:jc w:val="center"/>
              <w:outlineLvl w:val="9"/>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自愿接受招标</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文件条款的承诺</w:t>
            </w:r>
          </w:p>
        </w:tc>
        <w:tc>
          <w:tcPr>
            <w:tcW w:w="2923"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我方自愿接受招标文件的所有条款，所</w:t>
            </w:r>
            <w:r>
              <w:rPr>
                <w:rFonts w:hint="eastAsia" w:ascii="宋体" w:hAnsi="宋体" w:eastAsia="宋体" w:cs="宋体"/>
                <w:snapToGrid w:val="0"/>
                <w:color w:val="auto"/>
                <w:kern w:val="0"/>
                <w:sz w:val="21"/>
                <w:szCs w:val="21"/>
                <w:highlight w:val="none"/>
                <w:lang w:val="en-US" w:eastAsia="zh-CN"/>
              </w:rPr>
              <w:t>提交</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电子</w:t>
            </w:r>
            <w:r>
              <w:rPr>
                <w:rFonts w:hint="eastAsia" w:ascii="宋体" w:hAnsi="宋体" w:eastAsia="宋体" w:cs="宋体"/>
                <w:snapToGrid w:val="0"/>
                <w:color w:val="auto"/>
                <w:kern w:val="0"/>
                <w:sz w:val="21"/>
                <w:szCs w:val="21"/>
                <w:highlight w:val="none"/>
              </w:rPr>
              <w:t>投标文件已经充分响应招标文件的实质性要求。</w:t>
            </w:r>
          </w:p>
        </w:tc>
        <w:tc>
          <w:tcPr>
            <w:tcW w:w="4019"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无禁止投标</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情形的承诺</w:t>
            </w:r>
          </w:p>
        </w:tc>
        <w:tc>
          <w:tcPr>
            <w:tcW w:w="2923"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我方不存在招标文件第一章第三节第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w:t>
            </w:r>
          </w:p>
        </w:tc>
        <w:tc>
          <w:tcPr>
            <w:tcW w:w="4019"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如果我方有招标文件第一章第三节第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自觉抵制围标</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串标和弄虚</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作假行为的承诺</w:t>
            </w:r>
          </w:p>
        </w:tc>
        <w:tc>
          <w:tcPr>
            <w:tcW w:w="2923"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我方合法正当、诚实守信地参与投标，不组织、不参加围标串标违法行为，不通过弄虚作假行为骗取中标。</w:t>
            </w:r>
          </w:p>
        </w:tc>
        <w:tc>
          <w:tcPr>
            <w:tcW w:w="4019"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总监理工程师</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任职承诺</w:t>
            </w:r>
          </w:p>
        </w:tc>
        <w:tc>
          <w:tcPr>
            <w:tcW w:w="2923" w:type="dxa"/>
            <w:noWrap w:val="0"/>
            <w:vAlign w:val="center"/>
          </w:tcPr>
          <w:p>
            <w:pPr>
              <w:pStyle w:val="139"/>
              <w:wordWrap w:val="0"/>
              <w:adjustRightInd w:val="0"/>
              <w:snapToGrid w:val="0"/>
              <w:spacing w:line="380" w:lineRule="exact"/>
              <w:ind w:firstLine="0" w:firstLineChars="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我方拟派总监理工程师现阶段担任总监理工程师的在施（包括已中标未开工、已开工未竣工）建设工程项目不超过2个，经任职项目的建设单位同意，参加本</w:t>
            </w:r>
            <w:r>
              <w:rPr>
                <w:rFonts w:hint="eastAsia" w:ascii="宋体" w:hAnsi="宋体" w:eastAsia="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投标。</w:t>
            </w:r>
          </w:p>
        </w:tc>
        <w:tc>
          <w:tcPr>
            <w:tcW w:w="4019"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如果我方拟派总监理工程师在本</w:t>
            </w:r>
            <w:r>
              <w:rPr>
                <w:rFonts w:hint="eastAsia" w:ascii="宋体" w:hAnsi="宋体" w:eastAsia="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招标投标活动期间担任总监理工程师的在施（包括已中标未开工、已开工未竣工）建设工程项目超过2个，或其参加本</w:t>
            </w:r>
            <w:r>
              <w:rPr>
                <w:rFonts w:hint="eastAsia" w:ascii="宋体" w:hAnsi="宋体" w:eastAsia="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投标文件</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真实性承诺</w:t>
            </w:r>
          </w:p>
        </w:tc>
        <w:tc>
          <w:tcPr>
            <w:tcW w:w="2923"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我方所</w:t>
            </w:r>
            <w:r>
              <w:rPr>
                <w:rFonts w:hint="eastAsia" w:ascii="宋体" w:hAnsi="宋体" w:eastAsia="宋体" w:cs="宋体"/>
                <w:snapToGrid w:val="0"/>
                <w:color w:val="auto"/>
                <w:kern w:val="0"/>
                <w:sz w:val="21"/>
                <w:szCs w:val="21"/>
                <w:highlight w:val="none"/>
                <w:lang w:eastAsia="zh-CN"/>
              </w:rPr>
              <w:t>提交电子投标文件</w:t>
            </w:r>
            <w:r>
              <w:rPr>
                <w:rFonts w:hint="eastAsia" w:ascii="宋体" w:hAnsi="宋体" w:eastAsia="宋体" w:cs="宋体"/>
                <w:snapToGrid w:val="0"/>
                <w:color w:val="auto"/>
                <w:kern w:val="0"/>
                <w:sz w:val="21"/>
                <w:szCs w:val="21"/>
                <w:highlight w:val="none"/>
              </w:rPr>
              <w:t>的全部内容均为真实、有效、准确的。</w:t>
            </w:r>
          </w:p>
        </w:tc>
        <w:tc>
          <w:tcPr>
            <w:tcW w:w="4019"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w:t>
            </w:r>
            <w:r>
              <w:rPr>
                <w:rFonts w:hint="eastAsia" w:ascii="宋体" w:hAnsi="宋体" w:eastAsia="宋体" w:cs="宋体"/>
                <w:snapToGrid w:val="0"/>
                <w:color w:val="auto"/>
                <w:kern w:val="0"/>
                <w:sz w:val="21"/>
                <w:szCs w:val="21"/>
                <w:highlight w:val="none"/>
                <w:lang w:val="en-US" w:eastAsia="zh-CN"/>
              </w:rPr>
              <w:t>提交</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电子</w:t>
            </w:r>
            <w:r>
              <w:rPr>
                <w:rFonts w:hint="eastAsia" w:ascii="宋体" w:hAnsi="宋体" w:eastAsia="宋体" w:cs="宋体"/>
                <w:snapToGrid w:val="0"/>
                <w:color w:val="auto"/>
                <w:kern w:val="0"/>
                <w:sz w:val="21"/>
                <w:szCs w:val="21"/>
                <w:highlight w:val="none"/>
              </w:rPr>
              <w:t>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投标文件</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信息公开承诺</w:t>
            </w:r>
          </w:p>
        </w:tc>
        <w:tc>
          <w:tcPr>
            <w:tcW w:w="2923" w:type="dxa"/>
            <w:noWrap w:val="0"/>
            <w:vAlign w:val="center"/>
          </w:tcPr>
          <w:p>
            <w:pPr>
              <w:pStyle w:val="150"/>
              <w:snapToGrid w:val="0"/>
              <w:spacing w:line="380" w:lineRule="exact"/>
              <w:ind w:firstLine="420"/>
              <w:outlineLvl w:val="9"/>
              <w:rPr>
                <w:rStyle w:val="146"/>
                <w:rFonts w:hint="eastAsia" w:ascii="宋体" w:hAnsi="宋体" w:eastAsia="宋体" w:cs="宋体"/>
                <w:color w:val="auto"/>
                <w:kern w:val="0"/>
                <w:sz w:val="21"/>
                <w:szCs w:val="21"/>
                <w:highlight w:val="none"/>
              </w:rPr>
            </w:pPr>
            <w:r>
              <w:rPr>
                <w:rStyle w:val="146"/>
                <w:rFonts w:hint="eastAsia" w:ascii="宋体" w:hAnsi="宋体" w:eastAsia="宋体" w:cs="宋体"/>
                <w:color w:val="auto"/>
                <w:kern w:val="0"/>
                <w:sz w:val="21"/>
                <w:szCs w:val="21"/>
                <w:highlight w:val="none"/>
              </w:rPr>
              <w:t>我方提供完整的、与投标文件一致的电子文件。如果我方成为本项目中标候选人，我方同意并授权招标人在评标结果公示期内公开我方商务标书的全部内容。</w:t>
            </w:r>
          </w:p>
          <w:p>
            <w:pPr>
              <w:pStyle w:val="150"/>
              <w:snapToGrid w:val="0"/>
              <w:spacing w:line="380" w:lineRule="exact"/>
              <w:ind w:firstLine="420" w:firstLineChars="200"/>
              <w:outlineLvl w:val="9"/>
              <w:rPr>
                <w:rFonts w:hint="eastAsia" w:ascii="宋体" w:hAnsi="宋体" w:eastAsia="宋体" w:cs="宋体"/>
                <w:snapToGrid w:val="0"/>
                <w:color w:val="auto"/>
                <w:kern w:val="0"/>
                <w:sz w:val="21"/>
                <w:szCs w:val="21"/>
                <w:highlight w:val="none"/>
              </w:rPr>
            </w:pPr>
            <w:r>
              <w:rPr>
                <w:rStyle w:val="146"/>
                <w:rFonts w:hint="eastAsia" w:ascii="宋体" w:hAnsi="宋体" w:eastAsia="宋体" w:cs="宋体"/>
                <w:color w:val="auto"/>
                <w:kern w:val="0"/>
                <w:sz w:val="21"/>
                <w:szCs w:val="21"/>
                <w:highlight w:val="none"/>
              </w:rPr>
              <w:t>如果我方提供的电子文件不完整或与投标文件内容不一致，我方保证在收到招标人的核对意见后24小时内对电子文件进行补充或修改，确保补充或修改后的电子文件与投标文件一致后重新提交。</w:t>
            </w:r>
          </w:p>
        </w:tc>
        <w:tc>
          <w:tcPr>
            <w:tcW w:w="4019" w:type="dxa"/>
            <w:noWrap w:val="0"/>
            <w:vAlign w:val="center"/>
          </w:tcPr>
          <w:p>
            <w:pPr>
              <w:pStyle w:val="150"/>
              <w:snapToGrid w:val="0"/>
              <w:spacing w:line="380" w:lineRule="exact"/>
              <w:ind w:firstLine="420" w:firstLineChars="200"/>
              <w:jc w:val="left"/>
              <w:outlineLvl w:val="9"/>
              <w:rPr>
                <w:rFonts w:hint="eastAsia" w:ascii="宋体" w:hAnsi="宋体" w:eastAsia="宋体" w:cs="宋体"/>
                <w:snapToGrid w:val="0"/>
                <w:color w:val="auto"/>
                <w:kern w:val="0"/>
                <w:sz w:val="21"/>
                <w:szCs w:val="21"/>
                <w:highlight w:val="none"/>
              </w:rPr>
            </w:pPr>
            <w:r>
              <w:rPr>
                <w:rStyle w:val="146"/>
                <w:rFonts w:hint="eastAsia" w:ascii="宋体" w:hAnsi="宋体" w:eastAsia="宋体" w:cs="宋体"/>
                <w:color w:val="auto"/>
                <w:kern w:val="0"/>
                <w:sz w:val="21"/>
                <w:szCs w:val="21"/>
                <w:highlight w:val="none"/>
              </w:rPr>
              <w:t>如果我方提供的电子文件不完整或与投标文件内容不一致，又不按招标文件规定重新修正和提交电子文件，我方接受招标人依据招标文件作出的相应处理。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按时提交履约</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保证的承诺</w:t>
            </w:r>
          </w:p>
        </w:tc>
        <w:tc>
          <w:tcPr>
            <w:tcW w:w="2923"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如果我方中标，我方保证在招标文件规定的时限内全额提交履约保证。</w:t>
            </w:r>
          </w:p>
        </w:tc>
        <w:tc>
          <w:tcPr>
            <w:tcW w:w="4019" w:type="dxa"/>
            <w:noWrap w:val="0"/>
            <w:vAlign w:val="center"/>
          </w:tcPr>
          <w:p>
            <w:pPr>
              <w:pStyle w:val="139"/>
              <w:wordWrap w:val="0"/>
              <w:adjustRightInd w:val="0"/>
              <w:snapToGrid w:val="0"/>
              <w:spacing w:line="380" w:lineRule="exact"/>
              <w:ind w:firstLine="0" w:firstLineChars="0"/>
              <w:jc w:val="lef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pPr>
              <w:pStyle w:val="114"/>
              <w:wordWrap w:val="0"/>
              <w:adjustRightInd w:val="0"/>
              <w:snapToGrid w:val="0"/>
              <w:spacing w:line="380" w:lineRule="exact"/>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w:t>
            </w:r>
          </w:p>
        </w:tc>
        <w:tc>
          <w:tcPr>
            <w:tcW w:w="1573" w:type="dxa"/>
            <w:noWrap w:val="0"/>
            <w:vAlign w:val="center"/>
          </w:tcPr>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按时签订合同</w:t>
            </w:r>
          </w:p>
          <w:p>
            <w:pPr>
              <w:pStyle w:val="139"/>
              <w:wordWrap w:val="0"/>
              <w:adjustRightInd w:val="0"/>
              <w:snapToGrid w:val="0"/>
              <w:spacing w:line="380" w:lineRule="exact"/>
              <w:ind w:firstLine="0" w:firstLineChars="0"/>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的承诺</w:t>
            </w:r>
          </w:p>
        </w:tc>
        <w:tc>
          <w:tcPr>
            <w:tcW w:w="2923"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pPr>
              <w:pStyle w:val="139"/>
              <w:wordWrap w:val="0"/>
              <w:adjustRightInd w:val="0"/>
              <w:snapToGrid w:val="0"/>
              <w:spacing w:line="38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114"/>
        <w:wordWrap w:val="0"/>
        <w:adjustRightInd w:val="0"/>
        <w:snapToGrid w:val="0"/>
        <w:spacing w:line="420" w:lineRule="exact"/>
        <w:jc w:val="left"/>
        <w:outlineLvl w:val="9"/>
        <w:rPr>
          <w:rFonts w:hint="eastAsia" w:ascii="宋体" w:hAnsi="宋体" w:eastAsia="宋体" w:cs="宋体"/>
          <w:snapToGrid w:val="0"/>
          <w:color w:val="auto"/>
          <w:kern w:val="0"/>
          <w:highlight w:val="none"/>
        </w:rPr>
      </w:pPr>
    </w:p>
    <w:p>
      <w:pPr>
        <w:pStyle w:val="114"/>
        <w:wordWrap w:val="0"/>
        <w:adjustRightInd w:val="0"/>
        <w:snapToGrid w:val="0"/>
        <w:spacing w:line="420" w:lineRule="exact"/>
        <w:jc w:val="left"/>
        <w:outlineLvl w:val="9"/>
        <w:rPr>
          <w:rFonts w:hint="eastAsia" w:ascii="宋体" w:hAnsi="宋体" w:eastAsia="宋体" w:cs="宋体"/>
          <w:snapToGrid w:val="0"/>
          <w:color w:val="auto"/>
          <w:kern w:val="0"/>
          <w:highlight w:val="none"/>
        </w:rPr>
      </w:pPr>
    </w:p>
    <w:p>
      <w:pPr>
        <w:pStyle w:val="19"/>
        <w:wordWrap w:val="0"/>
        <w:adjustRightInd w:val="0"/>
        <w:snapToGrid w:val="0"/>
        <w:spacing w:line="420" w:lineRule="exact"/>
        <w:ind w:firstLine="480" w:firstLineChars="200"/>
        <w:jc w:val="righ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投标人：</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（盖单位章）</w:t>
      </w:r>
    </w:p>
    <w:p>
      <w:pPr>
        <w:pStyle w:val="19"/>
        <w:wordWrap w:val="0"/>
        <w:adjustRightInd w:val="0"/>
        <w:snapToGrid w:val="0"/>
        <w:spacing w:line="420" w:lineRule="exact"/>
        <w:ind w:firstLine="480" w:firstLineChars="200"/>
        <w:jc w:val="right"/>
        <w:outlineLvl w:val="9"/>
        <w:rPr>
          <w:rFonts w:hint="eastAsia" w:ascii="宋体" w:hAnsi="宋体" w:eastAsia="宋体" w:cs="宋体"/>
          <w:snapToGrid w:val="0"/>
          <w:color w:val="auto"/>
          <w:kern w:val="0"/>
          <w:szCs w:val="24"/>
          <w:highlight w:val="none"/>
        </w:rPr>
      </w:pPr>
    </w:p>
    <w:p>
      <w:pPr>
        <w:pStyle w:val="19"/>
        <w:wordWrap w:val="0"/>
        <w:adjustRightInd w:val="0"/>
        <w:snapToGrid w:val="0"/>
        <w:spacing w:line="420" w:lineRule="exact"/>
        <w:ind w:firstLine="480" w:firstLineChars="200"/>
        <w:jc w:val="right"/>
        <w:outlineLvl w:val="9"/>
        <w:rPr>
          <w:rFonts w:hint="eastAsia" w:ascii="宋体" w:hAnsi="宋体" w:eastAsia="宋体" w:cs="宋体"/>
          <w:snapToGrid w:val="0"/>
          <w:color w:val="auto"/>
          <w:kern w:val="0"/>
          <w:szCs w:val="24"/>
          <w:highlight w:val="none"/>
        </w:rPr>
      </w:pPr>
    </w:p>
    <w:p>
      <w:pPr>
        <w:pStyle w:val="19"/>
        <w:wordWrap w:val="0"/>
        <w:adjustRightInd w:val="0"/>
        <w:snapToGrid w:val="0"/>
        <w:spacing w:line="420" w:lineRule="exact"/>
        <w:ind w:firstLine="480" w:firstLineChars="200"/>
        <w:jc w:val="right"/>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法定代表人或其委托代理人：</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（签字或盖章）</w:t>
      </w:r>
    </w:p>
    <w:p>
      <w:pPr>
        <w:pStyle w:val="19"/>
        <w:wordWrap w:val="0"/>
        <w:adjustRightInd w:val="0"/>
        <w:snapToGrid w:val="0"/>
        <w:spacing w:line="420" w:lineRule="exact"/>
        <w:ind w:firstLine="480" w:firstLineChars="200"/>
        <w:outlineLvl w:val="9"/>
        <w:rPr>
          <w:rFonts w:hint="eastAsia" w:ascii="宋体" w:hAnsi="宋体" w:eastAsia="宋体" w:cs="宋体"/>
          <w:snapToGrid w:val="0"/>
          <w:color w:val="auto"/>
          <w:kern w:val="0"/>
          <w:szCs w:val="24"/>
          <w:highlight w:val="none"/>
        </w:rPr>
      </w:pPr>
    </w:p>
    <w:p>
      <w:pPr>
        <w:pStyle w:val="19"/>
        <w:wordWrap w:val="0"/>
        <w:adjustRightInd w:val="0"/>
        <w:snapToGrid w:val="0"/>
        <w:spacing w:line="420" w:lineRule="exact"/>
        <w:ind w:firstLine="480" w:firstLineChars="200"/>
        <w:jc w:val="center"/>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pPr>
        <w:wordWrap w:val="0"/>
        <w:adjustRightInd w:val="0"/>
        <w:snapToGrid w:val="0"/>
        <w:spacing w:line="420" w:lineRule="exact"/>
        <w:jc w:val="left"/>
        <w:outlineLvl w:val="9"/>
        <w:rPr>
          <w:rFonts w:hint="eastAsia" w:ascii="宋体" w:hAnsi="宋体" w:eastAsia="宋体" w:cs="宋体"/>
          <w:b/>
          <w:snapToGrid w:val="0"/>
          <w:color w:val="auto"/>
          <w:kern w:val="0"/>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outlineLvl w:val="2"/>
        <w:rPr>
          <w:rFonts w:hint="eastAsia" w:ascii="宋体" w:hAnsi="宋体" w:eastAsia="宋体" w:cs="宋体"/>
          <w:b/>
          <w:bCs/>
          <w:snapToGrid w:val="0"/>
          <w:color w:val="auto"/>
          <w:kern w:val="0"/>
          <w:szCs w:val="24"/>
          <w:highlight w:val="none"/>
        </w:rPr>
      </w:pPr>
      <w:bookmarkStart w:id="171" w:name="_Toc5516"/>
      <w:r>
        <w:rPr>
          <w:rFonts w:hint="eastAsia" w:ascii="宋体" w:hAnsi="宋体" w:eastAsia="宋体" w:cs="宋体"/>
          <w:b/>
          <w:bCs/>
          <w:snapToGrid w:val="0"/>
          <w:color w:val="auto"/>
          <w:kern w:val="0"/>
          <w:szCs w:val="24"/>
          <w:highlight w:val="none"/>
        </w:rPr>
        <w:t>格式四 授权委托书</w:t>
      </w:r>
      <w:bookmarkEnd w:id="171"/>
    </w:p>
    <w:p>
      <w:pPr>
        <w:wordWrap w:val="0"/>
        <w:adjustRightInd w:val="0"/>
        <w:snapToGrid w:val="0"/>
        <w:spacing w:line="440" w:lineRule="exact"/>
        <w:outlineLvl w:val="9"/>
        <w:rPr>
          <w:rFonts w:hint="eastAsia" w:ascii="宋体" w:hAnsi="宋体" w:eastAsia="宋体" w:cs="宋体"/>
          <w:b/>
          <w:bCs/>
          <w:snapToGrid w:val="0"/>
          <w:color w:val="auto"/>
          <w:kern w:val="0"/>
          <w:szCs w:val="24"/>
          <w:highlight w:val="none"/>
        </w:rPr>
      </w:pPr>
    </w:p>
    <w:p>
      <w:pPr>
        <w:wordWrap w:val="0"/>
        <w:adjustRightInd w:val="0"/>
        <w:snapToGrid w:val="0"/>
        <w:spacing w:before="260" w:after="260" w:line="440" w:lineRule="exact"/>
        <w:jc w:val="center"/>
        <w:outlineLvl w:val="9"/>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30"/>
          <w:highlight w:val="none"/>
        </w:rPr>
        <w:t>授权委托书</w:t>
      </w: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lang w:eastAsia="zh-CN"/>
        </w:rPr>
        <w:t>始兴县墨江流域农村污水综合治理工程一期（太平镇标段）施工监理</w:t>
      </w:r>
      <w:r>
        <w:rPr>
          <w:rFonts w:hint="eastAsia" w:ascii="宋体" w:hAnsi="宋体" w:eastAsia="宋体" w:cs="宋体"/>
          <w:snapToGrid w:val="0"/>
          <w:color w:val="auto"/>
          <w:kern w:val="0"/>
          <w:szCs w:val="21"/>
          <w:highlight w:val="none"/>
        </w:rPr>
        <w:t>投标文件、签订合同和处理有关事宜，其法律后果由我方承担。</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委托期限：至</w:t>
      </w:r>
      <w:r>
        <w:rPr>
          <w:rFonts w:hint="eastAsia" w:ascii="宋体" w:hAnsi="宋体" w:eastAsia="宋体" w:cs="宋体"/>
          <w:snapToGrid w:val="0"/>
          <w:color w:val="auto"/>
          <w:kern w:val="0"/>
          <w:szCs w:val="21"/>
          <w:highlight w:val="none"/>
          <w:u w:val="single"/>
        </w:rPr>
        <w:t xml:space="preserve">     年   月   日</w:t>
      </w:r>
      <w:r>
        <w:rPr>
          <w:rFonts w:hint="eastAsia" w:ascii="宋体" w:hAnsi="宋体" w:eastAsia="宋体" w:cs="宋体"/>
          <w:i/>
          <w:iCs/>
          <w:snapToGrid w:val="0"/>
          <w:color w:val="auto"/>
          <w:kern w:val="0"/>
          <w:szCs w:val="21"/>
          <w:highlight w:val="none"/>
          <w:u w:val="single"/>
        </w:rPr>
        <w:t>（不得短于招标文件规定的投标有效期）</w:t>
      </w:r>
      <w:r>
        <w:rPr>
          <w:rFonts w:hint="eastAsia" w:ascii="宋体" w:hAnsi="宋体" w:eastAsia="宋体" w:cs="宋体"/>
          <w:snapToGrid w:val="0"/>
          <w:color w:val="auto"/>
          <w:kern w:val="0"/>
          <w:szCs w:val="21"/>
          <w:highlight w:val="none"/>
        </w:rPr>
        <w:t xml:space="preserve"> 。</w:t>
      </w: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代理人无转委托权。</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（盖单位章）</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法定代表人：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（签字或盖章）</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（签字或盖章）</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1"/>
          <w:highlight w:val="none"/>
        </w:rPr>
      </w:pPr>
    </w:p>
    <w:p>
      <w:pPr>
        <w:wordWrap w:val="0"/>
        <w:adjustRightInd w:val="0"/>
        <w:snapToGrid w:val="0"/>
        <w:ind w:firstLine="6440" w:firstLineChars="2300"/>
        <w:outlineLvl w:val="9"/>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委托代理人身份证扫描件正、反面</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BaUS9UJgIAAFQEAAAOAAAAAAAAAAEAIAAAACcBAABkcnMvZTJvRG9jLnhtbFBLBQYAAAAA&#10;BgAGAFkBAAC/BQAAAAA=&#10;">
                <v:fill on="t" focussize="0,0"/>
                <v:stroke color="#000000" joinstyle="miter"/>
                <v:imagedata o:title=""/>
                <o:lock v:ext="edit" aspectratio="f"/>
                <v:textbo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委托代理人身份证扫描件正、反面</w:t>
                      </w:r>
                    </w:p>
                  </w:txbxContent>
                </v:textbox>
              </v:shape>
            </w:pict>
          </mc:Fallback>
        </mc:AlternateContent>
      </w:r>
    </w:p>
    <w:p>
      <w:pPr>
        <w:pStyle w:val="11"/>
        <w:wordWrap w:val="0"/>
        <w:adjustRightInd w:val="0"/>
        <w:snapToGrid w:val="0"/>
        <w:outlineLvl w:val="9"/>
        <w:rPr>
          <w:rFonts w:hint="eastAsia" w:ascii="宋体" w:hAnsi="宋体" w:eastAsia="宋体" w:cs="宋体"/>
          <w:snapToGrid w:val="0"/>
          <w:color w:val="auto"/>
          <w:kern w:val="0"/>
          <w:szCs w:val="24"/>
          <w:highlight w:val="none"/>
        </w:rPr>
      </w:pPr>
    </w:p>
    <w:p>
      <w:pPr>
        <w:keepNext w:val="0"/>
        <w:keepLines w:val="0"/>
        <w:widowControl w:val="0"/>
        <w:wordWrap w:val="0"/>
        <w:adjustRightInd w:val="0"/>
        <w:snapToGrid w:val="0"/>
        <w:outlineLvl w:val="9"/>
        <w:rPr>
          <w:rFonts w:hint="eastAsia" w:ascii="宋体" w:hAnsi="宋体" w:eastAsia="宋体" w:cs="宋体"/>
          <w:snapToGrid w:val="0"/>
          <w:color w:val="auto"/>
          <w:highlight w:val="none"/>
        </w:rPr>
      </w:pPr>
    </w:p>
    <w:p>
      <w:pPr>
        <w:pStyle w:val="6"/>
        <w:widowControl w:val="0"/>
        <w:wordWrap w:val="0"/>
        <w:adjustRightInd w:val="0"/>
        <w:snapToGrid w:val="0"/>
        <w:outlineLvl w:val="9"/>
        <w:rPr>
          <w:rFonts w:hint="eastAsia" w:ascii="宋体" w:hAnsi="宋体" w:eastAsia="宋体" w:cs="宋体"/>
          <w:snapToGrid w:val="0"/>
          <w:color w:val="auto"/>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outlineLvl w:val="2"/>
        <w:rPr>
          <w:rFonts w:hint="eastAsia" w:ascii="宋体" w:hAnsi="宋体" w:eastAsia="宋体" w:cs="宋体"/>
          <w:b/>
          <w:snapToGrid w:val="0"/>
          <w:color w:val="auto"/>
          <w:kern w:val="0"/>
          <w:highlight w:val="none"/>
        </w:rPr>
      </w:pPr>
      <w:bookmarkStart w:id="172" w:name="_Toc17289"/>
      <w:r>
        <w:rPr>
          <w:rFonts w:hint="eastAsia" w:ascii="宋体" w:hAnsi="宋体" w:eastAsia="宋体" w:cs="宋体"/>
          <w:b/>
          <w:snapToGrid w:val="0"/>
          <w:color w:val="auto"/>
          <w:kern w:val="0"/>
          <w:highlight w:val="none"/>
        </w:rPr>
        <w:t>格式五 法定代表人身份证明</w:t>
      </w:r>
      <w:bookmarkEnd w:id="172"/>
    </w:p>
    <w:p>
      <w:pPr>
        <w:wordWrap w:val="0"/>
        <w:adjustRightInd w:val="0"/>
        <w:snapToGrid w:val="0"/>
        <w:spacing w:line="440" w:lineRule="exact"/>
        <w:outlineLvl w:val="9"/>
        <w:rPr>
          <w:rFonts w:hint="eastAsia" w:ascii="宋体" w:hAnsi="宋体" w:eastAsia="宋体" w:cs="宋体"/>
          <w:b/>
          <w:snapToGrid w:val="0"/>
          <w:color w:val="auto"/>
          <w:kern w:val="0"/>
          <w:highlight w:val="none"/>
        </w:rPr>
      </w:pPr>
    </w:p>
    <w:p>
      <w:pPr>
        <w:wordWrap w:val="0"/>
        <w:adjustRightInd w:val="0"/>
        <w:snapToGrid w:val="0"/>
        <w:spacing w:before="260" w:after="260" w:line="440" w:lineRule="exact"/>
        <w:jc w:val="center"/>
        <w:outlineLvl w:val="9"/>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30"/>
          <w:highlight w:val="none"/>
        </w:rPr>
        <w:t>法定代表人身份证明</w:t>
      </w: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outlineLvl w:val="9"/>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投标人名称：</w:t>
      </w:r>
      <w:r>
        <w:rPr>
          <w:rFonts w:hint="eastAsia" w:ascii="宋体" w:hAnsi="宋体" w:eastAsia="宋体" w:cs="宋体"/>
          <w:snapToGrid w:val="0"/>
          <w:color w:val="auto"/>
          <w:kern w:val="0"/>
          <w:szCs w:val="21"/>
          <w:highlight w:val="none"/>
          <w:u w:val="single"/>
        </w:rPr>
        <w:t xml:space="preserve">                  </w:t>
      </w:r>
    </w:p>
    <w:p>
      <w:pPr>
        <w:wordWrap w:val="0"/>
        <w:adjustRightInd w:val="0"/>
        <w:snapToGrid w:val="0"/>
        <w:spacing w:line="440" w:lineRule="exact"/>
        <w:outlineLvl w:val="9"/>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姓名：</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性别：</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年龄：</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职务：</w:t>
      </w:r>
      <w:r>
        <w:rPr>
          <w:rFonts w:hint="eastAsia" w:ascii="宋体" w:hAnsi="宋体" w:eastAsia="宋体" w:cs="宋体"/>
          <w:snapToGrid w:val="0"/>
          <w:color w:val="auto"/>
          <w:kern w:val="0"/>
          <w:szCs w:val="21"/>
          <w:highlight w:val="none"/>
          <w:u w:val="single"/>
        </w:rPr>
        <w:t xml:space="preserve">           </w:t>
      </w: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（投标人名称）的法定代表人。</w:t>
      </w: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特此证明。</w:t>
      </w: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（盖单位章）</w:t>
      </w:r>
    </w:p>
    <w:p>
      <w:pPr>
        <w:wordWrap w:val="0"/>
        <w:adjustRightInd w:val="0"/>
        <w:snapToGrid w:val="0"/>
        <w:spacing w:line="440" w:lineRule="exact"/>
        <w:jc w:val="right"/>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法定代表人：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（签字或盖章）</w:t>
      </w:r>
    </w:p>
    <w:p>
      <w:pPr>
        <w:wordWrap w:val="0"/>
        <w:adjustRightInd w:val="0"/>
        <w:snapToGrid w:val="0"/>
        <w:spacing w:line="440" w:lineRule="exact"/>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djustRightInd w:val="0"/>
        <w:snapToGrid w:val="0"/>
        <w:spacing w:line="440" w:lineRule="exact"/>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wordWrap w:val="0"/>
        <w:adjustRightInd w:val="0"/>
        <w:snapToGrid w:val="0"/>
        <w:spacing w:line="440" w:lineRule="exact"/>
        <w:ind w:firstLine="240" w:firstLineChars="1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djustRightInd w:val="0"/>
        <w:snapToGrid w:val="0"/>
        <w:spacing w:line="440" w:lineRule="exact"/>
        <w:ind w:firstLine="240" w:firstLineChars="1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240" w:firstLineChars="100"/>
        <w:outlineLvl w:val="9"/>
        <w:rPr>
          <w:rFonts w:hint="eastAsia" w:ascii="宋体" w:hAnsi="宋体" w:eastAsia="宋体" w:cs="宋体"/>
          <w:snapToGrid w:val="0"/>
          <w:color w:val="auto"/>
          <w:kern w:val="0"/>
          <w:szCs w:val="21"/>
          <w:highlight w:val="none"/>
        </w:rPr>
      </w:pPr>
    </w:p>
    <w:p>
      <w:pPr>
        <w:wordWrap w:val="0"/>
        <w:adjustRightInd w:val="0"/>
        <w:snapToGrid w:val="0"/>
        <w:spacing w:line="440" w:lineRule="exact"/>
        <w:ind w:firstLine="720" w:firstLineChars="300"/>
        <w:outlineLvl w:val="9"/>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i/>
          <w:iCs/>
          <w:snapToGrid w:val="0"/>
          <w:color w:val="auto"/>
          <w:kern w:val="0"/>
          <w:szCs w:val="21"/>
          <w:highlight w:val="none"/>
        </w:rPr>
        <w:t xml:space="preserve"> </w:t>
      </w:r>
    </w:p>
    <w:p>
      <w:pPr>
        <w:wordWrap w:val="0"/>
        <w:adjustRightInd w:val="0"/>
        <w:snapToGrid w:val="0"/>
        <w:outlineLvl w:val="9"/>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法定代表人身份证扫描件正、反面</w:t>
                            </w:r>
                          </w:p>
                        </w:txbxContent>
                      </wps:txbx>
                      <wps:bodyPr wrap="square" upright="1"/>
                    </wps:wsp>
                  </a:graphicData>
                </a:graphic>
              </wp:anchor>
            </w:drawing>
          </mc:Choice>
          <mc:Fallback>
            <w:pict>
              <v:shape id="自选图形 18"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hXUptgAAAAJAQAADwAAAAAAAAABACAAAAAiAAAAZHJzL2Rvd25yZXYueG1sUEsBAhQAFAAAAAgA&#10;h07iQMkMdJElAgAAVAQAAA4AAAAAAAAAAQAgAAAAJwEAAGRycy9lMm9Eb2MueG1sUEsFBgAAAAAG&#10;AAYAWQEAAL4FAAAAAA==&#10;">
                <v:fill on="t" focussize="0,0"/>
                <v:stroke color="#000000" joinstyle="miter"/>
                <v:imagedata o:title=""/>
                <o:lock v:ext="edit" aspectratio="f"/>
                <v:textbo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法定代表人身份证扫描件正、反面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outlineLvl w:val="9"/>
        <w:rPr>
          <w:rFonts w:hint="eastAsia" w:ascii="宋体" w:hAnsi="宋体" w:eastAsia="宋体" w:cs="宋体"/>
          <w:snapToGrid w:val="0"/>
          <w:color w:val="auto"/>
          <w:kern w:val="0"/>
          <w:sz w:val="28"/>
          <w:szCs w:val="28"/>
          <w:highlight w:val="none"/>
        </w:rPr>
      </w:pPr>
    </w:p>
    <w:p>
      <w:pPr>
        <w:wordWrap w:val="0"/>
        <w:adjustRightInd w:val="0"/>
        <w:snapToGrid w:val="0"/>
        <w:spacing w:line="480" w:lineRule="exact"/>
        <w:jc w:val="center"/>
        <w:outlineLvl w:val="9"/>
        <w:rPr>
          <w:rFonts w:hint="eastAsia" w:ascii="宋体" w:hAnsi="宋体" w:eastAsia="宋体" w:cs="宋体"/>
          <w:b/>
          <w:snapToGrid w:val="0"/>
          <w:color w:val="auto"/>
          <w:kern w:val="0"/>
          <w:sz w:val="28"/>
          <w:szCs w:val="28"/>
          <w:highlight w:val="none"/>
        </w:rPr>
      </w:pPr>
    </w:p>
    <w:p>
      <w:pPr>
        <w:wordWrap w:val="0"/>
        <w:adjustRightInd w:val="0"/>
        <w:snapToGrid w:val="0"/>
        <w:spacing w:line="480" w:lineRule="exact"/>
        <w:jc w:val="center"/>
        <w:outlineLvl w:val="9"/>
        <w:rPr>
          <w:rFonts w:hint="eastAsia" w:ascii="宋体" w:hAnsi="宋体" w:eastAsia="宋体" w:cs="宋体"/>
          <w:b/>
          <w:snapToGrid w:val="0"/>
          <w:color w:val="auto"/>
          <w:kern w:val="0"/>
          <w:sz w:val="28"/>
          <w:szCs w:val="28"/>
          <w:highlight w:val="none"/>
        </w:rPr>
      </w:pPr>
    </w:p>
    <w:p>
      <w:pPr>
        <w:wordWrap w:val="0"/>
        <w:adjustRightInd w:val="0"/>
        <w:snapToGrid w:val="0"/>
        <w:spacing w:line="480" w:lineRule="exact"/>
        <w:jc w:val="center"/>
        <w:outlineLvl w:val="9"/>
        <w:rPr>
          <w:rFonts w:hint="eastAsia" w:ascii="宋体" w:hAnsi="宋体" w:eastAsia="宋体" w:cs="宋体"/>
          <w:b/>
          <w:snapToGrid w:val="0"/>
          <w:color w:val="auto"/>
          <w:kern w:val="0"/>
          <w:sz w:val="28"/>
          <w:szCs w:val="28"/>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pStyle w:val="113"/>
        <w:widowControl w:val="0"/>
        <w:wordWrap w:val="0"/>
        <w:adjustRightInd w:val="0"/>
        <w:snapToGrid w:val="0"/>
        <w:spacing w:line="240" w:lineRule="auto"/>
        <w:ind w:firstLine="0"/>
        <w:outlineLvl w:val="2"/>
        <w:rPr>
          <w:rFonts w:hint="eastAsia" w:ascii="宋体" w:hAnsi="宋体" w:eastAsia="宋体" w:cs="宋体"/>
          <w:b/>
          <w:bCs/>
          <w:snapToGrid w:val="0"/>
          <w:color w:val="auto"/>
          <w:sz w:val="24"/>
          <w:szCs w:val="24"/>
          <w:highlight w:val="none"/>
        </w:rPr>
      </w:pPr>
      <w:bookmarkStart w:id="173" w:name="_Toc2532"/>
      <w:r>
        <w:rPr>
          <w:rFonts w:hint="eastAsia" w:ascii="宋体" w:hAnsi="宋体" w:eastAsia="宋体" w:cs="宋体"/>
          <w:b/>
          <w:bCs/>
          <w:snapToGrid w:val="0"/>
          <w:color w:val="auto"/>
          <w:sz w:val="24"/>
          <w:szCs w:val="24"/>
          <w:highlight w:val="none"/>
        </w:rPr>
        <w:t>格式六 联合体协议书（本次招标不适用）</w:t>
      </w:r>
      <w:bookmarkEnd w:id="173"/>
    </w:p>
    <w:p>
      <w:pPr>
        <w:pStyle w:val="113"/>
        <w:widowControl w:val="0"/>
        <w:wordWrap w:val="0"/>
        <w:adjustRightInd w:val="0"/>
        <w:snapToGrid w:val="0"/>
        <w:spacing w:line="240" w:lineRule="auto"/>
        <w:ind w:firstLine="0"/>
        <w:outlineLvl w:val="9"/>
        <w:rPr>
          <w:rFonts w:hint="eastAsia" w:ascii="宋体" w:hAnsi="宋体" w:eastAsia="宋体" w:cs="宋体"/>
          <w:b/>
          <w:bCs/>
          <w:snapToGrid w:val="0"/>
          <w:color w:val="auto"/>
          <w:sz w:val="24"/>
          <w:szCs w:val="24"/>
          <w:highlight w:val="none"/>
        </w:rPr>
      </w:pPr>
    </w:p>
    <w:p>
      <w:pPr>
        <w:pStyle w:val="113"/>
        <w:widowControl w:val="0"/>
        <w:wordWrap w:val="0"/>
        <w:adjustRightInd w:val="0"/>
        <w:snapToGrid w:val="0"/>
        <w:spacing w:before="240" w:after="240" w:line="240" w:lineRule="auto"/>
        <w:ind w:firstLine="0"/>
        <w:jc w:val="center"/>
        <w:outlineLvl w:val="9"/>
        <w:rPr>
          <w:rFonts w:hint="eastAsia" w:ascii="宋体" w:hAnsi="宋体" w:eastAsia="宋体" w:cs="宋体"/>
          <w:snapToGrid w:val="0"/>
          <w:color w:val="auto"/>
          <w:sz w:val="24"/>
          <w:szCs w:val="21"/>
          <w:highlight w:val="none"/>
        </w:rPr>
      </w:pPr>
      <w:r>
        <w:rPr>
          <w:rFonts w:hint="eastAsia" w:ascii="宋体" w:hAnsi="宋体" w:eastAsia="宋体" w:cs="宋体"/>
          <w:b/>
          <w:snapToGrid w:val="0"/>
          <w:color w:val="auto"/>
          <w:sz w:val="30"/>
          <w:highlight w:val="none"/>
        </w:rPr>
        <w:t>联合体协议书</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牵头人名称：</w:t>
      </w:r>
      <w:r>
        <w:rPr>
          <w:rFonts w:hint="eastAsia" w:ascii="宋体" w:hAnsi="宋体" w:eastAsia="宋体" w:cs="宋体"/>
          <w:snapToGrid w:val="0"/>
          <w:color w:val="auto"/>
          <w:sz w:val="24"/>
          <w:szCs w:val="24"/>
          <w:highlight w:val="none"/>
          <w:u w:val="single"/>
        </w:rPr>
        <w:t xml:space="preserve">                                                  </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成员二名称：</w:t>
      </w:r>
      <w:r>
        <w:rPr>
          <w:rFonts w:hint="eastAsia" w:ascii="宋体" w:hAnsi="宋体" w:eastAsia="宋体" w:cs="宋体"/>
          <w:snapToGrid w:val="0"/>
          <w:color w:val="auto"/>
          <w:sz w:val="24"/>
          <w:szCs w:val="24"/>
          <w:highlight w:val="none"/>
          <w:u w:val="single"/>
        </w:rPr>
        <w:t xml:space="preserve">                                                  </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上述各成员单位经过友好协商，自愿组成联合体，共同参加</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（项目名称）的投标并争取赢得本</w:t>
      </w:r>
      <w:r>
        <w:rPr>
          <w:rFonts w:hint="eastAsia" w:ascii="宋体" w:hAnsi="宋体" w:eastAsia="宋体" w:cs="宋体"/>
          <w:snapToGrid w:val="0"/>
          <w:color w:val="auto"/>
          <w:sz w:val="24"/>
          <w:szCs w:val="24"/>
          <w:highlight w:val="none"/>
          <w:lang w:val="en-US" w:eastAsia="zh-CN"/>
        </w:rPr>
        <w:t>项目</w:t>
      </w:r>
      <w:r>
        <w:rPr>
          <w:rFonts w:hint="eastAsia" w:ascii="宋体" w:hAnsi="宋体" w:eastAsia="宋体" w:cs="宋体"/>
          <w:snapToGrid w:val="0"/>
          <w:color w:val="auto"/>
          <w:sz w:val="24"/>
          <w:szCs w:val="24"/>
          <w:highlight w:val="none"/>
        </w:rPr>
        <w:t>监理委托合同（以下简称合同）。现就联合体投标事宜订立如下协议：</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1．</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（某成员单位名称）为联合体牵头人。</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2．在本</w:t>
      </w:r>
      <w:r>
        <w:rPr>
          <w:rFonts w:hint="eastAsia" w:ascii="宋体" w:hAnsi="宋体" w:eastAsia="宋体" w:cs="宋体"/>
          <w:snapToGrid w:val="0"/>
          <w:color w:val="auto"/>
          <w:sz w:val="24"/>
          <w:szCs w:val="24"/>
          <w:highlight w:val="none"/>
          <w:lang w:val="en-US" w:eastAsia="zh-CN"/>
        </w:rPr>
        <w:t>项目</w:t>
      </w:r>
      <w:r>
        <w:rPr>
          <w:rFonts w:hint="eastAsia" w:ascii="宋体" w:hAnsi="宋体" w:eastAsia="宋体" w:cs="宋体"/>
          <w:snapToGrid w:val="0"/>
          <w:color w:val="auto"/>
          <w:sz w:val="24"/>
          <w:szCs w:val="24"/>
          <w:highlight w:val="none"/>
        </w:rPr>
        <w:t>投标阶段，联合体牵头人合法代表联合体各成员负责本</w:t>
      </w:r>
      <w:r>
        <w:rPr>
          <w:rFonts w:hint="eastAsia" w:ascii="宋体" w:hAnsi="宋体" w:eastAsia="宋体" w:cs="宋体"/>
          <w:snapToGrid w:val="0"/>
          <w:color w:val="auto"/>
          <w:sz w:val="24"/>
          <w:szCs w:val="24"/>
          <w:highlight w:val="none"/>
          <w:lang w:val="en-US" w:eastAsia="zh-CN"/>
        </w:rPr>
        <w:t>项目</w:t>
      </w:r>
      <w:r>
        <w:rPr>
          <w:rFonts w:hint="eastAsia" w:ascii="宋体" w:hAnsi="宋体" w:eastAsia="宋体" w:cs="宋体"/>
          <w:snapToGrid w:val="0"/>
          <w:color w:val="auto"/>
          <w:sz w:val="24"/>
          <w:szCs w:val="24"/>
          <w:highlight w:val="none"/>
        </w:rPr>
        <w:t>投标文件编制活动，代表联合体提交和接收相关的资料、信息及指示，并处理与投标和中标有关的一切事务；联合体中标后，联合体牵头人负责合同订立和合同实施阶段的主办、组织和协调工作。</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3．联合体将严格按照招标文件的各项要求，</w:t>
      </w:r>
      <w:r>
        <w:rPr>
          <w:rFonts w:hint="eastAsia" w:ascii="宋体" w:hAnsi="宋体" w:eastAsia="宋体" w:cs="宋体"/>
          <w:snapToGrid w:val="0"/>
          <w:color w:val="auto"/>
          <w:sz w:val="24"/>
          <w:szCs w:val="24"/>
          <w:highlight w:val="none"/>
          <w:lang w:eastAsia="zh-CN"/>
        </w:rPr>
        <w:t>提交电子投标文件</w:t>
      </w:r>
      <w:r>
        <w:rPr>
          <w:rFonts w:hint="eastAsia" w:ascii="宋体" w:hAnsi="宋体" w:eastAsia="宋体" w:cs="宋体"/>
          <w:snapToGrid w:val="0"/>
          <w:color w:val="auto"/>
          <w:sz w:val="24"/>
          <w:szCs w:val="24"/>
          <w:highlight w:val="none"/>
        </w:rPr>
        <w:t>，履行投标义务和中标后的合同，共同承担合同规定的一切义务和责任，联合体各成员单位按照内部职责的部分，承担各自所负的责任和风险，并向招标人承担连带责任。</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4．联合体各成员单位内部的职责分工如下：</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。按照本条上述分工，联合体成员单位各自所承担的合同工作量比例如下：</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5．投标工作和联合体在中标后工程实施过程中的有关费用按各自承担的工作量分摊。</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6．联合体中标后，本联合体协议是合同的附件，对联合体各成员单位有合同约束力。</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7．本协议书自签署之日起生效，联合体未中标或者中标时合同履行完毕后自动失效。</w:t>
      </w:r>
    </w:p>
    <w:p>
      <w:pPr>
        <w:pStyle w:val="113"/>
        <w:widowControl w:val="0"/>
        <w:wordWrap w:val="0"/>
        <w:adjustRightInd w:val="0"/>
        <w:snapToGrid w:val="0"/>
        <w:spacing w:line="240" w:lineRule="auto"/>
        <w:ind w:firstLine="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8．本协议书一式</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份，联合体成员和招标人各执一份。</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成员二名称：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jc w:val="righ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pPr>
        <w:pStyle w:val="113"/>
        <w:widowControl w:val="0"/>
        <w:wordWrap w:val="0"/>
        <w:adjustRightInd w:val="0"/>
        <w:snapToGrid w:val="0"/>
        <w:spacing w:line="240" w:lineRule="auto"/>
        <w:jc w:val="center"/>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pPr>
        <w:pStyle w:val="113"/>
        <w:widowControl w:val="0"/>
        <w:wordWrap w:val="0"/>
        <w:adjustRightInd w:val="0"/>
        <w:snapToGrid w:val="0"/>
        <w:spacing w:line="240" w:lineRule="auto"/>
        <w:jc w:val="center"/>
        <w:outlineLvl w:val="9"/>
        <w:rPr>
          <w:rFonts w:hint="eastAsia" w:ascii="宋体" w:hAnsi="宋体" w:eastAsia="宋体" w:cs="宋体"/>
          <w:snapToGrid w:val="0"/>
          <w:color w:val="auto"/>
          <w:sz w:val="24"/>
          <w:szCs w:val="24"/>
          <w:highlight w:val="none"/>
        </w:rPr>
      </w:pPr>
    </w:p>
    <w:p>
      <w:pPr>
        <w:pStyle w:val="113"/>
        <w:widowControl w:val="0"/>
        <w:wordWrap w:val="0"/>
        <w:adjustRightInd w:val="0"/>
        <w:snapToGrid w:val="0"/>
        <w:spacing w:line="240" w:lineRule="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highlight w:val="none"/>
        </w:rPr>
        <w:t>说明：《联合体协议书》由委托代理人签字或盖章的，应附法定代表人签字或盖章的授权委托书。</w:t>
      </w:r>
    </w:p>
    <w:p>
      <w:pPr>
        <w:pStyle w:val="113"/>
        <w:widowControl w:val="0"/>
        <w:wordWrap w:val="0"/>
        <w:adjustRightInd w:val="0"/>
        <w:snapToGrid w:val="0"/>
        <w:spacing w:line="440" w:lineRule="exact"/>
        <w:outlineLvl w:val="9"/>
        <w:rPr>
          <w:rFonts w:hint="eastAsia" w:ascii="宋体" w:hAnsi="宋体" w:eastAsia="宋体" w:cs="宋体"/>
          <w:snapToGrid w:val="0"/>
          <w:color w:val="auto"/>
          <w:sz w:val="24"/>
          <w:szCs w:val="24"/>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outlineLvl w:val="2"/>
        <w:rPr>
          <w:rFonts w:hint="eastAsia" w:ascii="宋体" w:hAnsi="宋体" w:eastAsia="宋体" w:cs="宋体"/>
          <w:b/>
          <w:bCs/>
          <w:snapToGrid w:val="0"/>
          <w:color w:val="auto"/>
          <w:kern w:val="0"/>
          <w:szCs w:val="24"/>
          <w:highlight w:val="none"/>
        </w:rPr>
      </w:pPr>
      <w:bookmarkStart w:id="174" w:name="_Toc10252"/>
      <w:r>
        <w:rPr>
          <w:rFonts w:hint="eastAsia" w:ascii="宋体" w:hAnsi="宋体" w:eastAsia="宋体" w:cs="宋体"/>
          <w:b/>
          <w:bCs/>
          <w:snapToGrid w:val="0"/>
          <w:color w:val="auto"/>
          <w:kern w:val="0"/>
          <w:szCs w:val="24"/>
          <w:highlight w:val="none"/>
        </w:rPr>
        <w:t>格式七 投标人基本情况表</w:t>
      </w:r>
      <w:bookmarkEnd w:id="174"/>
    </w:p>
    <w:p>
      <w:pPr>
        <w:wordWrap w:val="0"/>
        <w:adjustRightInd w:val="0"/>
        <w:snapToGrid w:val="0"/>
        <w:spacing w:line="440" w:lineRule="exact"/>
        <w:outlineLvl w:val="9"/>
        <w:rPr>
          <w:rFonts w:hint="eastAsia" w:ascii="宋体" w:hAnsi="宋体" w:eastAsia="宋体" w:cs="宋体"/>
          <w:b/>
          <w:bCs/>
          <w:snapToGrid w:val="0"/>
          <w:color w:val="auto"/>
          <w:kern w:val="0"/>
          <w:szCs w:val="24"/>
          <w:highlight w:val="none"/>
        </w:rPr>
      </w:pPr>
    </w:p>
    <w:p>
      <w:pPr>
        <w:pStyle w:val="113"/>
        <w:widowControl w:val="0"/>
        <w:wordWrap w:val="0"/>
        <w:adjustRightInd w:val="0"/>
        <w:snapToGrid w:val="0"/>
        <w:spacing w:before="260" w:after="260" w:line="400" w:lineRule="exact"/>
        <w:ind w:firstLine="0"/>
        <w:jc w:val="center"/>
        <w:outlineLvl w:val="9"/>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30"/>
          <w:highlight w:val="none"/>
        </w:rPr>
        <w:t>投标人基本情况表</w:t>
      </w:r>
    </w:p>
    <w:tbl>
      <w:tblPr>
        <w:tblStyle w:val="3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904"/>
        <w:gridCol w:w="1703"/>
        <w:gridCol w:w="811"/>
        <w:gridCol w:w="287"/>
        <w:gridCol w:w="969"/>
        <w:gridCol w:w="261"/>
        <w:gridCol w:w="71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w:t>
            </w:r>
          </w:p>
        </w:tc>
        <w:tc>
          <w:tcPr>
            <w:tcW w:w="7081" w:type="dxa"/>
            <w:gridSpan w:val="8"/>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418"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256"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407"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vMerge w:val="restart"/>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90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514"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256"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407"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vMerge w:val="continue"/>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90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514"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256"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电子邮箱</w:t>
            </w:r>
          </w:p>
        </w:tc>
        <w:tc>
          <w:tcPr>
            <w:tcW w:w="2407"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90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703"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098"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30"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71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技术负责人</w:t>
            </w:r>
          </w:p>
        </w:tc>
        <w:tc>
          <w:tcPr>
            <w:tcW w:w="90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703"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098"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30"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71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成立日期</w:t>
            </w:r>
          </w:p>
        </w:tc>
        <w:tc>
          <w:tcPr>
            <w:tcW w:w="2607"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4474" w:type="dxa"/>
            <w:gridSpan w:val="6"/>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企业资质</w:t>
            </w:r>
          </w:p>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类型和等级</w:t>
            </w:r>
          </w:p>
        </w:tc>
        <w:tc>
          <w:tcPr>
            <w:tcW w:w="2607" w:type="dxa"/>
            <w:gridSpan w:val="2"/>
            <w:noWrap w:val="0"/>
            <w:vAlign w:val="center"/>
          </w:tcPr>
          <w:p>
            <w:pPr>
              <w:pStyle w:val="69"/>
              <w:wordWrap w:val="0"/>
              <w:adjustRightInd w:val="0"/>
              <w:snapToGrid w:val="0"/>
              <w:jc w:val="left"/>
              <w:outlineLvl w:val="9"/>
              <w:rPr>
                <w:rFonts w:hint="eastAsia" w:ascii="宋体" w:hAnsi="宋体" w:eastAsia="宋体" w:cs="宋体"/>
                <w:snapToGrid w:val="0"/>
                <w:color w:val="auto"/>
                <w:kern w:val="0"/>
                <w:szCs w:val="21"/>
                <w:highlight w:val="none"/>
              </w:rPr>
            </w:pPr>
          </w:p>
        </w:tc>
        <w:tc>
          <w:tcPr>
            <w:tcW w:w="1098" w:type="dxa"/>
            <w:gridSpan w:val="2"/>
            <w:vMerge w:val="restart"/>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其中</w:t>
            </w:r>
          </w:p>
        </w:tc>
        <w:tc>
          <w:tcPr>
            <w:tcW w:w="1945"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各类注册人员</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营业执照号</w:t>
            </w:r>
          </w:p>
        </w:tc>
        <w:tc>
          <w:tcPr>
            <w:tcW w:w="2607"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098" w:type="dxa"/>
            <w:gridSpan w:val="2"/>
            <w:vMerge w:val="continue"/>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945"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高级职称人员</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注册资金</w:t>
            </w:r>
          </w:p>
        </w:tc>
        <w:tc>
          <w:tcPr>
            <w:tcW w:w="2607"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098" w:type="dxa"/>
            <w:gridSpan w:val="2"/>
            <w:vMerge w:val="continue"/>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945"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中级职称人员</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基本账户</w:t>
            </w:r>
          </w:p>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p>
        </w:tc>
        <w:tc>
          <w:tcPr>
            <w:tcW w:w="2607"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098" w:type="dxa"/>
            <w:gridSpan w:val="2"/>
            <w:vMerge w:val="continue"/>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945"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初级职称人员</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基本账户</w:t>
            </w:r>
          </w:p>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银行账号</w:t>
            </w:r>
          </w:p>
        </w:tc>
        <w:tc>
          <w:tcPr>
            <w:tcW w:w="2607" w:type="dxa"/>
            <w:gridSpan w:val="2"/>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098" w:type="dxa"/>
            <w:gridSpan w:val="2"/>
            <w:vMerge w:val="continue"/>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945" w:type="dxa"/>
            <w:gridSpan w:val="3"/>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技术员</w:t>
            </w:r>
          </w:p>
        </w:tc>
        <w:tc>
          <w:tcPr>
            <w:tcW w:w="143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7081" w:type="dxa"/>
            <w:gridSpan w:val="8"/>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关联企业情况</w:t>
            </w:r>
          </w:p>
        </w:tc>
        <w:tc>
          <w:tcPr>
            <w:tcW w:w="7081" w:type="dxa"/>
            <w:gridSpan w:val="8"/>
            <w:noWrap w:val="0"/>
            <w:vAlign w:val="center"/>
          </w:tcPr>
          <w:p>
            <w:pPr>
              <w:pStyle w:val="69"/>
              <w:wordWrap w:val="0"/>
              <w:adjustRightInd w:val="0"/>
              <w:snapToGrid w:val="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包括但不限于与投标人存在以下关系的不同单位：</w:t>
            </w:r>
          </w:p>
          <w:p>
            <w:pPr>
              <w:pStyle w:val="69"/>
              <w:wordWrap w:val="0"/>
              <w:adjustRightInd w:val="0"/>
              <w:snapToGrid w:val="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1．法定代表人为同一人的。</w:t>
            </w:r>
          </w:p>
          <w:p>
            <w:pPr>
              <w:pStyle w:val="69"/>
              <w:wordWrap w:val="0"/>
              <w:adjustRightInd w:val="0"/>
              <w:snapToGrid w:val="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2．存在控股、管理关系的。</w:t>
            </w:r>
          </w:p>
          <w:p>
            <w:pPr>
              <w:pStyle w:val="69"/>
              <w:wordWrap w:val="0"/>
              <w:adjustRightInd w:val="0"/>
              <w:snapToGrid w:val="0"/>
              <w:jc w:val="lef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8"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7081" w:type="dxa"/>
            <w:gridSpan w:val="8"/>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bl>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1．《投标人基本情况表》后应附以下资料：</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（1）企业营业执照、资质证书的副本扫描件（因推行电子证照，部分企业已不存在副本等纸质证书</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则</w:t>
      </w:r>
      <w:r>
        <w:rPr>
          <w:rFonts w:hint="eastAsia" w:ascii="宋体" w:hAnsi="宋体" w:eastAsia="宋体" w:cs="宋体"/>
          <w:snapToGrid w:val="0"/>
          <w:color w:val="auto"/>
          <w:kern w:val="0"/>
          <w:szCs w:val="21"/>
          <w:highlight w:val="none"/>
        </w:rPr>
        <w:t>可</w:t>
      </w:r>
      <w:r>
        <w:rPr>
          <w:rFonts w:hint="eastAsia" w:ascii="宋体" w:hAnsi="宋体" w:eastAsia="宋体" w:cs="宋体"/>
          <w:snapToGrid w:val="0"/>
          <w:color w:val="auto"/>
          <w:kern w:val="0"/>
          <w:szCs w:val="21"/>
          <w:highlight w:val="none"/>
          <w:lang w:val="en-US" w:eastAsia="zh-CN"/>
        </w:rPr>
        <w:t>提供</w:t>
      </w:r>
      <w:r>
        <w:rPr>
          <w:rFonts w:hint="eastAsia" w:ascii="宋体" w:hAnsi="宋体" w:eastAsia="宋体" w:cs="宋体"/>
          <w:snapToGrid w:val="0"/>
          <w:color w:val="auto"/>
          <w:kern w:val="0"/>
          <w:szCs w:val="21"/>
          <w:highlight w:val="none"/>
        </w:rPr>
        <w:t>营业执照、资质证书实时网页查询页）；</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highlight w:val="none"/>
        </w:rPr>
        <w:t>“进粤企业和人员诚信信息登记平台”企业信息情况</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highlight w:val="none"/>
        </w:rPr>
        <w:t>。（适用于省外企业）</w:t>
      </w:r>
      <w:r>
        <w:rPr>
          <w:rFonts w:hint="eastAsia" w:ascii="宋体" w:hAnsi="宋体" w:eastAsia="宋体" w:cs="宋体"/>
          <w:snapToGrid w:val="0"/>
          <w:color w:val="auto"/>
          <w:kern w:val="0"/>
          <w:szCs w:val="21"/>
          <w:highlight w:val="none"/>
        </w:rPr>
        <w:t>；</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（3）投标人在“国家企业信用信息公示系统”企业查询界面中【列入严重违法失信企业名单（黑名单）信息栏目的情况</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Cs w:val="21"/>
          <w:highlight w:val="none"/>
        </w:rPr>
        <w:t>；</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（4）《法人和非法人组织公共信用信息报告》</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Cs w:val="21"/>
          <w:highlight w:val="none"/>
        </w:rPr>
        <w:t>（在“信用中国”网站企业查询界面中下载）。</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2．联合体投标的，联合体成员单位均应填写《投标人基本情况表》并提供以上所需资料。</w:t>
      </w:r>
    </w:p>
    <w:p>
      <w:pPr>
        <w:pStyle w:val="113"/>
        <w:widowControl w:val="0"/>
        <w:wordWrap w:val="0"/>
        <w:adjustRightInd w:val="0"/>
        <w:snapToGrid w:val="0"/>
        <w:spacing w:line="400" w:lineRule="exact"/>
        <w:jc w:val="center"/>
        <w:outlineLvl w:val="9"/>
        <w:rPr>
          <w:rFonts w:hint="eastAsia" w:ascii="宋体" w:hAnsi="宋体" w:eastAsia="宋体" w:cs="宋体"/>
          <w:snapToGrid w:val="0"/>
          <w:color w:val="auto"/>
          <w:sz w:val="21"/>
          <w:szCs w:val="21"/>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jc w:val="left"/>
        <w:outlineLvl w:val="2"/>
        <w:rPr>
          <w:rFonts w:hint="eastAsia" w:ascii="宋体" w:hAnsi="宋体" w:eastAsia="宋体" w:cs="宋体"/>
          <w:b/>
          <w:snapToGrid w:val="0"/>
          <w:color w:val="auto"/>
          <w:kern w:val="0"/>
          <w:highlight w:val="none"/>
        </w:rPr>
      </w:pPr>
      <w:bookmarkStart w:id="175" w:name="_Toc4956"/>
      <w:r>
        <w:rPr>
          <w:rFonts w:hint="eastAsia" w:ascii="宋体" w:hAnsi="宋体" w:eastAsia="宋体" w:cs="宋体"/>
          <w:b/>
          <w:snapToGrid w:val="0"/>
          <w:color w:val="auto"/>
          <w:kern w:val="0"/>
          <w:highlight w:val="none"/>
        </w:rPr>
        <w:t>格式八 总监理工程师任职声明（适用于无任职项目）</w:t>
      </w:r>
      <w:bookmarkEnd w:id="175"/>
    </w:p>
    <w:p>
      <w:pPr>
        <w:wordWrap w:val="0"/>
        <w:adjustRightInd w:val="0"/>
        <w:snapToGrid w:val="0"/>
        <w:spacing w:line="440" w:lineRule="exact"/>
        <w:jc w:val="left"/>
        <w:outlineLvl w:val="9"/>
        <w:rPr>
          <w:rFonts w:hint="eastAsia" w:ascii="宋体" w:hAnsi="宋体" w:eastAsia="宋体" w:cs="宋体"/>
          <w:b/>
          <w:snapToGrid w:val="0"/>
          <w:color w:val="auto"/>
          <w:kern w:val="0"/>
          <w:highlight w:val="none"/>
        </w:rPr>
      </w:pPr>
    </w:p>
    <w:p>
      <w:pPr>
        <w:wordWrap w:val="0"/>
        <w:adjustRightInd w:val="0"/>
        <w:snapToGrid w:val="0"/>
        <w:spacing w:before="260" w:after="260" w:line="440" w:lineRule="exact"/>
        <w:jc w:val="center"/>
        <w:outlineLvl w:val="9"/>
        <w:rPr>
          <w:rFonts w:hint="eastAsia" w:ascii="宋体" w:hAnsi="宋体" w:eastAsia="宋体" w:cs="宋体"/>
          <w:snapToGrid w:val="0"/>
          <w:color w:val="auto"/>
          <w:kern w:val="0"/>
          <w:szCs w:val="28"/>
          <w:highlight w:val="none"/>
        </w:rPr>
      </w:pPr>
      <w:r>
        <w:rPr>
          <w:rFonts w:hint="eastAsia" w:ascii="宋体" w:hAnsi="宋体" w:eastAsia="宋体" w:cs="宋体"/>
          <w:b/>
          <w:snapToGrid w:val="0"/>
          <w:color w:val="auto"/>
          <w:kern w:val="0"/>
          <w:sz w:val="30"/>
          <w:highlight w:val="none"/>
        </w:rPr>
        <w:t>总监理工程师任职声明</w:t>
      </w:r>
    </w:p>
    <w:p>
      <w:pPr>
        <w:wordWrap w:val="0"/>
        <w:adjustRightInd w:val="0"/>
        <w:snapToGrid w:val="0"/>
        <w:spacing w:line="440" w:lineRule="exact"/>
        <w:jc w:val="center"/>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（招标人名称）：</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我方在此声明，我方拟派往</w:t>
      </w:r>
      <w:r>
        <w:rPr>
          <w:rFonts w:hint="eastAsia" w:ascii="宋体" w:hAnsi="宋体" w:eastAsia="宋体" w:cs="宋体"/>
          <w:snapToGrid w:val="0"/>
          <w:color w:val="auto"/>
          <w:kern w:val="0"/>
          <w:szCs w:val="28"/>
          <w:highlight w:val="none"/>
          <w:u w:val="single"/>
          <w:lang w:eastAsia="zh-CN"/>
        </w:rPr>
        <w:t>始兴县墨江流域农村污水综合治理工程一期（太平镇标段）施工监理</w:t>
      </w:r>
      <w:r>
        <w:rPr>
          <w:rFonts w:hint="eastAsia" w:ascii="宋体" w:hAnsi="宋体" w:eastAsia="宋体" w:cs="宋体"/>
          <w:snapToGrid w:val="0"/>
          <w:color w:val="auto"/>
          <w:kern w:val="0"/>
          <w:szCs w:val="28"/>
          <w:highlight w:val="none"/>
        </w:rPr>
        <w:t>的总监理工程师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（总监理工程师姓名）现阶段未担任任何在施（包括已中标未开工、已开工未竣工）建设工程项目的总监理工程师。</w:t>
      </w:r>
    </w:p>
    <w:p>
      <w:pPr>
        <w:wordWrap w:val="0"/>
        <w:adjustRightInd w:val="0"/>
        <w:snapToGrid w:val="0"/>
        <w:spacing w:line="440" w:lineRule="exact"/>
        <w:ind w:firstLine="48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特此承诺　　</w:t>
      </w: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投标人：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法定代表人或其委托代理人：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（签字或盖章）</w:t>
      </w: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jc w:val="center"/>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日</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jc w:val="left"/>
        <w:outlineLvl w:val="2"/>
        <w:rPr>
          <w:rFonts w:hint="eastAsia" w:ascii="宋体" w:hAnsi="宋体" w:eastAsia="宋体" w:cs="宋体"/>
          <w:b/>
          <w:snapToGrid w:val="0"/>
          <w:color w:val="auto"/>
          <w:kern w:val="0"/>
          <w:highlight w:val="none"/>
        </w:rPr>
      </w:pPr>
      <w:bookmarkStart w:id="176" w:name="_Toc29634"/>
      <w:r>
        <w:rPr>
          <w:rFonts w:hint="eastAsia" w:ascii="宋体" w:hAnsi="宋体" w:eastAsia="宋体" w:cs="宋体"/>
          <w:b/>
          <w:snapToGrid w:val="0"/>
          <w:color w:val="auto"/>
          <w:kern w:val="0"/>
          <w:highlight w:val="none"/>
        </w:rPr>
        <w:t>格式九 总监理工程师任职声明（适用于有任职项目）</w:t>
      </w:r>
      <w:bookmarkEnd w:id="176"/>
    </w:p>
    <w:p>
      <w:pPr>
        <w:wordWrap w:val="0"/>
        <w:adjustRightInd w:val="0"/>
        <w:snapToGrid w:val="0"/>
        <w:spacing w:line="440" w:lineRule="exact"/>
        <w:jc w:val="left"/>
        <w:outlineLvl w:val="9"/>
        <w:rPr>
          <w:rFonts w:hint="eastAsia" w:ascii="宋体" w:hAnsi="宋体" w:eastAsia="宋体" w:cs="宋体"/>
          <w:b/>
          <w:snapToGrid w:val="0"/>
          <w:color w:val="auto"/>
          <w:kern w:val="0"/>
          <w:highlight w:val="none"/>
        </w:rPr>
      </w:pPr>
    </w:p>
    <w:p>
      <w:pPr>
        <w:wordWrap w:val="0"/>
        <w:adjustRightInd w:val="0"/>
        <w:snapToGrid w:val="0"/>
        <w:spacing w:before="260" w:after="260" w:line="440" w:lineRule="exact"/>
        <w:jc w:val="center"/>
        <w:outlineLvl w:val="9"/>
        <w:rPr>
          <w:rFonts w:hint="eastAsia" w:ascii="宋体" w:hAnsi="宋体" w:eastAsia="宋体" w:cs="宋体"/>
          <w:snapToGrid w:val="0"/>
          <w:color w:val="auto"/>
          <w:kern w:val="0"/>
          <w:szCs w:val="28"/>
          <w:highlight w:val="none"/>
        </w:rPr>
      </w:pPr>
      <w:r>
        <w:rPr>
          <w:rFonts w:hint="eastAsia" w:ascii="宋体" w:hAnsi="宋体" w:eastAsia="宋体" w:cs="宋体"/>
          <w:b/>
          <w:snapToGrid w:val="0"/>
          <w:color w:val="auto"/>
          <w:kern w:val="0"/>
          <w:sz w:val="30"/>
          <w:highlight w:val="none"/>
        </w:rPr>
        <w:t>总监理工程师任职声明</w:t>
      </w:r>
    </w:p>
    <w:p>
      <w:pPr>
        <w:wordWrap w:val="0"/>
        <w:adjustRightInd w:val="0"/>
        <w:snapToGrid w:val="0"/>
        <w:spacing w:line="440" w:lineRule="exact"/>
        <w:jc w:val="center"/>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（招标人名称）：</w:t>
      </w:r>
    </w:p>
    <w:p>
      <w:pPr>
        <w:wordWrap w:val="0"/>
        <w:adjustRightInd w:val="0"/>
        <w:snapToGrid w:val="0"/>
        <w:spacing w:line="440" w:lineRule="exact"/>
        <w:ind w:firstLine="480" w:firstLineChars="20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我方在此声明，我方拟派往</w:t>
      </w:r>
      <w:r>
        <w:rPr>
          <w:rFonts w:hint="eastAsia" w:ascii="宋体" w:hAnsi="宋体" w:eastAsia="宋体" w:cs="宋体"/>
          <w:snapToGrid w:val="0"/>
          <w:color w:val="auto"/>
          <w:kern w:val="0"/>
          <w:szCs w:val="28"/>
          <w:highlight w:val="none"/>
          <w:u w:val="single"/>
          <w:lang w:eastAsia="zh-CN"/>
        </w:rPr>
        <w:t>始兴县墨江流域农村污水综合治理工程一期（太平镇标段）施工监理</w:t>
      </w:r>
      <w:r>
        <w:rPr>
          <w:rFonts w:hint="eastAsia" w:ascii="宋体" w:hAnsi="宋体" w:eastAsia="宋体" w:cs="宋体"/>
          <w:snapToGrid w:val="0"/>
          <w:color w:val="auto"/>
          <w:kern w:val="0"/>
          <w:szCs w:val="28"/>
          <w:highlight w:val="none"/>
        </w:rPr>
        <w:t>的总监理工程师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（总监理工程师姓名）现阶段正在担任</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个在施（包括已中标未开工、已开工未竣工）建设工程项目的总监理工程师，具体情况详见《总监理工程师任职项目情况表》。</w:t>
      </w:r>
    </w:p>
    <w:p>
      <w:pPr>
        <w:wordWrap w:val="0"/>
        <w:adjustRightInd w:val="0"/>
        <w:snapToGrid w:val="0"/>
        <w:spacing w:line="440" w:lineRule="exact"/>
        <w:ind w:firstLine="48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pPr>
        <w:wordWrap w:val="0"/>
        <w:adjustRightInd w:val="0"/>
        <w:snapToGrid w:val="0"/>
        <w:spacing w:line="440" w:lineRule="exact"/>
        <w:ind w:firstLine="48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特此承诺</w:t>
      </w:r>
    </w:p>
    <w:p>
      <w:pPr>
        <w:wordWrap w:val="0"/>
        <w:adjustRightInd w:val="0"/>
        <w:snapToGrid w:val="0"/>
        <w:spacing w:line="440" w:lineRule="exact"/>
        <w:ind w:firstLine="480"/>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投标人：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法定代表人或其委托代理人：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（签字或盖章）</w:t>
      </w:r>
    </w:p>
    <w:p>
      <w:pPr>
        <w:wordWrap w:val="0"/>
        <w:adjustRightInd w:val="0"/>
        <w:snapToGrid w:val="0"/>
        <w:spacing w:line="440" w:lineRule="exact"/>
        <w:jc w:val="right"/>
        <w:outlineLvl w:val="9"/>
        <w:rPr>
          <w:rFonts w:hint="eastAsia" w:ascii="宋体" w:hAnsi="宋体" w:eastAsia="宋体" w:cs="宋体"/>
          <w:snapToGrid w:val="0"/>
          <w:color w:val="auto"/>
          <w:kern w:val="0"/>
          <w:szCs w:val="28"/>
          <w:highlight w:val="none"/>
        </w:rPr>
      </w:pPr>
    </w:p>
    <w:p>
      <w:pPr>
        <w:wordWrap w:val="0"/>
        <w:adjustRightInd w:val="0"/>
        <w:snapToGrid w:val="0"/>
        <w:spacing w:line="440" w:lineRule="exact"/>
        <w:jc w:val="center"/>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日</w:t>
      </w:r>
    </w:p>
    <w:p>
      <w:pPr>
        <w:wordWrap w:val="0"/>
        <w:adjustRightInd w:val="0"/>
        <w:snapToGrid w:val="0"/>
        <w:spacing w:line="440" w:lineRule="exact"/>
        <w:jc w:val="center"/>
        <w:outlineLvl w:val="9"/>
        <w:rPr>
          <w:rFonts w:hint="eastAsia" w:ascii="宋体" w:hAnsi="宋体" w:eastAsia="宋体" w:cs="宋体"/>
          <w:snapToGrid w:val="0"/>
          <w:color w:val="auto"/>
          <w:kern w:val="0"/>
          <w:szCs w:val="28"/>
          <w:highlight w:val="none"/>
        </w:rPr>
      </w:pP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outlineLvl w:val="2"/>
        <w:rPr>
          <w:rFonts w:hint="eastAsia" w:ascii="宋体" w:hAnsi="宋体" w:eastAsia="宋体" w:cs="宋体"/>
          <w:b/>
          <w:bCs/>
          <w:snapToGrid w:val="0"/>
          <w:color w:val="auto"/>
          <w:kern w:val="0"/>
          <w:szCs w:val="24"/>
          <w:highlight w:val="none"/>
        </w:rPr>
      </w:pPr>
      <w:bookmarkStart w:id="177" w:name="_Toc20608"/>
      <w:r>
        <w:rPr>
          <w:rFonts w:hint="eastAsia" w:ascii="宋体" w:hAnsi="宋体" w:eastAsia="宋体" w:cs="宋体"/>
          <w:b/>
          <w:bCs/>
          <w:snapToGrid w:val="0"/>
          <w:color w:val="auto"/>
          <w:kern w:val="0"/>
          <w:szCs w:val="24"/>
          <w:highlight w:val="none"/>
        </w:rPr>
        <w:t>格式十 总监理工程师任职项目情况表</w:t>
      </w:r>
      <w:bookmarkEnd w:id="177"/>
    </w:p>
    <w:p>
      <w:pPr>
        <w:wordWrap w:val="0"/>
        <w:adjustRightInd w:val="0"/>
        <w:snapToGrid w:val="0"/>
        <w:spacing w:line="440" w:lineRule="exact"/>
        <w:outlineLvl w:val="9"/>
        <w:rPr>
          <w:rFonts w:hint="eastAsia" w:ascii="宋体" w:hAnsi="宋体" w:eastAsia="宋体" w:cs="宋体"/>
          <w:b/>
          <w:bCs/>
          <w:snapToGrid w:val="0"/>
          <w:color w:val="auto"/>
          <w:kern w:val="0"/>
          <w:szCs w:val="24"/>
          <w:highlight w:val="none"/>
        </w:rPr>
      </w:pPr>
    </w:p>
    <w:p>
      <w:pPr>
        <w:pStyle w:val="113"/>
        <w:widowControl w:val="0"/>
        <w:wordWrap w:val="0"/>
        <w:adjustRightInd w:val="0"/>
        <w:snapToGrid w:val="0"/>
        <w:spacing w:before="260" w:after="260" w:line="400" w:lineRule="exact"/>
        <w:ind w:firstLine="0"/>
        <w:jc w:val="center"/>
        <w:outlineLvl w:val="9"/>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30"/>
          <w:highlight w:val="none"/>
        </w:rPr>
        <w:t xml:space="preserve"> 总监理工程师任职项目情况表（）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项目名称</w:t>
            </w:r>
          </w:p>
        </w:tc>
        <w:tc>
          <w:tcPr>
            <w:tcW w:w="277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63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项目所在地</w:t>
            </w:r>
          </w:p>
        </w:tc>
        <w:tc>
          <w:tcPr>
            <w:tcW w:w="259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委托人名称</w:t>
            </w:r>
          </w:p>
        </w:tc>
        <w:tc>
          <w:tcPr>
            <w:tcW w:w="277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63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委托人地址</w:t>
            </w:r>
          </w:p>
        </w:tc>
        <w:tc>
          <w:tcPr>
            <w:tcW w:w="259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委托人电话</w:t>
            </w:r>
          </w:p>
        </w:tc>
        <w:tc>
          <w:tcPr>
            <w:tcW w:w="277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63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总监理工程师</w:t>
            </w:r>
          </w:p>
        </w:tc>
        <w:tc>
          <w:tcPr>
            <w:tcW w:w="259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监理服务期限</w:t>
            </w:r>
          </w:p>
        </w:tc>
        <w:tc>
          <w:tcPr>
            <w:tcW w:w="2771"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c>
          <w:tcPr>
            <w:tcW w:w="163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监理内容</w:t>
            </w:r>
          </w:p>
        </w:tc>
        <w:tc>
          <w:tcPr>
            <w:tcW w:w="2594"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项目描述</w:t>
            </w:r>
          </w:p>
        </w:tc>
        <w:tc>
          <w:tcPr>
            <w:tcW w:w="7000" w:type="dxa"/>
            <w:gridSpan w:val="3"/>
            <w:noWrap w:val="0"/>
            <w:vAlign w:val="center"/>
          </w:tcPr>
          <w:p>
            <w:pPr>
              <w:pStyle w:val="69"/>
              <w:wordWrap w:val="0"/>
              <w:adjustRightInd w:val="0"/>
              <w:snapToGrid w:val="0"/>
              <w:jc w:val="left"/>
              <w:outlineLvl w:val="9"/>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pPr>
              <w:pStyle w:val="69"/>
              <w:wordWrap w:val="0"/>
              <w:adjustRightInd w:val="0"/>
              <w:snapToGrid w:val="0"/>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委托人声明</w:t>
            </w:r>
          </w:p>
        </w:tc>
        <w:tc>
          <w:tcPr>
            <w:tcW w:w="7000" w:type="dxa"/>
            <w:gridSpan w:val="3"/>
            <w:noWrap w:val="0"/>
            <w:vAlign w:val="center"/>
          </w:tcPr>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p>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（本招标项目招标人名称）</w:t>
            </w:r>
          </w:p>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我方在此声明：</w:t>
            </w:r>
          </w:p>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一、在</w:t>
            </w:r>
            <w:r>
              <w:rPr>
                <w:rFonts w:hint="eastAsia" w:ascii="宋体" w:hAnsi="宋体" w:eastAsia="宋体" w:cs="宋体"/>
                <w:snapToGrid w:val="0"/>
                <w:color w:val="auto"/>
                <w:kern w:val="0"/>
                <w:szCs w:val="21"/>
                <w:highlight w:val="none"/>
                <w:u w:val="single"/>
              </w:rPr>
              <w:t xml:space="preserve"> （拟派总监姓名） </w:t>
            </w:r>
            <w:r>
              <w:rPr>
                <w:rFonts w:hint="eastAsia" w:ascii="宋体" w:hAnsi="宋体" w:eastAsia="宋体" w:cs="宋体"/>
                <w:snapToGrid w:val="0"/>
                <w:color w:val="auto"/>
                <w:kern w:val="0"/>
                <w:szCs w:val="21"/>
                <w:highlight w:val="none"/>
              </w:rPr>
              <w:t>同志任我方在施项目总监理工程师期间，如果</w:t>
            </w:r>
            <w:r>
              <w:rPr>
                <w:rFonts w:hint="eastAsia" w:ascii="宋体" w:hAnsi="宋体" w:eastAsia="宋体" w:cs="宋体"/>
                <w:snapToGrid w:val="0"/>
                <w:color w:val="auto"/>
                <w:kern w:val="0"/>
                <w:szCs w:val="21"/>
                <w:highlight w:val="none"/>
                <w:u w:val="single"/>
              </w:rPr>
              <w:t xml:space="preserve"> （投标人名称） </w:t>
            </w:r>
            <w:r>
              <w:rPr>
                <w:rFonts w:hint="eastAsia" w:ascii="宋体" w:hAnsi="宋体" w:eastAsia="宋体" w:cs="宋体"/>
                <w:snapToGrid w:val="0"/>
                <w:color w:val="auto"/>
                <w:kern w:val="0"/>
                <w:szCs w:val="21"/>
                <w:highlight w:val="none"/>
              </w:rPr>
              <w:t>中标你方招标项目监理业务，在</w:t>
            </w:r>
            <w:r>
              <w:rPr>
                <w:rFonts w:hint="eastAsia" w:ascii="宋体" w:hAnsi="宋体" w:eastAsia="宋体" w:cs="宋体"/>
                <w:snapToGrid w:val="0"/>
                <w:color w:val="auto"/>
                <w:kern w:val="0"/>
                <w:szCs w:val="21"/>
                <w:highlight w:val="none"/>
                <w:u w:val="single"/>
              </w:rPr>
              <w:t xml:space="preserve"> （拟派总监姓名） </w:t>
            </w:r>
            <w:r>
              <w:rPr>
                <w:rFonts w:hint="eastAsia" w:ascii="宋体" w:hAnsi="宋体" w:eastAsia="宋体" w:cs="宋体"/>
                <w:snapToGrid w:val="0"/>
                <w:color w:val="auto"/>
                <w:kern w:val="0"/>
                <w:szCs w:val="21"/>
                <w:highlight w:val="none"/>
              </w:rPr>
              <w:t>同志目前担任总监理工程师职务的项目总数不超过两个（含我方在施项目）的前提下，我方同意其同时担任你方招标项目的总监理工程师；如果未中标，以上声明自动失效。</w:t>
            </w:r>
          </w:p>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二、无论</w:t>
            </w:r>
            <w:r>
              <w:rPr>
                <w:rFonts w:hint="eastAsia" w:ascii="宋体" w:hAnsi="宋体" w:eastAsia="宋体" w:cs="宋体"/>
                <w:snapToGrid w:val="0"/>
                <w:color w:val="auto"/>
                <w:kern w:val="0"/>
                <w:szCs w:val="21"/>
                <w:highlight w:val="none"/>
                <w:u w:val="single"/>
              </w:rPr>
              <w:t xml:space="preserve"> （拟派总监姓名） </w:t>
            </w:r>
            <w:r>
              <w:rPr>
                <w:rFonts w:hint="eastAsia" w:ascii="宋体" w:hAnsi="宋体" w:eastAsia="宋体" w:cs="宋体"/>
                <w:snapToGrid w:val="0"/>
                <w:color w:val="auto"/>
                <w:kern w:val="0"/>
                <w:szCs w:val="21"/>
                <w:highlight w:val="none"/>
              </w:rPr>
              <w:t>同志是否担任其他建设项目的总监理工程师，</w:t>
            </w:r>
            <w:r>
              <w:rPr>
                <w:rFonts w:hint="eastAsia" w:ascii="宋体" w:hAnsi="宋体" w:eastAsia="宋体" w:cs="宋体"/>
                <w:snapToGrid w:val="0"/>
                <w:color w:val="auto"/>
                <w:kern w:val="0"/>
                <w:szCs w:val="21"/>
                <w:highlight w:val="none"/>
                <w:u w:val="single"/>
              </w:rPr>
              <w:t xml:space="preserve"> （投标人名称） </w:t>
            </w:r>
            <w:r>
              <w:rPr>
                <w:rFonts w:hint="eastAsia" w:ascii="宋体" w:hAnsi="宋体" w:eastAsia="宋体" w:cs="宋体"/>
                <w:snapToGrid w:val="0"/>
                <w:color w:val="auto"/>
                <w:kern w:val="0"/>
                <w:szCs w:val="21"/>
                <w:highlight w:val="none"/>
              </w:rPr>
              <w:t>都必须完全、严格履行我方在施项目监理合同中约定的所有义务，并确保服务内容、服务质量不得有任何减少或降低。</w:t>
            </w:r>
          </w:p>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p>
          <w:p>
            <w:pPr>
              <w:pStyle w:val="69"/>
              <w:adjustRightInd w:val="0"/>
              <w:snapToGrid w:val="0"/>
              <w:spacing w:line="360" w:lineRule="auto"/>
              <w:outlineLvl w:val="9"/>
              <w:rPr>
                <w:rFonts w:hint="eastAsia" w:ascii="宋体" w:hAnsi="宋体" w:eastAsia="宋体" w:cs="宋体"/>
                <w:snapToGrid w:val="0"/>
                <w:color w:val="auto"/>
                <w:kern w:val="0"/>
                <w:szCs w:val="21"/>
                <w:highlight w:val="none"/>
              </w:rPr>
            </w:pPr>
          </w:p>
          <w:p>
            <w:pPr>
              <w:pStyle w:val="69"/>
              <w:adjustRightInd w:val="0"/>
              <w:snapToGrid w:val="0"/>
              <w:spacing w:line="360" w:lineRule="auto"/>
              <w:jc w:val="right"/>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建设单位名称：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（盖单位章）</w:t>
            </w:r>
          </w:p>
          <w:p>
            <w:pPr>
              <w:pStyle w:val="69"/>
              <w:adjustRightInd w:val="0"/>
              <w:snapToGrid w:val="0"/>
              <w:spacing w:line="360" w:lineRule="auto"/>
              <w:jc w:val="right"/>
              <w:outlineLvl w:val="9"/>
              <w:rPr>
                <w:rFonts w:hint="eastAsia" w:ascii="宋体" w:hAnsi="宋体" w:eastAsia="宋体" w:cs="宋体"/>
                <w:snapToGrid w:val="0"/>
                <w:color w:val="auto"/>
                <w:kern w:val="0"/>
                <w:szCs w:val="21"/>
                <w:highlight w:val="none"/>
              </w:rPr>
            </w:pPr>
          </w:p>
          <w:p>
            <w:pPr>
              <w:pStyle w:val="69"/>
              <w:adjustRightInd w:val="0"/>
              <w:snapToGrid w:val="0"/>
              <w:spacing w:line="360" w:lineRule="auto"/>
              <w:jc w:val="center"/>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XXXX年XX月XX日</w:t>
            </w:r>
          </w:p>
        </w:tc>
      </w:tr>
    </w:tbl>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highlight w:val="none"/>
        </w:rPr>
        <w:t>“任职项目”指拟派总监理工程师正在担任总监理工程师职务的在施（包括已中标未开工、已开工未竣工）建设工程项目。任职项目多于一宗的，一项目一表，并标明序号。</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highlight w:val="none"/>
        </w:rPr>
        <w:t>每份情况表后应附该项目的合同协议书</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Cs w:val="21"/>
          <w:highlight w:val="none"/>
        </w:rPr>
        <w:t>。</w:t>
      </w:r>
    </w:p>
    <w:p>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8"/>
          <w:highlight w:val="none"/>
        </w:rPr>
        <w:t>．投标人填写本</w:t>
      </w:r>
      <w:r>
        <w:rPr>
          <w:rFonts w:hint="eastAsia" w:ascii="宋体" w:hAnsi="宋体" w:eastAsia="宋体" w:cs="宋体"/>
          <w:snapToGrid w:val="0"/>
          <w:color w:val="auto"/>
          <w:kern w:val="0"/>
          <w:szCs w:val="21"/>
          <w:highlight w:val="none"/>
        </w:rPr>
        <w:t>表后交任职项目建设单位审核同意后盖章。任职项目建设单位另行出具书面同意意见的，投标人应将该书面意见附在本表后，同时在“委托人声明”栏目注明“另附”即可。</w:t>
      </w:r>
    </w:p>
    <w:p>
      <w:pPr>
        <w:wordWrap w:val="0"/>
        <w:adjustRightInd w:val="0"/>
        <w:snapToGrid w:val="0"/>
        <w:spacing w:line="400" w:lineRule="exact"/>
        <w:outlineLvl w:val="9"/>
        <w:rPr>
          <w:rFonts w:hint="eastAsia" w:ascii="宋体" w:hAnsi="宋体" w:eastAsia="宋体" w:cs="宋体"/>
          <w:snapToGrid w:val="0"/>
          <w:color w:val="auto"/>
          <w:kern w:val="0"/>
          <w:sz w:val="21"/>
          <w:szCs w:val="21"/>
          <w:highlight w:val="none"/>
        </w:rPr>
        <w:sectPr>
          <w:endnotePr>
            <w:numFmt w:val="decimal"/>
          </w:endnotePr>
          <w:pgSz w:w="11906" w:h="16838"/>
          <w:pgMar w:top="1440" w:right="1080" w:bottom="1440" w:left="1080" w:header="850" w:footer="992" w:gutter="0"/>
          <w:pgNumType w:fmt="decimal"/>
          <w:cols w:space="720" w:num="1"/>
          <w:docGrid w:linePitch="327" w:charSpace="0"/>
        </w:sectPr>
      </w:pPr>
    </w:p>
    <w:p>
      <w:pPr>
        <w:wordWrap w:val="0"/>
        <w:adjustRightInd w:val="0"/>
        <w:snapToGrid w:val="0"/>
        <w:spacing w:line="440" w:lineRule="exact"/>
        <w:ind w:left="2609" w:leftChars="15" w:hanging="2573" w:hangingChars="1068"/>
        <w:outlineLvl w:val="2"/>
        <w:rPr>
          <w:rFonts w:hint="eastAsia" w:ascii="宋体" w:hAnsi="宋体" w:eastAsia="宋体" w:cs="宋体"/>
          <w:b/>
          <w:bCs/>
          <w:snapToGrid w:val="0"/>
          <w:color w:val="auto"/>
          <w:kern w:val="0"/>
          <w:szCs w:val="24"/>
          <w:highlight w:val="none"/>
        </w:rPr>
      </w:pPr>
      <w:bookmarkStart w:id="178" w:name="_Toc20895"/>
      <w:bookmarkStart w:id="179" w:name="_Toc8264"/>
      <w:bookmarkStart w:id="180" w:name="_Toc200338098"/>
      <w:r>
        <w:rPr>
          <w:rFonts w:hint="eastAsia" w:ascii="宋体" w:hAnsi="宋体" w:eastAsia="宋体" w:cs="宋体"/>
          <w:b/>
          <w:snapToGrid w:val="0"/>
          <w:color w:val="auto"/>
          <w:kern w:val="0"/>
          <w:highlight w:val="none"/>
        </w:rPr>
        <w:t>格式</w:t>
      </w:r>
      <w:bookmarkStart w:id="181" w:name="_Hlt287950384"/>
      <w:bookmarkEnd w:id="181"/>
      <w:r>
        <w:rPr>
          <w:rFonts w:hint="eastAsia" w:ascii="宋体" w:hAnsi="宋体" w:eastAsia="宋体" w:cs="宋体"/>
          <w:b/>
          <w:bCs/>
          <w:snapToGrid w:val="0"/>
          <w:color w:val="auto"/>
          <w:kern w:val="0"/>
          <w:szCs w:val="24"/>
          <w:highlight w:val="none"/>
        </w:rPr>
        <w:t>十一 项目监理机构组成人员汇总表</w:t>
      </w:r>
      <w:bookmarkEnd w:id="178"/>
    </w:p>
    <w:p>
      <w:pPr>
        <w:wordWrap w:val="0"/>
        <w:adjustRightInd w:val="0"/>
        <w:snapToGrid w:val="0"/>
        <w:spacing w:before="260" w:after="260" w:line="440" w:lineRule="exact"/>
        <w:jc w:val="center"/>
        <w:outlineLvl w:val="9"/>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30"/>
          <w:highlight w:val="none"/>
        </w:rPr>
        <w:t xml:space="preserve"> 项目监理机构组成人员汇总表</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1425" w:type="dxa"/>
            <w:vMerge w:val="restart"/>
            <w:tcBorders>
              <w:top w:val="single" w:color="auto" w:sz="6" w:space="0"/>
              <w:left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拟担任职务</w:t>
            </w:r>
          </w:p>
        </w:tc>
        <w:tc>
          <w:tcPr>
            <w:tcW w:w="840" w:type="dxa"/>
            <w:vMerge w:val="restart"/>
            <w:tcBorders>
              <w:top w:val="single" w:color="auto" w:sz="6" w:space="0"/>
              <w:left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  名</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职称证书</w:t>
            </w:r>
          </w:p>
        </w:tc>
        <w:tc>
          <w:tcPr>
            <w:tcW w:w="3780" w:type="dxa"/>
            <w:gridSpan w:val="3"/>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注册证书</w:t>
            </w:r>
          </w:p>
        </w:tc>
        <w:tc>
          <w:tcPr>
            <w:tcW w:w="3780"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岗位证书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vMerge w:val="continue"/>
            <w:tcBorders>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vMerge w:val="continue"/>
            <w:tcBorders>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专业名称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级别</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证号</w:t>
            </w:r>
          </w:p>
        </w:tc>
        <w:tc>
          <w:tcPr>
            <w:tcW w:w="1425" w:type="dxa"/>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资格名称</w:t>
            </w: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级别</w:t>
            </w: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证号</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岗位名称</w:t>
            </w: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级别</w:t>
            </w: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4"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4"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4"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bookmarkStart w:id="182" w:name="_Hlt69116778"/>
        <w:bookmarkStart w:id="183" w:name="_附件十：单项工程费汇总表"/>
        <w:bookmarkStart w:id="184" w:name="_Hlt68774664"/>
        <w:bookmarkStart w:id="185" w:name="_附件二十五：综合评审合理低价法"/>
        <w:bookmarkStart w:id="186" w:name="_附件二十四：技术标提问单"/>
      </w:tr>
      <w:bookmarkEnd w:id="179"/>
      <w:bookmarkEnd w:id="180"/>
      <w:bookmarkEnd w:id="182"/>
      <w:bookmarkEnd w:id="183"/>
      <w:bookmarkEnd w:id="184"/>
      <w:bookmarkEnd w:id="185"/>
      <w:bookmarkEnd w:id="18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bl>
    <w:p>
      <w:pPr>
        <w:pStyle w:val="113"/>
        <w:widowControl w:val="0"/>
        <w:wordWrap w:val="0"/>
        <w:adjustRightInd w:val="0"/>
        <w:snapToGrid w:val="0"/>
        <w:spacing w:line="400" w:lineRule="exact"/>
        <w:outlineLvl w:val="9"/>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说明：</w:t>
      </w:r>
    </w:p>
    <w:p>
      <w:pPr>
        <w:pStyle w:val="113"/>
        <w:widowControl w:val="0"/>
        <w:wordWrap w:val="0"/>
        <w:adjustRightInd w:val="0"/>
        <w:snapToGrid w:val="0"/>
        <w:spacing w:line="400" w:lineRule="exact"/>
        <w:outlineLvl w:val="9"/>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1</w:t>
      </w:r>
      <w:r>
        <w:rPr>
          <w:rFonts w:hint="eastAsia" w:ascii="宋体" w:hAnsi="宋体" w:eastAsia="宋体" w:cs="宋体"/>
          <w:snapToGrid w:val="0"/>
          <w:color w:val="auto"/>
          <w:sz w:val="21"/>
          <w:szCs w:val="28"/>
          <w:highlight w:val="none"/>
        </w:rPr>
        <w:t>．表中没有或无法填写的栏目，用</w:t>
      </w:r>
      <w:r>
        <w:rPr>
          <w:rFonts w:hint="eastAsia" w:ascii="宋体" w:hAnsi="宋体" w:eastAsia="宋体" w:cs="宋体"/>
          <w:snapToGrid w:val="0"/>
          <w:color w:val="auto"/>
          <w:sz w:val="21"/>
          <w:highlight w:val="none"/>
        </w:rPr>
        <w:t>“/”示意。</w:t>
      </w:r>
    </w:p>
    <w:p>
      <w:pPr>
        <w:pStyle w:val="113"/>
        <w:widowControl w:val="0"/>
        <w:wordWrap w:val="0"/>
        <w:adjustRightInd w:val="0"/>
        <w:snapToGrid w:val="0"/>
        <w:spacing w:line="400" w:lineRule="exact"/>
        <w:outlineLvl w:val="9"/>
        <w:rPr>
          <w:rFonts w:hint="eastAsia" w:ascii="宋体" w:hAnsi="宋体" w:eastAsia="宋体" w:cs="宋体"/>
          <w:snapToGrid w:val="0"/>
          <w:color w:val="auto"/>
          <w:sz w:val="21"/>
          <w:szCs w:val="28"/>
          <w:highlight w:val="none"/>
        </w:rPr>
      </w:pPr>
      <w:r>
        <w:rPr>
          <w:rFonts w:hint="eastAsia" w:ascii="宋体" w:hAnsi="宋体" w:eastAsia="宋体" w:cs="宋体"/>
          <w:snapToGrid w:val="0"/>
          <w:color w:val="auto"/>
          <w:sz w:val="21"/>
          <w:highlight w:val="none"/>
        </w:rPr>
        <w:t>2</w:t>
      </w:r>
      <w:r>
        <w:rPr>
          <w:rFonts w:hint="eastAsia" w:ascii="宋体" w:hAnsi="宋体" w:eastAsia="宋体" w:cs="宋体"/>
          <w:snapToGrid w:val="0"/>
          <w:color w:val="auto"/>
          <w:sz w:val="21"/>
          <w:szCs w:val="28"/>
          <w:highlight w:val="none"/>
        </w:rPr>
        <w:t>．</w:t>
      </w:r>
      <w:r>
        <w:rPr>
          <w:rFonts w:hint="eastAsia" w:ascii="宋体" w:hAnsi="宋体" w:eastAsia="宋体" w:cs="宋体"/>
          <w:snapToGrid w:val="0"/>
          <w:color w:val="auto"/>
          <w:sz w:val="21"/>
          <w:highlight w:val="none"/>
        </w:rPr>
        <w:t>联合体投标的，《项目监理机构组成人员汇总表》应包括联合体成员单位的拟派人员。</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sectPr>
          <w:endnotePr>
            <w:numFmt w:val="decimal"/>
          </w:endnotePr>
          <w:pgSz w:w="16838" w:h="11906" w:orient="landscape"/>
          <w:pgMar w:top="1440" w:right="1080" w:bottom="1440" w:left="1080" w:header="850" w:footer="992" w:gutter="0"/>
          <w:pgNumType w:fmt="decimal"/>
          <w:cols w:space="720" w:num="1"/>
          <w:docGrid w:linePitch="327" w:charSpace="0"/>
        </w:sectPr>
      </w:pPr>
    </w:p>
    <w:p>
      <w:pPr>
        <w:wordWrap w:val="0"/>
        <w:adjustRightInd w:val="0"/>
        <w:snapToGrid w:val="0"/>
        <w:spacing w:line="440" w:lineRule="exact"/>
        <w:jc w:val="left"/>
        <w:outlineLvl w:val="2"/>
        <w:rPr>
          <w:rFonts w:hint="eastAsia" w:ascii="宋体" w:hAnsi="宋体" w:eastAsia="宋体" w:cs="宋体"/>
          <w:b/>
          <w:bCs/>
          <w:snapToGrid w:val="0"/>
          <w:color w:val="auto"/>
          <w:kern w:val="0"/>
          <w:szCs w:val="24"/>
          <w:highlight w:val="none"/>
        </w:rPr>
      </w:pPr>
      <w:bookmarkStart w:id="187" w:name="_Toc5290"/>
      <w:r>
        <w:rPr>
          <w:rFonts w:hint="eastAsia" w:ascii="宋体" w:hAnsi="宋体" w:eastAsia="宋体" w:cs="宋体"/>
          <w:b/>
          <w:snapToGrid w:val="0"/>
          <w:color w:val="auto"/>
          <w:kern w:val="0"/>
          <w:highlight w:val="none"/>
        </w:rPr>
        <w:t>格式十二 总监理工程师简历表</w:t>
      </w:r>
      <w:bookmarkEnd w:id="187"/>
    </w:p>
    <w:p>
      <w:pPr>
        <w:wordWrap w:val="0"/>
        <w:adjustRightInd w:val="0"/>
        <w:snapToGrid w:val="0"/>
        <w:spacing w:line="440" w:lineRule="exact"/>
        <w:jc w:val="left"/>
        <w:outlineLvl w:val="9"/>
        <w:rPr>
          <w:rFonts w:hint="eastAsia" w:ascii="宋体" w:hAnsi="宋体" w:eastAsia="宋体" w:cs="宋体"/>
          <w:b/>
          <w:bCs/>
          <w:snapToGrid w:val="0"/>
          <w:color w:val="auto"/>
          <w:kern w:val="0"/>
          <w:szCs w:val="24"/>
          <w:highlight w:val="none"/>
        </w:rPr>
      </w:pPr>
    </w:p>
    <w:tbl>
      <w:tblPr>
        <w:tblStyle w:val="3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  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性  别</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学  历</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注册证书</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lef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名称：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bl>
    <w:p>
      <w:pPr>
        <w:wordWrap w:val="0"/>
        <w:adjustRightInd w:val="0"/>
        <w:snapToGrid w:val="0"/>
        <w:spacing w:line="440" w:lineRule="exact"/>
        <w:jc w:val="center"/>
        <w:outlineLvl w:val="9"/>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sz w:val="30"/>
          <w:highlight w:val="none"/>
        </w:rPr>
        <w:t>总监理工程师简历表</w:t>
      </w:r>
    </w:p>
    <w:p>
      <w:pPr>
        <w:wordWrap w:val="0"/>
        <w:adjustRightInd w:val="0"/>
        <w:snapToGrid w:val="0"/>
        <w:spacing w:line="440" w:lineRule="exact"/>
        <w:ind w:firstLine="570"/>
        <w:outlineLvl w:val="9"/>
        <w:rPr>
          <w:rFonts w:hint="eastAsia" w:ascii="宋体" w:hAnsi="宋体" w:eastAsia="宋体" w:cs="宋体"/>
          <w:snapToGrid w:val="0"/>
          <w:color w:val="auto"/>
          <w:kern w:val="0"/>
          <w:szCs w:val="28"/>
          <w:highlight w:val="none"/>
        </w:rPr>
      </w:pPr>
    </w:p>
    <w:p>
      <w:pPr>
        <w:pStyle w:val="114"/>
        <w:wordWrap w:val="0"/>
        <w:adjustRightInd w:val="0"/>
        <w:snapToGrid w:val="0"/>
        <w:spacing w:line="440" w:lineRule="exact"/>
        <w:jc w:val="right"/>
        <w:outlineLvl w:val="9"/>
        <w:rPr>
          <w:rFonts w:hint="eastAsia" w:ascii="宋体" w:hAnsi="宋体" w:eastAsia="宋体" w:cs="宋体"/>
          <w:snapToGrid w:val="0"/>
          <w:color w:val="auto"/>
          <w:kern w:val="0"/>
          <w:highlight w:val="none"/>
        </w:rPr>
      </w:pPr>
    </w:p>
    <w:p>
      <w:pPr>
        <w:pStyle w:val="114"/>
        <w:wordWrap w:val="0"/>
        <w:adjustRightInd w:val="0"/>
        <w:snapToGrid w:val="0"/>
        <w:spacing w:line="440" w:lineRule="exact"/>
        <w:jc w:val="righ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总监理工程师：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w:t>
      </w:r>
    </w:p>
    <w:p>
      <w:pPr>
        <w:pStyle w:val="114"/>
        <w:wordWrap w:val="0"/>
        <w:adjustRightInd w:val="0"/>
        <w:snapToGrid w:val="0"/>
        <w:spacing w:line="440" w:lineRule="exact"/>
        <w:jc w:val="right"/>
        <w:outlineLvl w:val="9"/>
        <w:rPr>
          <w:rFonts w:hint="eastAsia" w:ascii="宋体" w:hAnsi="宋体" w:eastAsia="宋体" w:cs="宋体"/>
          <w:snapToGrid w:val="0"/>
          <w:color w:val="auto"/>
          <w:kern w:val="0"/>
          <w:highlight w:val="none"/>
        </w:rPr>
      </w:pPr>
    </w:p>
    <w:p>
      <w:pPr>
        <w:pStyle w:val="114"/>
        <w:wordWrap w:val="0"/>
        <w:adjustRightInd w:val="0"/>
        <w:snapToGrid w:val="0"/>
        <w:spacing w:line="440" w:lineRule="exact"/>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pPr>
        <w:wordWrap w:val="0"/>
        <w:adjustRightInd w:val="0"/>
        <w:snapToGrid w:val="0"/>
        <w:spacing w:line="400" w:lineRule="exact"/>
        <w:ind w:firstLine="570"/>
        <w:outlineLvl w:val="9"/>
        <w:rPr>
          <w:rFonts w:hint="eastAsia" w:ascii="宋体" w:hAnsi="宋体" w:eastAsia="宋体" w:cs="宋体"/>
          <w:snapToGrid w:val="0"/>
          <w:color w:val="auto"/>
          <w:kern w:val="0"/>
          <w:szCs w:val="28"/>
          <w:highlight w:val="none"/>
        </w:rPr>
      </w:pP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说明：《总监理工程师简历表》后应附拟派总监理工程师以下资料：</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1．身份证</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rPr>
        <w:t>；</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2．监理工程师注册证书</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rPr>
        <w:t>（须</w:t>
      </w:r>
      <w:r>
        <w:rPr>
          <w:rFonts w:hint="eastAsia" w:ascii="宋体" w:hAnsi="宋体" w:eastAsia="宋体" w:cs="宋体"/>
          <w:snapToGrid w:val="0"/>
          <w:color w:val="auto"/>
          <w:kern w:val="0"/>
          <w:sz w:val="21"/>
          <w:szCs w:val="28"/>
          <w:highlight w:val="none"/>
          <w:lang w:val="en-US" w:eastAsia="zh-CN"/>
        </w:rPr>
        <w:t>扫描</w:t>
      </w:r>
      <w:r>
        <w:rPr>
          <w:rFonts w:hint="eastAsia" w:ascii="宋体" w:hAnsi="宋体" w:eastAsia="宋体" w:cs="宋体"/>
          <w:snapToGrid w:val="0"/>
          <w:color w:val="auto"/>
          <w:kern w:val="0"/>
          <w:sz w:val="21"/>
          <w:szCs w:val="28"/>
          <w:highlight w:val="none"/>
        </w:rPr>
        <w:t>变更注册栏）；</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lang w:eastAsia="zh-CN"/>
        </w:rPr>
      </w:pPr>
      <w:r>
        <w:rPr>
          <w:rFonts w:hint="eastAsia" w:ascii="宋体" w:hAnsi="宋体" w:eastAsia="宋体" w:cs="宋体"/>
          <w:snapToGrid w:val="0"/>
          <w:color w:val="auto"/>
          <w:kern w:val="0"/>
          <w:sz w:val="21"/>
          <w:szCs w:val="28"/>
          <w:highlight w:val="none"/>
        </w:rPr>
        <w:t>3．在本单位缴纳社保的证明（至少一个月，其中必须有</w:t>
      </w:r>
      <w:r>
        <w:rPr>
          <w:rFonts w:hint="eastAsia" w:ascii="宋体" w:hAnsi="宋体" w:eastAsia="宋体" w:cs="宋体"/>
          <w:snapToGrid w:val="0"/>
          <w:color w:val="auto"/>
          <w:kern w:val="0"/>
          <w:sz w:val="21"/>
          <w:szCs w:val="28"/>
          <w:highlight w:val="none"/>
          <w:lang w:eastAsia="zh-CN"/>
        </w:rPr>
        <w:t>202</w:t>
      </w:r>
      <w:r>
        <w:rPr>
          <w:rFonts w:hint="eastAsia" w:ascii="宋体" w:hAnsi="宋体" w:eastAsia="宋体" w:cs="宋体"/>
          <w:snapToGrid w:val="0"/>
          <w:color w:val="auto"/>
          <w:kern w:val="0"/>
          <w:sz w:val="21"/>
          <w:szCs w:val="28"/>
          <w:highlight w:val="none"/>
          <w:lang w:val="en-US" w:eastAsia="zh-CN"/>
        </w:rPr>
        <w:t>3</w:t>
      </w:r>
      <w:r>
        <w:rPr>
          <w:rFonts w:hint="eastAsia" w:ascii="宋体" w:hAnsi="宋体" w:eastAsia="宋体" w:cs="宋体"/>
          <w:snapToGrid w:val="0"/>
          <w:color w:val="auto"/>
          <w:kern w:val="0"/>
          <w:sz w:val="21"/>
          <w:szCs w:val="28"/>
          <w:highlight w:val="none"/>
          <w:lang w:eastAsia="zh-CN"/>
        </w:rPr>
        <w:t>年1月</w:t>
      </w:r>
      <w:r>
        <w:rPr>
          <w:rFonts w:hint="eastAsia" w:ascii="宋体" w:hAnsi="宋体" w:eastAsia="宋体" w:cs="宋体"/>
          <w:snapToGrid w:val="0"/>
          <w:color w:val="auto"/>
          <w:kern w:val="0"/>
          <w:sz w:val="21"/>
          <w:szCs w:val="28"/>
          <w:highlight w:val="none"/>
        </w:rPr>
        <w:t>）</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rPr>
        <w:t>。拟派总监理工程师为退休返聘人员无法提供社保证明的，提供退休证和劳动合同</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lang w:eastAsia="zh-CN"/>
        </w:rPr>
        <w:t>。</w:t>
      </w:r>
    </w:p>
    <w:p>
      <w:pPr>
        <w:wordWrap w:val="0"/>
        <w:adjustRightInd w:val="0"/>
        <w:snapToGrid w:val="0"/>
        <w:spacing w:line="440" w:lineRule="exact"/>
        <w:jc w:val="left"/>
        <w:outlineLvl w:val="2"/>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highlight w:val="none"/>
        </w:rPr>
        <w:br w:type="page"/>
      </w:r>
      <w:bookmarkStart w:id="188" w:name="_Toc4869"/>
      <w:r>
        <w:rPr>
          <w:rFonts w:hint="eastAsia" w:ascii="宋体" w:hAnsi="宋体" w:eastAsia="宋体" w:cs="宋体"/>
          <w:b/>
          <w:snapToGrid w:val="0"/>
          <w:color w:val="auto"/>
          <w:kern w:val="0"/>
          <w:highlight w:val="none"/>
        </w:rPr>
        <w:t>格式十三 其他拟派人员简历表</w:t>
      </w:r>
      <w:bookmarkEnd w:id="188"/>
    </w:p>
    <w:p>
      <w:pPr>
        <w:wordWrap w:val="0"/>
        <w:adjustRightInd w:val="0"/>
        <w:snapToGrid w:val="0"/>
        <w:spacing w:line="440" w:lineRule="exact"/>
        <w:jc w:val="left"/>
        <w:outlineLvl w:val="9"/>
        <w:rPr>
          <w:rFonts w:hint="eastAsia" w:ascii="宋体" w:hAnsi="宋体" w:eastAsia="宋体" w:cs="宋体"/>
          <w:b/>
          <w:bCs/>
          <w:snapToGrid w:val="0"/>
          <w:color w:val="auto"/>
          <w:kern w:val="0"/>
          <w:szCs w:val="24"/>
          <w:highlight w:val="none"/>
        </w:rPr>
      </w:pPr>
    </w:p>
    <w:tbl>
      <w:tblPr>
        <w:tblStyle w:val="3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  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性  别</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学  历</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持证情况</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lef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8"/>
                <w:highlight w:val="none"/>
              </w:rPr>
              <w:t>．</w:t>
            </w:r>
            <w:r>
              <w:rPr>
                <w:rFonts w:hint="eastAsia" w:ascii="宋体" w:hAnsi="宋体" w:eastAsia="宋体" w:cs="宋体"/>
                <w:snapToGrid w:val="0"/>
                <w:color w:val="auto"/>
                <w:kern w:val="0"/>
                <w:sz w:val="21"/>
                <w:szCs w:val="21"/>
                <w:highlight w:val="none"/>
              </w:rPr>
              <w:t>名称：                               证书号：</w:t>
            </w:r>
          </w:p>
          <w:p>
            <w:pPr>
              <w:wordWrap w:val="0"/>
              <w:adjustRightInd w:val="0"/>
              <w:snapToGrid w:val="0"/>
              <w:spacing w:line="240" w:lineRule="auto"/>
              <w:jc w:val="lef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r>
              <w:rPr>
                <w:rFonts w:hint="eastAsia" w:ascii="宋体" w:hAnsi="宋体" w:eastAsia="宋体" w:cs="宋体"/>
                <w:snapToGrid w:val="0"/>
                <w:color w:val="auto"/>
                <w:kern w:val="0"/>
                <w:sz w:val="21"/>
                <w:szCs w:val="28"/>
                <w:highlight w:val="none"/>
              </w:rPr>
              <w:t>．</w:t>
            </w:r>
            <w:r>
              <w:rPr>
                <w:rFonts w:hint="eastAsia" w:ascii="宋体" w:hAnsi="宋体" w:eastAsia="宋体" w:cs="宋体"/>
                <w:snapToGrid w:val="0"/>
                <w:color w:val="auto"/>
                <w:kern w:val="0"/>
                <w:sz w:val="21"/>
                <w:szCs w:val="21"/>
                <w:highlight w:val="none"/>
              </w:rPr>
              <w:t>名称：                               证书号：</w:t>
            </w:r>
          </w:p>
          <w:p>
            <w:pPr>
              <w:wordWrap w:val="0"/>
              <w:adjustRightInd w:val="0"/>
              <w:snapToGrid w:val="0"/>
              <w:spacing w:line="240" w:lineRule="auto"/>
              <w:jc w:val="lef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r>
              <w:rPr>
                <w:rFonts w:hint="eastAsia" w:ascii="宋体" w:hAnsi="宋体" w:eastAsia="宋体" w:cs="宋体"/>
                <w:snapToGrid w:val="0"/>
                <w:color w:val="auto"/>
                <w:kern w:val="0"/>
                <w:sz w:val="21"/>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outlineLvl w:val="9"/>
              <w:rPr>
                <w:rFonts w:hint="eastAsia" w:ascii="宋体" w:hAnsi="宋体" w:eastAsia="宋体" w:cs="宋体"/>
                <w:snapToGrid w:val="0"/>
                <w:color w:val="auto"/>
                <w:kern w:val="0"/>
                <w:sz w:val="21"/>
                <w:szCs w:val="21"/>
                <w:highlight w:val="none"/>
              </w:rPr>
            </w:pPr>
          </w:p>
        </w:tc>
      </w:tr>
    </w:tbl>
    <w:p>
      <w:pPr>
        <w:wordWrap w:val="0"/>
        <w:adjustRightInd w:val="0"/>
        <w:snapToGrid w:val="0"/>
        <w:spacing w:line="440" w:lineRule="exact"/>
        <w:jc w:val="center"/>
        <w:outlineLvl w:val="9"/>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sz w:val="30"/>
          <w:highlight w:val="none"/>
        </w:rPr>
        <w:t>其他拟派人员简历表（）</w:t>
      </w:r>
    </w:p>
    <w:p>
      <w:pPr>
        <w:pStyle w:val="114"/>
        <w:wordWrap w:val="0"/>
        <w:adjustRightInd w:val="0"/>
        <w:snapToGrid w:val="0"/>
        <w:spacing w:line="440" w:lineRule="exact"/>
        <w:jc w:val="right"/>
        <w:outlineLvl w:val="9"/>
        <w:rPr>
          <w:rFonts w:hint="eastAsia" w:ascii="宋体" w:hAnsi="宋体" w:eastAsia="宋体" w:cs="宋体"/>
          <w:snapToGrid w:val="0"/>
          <w:color w:val="auto"/>
          <w:kern w:val="0"/>
          <w:highlight w:val="none"/>
        </w:rPr>
      </w:pP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说明：</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8"/>
          <w:highlight w:val="none"/>
        </w:rPr>
        <w:t>1．“其他拟派人员”指项目监理机构中除总监理工程师以外的拟派人员，包括专业监理工程师、监理员、相关服务人员等。以上拟派人员一人一表，</w:t>
      </w:r>
      <w:r>
        <w:rPr>
          <w:rFonts w:hint="eastAsia" w:ascii="宋体" w:hAnsi="宋体" w:eastAsia="宋体" w:cs="宋体"/>
          <w:snapToGrid w:val="0"/>
          <w:color w:val="auto"/>
          <w:kern w:val="0"/>
          <w:sz w:val="21"/>
          <w:szCs w:val="21"/>
          <w:highlight w:val="none"/>
        </w:rPr>
        <w:t>并标明序号。</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2．每份简历表后应附该拟派人员以下资料：</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（1）身份证</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rPr>
        <w:t>；</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8"/>
          <w:highlight w:val="none"/>
        </w:rPr>
        <w:t>（2）相关证书（具体要求详见招标文件第一章第三节第</w:t>
      </w:r>
      <w:r>
        <w:rPr>
          <w:rFonts w:hint="eastAsia" w:ascii="宋体" w:hAnsi="宋体" w:eastAsia="宋体" w:cs="宋体"/>
          <w:b/>
          <w:bCs/>
          <w:snapToGrid w:val="0"/>
          <w:color w:val="auto"/>
          <w:kern w:val="0"/>
          <w:sz w:val="21"/>
          <w:szCs w:val="28"/>
          <w:highlight w:val="none"/>
        </w:rPr>
        <w:t>1</w:t>
      </w:r>
      <w:r>
        <w:rPr>
          <w:rFonts w:hint="eastAsia" w:ascii="宋体" w:hAnsi="宋体" w:eastAsia="宋体" w:cs="宋体"/>
          <w:b/>
          <w:bCs/>
          <w:snapToGrid w:val="0"/>
          <w:color w:val="auto"/>
          <w:kern w:val="0"/>
          <w:sz w:val="21"/>
          <w:szCs w:val="28"/>
          <w:highlight w:val="none"/>
          <w:lang w:val="en-US" w:eastAsia="zh-CN"/>
        </w:rPr>
        <w:t>6</w:t>
      </w:r>
      <w:r>
        <w:rPr>
          <w:rFonts w:hint="eastAsia" w:ascii="宋体" w:hAnsi="宋体" w:eastAsia="宋体" w:cs="宋体"/>
          <w:b/>
          <w:bCs/>
          <w:snapToGrid w:val="0"/>
          <w:color w:val="auto"/>
          <w:kern w:val="0"/>
          <w:sz w:val="21"/>
          <w:szCs w:val="28"/>
          <w:highlight w:val="none"/>
        </w:rPr>
        <w:t>.5</w:t>
      </w:r>
      <w:r>
        <w:rPr>
          <w:rFonts w:hint="eastAsia" w:ascii="宋体" w:hAnsi="宋体" w:eastAsia="宋体" w:cs="宋体"/>
          <w:snapToGrid w:val="0"/>
          <w:color w:val="auto"/>
          <w:kern w:val="0"/>
          <w:sz w:val="21"/>
          <w:szCs w:val="28"/>
          <w:highlight w:val="none"/>
        </w:rPr>
        <w:t>条表</w:t>
      </w:r>
      <w:r>
        <w:rPr>
          <w:rFonts w:hint="eastAsia" w:ascii="宋体" w:hAnsi="宋体" w:eastAsia="宋体" w:cs="宋体"/>
          <w:b/>
          <w:bCs/>
          <w:snapToGrid w:val="0"/>
          <w:color w:val="auto"/>
          <w:kern w:val="0"/>
          <w:sz w:val="21"/>
          <w:szCs w:val="28"/>
          <w:highlight w:val="none"/>
        </w:rPr>
        <w:t>2</w:t>
      </w:r>
      <w:r>
        <w:rPr>
          <w:rFonts w:hint="eastAsia" w:ascii="宋体" w:hAnsi="宋体" w:eastAsia="宋体" w:cs="宋体"/>
          <w:snapToGrid w:val="0"/>
          <w:color w:val="auto"/>
          <w:kern w:val="0"/>
          <w:sz w:val="21"/>
          <w:szCs w:val="28"/>
          <w:highlight w:val="none"/>
        </w:rPr>
        <w:t>《项目监理机构其他人员需求表》“持证要求”栏目）</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rPr>
        <w:t>，其中注册证书须</w:t>
      </w:r>
      <w:r>
        <w:rPr>
          <w:rFonts w:hint="eastAsia" w:ascii="宋体" w:hAnsi="宋体" w:eastAsia="宋体" w:cs="宋体"/>
          <w:snapToGrid w:val="0"/>
          <w:color w:val="auto"/>
          <w:kern w:val="0"/>
          <w:sz w:val="21"/>
          <w:szCs w:val="28"/>
          <w:highlight w:val="none"/>
          <w:lang w:val="en-US" w:eastAsia="zh-CN"/>
        </w:rPr>
        <w:t>扫描</w:t>
      </w:r>
      <w:r>
        <w:rPr>
          <w:rFonts w:hint="eastAsia" w:ascii="宋体" w:hAnsi="宋体" w:eastAsia="宋体" w:cs="宋体"/>
          <w:snapToGrid w:val="0"/>
          <w:color w:val="auto"/>
          <w:kern w:val="0"/>
          <w:sz w:val="21"/>
          <w:szCs w:val="28"/>
          <w:highlight w:val="none"/>
        </w:rPr>
        <w:t>变更注册栏</w:t>
      </w:r>
      <w:r>
        <w:rPr>
          <w:rFonts w:hint="eastAsia" w:ascii="宋体" w:hAnsi="宋体" w:eastAsia="宋体" w:cs="宋体"/>
          <w:snapToGrid w:val="0"/>
          <w:color w:val="auto"/>
          <w:kern w:val="0"/>
          <w:sz w:val="21"/>
          <w:szCs w:val="21"/>
          <w:highlight w:val="none"/>
        </w:rPr>
        <w:t>；</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szCs w:val="28"/>
          <w:highlight w:val="none"/>
          <w:lang w:eastAsia="zh-CN"/>
        </w:rPr>
      </w:pPr>
      <w:r>
        <w:rPr>
          <w:rFonts w:hint="eastAsia" w:ascii="宋体" w:hAnsi="宋体" w:eastAsia="宋体" w:cs="宋体"/>
          <w:snapToGrid w:val="0"/>
          <w:color w:val="auto"/>
          <w:kern w:val="0"/>
          <w:sz w:val="21"/>
          <w:szCs w:val="28"/>
          <w:highlight w:val="none"/>
        </w:rPr>
        <w:t>（3）在本单位缴纳社保的证明（至少一个月，其中必须有</w:t>
      </w:r>
      <w:r>
        <w:rPr>
          <w:rFonts w:hint="eastAsia" w:ascii="宋体" w:hAnsi="宋体" w:eastAsia="宋体" w:cs="宋体"/>
          <w:snapToGrid w:val="0"/>
          <w:color w:val="auto"/>
          <w:kern w:val="0"/>
          <w:sz w:val="21"/>
          <w:szCs w:val="28"/>
          <w:highlight w:val="none"/>
          <w:lang w:eastAsia="zh-CN"/>
        </w:rPr>
        <w:t>202</w:t>
      </w:r>
      <w:r>
        <w:rPr>
          <w:rFonts w:hint="eastAsia" w:ascii="宋体" w:hAnsi="宋体" w:eastAsia="宋体" w:cs="宋体"/>
          <w:snapToGrid w:val="0"/>
          <w:color w:val="auto"/>
          <w:kern w:val="0"/>
          <w:sz w:val="21"/>
          <w:szCs w:val="28"/>
          <w:highlight w:val="none"/>
          <w:lang w:val="en-US" w:eastAsia="zh-CN"/>
        </w:rPr>
        <w:t>3</w:t>
      </w:r>
      <w:r>
        <w:rPr>
          <w:rFonts w:hint="eastAsia" w:ascii="宋体" w:hAnsi="宋体" w:eastAsia="宋体" w:cs="宋体"/>
          <w:snapToGrid w:val="0"/>
          <w:color w:val="auto"/>
          <w:kern w:val="0"/>
          <w:sz w:val="21"/>
          <w:szCs w:val="28"/>
          <w:highlight w:val="none"/>
          <w:lang w:eastAsia="zh-CN"/>
        </w:rPr>
        <w:t>年1月</w:t>
      </w:r>
      <w:r>
        <w:rPr>
          <w:rFonts w:hint="eastAsia" w:ascii="宋体" w:hAnsi="宋体" w:eastAsia="宋体" w:cs="宋体"/>
          <w:snapToGrid w:val="0"/>
          <w:color w:val="auto"/>
          <w:kern w:val="0"/>
          <w:sz w:val="21"/>
          <w:szCs w:val="28"/>
          <w:highlight w:val="none"/>
        </w:rPr>
        <w:t>）</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rPr>
        <w:t>。拟派人员为退休返聘人员无法提供社保证明的，提供退休证和劳动合同</w:t>
      </w:r>
      <w:r>
        <w:rPr>
          <w:rFonts w:hint="eastAsia" w:ascii="宋体" w:hAnsi="宋体" w:eastAsia="宋体" w:cs="宋体"/>
          <w:snapToGrid w:val="0"/>
          <w:color w:val="auto"/>
          <w:kern w:val="0"/>
          <w:sz w:val="21"/>
          <w:szCs w:val="28"/>
          <w:highlight w:val="none"/>
          <w:lang w:val="en-US" w:eastAsia="zh-CN"/>
        </w:rPr>
        <w:t>扫描件</w:t>
      </w:r>
      <w:r>
        <w:rPr>
          <w:rFonts w:hint="eastAsia" w:ascii="宋体" w:hAnsi="宋体" w:eastAsia="宋体" w:cs="宋体"/>
          <w:snapToGrid w:val="0"/>
          <w:color w:val="auto"/>
          <w:kern w:val="0"/>
          <w:sz w:val="21"/>
          <w:szCs w:val="28"/>
          <w:highlight w:val="none"/>
          <w:lang w:eastAsia="zh-CN"/>
        </w:rPr>
        <w:t>。</w:t>
      </w:r>
    </w:p>
    <w:p>
      <w:pPr>
        <w:wordWrap w:val="0"/>
        <w:adjustRightInd w:val="0"/>
        <w:snapToGrid w:val="0"/>
        <w:spacing w:line="400" w:lineRule="exact"/>
        <w:ind w:firstLine="420"/>
        <w:outlineLvl w:val="9"/>
        <w:rPr>
          <w:rFonts w:hint="eastAsia" w:ascii="宋体" w:hAnsi="宋体" w:eastAsia="宋体" w:cs="宋体"/>
          <w:snapToGrid w:val="0"/>
          <w:color w:val="auto"/>
          <w:kern w:val="0"/>
          <w:sz w:val="21"/>
          <w:highlight w:val="none"/>
        </w:rPr>
        <w:sectPr>
          <w:endnotePr>
            <w:numFmt w:val="decimal"/>
          </w:endnotePr>
          <w:pgSz w:w="11906" w:h="16838"/>
          <w:pgMar w:top="1440" w:right="1080" w:bottom="1440" w:left="1080" w:header="850" w:footer="992" w:gutter="0"/>
          <w:pgNumType w:fmt="decimal"/>
          <w:cols w:space="720" w:num="1"/>
          <w:docGrid w:linePitch="327" w:charSpace="0"/>
        </w:sectPr>
      </w:pPr>
      <w:r>
        <w:rPr>
          <w:rFonts w:hint="eastAsia" w:ascii="宋体" w:hAnsi="宋体" w:eastAsia="宋体" w:cs="宋体"/>
          <w:snapToGrid w:val="0"/>
          <w:color w:val="auto"/>
          <w:kern w:val="0"/>
          <w:sz w:val="21"/>
          <w:highlight w:val="none"/>
        </w:rPr>
        <w:t>3．联合体投标的，联合体成员单位均应填写《其他拟派人员简历表》并提供以上所需资料。</w:t>
      </w:r>
    </w:p>
    <w:bookmarkEnd w:id="3"/>
    <w:bookmarkEnd w:id="156"/>
    <w:bookmarkEnd w:id="157"/>
    <w:bookmarkEnd w:id="158"/>
    <w:bookmarkEnd w:id="159"/>
    <w:p>
      <w:pPr>
        <w:pStyle w:val="112"/>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3640" w:leftChars="15" w:right="0" w:rightChars="0" w:hanging="3604" w:hangingChars="1496"/>
        <w:jc w:val="both"/>
        <w:textAlignment w:val="auto"/>
        <w:outlineLvl w:val="2"/>
        <w:rPr>
          <w:rFonts w:hint="eastAsia" w:ascii="宋体" w:hAnsi="宋体" w:eastAsia="宋体" w:cs="宋体"/>
          <w:b/>
          <w:caps w:val="0"/>
          <w:smallCaps w:val="0"/>
          <w:snapToGrid w:val="0"/>
          <w:color w:val="auto"/>
          <w:spacing w:val="0"/>
          <w:kern w:val="0"/>
          <w:sz w:val="24"/>
          <w:szCs w:val="22"/>
          <w:highlight w:val="none"/>
          <w:lang w:val="en-US" w:eastAsia="zh-CN"/>
        </w:rPr>
      </w:pPr>
      <w:bookmarkStart w:id="189" w:name="_Hlt87793582"/>
      <w:bookmarkEnd w:id="189"/>
      <w:bookmarkStart w:id="190" w:name="_附件十六：措施项目清单计价表"/>
      <w:bookmarkEnd w:id="190"/>
      <w:bookmarkStart w:id="191" w:name="_附件二十一：土建工程、电气工程、给排水工程工程清单项目费汇总表"/>
      <w:bookmarkEnd w:id="191"/>
      <w:bookmarkStart w:id="192" w:name="_Hlt87783244"/>
      <w:bookmarkEnd w:id="192"/>
      <w:bookmarkStart w:id="193" w:name="_Toc840"/>
      <w:bookmarkStart w:id="194" w:name="_Toc7263"/>
      <w:bookmarkStart w:id="195" w:name="_Toc12659"/>
      <w:bookmarkStart w:id="196" w:name="_Toc142468134"/>
      <w:bookmarkStart w:id="197" w:name="_Toc13722"/>
      <w:bookmarkStart w:id="198" w:name="_Toc133160683"/>
      <w:bookmarkStart w:id="199" w:name="_Toc132687128"/>
      <w:bookmarkStart w:id="200" w:name="_Toc137444778"/>
      <w:bookmarkStart w:id="201" w:name="_Toc133815902"/>
      <w:bookmarkStart w:id="202" w:name="_Toc78794873"/>
      <w:r>
        <w:rPr>
          <w:rFonts w:hint="eastAsia" w:ascii="宋体" w:hAnsi="宋体" w:eastAsia="宋体" w:cs="宋体"/>
          <w:b/>
          <w:caps w:val="0"/>
          <w:smallCaps w:val="0"/>
          <w:snapToGrid w:val="0"/>
          <w:color w:val="auto"/>
          <w:spacing w:val="0"/>
          <w:kern w:val="0"/>
          <w:sz w:val="24"/>
          <w:szCs w:val="22"/>
          <w:highlight w:val="none"/>
          <w:lang w:eastAsia="zh-CN"/>
        </w:rPr>
        <w:t>格式十四</w:t>
      </w:r>
      <w:r>
        <w:rPr>
          <w:rFonts w:hint="eastAsia" w:ascii="宋体" w:hAnsi="宋体" w:eastAsia="宋体" w:cs="宋体"/>
          <w:b/>
          <w:caps w:val="0"/>
          <w:smallCaps w:val="0"/>
          <w:snapToGrid w:val="0"/>
          <w:color w:val="auto"/>
          <w:spacing w:val="0"/>
          <w:kern w:val="0"/>
          <w:sz w:val="24"/>
          <w:szCs w:val="22"/>
          <w:highlight w:val="none"/>
          <w:lang w:val="en-US" w:eastAsia="zh-CN"/>
        </w:rPr>
        <w:t xml:space="preserve"> 监理及相关服务报酬清单</w:t>
      </w:r>
      <w:bookmarkEnd w:id="193"/>
      <w:bookmarkEnd w:id="194"/>
      <w:bookmarkEnd w:id="195"/>
    </w:p>
    <w:p>
      <w:pPr>
        <w:pStyle w:val="113"/>
        <w:keepNext w:val="0"/>
        <w:keepLines w:val="0"/>
        <w:pageBreakBefore w:val="0"/>
        <w:widowControl w:val="0"/>
        <w:kinsoku/>
        <w:wordWrap w:val="0"/>
        <w:overflowPunct/>
        <w:topLinePunct w:val="0"/>
        <w:autoSpaceDE/>
        <w:autoSpaceDN/>
        <w:bidi w:val="0"/>
        <w:adjustRightInd w:val="0"/>
        <w:snapToGrid w:val="0"/>
        <w:spacing w:before="260" w:beforeLines="0" w:after="260" w:afterLines="0" w:line="440" w:lineRule="exact"/>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30"/>
          <w:highlight w:val="none"/>
          <w:lang w:eastAsia="zh-CN"/>
        </w:rPr>
      </w:pPr>
      <w:r>
        <w:rPr>
          <w:rFonts w:hint="eastAsia" w:ascii="宋体" w:hAnsi="宋体" w:eastAsia="宋体" w:cs="宋体"/>
          <w:b/>
          <w:bCs/>
          <w:caps w:val="0"/>
          <w:smallCaps w:val="0"/>
          <w:snapToGrid w:val="0"/>
          <w:color w:val="auto"/>
          <w:spacing w:val="0"/>
          <w:kern w:val="0"/>
          <w:sz w:val="30"/>
          <w:highlight w:val="none"/>
          <w:lang w:eastAsia="zh-CN"/>
        </w:rPr>
        <w:t>监理及相关服务报酬清单</w:t>
      </w:r>
    </w:p>
    <w:p>
      <w:pPr>
        <w:pStyle w:val="113"/>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440" w:lineRule="exact"/>
        <w:ind w:right="0" w:rightChars="0"/>
        <w:jc w:val="left"/>
        <w:textAlignment w:val="auto"/>
        <w:outlineLvl w:val="9"/>
        <w:rPr>
          <w:rFonts w:hint="eastAsia" w:ascii="宋体" w:hAnsi="宋体" w:eastAsia="宋体" w:cs="宋体"/>
          <w:b w:val="0"/>
          <w:bCs w:val="0"/>
          <w:caps w:val="0"/>
          <w:smallCaps w:val="0"/>
          <w:snapToGrid w:val="0"/>
          <w:color w:val="auto"/>
          <w:spacing w:val="0"/>
          <w:kern w:val="0"/>
          <w:sz w:val="24"/>
          <w:highlight w:val="none"/>
          <w:lang w:val="en-US" w:eastAsia="zh-CN"/>
        </w:rPr>
      </w:pPr>
      <w:r>
        <w:rPr>
          <w:rFonts w:hint="eastAsia" w:ascii="宋体" w:hAnsi="宋体" w:eastAsia="宋体" w:cs="宋体"/>
          <w:b w:val="0"/>
          <w:bCs w:val="0"/>
          <w:caps w:val="0"/>
          <w:smallCaps w:val="0"/>
          <w:snapToGrid w:val="0"/>
          <w:color w:val="auto"/>
          <w:spacing w:val="0"/>
          <w:kern w:val="0"/>
          <w:sz w:val="24"/>
          <w:highlight w:val="none"/>
          <w:lang w:val="en-US" w:eastAsia="zh-CN"/>
        </w:rPr>
        <w:t>1．监理及相关服务报酬清单说明</w:t>
      </w:r>
    </w:p>
    <w:p>
      <w:pPr>
        <w:pStyle w:val="113"/>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440" w:lineRule="exact"/>
        <w:ind w:right="0" w:rightChars="0"/>
        <w:jc w:val="left"/>
        <w:textAlignment w:val="auto"/>
        <w:outlineLvl w:val="9"/>
        <w:rPr>
          <w:rFonts w:hint="eastAsia" w:ascii="宋体" w:hAnsi="宋体" w:eastAsia="宋体" w:cs="宋体"/>
          <w:b w:val="0"/>
          <w:bCs w:val="0"/>
          <w:caps w:val="0"/>
          <w:smallCaps w:val="0"/>
          <w:snapToGrid w:val="0"/>
          <w:color w:val="auto"/>
          <w:spacing w:val="0"/>
          <w:kern w:val="0"/>
          <w:sz w:val="24"/>
          <w:highlight w:val="none"/>
          <w:lang w:val="en-US" w:eastAsia="zh-CN"/>
        </w:rPr>
      </w:pPr>
      <w:r>
        <w:rPr>
          <w:rFonts w:hint="eastAsia" w:ascii="宋体" w:hAnsi="宋体" w:eastAsia="宋体" w:cs="宋体"/>
          <w:b w:val="0"/>
          <w:bCs w:val="0"/>
          <w:caps w:val="0"/>
          <w:smallCaps w:val="0"/>
          <w:snapToGrid w:val="0"/>
          <w:color w:val="auto"/>
          <w:spacing w:val="0"/>
          <w:kern w:val="0"/>
          <w:sz w:val="24"/>
          <w:highlight w:val="none"/>
          <w:lang w:val="en-US" w:eastAsia="zh-CN"/>
        </w:rPr>
        <w:t>……</w:t>
      </w:r>
    </w:p>
    <w:p>
      <w:pPr>
        <w:pStyle w:val="113"/>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440" w:lineRule="exact"/>
        <w:ind w:right="0" w:rightChars="0"/>
        <w:jc w:val="left"/>
        <w:textAlignment w:val="auto"/>
        <w:outlineLvl w:val="9"/>
        <w:rPr>
          <w:rFonts w:hint="eastAsia" w:ascii="宋体" w:hAnsi="宋体" w:eastAsia="宋体" w:cs="宋体"/>
          <w:b w:val="0"/>
          <w:bCs w:val="0"/>
          <w:caps w:val="0"/>
          <w:smallCaps w:val="0"/>
          <w:snapToGrid w:val="0"/>
          <w:color w:val="auto"/>
          <w:spacing w:val="0"/>
          <w:kern w:val="0"/>
          <w:sz w:val="24"/>
          <w:highlight w:val="none"/>
          <w:lang w:val="en-US" w:eastAsia="zh-CN"/>
        </w:rPr>
      </w:pPr>
      <w:r>
        <w:rPr>
          <w:rFonts w:hint="eastAsia" w:ascii="宋体" w:hAnsi="宋体" w:eastAsia="宋体" w:cs="宋体"/>
          <w:b w:val="0"/>
          <w:bCs w:val="0"/>
          <w:caps w:val="0"/>
          <w:smallCaps w:val="0"/>
          <w:snapToGrid w:val="0"/>
          <w:color w:val="auto"/>
          <w:spacing w:val="0"/>
          <w:kern w:val="0"/>
          <w:sz w:val="24"/>
          <w:highlight w:val="none"/>
          <w:lang w:val="en-US" w:eastAsia="zh-CN"/>
        </w:rPr>
        <w:t>2．监理及相关服务报酬清单</w:t>
      </w:r>
    </w:p>
    <w:p>
      <w:pPr>
        <w:pStyle w:val="113"/>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right"/>
        <w:textAlignment w:val="auto"/>
        <w:outlineLvl w:val="9"/>
        <w:rPr>
          <w:rFonts w:hint="eastAsia" w:ascii="宋体" w:hAnsi="宋体" w:eastAsia="宋体" w:cs="宋体"/>
          <w:b w:val="0"/>
          <w:bCs w:val="0"/>
          <w:caps w:val="0"/>
          <w:smallCaps w:val="0"/>
          <w:snapToGrid w:val="0"/>
          <w:color w:val="auto"/>
          <w:spacing w:val="0"/>
          <w:kern w:val="0"/>
          <w:sz w:val="24"/>
          <w:highlight w:val="none"/>
          <w:lang w:eastAsia="zh-CN"/>
        </w:rPr>
      </w:pPr>
      <w:r>
        <w:rPr>
          <w:rFonts w:hint="eastAsia" w:ascii="宋体" w:hAnsi="宋体" w:eastAsia="宋体" w:cs="宋体"/>
          <w:b w:val="0"/>
          <w:bCs w:val="0"/>
          <w:caps w:val="0"/>
          <w:smallCaps w:val="0"/>
          <w:snapToGrid w:val="0"/>
          <w:color w:val="auto"/>
          <w:spacing w:val="0"/>
          <w:kern w:val="0"/>
          <w:sz w:val="24"/>
          <w:highlight w:val="none"/>
          <w:lang w:eastAsia="zh-CN"/>
        </w:rPr>
        <w:t>单位：元</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序号</w:t>
            </w:r>
          </w:p>
        </w:tc>
        <w:tc>
          <w:tcPr>
            <w:tcW w:w="2783" w:type="dxa"/>
            <w:gridSpan w:val="3"/>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分项名称</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计算公式</w:t>
            </w: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金额</w:t>
            </w: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r>
              <w:rPr>
                <w:rFonts w:hint="eastAsia" w:ascii="宋体" w:hAnsi="宋体" w:eastAsia="宋体" w:cs="宋体"/>
                <w:caps w:val="0"/>
                <w:smallCaps w:val="0"/>
                <w:snapToGrid w:val="0"/>
                <w:color w:val="auto"/>
                <w:spacing w:val="0"/>
                <w:kern w:val="0"/>
                <w:sz w:val="21"/>
                <w:highlight w:val="none"/>
                <w:vertAlign w:val="baseline"/>
                <w:lang w:val="en-US" w:eastAsia="zh-CN"/>
              </w:rPr>
              <w:t>1</w:t>
            </w:r>
          </w:p>
        </w:tc>
        <w:tc>
          <w:tcPr>
            <w:tcW w:w="480"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直接成本</w:t>
            </w:r>
          </w:p>
        </w:tc>
        <w:tc>
          <w:tcPr>
            <w:tcW w:w="503"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人员费用</w:t>
            </w: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总监理工程师</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含监理、相关服务人员的工资以及一切津贴、补贴、奖金等。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专业监理工程师</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监理员</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专项费用</w:t>
            </w: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现场办公费</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含现场办公所需各种办公用品摊销折旧费用。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交通差旅住宿费</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其他费用</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含加班费等各种可预见和不可预见费用。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503"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80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r>
              <w:rPr>
                <w:rFonts w:hint="eastAsia" w:ascii="宋体" w:hAnsi="宋体" w:eastAsia="宋体" w:cs="宋体"/>
                <w:caps w:val="0"/>
                <w:smallCaps w:val="0"/>
                <w:snapToGrid w:val="0"/>
                <w:color w:val="auto"/>
                <w:spacing w:val="0"/>
                <w:kern w:val="0"/>
                <w:sz w:val="21"/>
                <w:highlight w:val="none"/>
                <w:vertAlign w:val="baseline"/>
                <w:lang w:val="en-US" w:eastAsia="zh-CN"/>
              </w:rPr>
              <w:t>2</w:t>
            </w:r>
          </w:p>
        </w:tc>
        <w:tc>
          <w:tcPr>
            <w:tcW w:w="2783" w:type="dxa"/>
            <w:gridSpan w:val="3"/>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企业管理费</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r>
              <w:rPr>
                <w:rFonts w:hint="eastAsia" w:ascii="宋体" w:hAnsi="宋体" w:eastAsia="宋体" w:cs="宋体"/>
                <w:caps w:val="0"/>
                <w:smallCaps w:val="0"/>
                <w:snapToGrid w:val="0"/>
                <w:color w:val="auto"/>
                <w:spacing w:val="0"/>
                <w:kern w:val="0"/>
                <w:sz w:val="21"/>
                <w:highlight w:val="none"/>
                <w:vertAlign w:val="baseline"/>
                <w:lang w:val="en-US" w:eastAsia="zh-CN"/>
              </w:rPr>
              <w:t>3</w:t>
            </w:r>
          </w:p>
        </w:tc>
        <w:tc>
          <w:tcPr>
            <w:tcW w:w="2783" w:type="dxa"/>
            <w:gridSpan w:val="3"/>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利润</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val="en-US" w:eastAsia="zh-CN"/>
              </w:rPr>
            </w:pPr>
            <w:r>
              <w:rPr>
                <w:rFonts w:hint="eastAsia" w:ascii="宋体" w:hAnsi="宋体" w:eastAsia="宋体" w:cs="宋体"/>
                <w:caps w:val="0"/>
                <w:smallCaps w:val="0"/>
                <w:snapToGrid w:val="0"/>
                <w:color w:val="auto"/>
                <w:spacing w:val="0"/>
                <w:kern w:val="0"/>
                <w:sz w:val="21"/>
                <w:highlight w:val="none"/>
                <w:vertAlign w:val="baseline"/>
                <w:lang w:val="en-US" w:eastAsia="zh-CN"/>
              </w:rPr>
              <w:t>4</w:t>
            </w:r>
          </w:p>
        </w:tc>
        <w:tc>
          <w:tcPr>
            <w:tcW w:w="480" w:type="dxa"/>
            <w:vMerge w:val="restart"/>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税金</w:t>
            </w:r>
          </w:p>
        </w:tc>
        <w:tc>
          <w:tcPr>
            <w:tcW w:w="2303" w:type="dxa"/>
            <w:gridSpan w:val="2"/>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增值税</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2303" w:type="dxa"/>
            <w:gridSpan w:val="2"/>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所得税</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2303" w:type="dxa"/>
            <w:gridSpan w:val="2"/>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其他附加税</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480" w:type="dxa"/>
            <w:vMerge w:val="continue"/>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2303" w:type="dxa"/>
            <w:gridSpan w:val="2"/>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z w:val="21"/>
                <w:highlight w:val="none"/>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w:t>
            </w:r>
          </w:p>
        </w:tc>
        <w:tc>
          <w:tcPr>
            <w:tcW w:w="2783" w:type="dxa"/>
            <w:gridSpan w:val="3"/>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w:t>
            </w:r>
          </w:p>
        </w:tc>
        <w:tc>
          <w:tcPr>
            <w:tcW w:w="2340"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80" w:type="dxa"/>
            <w:gridSpan w:val="5"/>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r>
              <w:rPr>
                <w:rFonts w:hint="eastAsia" w:ascii="宋体" w:hAnsi="宋体" w:eastAsia="宋体" w:cs="宋体"/>
                <w:caps w:val="0"/>
                <w:smallCaps w:val="0"/>
                <w:snapToGrid w:val="0"/>
                <w:color w:val="auto"/>
                <w:spacing w:val="0"/>
                <w:kern w:val="0"/>
                <w:sz w:val="21"/>
                <w:highlight w:val="none"/>
                <w:vertAlign w:val="baseline"/>
                <w:lang w:eastAsia="zh-CN"/>
              </w:rPr>
              <w:t>合计报价</w:t>
            </w:r>
          </w:p>
        </w:tc>
        <w:tc>
          <w:tcPr>
            <w:tcW w:w="1252"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c>
          <w:tcPr>
            <w:tcW w:w="2328" w:type="dxa"/>
            <w:noWrap w:val="0"/>
            <w:vAlign w:val="center"/>
          </w:tcPr>
          <w:p>
            <w:pPr>
              <w:pStyle w:val="1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highlight w:val="none"/>
                <w:vertAlign w:val="baseline"/>
                <w:lang w:eastAsia="zh-CN"/>
              </w:rPr>
            </w:pPr>
          </w:p>
        </w:tc>
      </w:tr>
    </w:tbl>
    <w:p>
      <w:pPr>
        <w:pStyle w:val="113"/>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0"/>
        <w:jc w:val="left"/>
        <w:textAlignment w:val="auto"/>
        <w:outlineLvl w:val="9"/>
        <w:rPr>
          <w:rFonts w:hint="eastAsia" w:ascii="宋体" w:hAnsi="宋体" w:eastAsia="宋体" w:cs="宋体"/>
          <w:caps w:val="0"/>
          <w:smallCaps w:val="0"/>
          <w:snapToGrid w:val="0"/>
          <w:color w:val="auto"/>
          <w:spacing w:val="0"/>
          <w:kern w:val="0"/>
          <w:sz w:val="21"/>
          <w:highlight w:val="none"/>
          <w:lang w:eastAsia="zh-CN"/>
        </w:rPr>
        <w:sectPr>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rtlGutter w:val="0"/>
          <w:docGrid w:linePitch="327" w:charSpace="0"/>
        </w:sectPr>
      </w:pPr>
      <w:r>
        <w:rPr>
          <w:rFonts w:hint="eastAsia" w:ascii="宋体" w:hAnsi="宋体" w:eastAsia="宋体" w:cs="宋体"/>
          <w:caps w:val="0"/>
          <w:smallCaps w:val="0"/>
          <w:snapToGrid w:val="0"/>
          <w:color w:val="auto"/>
          <w:spacing w:val="0"/>
          <w:kern w:val="0"/>
          <w:sz w:val="21"/>
          <w:highlight w:val="none"/>
          <w:lang w:eastAsia="zh-CN"/>
        </w:rPr>
        <w:t>说明：表中“分项名称”栏目中的内容仅供参考，投标人可结合企业实际情况以及招标文件要求自行填写。</w:t>
      </w:r>
    </w:p>
    <w:p>
      <w:pPr>
        <w:wordWrap w:val="0"/>
        <w:autoSpaceDE/>
        <w:autoSpaceDN/>
        <w:snapToGrid w:val="0"/>
        <w:spacing w:line="440" w:lineRule="exact"/>
        <w:jc w:val="center"/>
        <w:outlineLvl w:val="0"/>
        <w:rPr>
          <w:rFonts w:hint="eastAsia" w:ascii="宋体" w:hAnsi="宋体" w:eastAsia="宋体" w:cs="宋体"/>
          <w:b/>
          <w:snapToGrid w:val="0"/>
          <w:color w:val="auto"/>
          <w:sz w:val="24"/>
          <w:highlight w:val="none"/>
        </w:rPr>
      </w:pPr>
      <w:bookmarkStart w:id="203" w:name="_Toc31198"/>
      <w:r>
        <w:rPr>
          <w:rFonts w:hint="eastAsia" w:ascii="宋体" w:hAnsi="宋体" w:eastAsia="宋体" w:cs="宋体"/>
          <w:b/>
          <w:snapToGrid w:val="0"/>
          <w:color w:val="auto"/>
          <w:sz w:val="24"/>
          <w:highlight w:val="none"/>
        </w:rPr>
        <w:t>第六章 建设工程监理合同</w:t>
      </w:r>
      <w:bookmarkEnd w:id="196"/>
      <w:bookmarkEnd w:id="197"/>
      <w:bookmarkEnd w:id="198"/>
      <w:bookmarkEnd w:id="199"/>
      <w:bookmarkEnd w:id="200"/>
      <w:bookmarkEnd w:id="203"/>
    </w:p>
    <w:p>
      <w:pPr>
        <w:wordWrap w:val="0"/>
        <w:adjustRightInd w:val="0"/>
        <w:snapToGrid w:val="0"/>
        <w:spacing w:line="440" w:lineRule="exact"/>
        <w:outlineLvl w:val="9"/>
        <w:rPr>
          <w:rFonts w:hint="eastAsia" w:ascii="宋体" w:hAnsi="宋体" w:eastAsia="宋体" w:cs="宋体"/>
          <w:snapToGrid w:val="0"/>
          <w:color w:val="auto"/>
          <w:kern w:val="0"/>
          <w:highlight w:val="none"/>
        </w:rPr>
      </w:pPr>
    </w:p>
    <w:p>
      <w:pPr>
        <w:wordWrap w:val="0"/>
        <w:adjustRightInd w:val="0"/>
        <w:snapToGrid w:val="0"/>
        <w:spacing w:line="440" w:lineRule="exac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（略），</w:t>
      </w:r>
      <w:bookmarkEnd w:id="201"/>
      <w:bookmarkEnd w:id="202"/>
      <w:r>
        <w:rPr>
          <w:rFonts w:hint="eastAsia" w:ascii="宋体" w:hAnsi="宋体" w:eastAsia="宋体" w:cs="宋体"/>
          <w:snapToGrid w:val="0"/>
          <w:color w:val="auto"/>
          <w:kern w:val="0"/>
          <w:highlight w:val="none"/>
        </w:rPr>
        <w:t>按照《建设工程监理合同（示范文本）》（GF—2012—0202）执行。</w:t>
      </w:r>
    </w:p>
    <w:p>
      <w:pPr>
        <w:outlineLvl w:val="9"/>
        <w:rPr>
          <w:rFonts w:hint="eastAsia" w:ascii="宋体" w:hAnsi="宋体" w:eastAsia="宋体" w:cs="宋体"/>
          <w:color w:val="auto"/>
          <w:highlight w:val="none"/>
        </w:rPr>
      </w:pPr>
    </w:p>
    <w:sectPr>
      <w:footerReference r:id="rId6" w:type="default"/>
      <w:endnotePr>
        <w:numFmt w:val="decimal"/>
      </w:endnotePr>
      <w:pgSz w:w="11906" w:h="16838"/>
      <w:pgMar w:top="1440" w:right="1080" w:bottom="1440" w:left="1080" w:header="850" w:footer="992" w:gutter="0"/>
      <w:pgNumType w:fmt="decimal"/>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etween w:val="none" w:color="auto" w:sz="0"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74</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21"/>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74</w:t>
                    </w:r>
                    <w:r>
                      <w:rPr>
                        <w:rFonts w:ascii="Times New Roman"/>
                        <w:sz w:val="21"/>
                      </w:rPr>
                      <w:fldChar w:fldCharType="end"/>
                    </w:r>
                    <w:r>
                      <w:rPr>
                        <w:rFonts w:hint="eastAsia" w:ascii="Times New Roman"/>
                        <w:sz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etween w:val="none" w:color="auto" w:sz="0"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74</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21"/>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74</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34F97"/>
    <w:multiLevelType w:val="singleLevel"/>
    <w:tmpl w:val="EA634F97"/>
    <w:lvl w:ilvl="0" w:tentative="0">
      <w:start w:val="2"/>
      <w:numFmt w:val="decimal"/>
      <w:suff w:val="nothing"/>
      <w:lvlText w:val="（%1）"/>
      <w:lvlJc w:val="left"/>
    </w:lvl>
  </w:abstractNum>
  <w:abstractNum w:abstractNumId="1">
    <w:nsid w:val="01152EDE"/>
    <w:multiLevelType w:val="singleLevel"/>
    <w:tmpl w:val="01152EDE"/>
    <w:lvl w:ilvl="0" w:tentative="0">
      <w:start w:val="15"/>
      <w:numFmt w:val="decimal"/>
      <w:suff w:val="nothing"/>
      <w:lvlText w:val="%1．"/>
      <w:lvlJc w:val="left"/>
    </w:lvl>
  </w:abstractNum>
  <w:abstractNum w:abstractNumId="2">
    <w:nsid w:val="1CEF4F31"/>
    <w:multiLevelType w:val="singleLevel"/>
    <w:tmpl w:val="1CEF4F31"/>
    <w:lvl w:ilvl="0" w:tentative="0">
      <w:start w:val="1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40"/>
  <w:drawingGridVerticalSpacing w:val="164"/>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2VhNzBlOGZjOWZlNGVhZGM4NjllMzYyYmQ1MGQifQ=="/>
    <w:docVar w:name="KSO_WPS_MARK_KEY" w:val="61a3ab4d-ede3-4d02-8d7d-32171737e0af"/>
  </w:docVars>
  <w:rsids>
    <w:rsidRoot w:val="00172A27"/>
    <w:rsid w:val="00072AB1"/>
    <w:rsid w:val="000C7142"/>
    <w:rsid w:val="00121A87"/>
    <w:rsid w:val="00124CA5"/>
    <w:rsid w:val="00194B31"/>
    <w:rsid w:val="001B3355"/>
    <w:rsid w:val="001F7C40"/>
    <w:rsid w:val="00244004"/>
    <w:rsid w:val="00255697"/>
    <w:rsid w:val="00284386"/>
    <w:rsid w:val="002913D3"/>
    <w:rsid w:val="002D6FC1"/>
    <w:rsid w:val="00376E9F"/>
    <w:rsid w:val="00377B2D"/>
    <w:rsid w:val="0038027A"/>
    <w:rsid w:val="003832A5"/>
    <w:rsid w:val="003846DB"/>
    <w:rsid w:val="00485F67"/>
    <w:rsid w:val="004B0256"/>
    <w:rsid w:val="004F6EA9"/>
    <w:rsid w:val="00583F32"/>
    <w:rsid w:val="005E2771"/>
    <w:rsid w:val="005F3B49"/>
    <w:rsid w:val="00631D6A"/>
    <w:rsid w:val="007E61A1"/>
    <w:rsid w:val="008A6A25"/>
    <w:rsid w:val="0090310E"/>
    <w:rsid w:val="00AA4C18"/>
    <w:rsid w:val="00B53162"/>
    <w:rsid w:val="00B567DA"/>
    <w:rsid w:val="00C273BD"/>
    <w:rsid w:val="00D04340"/>
    <w:rsid w:val="00D20686"/>
    <w:rsid w:val="00D5544F"/>
    <w:rsid w:val="00E20057"/>
    <w:rsid w:val="00EE67D9"/>
    <w:rsid w:val="00F11FAE"/>
    <w:rsid w:val="01020D03"/>
    <w:rsid w:val="01243E88"/>
    <w:rsid w:val="01596575"/>
    <w:rsid w:val="015A691B"/>
    <w:rsid w:val="015E2DD9"/>
    <w:rsid w:val="016477EE"/>
    <w:rsid w:val="01934DD6"/>
    <w:rsid w:val="01A83FAE"/>
    <w:rsid w:val="01CB18DD"/>
    <w:rsid w:val="01D55384"/>
    <w:rsid w:val="01F6457D"/>
    <w:rsid w:val="02034BE6"/>
    <w:rsid w:val="02417AF9"/>
    <w:rsid w:val="026058DF"/>
    <w:rsid w:val="02700308"/>
    <w:rsid w:val="029E09B0"/>
    <w:rsid w:val="02A06612"/>
    <w:rsid w:val="02A825E1"/>
    <w:rsid w:val="03231B33"/>
    <w:rsid w:val="032633D2"/>
    <w:rsid w:val="034044CB"/>
    <w:rsid w:val="034976C7"/>
    <w:rsid w:val="0370464D"/>
    <w:rsid w:val="03822CFE"/>
    <w:rsid w:val="03952F2B"/>
    <w:rsid w:val="040511D5"/>
    <w:rsid w:val="044910FB"/>
    <w:rsid w:val="04710218"/>
    <w:rsid w:val="049C281D"/>
    <w:rsid w:val="04E73090"/>
    <w:rsid w:val="04ED7DA9"/>
    <w:rsid w:val="04F05BFC"/>
    <w:rsid w:val="050E79EB"/>
    <w:rsid w:val="05227A05"/>
    <w:rsid w:val="05401EA4"/>
    <w:rsid w:val="054A612C"/>
    <w:rsid w:val="0585019F"/>
    <w:rsid w:val="05A51BB8"/>
    <w:rsid w:val="05C65B11"/>
    <w:rsid w:val="05CA75BA"/>
    <w:rsid w:val="05D06843"/>
    <w:rsid w:val="05E244E6"/>
    <w:rsid w:val="05EB6AC7"/>
    <w:rsid w:val="05FF6744"/>
    <w:rsid w:val="061C6409"/>
    <w:rsid w:val="06694AC2"/>
    <w:rsid w:val="069844A9"/>
    <w:rsid w:val="06A6607A"/>
    <w:rsid w:val="06B156A8"/>
    <w:rsid w:val="06B43321"/>
    <w:rsid w:val="06C432F3"/>
    <w:rsid w:val="06E01220"/>
    <w:rsid w:val="06E67100"/>
    <w:rsid w:val="070B60F9"/>
    <w:rsid w:val="07165AB6"/>
    <w:rsid w:val="074E3D63"/>
    <w:rsid w:val="076F3769"/>
    <w:rsid w:val="07AA2AA6"/>
    <w:rsid w:val="07AB012E"/>
    <w:rsid w:val="07C75AA5"/>
    <w:rsid w:val="083B0CF5"/>
    <w:rsid w:val="085925B4"/>
    <w:rsid w:val="08746747"/>
    <w:rsid w:val="08B16701"/>
    <w:rsid w:val="08C1480C"/>
    <w:rsid w:val="08DD5115"/>
    <w:rsid w:val="092470C6"/>
    <w:rsid w:val="094C056E"/>
    <w:rsid w:val="09701ADF"/>
    <w:rsid w:val="097B3548"/>
    <w:rsid w:val="098E5342"/>
    <w:rsid w:val="09B3359C"/>
    <w:rsid w:val="09B45D13"/>
    <w:rsid w:val="09C20D1B"/>
    <w:rsid w:val="09C91F73"/>
    <w:rsid w:val="0A16695B"/>
    <w:rsid w:val="0A3D4A54"/>
    <w:rsid w:val="0A9507B8"/>
    <w:rsid w:val="0AA676AB"/>
    <w:rsid w:val="0AAD0649"/>
    <w:rsid w:val="0AB71FBF"/>
    <w:rsid w:val="0AC4551C"/>
    <w:rsid w:val="0AC67D47"/>
    <w:rsid w:val="0AD75C52"/>
    <w:rsid w:val="0AD811BE"/>
    <w:rsid w:val="0AD831B6"/>
    <w:rsid w:val="0ADB0526"/>
    <w:rsid w:val="0AE93EEE"/>
    <w:rsid w:val="0AFF4C34"/>
    <w:rsid w:val="0B09294B"/>
    <w:rsid w:val="0B1A5ABC"/>
    <w:rsid w:val="0B223753"/>
    <w:rsid w:val="0B46416C"/>
    <w:rsid w:val="0B4D7968"/>
    <w:rsid w:val="0B600A51"/>
    <w:rsid w:val="0B837474"/>
    <w:rsid w:val="0B941D0A"/>
    <w:rsid w:val="0BA33947"/>
    <w:rsid w:val="0C20247E"/>
    <w:rsid w:val="0C373E18"/>
    <w:rsid w:val="0C7E1779"/>
    <w:rsid w:val="0C8905B0"/>
    <w:rsid w:val="0CA85607"/>
    <w:rsid w:val="0CCD296E"/>
    <w:rsid w:val="0CD0194C"/>
    <w:rsid w:val="0D0116BD"/>
    <w:rsid w:val="0D0D1F49"/>
    <w:rsid w:val="0D0D5F40"/>
    <w:rsid w:val="0D1B0540"/>
    <w:rsid w:val="0D5F116F"/>
    <w:rsid w:val="0D774CB6"/>
    <w:rsid w:val="0D891D94"/>
    <w:rsid w:val="0DE14D12"/>
    <w:rsid w:val="0E5950E1"/>
    <w:rsid w:val="0E601BD9"/>
    <w:rsid w:val="0E6676E9"/>
    <w:rsid w:val="0EA46D36"/>
    <w:rsid w:val="0EE8364C"/>
    <w:rsid w:val="0F0C7B0F"/>
    <w:rsid w:val="0F245527"/>
    <w:rsid w:val="0F4F0C64"/>
    <w:rsid w:val="0FA74128"/>
    <w:rsid w:val="0FC06A15"/>
    <w:rsid w:val="0FD10213"/>
    <w:rsid w:val="0FD20DCF"/>
    <w:rsid w:val="0FE828AC"/>
    <w:rsid w:val="0FF57DA6"/>
    <w:rsid w:val="100B5E29"/>
    <w:rsid w:val="106752B8"/>
    <w:rsid w:val="10762154"/>
    <w:rsid w:val="10C24ABD"/>
    <w:rsid w:val="10CE04C3"/>
    <w:rsid w:val="10D25F19"/>
    <w:rsid w:val="11825967"/>
    <w:rsid w:val="11A05712"/>
    <w:rsid w:val="11B61ADA"/>
    <w:rsid w:val="11DF6971"/>
    <w:rsid w:val="122D28D7"/>
    <w:rsid w:val="125453B2"/>
    <w:rsid w:val="126A32DB"/>
    <w:rsid w:val="127C2B7D"/>
    <w:rsid w:val="12986561"/>
    <w:rsid w:val="129F116A"/>
    <w:rsid w:val="12B63B23"/>
    <w:rsid w:val="12C55191"/>
    <w:rsid w:val="12D23869"/>
    <w:rsid w:val="13043059"/>
    <w:rsid w:val="131D3B16"/>
    <w:rsid w:val="1327096B"/>
    <w:rsid w:val="134F50AF"/>
    <w:rsid w:val="136D2CE2"/>
    <w:rsid w:val="1392263C"/>
    <w:rsid w:val="13C8378B"/>
    <w:rsid w:val="13C86AD5"/>
    <w:rsid w:val="13D94BE2"/>
    <w:rsid w:val="1403449E"/>
    <w:rsid w:val="143907CB"/>
    <w:rsid w:val="14437A16"/>
    <w:rsid w:val="14BC0A06"/>
    <w:rsid w:val="14CE741B"/>
    <w:rsid w:val="14F4219D"/>
    <w:rsid w:val="15371149"/>
    <w:rsid w:val="1565494B"/>
    <w:rsid w:val="156E13E4"/>
    <w:rsid w:val="15C72899"/>
    <w:rsid w:val="15EC5131"/>
    <w:rsid w:val="15F219C0"/>
    <w:rsid w:val="16695657"/>
    <w:rsid w:val="168272BF"/>
    <w:rsid w:val="169950C9"/>
    <w:rsid w:val="16A7303E"/>
    <w:rsid w:val="16BB74AF"/>
    <w:rsid w:val="16C40C75"/>
    <w:rsid w:val="171C0A7B"/>
    <w:rsid w:val="17344A42"/>
    <w:rsid w:val="174A7237"/>
    <w:rsid w:val="175A590F"/>
    <w:rsid w:val="17933BD4"/>
    <w:rsid w:val="179D6991"/>
    <w:rsid w:val="17A2657E"/>
    <w:rsid w:val="17A628C7"/>
    <w:rsid w:val="17C2589B"/>
    <w:rsid w:val="17C630D7"/>
    <w:rsid w:val="17C741C9"/>
    <w:rsid w:val="17E057F7"/>
    <w:rsid w:val="17ED0B73"/>
    <w:rsid w:val="183E61E2"/>
    <w:rsid w:val="18450AB8"/>
    <w:rsid w:val="184756D9"/>
    <w:rsid w:val="185265E7"/>
    <w:rsid w:val="18635A3E"/>
    <w:rsid w:val="187B33A7"/>
    <w:rsid w:val="18C416CF"/>
    <w:rsid w:val="18C5398A"/>
    <w:rsid w:val="18E26168"/>
    <w:rsid w:val="18E9685D"/>
    <w:rsid w:val="18EA2774"/>
    <w:rsid w:val="191E620E"/>
    <w:rsid w:val="19280EB1"/>
    <w:rsid w:val="193E22D6"/>
    <w:rsid w:val="196565AA"/>
    <w:rsid w:val="19675B26"/>
    <w:rsid w:val="197E09DA"/>
    <w:rsid w:val="19C86C13"/>
    <w:rsid w:val="1A030919"/>
    <w:rsid w:val="1A041ED7"/>
    <w:rsid w:val="1A350DA2"/>
    <w:rsid w:val="1A416AEB"/>
    <w:rsid w:val="1A583BCA"/>
    <w:rsid w:val="1A654475"/>
    <w:rsid w:val="1A6F07AA"/>
    <w:rsid w:val="1AD805CD"/>
    <w:rsid w:val="1B0C50EE"/>
    <w:rsid w:val="1B126887"/>
    <w:rsid w:val="1B370392"/>
    <w:rsid w:val="1B8D3B96"/>
    <w:rsid w:val="1B9333E7"/>
    <w:rsid w:val="1B9E1760"/>
    <w:rsid w:val="1BBC5B46"/>
    <w:rsid w:val="1C24132D"/>
    <w:rsid w:val="1C365FDC"/>
    <w:rsid w:val="1C724882"/>
    <w:rsid w:val="1C794E44"/>
    <w:rsid w:val="1C944EDF"/>
    <w:rsid w:val="1CB34599"/>
    <w:rsid w:val="1CC25DDB"/>
    <w:rsid w:val="1CC32206"/>
    <w:rsid w:val="1CD25483"/>
    <w:rsid w:val="1D114ADD"/>
    <w:rsid w:val="1D487EF2"/>
    <w:rsid w:val="1D515414"/>
    <w:rsid w:val="1D813C69"/>
    <w:rsid w:val="1D8A16B7"/>
    <w:rsid w:val="1E02009F"/>
    <w:rsid w:val="1E536290"/>
    <w:rsid w:val="1E7C7CC9"/>
    <w:rsid w:val="1EA0316B"/>
    <w:rsid w:val="1EAE4AC0"/>
    <w:rsid w:val="1EC541A1"/>
    <w:rsid w:val="1ED47F8D"/>
    <w:rsid w:val="1EE71073"/>
    <w:rsid w:val="1EF6581C"/>
    <w:rsid w:val="1F416853"/>
    <w:rsid w:val="1F641184"/>
    <w:rsid w:val="1F6E0B69"/>
    <w:rsid w:val="1F7E6162"/>
    <w:rsid w:val="1F800F64"/>
    <w:rsid w:val="1F837EA2"/>
    <w:rsid w:val="1F9B3F49"/>
    <w:rsid w:val="1F9C3647"/>
    <w:rsid w:val="1FB424A6"/>
    <w:rsid w:val="1FCB62D1"/>
    <w:rsid w:val="1FDE003E"/>
    <w:rsid w:val="20327222"/>
    <w:rsid w:val="20906272"/>
    <w:rsid w:val="2096173F"/>
    <w:rsid w:val="209A39DD"/>
    <w:rsid w:val="20C02691"/>
    <w:rsid w:val="20C14EEC"/>
    <w:rsid w:val="20C6343F"/>
    <w:rsid w:val="20CA5916"/>
    <w:rsid w:val="21022625"/>
    <w:rsid w:val="21342E72"/>
    <w:rsid w:val="215F236C"/>
    <w:rsid w:val="219428E1"/>
    <w:rsid w:val="21B63267"/>
    <w:rsid w:val="223C6680"/>
    <w:rsid w:val="22401601"/>
    <w:rsid w:val="22633FB4"/>
    <w:rsid w:val="22946F16"/>
    <w:rsid w:val="22BB7131"/>
    <w:rsid w:val="231017A7"/>
    <w:rsid w:val="23256975"/>
    <w:rsid w:val="234C159A"/>
    <w:rsid w:val="23786CC1"/>
    <w:rsid w:val="2387439B"/>
    <w:rsid w:val="238768AA"/>
    <w:rsid w:val="239826EE"/>
    <w:rsid w:val="23AC0DA7"/>
    <w:rsid w:val="23E40F8C"/>
    <w:rsid w:val="23F52C20"/>
    <w:rsid w:val="240524D5"/>
    <w:rsid w:val="241E0A3C"/>
    <w:rsid w:val="244450A7"/>
    <w:rsid w:val="244B2840"/>
    <w:rsid w:val="245E450D"/>
    <w:rsid w:val="24652C4F"/>
    <w:rsid w:val="24670A49"/>
    <w:rsid w:val="246874E7"/>
    <w:rsid w:val="247B641F"/>
    <w:rsid w:val="24F5140E"/>
    <w:rsid w:val="24FA7B33"/>
    <w:rsid w:val="25855290"/>
    <w:rsid w:val="25A57B51"/>
    <w:rsid w:val="25B90F3B"/>
    <w:rsid w:val="25CC2809"/>
    <w:rsid w:val="25D65BA2"/>
    <w:rsid w:val="25FA7E7C"/>
    <w:rsid w:val="26146920"/>
    <w:rsid w:val="26156E08"/>
    <w:rsid w:val="26491F56"/>
    <w:rsid w:val="26804389"/>
    <w:rsid w:val="26A63EF7"/>
    <w:rsid w:val="26A948C6"/>
    <w:rsid w:val="26AA1AA0"/>
    <w:rsid w:val="26BC563D"/>
    <w:rsid w:val="26E651DF"/>
    <w:rsid w:val="27165388"/>
    <w:rsid w:val="27277279"/>
    <w:rsid w:val="278C76DB"/>
    <w:rsid w:val="279E412B"/>
    <w:rsid w:val="27C467D2"/>
    <w:rsid w:val="27DA1DF4"/>
    <w:rsid w:val="27E038AA"/>
    <w:rsid w:val="27F62A5B"/>
    <w:rsid w:val="27FF08E7"/>
    <w:rsid w:val="28383A4C"/>
    <w:rsid w:val="288F719F"/>
    <w:rsid w:val="289371AD"/>
    <w:rsid w:val="28CD7692"/>
    <w:rsid w:val="2907632A"/>
    <w:rsid w:val="29672F02"/>
    <w:rsid w:val="29826CF2"/>
    <w:rsid w:val="29AA0635"/>
    <w:rsid w:val="29D06271"/>
    <w:rsid w:val="2A555ABC"/>
    <w:rsid w:val="2A9C6629"/>
    <w:rsid w:val="2AE15CAC"/>
    <w:rsid w:val="2AED5D32"/>
    <w:rsid w:val="2AF072F8"/>
    <w:rsid w:val="2B871F47"/>
    <w:rsid w:val="2B922CE1"/>
    <w:rsid w:val="2BA45506"/>
    <w:rsid w:val="2BAE27BA"/>
    <w:rsid w:val="2BCB69C7"/>
    <w:rsid w:val="2BF12D68"/>
    <w:rsid w:val="2BF8571E"/>
    <w:rsid w:val="2C0F346E"/>
    <w:rsid w:val="2C3B112F"/>
    <w:rsid w:val="2C5F232B"/>
    <w:rsid w:val="2CA62BCA"/>
    <w:rsid w:val="2CC90355"/>
    <w:rsid w:val="2D0B0812"/>
    <w:rsid w:val="2D6D32F7"/>
    <w:rsid w:val="2D7509E1"/>
    <w:rsid w:val="2D99286E"/>
    <w:rsid w:val="2D9C5A2F"/>
    <w:rsid w:val="2DB973C2"/>
    <w:rsid w:val="2DC313F3"/>
    <w:rsid w:val="2DE97E84"/>
    <w:rsid w:val="2E10690D"/>
    <w:rsid w:val="2E470B00"/>
    <w:rsid w:val="2E5F3E5E"/>
    <w:rsid w:val="2E9F7176"/>
    <w:rsid w:val="2EB3360F"/>
    <w:rsid w:val="2ECB1648"/>
    <w:rsid w:val="2EE246C4"/>
    <w:rsid w:val="2EE7129E"/>
    <w:rsid w:val="2EE8319C"/>
    <w:rsid w:val="2EF6535D"/>
    <w:rsid w:val="2F1D7AA9"/>
    <w:rsid w:val="2F2119EA"/>
    <w:rsid w:val="2F397E65"/>
    <w:rsid w:val="2F8F1A49"/>
    <w:rsid w:val="2FA338E3"/>
    <w:rsid w:val="2FB65C4E"/>
    <w:rsid w:val="2FC643B5"/>
    <w:rsid w:val="2FE71161"/>
    <w:rsid w:val="2FFA0717"/>
    <w:rsid w:val="30016FD6"/>
    <w:rsid w:val="3005706E"/>
    <w:rsid w:val="30517C1E"/>
    <w:rsid w:val="30685DD0"/>
    <w:rsid w:val="307B0C92"/>
    <w:rsid w:val="307D05EF"/>
    <w:rsid w:val="30922AF7"/>
    <w:rsid w:val="30C47986"/>
    <w:rsid w:val="31003D5B"/>
    <w:rsid w:val="31046F6E"/>
    <w:rsid w:val="312D51A2"/>
    <w:rsid w:val="31317B82"/>
    <w:rsid w:val="31603DCF"/>
    <w:rsid w:val="31817666"/>
    <w:rsid w:val="31CE6037"/>
    <w:rsid w:val="31E318DC"/>
    <w:rsid w:val="31FA2716"/>
    <w:rsid w:val="320F5DD4"/>
    <w:rsid w:val="3216448E"/>
    <w:rsid w:val="324360C2"/>
    <w:rsid w:val="32496611"/>
    <w:rsid w:val="328875A9"/>
    <w:rsid w:val="329A7CCC"/>
    <w:rsid w:val="32FB3683"/>
    <w:rsid w:val="3321454B"/>
    <w:rsid w:val="3327163C"/>
    <w:rsid w:val="333A48C4"/>
    <w:rsid w:val="334E243C"/>
    <w:rsid w:val="33563B21"/>
    <w:rsid w:val="3358077B"/>
    <w:rsid w:val="33832143"/>
    <w:rsid w:val="339B6D36"/>
    <w:rsid w:val="33BC72B7"/>
    <w:rsid w:val="33F674E6"/>
    <w:rsid w:val="33F96626"/>
    <w:rsid w:val="340413A2"/>
    <w:rsid w:val="340647D3"/>
    <w:rsid w:val="34322682"/>
    <w:rsid w:val="34696C22"/>
    <w:rsid w:val="34CD2383"/>
    <w:rsid w:val="34E52EB5"/>
    <w:rsid w:val="34F135AC"/>
    <w:rsid w:val="354014B9"/>
    <w:rsid w:val="355A5644"/>
    <w:rsid w:val="356D41C9"/>
    <w:rsid w:val="35881E79"/>
    <w:rsid w:val="35AF0E81"/>
    <w:rsid w:val="35E45D37"/>
    <w:rsid w:val="360A2F50"/>
    <w:rsid w:val="361415A4"/>
    <w:rsid w:val="36587510"/>
    <w:rsid w:val="366C6A48"/>
    <w:rsid w:val="36A7392B"/>
    <w:rsid w:val="36E11D2A"/>
    <w:rsid w:val="36F1102B"/>
    <w:rsid w:val="37113990"/>
    <w:rsid w:val="371304CA"/>
    <w:rsid w:val="37265ACA"/>
    <w:rsid w:val="372C3C0A"/>
    <w:rsid w:val="37723F41"/>
    <w:rsid w:val="3775725F"/>
    <w:rsid w:val="3792656B"/>
    <w:rsid w:val="37AE1E6B"/>
    <w:rsid w:val="37EB03EA"/>
    <w:rsid w:val="3835474F"/>
    <w:rsid w:val="385A012A"/>
    <w:rsid w:val="386E4769"/>
    <w:rsid w:val="38916364"/>
    <w:rsid w:val="38A14364"/>
    <w:rsid w:val="38D13908"/>
    <w:rsid w:val="38E2561F"/>
    <w:rsid w:val="38E46A4B"/>
    <w:rsid w:val="38F12E67"/>
    <w:rsid w:val="39031C39"/>
    <w:rsid w:val="39074016"/>
    <w:rsid w:val="391C0F74"/>
    <w:rsid w:val="39906911"/>
    <w:rsid w:val="39BE2041"/>
    <w:rsid w:val="3A192369"/>
    <w:rsid w:val="3AC20F57"/>
    <w:rsid w:val="3AC7200E"/>
    <w:rsid w:val="3ACA0962"/>
    <w:rsid w:val="3AF11A02"/>
    <w:rsid w:val="3B0C468E"/>
    <w:rsid w:val="3B626249"/>
    <w:rsid w:val="3B6B6844"/>
    <w:rsid w:val="3BA24FE4"/>
    <w:rsid w:val="3BB7115D"/>
    <w:rsid w:val="3BBE76DD"/>
    <w:rsid w:val="3C090166"/>
    <w:rsid w:val="3C1614A1"/>
    <w:rsid w:val="3C2156EE"/>
    <w:rsid w:val="3C291261"/>
    <w:rsid w:val="3C4C767A"/>
    <w:rsid w:val="3CA407F0"/>
    <w:rsid w:val="3CC054DC"/>
    <w:rsid w:val="3CDB4345"/>
    <w:rsid w:val="3CF9741D"/>
    <w:rsid w:val="3CFD0532"/>
    <w:rsid w:val="3D1C4922"/>
    <w:rsid w:val="3D3A5E1F"/>
    <w:rsid w:val="3D5832C5"/>
    <w:rsid w:val="3D726E1F"/>
    <w:rsid w:val="3DDD3EE4"/>
    <w:rsid w:val="3DF03DE6"/>
    <w:rsid w:val="3DF1091C"/>
    <w:rsid w:val="3DF6AA03"/>
    <w:rsid w:val="3DF97CAE"/>
    <w:rsid w:val="3E4A5F74"/>
    <w:rsid w:val="3E80595F"/>
    <w:rsid w:val="3E934611"/>
    <w:rsid w:val="3EF97AA0"/>
    <w:rsid w:val="3F26771B"/>
    <w:rsid w:val="3F3F70EE"/>
    <w:rsid w:val="3F9B37B9"/>
    <w:rsid w:val="3FE0467A"/>
    <w:rsid w:val="4029256B"/>
    <w:rsid w:val="404A6D0E"/>
    <w:rsid w:val="40545ABB"/>
    <w:rsid w:val="40720BA1"/>
    <w:rsid w:val="407E2BA6"/>
    <w:rsid w:val="408D156E"/>
    <w:rsid w:val="40943A23"/>
    <w:rsid w:val="40C214F1"/>
    <w:rsid w:val="40CF52A4"/>
    <w:rsid w:val="40F85A71"/>
    <w:rsid w:val="4108712E"/>
    <w:rsid w:val="41141B5B"/>
    <w:rsid w:val="41336BDF"/>
    <w:rsid w:val="41486810"/>
    <w:rsid w:val="415642BE"/>
    <w:rsid w:val="416B3146"/>
    <w:rsid w:val="417F45F2"/>
    <w:rsid w:val="41827A8A"/>
    <w:rsid w:val="41DC5AF5"/>
    <w:rsid w:val="41DE6ED2"/>
    <w:rsid w:val="4206448A"/>
    <w:rsid w:val="422D5A88"/>
    <w:rsid w:val="424A0D69"/>
    <w:rsid w:val="42924B6B"/>
    <w:rsid w:val="42936D32"/>
    <w:rsid w:val="42985F97"/>
    <w:rsid w:val="42A4582E"/>
    <w:rsid w:val="42A6360C"/>
    <w:rsid w:val="42C75E29"/>
    <w:rsid w:val="42F07216"/>
    <w:rsid w:val="433546D3"/>
    <w:rsid w:val="433A0A58"/>
    <w:rsid w:val="435F314D"/>
    <w:rsid w:val="43904CB8"/>
    <w:rsid w:val="439A7ADE"/>
    <w:rsid w:val="439D60E8"/>
    <w:rsid w:val="43F877F1"/>
    <w:rsid w:val="448B4867"/>
    <w:rsid w:val="449D1283"/>
    <w:rsid w:val="44A84737"/>
    <w:rsid w:val="44F42519"/>
    <w:rsid w:val="450C19B8"/>
    <w:rsid w:val="4515787B"/>
    <w:rsid w:val="4538336D"/>
    <w:rsid w:val="45653951"/>
    <w:rsid w:val="45903FA8"/>
    <w:rsid w:val="459C0CF6"/>
    <w:rsid w:val="45AF4AF2"/>
    <w:rsid w:val="45BB4767"/>
    <w:rsid w:val="45C31724"/>
    <w:rsid w:val="45C873C5"/>
    <w:rsid w:val="45D91F50"/>
    <w:rsid w:val="45E87A97"/>
    <w:rsid w:val="4609567C"/>
    <w:rsid w:val="460D059B"/>
    <w:rsid w:val="463E19A4"/>
    <w:rsid w:val="4651593D"/>
    <w:rsid w:val="46704FD2"/>
    <w:rsid w:val="46781F86"/>
    <w:rsid w:val="467F138C"/>
    <w:rsid w:val="46A116D5"/>
    <w:rsid w:val="46AC25D7"/>
    <w:rsid w:val="46BF32C1"/>
    <w:rsid w:val="46EB648D"/>
    <w:rsid w:val="472253D4"/>
    <w:rsid w:val="47340865"/>
    <w:rsid w:val="47785445"/>
    <w:rsid w:val="4790708F"/>
    <w:rsid w:val="47A6249C"/>
    <w:rsid w:val="47BA4C42"/>
    <w:rsid w:val="47E250E6"/>
    <w:rsid w:val="47F3268C"/>
    <w:rsid w:val="48141750"/>
    <w:rsid w:val="481B1991"/>
    <w:rsid w:val="483E2A3D"/>
    <w:rsid w:val="484A67E7"/>
    <w:rsid w:val="487B6690"/>
    <w:rsid w:val="48E964FE"/>
    <w:rsid w:val="48F16DA2"/>
    <w:rsid w:val="490D0D37"/>
    <w:rsid w:val="49107A31"/>
    <w:rsid w:val="49260B19"/>
    <w:rsid w:val="49273EEC"/>
    <w:rsid w:val="494D4895"/>
    <w:rsid w:val="49617AA1"/>
    <w:rsid w:val="49765776"/>
    <w:rsid w:val="49777C75"/>
    <w:rsid w:val="49877B4D"/>
    <w:rsid w:val="49BA48D0"/>
    <w:rsid w:val="49E0405F"/>
    <w:rsid w:val="4A1E1ACA"/>
    <w:rsid w:val="4A58509A"/>
    <w:rsid w:val="4A8417BC"/>
    <w:rsid w:val="4AB25049"/>
    <w:rsid w:val="4ABB1C1E"/>
    <w:rsid w:val="4ACA38BB"/>
    <w:rsid w:val="4AD06A2D"/>
    <w:rsid w:val="4BA34DDA"/>
    <w:rsid w:val="4BC32B39"/>
    <w:rsid w:val="4BCD18A1"/>
    <w:rsid w:val="4C1036C9"/>
    <w:rsid w:val="4C2E9258"/>
    <w:rsid w:val="4C672C72"/>
    <w:rsid w:val="4C926F75"/>
    <w:rsid w:val="4CD175BF"/>
    <w:rsid w:val="4CD63B36"/>
    <w:rsid w:val="4CE25488"/>
    <w:rsid w:val="4D0F785F"/>
    <w:rsid w:val="4D7F1F45"/>
    <w:rsid w:val="4DBB5DAC"/>
    <w:rsid w:val="4DEE4A39"/>
    <w:rsid w:val="4E011694"/>
    <w:rsid w:val="4E0C62B1"/>
    <w:rsid w:val="4E19591E"/>
    <w:rsid w:val="4E4969B5"/>
    <w:rsid w:val="4E5A39E3"/>
    <w:rsid w:val="4E845D4A"/>
    <w:rsid w:val="4EAA4B0E"/>
    <w:rsid w:val="4EE815C8"/>
    <w:rsid w:val="4EE92F34"/>
    <w:rsid w:val="4EEB22CE"/>
    <w:rsid w:val="4EEE42F8"/>
    <w:rsid w:val="4EF24620"/>
    <w:rsid w:val="4F0140B8"/>
    <w:rsid w:val="4F046EFE"/>
    <w:rsid w:val="4F053468"/>
    <w:rsid w:val="4F2201F9"/>
    <w:rsid w:val="4F5B577E"/>
    <w:rsid w:val="4F68633E"/>
    <w:rsid w:val="4F7E394E"/>
    <w:rsid w:val="4F7E3FF3"/>
    <w:rsid w:val="4F902D3A"/>
    <w:rsid w:val="4F9037BB"/>
    <w:rsid w:val="4FA47C06"/>
    <w:rsid w:val="4FA6293B"/>
    <w:rsid w:val="50041972"/>
    <w:rsid w:val="5006685B"/>
    <w:rsid w:val="50091596"/>
    <w:rsid w:val="50136632"/>
    <w:rsid w:val="501B6B68"/>
    <w:rsid w:val="504B314A"/>
    <w:rsid w:val="50B93419"/>
    <w:rsid w:val="50B955FF"/>
    <w:rsid w:val="50BA4AFE"/>
    <w:rsid w:val="50C85921"/>
    <w:rsid w:val="515C755A"/>
    <w:rsid w:val="51836FEE"/>
    <w:rsid w:val="518B39BE"/>
    <w:rsid w:val="519B7DBB"/>
    <w:rsid w:val="51AC60EE"/>
    <w:rsid w:val="51B11BBC"/>
    <w:rsid w:val="51C12656"/>
    <w:rsid w:val="51D55BDC"/>
    <w:rsid w:val="51E615DA"/>
    <w:rsid w:val="51F72232"/>
    <w:rsid w:val="51FB5602"/>
    <w:rsid w:val="520170D2"/>
    <w:rsid w:val="525032EC"/>
    <w:rsid w:val="52641D01"/>
    <w:rsid w:val="527C53ED"/>
    <w:rsid w:val="52D44097"/>
    <w:rsid w:val="52EF50FA"/>
    <w:rsid w:val="52F2545A"/>
    <w:rsid w:val="5302420A"/>
    <w:rsid w:val="53267613"/>
    <w:rsid w:val="532D1D6C"/>
    <w:rsid w:val="53434C7B"/>
    <w:rsid w:val="534B0271"/>
    <w:rsid w:val="534C04C7"/>
    <w:rsid w:val="53585CFE"/>
    <w:rsid w:val="538A4C3A"/>
    <w:rsid w:val="53A43091"/>
    <w:rsid w:val="53B11E10"/>
    <w:rsid w:val="54032334"/>
    <w:rsid w:val="5435314A"/>
    <w:rsid w:val="54403F92"/>
    <w:rsid w:val="54460C2C"/>
    <w:rsid w:val="5455146B"/>
    <w:rsid w:val="546D3ADC"/>
    <w:rsid w:val="547067FD"/>
    <w:rsid w:val="54922DFA"/>
    <w:rsid w:val="54AC38D0"/>
    <w:rsid w:val="54DB6646"/>
    <w:rsid w:val="54F2448F"/>
    <w:rsid w:val="54FB315D"/>
    <w:rsid w:val="55104E28"/>
    <w:rsid w:val="554F7A84"/>
    <w:rsid w:val="55841026"/>
    <w:rsid w:val="559E4472"/>
    <w:rsid w:val="55BB5E07"/>
    <w:rsid w:val="55C400E0"/>
    <w:rsid w:val="55D410AF"/>
    <w:rsid w:val="55D56DFE"/>
    <w:rsid w:val="56145549"/>
    <w:rsid w:val="56206563"/>
    <w:rsid w:val="56274AD1"/>
    <w:rsid w:val="5682426C"/>
    <w:rsid w:val="5689497F"/>
    <w:rsid w:val="568A2A7E"/>
    <w:rsid w:val="56B62712"/>
    <w:rsid w:val="56CD5535"/>
    <w:rsid w:val="56DC0C42"/>
    <w:rsid w:val="570D0D25"/>
    <w:rsid w:val="573A6FE7"/>
    <w:rsid w:val="576D1445"/>
    <w:rsid w:val="57D81AA6"/>
    <w:rsid w:val="58334395"/>
    <w:rsid w:val="5837673D"/>
    <w:rsid w:val="58457605"/>
    <w:rsid w:val="58483D18"/>
    <w:rsid w:val="5882414F"/>
    <w:rsid w:val="58B55719"/>
    <w:rsid w:val="58B61A25"/>
    <w:rsid w:val="58DA7AA0"/>
    <w:rsid w:val="58DD583E"/>
    <w:rsid w:val="58F90E41"/>
    <w:rsid w:val="58FA03C6"/>
    <w:rsid w:val="59131DE0"/>
    <w:rsid w:val="59443D7B"/>
    <w:rsid w:val="594A513F"/>
    <w:rsid w:val="594D6137"/>
    <w:rsid w:val="595C637A"/>
    <w:rsid w:val="595E3B1B"/>
    <w:rsid w:val="595E3BB4"/>
    <w:rsid w:val="596B17AF"/>
    <w:rsid w:val="598076D1"/>
    <w:rsid w:val="59EC6D3B"/>
    <w:rsid w:val="5A0F7997"/>
    <w:rsid w:val="5A173941"/>
    <w:rsid w:val="5A9D6750"/>
    <w:rsid w:val="5AA31B20"/>
    <w:rsid w:val="5AB14C92"/>
    <w:rsid w:val="5AEC6B95"/>
    <w:rsid w:val="5AF32D0E"/>
    <w:rsid w:val="5AFC1EBE"/>
    <w:rsid w:val="5B5F73B5"/>
    <w:rsid w:val="5B812F66"/>
    <w:rsid w:val="5BEB2DA4"/>
    <w:rsid w:val="5BFD409E"/>
    <w:rsid w:val="5C085874"/>
    <w:rsid w:val="5C176BF3"/>
    <w:rsid w:val="5C5703D7"/>
    <w:rsid w:val="5C6804E2"/>
    <w:rsid w:val="5C6B0E0F"/>
    <w:rsid w:val="5C7A4FAA"/>
    <w:rsid w:val="5C885232"/>
    <w:rsid w:val="5C97176F"/>
    <w:rsid w:val="5C9B16FB"/>
    <w:rsid w:val="5CA4107D"/>
    <w:rsid w:val="5CD172FC"/>
    <w:rsid w:val="5CD56FA0"/>
    <w:rsid w:val="5CDB4D6E"/>
    <w:rsid w:val="5CEF3B41"/>
    <w:rsid w:val="5CFE2BC6"/>
    <w:rsid w:val="5D003E4A"/>
    <w:rsid w:val="5D07458F"/>
    <w:rsid w:val="5D210677"/>
    <w:rsid w:val="5D4352D4"/>
    <w:rsid w:val="5D4C2588"/>
    <w:rsid w:val="5D6C51EF"/>
    <w:rsid w:val="5D8203DC"/>
    <w:rsid w:val="5DC8256D"/>
    <w:rsid w:val="5DF87172"/>
    <w:rsid w:val="5E1C3711"/>
    <w:rsid w:val="5E1D6122"/>
    <w:rsid w:val="5E384574"/>
    <w:rsid w:val="5E3926F3"/>
    <w:rsid w:val="5E406C9C"/>
    <w:rsid w:val="5E6347F7"/>
    <w:rsid w:val="5EB00027"/>
    <w:rsid w:val="5ECC6B94"/>
    <w:rsid w:val="5EEA1036"/>
    <w:rsid w:val="5F053010"/>
    <w:rsid w:val="5F1C5EEB"/>
    <w:rsid w:val="5F4A08CF"/>
    <w:rsid w:val="5F535B0C"/>
    <w:rsid w:val="5F774DAA"/>
    <w:rsid w:val="5FC61560"/>
    <w:rsid w:val="5FD708CC"/>
    <w:rsid w:val="5FDE6493"/>
    <w:rsid w:val="5FDE94AB"/>
    <w:rsid w:val="600D5710"/>
    <w:rsid w:val="6021648A"/>
    <w:rsid w:val="60620AEB"/>
    <w:rsid w:val="60713EC4"/>
    <w:rsid w:val="60882618"/>
    <w:rsid w:val="60BA65E7"/>
    <w:rsid w:val="60DD545A"/>
    <w:rsid w:val="610A5A0A"/>
    <w:rsid w:val="610E2A0F"/>
    <w:rsid w:val="61234D10"/>
    <w:rsid w:val="6132234B"/>
    <w:rsid w:val="613E0ED7"/>
    <w:rsid w:val="616B3CA5"/>
    <w:rsid w:val="6191728B"/>
    <w:rsid w:val="619A3EE4"/>
    <w:rsid w:val="61C9284C"/>
    <w:rsid w:val="6200643D"/>
    <w:rsid w:val="621A6ABC"/>
    <w:rsid w:val="623B1D9B"/>
    <w:rsid w:val="624D4C54"/>
    <w:rsid w:val="626A1B08"/>
    <w:rsid w:val="628F3483"/>
    <w:rsid w:val="6292559B"/>
    <w:rsid w:val="62A43059"/>
    <w:rsid w:val="62C25DC1"/>
    <w:rsid w:val="63C836EA"/>
    <w:rsid w:val="63CB2A7A"/>
    <w:rsid w:val="63FE12D8"/>
    <w:rsid w:val="64041AE8"/>
    <w:rsid w:val="642C13B8"/>
    <w:rsid w:val="64546DF2"/>
    <w:rsid w:val="645A708E"/>
    <w:rsid w:val="6476144B"/>
    <w:rsid w:val="64B604A0"/>
    <w:rsid w:val="64C37D72"/>
    <w:rsid w:val="64FF331B"/>
    <w:rsid w:val="651248C9"/>
    <w:rsid w:val="65466E27"/>
    <w:rsid w:val="6552171C"/>
    <w:rsid w:val="655A5E64"/>
    <w:rsid w:val="65711FE7"/>
    <w:rsid w:val="657B1536"/>
    <w:rsid w:val="65A86A43"/>
    <w:rsid w:val="65B32D6E"/>
    <w:rsid w:val="65D6684D"/>
    <w:rsid w:val="661E6EFA"/>
    <w:rsid w:val="66485857"/>
    <w:rsid w:val="666E7677"/>
    <w:rsid w:val="66721787"/>
    <w:rsid w:val="66756036"/>
    <w:rsid w:val="66923158"/>
    <w:rsid w:val="670D63DD"/>
    <w:rsid w:val="672B4252"/>
    <w:rsid w:val="673D2C8D"/>
    <w:rsid w:val="67764441"/>
    <w:rsid w:val="678675B4"/>
    <w:rsid w:val="67DA7293"/>
    <w:rsid w:val="67DF2A3C"/>
    <w:rsid w:val="682928AC"/>
    <w:rsid w:val="682C1EEC"/>
    <w:rsid w:val="68502E8B"/>
    <w:rsid w:val="68582572"/>
    <w:rsid w:val="68652B05"/>
    <w:rsid w:val="68A2206A"/>
    <w:rsid w:val="68C714DA"/>
    <w:rsid w:val="68F86018"/>
    <w:rsid w:val="690561A7"/>
    <w:rsid w:val="69180510"/>
    <w:rsid w:val="692A519D"/>
    <w:rsid w:val="696C41FE"/>
    <w:rsid w:val="69787C36"/>
    <w:rsid w:val="69883678"/>
    <w:rsid w:val="6990053C"/>
    <w:rsid w:val="699134CA"/>
    <w:rsid w:val="699B3EF4"/>
    <w:rsid w:val="69C125CF"/>
    <w:rsid w:val="69C34994"/>
    <w:rsid w:val="69F97772"/>
    <w:rsid w:val="6A23013F"/>
    <w:rsid w:val="6A574019"/>
    <w:rsid w:val="6A5804A9"/>
    <w:rsid w:val="6A6C07F5"/>
    <w:rsid w:val="6A730355"/>
    <w:rsid w:val="6A737244"/>
    <w:rsid w:val="6A9736B6"/>
    <w:rsid w:val="6AA24EEE"/>
    <w:rsid w:val="6AB30FBA"/>
    <w:rsid w:val="6ACD4F76"/>
    <w:rsid w:val="6ADF04F5"/>
    <w:rsid w:val="6AFA5DC5"/>
    <w:rsid w:val="6B131792"/>
    <w:rsid w:val="6B1C07CE"/>
    <w:rsid w:val="6B692A1D"/>
    <w:rsid w:val="6B740370"/>
    <w:rsid w:val="6B994DA5"/>
    <w:rsid w:val="6BCE5194"/>
    <w:rsid w:val="6BD2135D"/>
    <w:rsid w:val="6BD91BA7"/>
    <w:rsid w:val="6BF951C5"/>
    <w:rsid w:val="6C106491"/>
    <w:rsid w:val="6C2F3D45"/>
    <w:rsid w:val="6C7D656D"/>
    <w:rsid w:val="6CD33ACB"/>
    <w:rsid w:val="6CD847CD"/>
    <w:rsid w:val="6D0711F3"/>
    <w:rsid w:val="6D1F1BB0"/>
    <w:rsid w:val="6D4D073B"/>
    <w:rsid w:val="6D5919EF"/>
    <w:rsid w:val="6D8929BF"/>
    <w:rsid w:val="6DBF017E"/>
    <w:rsid w:val="6DC56646"/>
    <w:rsid w:val="6DF332FA"/>
    <w:rsid w:val="6E2F0E6E"/>
    <w:rsid w:val="6E8B0F8A"/>
    <w:rsid w:val="6E9454B9"/>
    <w:rsid w:val="6EB7055E"/>
    <w:rsid w:val="6EBA5B1C"/>
    <w:rsid w:val="6F0731CD"/>
    <w:rsid w:val="6F0B21B9"/>
    <w:rsid w:val="6F6F69B0"/>
    <w:rsid w:val="6F925F92"/>
    <w:rsid w:val="6FA93BBC"/>
    <w:rsid w:val="6FBB0A5C"/>
    <w:rsid w:val="6FC61D54"/>
    <w:rsid w:val="6FE82E5D"/>
    <w:rsid w:val="6FF477AB"/>
    <w:rsid w:val="700A551C"/>
    <w:rsid w:val="701C04F0"/>
    <w:rsid w:val="703F35A1"/>
    <w:rsid w:val="7048285F"/>
    <w:rsid w:val="705A5F1D"/>
    <w:rsid w:val="707A7C7E"/>
    <w:rsid w:val="70825C80"/>
    <w:rsid w:val="70BD1AFA"/>
    <w:rsid w:val="70F27F9A"/>
    <w:rsid w:val="71462E96"/>
    <w:rsid w:val="714941C4"/>
    <w:rsid w:val="715B4141"/>
    <w:rsid w:val="718F50E7"/>
    <w:rsid w:val="71A60918"/>
    <w:rsid w:val="71A97BF2"/>
    <w:rsid w:val="71D05AFF"/>
    <w:rsid w:val="71D90D0A"/>
    <w:rsid w:val="71F876E4"/>
    <w:rsid w:val="71F907B3"/>
    <w:rsid w:val="71FD6CA3"/>
    <w:rsid w:val="72001B41"/>
    <w:rsid w:val="721833B0"/>
    <w:rsid w:val="723B3AED"/>
    <w:rsid w:val="72924905"/>
    <w:rsid w:val="72A00519"/>
    <w:rsid w:val="72A7745E"/>
    <w:rsid w:val="72AA61A6"/>
    <w:rsid w:val="72C621A8"/>
    <w:rsid w:val="72D85243"/>
    <w:rsid w:val="733220EF"/>
    <w:rsid w:val="73357ED9"/>
    <w:rsid w:val="736D2E7E"/>
    <w:rsid w:val="737956B3"/>
    <w:rsid w:val="73CE4A0F"/>
    <w:rsid w:val="73D96AEE"/>
    <w:rsid w:val="740A47B3"/>
    <w:rsid w:val="744513FD"/>
    <w:rsid w:val="749A7F7D"/>
    <w:rsid w:val="74C23A26"/>
    <w:rsid w:val="74D67580"/>
    <w:rsid w:val="74E02AA1"/>
    <w:rsid w:val="74F51C02"/>
    <w:rsid w:val="74F60226"/>
    <w:rsid w:val="7515068C"/>
    <w:rsid w:val="7587469E"/>
    <w:rsid w:val="75955898"/>
    <w:rsid w:val="75D46F57"/>
    <w:rsid w:val="75FF75BC"/>
    <w:rsid w:val="761855AA"/>
    <w:rsid w:val="76210F60"/>
    <w:rsid w:val="765F483B"/>
    <w:rsid w:val="76982C90"/>
    <w:rsid w:val="76C97D3F"/>
    <w:rsid w:val="76E07197"/>
    <w:rsid w:val="76E47B69"/>
    <w:rsid w:val="76E73CC6"/>
    <w:rsid w:val="77096A4F"/>
    <w:rsid w:val="77252F91"/>
    <w:rsid w:val="774050A4"/>
    <w:rsid w:val="77511B9D"/>
    <w:rsid w:val="777D1E52"/>
    <w:rsid w:val="778020AA"/>
    <w:rsid w:val="779D7E32"/>
    <w:rsid w:val="77A345CB"/>
    <w:rsid w:val="77DDCE6B"/>
    <w:rsid w:val="780645C6"/>
    <w:rsid w:val="781F4CEB"/>
    <w:rsid w:val="78430D69"/>
    <w:rsid w:val="784B7F43"/>
    <w:rsid w:val="78551D11"/>
    <w:rsid w:val="7860459E"/>
    <w:rsid w:val="786E509B"/>
    <w:rsid w:val="787273AB"/>
    <w:rsid w:val="78742F6B"/>
    <w:rsid w:val="78BE79CD"/>
    <w:rsid w:val="7917575B"/>
    <w:rsid w:val="795654A4"/>
    <w:rsid w:val="79621A35"/>
    <w:rsid w:val="79972CD1"/>
    <w:rsid w:val="799D1E89"/>
    <w:rsid w:val="79B002F1"/>
    <w:rsid w:val="79DA6BF0"/>
    <w:rsid w:val="79E95084"/>
    <w:rsid w:val="7A0B19CB"/>
    <w:rsid w:val="7A4954F4"/>
    <w:rsid w:val="7A5D6374"/>
    <w:rsid w:val="7A713A48"/>
    <w:rsid w:val="7A7A4123"/>
    <w:rsid w:val="7AA34396"/>
    <w:rsid w:val="7AAB59B1"/>
    <w:rsid w:val="7AB474C5"/>
    <w:rsid w:val="7ABF6DAB"/>
    <w:rsid w:val="7AE13244"/>
    <w:rsid w:val="7B3D12FB"/>
    <w:rsid w:val="7B5755C6"/>
    <w:rsid w:val="7B800998"/>
    <w:rsid w:val="7BB32F99"/>
    <w:rsid w:val="7BE96E76"/>
    <w:rsid w:val="7BF8551B"/>
    <w:rsid w:val="7C2D1788"/>
    <w:rsid w:val="7C857813"/>
    <w:rsid w:val="7C8B0405"/>
    <w:rsid w:val="7CAB67FD"/>
    <w:rsid w:val="7CE17BEF"/>
    <w:rsid w:val="7CF51C88"/>
    <w:rsid w:val="7D0B7415"/>
    <w:rsid w:val="7D1D7AEE"/>
    <w:rsid w:val="7D29301F"/>
    <w:rsid w:val="7D7FE663"/>
    <w:rsid w:val="7D967BA1"/>
    <w:rsid w:val="7DBDBD33"/>
    <w:rsid w:val="7E057DD3"/>
    <w:rsid w:val="7E2F5BC8"/>
    <w:rsid w:val="7E4E24B2"/>
    <w:rsid w:val="7E9C2693"/>
    <w:rsid w:val="7EB701F8"/>
    <w:rsid w:val="7EBD2C60"/>
    <w:rsid w:val="7EC20DDD"/>
    <w:rsid w:val="7EF349E8"/>
    <w:rsid w:val="7F341162"/>
    <w:rsid w:val="7F4009AD"/>
    <w:rsid w:val="7F496C47"/>
    <w:rsid w:val="7F666A7C"/>
    <w:rsid w:val="7F6F3DEF"/>
    <w:rsid w:val="7F75F426"/>
    <w:rsid w:val="7FA6479D"/>
    <w:rsid w:val="7FA86318"/>
    <w:rsid w:val="7FA91A6A"/>
    <w:rsid w:val="7FB036E6"/>
    <w:rsid w:val="7FB955A8"/>
    <w:rsid w:val="7FBD39BB"/>
    <w:rsid w:val="7FBF6799"/>
    <w:rsid w:val="7FEB4AFB"/>
    <w:rsid w:val="7FF54EF8"/>
    <w:rsid w:val="7FF6562E"/>
    <w:rsid w:val="7FFE06C6"/>
    <w:rsid w:val="ACFFA193"/>
    <w:rsid w:val="AFBF2E44"/>
    <w:rsid w:val="AFFF854C"/>
    <w:rsid w:val="BDEF0BF8"/>
    <w:rsid w:val="BFF2A6AD"/>
    <w:rsid w:val="BFFFB35C"/>
    <w:rsid w:val="C0FDA2D5"/>
    <w:rsid w:val="CFDFA1B4"/>
    <w:rsid w:val="D8FB5173"/>
    <w:rsid w:val="DBFFEA84"/>
    <w:rsid w:val="DEEEC2F2"/>
    <w:rsid w:val="DEFF2E42"/>
    <w:rsid w:val="DFFB72AF"/>
    <w:rsid w:val="E92B1FC7"/>
    <w:rsid w:val="E9FF8BC3"/>
    <w:rsid w:val="EEB5505A"/>
    <w:rsid w:val="EEFEA877"/>
    <w:rsid w:val="EEFFD0C0"/>
    <w:rsid w:val="EF0E0F2D"/>
    <w:rsid w:val="EF1F29C3"/>
    <w:rsid w:val="EFF43AF0"/>
    <w:rsid w:val="F41A69FB"/>
    <w:rsid w:val="F7ED3F90"/>
    <w:rsid w:val="FA7F508D"/>
    <w:rsid w:val="FDBBD0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sz w:val="24"/>
    </w:rPr>
  </w:style>
  <w:style w:type="paragraph" w:styleId="5">
    <w:name w:val="heading 3"/>
    <w:basedOn w:val="6"/>
    <w:next w:val="6"/>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33">
    <w:name w:val="Default Paragraph Font"/>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toc 7"/>
    <w:basedOn w:val="1"/>
    <w:next w:val="1"/>
    <w:qFormat/>
    <w:uiPriority w:val="0"/>
    <w:pPr>
      <w:ind w:left="1680"/>
      <w:jc w:val="left"/>
    </w:pPr>
  </w:style>
  <w:style w:type="paragraph" w:styleId="8">
    <w:name w:val="table of authorities"/>
    <w:basedOn w:val="1"/>
    <w:next w:val="1"/>
    <w:qFormat/>
    <w:uiPriority w:val="0"/>
    <w:pPr>
      <w:ind w:left="420" w:leftChars="200"/>
    </w:pPr>
  </w:style>
  <w:style w:type="paragraph" w:styleId="9">
    <w:name w:val="Document Map"/>
    <w:basedOn w:val="1"/>
    <w:qFormat/>
    <w:uiPriority w:val="0"/>
    <w:pPr>
      <w:shd w:val="clear" w:color="auto" w:fill="000080"/>
    </w:pPr>
  </w:style>
  <w:style w:type="paragraph" w:styleId="10">
    <w:name w:val="annotation text"/>
    <w:basedOn w:val="1"/>
    <w:next w:val="1"/>
    <w:qFormat/>
    <w:uiPriority w:val="0"/>
    <w:pPr>
      <w:adjustRightInd w:val="0"/>
      <w:spacing w:line="360" w:lineRule="atLeast"/>
      <w:jc w:val="left"/>
      <w:textAlignment w:val="baseline"/>
    </w:pPr>
    <w:rPr>
      <w:rFonts w:ascii="宋体"/>
      <w:kern w:val="0"/>
      <w:sz w:val="24"/>
    </w:rPr>
  </w:style>
  <w:style w:type="paragraph" w:styleId="11">
    <w:name w:val="Body Text"/>
    <w:basedOn w:val="1"/>
    <w:next w:val="12"/>
    <w:qFormat/>
    <w:uiPriority w:val="0"/>
    <w:pPr>
      <w:spacing w:after="120" w:afterLines="0" w:afterAutospacing="0"/>
    </w:pPr>
  </w:style>
  <w:style w:type="paragraph" w:styleId="12">
    <w:name w:val="Body Text 2"/>
    <w:basedOn w:val="1"/>
    <w:qFormat/>
    <w:uiPriority w:val="0"/>
    <w:pPr>
      <w:spacing w:line="500" w:lineRule="exact"/>
    </w:pPr>
    <w:rPr>
      <w:rFonts w:ascii="宋体"/>
      <w:sz w:val="24"/>
    </w:rPr>
  </w:style>
  <w:style w:type="paragraph" w:styleId="13">
    <w:name w:val="Body Text Indent"/>
    <w:basedOn w:val="1"/>
    <w:next w:val="14"/>
    <w:link w:val="40"/>
    <w:qFormat/>
    <w:uiPriority w:val="0"/>
    <w:pPr>
      <w:ind w:firstLine="560" w:firstLineChars="200"/>
    </w:p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0"/>
    <w:pPr>
      <w:ind w:left="1120"/>
      <w:jc w:val="left"/>
    </w:pPr>
  </w:style>
  <w:style w:type="paragraph" w:styleId="16">
    <w:name w:val="toc 3"/>
    <w:basedOn w:val="1"/>
    <w:next w:val="1"/>
    <w:qFormat/>
    <w:uiPriority w:val="0"/>
    <w:pPr>
      <w:ind w:left="561"/>
      <w:jc w:val="left"/>
    </w:pPr>
    <w:rPr>
      <w:sz w:val="24"/>
    </w:rPr>
  </w:style>
  <w:style w:type="paragraph" w:styleId="17">
    <w:name w:val="Plain Text"/>
    <w:basedOn w:val="1"/>
    <w:qFormat/>
    <w:uiPriority w:val="0"/>
    <w:rPr>
      <w:rFonts w:ascii="宋体" w:hAnsi="Courier New"/>
      <w:szCs w:val="20"/>
    </w:rPr>
  </w:style>
  <w:style w:type="paragraph" w:styleId="18">
    <w:name w:val="toc 8"/>
    <w:basedOn w:val="1"/>
    <w:next w:val="1"/>
    <w:qFormat/>
    <w:uiPriority w:val="0"/>
    <w:pPr>
      <w:ind w:left="1960"/>
      <w:jc w:val="left"/>
    </w:pPr>
  </w:style>
  <w:style w:type="paragraph" w:styleId="19">
    <w:name w:val="Body Text Indent 2"/>
    <w:basedOn w:val="1"/>
    <w:qFormat/>
    <w:uiPriority w:val="0"/>
    <w:pPr>
      <w:spacing w:line="480" w:lineRule="auto"/>
      <w:ind w:firstLine="561"/>
    </w:pPr>
    <w:rPr>
      <w:rFonts w:ascii="宋体"/>
    </w:rPr>
  </w:style>
  <w:style w:type="paragraph" w:styleId="20">
    <w:name w:val="Balloon Text"/>
    <w:basedOn w:val="1"/>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rPr>
  </w:style>
  <w:style w:type="paragraph" w:styleId="23">
    <w:name w:val="toc 1"/>
    <w:basedOn w:val="1"/>
    <w:next w:val="1"/>
    <w:qFormat/>
    <w:uiPriority w:val="0"/>
    <w:pPr>
      <w:spacing w:before="120" w:beforeLines="0" w:beforeAutospacing="0" w:after="120" w:afterLines="0" w:afterAutospacing="0"/>
      <w:jc w:val="left"/>
    </w:pPr>
    <w:rPr>
      <w:caps/>
      <w:sz w:val="24"/>
    </w:rPr>
  </w:style>
  <w:style w:type="paragraph" w:styleId="24">
    <w:name w:val="toc 4"/>
    <w:basedOn w:val="1"/>
    <w:next w:val="1"/>
    <w:qFormat/>
    <w:uiPriority w:val="0"/>
    <w:pPr>
      <w:ind w:left="840"/>
      <w:jc w:val="left"/>
    </w:pPr>
  </w:style>
  <w:style w:type="paragraph" w:styleId="25">
    <w:name w:val="toc 6"/>
    <w:basedOn w:val="1"/>
    <w:next w:val="1"/>
    <w:qFormat/>
    <w:uiPriority w:val="0"/>
    <w:pPr>
      <w:ind w:left="1400"/>
      <w:jc w:val="left"/>
    </w:pPr>
  </w:style>
  <w:style w:type="paragraph" w:styleId="26">
    <w:name w:val="Body Text Indent 3"/>
    <w:basedOn w:val="1"/>
    <w:link w:val="41"/>
    <w:qFormat/>
    <w:uiPriority w:val="0"/>
    <w:pPr>
      <w:ind w:firstLine="560"/>
    </w:pPr>
    <w:rPr>
      <w:color w:val="FF0000"/>
    </w:rPr>
  </w:style>
  <w:style w:type="paragraph" w:styleId="27">
    <w:name w:val="toc 2"/>
    <w:basedOn w:val="1"/>
    <w:next w:val="1"/>
    <w:qFormat/>
    <w:uiPriority w:val="0"/>
    <w:pPr>
      <w:ind w:left="278"/>
      <w:jc w:val="left"/>
    </w:pPr>
    <w:rPr>
      <w:smallCaps/>
      <w:sz w:val="24"/>
    </w:rPr>
  </w:style>
  <w:style w:type="paragraph" w:styleId="28">
    <w:name w:val="toc 9"/>
    <w:basedOn w:val="1"/>
    <w:next w:val="1"/>
    <w:qFormat/>
    <w:uiPriority w:val="0"/>
    <w:pPr>
      <w:ind w:left="2240"/>
      <w:jc w:val="left"/>
    </w:pPr>
  </w:style>
  <w:style w:type="paragraph" w:styleId="29">
    <w:name w:val="annotation subject"/>
    <w:basedOn w:val="10"/>
    <w:next w:val="10"/>
    <w:qFormat/>
    <w:uiPriority w:val="0"/>
    <w:pPr>
      <w:adjustRightInd/>
      <w:spacing w:line="360" w:lineRule="auto"/>
      <w:textAlignment w:val="auto"/>
    </w:pPr>
    <w:rPr>
      <w:b/>
      <w:bCs/>
      <w:kern w:val="2"/>
    </w:rPr>
  </w:style>
  <w:style w:type="paragraph" w:styleId="30">
    <w:name w:val="Body Text First Indent 2"/>
    <w:basedOn w:val="13"/>
    <w:next w:val="31"/>
    <w:qFormat/>
    <w:uiPriority w:val="0"/>
    <w:pPr>
      <w:spacing w:after="0"/>
      <w:ind w:left="0" w:leftChars="0" w:firstLine="420" w:firstLineChars="200"/>
    </w:pPr>
  </w:style>
  <w:style w:type="paragraph" w:customStyle="1" w:styleId="31">
    <w:name w:val="章标题"/>
    <w:next w:val="1"/>
    <w:qFormat/>
    <w:uiPriority w:val="0"/>
    <w:pPr>
      <w:spacing w:before="50" w:after="50"/>
      <w:jc w:val="both"/>
      <w:outlineLvl w:val="1"/>
    </w:pPr>
    <w:rPr>
      <w:rFonts w:ascii="黑体" w:hAnsi="Calibri" w:eastAsia="黑体" w:cs="Times New Roman"/>
      <w:sz w:val="21"/>
      <w:lang w:val="en-US" w:eastAsia="zh-CN" w:bidi="ar-SA"/>
    </w:r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character" w:styleId="38">
    <w:name w:val="annotation reference"/>
    <w:qFormat/>
    <w:uiPriority w:val="0"/>
    <w:rPr>
      <w:sz w:val="21"/>
    </w:rPr>
  </w:style>
  <w:style w:type="paragraph" w:customStyle="1" w:styleId="39">
    <w:name w:val="正文缩进1"/>
    <w:basedOn w:val="1"/>
    <w:qFormat/>
    <w:uiPriority w:val="0"/>
    <w:pPr>
      <w:widowControl/>
      <w:ind w:firstLine="420"/>
      <w:jc w:val="left"/>
    </w:pPr>
    <w:rPr>
      <w:rFonts w:ascii="Times New Roman"/>
      <w:kern w:val="0"/>
    </w:rPr>
  </w:style>
  <w:style w:type="character" w:customStyle="1" w:styleId="40">
    <w:name w:val="正文文本缩进 Char"/>
    <w:link w:val="13"/>
    <w:qFormat/>
    <w:uiPriority w:val="0"/>
    <w:rPr>
      <w:rFonts w:ascii="宋体"/>
      <w:kern w:val="2"/>
      <w:sz w:val="24"/>
    </w:rPr>
  </w:style>
  <w:style w:type="character" w:customStyle="1" w:styleId="41">
    <w:name w:val="正文文本缩进 3 Char"/>
    <w:link w:val="26"/>
    <w:qFormat/>
    <w:uiPriority w:val="0"/>
    <w:rPr>
      <w:rFonts w:ascii="宋体" w:eastAsia="宋体"/>
      <w:color w:val="FF0000"/>
      <w:kern w:val="2"/>
      <w:sz w:val="24"/>
      <w:lang w:val="en-US" w:eastAsia="zh-CN" w:bidi="ar-SA"/>
    </w:rPr>
  </w:style>
  <w:style w:type="character" w:customStyle="1" w:styleId="42">
    <w:name w:val="页码 New New New"/>
    <w:qFormat/>
    <w:uiPriority w:val="0"/>
    <w:rPr>
      <w:rFonts w:eastAsia="宋体"/>
      <w:kern w:val="2"/>
      <w:sz w:val="24"/>
      <w:szCs w:val="24"/>
      <w:lang w:val="en-US" w:eastAsia="zh-CN" w:bidi="ar-SA"/>
    </w:rPr>
  </w:style>
  <w:style w:type="character" w:customStyle="1" w:styleId="43">
    <w:name w:val="默认段落字体 New New"/>
    <w:link w:val="44"/>
    <w:qFormat/>
    <w:uiPriority w:val="0"/>
    <w:rPr>
      <w:rFonts w:ascii="Tahoma" w:hAnsi="Tahoma"/>
      <w:szCs w:val="24"/>
    </w:rPr>
  </w:style>
  <w:style w:type="paragraph" w:customStyle="1" w:styleId="44">
    <w:name w:val=" Char New New"/>
    <w:basedOn w:val="1"/>
    <w:link w:val="43"/>
    <w:qFormat/>
    <w:uiPriority w:val="0"/>
    <w:pPr>
      <w:spacing w:line="240" w:lineRule="auto"/>
    </w:pPr>
    <w:rPr>
      <w:rFonts w:ascii="Tahoma" w:hAnsi="Tahoma"/>
      <w:kern w:val="0"/>
      <w:sz w:val="20"/>
      <w:szCs w:val="24"/>
    </w:rPr>
  </w:style>
  <w:style w:type="character" w:customStyle="1" w:styleId="45">
    <w:name w:val="Default Paragraph Font"/>
    <w:qFormat/>
    <w:uiPriority w:val="0"/>
    <w:rPr>
      <w:rFonts w:hint="default"/>
    </w:rPr>
  </w:style>
  <w:style w:type="character" w:customStyle="1" w:styleId="46">
    <w:name w:val=" Char Char1"/>
    <w:qFormat/>
    <w:uiPriority w:val="0"/>
    <w:rPr>
      <w:rFonts w:ascii="宋体" w:eastAsia="宋体"/>
      <w:color w:val="FF0000"/>
      <w:kern w:val="2"/>
      <w:sz w:val="24"/>
      <w:lang w:val="en-US" w:eastAsia="zh-CN" w:bidi="ar-SA"/>
    </w:rPr>
  </w:style>
  <w:style w:type="character" w:customStyle="1" w:styleId="47">
    <w:name w:val="页码 New New"/>
    <w:qFormat/>
    <w:uiPriority w:val="0"/>
    <w:rPr>
      <w:rFonts w:eastAsia="宋体"/>
      <w:kern w:val="2"/>
      <w:sz w:val="24"/>
      <w:szCs w:val="24"/>
      <w:lang w:val="en-US" w:eastAsia="zh-CN" w:bidi="ar-SA"/>
    </w:rPr>
  </w:style>
  <w:style w:type="character" w:customStyle="1" w:styleId="48">
    <w:name w:val="超链接 New"/>
    <w:qFormat/>
    <w:uiPriority w:val="0"/>
    <w:rPr>
      <w:color w:val="000000"/>
      <w:sz w:val="18"/>
      <w:szCs w:val="18"/>
      <w:u w:val="none"/>
    </w:rPr>
  </w:style>
  <w:style w:type="character" w:customStyle="1" w:styleId="49">
    <w:name w:val="默认段落字体 New"/>
    <w:link w:val="50"/>
    <w:qFormat/>
    <w:uiPriority w:val="0"/>
    <w:rPr>
      <w:rFonts w:ascii="Tahoma" w:hAnsi="Tahoma"/>
      <w:szCs w:val="24"/>
    </w:rPr>
  </w:style>
  <w:style w:type="paragraph" w:customStyle="1" w:styleId="50">
    <w:name w:val=" Char New"/>
    <w:basedOn w:val="1"/>
    <w:link w:val="49"/>
    <w:qFormat/>
    <w:uiPriority w:val="0"/>
    <w:pPr>
      <w:spacing w:line="240" w:lineRule="auto"/>
    </w:pPr>
    <w:rPr>
      <w:rFonts w:ascii="Tahoma" w:hAnsi="Tahoma"/>
      <w:kern w:val="0"/>
      <w:sz w:val="20"/>
      <w:szCs w:val="24"/>
    </w:rPr>
  </w:style>
  <w:style w:type="character" w:customStyle="1" w:styleId="51">
    <w:name w:val="超链接 New New"/>
    <w:qFormat/>
    <w:uiPriority w:val="0"/>
    <w:rPr>
      <w:color w:val="000000"/>
      <w:sz w:val="18"/>
      <w:szCs w:val="18"/>
      <w:u w:val="none"/>
    </w:rPr>
  </w:style>
  <w:style w:type="character" w:customStyle="1" w:styleId="52">
    <w:name w:val="页码 New"/>
    <w:qFormat/>
    <w:uiPriority w:val="0"/>
    <w:rPr>
      <w:rFonts w:eastAsia="宋体"/>
      <w:kern w:val="2"/>
      <w:sz w:val="24"/>
      <w:szCs w:val="24"/>
      <w:lang w:val="en-US" w:eastAsia="zh-CN" w:bidi="ar-SA"/>
    </w:rPr>
  </w:style>
  <w:style w:type="paragraph" w:customStyle="1" w:styleId="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6">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7">
    <w:name w:val="标题 2 New"/>
    <w:basedOn w:val="58"/>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paragraph" w:customStyle="1" w:styleId="5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p0"/>
    <w:basedOn w:val="61"/>
    <w:qFormat/>
    <w:uiPriority w:val="0"/>
    <w:pPr>
      <w:widowControl/>
      <w:spacing w:line="360" w:lineRule="auto"/>
    </w:pPr>
    <w:rPr>
      <w:rFonts w:ascii="宋体" w:hAnsi="宋体" w:eastAsia="宋体" w:cs="宋体"/>
      <w:kern w:val="0"/>
      <w:sz w:val="24"/>
      <w:szCs w:val="24"/>
    </w:rPr>
  </w:style>
  <w:style w:type="paragraph" w:customStyle="1" w:styleId="61">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3">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5">
    <w:name w:val="页脚 New New New New New New New New New"/>
    <w:basedOn w:val="66"/>
    <w:qFormat/>
    <w:uiPriority w:val="0"/>
    <w:pPr>
      <w:tabs>
        <w:tab w:val="center" w:pos="4153"/>
        <w:tab w:val="right" w:pos="8306"/>
      </w:tabs>
      <w:snapToGrid w:val="0"/>
      <w:jc w:val="left"/>
    </w:pPr>
    <w:rPr>
      <w:kern w:val="2"/>
      <w:sz w:val="18"/>
      <w:szCs w:val="18"/>
    </w:rPr>
  </w:style>
  <w:style w:type="paragraph" w:customStyle="1" w:styleId="6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纯文本 New"/>
    <w:basedOn w:val="62"/>
    <w:qFormat/>
    <w:uiPriority w:val="0"/>
    <w:rPr>
      <w:rFonts w:ascii="宋体" w:hAnsi="Courier New" w:eastAsia="楷体_GB2312"/>
      <w:kern w:val="2"/>
      <w:sz w:val="21"/>
      <w:szCs w:val="24"/>
      <w:lang w:val="en-US" w:eastAsia="zh-CN" w:bidi="ar-SA"/>
    </w:rPr>
  </w:style>
  <w:style w:type="paragraph" w:customStyle="1" w:styleId="71">
    <w:name w:val="页脚 New New New New New New New New New New New New"/>
    <w:basedOn w:val="72"/>
    <w:qFormat/>
    <w:uiPriority w:val="0"/>
    <w:pPr>
      <w:tabs>
        <w:tab w:val="center" w:pos="4153"/>
        <w:tab w:val="right" w:pos="8306"/>
      </w:tabs>
      <w:snapToGrid w:val="0"/>
      <w:jc w:val="left"/>
    </w:pPr>
    <w:rPr>
      <w:rFonts w:eastAsia="楷体_GB2312"/>
      <w:kern w:val="2"/>
      <w:sz w:val="18"/>
      <w:szCs w:val="18"/>
    </w:rPr>
  </w:style>
  <w:style w:type="paragraph" w:customStyle="1" w:styleId="72">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3">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普通(网站) New"/>
    <w:basedOn w:val="76"/>
    <w:qFormat/>
    <w:uiPriority w:val="0"/>
    <w:rPr>
      <w:sz w:val="24"/>
    </w:rPr>
  </w:style>
  <w:style w:type="paragraph" w:customStyle="1" w:styleId="7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页眉 New"/>
    <w:basedOn w:val="78"/>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9">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0">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1">
    <w:name w:val="页脚 New New New New New New New New New New New"/>
    <w:basedOn w:val="82"/>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82">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3">
    <w:name w:val=" Char"/>
    <w:basedOn w:val="9"/>
    <w:qFormat/>
    <w:uiPriority w:val="0"/>
    <w:pPr>
      <w:spacing w:line="240" w:lineRule="auto"/>
    </w:pPr>
  </w:style>
  <w:style w:type="paragraph" w:customStyle="1" w:styleId="84">
    <w:name w:val="样式 宋体 行距: 1.5 倍行距"/>
    <w:basedOn w:val="85"/>
    <w:next w:val="1"/>
    <w:qFormat/>
    <w:uiPriority w:val="0"/>
    <w:pPr>
      <w:jc w:val="center"/>
    </w:pPr>
    <w:rPr>
      <w:rFonts w:ascii="Times New Roman" w:hAnsi="Times New Roman"/>
      <w:b/>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84"/>
    <w:qFormat/>
    <w:uiPriority w:val="0"/>
    <w:pPr>
      <w:widowControl w:val="0"/>
      <w:jc w:val="both"/>
    </w:pPr>
    <w:rPr>
      <w:rFonts w:ascii="Calibri" w:hAnsi="Calibri" w:eastAsia="宋体" w:cs="黑体"/>
      <w:kern w:val="2"/>
      <w:sz w:val="21"/>
      <w:szCs w:val="24"/>
      <w:lang w:val="en-US" w:eastAsia="zh-CN" w:bidi="ar-SA"/>
    </w:rPr>
  </w:style>
  <w:style w:type="paragraph" w:customStyle="1" w:styleId="86">
    <w:name w:val="blockquote"/>
    <w:basedOn w:val="1"/>
    <w:qFormat/>
    <w:uiPriority w:val="0"/>
    <w:pPr>
      <w:widowControl/>
      <w:spacing w:before="100" w:beforeLines="0" w:beforeAutospacing="1" w:after="100" w:afterLines="0" w:afterAutospacing="1" w:line="240" w:lineRule="auto"/>
      <w:jc w:val="left"/>
    </w:pPr>
    <w:rPr>
      <w:rFonts w:hAnsi="宋体"/>
      <w:kern w:val="0"/>
    </w:rPr>
  </w:style>
  <w:style w:type="paragraph" w:customStyle="1" w:styleId="87">
    <w:name w:val="Normal Indent"/>
    <w:basedOn w:val="1"/>
    <w:qFormat/>
    <w:uiPriority w:val="0"/>
    <w:pPr>
      <w:widowControl/>
      <w:ind w:firstLine="420"/>
      <w:jc w:val="left"/>
    </w:pPr>
    <w:rPr>
      <w:rFonts w:ascii="Times New Roman" w:hAnsi="Times New Roman"/>
      <w:kern w:val="0"/>
      <w:szCs w:val="20"/>
    </w:rPr>
  </w:style>
  <w:style w:type="paragraph" w:customStyle="1" w:styleId="88">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9">
    <w:name w:val="正文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0">
    <w:name w:val="页脚 New New New New New New New"/>
    <w:basedOn w:val="67"/>
    <w:qFormat/>
    <w:uiPriority w:val="0"/>
    <w:pPr>
      <w:widowControl/>
      <w:tabs>
        <w:tab w:val="center" w:pos="4153"/>
        <w:tab w:val="right" w:pos="8306"/>
      </w:tabs>
      <w:snapToGrid w:val="0"/>
      <w:jc w:val="left"/>
    </w:pPr>
    <w:rPr>
      <w:kern w:val="0"/>
      <w:sz w:val="18"/>
      <w:szCs w:val="20"/>
    </w:rPr>
  </w:style>
  <w:style w:type="paragraph" w:customStyle="1" w:styleId="91">
    <w:name w:val="样式1"/>
    <w:basedOn w:val="2"/>
    <w:qFormat/>
    <w:uiPriority w:val="0"/>
    <w:pPr>
      <w:tabs>
        <w:tab w:val="right" w:leader="dot" w:pos="9345"/>
      </w:tabs>
    </w:pPr>
    <w:rPr>
      <w:rFonts w:ascii="宋体" w:hAnsi="宋体" w:eastAsia="宋体"/>
      <w:b/>
      <w:caps/>
      <w:sz w:val="24"/>
      <w:u w:val="single"/>
    </w:rPr>
  </w:style>
  <w:style w:type="paragraph" w:customStyle="1" w:styleId="92">
    <w:name w:val="footer"/>
    <w:basedOn w:val="93"/>
    <w:qFormat/>
    <w:uiPriority w:val="0"/>
    <w:pPr>
      <w:widowControl/>
      <w:tabs>
        <w:tab w:val="center" w:pos="4153"/>
        <w:tab w:val="right" w:pos="8306"/>
      </w:tabs>
      <w:snapToGrid w:val="0"/>
      <w:jc w:val="left"/>
    </w:pPr>
    <w:rPr>
      <w:rFonts w:hint="eastAsia"/>
      <w:kern w:val="0"/>
      <w:sz w:val="18"/>
    </w:rPr>
  </w:style>
  <w:style w:type="paragraph" w:customStyle="1" w:styleId="93">
    <w:name w:val="Normal"/>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customStyle="1" w:styleId="94">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95">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6">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7">
    <w:name w:val="页脚 New New New New New New New New New New"/>
    <w:basedOn w:val="80"/>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98">
    <w:name w:val="页眉 New New New"/>
    <w:basedOn w:val="96"/>
    <w:qFormat/>
    <w:uiPriority w:val="0"/>
    <w:pPr>
      <w:pBdr>
        <w:bottom w:val="single" w:color="auto" w:sz="6" w:space="1"/>
      </w:pBdr>
      <w:tabs>
        <w:tab w:val="center" w:pos="4153"/>
        <w:tab w:val="right" w:pos="8306"/>
      </w:tabs>
      <w:snapToGrid w:val="0"/>
      <w:jc w:val="center"/>
    </w:pPr>
    <w:rPr>
      <w:sz w:val="18"/>
      <w:szCs w:val="18"/>
    </w:rPr>
  </w:style>
  <w:style w:type="paragraph" w:customStyle="1" w:styleId="99">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0">
    <w:name w:val="正文文本缩进 New New New New"/>
    <w:basedOn w:val="101"/>
    <w:qFormat/>
    <w:uiPriority w:val="0"/>
    <w:pPr>
      <w:ind w:firstLine="560" w:firstLineChars="200"/>
    </w:pPr>
    <w:rPr>
      <w:rFonts w:ascii="宋体"/>
      <w:kern w:val="2"/>
      <w:sz w:val="24"/>
      <w:szCs w:val="28"/>
    </w:rPr>
  </w:style>
  <w:style w:type="paragraph" w:customStyle="1" w:styleId="101">
    <w:name w:val="正文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02">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3">
    <w:name w:val="页眉 New New New New New New New New"/>
    <w:basedOn w:val="82"/>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04">
    <w:name w:val="页脚 New New New New New New New New New New New New New"/>
    <w:basedOn w:val="79"/>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06">
    <w:name w:val="样式2"/>
    <w:basedOn w:val="23"/>
    <w:qFormat/>
    <w:uiPriority w:val="0"/>
    <w:pPr>
      <w:tabs>
        <w:tab w:val="right" w:leader="dot" w:pos="9345"/>
      </w:tabs>
    </w:pPr>
    <w:rPr>
      <w:rFonts w:ascii="宋体" w:hAnsi="宋体"/>
      <w:b/>
      <w:color w:val="0000FF"/>
      <w:u w:val="single"/>
    </w:rPr>
  </w:style>
  <w:style w:type="paragraph" w:customStyle="1" w:styleId="107">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8">
    <w:name w:val="页脚 New New"/>
    <w:basedOn w:val="62"/>
    <w:qFormat/>
    <w:uiPriority w:val="0"/>
    <w:pPr>
      <w:tabs>
        <w:tab w:val="center" w:pos="4153"/>
        <w:tab w:val="right" w:pos="8306"/>
      </w:tabs>
      <w:snapToGrid w:val="0"/>
      <w:jc w:val="left"/>
    </w:pPr>
    <w:rPr>
      <w:sz w:val="18"/>
      <w:szCs w:val="18"/>
    </w:rPr>
  </w:style>
  <w:style w:type="paragraph" w:customStyle="1" w:styleId="109">
    <w:name w:val="纯文本 New New"/>
    <w:basedOn w:val="96"/>
    <w:qFormat/>
    <w:uiPriority w:val="0"/>
    <w:rPr>
      <w:rFonts w:ascii="宋体" w:hAnsi="Courier New" w:eastAsia="楷体_GB2312"/>
      <w:kern w:val="2"/>
      <w:sz w:val="21"/>
      <w:szCs w:val="24"/>
      <w:lang w:val="en-US" w:eastAsia="zh-CN" w:bidi="ar-SA"/>
    </w:rPr>
  </w:style>
  <w:style w:type="paragraph" w:customStyle="1" w:styleId="110">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1">
    <w:name w:val="页脚 New New New New New"/>
    <w:basedOn w:val="68"/>
    <w:qFormat/>
    <w:uiPriority w:val="0"/>
    <w:pPr>
      <w:tabs>
        <w:tab w:val="center" w:pos="4153"/>
        <w:tab w:val="right" w:pos="8306"/>
      </w:tabs>
      <w:snapToGrid w:val="0"/>
      <w:jc w:val="left"/>
    </w:pPr>
    <w:rPr>
      <w:sz w:val="18"/>
    </w:rPr>
  </w:style>
  <w:style w:type="paragraph" w:customStyle="1" w:styleId="112">
    <w:name w:val="标题 3 New New"/>
    <w:basedOn w:val="113"/>
    <w:next w:val="113"/>
    <w:qFormat/>
    <w:uiPriority w:val="0"/>
    <w:pPr>
      <w:keepNext/>
      <w:keepLines/>
      <w:spacing w:before="120" w:beforeLines="0" w:beforeAutospacing="0" w:after="120" w:afterLines="0" w:afterAutospacing="0"/>
      <w:jc w:val="center"/>
      <w:outlineLvl w:val="2"/>
    </w:pPr>
    <w:rPr>
      <w:sz w:val="24"/>
    </w:rPr>
  </w:style>
  <w:style w:type="paragraph" w:customStyle="1" w:styleId="113">
    <w:name w:val="正文缩进 New"/>
    <w:basedOn w:val="114"/>
    <w:qFormat/>
    <w:uiPriority w:val="0"/>
    <w:pPr>
      <w:widowControl/>
      <w:ind w:firstLine="420"/>
      <w:jc w:val="left"/>
    </w:pPr>
    <w:rPr>
      <w:kern w:val="0"/>
      <w:sz w:val="20"/>
    </w:rPr>
  </w:style>
  <w:style w:type="paragraph" w:customStyle="1" w:styleId="114">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toc 3"/>
    <w:basedOn w:val="93"/>
    <w:next w:val="93"/>
    <w:qFormat/>
    <w:uiPriority w:val="0"/>
    <w:pPr>
      <w:ind w:left="561"/>
      <w:jc w:val="left"/>
    </w:pPr>
    <w:rPr>
      <w:rFonts w:hint="eastAsia"/>
    </w:rPr>
  </w:style>
  <w:style w:type="paragraph" w:customStyle="1" w:styleId="117">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页脚 New New New New New New"/>
    <w:basedOn w:val="76"/>
    <w:qFormat/>
    <w:uiPriority w:val="0"/>
    <w:pPr>
      <w:tabs>
        <w:tab w:val="center" w:pos="4153"/>
        <w:tab w:val="right" w:pos="8306"/>
      </w:tabs>
      <w:snapToGrid w:val="0"/>
      <w:jc w:val="left"/>
    </w:pPr>
    <w:rPr>
      <w:sz w:val="18"/>
    </w:rPr>
  </w:style>
  <w:style w:type="paragraph" w:customStyle="1" w:styleId="120">
    <w:name w:val="标题 3 New"/>
    <w:basedOn w:val="6"/>
    <w:next w:val="6"/>
    <w:qFormat/>
    <w:uiPriority w:val="0"/>
    <w:pPr>
      <w:keepNext/>
      <w:keepLines/>
      <w:spacing w:before="120" w:beforeLines="0" w:after="120" w:afterLines="0"/>
      <w:jc w:val="center"/>
      <w:outlineLvl w:val="2"/>
    </w:pPr>
    <w:rPr>
      <w:sz w:val="24"/>
    </w:rPr>
  </w:style>
  <w:style w:type="paragraph" w:customStyle="1" w:styleId="121">
    <w:name w:val="页眉 New New New New New New New"/>
    <w:basedOn w:val="80"/>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22">
    <w:name w:val="正文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3">
    <w:name w:val="正文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5">
    <w:name w:val="页眉 New New New New New"/>
    <w:basedOn w:val="7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6">
    <w:name w:val="页脚 New New New New"/>
    <w:basedOn w:val="59"/>
    <w:qFormat/>
    <w:uiPriority w:val="0"/>
    <w:pPr>
      <w:tabs>
        <w:tab w:val="center" w:pos="4153"/>
        <w:tab w:val="right" w:pos="8306"/>
      </w:tabs>
      <w:snapToGrid w:val="0"/>
      <w:jc w:val="left"/>
    </w:pPr>
    <w:rPr>
      <w:sz w:val="18"/>
      <w:szCs w:val="18"/>
    </w:rPr>
  </w:style>
  <w:style w:type="paragraph" w:customStyle="1" w:styleId="127">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9">
    <w:name w:val="页脚 New"/>
    <w:basedOn w:val="78"/>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1">
    <w:name w:val="页眉 New New New New New New"/>
    <w:basedOn w:val="67"/>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132">
    <w:name w:val="页脚 New New New New New New New New"/>
    <w:basedOn w:val="133"/>
    <w:qFormat/>
    <w:uiPriority w:val="0"/>
    <w:pPr>
      <w:tabs>
        <w:tab w:val="center" w:pos="4153"/>
        <w:tab w:val="right" w:pos="8306"/>
      </w:tabs>
      <w:snapToGrid w:val="0"/>
      <w:jc w:val="left"/>
    </w:pPr>
    <w:rPr>
      <w:kern w:val="2"/>
      <w:sz w:val="18"/>
      <w:szCs w:val="18"/>
    </w:rPr>
  </w:style>
  <w:style w:type="paragraph" w:customStyle="1" w:styleId="13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页眉 New New New New"/>
    <w:basedOn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7">
    <w:name w:val="页眉 New New New New New New New New New"/>
    <w:basedOn w:val="79"/>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3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9">
    <w:name w:val="正文文本缩进 New"/>
    <w:basedOn w:val="114"/>
    <w:qFormat/>
    <w:uiPriority w:val="0"/>
    <w:pPr>
      <w:ind w:firstLine="560" w:firstLineChars="200"/>
    </w:pPr>
    <w:rPr>
      <w:rFonts w:ascii="宋体"/>
      <w:kern w:val="2"/>
      <w:sz w:val="24"/>
    </w:rPr>
  </w:style>
  <w:style w:type="paragraph" w:customStyle="1" w:styleId="140">
    <w:name w:val="p18"/>
    <w:qFormat/>
    <w:uiPriority w:val="0"/>
    <w:pPr>
      <w:spacing w:after="120" w:line="360" w:lineRule="auto"/>
    </w:pPr>
    <w:rPr>
      <w:rFonts w:ascii="宋体" w:hAnsi="宋体" w:eastAsia="宋体" w:cs="宋体"/>
      <w:sz w:val="24"/>
      <w:szCs w:val="24"/>
      <w:lang w:val="en-US" w:eastAsia="zh-CN" w:bidi="ar-SA"/>
    </w:rPr>
  </w:style>
  <w:style w:type="paragraph" w:customStyle="1" w:styleId="141">
    <w:name w:val=" Char Char2"/>
    <w:basedOn w:val="9"/>
    <w:qFormat/>
    <w:uiPriority w:val="0"/>
    <w:pPr>
      <w:spacing w:line="240" w:lineRule="auto"/>
    </w:pPr>
  </w:style>
  <w:style w:type="paragraph" w:customStyle="1" w:styleId="142">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4">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5">
    <w:name w:val="页脚 New New New"/>
    <w:basedOn w:val="96"/>
    <w:qFormat/>
    <w:uiPriority w:val="0"/>
    <w:pPr>
      <w:tabs>
        <w:tab w:val="center" w:pos="4153"/>
        <w:tab w:val="right" w:pos="8306"/>
      </w:tabs>
      <w:snapToGrid w:val="0"/>
      <w:jc w:val="left"/>
    </w:pPr>
    <w:rPr>
      <w:sz w:val="18"/>
      <w:szCs w:val="18"/>
    </w:rPr>
  </w:style>
  <w:style w:type="character" w:customStyle="1" w:styleId="146">
    <w:name w:val="NormalCharacter"/>
    <w:qFormat/>
    <w:uiPriority w:val="99"/>
  </w:style>
  <w:style w:type="paragraph" w:customStyle="1" w:styleId="147">
    <w:name w:val="UserStyle_76"/>
    <w:basedOn w:val="148"/>
    <w:qFormat/>
    <w:uiPriority w:val="99"/>
    <w:pPr>
      <w:ind w:firstLine="420"/>
      <w:jc w:val="left"/>
    </w:pPr>
    <w:rPr>
      <w:kern w:val="0"/>
      <w:sz w:val="20"/>
      <w:szCs w:val="20"/>
    </w:rPr>
  </w:style>
  <w:style w:type="paragraph" w:customStyle="1" w:styleId="148">
    <w:name w:val="UserStyle_1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149">
    <w:name w:val="Heading2"/>
    <w:basedOn w:val="1"/>
    <w:next w:val="1"/>
    <w:qFormat/>
    <w:uiPriority w:val="99"/>
    <w:pPr>
      <w:jc w:val="left"/>
    </w:pPr>
    <w:rPr>
      <w:kern w:val="0"/>
    </w:rPr>
  </w:style>
  <w:style w:type="paragraph" w:customStyle="1" w:styleId="150">
    <w:name w:val="UserStyle_65"/>
    <w:basedOn w:val="148"/>
    <w:qFormat/>
    <w:uiPriority w:val="99"/>
    <w:pPr>
      <w:ind w:firstLine="560" w:firstLineChars="200"/>
    </w:pPr>
  </w:style>
  <w:style w:type="paragraph" w:customStyle="1" w:styleId="151">
    <w:name w:val="WPSOffice手动目录 1"/>
    <w:qFormat/>
    <w:uiPriority w:val="0"/>
    <w:pPr>
      <w:ind w:leftChars="0"/>
    </w:pPr>
    <w:rPr>
      <w:rFonts w:ascii="Times New Roman" w:hAnsi="Times New Roman" w:eastAsia="宋体" w:cs="Times New Roman"/>
      <w:sz w:val="20"/>
      <w:szCs w:val="20"/>
    </w:rPr>
  </w:style>
  <w:style w:type="paragraph" w:customStyle="1" w:styleId="152">
    <w:name w:val="WPSOffice手动目录 2"/>
    <w:qFormat/>
    <w:uiPriority w:val="0"/>
    <w:pPr>
      <w:ind w:leftChars="200"/>
    </w:pPr>
    <w:rPr>
      <w:rFonts w:ascii="Times New Roman" w:hAnsi="Times New Roman" w:eastAsia="宋体" w:cs="Times New Roman"/>
      <w:sz w:val="20"/>
      <w:szCs w:val="20"/>
    </w:rPr>
  </w:style>
  <w:style w:type="paragraph" w:customStyle="1" w:styleId="15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E:\&#24037;&#31243;&#31867;&#39033;&#30446;&#30340;&#36164;&#26009;\&#38902;&#20851;&#24066;&#22269;&#38450;&#25945;&#32946;&#35757;&#32451;&#22522;&#22320;&#21319;&#32423;&#25913;&#36896;&#39033;&#30446;&#30417;&#29702;\Norma3"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Norma3</Template>
  <Company>1</Company>
  <Pages>68</Pages>
  <Words>45014</Words>
  <Characters>47784</Characters>
  <Lines>397</Lines>
  <Paragraphs>112</Paragraphs>
  <TotalTime>0</TotalTime>
  <ScaleCrop>false</ScaleCrop>
  <LinksUpToDate>false</LinksUpToDate>
  <CharactersWithSpaces>50811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2021-02-01T09:25:00Z</dcterms:created>
  <dc:creator>kingsons</dc:creator>
  <cp:lastModifiedBy>佩佩蒋</cp:lastModifiedBy>
  <cp:lastPrinted>2023-05-25T09:23:00Z</cp:lastPrinted>
  <dcterms:modified xsi:type="dcterms:W3CDTF">2023-05-30T08:08:33Z</dcterms:modified>
  <dc:title>广东省韶关学院第三期学生公寓第一、二组团工程施工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9D5A1B89586947F7A508BBC069D72196</vt:lpwstr>
  </property>
</Properties>
</file>