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6AD14E6">
      <w:pPr>
        <w:rPr>
          <w:rFonts w:hint="eastAsia" w:ascii="宋体" w:hAnsi="宋体" w:eastAsia="宋体" w:cs="宋体"/>
          <w:lang w:eastAsia="zh-CN"/>
        </w:rPr>
      </w:pPr>
      <w:bookmarkStart w:id="362" w:name="_GoBack"/>
      <w:r>
        <w:rPr>
          <w:rFonts w:hint="eastAsia" w:ascii="宋体" w:hAnsi="宋体" w:eastAsia="宋体" w:cs="宋体"/>
          <w:lang w:eastAsia="zh-CN"/>
        </w:rPr>
        <w:drawing>
          <wp:inline distT="0" distB="0" distL="114300" distR="114300">
            <wp:extent cx="6114415" cy="8651240"/>
            <wp:effectExtent l="0" t="0" r="635" b="16510"/>
            <wp:docPr id="6" name="图片 6" descr="招标文件封面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招标文件封面_01"/>
                    <pic:cNvPicPr>
                      <a:picLocks noChangeAspect="1"/>
                    </pic:cNvPicPr>
                  </pic:nvPicPr>
                  <pic:blipFill>
                    <a:blip r:embed="rId6"/>
                    <a:stretch>
                      <a:fillRect/>
                    </a:stretch>
                  </pic:blipFill>
                  <pic:spPr>
                    <a:xfrm>
                      <a:off x="0" y="0"/>
                      <a:ext cx="6114415" cy="8651240"/>
                    </a:xfrm>
                    <a:prstGeom prst="rect">
                      <a:avLst/>
                    </a:prstGeom>
                  </pic:spPr>
                </pic:pic>
              </a:graphicData>
            </a:graphic>
          </wp:inline>
        </w:drawing>
      </w:r>
      <w:bookmarkEnd w:id="362"/>
    </w:p>
    <w:p w14:paraId="0AB36F2C">
      <w:pPr>
        <w:rPr>
          <w:rFonts w:hint="eastAsia" w:ascii="宋体" w:hAnsi="宋体" w:eastAsia="宋体" w:cs="宋体"/>
        </w:rPr>
      </w:pPr>
    </w:p>
    <w:p w14:paraId="3EE40CB2">
      <w:pPr>
        <w:rPr>
          <w:rFonts w:hint="eastAsia" w:ascii="宋体" w:hAnsi="宋体" w:eastAsia="宋体" w:cs="宋体"/>
        </w:rPr>
      </w:pPr>
    </w:p>
    <w:p w14:paraId="563F8F74">
      <w:pPr>
        <w:spacing w:before="0" w:beforeLines="0" w:after="0" w:afterLines="0" w:line="360" w:lineRule="auto"/>
        <w:ind w:left="0" w:leftChars="0" w:right="0" w:rightChars="0" w:firstLine="0" w:firstLineChars="0"/>
        <w:jc w:val="center"/>
        <w:rPr>
          <w:rFonts w:hint="eastAsia" w:ascii="宋体" w:hAnsi="宋体" w:eastAsia="宋体" w:cs="宋体"/>
          <w:b/>
          <w:bCs/>
          <w:color w:val="auto"/>
          <w:sz w:val="30"/>
          <w:szCs w:val="30"/>
          <w:highlight w:val="none"/>
        </w:rPr>
        <w:sectPr>
          <w:headerReference r:id="rId3" w:type="default"/>
          <w:pgSz w:w="11906" w:h="16839"/>
          <w:pgMar w:top="1134" w:right="1134" w:bottom="1134" w:left="1134" w:header="850" w:footer="850" w:gutter="0"/>
          <w:pgBorders>
            <w:top w:val="none" w:sz="0" w:space="0"/>
            <w:left w:val="none" w:sz="0" w:space="0"/>
            <w:bottom w:val="none" w:sz="0" w:space="0"/>
            <w:right w:val="none" w:sz="0" w:space="0"/>
          </w:pgBorders>
          <w:pgNumType w:fmt="decimal"/>
          <w:cols w:space="0" w:num="1"/>
          <w:rtlGutter w:val="0"/>
          <w:docGrid w:linePitch="0" w:charSpace="0"/>
        </w:sectPr>
      </w:pPr>
    </w:p>
    <w:p w14:paraId="0B0E3D45">
      <w:pPr>
        <w:spacing w:before="0" w:beforeLines="0" w:after="0" w:afterLines="0" w:line="360" w:lineRule="auto"/>
        <w:ind w:left="0" w:leftChars="0" w:right="0" w:rightChars="0" w:firstLine="0" w:firstLineChars="0"/>
        <w:jc w:val="center"/>
        <w:rPr>
          <w:rFonts w:hint="eastAsia" w:ascii="宋体" w:hAnsi="宋体" w:eastAsia="宋体" w:cs="宋体"/>
          <w:b/>
          <w:bCs/>
          <w:color w:val="auto"/>
          <w:sz w:val="30"/>
          <w:szCs w:val="30"/>
          <w:highlight w:val="none"/>
        </w:rPr>
      </w:pPr>
      <w:r>
        <w:rPr>
          <w:rFonts w:hint="eastAsia" w:ascii="宋体" w:hAnsi="宋体" w:eastAsia="宋体" w:cs="宋体"/>
          <w:b/>
          <w:bCs/>
          <w:color w:val="auto"/>
          <w:sz w:val="30"/>
          <w:szCs w:val="30"/>
          <w:highlight w:val="none"/>
        </w:rPr>
        <w:t>目</w:t>
      </w:r>
      <w:r>
        <w:rPr>
          <w:rFonts w:hint="eastAsia" w:ascii="宋体" w:hAnsi="宋体" w:eastAsia="宋体" w:cs="宋体"/>
          <w:b/>
          <w:bCs/>
          <w:color w:val="auto"/>
          <w:sz w:val="30"/>
          <w:szCs w:val="30"/>
          <w:highlight w:val="none"/>
          <w:lang w:val="en-US" w:eastAsia="zh-CN"/>
        </w:rPr>
        <w:t xml:space="preserve">  </w:t>
      </w:r>
      <w:r>
        <w:rPr>
          <w:rFonts w:hint="eastAsia" w:ascii="宋体" w:hAnsi="宋体" w:eastAsia="宋体" w:cs="宋体"/>
          <w:b/>
          <w:bCs/>
          <w:color w:val="auto"/>
          <w:sz w:val="30"/>
          <w:szCs w:val="30"/>
          <w:highlight w:val="none"/>
        </w:rPr>
        <w:t>录</w:t>
      </w:r>
    </w:p>
    <w:p w14:paraId="10F49B93">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_Toc19261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第一章</w:t>
      </w:r>
      <w:r>
        <w:rPr>
          <w:rFonts w:hint="eastAsia" w:ascii="宋体" w:hAnsi="宋体" w:eastAsia="宋体" w:cs="宋体"/>
          <w:spacing w:val="-3"/>
          <w:sz w:val="24"/>
          <w:szCs w:val="24"/>
          <w:highlight w:val="none"/>
          <w:lang w:val="en-US" w:eastAsia="zh-CN"/>
        </w:rPr>
        <w:t xml:space="preserve">   </w:t>
      </w:r>
      <w:r>
        <w:rPr>
          <w:rFonts w:hint="eastAsia" w:ascii="宋体" w:hAnsi="宋体" w:eastAsia="宋体" w:cs="宋体"/>
          <w:bCs/>
          <w:spacing w:val="-3"/>
          <w:sz w:val="24"/>
          <w:szCs w:val="24"/>
          <w:highlight w:val="none"/>
        </w:rPr>
        <w:t>投标人须知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_Toc19261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0076475">
      <w:pPr>
        <w:pStyle w:val="19"/>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_Toc24466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第一节</w:t>
      </w:r>
      <w:r>
        <w:rPr>
          <w:rFonts w:hint="eastAsia" w:ascii="宋体" w:hAnsi="宋体" w:eastAsia="宋体" w:cs="宋体"/>
          <w:spacing w:val="-3"/>
          <w:sz w:val="24"/>
          <w:szCs w:val="24"/>
          <w:highlight w:val="none"/>
          <w:lang w:val="en-US" w:eastAsia="zh-CN"/>
        </w:rPr>
        <w:t xml:space="preserve">   </w:t>
      </w:r>
      <w:r>
        <w:rPr>
          <w:rFonts w:hint="eastAsia" w:ascii="宋体" w:hAnsi="宋体" w:eastAsia="宋体" w:cs="宋体"/>
          <w:bCs/>
          <w:spacing w:val="-3"/>
          <w:sz w:val="24"/>
          <w:szCs w:val="24"/>
          <w:highlight w:val="none"/>
        </w:rPr>
        <w:t>投标人须知前附表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_Toc24466 \h </w:instrText>
      </w:r>
      <w:r>
        <w:rPr>
          <w:rFonts w:hint="eastAsia" w:ascii="宋体" w:hAnsi="宋体" w:eastAsia="宋体" w:cs="宋体"/>
          <w:sz w:val="24"/>
          <w:szCs w:val="24"/>
        </w:rPr>
        <w:fldChar w:fldCharType="separate"/>
      </w:r>
      <w:r>
        <w:rPr>
          <w:rFonts w:hint="eastAsia" w:ascii="宋体" w:hAnsi="宋体" w:eastAsia="宋体" w:cs="宋体"/>
          <w:sz w:val="24"/>
          <w:szCs w:val="24"/>
        </w:rPr>
        <w:t>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BB77689">
      <w:pPr>
        <w:pStyle w:val="19"/>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_Toc18441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第二节</w:t>
      </w:r>
      <w:r>
        <w:rPr>
          <w:rFonts w:hint="eastAsia" w:ascii="宋体" w:hAnsi="宋体" w:eastAsia="宋体" w:cs="宋体"/>
          <w:bCs/>
          <w:spacing w:val="-3"/>
          <w:sz w:val="24"/>
          <w:szCs w:val="24"/>
          <w:highlight w:val="none"/>
          <w:lang w:val="en-US" w:eastAsia="zh-CN"/>
        </w:rPr>
        <w:t xml:space="preserve">   </w:t>
      </w:r>
      <w:r>
        <w:rPr>
          <w:rFonts w:hint="eastAsia" w:ascii="宋体" w:hAnsi="宋体" w:eastAsia="宋体" w:cs="宋体"/>
          <w:bCs/>
          <w:spacing w:val="-3"/>
          <w:sz w:val="24"/>
          <w:szCs w:val="24"/>
          <w:highlight w:val="none"/>
        </w:rPr>
        <w:t>重要事项时间地点一览表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_Toc18441 \h </w:instrText>
      </w:r>
      <w:r>
        <w:rPr>
          <w:rFonts w:hint="eastAsia" w:ascii="宋体" w:hAnsi="宋体" w:eastAsia="宋体" w:cs="宋体"/>
          <w:sz w:val="24"/>
          <w:szCs w:val="24"/>
        </w:rPr>
        <w:fldChar w:fldCharType="separate"/>
      </w:r>
      <w:r>
        <w:rPr>
          <w:rFonts w:hint="eastAsia" w:ascii="宋体" w:hAnsi="宋体" w:eastAsia="宋体" w:cs="宋体"/>
          <w:sz w:val="24"/>
          <w:szCs w:val="24"/>
        </w:rPr>
        <w:t>11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7FEA640">
      <w:pPr>
        <w:pStyle w:val="19"/>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_Toc14940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第三节</w:t>
      </w:r>
      <w:r>
        <w:rPr>
          <w:rFonts w:hint="eastAsia" w:ascii="宋体" w:hAnsi="宋体" w:eastAsia="宋体" w:cs="宋体"/>
          <w:bCs/>
          <w:spacing w:val="-3"/>
          <w:sz w:val="24"/>
          <w:szCs w:val="24"/>
          <w:highlight w:val="none"/>
          <w:lang w:val="en-US" w:eastAsia="zh-CN"/>
        </w:rPr>
        <w:t xml:space="preserve">   </w:t>
      </w:r>
      <w:r>
        <w:rPr>
          <w:rFonts w:hint="eastAsia" w:ascii="宋体" w:hAnsi="宋体" w:eastAsia="宋体" w:cs="宋体"/>
          <w:bCs/>
          <w:spacing w:val="-3"/>
          <w:sz w:val="24"/>
          <w:szCs w:val="24"/>
          <w:highlight w:val="none"/>
        </w:rPr>
        <w:t>投标人须知正文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_Toc14940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7564841">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_Toc28909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1</w:t>
      </w:r>
      <w:r>
        <w:rPr>
          <w:rFonts w:hint="eastAsia" w:ascii="宋体" w:hAnsi="宋体" w:eastAsia="宋体" w:cs="宋体"/>
          <w:bCs/>
          <w:spacing w:val="-23"/>
          <w:sz w:val="24"/>
          <w:szCs w:val="24"/>
          <w:highlight w:val="none"/>
          <w:lang w:eastAsia="zh-CN"/>
        </w:rPr>
        <w:t>.</w:t>
      </w:r>
      <w:r>
        <w:rPr>
          <w:rFonts w:hint="eastAsia" w:ascii="宋体" w:hAnsi="宋体" w:eastAsia="宋体" w:cs="宋体"/>
          <w:bCs/>
          <w:spacing w:val="-4"/>
          <w:sz w:val="24"/>
          <w:szCs w:val="24"/>
          <w:highlight w:val="none"/>
        </w:rPr>
        <w:t>项目概况、招标范围和标段划分、投标费用等</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_Toc28909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171937F">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_Toc11595 </w:instrText>
      </w:r>
      <w:r>
        <w:rPr>
          <w:rFonts w:hint="eastAsia" w:ascii="宋体" w:hAnsi="宋体" w:eastAsia="宋体" w:cs="宋体"/>
          <w:sz w:val="24"/>
          <w:szCs w:val="24"/>
          <w:highlight w:val="none"/>
        </w:rPr>
        <w:fldChar w:fldCharType="separate"/>
      </w:r>
      <w:r>
        <w:rPr>
          <w:rFonts w:hint="eastAsia" w:ascii="宋体" w:hAnsi="宋体" w:eastAsia="宋体" w:cs="宋体"/>
          <w:bCs/>
          <w:sz w:val="24"/>
          <w:szCs w:val="24"/>
          <w:highlight w:val="none"/>
        </w:rPr>
        <w:t>2</w:t>
      </w:r>
      <w:r>
        <w:rPr>
          <w:rFonts w:hint="eastAsia" w:ascii="宋体" w:hAnsi="宋体" w:eastAsia="宋体" w:cs="宋体"/>
          <w:bCs/>
          <w:sz w:val="24"/>
          <w:szCs w:val="24"/>
          <w:highlight w:val="none"/>
          <w:lang w:val="en-US" w:eastAsia="zh-CN"/>
        </w:rPr>
        <w:t>.</w:t>
      </w:r>
      <w:r>
        <w:rPr>
          <w:rFonts w:hint="eastAsia" w:ascii="宋体" w:hAnsi="宋体" w:eastAsia="宋体" w:cs="宋体"/>
          <w:bCs/>
          <w:sz w:val="24"/>
          <w:szCs w:val="24"/>
          <w:highlight w:val="none"/>
          <w:lang w:eastAsia="zh-CN"/>
        </w:rPr>
        <w:t>投标人</w:t>
      </w:r>
      <w:r>
        <w:rPr>
          <w:rFonts w:hint="eastAsia" w:ascii="宋体" w:hAnsi="宋体" w:eastAsia="宋体" w:cs="宋体"/>
          <w:bCs/>
          <w:sz w:val="24"/>
          <w:szCs w:val="24"/>
          <w:highlight w:val="none"/>
        </w:rPr>
        <w:t>资质要求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_Toc11595 \h </w:instrText>
      </w:r>
      <w:r>
        <w:rPr>
          <w:rFonts w:hint="eastAsia" w:ascii="宋体" w:hAnsi="宋体" w:eastAsia="宋体" w:cs="宋体"/>
          <w:sz w:val="24"/>
          <w:szCs w:val="24"/>
        </w:rPr>
        <w:fldChar w:fldCharType="separate"/>
      </w:r>
      <w:r>
        <w:rPr>
          <w:rFonts w:hint="eastAsia" w:ascii="宋体" w:hAnsi="宋体" w:eastAsia="宋体" w:cs="宋体"/>
          <w:sz w:val="24"/>
          <w:szCs w:val="24"/>
        </w:rPr>
        <w:t>12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CE32396">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_Toc32239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4"/>
          <w:sz w:val="24"/>
          <w:szCs w:val="24"/>
          <w:highlight w:val="none"/>
        </w:rPr>
        <w:t>3</w:t>
      </w:r>
      <w:r>
        <w:rPr>
          <w:rFonts w:hint="eastAsia" w:ascii="宋体" w:hAnsi="宋体" w:eastAsia="宋体" w:cs="宋体"/>
          <w:bCs/>
          <w:spacing w:val="-4"/>
          <w:sz w:val="24"/>
          <w:szCs w:val="24"/>
          <w:highlight w:val="none"/>
          <w:lang w:val="en-US" w:eastAsia="zh-CN"/>
        </w:rPr>
        <w:t>.</w:t>
      </w:r>
      <w:r>
        <w:rPr>
          <w:rFonts w:hint="eastAsia" w:ascii="宋体" w:hAnsi="宋体" w:eastAsia="宋体" w:cs="宋体"/>
          <w:bCs/>
          <w:spacing w:val="-4"/>
          <w:sz w:val="24"/>
          <w:szCs w:val="24"/>
          <w:highlight w:val="none"/>
        </w:rPr>
        <w:t>招标文件的获取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_Toc32239 \h </w:instrText>
      </w:r>
      <w:r>
        <w:rPr>
          <w:rFonts w:hint="eastAsia" w:ascii="宋体" w:hAnsi="宋体" w:eastAsia="宋体" w:cs="宋体"/>
          <w:sz w:val="24"/>
          <w:szCs w:val="24"/>
        </w:rPr>
        <w:fldChar w:fldCharType="separate"/>
      </w:r>
      <w:r>
        <w:rPr>
          <w:rFonts w:hint="eastAsia" w:ascii="宋体" w:hAnsi="宋体" w:eastAsia="宋体" w:cs="宋体"/>
          <w:sz w:val="24"/>
          <w:szCs w:val="24"/>
        </w:rPr>
        <w:t>14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F71FAF5">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_Toc18681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4</w:t>
      </w:r>
      <w:r>
        <w:rPr>
          <w:rFonts w:hint="eastAsia" w:ascii="宋体" w:hAnsi="宋体" w:eastAsia="宋体" w:cs="宋体"/>
          <w:bCs/>
          <w:spacing w:val="-27"/>
          <w:sz w:val="24"/>
          <w:szCs w:val="24"/>
          <w:highlight w:val="none"/>
          <w:lang w:eastAsia="zh-CN"/>
        </w:rPr>
        <w:t>.</w:t>
      </w:r>
      <w:r>
        <w:rPr>
          <w:rFonts w:hint="eastAsia" w:ascii="宋体" w:hAnsi="宋体" w:eastAsia="宋体" w:cs="宋体"/>
          <w:bCs/>
          <w:spacing w:val="-8"/>
          <w:sz w:val="24"/>
          <w:szCs w:val="24"/>
          <w:highlight w:val="none"/>
        </w:rPr>
        <w:t>工期要求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_Toc18681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B17242A">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_Toc1639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5</w:t>
      </w:r>
      <w:r>
        <w:rPr>
          <w:rFonts w:hint="eastAsia" w:ascii="宋体" w:hAnsi="宋体" w:eastAsia="宋体" w:cs="宋体"/>
          <w:bCs/>
          <w:spacing w:val="-20"/>
          <w:sz w:val="24"/>
          <w:szCs w:val="24"/>
          <w:highlight w:val="none"/>
          <w:lang w:eastAsia="zh-CN"/>
        </w:rPr>
        <w:t>.</w:t>
      </w:r>
      <w:r>
        <w:rPr>
          <w:rFonts w:hint="eastAsia" w:ascii="宋体" w:hAnsi="宋体" w:eastAsia="宋体" w:cs="宋体"/>
          <w:bCs/>
          <w:spacing w:val="-5"/>
          <w:sz w:val="24"/>
          <w:szCs w:val="24"/>
          <w:highlight w:val="none"/>
        </w:rPr>
        <w:t>质量标准和材料、机械要求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_Toc1639 \h </w:instrText>
      </w:r>
      <w:r>
        <w:rPr>
          <w:rFonts w:hint="eastAsia" w:ascii="宋体" w:hAnsi="宋体" w:eastAsia="宋体" w:cs="宋体"/>
          <w:sz w:val="24"/>
          <w:szCs w:val="24"/>
        </w:rPr>
        <w:fldChar w:fldCharType="separate"/>
      </w:r>
      <w:r>
        <w:rPr>
          <w:rFonts w:hint="eastAsia" w:ascii="宋体" w:hAnsi="宋体" w:eastAsia="宋体" w:cs="宋体"/>
          <w:sz w:val="24"/>
          <w:szCs w:val="24"/>
        </w:rPr>
        <w:t>16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D9CA461">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_Toc12840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6</w:t>
      </w:r>
      <w:r>
        <w:rPr>
          <w:rFonts w:hint="eastAsia" w:ascii="宋体" w:hAnsi="宋体" w:eastAsia="宋体" w:cs="宋体"/>
          <w:bCs/>
          <w:spacing w:val="-20"/>
          <w:sz w:val="24"/>
          <w:szCs w:val="24"/>
          <w:highlight w:val="none"/>
          <w:lang w:eastAsia="zh-CN"/>
        </w:rPr>
        <w:t>.</w:t>
      </w:r>
      <w:r>
        <w:rPr>
          <w:rFonts w:hint="eastAsia" w:ascii="宋体" w:hAnsi="宋体" w:eastAsia="宋体" w:cs="宋体"/>
          <w:bCs/>
          <w:spacing w:val="-6"/>
          <w:sz w:val="24"/>
          <w:szCs w:val="24"/>
          <w:highlight w:val="none"/>
        </w:rPr>
        <w:t>施工条件及现场踏勘</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_Toc12840 \h </w:instrText>
      </w:r>
      <w:r>
        <w:rPr>
          <w:rFonts w:hint="eastAsia" w:ascii="宋体" w:hAnsi="宋体" w:eastAsia="宋体" w:cs="宋体"/>
          <w:sz w:val="24"/>
          <w:szCs w:val="24"/>
        </w:rPr>
        <w:fldChar w:fldCharType="separate"/>
      </w:r>
      <w:r>
        <w:rPr>
          <w:rFonts w:hint="eastAsia" w:ascii="宋体" w:hAnsi="宋体" w:eastAsia="宋体" w:cs="宋体"/>
          <w:sz w:val="24"/>
          <w:szCs w:val="24"/>
        </w:rPr>
        <w:t>17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8F06365">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_Toc947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5"/>
          <w:sz w:val="24"/>
          <w:szCs w:val="24"/>
          <w:highlight w:val="none"/>
        </w:rPr>
        <w:t>8</w:t>
      </w:r>
      <w:r>
        <w:rPr>
          <w:rFonts w:hint="eastAsia" w:ascii="宋体" w:hAnsi="宋体" w:eastAsia="宋体" w:cs="宋体"/>
          <w:bCs/>
          <w:spacing w:val="-23"/>
          <w:sz w:val="24"/>
          <w:szCs w:val="24"/>
          <w:highlight w:val="none"/>
          <w:lang w:eastAsia="zh-CN"/>
        </w:rPr>
        <w:t>.</w:t>
      </w:r>
      <w:r>
        <w:rPr>
          <w:rFonts w:hint="eastAsia" w:ascii="宋体" w:hAnsi="宋体" w:eastAsia="宋体" w:cs="宋体"/>
          <w:bCs/>
          <w:spacing w:val="-1"/>
          <w:sz w:val="24"/>
          <w:szCs w:val="24"/>
          <w:highlight w:val="none"/>
        </w:rPr>
        <w:t>最高投标限价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_Toc947 \h </w:instrText>
      </w:r>
      <w:r>
        <w:rPr>
          <w:rFonts w:hint="eastAsia" w:ascii="宋体" w:hAnsi="宋体" w:eastAsia="宋体" w:cs="宋体"/>
          <w:sz w:val="24"/>
          <w:szCs w:val="24"/>
        </w:rPr>
        <w:fldChar w:fldCharType="separate"/>
      </w:r>
      <w:r>
        <w:rPr>
          <w:rFonts w:hint="eastAsia" w:ascii="宋体" w:hAnsi="宋体" w:eastAsia="宋体" w:cs="宋体"/>
          <w:sz w:val="24"/>
          <w:szCs w:val="24"/>
        </w:rPr>
        <w:t>18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6AAFE57">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_Toc19930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9</w:t>
      </w:r>
      <w:r>
        <w:rPr>
          <w:rFonts w:hint="eastAsia" w:ascii="宋体" w:hAnsi="宋体" w:eastAsia="宋体" w:cs="宋体"/>
          <w:bCs/>
          <w:spacing w:val="-29"/>
          <w:sz w:val="24"/>
          <w:szCs w:val="24"/>
          <w:highlight w:val="none"/>
          <w:lang w:eastAsia="zh-CN"/>
        </w:rPr>
        <w:t>.</w:t>
      </w:r>
      <w:r>
        <w:rPr>
          <w:rFonts w:hint="eastAsia" w:ascii="宋体" w:hAnsi="宋体" w:eastAsia="宋体" w:cs="宋体"/>
          <w:bCs/>
          <w:spacing w:val="-8"/>
          <w:sz w:val="24"/>
          <w:szCs w:val="24"/>
          <w:highlight w:val="none"/>
        </w:rPr>
        <w:t>投标报价</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_Toc19930 \h </w:instrText>
      </w:r>
      <w:r>
        <w:rPr>
          <w:rFonts w:hint="eastAsia" w:ascii="宋体" w:hAnsi="宋体" w:eastAsia="宋体" w:cs="宋体"/>
          <w:sz w:val="24"/>
          <w:szCs w:val="24"/>
        </w:rPr>
        <w:fldChar w:fldCharType="separate"/>
      </w:r>
      <w:r>
        <w:rPr>
          <w:rFonts w:hint="eastAsia" w:ascii="宋体" w:hAnsi="宋体" w:eastAsia="宋体" w:cs="宋体"/>
          <w:sz w:val="24"/>
          <w:szCs w:val="24"/>
        </w:rPr>
        <w:t>19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0726211">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_Toc15232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10</w:t>
      </w:r>
      <w:r>
        <w:rPr>
          <w:rFonts w:hint="eastAsia" w:ascii="宋体" w:hAnsi="宋体" w:eastAsia="宋体" w:cs="宋体"/>
          <w:bCs/>
          <w:spacing w:val="-21"/>
          <w:sz w:val="24"/>
          <w:szCs w:val="24"/>
          <w:highlight w:val="none"/>
          <w:lang w:eastAsia="zh-CN"/>
        </w:rPr>
        <w:t>.</w:t>
      </w:r>
      <w:r>
        <w:rPr>
          <w:rFonts w:hint="eastAsia" w:ascii="宋体" w:hAnsi="宋体" w:eastAsia="宋体" w:cs="宋体"/>
          <w:bCs/>
          <w:spacing w:val="-6"/>
          <w:sz w:val="24"/>
          <w:szCs w:val="24"/>
          <w:highlight w:val="none"/>
        </w:rPr>
        <w:t>投标文件的编制要求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_Toc15232 \h </w:instrText>
      </w:r>
      <w:r>
        <w:rPr>
          <w:rFonts w:hint="eastAsia" w:ascii="宋体" w:hAnsi="宋体" w:eastAsia="宋体" w:cs="宋体"/>
          <w:sz w:val="24"/>
          <w:szCs w:val="24"/>
        </w:rPr>
        <w:fldChar w:fldCharType="separate"/>
      </w:r>
      <w:r>
        <w:rPr>
          <w:rFonts w:hint="eastAsia" w:ascii="宋体" w:hAnsi="宋体" w:eastAsia="宋体" w:cs="宋体"/>
          <w:sz w:val="24"/>
          <w:szCs w:val="24"/>
        </w:rPr>
        <w:t>21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2B65EEB">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_Toc13551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rPr>
        <w:t>11.电子投标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_Toc13551 \h </w:instrText>
      </w:r>
      <w:r>
        <w:rPr>
          <w:rFonts w:hint="eastAsia" w:ascii="宋体" w:hAnsi="宋体" w:eastAsia="宋体" w:cs="宋体"/>
          <w:sz w:val="24"/>
          <w:szCs w:val="24"/>
        </w:rPr>
        <w:fldChar w:fldCharType="separate"/>
      </w:r>
      <w:r>
        <w:rPr>
          <w:rFonts w:hint="eastAsia" w:ascii="宋体" w:hAnsi="宋体" w:eastAsia="宋体" w:cs="宋体"/>
          <w:sz w:val="24"/>
          <w:szCs w:val="24"/>
        </w:rPr>
        <w:t>24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ECF40DD">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_Toc19819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9"/>
          <w:sz w:val="24"/>
          <w:szCs w:val="24"/>
          <w:highlight w:val="none"/>
          <w:lang w:val="en-US" w:eastAsia="zh-CN"/>
        </w:rPr>
        <w:t>12.</w:t>
      </w:r>
      <w:r>
        <w:rPr>
          <w:rFonts w:hint="eastAsia" w:ascii="宋体" w:hAnsi="宋体" w:eastAsia="宋体" w:cs="宋体"/>
          <w:bCs/>
          <w:spacing w:val="-9"/>
          <w:sz w:val="24"/>
          <w:szCs w:val="24"/>
          <w:highlight w:val="none"/>
        </w:rPr>
        <w:t>电子投标及投标解密失败及突发情况的补救方案</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_Toc19819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7718D1C">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_Toc20940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13</w:t>
      </w:r>
      <w:r>
        <w:rPr>
          <w:rFonts w:hint="eastAsia" w:ascii="宋体" w:hAnsi="宋体" w:eastAsia="宋体" w:cs="宋体"/>
          <w:bCs/>
          <w:spacing w:val="-23"/>
          <w:sz w:val="24"/>
          <w:szCs w:val="24"/>
          <w:highlight w:val="none"/>
          <w:lang w:eastAsia="zh-CN"/>
        </w:rPr>
        <w:t>.</w:t>
      </w:r>
      <w:r>
        <w:rPr>
          <w:rFonts w:hint="eastAsia" w:ascii="宋体" w:hAnsi="宋体" w:eastAsia="宋体" w:cs="宋体"/>
          <w:bCs/>
          <w:spacing w:val="-7"/>
          <w:sz w:val="24"/>
          <w:szCs w:val="24"/>
          <w:highlight w:val="none"/>
        </w:rPr>
        <w:t>投标文件的提交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_Toc20940 \h </w:instrText>
      </w:r>
      <w:r>
        <w:rPr>
          <w:rFonts w:hint="eastAsia" w:ascii="宋体" w:hAnsi="宋体" w:eastAsia="宋体" w:cs="宋体"/>
          <w:sz w:val="24"/>
          <w:szCs w:val="24"/>
        </w:rPr>
        <w:fldChar w:fldCharType="separate"/>
      </w:r>
      <w:r>
        <w:rPr>
          <w:rFonts w:hint="eastAsia" w:ascii="宋体" w:hAnsi="宋体" w:eastAsia="宋体" w:cs="宋体"/>
          <w:sz w:val="24"/>
          <w:szCs w:val="24"/>
        </w:rPr>
        <w:t>25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71ED5A5">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_Toc1693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14</w:t>
      </w:r>
      <w:r>
        <w:rPr>
          <w:rFonts w:hint="eastAsia" w:ascii="宋体" w:hAnsi="宋体" w:eastAsia="宋体" w:cs="宋体"/>
          <w:bCs/>
          <w:spacing w:val="-28"/>
          <w:sz w:val="24"/>
          <w:szCs w:val="24"/>
          <w:highlight w:val="none"/>
          <w:lang w:eastAsia="zh-CN"/>
        </w:rPr>
        <w:t>.</w:t>
      </w:r>
      <w:r>
        <w:rPr>
          <w:rFonts w:hint="eastAsia" w:ascii="宋体" w:hAnsi="宋体" w:eastAsia="宋体" w:cs="宋体"/>
          <w:bCs/>
          <w:spacing w:val="-11"/>
          <w:sz w:val="24"/>
          <w:szCs w:val="24"/>
          <w:highlight w:val="none"/>
        </w:rPr>
        <w:t>开标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_Toc1693 \h </w:instrText>
      </w:r>
      <w:r>
        <w:rPr>
          <w:rFonts w:hint="eastAsia" w:ascii="宋体" w:hAnsi="宋体" w:eastAsia="宋体" w:cs="宋体"/>
          <w:sz w:val="24"/>
          <w:szCs w:val="24"/>
        </w:rPr>
        <w:fldChar w:fldCharType="separate"/>
      </w:r>
      <w:r>
        <w:rPr>
          <w:rFonts w:hint="eastAsia" w:ascii="宋体" w:hAnsi="宋体" w:eastAsia="宋体" w:cs="宋体"/>
          <w:sz w:val="24"/>
          <w:szCs w:val="24"/>
        </w:rPr>
        <w:t>26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CF923C3">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_Toc24574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15</w:t>
      </w:r>
      <w:r>
        <w:rPr>
          <w:rFonts w:hint="eastAsia" w:ascii="宋体" w:hAnsi="宋体" w:eastAsia="宋体" w:cs="宋体"/>
          <w:bCs/>
          <w:spacing w:val="-11"/>
          <w:sz w:val="24"/>
          <w:szCs w:val="24"/>
          <w:highlight w:val="none"/>
          <w:lang w:val="en-US" w:eastAsia="zh-CN"/>
        </w:rPr>
        <w:t>.</w:t>
      </w:r>
      <w:r>
        <w:rPr>
          <w:rFonts w:hint="eastAsia" w:ascii="宋体" w:hAnsi="宋体" w:eastAsia="宋体" w:cs="宋体"/>
          <w:bCs/>
          <w:spacing w:val="-11"/>
          <w:sz w:val="24"/>
          <w:szCs w:val="24"/>
          <w:highlight w:val="none"/>
        </w:rPr>
        <w:t>评标</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_Toc24574 \h </w:instrText>
      </w:r>
      <w:r>
        <w:rPr>
          <w:rFonts w:hint="eastAsia" w:ascii="宋体" w:hAnsi="宋体" w:eastAsia="宋体" w:cs="宋体"/>
          <w:sz w:val="24"/>
          <w:szCs w:val="24"/>
        </w:rPr>
        <w:fldChar w:fldCharType="separate"/>
      </w:r>
      <w:r>
        <w:rPr>
          <w:rFonts w:hint="eastAsia" w:ascii="宋体" w:hAnsi="宋体" w:eastAsia="宋体" w:cs="宋体"/>
          <w:sz w:val="24"/>
          <w:szCs w:val="24"/>
        </w:rPr>
        <w:t>27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299DB48">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_Toc29518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16</w:t>
      </w:r>
      <w:r>
        <w:rPr>
          <w:rFonts w:hint="eastAsia" w:ascii="宋体" w:hAnsi="宋体" w:eastAsia="宋体" w:cs="宋体"/>
          <w:bCs/>
          <w:spacing w:val="-20"/>
          <w:sz w:val="24"/>
          <w:szCs w:val="24"/>
          <w:highlight w:val="none"/>
          <w:lang w:eastAsia="zh-CN"/>
        </w:rPr>
        <w:t>.</w:t>
      </w:r>
      <w:r>
        <w:rPr>
          <w:rFonts w:hint="eastAsia" w:ascii="宋体" w:hAnsi="宋体" w:eastAsia="宋体" w:cs="宋体"/>
          <w:bCs/>
          <w:spacing w:val="-7"/>
          <w:sz w:val="24"/>
          <w:szCs w:val="24"/>
          <w:highlight w:val="none"/>
        </w:rPr>
        <w:t>中标候选人公示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_Toc29518 \h </w:instrText>
      </w:r>
      <w:r>
        <w:rPr>
          <w:rFonts w:hint="eastAsia" w:ascii="宋体" w:hAnsi="宋体" w:eastAsia="宋体" w:cs="宋体"/>
          <w:sz w:val="24"/>
          <w:szCs w:val="24"/>
        </w:rPr>
        <w:fldChar w:fldCharType="separate"/>
      </w:r>
      <w:r>
        <w:rPr>
          <w:rFonts w:hint="eastAsia" w:ascii="宋体" w:hAnsi="宋体" w:eastAsia="宋体" w:cs="宋体"/>
          <w:sz w:val="24"/>
          <w:szCs w:val="24"/>
        </w:rPr>
        <w:t>39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33CDDE0">
      <w:pPr>
        <w:pStyle w:val="19"/>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_Toc1593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第四节</w:t>
      </w:r>
      <w:r>
        <w:rPr>
          <w:rFonts w:hint="eastAsia" w:ascii="宋体" w:hAnsi="宋体" w:eastAsia="宋体" w:cs="宋体"/>
          <w:bCs/>
          <w:spacing w:val="-3"/>
          <w:sz w:val="24"/>
          <w:szCs w:val="24"/>
          <w:highlight w:val="none"/>
          <w:lang w:val="en-US" w:eastAsia="zh-CN"/>
        </w:rPr>
        <w:t xml:space="preserve">   </w:t>
      </w:r>
      <w:r>
        <w:rPr>
          <w:rFonts w:hint="eastAsia" w:ascii="宋体" w:hAnsi="宋体" w:eastAsia="宋体" w:cs="宋体"/>
          <w:bCs/>
          <w:spacing w:val="-3"/>
          <w:sz w:val="24"/>
          <w:szCs w:val="24"/>
          <w:highlight w:val="none"/>
        </w:rPr>
        <w:t>否决投标条件</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_Toc1593 \h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4C155EB">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_Toc9553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8"/>
          <w:sz w:val="24"/>
          <w:szCs w:val="24"/>
          <w:highlight w:val="none"/>
        </w:rPr>
        <w:t>1</w:t>
      </w:r>
      <w:r>
        <w:rPr>
          <w:rFonts w:hint="eastAsia" w:ascii="宋体" w:hAnsi="宋体" w:eastAsia="宋体" w:cs="宋体"/>
          <w:bCs/>
          <w:spacing w:val="-26"/>
          <w:sz w:val="24"/>
          <w:szCs w:val="24"/>
          <w:highlight w:val="none"/>
          <w:lang w:eastAsia="zh-CN"/>
        </w:rPr>
        <w:t>.</w:t>
      </w:r>
      <w:r>
        <w:rPr>
          <w:rFonts w:hint="eastAsia" w:ascii="宋体" w:hAnsi="宋体" w:eastAsia="宋体" w:cs="宋体"/>
          <w:bCs/>
          <w:spacing w:val="-8"/>
          <w:sz w:val="24"/>
          <w:szCs w:val="24"/>
          <w:highlight w:val="none"/>
        </w:rPr>
        <w:t>资格评审环节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_Toc9553 \h </w:instrText>
      </w:r>
      <w:r>
        <w:rPr>
          <w:rFonts w:hint="eastAsia" w:ascii="宋体" w:hAnsi="宋体" w:eastAsia="宋体" w:cs="宋体"/>
          <w:sz w:val="24"/>
          <w:szCs w:val="24"/>
        </w:rPr>
        <w:fldChar w:fldCharType="separate"/>
      </w:r>
      <w:r>
        <w:rPr>
          <w:rFonts w:hint="eastAsia" w:ascii="宋体" w:hAnsi="宋体" w:eastAsia="宋体" w:cs="宋体"/>
          <w:sz w:val="24"/>
          <w:szCs w:val="24"/>
        </w:rPr>
        <w:t>41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42F5032">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_Toc17711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7"/>
          <w:sz w:val="24"/>
          <w:szCs w:val="24"/>
          <w:highlight w:val="none"/>
        </w:rPr>
        <w:t>2</w:t>
      </w:r>
      <w:r>
        <w:rPr>
          <w:rFonts w:hint="eastAsia" w:ascii="宋体" w:hAnsi="宋体" w:eastAsia="宋体" w:cs="宋体"/>
          <w:bCs/>
          <w:spacing w:val="-24"/>
          <w:sz w:val="24"/>
          <w:szCs w:val="24"/>
          <w:highlight w:val="none"/>
          <w:lang w:eastAsia="zh-CN"/>
        </w:rPr>
        <w:t>.</w:t>
      </w:r>
      <w:r>
        <w:rPr>
          <w:rFonts w:hint="eastAsia" w:ascii="宋体" w:hAnsi="宋体" w:eastAsia="宋体" w:cs="宋体"/>
          <w:bCs/>
          <w:spacing w:val="-7"/>
          <w:sz w:val="24"/>
          <w:szCs w:val="24"/>
          <w:highlight w:val="none"/>
        </w:rPr>
        <w:t>形式评审环节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_Toc17711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11BF1F9">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_Toc8217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6"/>
          <w:sz w:val="24"/>
          <w:szCs w:val="24"/>
          <w:highlight w:val="none"/>
        </w:rPr>
        <w:t>3</w:t>
      </w:r>
      <w:r>
        <w:rPr>
          <w:rFonts w:hint="eastAsia" w:ascii="宋体" w:hAnsi="宋体" w:eastAsia="宋体" w:cs="宋体"/>
          <w:bCs/>
          <w:spacing w:val="-24"/>
          <w:sz w:val="24"/>
          <w:szCs w:val="24"/>
          <w:highlight w:val="none"/>
          <w:lang w:eastAsia="zh-CN"/>
        </w:rPr>
        <w:t>.</w:t>
      </w:r>
      <w:r>
        <w:rPr>
          <w:rFonts w:hint="eastAsia" w:ascii="宋体" w:hAnsi="宋体" w:eastAsia="宋体" w:cs="宋体"/>
          <w:bCs/>
          <w:spacing w:val="-6"/>
          <w:sz w:val="24"/>
          <w:szCs w:val="24"/>
          <w:highlight w:val="none"/>
        </w:rPr>
        <w:t>响应性评审环节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_Toc8217 \h </w:instrText>
      </w:r>
      <w:r>
        <w:rPr>
          <w:rFonts w:hint="eastAsia" w:ascii="宋体" w:hAnsi="宋体" w:eastAsia="宋体" w:cs="宋体"/>
          <w:sz w:val="24"/>
          <w:szCs w:val="24"/>
        </w:rPr>
        <w:fldChar w:fldCharType="separate"/>
      </w:r>
      <w:r>
        <w:rPr>
          <w:rFonts w:hint="eastAsia" w:ascii="宋体" w:hAnsi="宋体" w:eastAsia="宋体" w:cs="宋体"/>
          <w:sz w:val="24"/>
          <w:szCs w:val="24"/>
        </w:rPr>
        <w:t>42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7100AA8">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_Toc2557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4</w:t>
      </w:r>
      <w:r>
        <w:rPr>
          <w:rFonts w:hint="eastAsia" w:ascii="宋体" w:hAnsi="宋体" w:eastAsia="宋体" w:cs="宋体"/>
          <w:bCs/>
          <w:spacing w:val="-29"/>
          <w:sz w:val="24"/>
          <w:szCs w:val="24"/>
          <w:highlight w:val="none"/>
          <w:lang w:eastAsia="zh-CN"/>
        </w:rPr>
        <w:t>.</w:t>
      </w:r>
      <w:r>
        <w:rPr>
          <w:rFonts w:hint="eastAsia" w:ascii="宋体" w:hAnsi="宋体" w:eastAsia="宋体" w:cs="宋体"/>
          <w:bCs/>
          <w:spacing w:val="-11"/>
          <w:sz w:val="24"/>
          <w:szCs w:val="24"/>
          <w:highlight w:val="none"/>
        </w:rPr>
        <w:t>其他</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_Toc2557 \h </w:instrText>
      </w:r>
      <w:r>
        <w:rPr>
          <w:rFonts w:hint="eastAsia" w:ascii="宋体" w:hAnsi="宋体" w:eastAsia="宋体" w:cs="宋体"/>
          <w:sz w:val="24"/>
          <w:szCs w:val="24"/>
        </w:rPr>
        <w:fldChar w:fldCharType="separate"/>
      </w:r>
      <w:r>
        <w:rPr>
          <w:rFonts w:hint="eastAsia" w:ascii="宋体" w:hAnsi="宋体" w:eastAsia="宋体" w:cs="宋体"/>
          <w:sz w:val="24"/>
          <w:szCs w:val="24"/>
        </w:rPr>
        <w:t>43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799AFBE">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_Toc7642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第二章</w:t>
      </w:r>
      <w:r>
        <w:rPr>
          <w:rFonts w:hint="eastAsia" w:ascii="宋体" w:hAnsi="宋体" w:eastAsia="宋体" w:cs="宋体"/>
          <w:bCs/>
          <w:spacing w:val="-3"/>
          <w:sz w:val="24"/>
          <w:szCs w:val="24"/>
          <w:highlight w:val="none"/>
          <w:lang w:val="en-US" w:eastAsia="zh-CN"/>
        </w:rPr>
        <w:t xml:space="preserve">   </w:t>
      </w:r>
      <w:r>
        <w:rPr>
          <w:rFonts w:hint="eastAsia" w:ascii="宋体" w:hAnsi="宋体" w:eastAsia="宋体" w:cs="宋体"/>
          <w:bCs/>
          <w:spacing w:val="-3"/>
          <w:sz w:val="24"/>
          <w:szCs w:val="24"/>
          <w:highlight w:val="none"/>
        </w:rPr>
        <w:t>中标人须知</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_Toc7642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2F343AC">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_Toc26962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中标通知书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_Toc26962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D32EFC6">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_Toc16049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2</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中标结果公示</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_Toc16049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EDE4010">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_Toc28790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3</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履约保证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_Toc28790 \h </w:instrText>
      </w:r>
      <w:r>
        <w:rPr>
          <w:rFonts w:hint="eastAsia" w:ascii="宋体" w:hAnsi="宋体" w:eastAsia="宋体" w:cs="宋体"/>
          <w:sz w:val="24"/>
          <w:szCs w:val="24"/>
        </w:rPr>
        <w:fldChar w:fldCharType="separate"/>
      </w:r>
      <w:r>
        <w:rPr>
          <w:rFonts w:hint="eastAsia" w:ascii="宋体" w:hAnsi="宋体" w:eastAsia="宋体" w:cs="宋体"/>
          <w:sz w:val="24"/>
          <w:szCs w:val="24"/>
        </w:rPr>
        <w:t>44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94D82EF">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_Toc31215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4</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合同订立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_Toc31215 \h </w:instrText>
      </w:r>
      <w:r>
        <w:rPr>
          <w:rFonts w:hint="eastAsia" w:ascii="宋体" w:hAnsi="宋体" w:eastAsia="宋体" w:cs="宋体"/>
          <w:sz w:val="24"/>
          <w:szCs w:val="24"/>
        </w:rPr>
        <w:fldChar w:fldCharType="separate"/>
      </w:r>
      <w:r>
        <w:rPr>
          <w:rFonts w:hint="eastAsia" w:ascii="宋体" w:hAnsi="宋体" w:eastAsia="宋体" w:cs="宋体"/>
          <w:sz w:val="24"/>
          <w:szCs w:val="24"/>
        </w:rPr>
        <w:t>45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D119C74">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_Toc9178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5</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放弃中标的处理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_Toc9178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264CD67">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_Toc11017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6.</w:t>
      </w:r>
      <w:r>
        <w:rPr>
          <w:rFonts w:hint="eastAsia" w:ascii="宋体" w:hAnsi="宋体" w:eastAsia="宋体" w:cs="宋体"/>
          <w:bCs/>
          <w:spacing w:val="-11"/>
          <w:sz w:val="24"/>
          <w:szCs w:val="24"/>
          <w:highlight w:val="none"/>
        </w:rPr>
        <w:t>中标项目纳入百千万工程，要按照市百千万工程关于配建定比例公益项目的政策落实相关工作，中标后在签订施工合同时明确捐建比例</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_Toc11017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7A83641">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_Toc16090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7.违约责任条款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_Toc16090 \h </w:instrText>
      </w:r>
      <w:r>
        <w:rPr>
          <w:rFonts w:hint="eastAsia" w:ascii="宋体" w:hAnsi="宋体" w:eastAsia="宋体" w:cs="宋体"/>
          <w:sz w:val="24"/>
          <w:szCs w:val="24"/>
        </w:rPr>
        <w:fldChar w:fldCharType="separate"/>
      </w:r>
      <w:r>
        <w:rPr>
          <w:rFonts w:hint="eastAsia" w:ascii="宋体" w:hAnsi="宋体" w:eastAsia="宋体" w:cs="宋体"/>
          <w:sz w:val="24"/>
          <w:szCs w:val="24"/>
        </w:rPr>
        <w:t>46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90A80B7">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_Toc7865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3"/>
          <w:sz w:val="24"/>
          <w:szCs w:val="24"/>
          <w:highlight w:val="none"/>
        </w:rPr>
        <w:t>第三章</w:t>
      </w:r>
      <w:r>
        <w:rPr>
          <w:rFonts w:hint="eastAsia" w:ascii="宋体" w:hAnsi="宋体" w:eastAsia="宋体" w:cs="宋体"/>
          <w:spacing w:val="-3"/>
          <w:sz w:val="24"/>
          <w:szCs w:val="24"/>
          <w:highlight w:val="none"/>
          <w:lang w:val="en-US" w:eastAsia="zh-CN"/>
        </w:rPr>
        <w:t xml:space="preserve">   </w:t>
      </w:r>
      <w:r>
        <w:rPr>
          <w:rFonts w:hint="eastAsia" w:ascii="宋体" w:hAnsi="宋体" w:eastAsia="宋体" w:cs="宋体"/>
          <w:bCs/>
          <w:spacing w:val="-3"/>
          <w:sz w:val="24"/>
          <w:szCs w:val="24"/>
          <w:highlight w:val="none"/>
        </w:rPr>
        <w:t>拟签订合同的主要条款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_Toc7865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80F3755">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_Toc9942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1</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工程承包方式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_Toc9942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65277C0">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_Toc27206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2</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工程结算原则</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_Toc27206 \h </w:instrText>
      </w:r>
      <w:r>
        <w:rPr>
          <w:rFonts w:hint="eastAsia" w:ascii="宋体" w:hAnsi="宋体" w:eastAsia="宋体" w:cs="宋体"/>
          <w:sz w:val="24"/>
          <w:szCs w:val="24"/>
        </w:rPr>
        <w:fldChar w:fldCharType="separate"/>
      </w:r>
      <w:r>
        <w:rPr>
          <w:rFonts w:hint="eastAsia" w:ascii="宋体" w:hAnsi="宋体" w:eastAsia="宋体" w:cs="宋体"/>
          <w:sz w:val="24"/>
          <w:szCs w:val="24"/>
        </w:rPr>
        <w:t>48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7EEFCBE">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_Toc21454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3. 工程付款办法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_Toc21454 \h </w:instrText>
      </w:r>
      <w:r>
        <w:rPr>
          <w:rFonts w:hint="eastAsia" w:ascii="宋体" w:hAnsi="宋体" w:eastAsia="宋体" w:cs="宋体"/>
          <w:sz w:val="24"/>
          <w:szCs w:val="24"/>
        </w:rPr>
        <w:fldChar w:fldCharType="separate"/>
      </w:r>
      <w:r>
        <w:rPr>
          <w:rFonts w:hint="eastAsia" w:ascii="宋体" w:hAnsi="宋体" w:eastAsia="宋体" w:cs="宋体"/>
          <w:sz w:val="24"/>
          <w:szCs w:val="24"/>
        </w:rPr>
        <w:t>54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80EACE7">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_Toc26143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rPr>
        <w:t>4</w:t>
      </w:r>
      <w:r>
        <w:rPr>
          <w:rFonts w:hint="eastAsia" w:ascii="宋体" w:hAnsi="宋体" w:eastAsia="宋体" w:cs="宋体"/>
          <w:bCs/>
          <w:spacing w:val="-11"/>
          <w:sz w:val="24"/>
          <w:szCs w:val="24"/>
          <w:highlight w:val="none"/>
          <w:lang w:eastAsia="zh-CN"/>
        </w:rPr>
        <w:t>.</w:t>
      </w:r>
      <w:r>
        <w:rPr>
          <w:rFonts w:hint="eastAsia" w:ascii="宋体" w:hAnsi="宋体" w:eastAsia="宋体" w:cs="宋体"/>
          <w:bCs/>
          <w:spacing w:val="-11"/>
          <w:sz w:val="24"/>
          <w:szCs w:val="24"/>
          <w:highlight w:val="none"/>
        </w:rPr>
        <w:t>其他专用合同条款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_Toc26143 \h </w:instrText>
      </w:r>
      <w:r>
        <w:rPr>
          <w:rFonts w:hint="eastAsia" w:ascii="宋体" w:hAnsi="宋体" w:eastAsia="宋体" w:cs="宋体"/>
          <w:sz w:val="24"/>
          <w:szCs w:val="24"/>
        </w:rPr>
        <w:fldChar w:fldCharType="separate"/>
      </w:r>
      <w:r>
        <w:rPr>
          <w:rFonts w:hint="eastAsia" w:ascii="宋体" w:hAnsi="宋体" w:eastAsia="宋体" w:cs="宋体"/>
          <w:sz w:val="24"/>
          <w:szCs w:val="24"/>
        </w:rPr>
        <w:t>56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435D3D3">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_Toc17187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5.</w:t>
      </w:r>
      <w:r>
        <w:rPr>
          <w:rFonts w:hint="eastAsia" w:ascii="宋体" w:hAnsi="宋体" w:eastAsia="宋体" w:cs="宋体"/>
          <w:bCs/>
          <w:spacing w:val="-11"/>
          <w:sz w:val="24"/>
          <w:szCs w:val="24"/>
          <w:highlight w:val="none"/>
        </w:rPr>
        <w:t>工期进度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_Toc17187 \h </w:instrText>
      </w:r>
      <w:r>
        <w:rPr>
          <w:rFonts w:hint="eastAsia" w:ascii="宋体" w:hAnsi="宋体" w:eastAsia="宋体" w:cs="宋体"/>
          <w:sz w:val="24"/>
          <w:szCs w:val="24"/>
        </w:rPr>
        <w:fldChar w:fldCharType="separate"/>
      </w:r>
      <w:r>
        <w:rPr>
          <w:rFonts w:hint="eastAsia" w:ascii="宋体" w:hAnsi="宋体" w:eastAsia="宋体" w:cs="宋体"/>
          <w:sz w:val="24"/>
          <w:szCs w:val="24"/>
        </w:rPr>
        <w:t>58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D5FE806">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_Toc11809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6.项目管理机构</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_Toc11809 \h </w:instrText>
      </w:r>
      <w:r>
        <w:rPr>
          <w:rFonts w:hint="eastAsia" w:ascii="宋体" w:hAnsi="宋体" w:eastAsia="宋体" w:cs="宋体"/>
          <w:sz w:val="24"/>
          <w:szCs w:val="24"/>
        </w:rPr>
        <w:fldChar w:fldCharType="separate"/>
      </w:r>
      <w:r>
        <w:rPr>
          <w:rFonts w:hint="eastAsia" w:ascii="宋体" w:hAnsi="宋体" w:eastAsia="宋体" w:cs="宋体"/>
          <w:sz w:val="24"/>
          <w:szCs w:val="24"/>
        </w:rPr>
        <w:t>58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6716D0F">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_Toc27956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7.现场管理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_Toc27956 \h </w:instrText>
      </w:r>
      <w:r>
        <w:rPr>
          <w:rFonts w:hint="eastAsia" w:ascii="宋体" w:hAnsi="宋体" w:eastAsia="宋体" w:cs="宋体"/>
          <w:sz w:val="24"/>
          <w:szCs w:val="24"/>
        </w:rPr>
        <w:fldChar w:fldCharType="separate"/>
      </w:r>
      <w:r>
        <w:rPr>
          <w:rFonts w:hint="eastAsia" w:ascii="宋体" w:hAnsi="宋体" w:eastAsia="宋体" w:cs="宋体"/>
          <w:sz w:val="24"/>
          <w:szCs w:val="24"/>
        </w:rPr>
        <w:t>58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CC6AF1A">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_Toc23878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8.监督实施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_Toc23878 \h </w:instrText>
      </w:r>
      <w:r>
        <w:rPr>
          <w:rFonts w:hint="eastAsia" w:ascii="宋体" w:hAnsi="宋体" w:eastAsia="宋体" w:cs="宋体"/>
          <w:sz w:val="24"/>
          <w:szCs w:val="24"/>
        </w:rPr>
        <w:fldChar w:fldCharType="separate"/>
      </w:r>
      <w:r>
        <w:rPr>
          <w:rFonts w:hint="eastAsia" w:ascii="宋体" w:hAnsi="宋体" w:eastAsia="宋体" w:cs="宋体"/>
          <w:sz w:val="24"/>
          <w:szCs w:val="24"/>
        </w:rPr>
        <w:t>58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FDC2C75">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_Toc15584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9.主材的采购和使用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_Toc15584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B3BE983">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_Toc10125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10.竣工资料移交</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_Toc10125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D368160">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_Toc16452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11.质量保证</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_Toc16452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7E8DFB3">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_Toc19544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12.不良行为处理</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_Toc19544 \h </w:instrText>
      </w:r>
      <w:r>
        <w:rPr>
          <w:rFonts w:hint="eastAsia" w:ascii="宋体" w:hAnsi="宋体" w:eastAsia="宋体" w:cs="宋体"/>
          <w:sz w:val="24"/>
          <w:szCs w:val="24"/>
        </w:rPr>
        <w:fldChar w:fldCharType="separate"/>
      </w:r>
      <w:r>
        <w:rPr>
          <w:rFonts w:hint="eastAsia" w:ascii="宋体" w:hAnsi="宋体" w:eastAsia="宋体" w:cs="宋体"/>
          <w:sz w:val="24"/>
          <w:szCs w:val="24"/>
        </w:rPr>
        <w:t>59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43FA59F">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_Toc17443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13.信用评价条款内容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_Toc17443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CAA99AB">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_Toc27802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14.其他事项</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_Toc27802 \h </w:instrText>
      </w:r>
      <w:r>
        <w:rPr>
          <w:rFonts w:hint="eastAsia" w:ascii="宋体" w:hAnsi="宋体" w:eastAsia="宋体" w:cs="宋体"/>
          <w:sz w:val="24"/>
          <w:szCs w:val="24"/>
        </w:rPr>
        <w:fldChar w:fldCharType="separate"/>
      </w:r>
      <w:r>
        <w:rPr>
          <w:rFonts w:hint="eastAsia" w:ascii="宋体" w:hAnsi="宋体" w:eastAsia="宋体" w:cs="宋体"/>
          <w:sz w:val="24"/>
          <w:szCs w:val="24"/>
        </w:rPr>
        <w:t>60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8B4BDF7">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_Toc22494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15.违约及质量保证条款</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_Toc22494 \h </w:instrText>
      </w:r>
      <w:r>
        <w:rPr>
          <w:rFonts w:hint="eastAsia" w:ascii="宋体" w:hAnsi="宋体" w:eastAsia="宋体" w:cs="宋体"/>
          <w:sz w:val="24"/>
          <w:szCs w:val="24"/>
        </w:rPr>
        <w:fldChar w:fldCharType="separate"/>
      </w:r>
      <w:r>
        <w:rPr>
          <w:rFonts w:hint="eastAsia" w:ascii="宋体" w:hAnsi="宋体" w:eastAsia="宋体" w:cs="宋体"/>
          <w:sz w:val="24"/>
          <w:szCs w:val="24"/>
        </w:rPr>
        <w:t>67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B2F5694">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_Toc27525 </w:instrText>
      </w:r>
      <w:r>
        <w:rPr>
          <w:rFonts w:hint="eastAsia" w:ascii="宋体" w:hAnsi="宋体" w:eastAsia="宋体" w:cs="宋体"/>
          <w:sz w:val="24"/>
          <w:szCs w:val="24"/>
          <w:highlight w:val="none"/>
        </w:rPr>
        <w:fldChar w:fldCharType="separate"/>
      </w:r>
      <w:r>
        <w:rPr>
          <w:rFonts w:hint="eastAsia" w:ascii="宋体" w:hAnsi="宋体" w:eastAsia="宋体" w:cs="宋体"/>
          <w:snapToGrid w:val="0"/>
          <w:sz w:val="24"/>
          <w:szCs w:val="24"/>
          <w:highlight w:val="none"/>
        </w:rPr>
        <w:t>第四章</w:t>
      </w:r>
      <w:r>
        <w:rPr>
          <w:rFonts w:hint="eastAsia" w:ascii="宋体" w:hAnsi="宋体" w:eastAsia="宋体" w:cs="宋体"/>
          <w:snapToGrid w:val="0"/>
          <w:sz w:val="24"/>
          <w:szCs w:val="24"/>
          <w:highlight w:val="none"/>
          <w:lang w:val="en-US" w:eastAsia="zh-CN"/>
        </w:rPr>
        <w:t xml:space="preserve">   </w:t>
      </w:r>
      <w:r>
        <w:rPr>
          <w:rFonts w:hint="eastAsia" w:ascii="宋体" w:hAnsi="宋体" w:eastAsia="宋体" w:cs="宋体"/>
          <w:snapToGrid w:val="0"/>
          <w:sz w:val="24"/>
          <w:szCs w:val="24"/>
          <w:highlight w:val="none"/>
        </w:rPr>
        <w:t>技术要求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_Toc27525 \h </w:instrText>
      </w:r>
      <w:r>
        <w:rPr>
          <w:rFonts w:hint="eastAsia" w:ascii="宋体" w:hAnsi="宋体" w:eastAsia="宋体" w:cs="宋体"/>
          <w:sz w:val="24"/>
          <w:szCs w:val="24"/>
        </w:rPr>
        <w:fldChar w:fldCharType="separate"/>
      </w:r>
      <w:r>
        <w:rPr>
          <w:rFonts w:hint="eastAsia" w:ascii="宋体" w:hAnsi="宋体" w:eastAsia="宋体" w:cs="宋体"/>
          <w:sz w:val="24"/>
          <w:szCs w:val="24"/>
        </w:rPr>
        <w:t>72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3F8E46D">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_Toc26090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1.房屋建筑工程建设项目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_Toc26090 \h </w:instrText>
      </w:r>
      <w:r>
        <w:rPr>
          <w:rFonts w:hint="eastAsia" w:ascii="宋体" w:hAnsi="宋体" w:eastAsia="宋体" w:cs="宋体"/>
          <w:sz w:val="24"/>
          <w:szCs w:val="24"/>
        </w:rPr>
        <w:fldChar w:fldCharType="separate"/>
      </w:r>
      <w:r>
        <w:rPr>
          <w:rFonts w:hint="eastAsia" w:ascii="宋体" w:hAnsi="宋体" w:eastAsia="宋体" w:cs="宋体"/>
          <w:sz w:val="24"/>
          <w:szCs w:val="24"/>
        </w:rPr>
        <w:t>72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193270D4">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_Toc30106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2.市政基础设施工程建设项目</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_Toc30106 \h </w:instrText>
      </w:r>
      <w:r>
        <w:rPr>
          <w:rFonts w:hint="eastAsia" w:ascii="宋体" w:hAnsi="宋体" w:eastAsia="宋体" w:cs="宋体"/>
          <w:sz w:val="24"/>
          <w:szCs w:val="24"/>
        </w:rPr>
        <w:fldChar w:fldCharType="separate"/>
      </w:r>
      <w:r>
        <w:rPr>
          <w:rFonts w:hint="eastAsia" w:ascii="宋体" w:hAnsi="宋体" w:eastAsia="宋体" w:cs="宋体"/>
          <w:sz w:val="24"/>
          <w:szCs w:val="24"/>
        </w:rPr>
        <w:t>72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D49CE73">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_Toc11550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3.备查要求</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_Toc11550 \h </w:instrText>
      </w:r>
      <w:r>
        <w:rPr>
          <w:rFonts w:hint="eastAsia" w:ascii="宋体" w:hAnsi="宋体" w:eastAsia="宋体" w:cs="宋体"/>
          <w:sz w:val="24"/>
          <w:szCs w:val="24"/>
        </w:rPr>
        <w:fldChar w:fldCharType="separate"/>
      </w:r>
      <w:r>
        <w:rPr>
          <w:rFonts w:hint="eastAsia" w:ascii="宋体" w:hAnsi="宋体" w:eastAsia="宋体" w:cs="宋体"/>
          <w:sz w:val="24"/>
          <w:szCs w:val="24"/>
        </w:rPr>
        <w:t>73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2F95DB7">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_Toc26952 </w:instrText>
      </w:r>
      <w:r>
        <w:rPr>
          <w:rFonts w:hint="eastAsia" w:ascii="宋体" w:hAnsi="宋体" w:eastAsia="宋体" w:cs="宋体"/>
          <w:sz w:val="24"/>
          <w:szCs w:val="24"/>
          <w:highlight w:val="none"/>
        </w:rPr>
        <w:fldChar w:fldCharType="separate"/>
      </w:r>
      <w:r>
        <w:rPr>
          <w:rFonts w:hint="eastAsia" w:ascii="宋体" w:hAnsi="宋体" w:eastAsia="宋体" w:cs="宋体"/>
          <w:snapToGrid w:val="0"/>
          <w:sz w:val="24"/>
          <w:szCs w:val="24"/>
          <w:highlight w:val="none"/>
        </w:rPr>
        <w:t>第五章</w:t>
      </w:r>
      <w:r>
        <w:rPr>
          <w:rFonts w:hint="eastAsia" w:ascii="宋体" w:hAnsi="宋体" w:eastAsia="宋体" w:cs="宋体"/>
          <w:snapToGrid w:val="0"/>
          <w:sz w:val="24"/>
          <w:szCs w:val="24"/>
          <w:highlight w:val="none"/>
          <w:lang w:val="en-US" w:eastAsia="zh-CN"/>
        </w:rPr>
        <w:t xml:space="preserve">   </w:t>
      </w:r>
      <w:r>
        <w:rPr>
          <w:rFonts w:hint="eastAsia" w:ascii="宋体" w:hAnsi="宋体" w:eastAsia="宋体" w:cs="宋体"/>
          <w:snapToGrid w:val="0"/>
          <w:sz w:val="24"/>
          <w:szCs w:val="24"/>
          <w:highlight w:val="none"/>
        </w:rPr>
        <w:t>图纸和招标工程量清单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_Toc26952 \h </w:instrText>
      </w:r>
      <w:r>
        <w:rPr>
          <w:rFonts w:hint="eastAsia" w:ascii="宋体" w:hAnsi="宋体" w:eastAsia="宋体" w:cs="宋体"/>
          <w:sz w:val="24"/>
          <w:szCs w:val="24"/>
        </w:rPr>
        <w:fldChar w:fldCharType="separate"/>
      </w:r>
      <w:r>
        <w:rPr>
          <w:rFonts w:hint="eastAsia" w:ascii="宋体" w:hAnsi="宋体" w:eastAsia="宋体" w:cs="宋体"/>
          <w:sz w:val="24"/>
          <w:szCs w:val="24"/>
        </w:rPr>
        <w:t>74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258833A">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_Toc2389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1.图纸</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_Toc2389 \h </w:instrText>
      </w:r>
      <w:r>
        <w:rPr>
          <w:rFonts w:hint="eastAsia" w:ascii="宋体" w:hAnsi="宋体" w:eastAsia="宋体" w:cs="宋体"/>
          <w:sz w:val="24"/>
          <w:szCs w:val="24"/>
        </w:rPr>
        <w:fldChar w:fldCharType="separate"/>
      </w:r>
      <w:r>
        <w:rPr>
          <w:rFonts w:hint="eastAsia" w:ascii="宋体" w:hAnsi="宋体" w:eastAsia="宋体" w:cs="宋体"/>
          <w:sz w:val="24"/>
          <w:szCs w:val="24"/>
        </w:rPr>
        <w:t>74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838804E">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_Toc30082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2.招标工程量清单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_Toc30082 \h </w:instrText>
      </w:r>
      <w:r>
        <w:rPr>
          <w:rFonts w:hint="eastAsia" w:ascii="宋体" w:hAnsi="宋体" w:eastAsia="宋体" w:cs="宋体"/>
          <w:sz w:val="24"/>
          <w:szCs w:val="24"/>
        </w:rPr>
        <w:fldChar w:fldCharType="separate"/>
      </w:r>
      <w:r>
        <w:rPr>
          <w:rFonts w:hint="eastAsia" w:ascii="宋体" w:hAnsi="宋体" w:eastAsia="宋体" w:cs="宋体"/>
          <w:sz w:val="24"/>
          <w:szCs w:val="24"/>
        </w:rPr>
        <w:t>74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44AEF16">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_Toc11826 </w:instrText>
      </w:r>
      <w:r>
        <w:rPr>
          <w:rFonts w:hint="eastAsia" w:ascii="宋体" w:hAnsi="宋体" w:eastAsia="宋体" w:cs="宋体"/>
          <w:sz w:val="24"/>
          <w:szCs w:val="24"/>
          <w:highlight w:val="none"/>
        </w:rPr>
        <w:fldChar w:fldCharType="separate"/>
      </w:r>
      <w:r>
        <w:rPr>
          <w:rFonts w:hint="eastAsia" w:ascii="宋体" w:hAnsi="宋体" w:eastAsia="宋体" w:cs="宋体"/>
          <w:snapToGrid w:val="0"/>
          <w:sz w:val="24"/>
          <w:szCs w:val="24"/>
          <w:highlight w:val="none"/>
        </w:rPr>
        <w:t>第六章</w:t>
      </w:r>
      <w:r>
        <w:rPr>
          <w:rFonts w:hint="eastAsia" w:ascii="宋体" w:hAnsi="宋体" w:eastAsia="宋体" w:cs="宋体"/>
          <w:snapToGrid w:val="0"/>
          <w:sz w:val="24"/>
          <w:szCs w:val="24"/>
          <w:highlight w:val="none"/>
          <w:lang w:val="en-US" w:eastAsia="zh-CN"/>
        </w:rPr>
        <w:t xml:space="preserve">   </w:t>
      </w:r>
      <w:r>
        <w:rPr>
          <w:rFonts w:hint="eastAsia" w:ascii="宋体" w:hAnsi="宋体" w:eastAsia="宋体" w:cs="宋体"/>
          <w:snapToGrid w:val="0"/>
          <w:sz w:val="24"/>
          <w:szCs w:val="24"/>
          <w:highlight w:val="none"/>
        </w:rPr>
        <w:t>投标文件格式</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_Toc11826 \h </w:instrText>
      </w:r>
      <w:r>
        <w:rPr>
          <w:rFonts w:hint="eastAsia" w:ascii="宋体" w:hAnsi="宋体" w:eastAsia="宋体" w:cs="宋体"/>
          <w:sz w:val="24"/>
          <w:szCs w:val="24"/>
        </w:rPr>
        <w:fldChar w:fldCharType="separate"/>
      </w:r>
      <w:r>
        <w:rPr>
          <w:rFonts w:hint="eastAsia" w:ascii="宋体" w:hAnsi="宋体" w:eastAsia="宋体" w:cs="宋体"/>
          <w:sz w:val="24"/>
          <w:szCs w:val="24"/>
        </w:rPr>
        <w:t>75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0D08625">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_Toc9708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格式一   封面</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_Toc9708 \h </w:instrText>
      </w:r>
      <w:r>
        <w:rPr>
          <w:rFonts w:hint="eastAsia" w:ascii="宋体" w:hAnsi="宋体" w:eastAsia="宋体" w:cs="宋体"/>
          <w:sz w:val="24"/>
          <w:szCs w:val="24"/>
        </w:rPr>
        <w:fldChar w:fldCharType="separate"/>
      </w:r>
      <w:r>
        <w:rPr>
          <w:rFonts w:hint="eastAsia" w:ascii="宋体" w:hAnsi="宋体" w:eastAsia="宋体" w:cs="宋体"/>
          <w:sz w:val="24"/>
          <w:szCs w:val="24"/>
        </w:rPr>
        <w:t>75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5F9D2130">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_Toc19730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格式二   投标函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_Toc19730 \h </w:instrText>
      </w:r>
      <w:r>
        <w:rPr>
          <w:rFonts w:hint="eastAsia" w:ascii="宋体" w:hAnsi="宋体" w:eastAsia="宋体" w:cs="宋体"/>
          <w:sz w:val="24"/>
          <w:szCs w:val="24"/>
        </w:rPr>
        <w:fldChar w:fldCharType="separate"/>
      </w:r>
      <w:r>
        <w:rPr>
          <w:rFonts w:hint="eastAsia" w:ascii="宋体" w:hAnsi="宋体" w:eastAsia="宋体" w:cs="宋体"/>
          <w:sz w:val="24"/>
          <w:szCs w:val="24"/>
        </w:rPr>
        <w:t>76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2CFE8A5">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_Toc4499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格式三   各项承诺一览表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_Toc4499 \h </w:instrText>
      </w:r>
      <w:r>
        <w:rPr>
          <w:rFonts w:hint="eastAsia" w:ascii="宋体" w:hAnsi="宋体" w:eastAsia="宋体" w:cs="宋体"/>
          <w:sz w:val="24"/>
          <w:szCs w:val="24"/>
        </w:rPr>
        <w:fldChar w:fldCharType="separate"/>
      </w:r>
      <w:r>
        <w:rPr>
          <w:rFonts w:hint="eastAsia" w:ascii="宋体" w:hAnsi="宋体" w:eastAsia="宋体" w:cs="宋体"/>
          <w:sz w:val="24"/>
          <w:szCs w:val="24"/>
        </w:rPr>
        <w:t>77</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942AE88">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_Toc10088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格式四   授权委托书</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_Toc10088 \h </w:instrText>
      </w:r>
      <w:r>
        <w:rPr>
          <w:rFonts w:hint="eastAsia" w:ascii="宋体" w:hAnsi="宋体" w:eastAsia="宋体" w:cs="宋体"/>
          <w:sz w:val="24"/>
          <w:szCs w:val="24"/>
        </w:rPr>
        <w:fldChar w:fldCharType="separate"/>
      </w:r>
      <w:r>
        <w:rPr>
          <w:rFonts w:hint="eastAsia" w:ascii="宋体" w:hAnsi="宋体" w:eastAsia="宋体" w:cs="宋体"/>
          <w:sz w:val="24"/>
          <w:szCs w:val="24"/>
        </w:rPr>
        <w:t>79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00153A87">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_Toc18510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格式五   法定代表人身份证明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_Toc18510 \h </w:instrText>
      </w:r>
      <w:r>
        <w:rPr>
          <w:rFonts w:hint="eastAsia" w:ascii="宋体" w:hAnsi="宋体" w:eastAsia="宋体" w:cs="宋体"/>
          <w:sz w:val="24"/>
          <w:szCs w:val="24"/>
        </w:rPr>
        <w:fldChar w:fldCharType="separate"/>
      </w:r>
      <w:r>
        <w:rPr>
          <w:rFonts w:hint="eastAsia" w:ascii="宋体" w:hAnsi="宋体" w:eastAsia="宋体" w:cs="宋体"/>
          <w:sz w:val="24"/>
          <w:szCs w:val="24"/>
        </w:rPr>
        <w:t>80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FEF0268">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_Toc22808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格式六    投标人基本情况表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_Toc22808 \h </w:instrText>
      </w:r>
      <w:r>
        <w:rPr>
          <w:rFonts w:hint="eastAsia" w:ascii="宋体" w:hAnsi="宋体" w:eastAsia="宋体" w:cs="宋体"/>
          <w:sz w:val="24"/>
          <w:szCs w:val="24"/>
        </w:rPr>
        <w:fldChar w:fldCharType="separate"/>
      </w:r>
      <w:r>
        <w:rPr>
          <w:rFonts w:hint="eastAsia" w:ascii="宋体" w:hAnsi="宋体" w:eastAsia="宋体" w:cs="宋体"/>
          <w:sz w:val="24"/>
          <w:szCs w:val="24"/>
        </w:rPr>
        <w:t>81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26D6B92">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_Toc15417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格式七   项目经理简历表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_Toc15417 \h </w:instrText>
      </w:r>
      <w:r>
        <w:rPr>
          <w:rFonts w:hint="eastAsia" w:ascii="宋体" w:hAnsi="宋体" w:eastAsia="宋体" w:cs="宋体"/>
          <w:sz w:val="24"/>
          <w:szCs w:val="24"/>
        </w:rPr>
        <w:fldChar w:fldCharType="separate"/>
      </w:r>
      <w:r>
        <w:rPr>
          <w:rFonts w:hint="eastAsia" w:ascii="宋体" w:hAnsi="宋体" w:eastAsia="宋体" w:cs="宋体"/>
          <w:sz w:val="24"/>
          <w:szCs w:val="24"/>
        </w:rPr>
        <w:t>82</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14734F9">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_Toc17035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格式八   项目经理任职声明</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_Toc17035 \h </w:instrText>
      </w:r>
      <w:r>
        <w:rPr>
          <w:rFonts w:hint="eastAsia" w:ascii="宋体" w:hAnsi="宋体" w:eastAsia="宋体" w:cs="宋体"/>
          <w:sz w:val="24"/>
          <w:szCs w:val="24"/>
        </w:rPr>
        <w:fldChar w:fldCharType="separate"/>
      </w:r>
      <w:r>
        <w:rPr>
          <w:rFonts w:hint="eastAsia" w:ascii="宋体" w:hAnsi="宋体" w:eastAsia="宋体" w:cs="宋体"/>
          <w:sz w:val="24"/>
          <w:szCs w:val="24"/>
        </w:rPr>
        <w:t>83</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72C3378C">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_Toc4068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格式九   项目技术负责人简历表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_Toc4068 \h </w:instrText>
      </w:r>
      <w:r>
        <w:rPr>
          <w:rFonts w:hint="eastAsia" w:ascii="宋体" w:hAnsi="宋体" w:eastAsia="宋体" w:cs="宋体"/>
          <w:sz w:val="24"/>
          <w:szCs w:val="24"/>
        </w:rPr>
        <w:fldChar w:fldCharType="separate"/>
      </w:r>
      <w:r>
        <w:rPr>
          <w:rFonts w:hint="eastAsia" w:ascii="宋体" w:hAnsi="宋体" w:eastAsia="宋体" w:cs="宋体"/>
          <w:sz w:val="24"/>
          <w:szCs w:val="24"/>
        </w:rPr>
        <w:t>84</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E20A178">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_Toc30872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格式十   项目管理机构组成表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_Toc30872 \h </w:instrText>
      </w:r>
      <w:r>
        <w:rPr>
          <w:rFonts w:hint="eastAsia" w:ascii="宋体" w:hAnsi="宋体" w:eastAsia="宋体" w:cs="宋体"/>
          <w:sz w:val="24"/>
          <w:szCs w:val="24"/>
        </w:rPr>
        <w:fldChar w:fldCharType="separate"/>
      </w:r>
      <w:r>
        <w:rPr>
          <w:rFonts w:hint="eastAsia" w:ascii="宋体" w:hAnsi="宋体" w:eastAsia="宋体" w:cs="宋体"/>
          <w:sz w:val="24"/>
          <w:szCs w:val="24"/>
        </w:rPr>
        <w:t>85</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4A819F5">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_Toc14131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格式十一   建造师查询页（有效期+建造师签字）</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_Toc14131 \h </w:instrText>
      </w:r>
      <w:r>
        <w:rPr>
          <w:rFonts w:hint="eastAsia" w:ascii="宋体" w:hAnsi="宋体" w:eastAsia="宋体" w:cs="宋体"/>
          <w:sz w:val="24"/>
          <w:szCs w:val="24"/>
        </w:rPr>
        <w:fldChar w:fldCharType="separate"/>
      </w:r>
      <w:r>
        <w:rPr>
          <w:rFonts w:hint="eastAsia" w:ascii="宋体" w:hAnsi="宋体" w:eastAsia="宋体" w:cs="宋体"/>
          <w:sz w:val="24"/>
          <w:szCs w:val="24"/>
        </w:rPr>
        <w:t>86</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6F063370">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_Toc4208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格式十二   危险性较大的分部分项工程清单及超过一定规模的危险性较大的分部分项工程清单</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_Toc4208 \h </w:instrText>
      </w:r>
      <w:r>
        <w:rPr>
          <w:rFonts w:hint="eastAsia" w:ascii="宋体" w:hAnsi="宋体" w:eastAsia="宋体" w:cs="宋体"/>
          <w:sz w:val="24"/>
          <w:szCs w:val="24"/>
        </w:rPr>
        <w:fldChar w:fldCharType="separate"/>
      </w:r>
      <w:r>
        <w:rPr>
          <w:rFonts w:hint="eastAsia" w:ascii="宋体" w:hAnsi="宋体" w:eastAsia="宋体" w:cs="宋体"/>
          <w:sz w:val="24"/>
          <w:szCs w:val="24"/>
        </w:rPr>
        <w:t>88</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D024E06">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_Toc2046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格式十三   投标保证金信用承诺函</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_Toc2046 \h </w:instrText>
      </w:r>
      <w:r>
        <w:rPr>
          <w:rFonts w:hint="eastAsia" w:ascii="宋体" w:hAnsi="宋体" w:eastAsia="宋体" w:cs="宋体"/>
          <w:sz w:val="24"/>
          <w:szCs w:val="24"/>
        </w:rPr>
        <w:fldChar w:fldCharType="separate"/>
      </w:r>
      <w:r>
        <w:rPr>
          <w:rFonts w:hint="eastAsia" w:ascii="宋体" w:hAnsi="宋体" w:eastAsia="宋体" w:cs="宋体"/>
          <w:sz w:val="24"/>
          <w:szCs w:val="24"/>
        </w:rPr>
        <w:t>89</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2056DAA4">
      <w:pPr>
        <w:pStyle w:val="11"/>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_Toc4144 </w:instrText>
      </w:r>
      <w:r>
        <w:rPr>
          <w:rFonts w:hint="eastAsia" w:ascii="宋体" w:hAnsi="宋体" w:eastAsia="宋体" w:cs="宋体"/>
          <w:sz w:val="24"/>
          <w:szCs w:val="24"/>
          <w:highlight w:val="none"/>
        </w:rPr>
        <w:fldChar w:fldCharType="separate"/>
      </w:r>
      <w:r>
        <w:rPr>
          <w:rFonts w:hint="eastAsia" w:ascii="宋体" w:hAnsi="宋体" w:eastAsia="宋体" w:cs="宋体"/>
          <w:bCs/>
          <w:spacing w:val="-11"/>
          <w:sz w:val="24"/>
          <w:szCs w:val="24"/>
          <w:highlight w:val="none"/>
          <w:lang w:val="en-US" w:eastAsia="zh-CN"/>
        </w:rPr>
        <w:t>格式十四   原件一览表</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_Toc4144 \h </w:instrText>
      </w:r>
      <w:r>
        <w:rPr>
          <w:rFonts w:hint="eastAsia" w:ascii="宋体" w:hAnsi="宋体" w:eastAsia="宋体" w:cs="宋体"/>
          <w:sz w:val="24"/>
          <w:szCs w:val="24"/>
        </w:rPr>
        <w:fldChar w:fldCharType="separate"/>
      </w:r>
      <w:r>
        <w:rPr>
          <w:rFonts w:hint="eastAsia" w:ascii="宋体" w:hAnsi="宋体" w:eastAsia="宋体" w:cs="宋体"/>
          <w:sz w:val="24"/>
          <w:szCs w:val="24"/>
        </w:rPr>
        <w:t>90</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3EEC2B1C">
      <w:pPr>
        <w:pStyle w:val="18"/>
        <w:tabs>
          <w:tab w:val="right" w:leader="dot" w:pos="9638"/>
        </w:tabs>
        <w:rPr>
          <w:rFonts w:hint="eastAsia" w:ascii="宋体" w:hAnsi="宋体" w:eastAsia="宋体" w:cs="宋体"/>
          <w:sz w:val="24"/>
          <w:szCs w:val="24"/>
        </w:rPr>
      </w:pPr>
      <w:r>
        <w:rPr>
          <w:rFonts w:hint="eastAsia" w:ascii="宋体" w:hAnsi="宋体" w:eastAsia="宋体" w:cs="宋体"/>
          <w:color w:val="auto"/>
          <w:sz w:val="24"/>
          <w:szCs w:val="24"/>
          <w:highlight w:val="none"/>
        </w:rPr>
        <w:fldChar w:fldCharType="begin"/>
      </w:r>
      <w:r>
        <w:rPr>
          <w:rFonts w:hint="eastAsia" w:ascii="宋体" w:hAnsi="宋体" w:eastAsia="宋体" w:cs="宋体"/>
          <w:sz w:val="24"/>
          <w:szCs w:val="24"/>
          <w:highlight w:val="none"/>
        </w:rPr>
        <w:instrText xml:space="preserve"> HYPERLINK \l _Toc244 </w:instrText>
      </w:r>
      <w:r>
        <w:rPr>
          <w:rFonts w:hint="eastAsia" w:ascii="宋体" w:hAnsi="宋体" w:eastAsia="宋体" w:cs="宋体"/>
          <w:sz w:val="24"/>
          <w:szCs w:val="24"/>
          <w:highlight w:val="none"/>
        </w:rPr>
        <w:fldChar w:fldCharType="separate"/>
      </w:r>
      <w:r>
        <w:rPr>
          <w:rFonts w:hint="eastAsia" w:ascii="宋体" w:hAnsi="宋体" w:eastAsia="宋体" w:cs="宋体"/>
          <w:snapToGrid w:val="0"/>
          <w:sz w:val="24"/>
          <w:szCs w:val="24"/>
          <w:highlight w:val="none"/>
        </w:rPr>
        <w:t>第七章</w:t>
      </w:r>
      <w:r>
        <w:rPr>
          <w:rFonts w:hint="eastAsia" w:ascii="宋体" w:hAnsi="宋体" w:eastAsia="宋体" w:cs="宋体"/>
          <w:snapToGrid w:val="0"/>
          <w:sz w:val="24"/>
          <w:szCs w:val="24"/>
          <w:highlight w:val="none"/>
          <w:lang w:val="en-US" w:eastAsia="zh-CN"/>
        </w:rPr>
        <w:t xml:space="preserve">   </w:t>
      </w:r>
      <w:r>
        <w:rPr>
          <w:rFonts w:hint="eastAsia" w:ascii="宋体" w:hAnsi="宋体" w:eastAsia="宋体" w:cs="宋体"/>
          <w:snapToGrid w:val="0"/>
          <w:sz w:val="24"/>
          <w:szCs w:val="24"/>
          <w:highlight w:val="none"/>
        </w:rPr>
        <w:t>建设工程施工合同</w:t>
      </w:r>
      <w:r>
        <w:rPr>
          <w:rFonts w:hint="eastAsia" w:ascii="宋体" w:hAnsi="宋体" w:eastAsia="宋体" w:cs="宋体"/>
          <w:sz w:val="24"/>
          <w:szCs w:val="24"/>
        </w:rPr>
        <w:tab/>
      </w:r>
      <w:r>
        <w:rPr>
          <w:rFonts w:hint="eastAsia" w:ascii="宋体" w:hAnsi="宋体" w:eastAsia="宋体" w:cs="宋体"/>
          <w:sz w:val="24"/>
          <w:szCs w:val="24"/>
        </w:rPr>
        <w:fldChar w:fldCharType="begin"/>
      </w:r>
      <w:r>
        <w:rPr>
          <w:rFonts w:hint="eastAsia" w:ascii="宋体" w:hAnsi="宋体" w:eastAsia="宋体" w:cs="宋体"/>
          <w:sz w:val="24"/>
          <w:szCs w:val="24"/>
        </w:rPr>
        <w:instrText xml:space="preserve"> PAGEREF _Toc244 \h </w:instrText>
      </w:r>
      <w:r>
        <w:rPr>
          <w:rFonts w:hint="eastAsia" w:ascii="宋体" w:hAnsi="宋体" w:eastAsia="宋体" w:cs="宋体"/>
          <w:sz w:val="24"/>
          <w:szCs w:val="24"/>
        </w:rPr>
        <w:fldChar w:fldCharType="separate"/>
      </w:r>
      <w:r>
        <w:rPr>
          <w:rFonts w:hint="eastAsia" w:ascii="宋体" w:hAnsi="宋体" w:eastAsia="宋体" w:cs="宋体"/>
          <w:sz w:val="24"/>
          <w:szCs w:val="24"/>
        </w:rPr>
        <w:t>91</w:t>
      </w:r>
      <w:r>
        <w:rPr>
          <w:rFonts w:hint="eastAsia" w:ascii="宋体" w:hAnsi="宋体" w:eastAsia="宋体" w:cs="宋体"/>
          <w:sz w:val="24"/>
          <w:szCs w:val="24"/>
        </w:rPr>
        <w:fldChar w:fldCharType="end"/>
      </w:r>
      <w:r>
        <w:rPr>
          <w:rFonts w:hint="eastAsia" w:ascii="宋体" w:hAnsi="宋体" w:eastAsia="宋体" w:cs="宋体"/>
          <w:color w:val="auto"/>
          <w:sz w:val="24"/>
          <w:szCs w:val="24"/>
          <w:highlight w:val="none"/>
        </w:rPr>
        <w:fldChar w:fldCharType="end"/>
      </w:r>
    </w:p>
    <w:p w14:paraId="44F9C4B2">
      <w:pPr>
        <w:spacing w:line="240" w:lineRule="auto"/>
        <w:rPr>
          <w:rFonts w:hint="eastAsia" w:ascii="宋体" w:hAnsi="宋体" w:eastAsia="宋体" w:cs="宋体"/>
        </w:rPr>
      </w:pPr>
      <w:r>
        <w:rPr>
          <w:rFonts w:hint="eastAsia" w:ascii="宋体" w:hAnsi="宋体" w:eastAsia="宋体" w:cs="宋体"/>
          <w:color w:val="auto"/>
          <w:sz w:val="24"/>
          <w:szCs w:val="24"/>
          <w:highlight w:val="none"/>
        </w:rPr>
        <w:fldChar w:fldCharType="end"/>
      </w:r>
    </w:p>
    <w:p w14:paraId="38EAEBA2">
      <w:pPr>
        <w:rPr>
          <w:rFonts w:hint="eastAsia" w:ascii="宋体" w:hAnsi="宋体" w:eastAsia="宋体" w:cs="宋体"/>
        </w:rPr>
      </w:pPr>
    </w:p>
    <w:p w14:paraId="4288CBFB">
      <w:pPr>
        <w:rPr>
          <w:rFonts w:hint="eastAsia" w:ascii="宋体" w:hAnsi="宋体" w:eastAsia="宋体" w:cs="宋体"/>
        </w:rPr>
      </w:pPr>
    </w:p>
    <w:p w14:paraId="1F4E4B74">
      <w:pPr>
        <w:rPr>
          <w:rFonts w:hint="eastAsia" w:ascii="宋体" w:hAnsi="宋体" w:eastAsia="宋体" w:cs="宋体"/>
        </w:rPr>
      </w:pPr>
    </w:p>
    <w:p w14:paraId="2737AC15">
      <w:pPr>
        <w:rPr>
          <w:rFonts w:hint="eastAsia" w:ascii="宋体" w:hAnsi="宋体" w:eastAsia="宋体" w:cs="宋体"/>
        </w:rPr>
      </w:pPr>
    </w:p>
    <w:p w14:paraId="0F5BFBC3">
      <w:pPr>
        <w:rPr>
          <w:rFonts w:hint="eastAsia" w:ascii="宋体" w:hAnsi="宋体" w:eastAsia="宋体" w:cs="宋体"/>
        </w:rPr>
      </w:pPr>
    </w:p>
    <w:p w14:paraId="685587E3">
      <w:pPr>
        <w:rPr>
          <w:rFonts w:hint="eastAsia" w:ascii="宋体" w:hAnsi="宋体" w:eastAsia="宋体" w:cs="宋体"/>
        </w:rPr>
      </w:pPr>
    </w:p>
    <w:p w14:paraId="0AE3EDFE">
      <w:pPr>
        <w:rPr>
          <w:rFonts w:hint="eastAsia" w:ascii="宋体" w:hAnsi="宋体" w:eastAsia="宋体" w:cs="宋体"/>
        </w:rPr>
      </w:pPr>
    </w:p>
    <w:p w14:paraId="47E1B3C6">
      <w:pPr>
        <w:rPr>
          <w:rFonts w:hint="eastAsia" w:ascii="宋体" w:hAnsi="宋体" w:eastAsia="宋体" w:cs="宋体"/>
        </w:rPr>
      </w:pPr>
    </w:p>
    <w:p w14:paraId="5AD090C2">
      <w:pPr>
        <w:rPr>
          <w:rFonts w:hint="eastAsia" w:ascii="宋体" w:hAnsi="宋体" w:eastAsia="宋体" w:cs="宋体"/>
        </w:rPr>
      </w:pPr>
    </w:p>
    <w:p w14:paraId="4B611946">
      <w:pPr>
        <w:rPr>
          <w:rFonts w:hint="eastAsia" w:ascii="宋体" w:hAnsi="宋体" w:eastAsia="宋体" w:cs="宋体"/>
        </w:rPr>
      </w:pPr>
    </w:p>
    <w:p w14:paraId="1812CF06">
      <w:pPr>
        <w:rPr>
          <w:rFonts w:hint="eastAsia" w:ascii="宋体" w:hAnsi="宋体" w:eastAsia="宋体" w:cs="宋体"/>
        </w:rPr>
      </w:pPr>
    </w:p>
    <w:p w14:paraId="0F865B08">
      <w:pPr>
        <w:rPr>
          <w:rFonts w:hint="eastAsia" w:ascii="宋体" w:hAnsi="宋体" w:eastAsia="宋体" w:cs="宋体"/>
        </w:rPr>
      </w:pPr>
    </w:p>
    <w:p w14:paraId="1D521498">
      <w:pPr>
        <w:rPr>
          <w:rFonts w:hint="eastAsia" w:ascii="宋体" w:hAnsi="宋体" w:eastAsia="宋体" w:cs="宋体"/>
        </w:rPr>
      </w:pPr>
    </w:p>
    <w:p w14:paraId="749C5641">
      <w:pPr>
        <w:rPr>
          <w:rFonts w:hint="eastAsia" w:ascii="宋体" w:hAnsi="宋体" w:eastAsia="宋体" w:cs="宋体"/>
        </w:rPr>
      </w:pPr>
    </w:p>
    <w:p w14:paraId="18E797F7">
      <w:pPr>
        <w:rPr>
          <w:rFonts w:hint="eastAsia" w:ascii="宋体" w:hAnsi="宋体" w:eastAsia="宋体" w:cs="宋体"/>
        </w:rPr>
      </w:pPr>
    </w:p>
    <w:p w14:paraId="111E9636">
      <w:pPr>
        <w:rPr>
          <w:rFonts w:hint="eastAsia" w:ascii="宋体" w:hAnsi="宋体" w:eastAsia="宋体" w:cs="宋体"/>
        </w:rPr>
      </w:pPr>
    </w:p>
    <w:p w14:paraId="220DACF8">
      <w:pPr>
        <w:rPr>
          <w:rFonts w:hint="eastAsia" w:ascii="宋体" w:hAnsi="宋体" w:eastAsia="宋体" w:cs="宋体"/>
        </w:rPr>
      </w:pPr>
    </w:p>
    <w:p w14:paraId="03E6E150">
      <w:pPr>
        <w:rPr>
          <w:rFonts w:hint="eastAsia" w:ascii="宋体" w:hAnsi="宋体" w:eastAsia="宋体" w:cs="宋体"/>
        </w:rPr>
      </w:pPr>
    </w:p>
    <w:p w14:paraId="1FF4BC8C">
      <w:pPr>
        <w:rPr>
          <w:rFonts w:hint="eastAsia" w:ascii="宋体" w:hAnsi="宋体" w:eastAsia="宋体" w:cs="宋体"/>
        </w:rPr>
      </w:pPr>
    </w:p>
    <w:p w14:paraId="659E5FA8">
      <w:pPr>
        <w:spacing w:before="78" w:line="360" w:lineRule="auto"/>
        <w:jc w:val="center"/>
        <w:outlineLvl w:val="0"/>
        <w:rPr>
          <w:rFonts w:hint="eastAsia" w:ascii="宋体" w:hAnsi="宋体" w:eastAsia="宋体" w:cs="宋体"/>
          <w:color w:val="auto"/>
          <w:sz w:val="24"/>
          <w:szCs w:val="24"/>
          <w:highlight w:val="none"/>
        </w:rPr>
      </w:pPr>
      <w:bookmarkStart w:id="0" w:name="bookmark1"/>
      <w:bookmarkEnd w:id="0"/>
      <w:bookmarkStart w:id="1" w:name="_Toc19261"/>
      <w:bookmarkStart w:id="2" w:name="_Toc19872"/>
      <w:r>
        <w:rPr>
          <w:rFonts w:hint="eastAsia" w:ascii="宋体" w:hAnsi="宋体" w:eastAsia="宋体" w:cs="宋体"/>
          <w:b/>
          <w:bCs/>
          <w:color w:val="auto"/>
          <w:spacing w:val="-3"/>
          <w:sz w:val="24"/>
          <w:szCs w:val="24"/>
          <w:highlight w:val="none"/>
        </w:rPr>
        <w:t>第一章</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投标人须知</w:t>
      </w:r>
      <w:bookmarkEnd w:id="1"/>
      <w:bookmarkEnd w:id="2"/>
    </w:p>
    <w:p w14:paraId="30EA1A18">
      <w:pPr>
        <w:spacing w:before="156" w:line="360" w:lineRule="auto"/>
        <w:ind w:left="17"/>
        <w:outlineLvl w:val="1"/>
        <w:rPr>
          <w:rFonts w:hint="eastAsia" w:ascii="宋体" w:hAnsi="宋体" w:eastAsia="宋体" w:cs="宋体"/>
          <w:b/>
          <w:bCs/>
          <w:color w:val="auto"/>
          <w:spacing w:val="-3"/>
          <w:sz w:val="24"/>
          <w:szCs w:val="24"/>
          <w:highlight w:val="none"/>
        </w:rPr>
      </w:pPr>
      <w:bookmarkStart w:id="3" w:name="bookmark3"/>
      <w:bookmarkEnd w:id="3"/>
      <w:bookmarkStart w:id="4" w:name="_Toc23115"/>
      <w:bookmarkStart w:id="5" w:name="_Toc24466"/>
      <w:r>
        <w:rPr>
          <w:rFonts w:hint="eastAsia" w:ascii="宋体" w:hAnsi="宋体" w:eastAsia="宋体" w:cs="宋体"/>
          <w:b/>
          <w:bCs/>
          <w:color w:val="auto"/>
          <w:spacing w:val="-3"/>
          <w:sz w:val="24"/>
          <w:szCs w:val="24"/>
          <w:highlight w:val="none"/>
        </w:rPr>
        <w:t>第一节</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投标人须知前附表</w:t>
      </w:r>
      <w:bookmarkEnd w:id="4"/>
      <w:bookmarkEnd w:id="5"/>
    </w:p>
    <w:tbl>
      <w:tblPr>
        <w:tblStyle w:val="25"/>
        <w:tblW w:w="10066" w:type="dxa"/>
        <w:tblInd w:w="-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3"/>
        <w:gridCol w:w="2433"/>
        <w:gridCol w:w="6900"/>
      </w:tblGrid>
      <w:tr w14:paraId="44D57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top"/>
          </w:tcPr>
          <w:p w14:paraId="7B2D9F2A">
            <w:pPr>
              <w:widowControl w:val="0"/>
              <w:spacing w:line="24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序号</w:t>
            </w:r>
          </w:p>
        </w:tc>
        <w:tc>
          <w:tcPr>
            <w:tcW w:w="2433" w:type="dxa"/>
            <w:shd w:val="clear" w:color="auto" w:fill="auto"/>
            <w:vAlign w:val="top"/>
          </w:tcPr>
          <w:p w14:paraId="59ADCDC3">
            <w:pPr>
              <w:widowControl w:val="0"/>
              <w:spacing w:line="24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内容</w:t>
            </w:r>
          </w:p>
        </w:tc>
        <w:tc>
          <w:tcPr>
            <w:tcW w:w="6900" w:type="dxa"/>
            <w:shd w:val="clear" w:color="auto" w:fill="auto"/>
            <w:vAlign w:val="top"/>
          </w:tcPr>
          <w:p w14:paraId="0BF5224D">
            <w:pPr>
              <w:widowControl w:val="0"/>
              <w:spacing w:line="24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说明与要求</w:t>
            </w:r>
          </w:p>
        </w:tc>
      </w:tr>
      <w:tr w14:paraId="59929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2F05F5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w:t>
            </w:r>
          </w:p>
        </w:tc>
        <w:tc>
          <w:tcPr>
            <w:tcW w:w="2433" w:type="dxa"/>
            <w:shd w:val="clear" w:color="auto" w:fill="auto"/>
            <w:vAlign w:val="center"/>
          </w:tcPr>
          <w:p w14:paraId="43BE10D1">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项目名称</w:t>
            </w:r>
          </w:p>
        </w:tc>
        <w:tc>
          <w:tcPr>
            <w:tcW w:w="6900" w:type="dxa"/>
            <w:shd w:val="clear" w:color="auto" w:fill="auto"/>
            <w:vAlign w:val="center"/>
          </w:tcPr>
          <w:p w14:paraId="105699CE">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武江区龙归镇环工业园区人居环境整治建设项目工程施工</w:t>
            </w:r>
          </w:p>
        </w:tc>
      </w:tr>
      <w:tr w14:paraId="4F4E7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5321AAAE">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w:t>
            </w:r>
          </w:p>
        </w:tc>
        <w:tc>
          <w:tcPr>
            <w:tcW w:w="2433" w:type="dxa"/>
            <w:shd w:val="clear" w:color="auto" w:fill="auto"/>
            <w:vAlign w:val="center"/>
          </w:tcPr>
          <w:p w14:paraId="53876A3C">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项目业主</w:t>
            </w:r>
          </w:p>
        </w:tc>
        <w:tc>
          <w:tcPr>
            <w:tcW w:w="6900" w:type="dxa"/>
            <w:shd w:val="clear" w:color="auto" w:fill="auto"/>
            <w:vAlign w:val="center"/>
          </w:tcPr>
          <w:p w14:paraId="30040E99">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韶关市武江区龙归镇人民政府</w:t>
            </w:r>
          </w:p>
        </w:tc>
      </w:tr>
      <w:tr w14:paraId="60080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9F3CC81">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3</w:t>
            </w:r>
          </w:p>
        </w:tc>
        <w:tc>
          <w:tcPr>
            <w:tcW w:w="2433" w:type="dxa"/>
            <w:shd w:val="clear" w:color="auto" w:fill="auto"/>
            <w:vAlign w:val="center"/>
          </w:tcPr>
          <w:p w14:paraId="55EDB83D">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项目批准部门及项目批准文号</w:t>
            </w:r>
          </w:p>
        </w:tc>
        <w:tc>
          <w:tcPr>
            <w:tcW w:w="6900" w:type="dxa"/>
            <w:shd w:val="clear" w:color="auto" w:fill="auto"/>
            <w:vAlign w:val="center"/>
          </w:tcPr>
          <w:p w14:paraId="56FAEB61">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韶关市武江区发展和改革局、韶武发改投审〔2025〕</w:t>
            </w:r>
            <w:r>
              <w:rPr>
                <w:rFonts w:hint="eastAsia" w:ascii="宋体" w:hAnsi="宋体" w:eastAsia="宋体" w:cs="宋体"/>
                <w:sz w:val="24"/>
                <w:szCs w:val="24"/>
                <w:lang w:val="en-US" w:eastAsia="zh-CN"/>
              </w:rPr>
              <w:t>36</w:t>
            </w:r>
            <w:r>
              <w:rPr>
                <w:rFonts w:hint="eastAsia" w:ascii="宋体" w:hAnsi="宋体" w:eastAsia="宋体" w:cs="宋体"/>
                <w:sz w:val="24"/>
                <w:szCs w:val="24"/>
                <w:lang w:eastAsia="zh-CN"/>
              </w:rPr>
              <w:t>号</w:t>
            </w:r>
          </w:p>
        </w:tc>
      </w:tr>
      <w:tr w14:paraId="54911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3DF3EAE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4</w:t>
            </w:r>
          </w:p>
        </w:tc>
        <w:tc>
          <w:tcPr>
            <w:tcW w:w="2433" w:type="dxa"/>
            <w:shd w:val="clear" w:color="auto" w:fill="auto"/>
            <w:vAlign w:val="center"/>
          </w:tcPr>
          <w:p w14:paraId="3642BB67">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建设地点</w:t>
            </w:r>
          </w:p>
        </w:tc>
        <w:tc>
          <w:tcPr>
            <w:tcW w:w="6900" w:type="dxa"/>
            <w:shd w:val="clear" w:color="auto" w:fill="auto"/>
            <w:vAlign w:val="center"/>
          </w:tcPr>
          <w:p w14:paraId="365D85BC">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武江区龙归镇</w:t>
            </w:r>
          </w:p>
        </w:tc>
      </w:tr>
      <w:tr w14:paraId="31E50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44D2BDBA">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5</w:t>
            </w:r>
          </w:p>
        </w:tc>
        <w:tc>
          <w:tcPr>
            <w:tcW w:w="2433" w:type="dxa"/>
            <w:shd w:val="clear" w:color="auto" w:fill="auto"/>
            <w:vAlign w:val="center"/>
          </w:tcPr>
          <w:p w14:paraId="4B1C4E29">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项目代码</w:t>
            </w:r>
          </w:p>
        </w:tc>
        <w:tc>
          <w:tcPr>
            <w:tcW w:w="6900" w:type="dxa"/>
            <w:shd w:val="clear" w:color="auto" w:fill="auto"/>
            <w:vAlign w:val="center"/>
          </w:tcPr>
          <w:p w14:paraId="4122AAF2">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2501-440203-20-01-721867</w:t>
            </w:r>
          </w:p>
        </w:tc>
      </w:tr>
      <w:tr w14:paraId="0CBE8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03F1187C">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6</w:t>
            </w:r>
          </w:p>
        </w:tc>
        <w:tc>
          <w:tcPr>
            <w:tcW w:w="2433" w:type="dxa"/>
            <w:shd w:val="clear" w:color="auto" w:fill="auto"/>
            <w:vAlign w:val="center"/>
          </w:tcPr>
          <w:p w14:paraId="4887C5D7">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资金来源及落实情况</w:t>
            </w:r>
          </w:p>
        </w:tc>
        <w:tc>
          <w:tcPr>
            <w:tcW w:w="6900" w:type="dxa"/>
            <w:shd w:val="clear" w:color="auto" w:fill="auto"/>
            <w:vAlign w:val="center"/>
          </w:tcPr>
          <w:p w14:paraId="4EF660AC">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区财政统筹，100%</w:t>
            </w:r>
          </w:p>
        </w:tc>
      </w:tr>
      <w:tr w14:paraId="2AE0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49A6BBBF">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7</w:t>
            </w:r>
          </w:p>
        </w:tc>
        <w:tc>
          <w:tcPr>
            <w:tcW w:w="2433" w:type="dxa"/>
            <w:shd w:val="clear" w:color="auto" w:fill="auto"/>
            <w:vAlign w:val="center"/>
          </w:tcPr>
          <w:p w14:paraId="3BA0B4CA">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招标人</w:t>
            </w:r>
          </w:p>
        </w:tc>
        <w:tc>
          <w:tcPr>
            <w:tcW w:w="6900" w:type="dxa"/>
            <w:shd w:val="clear" w:color="auto" w:fill="auto"/>
            <w:vAlign w:val="center"/>
          </w:tcPr>
          <w:p w14:paraId="5FD8D3FE">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eastAsia="zh-CN"/>
              </w:rPr>
              <w:t>韶关市武江区龙归镇人民政府</w:t>
            </w:r>
          </w:p>
        </w:tc>
      </w:tr>
      <w:tr w14:paraId="044E6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6B4C612A">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8</w:t>
            </w:r>
          </w:p>
        </w:tc>
        <w:tc>
          <w:tcPr>
            <w:tcW w:w="2433" w:type="dxa"/>
            <w:shd w:val="clear" w:color="auto" w:fill="auto"/>
            <w:vAlign w:val="center"/>
          </w:tcPr>
          <w:p w14:paraId="69DA39D6">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招标代理机构</w:t>
            </w:r>
          </w:p>
        </w:tc>
        <w:tc>
          <w:tcPr>
            <w:tcW w:w="6900" w:type="dxa"/>
            <w:shd w:val="clear" w:color="auto" w:fill="auto"/>
            <w:vAlign w:val="center"/>
          </w:tcPr>
          <w:p w14:paraId="3F43251B">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广东明正项目管理有限公司</w:t>
            </w:r>
          </w:p>
        </w:tc>
      </w:tr>
      <w:tr w14:paraId="6AD43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7EBA041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9</w:t>
            </w:r>
          </w:p>
        </w:tc>
        <w:tc>
          <w:tcPr>
            <w:tcW w:w="2433" w:type="dxa"/>
            <w:shd w:val="clear" w:color="auto" w:fill="auto"/>
            <w:vAlign w:val="center"/>
          </w:tcPr>
          <w:p w14:paraId="335E9460">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勘察、设计单位</w:t>
            </w:r>
          </w:p>
        </w:tc>
        <w:tc>
          <w:tcPr>
            <w:tcW w:w="6900" w:type="dxa"/>
            <w:shd w:val="clear" w:color="auto" w:fill="auto"/>
            <w:vAlign w:val="center"/>
          </w:tcPr>
          <w:p w14:paraId="49CDB5E2">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建材广州工程勘测院有限公司、广东省城乡规划设计研究院科技集团股份有限公司、佳风工程设计有限公司</w:t>
            </w:r>
          </w:p>
        </w:tc>
      </w:tr>
      <w:tr w14:paraId="68BA0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3844D270">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10</w:t>
            </w:r>
          </w:p>
        </w:tc>
        <w:tc>
          <w:tcPr>
            <w:tcW w:w="2433" w:type="dxa"/>
            <w:shd w:val="clear" w:color="auto" w:fill="auto"/>
            <w:vAlign w:val="center"/>
          </w:tcPr>
          <w:p w14:paraId="1CC1852F">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造价咨询单位</w:t>
            </w:r>
          </w:p>
        </w:tc>
        <w:tc>
          <w:tcPr>
            <w:tcW w:w="6900" w:type="dxa"/>
            <w:shd w:val="clear" w:color="auto" w:fill="auto"/>
            <w:vAlign w:val="center"/>
          </w:tcPr>
          <w:p w14:paraId="06D44FB9">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☑全过程造价咨询  □非全过程造价咨询</w:t>
            </w:r>
          </w:p>
        </w:tc>
      </w:tr>
      <w:tr w14:paraId="27B4B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FF800B3">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11</w:t>
            </w:r>
          </w:p>
        </w:tc>
        <w:tc>
          <w:tcPr>
            <w:tcW w:w="2433" w:type="dxa"/>
            <w:shd w:val="clear" w:color="auto" w:fill="auto"/>
            <w:vAlign w:val="center"/>
          </w:tcPr>
          <w:p w14:paraId="3EDCB645">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监理单位</w:t>
            </w:r>
          </w:p>
        </w:tc>
        <w:tc>
          <w:tcPr>
            <w:tcW w:w="6900" w:type="dxa"/>
            <w:shd w:val="clear" w:color="auto" w:fill="auto"/>
            <w:vAlign w:val="center"/>
          </w:tcPr>
          <w:p w14:paraId="3ECA6F11">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eastAsia="zh-CN"/>
              </w:rPr>
              <w:t>□</w:t>
            </w:r>
            <w:r>
              <w:rPr>
                <w:rFonts w:hint="eastAsia" w:ascii="宋体" w:hAnsi="宋体" w:eastAsia="宋体" w:cs="宋体"/>
                <w:sz w:val="24"/>
                <w:szCs w:val="24"/>
              </w:rPr>
              <w:t>已确定监理单位</w:t>
            </w:r>
            <w:r>
              <w:rPr>
                <w:rFonts w:hint="eastAsia" w:ascii="宋体" w:hAnsi="宋体" w:eastAsia="宋体" w:cs="宋体"/>
                <w:sz w:val="24"/>
                <w:szCs w:val="24"/>
                <w:lang w:val="en-US" w:eastAsia="zh-CN"/>
              </w:rPr>
              <w:t xml:space="preserve">  </w:t>
            </w:r>
            <w:r>
              <w:rPr>
                <w:rFonts w:hint="eastAsia" w:ascii="宋体" w:hAnsi="宋体" w:eastAsia="宋体" w:cs="宋体"/>
                <w:sz w:val="24"/>
                <w:szCs w:val="24"/>
                <w:lang w:eastAsia="zh-CN"/>
              </w:rPr>
              <w:t>☑未</w:t>
            </w:r>
            <w:r>
              <w:rPr>
                <w:rFonts w:hint="eastAsia" w:ascii="宋体" w:hAnsi="宋体" w:eastAsia="宋体" w:cs="宋体"/>
                <w:sz w:val="24"/>
                <w:szCs w:val="24"/>
              </w:rPr>
              <w:t>确定监理单位</w:t>
            </w:r>
          </w:p>
        </w:tc>
      </w:tr>
      <w:tr w14:paraId="390E6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B1FB57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lang w:eastAsia="zh-CN"/>
              </w:rPr>
              <w:t>1</w:t>
            </w:r>
            <w:r>
              <w:rPr>
                <w:rFonts w:hint="eastAsia" w:ascii="宋体" w:hAnsi="宋体" w:eastAsia="宋体" w:cs="宋体"/>
                <w:sz w:val="24"/>
                <w:szCs w:val="24"/>
              </w:rPr>
              <w:t>2</w:t>
            </w:r>
          </w:p>
        </w:tc>
        <w:tc>
          <w:tcPr>
            <w:tcW w:w="2433" w:type="dxa"/>
            <w:shd w:val="clear" w:color="auto" w:fill="auto"/>
            <w:vAlign w:val="center"/>
          </w:tcPr>
          <w:p w14:paraId="52356A5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建设内容和规模</w:t>
            </w:r>
          </w:p>
        </w:tc>
        <w:tc>
          <w:tcPr>
            <w:tcW w:w="6900" w:type="dxa"/>
            <w:shd w:val="clear" w:color="auto" w:fill="auto"/>
            <w:vAlign w:val="center"/>
          </w:tcPr>
          <w:p w14:paraId="33F48A8B">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eastAsia="zh-CN"/>
              </w:rPr>
              <w:t>☑</w:t>
            </w:r>
            <w:r>
              <w:rPr>
                <w:rFonts w:hint="eastAsia" w:ascii="宋体" w:hAnsi="宋体" w:eastAsia="宋体" w:cs="宋体"/>
                <w:sz w:val="24"/>
                <w:szCs w:val="24"/>
              </w:rPr>
              <w:t>建设内容</w:t>
            </w:r>
            <w:r>
              <w:rPr>
                <w:rFonts w:hint="eastAsia" w:ascii="宋体" w:hAnsi="宋体" w:eastAsia="宋体" w:cs="宋体"/>
                <w:sz w:val="24"/>
                <w:szCs w:val="24"/>
                <w:lang w:eastAsia="zh-CN"/>
              </w:rPr>
              <w:t>及</w:t>
            </w:r>
            <w:r>
              <w:rPr>
                <w:rFonts w:hint="eastAsia" w:ascii="宋体" w:hAnsi="宋体" w:eastAsia="宋体" w:cs="宋体"/>
                <w:sz w:val="24"/>
                <w:szCs w:val="24"/>
              </w:rPr>
              <w:t>建设规模：</w:t>
            </w:r>
            <w:r>
              <w:rPr>
                <w:rFonts w:hint="eastAsia" w:ascii="宋体" w:hAnsi="宋体" w:eastAsia="宋体" w:cs="宋体"/>
                <w:sz w:val="24"/>
                <w:szCs w:val="24"/>
                <w:lang w:val="en-US" w:eastAsia="zh-CN"/>
              </w:rPr>
              <w:t>提升国道323沿线（社主出口至寺前段）、冲下至留村、园区水冲坪等约14公里路域两侧人居环境，外墙提升约4.5万平方，加装空调格约120个、格栅约2430平方、树脂瓦屋檐2605等，店招更新1642平方，道路修复约4500平方，场地硬化约6500平方，完善路网建设新建魔芋基地道路，提升323沿线排水沟约1.5公里，新建村庄雨污排水沟约3.5公里，边坡治理约3处，新建四小园、生态停车场3600平方，增设太阳能路灯约450盏等，对沿线进行绿美广东建设约20公里。</w:t>
            </w:r>
          </w:p>
        </w:tc>
      </w:tr>
      <w:tr w14:paraId="62A53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7C2FF3F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13</w:t>
            </w:r>
          </w:p>
        </w:tc>
        <w:tc>
          <w:tcPr>
            <w:tcW w:w="2433" w:type="dxa"/>
            <w:shd w:val="clear" w:color="auto" w:fill="auto"/>
            <w:vAlign w:val="center"/>
          </w:tcPr>
          <w:p w14:paraId="2640CAF1">
            <w:pPr>
              <w:widowControl w:val="0"/>
              <w:spacing w:line="360" w:lineRule="auto"/>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rPr>
              <w:t>项目总投资</w:t>
            </w:r>
          </w:p>
        </w:tc>
        <w:tc>
          <w:tcPr>
            <w:tcW w:w="6900" w:type="dxa"/>
            <w:shd w:val="clear" w:color="auto" w:fill="auto"/>
            <w:vAlign w:val="center"/>
          </w:tcPr>
          <w:p w14:paraId="05F12A89">
            <w:pPr>
              <w:widowControl w:val="0"/>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项目概算总投资2470.45万元，其中工程费用2122.28万元，工程建设其他费用230.53万元，预备费用117.64万元。</w:t>
            </w:r>
          </w:p>
        </w:tc>
      </w:tr>
      <w:tr w14:paraId="4469B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45183B32">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14</w:t>
            </w:r>
          </w:p>
        </w:tc>
        <w:tc>
          <w:tcPr>
            <w:tcW w:w="2433" w:type="dxa"/>
            <w:shd w:val="clear" w:color="auto" w:fill="auto"/>
            <w:vAlign w:val="top"/>
          </w:tcPr>
          <w:p w14:paraId="4B99760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招标范围</w:t>
            </w:r>
          </w:p>
        </w:tc>
        <w:tc>
          <w:tcPr>
            <w:tcW w:w="6900" w:type="dxa"/>
            <w:shd w:val="clear" w:color="auto" w:fill="auto"/>
            <w:vAlign w:val="top"/>
          </w:tcPr>
          <w:p w14:paraId="55D2EF94">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rPr>
              <w:t>按审查合格的施工图纸及工程量清单内容施工</w:t>
            </w:r>
            <w:r>
              <w:rPr>
                <w:rFonts w:hint="eastAsia" w:ascii="宋体" w:hAnsi="宋体" w:eastAsia="宋体" w:cs="宋体"/>
                <w:sz w:val="24"/>
                <w:szCs w:val="24"/>
                <w:lang w:eastAsia="zh-CN"/>
              </w:rPr>
              <w:t>。</w:t>
            </w:r>
          </w:p>
        </w:tc>
      </w:tr>
      <w:tr w14:paraId="6D934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2E9C444B">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15</w:t>
            </w:r>
          </w:p>
        </w:tc>
        <w:tc>
          <w:tcPr>
            <w:tcW w:w="2433" w:type="dxa"/>
            <w:shd w:val="clear" w:color="auto" w:fill="auto"/>
            <w:vAlign w:val="center"/>
          </w:tcPr>
          <w:p w14:paraId="5ECF0E2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标段划分</w:t>
            </w:r>
          </w:p>
        </w:tc>
        <w:tc>
          <w:tcPr>
            <w:tcW w:w="6900" w:type="dxa"/>
            <w:shd w:val="clear" w:color="auto" w:fill="auto"/>
            <w:vAlign w:val="center"/>
          </w:tcPr>
          <w:p w14:paraId="334CEEFE">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本招标项目不划分标段。</w:t>
            </w:r>
          </w:p>
        </w:tc>
      </w:tr>
      <w:tr w14:paraId="36A9D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509B7E70">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16</w:t>
            </w:r>
          </w:p>
        </w:tc>
        <w:tc>
          <w:tcPr>
            <w:tcW w:w="2433" w:type="dxa"/>
            <w:shd w:val="clear" w:color="auto" w:fill="auto"/>
            <w:vAlign w:val="center"/>
          </w:tcPr>
          <w:p w14:paraId="7F21C96C">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工期</w:t>
            </w:r>
          </w:p>
        </w:tc>
        <w:tc>
          <w:tcPr>
            <w:tcW w:w="6900" w:type="dxa"/>
            <w:shd w:val="clear" w:color="auto" w:fill="auto"/>
            <w:vAlign w:val="top"/>
          </w:tcPr>
          <w:p w14:paraId="5B72EFA7">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本招标项目招标工期为个日历天。具体如下：</w:t>
            </w:r>
          </w:p>
          <w:p w14:paraId="0BE99AF0">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总工期：</w:t>
            </w:r>
            <w:r>
              <w:rPr>
                <w:rFonts w:hint="eastAsia" w:ascii="宋体" w:hAnsi="宋体" w:eastAsia="宋体" w:cs="宋体"/>
                <w:sz w:val="24"/>
                <w:szCs w:val="24"/>
                <w:lang w:val="en-US" w:eastAsia="zh-CN"/>
              </w:rPr>
              <w:t>180天</w:t>
            </w:r>
            <w:r>
              <w:rPr>
                <w:rFonts w:hint="eastAsia" w:ascii="宋体" w:hAnsi="宋体" w:eastAsia="宋体" w:cs="宋体"/>
                <w:sz w:val="24"/>
                <w:szCs w:val="24"/>
              </w:rPr>
              <w:t>（日历天）。</w:t>
            </w:r>
          </w:p>
          <w:p w14:paraId="03B5A72B">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计划开工日期</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日（具体开工日期以合同为准）</w:t>
            </w:r>
          </w:p>
          <w:p w14:paraId="603B74AA">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计划竣工日期：</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年</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月</w:t>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t>日</w:t>
            </w:r>
          </w:p>
          <w:p w14:paraId="54FEDF04">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□除上述总工期外，发包人还要求以下阶段工期：</w:t>
            </w:r>
          </w:p>
        </w:tc>
      </w:tr>
      <w:tr w14:paraId="1F679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155CB24">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17</w:t>
            </w:r>
          </w:p>
        </w:tc>
        <w:tc>
          <w:tcPr>
            <w:tcW w:w="2433" w:type="dxa"/>
            <w:shd w:val="clear" w:color="auto" w:fill="auto"/>
            <w:vAlign w:val="center"/>
          </w:tcPr>
          <w:p w14:paraId="428AB34E">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质量标准</w:t>
            </w:r>
          </w:p>
        </w:tc>
        <w:tc>
          <w:tcPr>
            <w:tcW w:w="6900" w:type="dxa"/>
            <w:shd w:val="clear" w:color="auto" w:fill="auto"/>
            <w:vAlign w:val="top"/>
          </w:tcPr>
          <w:p w14:paraId="0EFDB54D">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☑质量目标：合格</w:t>
            </w:r>
          </w:p>
          <w:p w14:paraId="4DF09D02">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☑质量标准：工程质量标准须达到《建筑工程施工质量验收统一标准》(GB50300-2013)合格。</w:t>
            </w:r>
          </w:p>
          <w:p w14:paraId="27731853">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val="en-US" w:eastAsia="zh-CN"/>
              </w:rPr>
              <w:t>□优质工程要求：无/市优/省优/.....</w:t>
            </w:r>
          </w:p>
          <w:p w14:paraId="0F033577">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工程优质费：☑无     □有：</w:t>
            </w:r>
          </w:p>
        </w:tc>
      </w:tr>
      <w:tr w14:paraId="4266C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2BBF24D3">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18</w:t>
            </w:r>
          </w:p>
        </w:tc>
        <w:tc>
          <w:tcPr>
            <w:tcW w:w="2433" w:type="dxa"/>
            <w:shd w:val="clear" w:color="auto" w:fill="auto"/>
            <w:vAlign w:val="center"/>
          </w:tcPr>
          <w:p w14:paraId="49A3AEE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合同类型</w:t>
            </w:r>
          </w:p>
        </w:tc>
        <w:tc>
          <w:tcPr>
            <w:tcW w:w="6900" w:type="dxa"/>
            <w:shd w:val="clear" w:color="auto" w:fill="auto"/>
            <w:vAlign w:val="top"/>
          </w:tcPr>
          <w:p w14:paraId="3C5B1021">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单价合同：发承包双方约定以工程量清单及其综合单价进行合同价款计算、调整和确认的建设工程施工合同。</w:t>
            </w:r>
          </w:p>
          <w:p w14:paraId="7EDC46A5">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注：实行工程量清单计价的工程，应采用单价合同方式，即合同中的工程量清单项目综合单价在合同约定的条件内固定不变（不正常报价除外，这部分按招标文件、合同约定的原则调整综合单价），超过合同约定条件时，依据合同约定进行调整；工程量清单项目及工程量依据承包人实际完成且应予计量的工程量确定。</w:t>
            </w:r>
          </w:p>
          <w:p w14:paraId="2452E025">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□总价合同：发承包双方约定以施工图及其预算和有关条件进行合同价款计算、调整和确认的建设工程施工合同。</w:t>
            </w:r>
          </w:p>
          <w:p w14:paraId="6CC7D6B3">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注：总价合同是以施工图纸、规范为基础，在工程任务内容明确、发包人的要求条件清楚、计价依据和要求确定的条件下，发承包双方依据承包人编制的施工图预算商谈确定合同价款。当合同约定工程施工内容和有关条件不发生变化时，发包人付给承包人的工程价款总额保持不变。当工程施工内容和有关条件发生变化时，发承包双方根据变化情况和合同约定仅调整发生变化部分的工程价款，且对工程量变化引起的合同价款调整应遵循现行建设工程工程量清单计价规范原则。</w:t>
            </w:r>
          </w:p>
        </w:tc>
      </w:tr>
      <w:tr w14:paraId="4BB3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355AB5E3">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19</w:t>
            </w:r>
          </w:p>
        </w:tc>
        <w:tc>
          <w:tcPr>
            <w:tcW w:w="2433" w:type="dxa"/>
            <w:shd w:val="clear" w:color="auto" w:fill="auto"/>
            <w:vAlign w:val="top"/>
          </w:tcPr>
          <w:p w14:paraId="1B27397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房屋建筑工程绿色建筑标准</w:t>
            </w:r>
          </w:p>
        </w:tc>
        <w:tc>
          <w:tcPr>
            <w:tcW w:w="6900" w:type="dxa"/>
            <w:shd w:val="clear" w:color="auto" w:fill="auto"/>
            <w:vAlign w:val="center"/>
          </w:tcPr>
          <w:p w14:paraId="11172871">
            <w:pPr>
              <w:widowControl w:val="0"/>
              <w:spacing w:line="360" w:lineRule="auto"/>
              <w:jc w:val="left"/>
              <w:rPr>
                <w:rFonts w:hint="eastAsia" w:ascii="宋体" w:hAnsi="宋体" w:eastAsia="宋体" w:cs="宋体"/>
                <w:sz w:val="24"/>
                <w:szCs w:val="24"/>
                <w:lang w:val="en-US" w:eastAsia="en-US"/>
              </w:rPr>
            </w:pPr>
            <w:r>
              <w:rPr>
                <w:rFonts w:hint="eastAsia" w:ascii="宋体" w:hAnsi="宋体" w:eastAsia="宋体" w:cs="宋体"/>
                <w:sz w:val="24"/>
                <w:szCs w:val="24"/>
              </w:rPr>
              <w:t>本招标项目</w:t>
            </w:r>
            <w:r>
              <w:rPr>
                <w:rFonts w:hint="eastAsia" w:ascii="宋体" w:hAnsi="宋体" w:eastAsia="宋体" w:cs="宋体"/>
                <w:sz w:val="24"/>
                <w:szCs w:val="24"/>
                <w:lang w:eastAsia="zh-CN"/>
              </w:rPr>
              <w:t>不</w:t>
            </w:r>
            <w:r>
              <w:rPr>
                <w:rFonts w:hint="eastAsia" w:ascii="宋体" w:hAnsi="宋体" w:eastAsia="宋体" w:cs="宋体"/>
                <w:sz w:val="24"/>
                <w:szCs w:val="24"/>
              </w:rPr>
              <w:t>纳入绿色建设实施范围</w:t>
            </w:r>
            <w:r>
              <w:rPr>
                <w:rFonts w:hint="eastAsia" w:ascii="宋体" w:hAnsi="宋体" w:eastAsia="宋体" w:cs="宋体"/>
                <w:sz w:val="24"/>
                <w:szCs w:val="24"/>
                <w:lang w:eastAsia="zh-CN"/>
              </w:rPr>
              <w:t>。</w:t>
            </w:r>
          </w:p>
        </w:tc>
      </w:tr>
      <w:tr w14:paraId="669B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64E1189C">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19.1</w:t>
            </w:r>
          </w:p>
        </w:tc>
        <w:tc>
          <w:tcPr>
            <w:tcW w:w="2433" w:type="dxa"/>
            <w:shd w:val="clear" w:color="auto" w:fill="auto"/>
            <w:vAlign w:val="center"/>
          </w:tcPr>
          <w:p w14:paraId="309D3E2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装配式建筑标准</w:t>
            </w:r>
          </w:p>
        </w:tc>
        <w:tc>
          <w:tcPr>
            <w:tcW w:w="6900" w:type="dxa"/>
            <w:shd w:val="clear" w:color="auto" w:fill="auto"/>
            <w:vAlign w:val="center"/>
          </w:tcPr>
          <w:p w14:paraId="77AC63B3">
            <w:pPr>
              <w:widowControl w:val="0"/>
              <w:spacing w:line="360" w:lineRule="auto"/>
              <w:jc w:val="left"/>
              <w:rPr>
                <w:rFonts w:hint="eastAsia" w:ascii="宋体" w:hAnsi="宋体" w:eastAsia="宋体" w:cs="宋体"/>
                <w:sz w:val="24"/>
                <w:szCs w:val="24"/>
                <w:lang w:val="en-US" w:eastAsia="zh-CN"/>
              </w:rPr>
            </w:pPr>
            <w:r>
              <w:rPr>
                <w:rFonts w:hint="eastAsia" w:ascii="宋体" w:hAnsi="宋体" w:eastAsia="宋体" w:cs="宋体"/>
                <w:sz w:val="24"/>
                <w:szCs w:val="24"/>
              </w:rPr>
              <w:t>本招标项目</w:t>
            </w:r>
            <w:r>
              <w:rPr>
                <w:rFonts w:hint="eastAsia" w:ascii="宋体" w:hAnsi="宋体" w:eastAsia="宋体" w:cs="宋体"/>
                <w:sz w:val="24"/>
                <w:szCs w:val="24"/>
                <w:lang w:eastAsia="zh-CN"/>
              </w:rPr>
              <w:t>不</w:t>
            </w:r>
            <w:r>
              <w:rPr>
                <w:rFonts w:hint="eastAsia" w:ascii="宋体" w:hAnsi="宋体" w:eastAsia="宋体" w:cs="宋体"/>
                <w:sz w:val="24"/>
                <w:szCs w:val="24"/>
              </w:rPr>
              <w:t>纳入装配式建造建设实施范围</w:t>
            </w:r>
            <w:r>
              <w:rPr>
                <w:rFonts w:hint="eastAsia" w:ascii="宋体" w:hAnsi="宋体" w:eastAsia="宋体" w:cs="宋体"/>
                <w:sz w:val="24"/>
                <w:szCs w:val="24"/>
                <w:lang w:eastAsia="zh-CN"/>
              </w:rPr>
              <w:t>。</w:t>
            </w:r>
          </w:p>
        </w:tc>
      </w:tr>
      <w:tr w14:paraId="036DC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0E3E83EE">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20</w:t>
            </w:r>
          </w:p>
        </w:tc>
        <w:tc>
          <w:tcPr>
            <w:tcW w:w="2433" w:type="dxa"/>
            <w:shd w:val="clear" w:color="auto" w:fill="auto"/>
            <w:vAlign w:val="center"/>
          </w:tcPr>
          <w:p w14:paraId="51326562">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发包人提供材料和工程设备</w:t>
            </w:r>
          </w:p>
        </w:tc>
        <w:tc>
          <w:tcPr>
            <w:tcW w:w="6900" w:type="dxa"/>
            <w:shd w:val="clear" w:color="auto" w:fill="auto"/>
            <w:vAlign w:val="top"/>
          </w:tcPr>
          <w:p w14:paraId="0E9A7FE9">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 xml:space="preserve">发包人提供材料和工程设备： </w:t>
            </w:r>
            <w:r>
              <w:rPr>
                <w:rFonts w:hint="eastAsia" w:ascii="宋体" w:hAnsi="宋体" w:eastAsia="宋体" w:cs="宋体"/>
                <w:sz w:val="24"/>
                <w:szCs w:val="24"/>
                <w:lang w:eastAsia="zh-CN"/>
              </w:rPr>
              <w:t>☑</w:t>
            </w:r>
            <w:r>
              <w:rPr>
                <w:rFonts w:hint="eastAsia" w:ascii="宋体" w:hAnsi="宋体" w:eastAsia="宋体" w:cs="宋体"/>
                <w:sz w:val="24"/>
                <w:szCs w:val="24"/>
              </w:rPr>
              <w:t xml:space="preserve">无     □有：  </w:t>
            </w:r>
            <w:r>
              <w:rPr>
                <w:rFonts w:hint="eastAsia" w:ascii="宋体" w:hAnsi="宋体" w:eastAsia="宋体" w:cs="宋体"/>
                <w:sz w:val="24"/>
                <w:szCs w:val="24"/>
                <w:lang w:val="en-US" w:eastAsia="zh-CN"/>
              </w:rPr>
              <w:t xml:space="preserve">  /  </w:t>
            </w:r>
            <w:r>
              <w:rPr>
                <w:rFonts w:hint="eastAsia" w:ascii="宋体" w:hAnsi="宋体" w:eastAsia="宋体" w:cs="宋体"/>
                <w:sz w:val="24"/>
                <w:szCs w:val="24"/>
              </w:rPr>
              <w:t xml:space="preserve">   </w:t>
            </w:r>
          </w:p>
        </w:tc>
      </w:tr>
      <w:tr w14:paraId="0AEF8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59886C5F">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21</w:t>
            </w:r>
          </w:p>
        </w:tc>
        <w:tc>
          <w:tcPr>
            <w:tcW w:w="2433" w:type="dxa"/>
            <w:shd w:val="clear" w:color="auto" w:fill="auto"/>
            <w:vAlign w:val="center"/>
          </w:tcPr>
          <w:p w14:paraId="6F7E02A3">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承包人提供材料和工程设备</w:t>
            </w:r>
          </w:p>
        </w:tc>
        <w:tc>
          <w:tcPr>
            <w:tcW w:w="6900" w:type="dxa"/>
            <w:shd w:val="clear" w:color="auto" w:fill="auto"/>
            <w:vAlign w:val="top"/>
          </w:tcPr>
          <w:p w14:paraId="57BC61FA">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除招标文件约定的发包人提供的甲供材料外，合同工程所需的材料和工程设备应由承包人负责采购、运输和保管，并对其采购的材料和工程设备提供质量证明文件，满足合同约定的质量标准。若承包人提供的材料和工程设备没有合格证明材料或经检测不符合合同约定的质量标准，应立即更换，由此增加的费用和（或）工期延误由承包人承担。对发包人要求检测承包人己具有合格证明的材料、工程设备，但经检测证明该项材料、工程设备符合合同约定的质量标准的，发包人应承担由此增加的费用和（或）工期延误，并向承包人支付合理利润。</w:t>
            </w:r>
          </w:p>
          <w:p w14:paraId="16E2CD86">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val="en-US" w:eastAsia="zh-CN"/>
              </w:rPr>
              <w:t>□其它说明：鼓励承包人积极采购环保产品进行施工。</w:t>
            </w:r>
          </w:p>
        </w:tc>
      </w:tr>
      <w:tr w14:paraId="1B6FD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55F0A89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22</w:t>
            </w:r>
          </w:p>
        </w:tc>
        <w:tc>
          <w:tcPr>
            <w:tcW w:w="2433" w:type="dxa"/>
            <w:shd w:val="clear" w:color="auto" w:fill="auto"/>
            <w:vAlign w:val="center"/>
          </w:tcPr>
          <w:p w14:paraId="0040D2F1">
            <w:pPr>
              <w:widowControl w:val="0"/>
              <w:spacing w:line="360" w:lineRule="auto"/>
              <w:jc w:val="center"/>
              <w:rPr>
                <w:rFonts w:hint="eastAsia" w:ascii="宋体" w:hAnsi="宋体" w:eastAsia="宋体" w:cs="宋体"/>
                <w:color w:val="auto"/>
                <w:sz w:val="24"/>
                <w:szCs w:val="24"/>
                <w:lang w:val="en-US" w:eastAsia="en-US"/>
              </w:rPr>
            </w:pPr>
            <w:r>
              <w:rPr>
                <w:rFonts w:hint="eastAsia" w:ascii="宋体" w:hAnsi="宋体" w:eastAsia="宋体" w:cs="宋体"/>
                <w:color w:val="auto"/>
                <w:sz w:val="24"/>
                <w:szCs w:val="24"/>
                <w:lang w:val="en-US" w:eastAsia="zh-CN"/>
              </w:rPr>
              <w:t>最高投标限价</w:t>
            </w:r>
          </w:p>
        </w:tc>
        <w:tc>
          <w:tcPr>
            <w:tcW w:w="6900" w:type="dxa"/>
            <w:shd w:val="clear" w:color="auto" w:fill="auto"/>
            <w:vAlign w:val="center"/>
          </w:tcPr>
          <w:p w14:paraId="12F4D4DA">
            <w:pPr>
              <w:widowControl w:val="0"/>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eastAsia="zh-CN"/>
              </w:rPr>
              <w:t>根据韶关市发展和改革局关于印发《关于韶关市“百县干镇万村高质量发展工程”项目规范化便利化实施的指导意见(试行)》的通知(韶发改投资(2024)8号)，本招标项目招标控制价、工程量清单在开标前7天另行发布于全国公共资源交易平台（广东省·韶关市）（https://ygp.gdzwfw.gov.cn/ggzy-portal/#/440200/index）、广东省招标投标监管网（https://www.gdzwfw.gov.cn/ztbjg-portal/#/index）网站。</w:t>
            </w:r>
          </w:p>
        </w:tc>
      </w:tr>
      <w:tr w14:paraId="52F01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329D38D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23</w:t>
            </w:r>
          </w:p>
        </w:tc>
        <w:tc>
          <w:tcPr>
            <w:tcW w:w="2433" w:type="dxa"/>
            <w:shd w:val="clear" w:color="auto" w:fill="auto"/>
            <w:vAlign w:val="center"/>
          </w:tcPr>
          <w:p w14:paraId="527E6803">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投标人的投标报价</w:t>
            </w:r>
          </w:p>
        </w:tc>
        <w:tc>
          <w:tcPr>
            <w:tcW w:w="6900" w:type="dxa"/>
            <w:shd w:val="clear" w:color="auto" w:fill="auto"/>
            <w:vAlign w:val="center"/>
          </w:tcPr>
          <w:p w14:paraId="16167333">
            <w:pPr>
              <w:widowControl w:val="0"/>
              <w:spacing w:before="117" w:line="360" w:lineRule="auto"/>
              <w:ind w:right="4" w:firstLine="238" w:firstLineChars="100"/>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投标人投标时响应招标文件要求所报出的对已标价工程量清单</w:t>
            </w:r>
            <w:r>
              <w:rPr>
                <w:rFonts w:hint="eastAsia" w:ascii="宋体" w:hAnsi="宋体" w:eastAsia="宋体" w:cs="宋体"/>
                <w:color w:val="auto"/>
                <w:sz w:val="24"/>
                <w:szCs w:val="24"/>
                <w:highlight w:val="none"/>
              </w:rPr>
              <w:t>汇总后标明的总价。投标人在投标报价填写</w:t>
            </w:r>
            <w:r>
              <w:rPr>
                <w:rFonts w:hint="eastAsia" w:ascii="宋体" w:hAnsi="宋体" w:eastAsia="宋体" w:cs="宋体"/>
                <w:color w:val="auto"/>
                <w:spacing w:val="-1"/>
                <w:sz w:val="24"/>
                <w:szCs w:val="24"/>
                <w:highlight w:val="none"/>
              </w:rPr>
              <w:t>的工程量清单的项目编</w:t>
            </w:r>
            <w:r>
              <w:rPr>
                <w:rFonts w:hint="eastAsia" w:ascii="宋体" w:hAnsi="宋体" w:eastAsia="宋体" w:cs="宋体"/>
                <w:color w:val="auto"/>
                <w:spacing w:val="-3"/>
                <w:sz w:val="24"/>
                <w:szCs w:val="24"/>
                <w:highlight w:val="none"/>
              </w:rPr>
              <w:t>码、项目名称、项目特征、计量单位、工程数量必须与招标人招标文</w:t>
            </w:r>
            <w:r>
              <w:rPr>
                <w:rFonts w:hint="eastAsia" w:ascii="宋体" w:hAnsi="宋体" w:eastAsia="宋体" w:cs="宋体"/>
                <w:color w:val="auto"/>
                <w:sz w:val="24"/>
                <w:szCs w:val="24"/>
                <w:highlight w:val="none"/>
              </w:rPr>
              <w:t>件中提供的一致，投标价不能低于工程成本</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3"/>
                <w:sz w:val="24"/>
                <w:szCs w:val="24"/>
                <w:highlight w:val="none"/>
              </w:rPr>
              <w:t>高于最高投标限价。</w:t>
            </w:r>
          </w:p>
          <w:p w14:paraId="57CB68D4">
            <w:pPr>
              <w:keepNext w:val="0"/>
              <w:keepLines w:val="0"/>
              <w:pageBreakBefore w:val="0"/>
              <w:widowControl/>
              <w:kinsoku/>
              <w:wordWrap/>
              <w:overflowPunct/>
              <w:topLinePunct w:val="0"/>
              <w:autoSpaceDE/>
              <w:autoSpaceDN/>
              <w:bidi w:val="0"/>
              <w:snapToGrid w:val="0"/>
              <w:spacing w:line="360" w:lineRule="auto"/>
              <w:ind w:firstLine="236" w:firstLineChars="100"/>
              <w:jc w:val="both"/>
              <w:rPr>
                <w:rFonts w:hint="eastAsia" w:ascii="宋体" w:hAnsi="宋体" w:eastAsia="宋体" w:cs="宋体"/>
                <w:color w:val="auto"/>
                <w:spacing w:val="-2"/>
                <w:sz w:val="24"/>
                <w:szCs w:val="24"/>
                <w:highlight w:val="none"/>
                <w:lang w:val="en-US" w:eastAsia="zh-CN"/>
              </w:rPr>
            </w:pPr>
            <w:r>
              <w:rPr>
                <w:rFonts w:hint="eastAsia" w:ascii="宋体" w:hAnsi="宋体" w:eastAsia="宋体" w:cs="宋体"/>
                <w:color w:val="auto"/>
                <w:spacing w:val="-2"/>
                <w:sz w:val="24"/>
                <w:szCs w:val="24"/>
                <w:highlight w:val="none"/>
              </w:rPr>
              <w:t>投标报价方式：</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2"/>
                <w:sz w:val="24"/>
                <w:szCs w:val="24"/>
                <w:highlight w:val="none"/>
                <w:lang w:eastAsia="zh-CN"/>
              </w:rPr>
              <w:t>☑</w:t>
            </w:r>
            <w:r>
              <w:rPr>
                <w:rFonts w:hint="eastAsia" w:ascii="宋体" w:hAnsi="宋体" w:eastAsia="宋体" w:cs="宋体"/>
                <w:color w:val="auto"/>
                <w:spacing w:val="-2"/>
                <w:sz w:val="24"/>
                <w:szCs w:val="24"/>
                <w:highlight w:val="none"/>
              </w:rPr>
              <w:t>工程量清单报</w:t>
            </w:r>
            <w:r>
              <w:rPr>
                <w:rFonts w:hint="eastAsia" w:ascii="宋体" w:hAnsi="宋体" w:eastAsia="宋体" w:cs="宋体"/>
                <w:color w:val="auto"/>
                <w:spacing w:val="-2"/>
                <w:sz w:val="24"/>
                <w:szCs w:val="24"/>
                <w:highlight w:val="none"/>
                <w:lang w:val="en-US" w:eastAsia="zh-CN"/>
              </w:rPr>
              <w:t>价</w:t>
            </w:r>
          </w:p>
          <w:p w14:paraId="6921948C">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color w:val="auto"/>
                <w:spacing w:val="-4"/>
                <w:sz w:val="24"/>
                <w:szCs w:val="24"/>
                <w:highlight w:val="none"/>
                <w:lang w:val="en-US" w:eastAsia="zh-CN"/>
              </w:rPr>
              <w:t>投标报价时，应按《广东省建设工程计价依据（2018）》规定的费率报价，若招标工程量清单明确说明不计算预算包干费或另外确定预算包干费费率的，则按招标工程量清单报价。</w:t>
            </w:r>
          </w:p>
        </w:tc>
      </w:tr>
      <w:tr w14:paraId="2068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4B7A0E0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24</w:t>
            </w:r>
          </w:p>
        </w:tc>
        <w:tc>
          <w:tcPr>
            <w:tcW w:w="2433" w:type="dxa"/>
            <w:shd w:val="clear" w:color="auto" w:fill="auto"/>
            <w:vAlign w:val="center"/>
          </w:tcPr>
          <w:p w14:paraId="03F6EBCF">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投标报价风险</w:t>
            </w:r>
          </w:p>
        </w:tc>
        <w:tc>
          <w:tcPr>
            <w:tcW w:w="6900" w:type="dxa"/>
            <w:shd w:val="clear" w:color="auto" w:fill="auto"/>
            <w:vAlign w:val="center"/>
          </w:tcPr>
          <w:p w14:paraId="7B7150DB">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投标人依据招标文件约定自行考虑风险因素，一旦中标，投标报价（合同价）除合同另有约定外将不因市场变化而调整。</w:t>
            </w:r>
          </w:p>
          <w:p w14:paraId="0F92DFF4">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投标报价中应包括工程量清单项目所发生的人工费、材料费、机具费、管理费、利润、措施项目费、其它项目费、税金、暂列金额、暂估价以及所有风险、责任等各项费用。</w:t>
            </w:r>
          </w:p>
          <w:p w14:paraId="13528EC9">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人工费、材料费、机具费、管理费、利润、措施项目费（不含绿色施工安全防护措施费）投标人漏报或不报，招标人视为有关费用已包括在工程量清单项目的其它单价及合价中不予另外增加。</w:t>
            </w:r>
          </w:p>
          <w:p w14:paraId="4DB36620">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措施项目中的绿色施工安全防护措施费，必须按国家、省级、市级（即工程所在地）行业建设主管部门的规定计算，不得作为竞争性费用。</w:t>
            </w:r>
          </w:p>
          <w:p w14:paraId="3EE6FF84">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投标人应按照招标文件提供的工程量清单逐项填写单价和合价，投标人未填写的项目，招标人将视为此项费用已包括在工程量清单项目的其它单价及合价中不予另外增加。</w:t>
            </w:r>
          </w:p>
          <w:p w14:paraId="6DDEAE0E">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投标人应按《广东省建设工程计价依据（2018）》规定的费率对预算包干费进行报价，若招标工程量清单明确说明不计算预算包干费或另外确定预算包干费费率的，则按招标工程量清单报价，若投标人不按规定报价的，则中标后无条件接受招标人对投标报价的调整。</w:t>
            </w:r>
          </w:p>
          <w:p w14:paraId="402BD009">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招标人向投标人提供的有关施工现场资料及数据，是招标人现有的能使投标人利用的资料，招标人对投标人据此作出的推论及理解概不负责。</w:t>
            </w:r>
          </w:p>
          <w:p w14:paraId="7CCE3335">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投标人应依据招标人提供的所有资料和自己对现场查勘来编 制投标文件，并对招标人提供的所有资料的理解、推断和应用负责。在投标人提交其投标文件之前，视为已经考虑了现场及其周围环境的影响，中标后</w:t>
            </w:r>
            <w:r>
              <w:rPr>
                <w:rFonts w:hint="eastAsia" w:ascii="宋体" w:hAnsi="宋体" w:eastAsia="宋体" w:cs="宋体"/>
                <w:sz w:val="24"/>
                <w:szCs w:val="24"/>
                <w:lang w:eastAsia="zh-CN"/>
              </w:rPr>
              <w:t>，</w:t>
            </w:r>
            <w:r>
              <w:rPr>
                <w:rFonts w:hint="eastAsia" w:ascii="宋体" w:hAnsi="宋体" w:eastAsia="宋体" w:cs="宋体"/>
                <w:sz w:val="24"/>
                <w:szCs w:val="24"/>
              </w:rPr>
              <w:t>不得以不完全了解现场情况为理由提出追加款项或者延长工期等索赔的要求。</w:t>
            </w:r>
          </w:p>
          <w:p w14:paraId="45FEF91A">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eastAsia="zh-CN"/>
              </w:rPr>
              <w:t>☑</w:t>
            </w:r>
            <w:r>
              <w:rPr>
                <w:rFonts w:hint="eastAsia" w:ascii="宋体" w:hAnsi="宋体" w:eastAsia="宋体" w:cs="宋体"/>
                <w:sz w:val="24"/>
                <w:szCs w:val="24"/>
              </w:rPr>
              <w:t>错漏项的认定。中标人已标价工程量清单中，任一清单项目未填报价格或价格为零的，招标人将视为此项费用已包括在工程量清单项目的其它单价及合价中不予另外增加。</w:t>
            </w:r>
          </w:p>
        </w:tc>
      </w:tr>
      <w:tr w14:paraId="709F1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5C233C0E">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25</w:t>
            </w:r>
          </w:p>
        </w:tc>
        <w:tc>
          <w:tcPr>
            <w:tcW w:w="2433" w:type="dxa"/>
            <w:shd w:val="clear" w:color="auto" w:fill="auto"/>
            <w:vAlign w:val="top"/>
          </w:tcPr>
          <w:p w14:paraId="2D1B82A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投标费用</w:t>
            </w:r>
          </w:p>
        </w:tc>
        <w:tc>
          <w:tcPr>
            <w:tcW w:w="6900" w:type="dxa"/>
            <w:shd w:val="clear" w:color="auto" w:fill="auto"/>
            <w:vAlign w:val="top"/>
          </w:tcPr>
          <w:p w14:paraId="7CDA7483">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投标人自行承担编制与递交投标文件的一切费用。</w:t>
            </w:r>
          </w:p>
        </w:tc>
      </w:tr>
      <w:tr w14:paraId="58AFF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71CB935B">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26</w:t>
            </w:r>
          </w:p>
        </w:tc>
        <w:tc>
          <w:tcPr>
            <w:tcW w:w="2433" w:type="dxa"/>
            <w:shd w:val="clear" w:color="auto" w:fill="auto"/>
            <w:vAlign w:val="center"/>
          </w:tcPr>
          <w:p w14:paraId="149F19F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投标人资格要求</w:t>
            </w:r>
          </w:p>
        </w:tc>
        <w:tc>
          <w:tcPr>
            <w:tcW w:w="6900" w:type="dxa"/>
            <w:shd w:val="clear" w:color="auto" w:fill="auto"/>
            <w:vAlign w:val="center"/>
          </w:tcPr>
          <w:p w14:paraId="6F4A32E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1.本工程不接受联合体投标。</w:t>
            </w:r>
          </w:p>
          <w:p w14:paraId="4510D3D3">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val="en-US" w:eastAsia="zh-CN"/>
              </w:rPr>
              <w:t>.</w:t>
            </w:r>
            <w:r>
              <w:rPr>
                <w:rFonts w:hint="eastAsia" w:ascii="宋体" w:hAnsi="宋体" w:eastAsia="宋体" w:cs="宋体"/>
                <w:sz w:val="24"/>
                <w:szCs w:val="24"/>
              </w:rPr>
              <w:t>资质要求</w:t>
            </w:r>
          </w:p>
          <w:p w14:paraId="2B169A4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2.1投标人须具备独立法人资格，按国家法律经营。</w:t>
            </w:r>
          </w:p>
          <w:p w14:paraId="77FFCE20">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2.2投标人须持有建设行政主管部门颁发的企业资质证书及安全生产许可证。</w:t>
            </w:r>
          </w:p>
          <w:p w14:paraId="4BED6B51">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2.3投标人须具备以下资质：市政公用工程施工总承包叁级以上（含叁级）资质。</w:t>
            </w:r>
          </w:p>
          <w:p w14:paraId="693E6215">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w:t>
            </w:r>
            <w:r>
              <w:rPr>
                <w:rFonts w:hint="eastAsia" w:ascii="宋体" w:hAnsi="宋体" w:eastAsia="宋体" w:cs="宋体"/>
                <w:sz w:val="24"/>
                <w:szCs w:val="24"/>
              </w:rPr>
              <w:t>相关人员要求</w:t>
            </w:r>
          </w:p>
          <w:p w14:paraId="1719950E">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3.1拟派项目经理为市政公用工程专业一级或二级注册建造师，应持有住建部门印发的在使用有效期内的有效电子注册证书（根据广东省住房和城乡建设厅（粤建市函〔2023〕469 号）文件精神，二级注册建造师可随注册企业在全国范围内执业）。同时均须具备有效安全生产考核合格证明（B证），且未担任其他在施（包括已中标未开工、已开工未竣工）建设工程项目的项目经理。</w:t>
            </w:r>
          </w:p>
          <w:p w14:paraId="2D5CF81B">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3.2拟派项目技术负责人须具备</w:t>
            </w:r>
            <w:r>
              <w:rPr>
                <w:rFonts w:hint="eastAsia" w:ascii="宋体" w:hAnsi="宋体" w:eastAsia="宋体" w:cs="宋体"/>
                <w:sz w:val="24"/>
                <w:szCs w:val="24"/>
                <w:lang w:eastAsia="zh-CN"/>
              </w:rPr>
              <w:t>市政工程</w:t>
            </w:r>
            <w:r>
              <w:rPr>
                <w:rFonts w:hint="eastAsia" w:ascii="宋体" w:hAnsi="宋体" w:eastAsia="宋体" w:cs="宋体"/>
                <w:sz w:val="24"/>
                <w:szCs w:val="24"/>
              </w:rPr>
              <w:t>相关专业中级或以上技术职称。</w:t>
            </w:r>
          </w:p>
          <w:p w14:paraId="6ADA233A">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3.3投标人拟派专职安全生产管理人员须具备有效安全生产考核合格证明（C证，安全生产考核合格证书或“广东省建筑施工企业管理人员安全生产考核系统”考核合格信息打印页），且不少于1人。</w:t>
            </w:r>
          </w:p>
          <w:p w14:paraId="4D987731">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3.4投标人与其拟派往本项目管理机构的所有人员之间必须具备合法、唯一的劳动聘用关系。拟派人员中具备注册执业资格的，其注册单位须与投标人保持一致。</w:t>
            </w:r>
          </w:p>
          <w:p w14:paraId="76FD9CE0">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val="en-US" w:eastAsia="zh-CN"/>
              </w:rPr>
              <w:t>.</w:t>
            </w:r>
            <w:r>
              <w:rPr>
                <w:rFonts w:hint="eastAsia" w:ascii="宋体" w:hAnsi="宋体" w:eastAsia="宋体" w:cs="宋体"/>
                <w:sz w:val="24"/>
                <w:szCs w:val="24"/>
              </w:rPr>
              <w:t>禁止投标条款：</w:t>
            </w:r>
          </w:p>
          <w:p w14:paraId="46BB98F3">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4.1投标人不得存在下列情形之一：</w:t>
            </w:r>
          </w:p>
          <w:p w14:paraId="4D3F0792">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（1）为招标人不具有独立法人资格的附属机构（单位）；</w:t>
            </w:r>
          </w:p>
          <w:p w14:paraId="080C9831">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（2）为本招标项目前期准备提供设计或咨询服务的；</w:t>
            </w:r>
          </w:p>
          <w:p w14:paraId="65CE113E">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（3）与本招标项目的其他投标人为同一个单位负责人；</w:t>
            </w:r>
          </w:p>
          <w:p w14:paraId="0D422CE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（4）与本招标项目的其他投标人存在控股、管理关系；</w:t>
            </w:r>
          </w:p>
          <w:p w14:paraId="78B892B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（5）为本招标项目的监理人；</w:t>
            </w:r>
          </w:p>
          <w:p w14:paraId="00FB8884">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（6）为本招标项目的代建人；</w:t>
            </w:r>
          </w:p>
          <w:p w14:paraId="411AE4A6">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（7）为本招标项目的招标代理机构；</w:t>
            </w:r>
          </w:p>
          <w:p w14:paraId="71B88002">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（8）与本招标项目的监理人或代建人或招标代理机构同为一个法定代表人；</w:t>
            </w:r>
          </w:p>
          <w:p w14:paraId="63E618F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（9）与本招标项目的监理人或代建人或招标代理机构存在控股或参股关系；</w:t>
            </w:r>
          </w:p>
          <w:p w14:paraId="0758463A">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（10）与本招标项目的监理人或代建人或招标代理机构存在相互任职或工作关系；</w:t>
            </w:r>
          </w:p>
          <w:p w14:paraId="6520524D">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（11）被依法暂停或者取消投标资格；</w:t>
            </w:r>
          </w:p>
          <w:p w14:paraId="028733A3">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（12）被责令停产停业、暂扣或者吊销许可证、暂扣或者吊销执照；</w:t>
            </w:r>
          </w:p>
          <w:p w14:paraId="088AE537">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（13）进入清算程序，或被宣告破产，或其他丧失履约能力的情形；</w:t>
            </w:r>
          </w:p>
          <w:p w14:paraId="0563E14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（14）在最近三年内发生重大工程质量或安全问题（以相关行业主管部门的行政处罚决定或司法机关出具的有关法律文书为准）；</w:t>
            </w:r>
          </w:p>
          <w:p w14:paraId="68C26554">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（15）被“信用中国 ”网站（https://www.creditchina.gov.cn）发布的《法人和非法人组织公共信用信息报告》列为严重失信主体名单的。</w:t>
            </w:r>
          </w:p>
          <w:p w14:paraId="13EF03FB">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4.2招标人拒绝以下名单中的单位参加本次投标：</w:t>
            </w:r>
          </w:p>
          <w:tbl>
            <w:tblPr>
              <w:tblStyle w:val="24"/>
              <w:tblW w:w="0" w:type="auto"/>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6"/>
              <w:gridCol w:w="3367"/>
              <w:gridCol w:w="2581"/>
            </w:tblGrid>
            <w:tr w14:paraId="146E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716" w:type="dxa"/>
                  <w:noWrap w:val="0"/>
                  <w:vAlign w:val="center"/>
                </w:tcPr>
                <w:p w14:paraId="4BB06581">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序号</w:t>
                  </w:r>
                </w:p>
              </w:tc>
              <w:tc>
                <w:tcPr>
                  <w:tcW w:w="3367" w:type="dxa"/>
                  <w:noWrap w:val="0"/>
                  <w:vAlign w:val="center"/>
                </w:tcPr>
                <w:p w14:paraId="7E5B0103">
                  <w:pPr>
                    <w:spacing w:line="240" w:lineRule="auto"/>
                    <w:jc w:val="center"/>
                    <w:rPr>
                      <w:rFonts w:hint="eastAsia" w:ascii="宋体" w:hAnsi="宋体" w:eastAsia="宋体" w:cs="宋体"/>
                      <w:sz w:val="24"/>
                      <w:szCs w:val="24"/>
                    </w:rPr>
                  </w:pPr>
                  <w:r>
                    <w:rPr>
                      <w:rFonts w:hint="eastAsia" w:ascii="宋体" w:hAnsi="宋体" w:eastAsia="宋体" w:cs="宋体"/>
                      <w:sz w:val="24"/>
                      <w:szCs w:val="24"/>
                    </w:rPr>
                    <w:t>单位名称</w:t>
                  </w:r>
                </w:p>
              </w:tc>
              <w:tc>
                <w:tcPr>
                  <w:tcW w:w="2581" w:type="dxa"/>
                  <w:noWrap w:val="0"/>
                  <w:vAlign w:val="center"/>
                </w:tcPr>
                <w:p w14:paraId="7DDD6B2B">
                  <w:pPr>
                    <w:spacing w:line="240" w:lineRule="auto"/>
                    <w:jc w:val="center"/>
                    <w:rPr>
                      <w:rFonts w:hint="eastAsia" w:ascii="宋体" w:hAnsi="宋体" w:eastAsia="宋体" w:cs="宋体"/>
                      <w:sz w:val="24"/>
                      <w:szCs w:val="24"/>
                    </w:rPr>
                  </w:pPr>
                  <w:r>
                    <w:rPr>
                      <w:rFonts w:hint="eastAsia" w:ascii="宋体" w:hAnsi="宋体" w:eastAsia="宋体" w:cs="宋体"/>
                      <w:sz w:val="24"/>
                      <w:szCs w:val="24"/>
                    </w:rPr>
                    <w:t>拒绝原因</w:t>
                  </w:r>
                </w:p>
              </w:tc>
            </w:tr>
            <w:tr w14:paraId="4CAA9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rPr>
              <w:tc>
                <w:tcPr>
                  <w:tcW w:w="716" w:type="dxa"/>
                  <w:noWrap w:val="0"/>
                  <w:vAlign w:val="center"/>
                </w:tcPr>
                <w:p w14:paraId="6344DF3A">
                  <w:pPr>
                    <w:spacing w:line="240" w:lineRule="auto"/>
                    <w:jc w:val="center"/>
                    <w:rPr>
                      <w:rFonts w:hint="eastAsia" w:ascii="宋体" w:hAnsi="宋体" w:eastAsia="宋体" w:cs="宋体"/>
                      <w:sz w:val="24"/>
                      <w:szCs w:val="24"/>
                    </w:rPr>
                  </w:pPr>
                  <w:r>
                    <w:rPr>
                      <w:rFonts w:hint="eastAsia" w:ascii="宋体" w:hAnsi="宋体" w:eastAsia="宋体" w:cs="宋体"/>
                      <w:sz w:val="24"/>
                      <w:szCs w:val="24"/>
                    </w:rPr>
                    <w:t>1</w:t>
                  </w:r>
                </w:p>
              </w:tc>
              <w:tc>
                <w:tcPr>
                  <w:tcW w:w="3367" w:type="dxa"/>
                  <w:noWrap w:val="0"/>
                  <w:vAlign w:val="center"/>
                </w:tcPr>
                <w:p w14:paraId="4AA45830">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韶关市武江区龙归镇人民政府</w:t>
                  </w:r>
                </w:p>
              </w:tc>
              <w:tc>
                <w:tcPr>
                  <w:tcW w:w="2581" w:type="dxa"/>
                  <w:noWrap w:val="0"/>
                  <w:vAlign w:val="center"/>
                </w:tcPr>
                <w:p w14:paraId="3B7C97B4">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en-US"/>
                    </w:rPr>
                    <w:t>为本招标项目的业主</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en-US"/>
                    </w:rPr>
                    <w:t>招标人</w:t>
                  </w:r>
                </w:p>
              </w:tc>
            </w:tr>
            <w:tr w14:paraId="5BD9A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7" w:hRule="atLeast"/>
              </w:trPr>
              <w:tc>
                <w:tcPr>
                  <w:tcW w:w="716" w:type="dxa"/>
                  <w:noWrap w:val="0"/>
                  <w:vAlign w:val="center"/>
                </w:tcPr>
                <w:p w14:paraId="3AC364B1">
                  <w:pPr>
                    <w:spacing w:line="240" w:lineRule="auto"/>
                    <w:jc w:val="center"/>
                    <w:rPr>
                      <w:rFonts w:hint="eastAsia" w:ascii="宋体" w:hAnsi="宋体" w:eastAsia="宋体" w:cs="宋体"/>
                      <w:sz w:val="24"/>
                      <w:szCs w:val="24"/>
                    </w:rPr>
                  </w:pPr>
                  <w:r>
                    <w:rPr>
                      <w:rFonts w:hint="eastAsia" w:ascii="宋体" w:hAnsi="宋体" w:eastAsia="宋体" w:cs="宋体"/>
                      <w:sz w:val="24"/>
                      <w:szCs w:val="24"/>
                    </w:rPr>
                    <w:t>2</w:t>
                  </w:r>
                </w:p>
              </w:tc>
              <w:tc>
                <w:tcPr>
                  <w:tcW w:w="3367" w:type="dxa"/>
                  <w:shd w:val="clear" w:color="auto" w:fill="auto"/>
                  <w:noWrap w:val="0"/>
                  <w:vAlign w:val="center"/>
                </w:tcPr>
                <w:p w14:paraId="3AA962D6">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zh-CN"/>
                    </w:rPr>
                    <w:t>广东明正项目管理有限公司</w:t>
                  </w:r>
                </w:p>
              </w:tc>
              <w:tc>
                <w:tcPr>
                  <w:tcW w:w="2581" w:type="dxa"/>
                  <w:shd w:val="clear" w:color="auto" w:fill="auto"/>
                  <w:noWrap w:val="0"/>
                  <w:vAlign w:val="center"/>
                </w:tcPr>
                <w:p w14:paraId="64DEBD20">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为本招标项目的招标代理机构</w:t>
                  </w:r>
                </w:p>
              </w:tc>
            </w:tr>
            <w:tr w14:paraId="34F42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trPr>
              <w:tc>
                <w:tcPr>
                  <w:tcW w:w="716" w:type="dxa"/>
                  <w:noWrap w:val="0"/>
                  <w:vAlign w:val="center"/>
                </w:tcPr>
                <w:p w14:paraId="101F92F6">
                  <w:pPr>
                    <w:spacing w:line="240" w:lineRule="auto"/>
                    <w:jc w:val="center"/>
                    <w:rPr>
                      <w:rFonts w:hint="eastAsia" w:ascii="宋体" w:hAnsi="宋体" w:eastAsia="宋体" w:cs="宋体"/>
                      <w:sz w:val="24"/>
                      <w:szCs w:val="24"/>
                    </w:rPr>
                  </w:pPr>
                  <w:r>
                    <w:rPr>
                      <w:rFonts w:hint="eastAsia" w:ascii="宋体" w:hAnsi="宋体" w:eastAsia="宋体" w:cs="宋体"/>
                      <w:sz w:val="24"/>
                      <w:szCs w:val="24"/>
                    </w:rPr>
                    <w:t>3</w:t>
                  </w:r>
                </w:p>
              </w:tc>
              <w:tc>
                <w:tcPr>
                  <w:tcW w:w="3367" w:type="dxa"/>
                  <w:shd w:val="clear" w:color="auto" w:fill="auto"/>
                  <w:noWrap w:val="0"/>
                  <w:vAlign w:val="center"/>
                </w:tcPr>
                <w:p w14:paraId="17D2AB23">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en-US"/>
                    </w:rPr>
                    <w:t>世纪工程项目管理有限公司</w:t>
                  </w:r>
                </w:p>
              </w:tc>
              <w:tc>
                <w:tcPr>
                  <w:tcW w:w="2581" w:type="dxa"/>
                  <w:shd w:val="clear" w:color="auto" w:fill="auto"/>
                  <w:noWrap w:val="0"/>
                  <w:vAlign w:val="center"/>
                </w:tcPr>
                <w:p w14:paraId="059548B1">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为本招标项目的可研编制单位</w:t>
                  </w:r>
                </w:p>
              </w:tc>
            </w:tr>
            <w:tr w14:paraId="6C25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716" w:type="dxa"/>
                  <w:noWrap w:val="0"/>
                  <w:vAlign w:val="center"/>
                </w:tcPr>
                <w:p w14:paraId="2A04E636">
                  <w:pPr>
                    <w:spacing w:line="240" w:lineRule="auto"/>
                    <w:jc w:val="center"/>
                    <w:rPr>
                      <w:rFonts w:hint="eastAsia" w:ascii="宋体" w:hAnsi="宋体" w:eastAsia="宋体" w:cs="宋体"/>
                      <w:sz w:val="24"/>
                      <w:szCs w:val="24"/>
                    </w:rPr>
                  </w:pPr>
                  <w:r>
                    <w:rPr>
                      <w:rFonts w:hint="eastAsia" w:ascii="宋体" w:hAnsi="宋体" w:eastAsia="宋体" w:cs="宋体"/>
                      <w:sz w:val="24"/>
                      <w:szCs w:val="24"/>
                    </w:rPr>
                    <w:t>4</w:t>
                  </w:r>
                </w:p>
              </w:tc>
              <w:tc>
                <w:tcPr>
                  <w:tcW w:w="3367" w:type="dxa"/>
                  <w:shd w:val="clear" w:color="auto" w:fill="auto"/>
                  <w:noWrap w:val="0"/>
                  <w:vAlign w:val="center"/>
                </w:tcPr>
                <w:p w14:paraId="58C5707C">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zh-CN"/>
                    </w:rPr>
                    <w:t>广东省华源建设项目管理有限公司</w:t>
                  </w:r>
                </w:p>
              </w:tc>
              <w:tc>
                <w:tcPr>
                  <w:tcW w:w="2581" w:type="dxa"/>
                  <w:shd w:val="clear" w:color="auto" w:fill="auto"/>
                  <w:noWrap w:val="0"/>
                  <w:vAlign w:val="center"/>
                </w:tcPr>
                <w:p w14:paraId="3F40428E">
                  <w:pPr>
                    <w:spacing w:line="240" w:lineRule="auto"/>
                    <w:jc w:val="center"/>
                    <w:rPr>
                      <w:rFonts w:hint="eastAsia" w:ascii="宋体" w:hAnsi="宋体" w:eastAsia="宋体" w:cs="宋体"/>
                      <w:snapToGrid w:val="0"/>
                      <w:color w:val="000000"/>
                      <w:sz w:val="24"/>
                      <w:szCs w:val="24"/>
                      <w:lang w:val="en-US" w:eastAsia="en-US" w:bidi="ar-SA"/>
                    </w:rPr>
                  </w:pPr>
                  <w:r>
                    <w:rPr>
                      <w:rFonts w:hint="eastAsia" w:ascii="宋体" w:hAnsi="宋体" w:eastAsia="宋体" w:cs="宋体"/>
                      <w:sz w:val="24"/>
                      <w:szCs w:val="24"/>
                      <w:lang w:val="en-US" w:eastAsia="en-US"/>
                    </w:rPr>
                    <w:t>为本招标项目的</w:t>
                  </w:r>
                  <w:r>
                    <w:rPr>
                      <w:rFonts w:hint="eastAsia" w:ascii="宋体" w:hAnsi="宋体" w:eastAsia="宋体" w:cs="宋体"/>
                      <w:sz w:val="24"/>
                      <w:szCs w:val="24"/>
                      <w:lang w:val="en-US" w:eastAsia="zh-CN"/>
                    </w:rPr>
                    <w:t>工程咨询</w:t>
                  </w:r>
                  <w:r>
                    <w:rPr>
                      <w:rFonts w:hint="eastAsia" w:ascii="宋体" w:hAnsi="宋体" w:eastAsia="宋体" w:cs="宋体"/>
                      <w:sz w:val="24"/>
                      <w:szCs w:val="24"/>
                      <w:lang w:val="en-US" w:eastAsia="en-US"/>
                    </w:rPr>
                    <w:t>单位</w:t>
                  </w:r>
                </w:p>
              </w:tc>
            </w:tr>
            <w:tr w14:paraId="2C5FC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trPr>
              <w:tc>
                <w:tcPr>
                  <w:tcW w:w="716" w:type="dxa"/>
                  <w:noWrap w:val="0"/>
                  <w:vAlign w:val="center"/>
                </w:tcPr>
                <w:p w14:paraId="7A22C078">
                  <w:pPr>
                    <w:spacing w:line="24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3367" w:type="dxa"/>
                  <w:shd w:val="clear" w:color="auto" w:fill="auto"/>
                  <w:noWrap w:val="0"/>
                  <w:vAlign w:val="center"/>
                </w:tcPr>
                <w:p w14:paraId="7FB2D2E1">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zh-CN"/>
                    </w:rPr>
                    <w:t>建材广州工程勘测院有限公司、广东省城乡规划设计研究院科技集团股份有限公司、佳风工程设计有限公司</w:t>
                  </w:r>
                </w:p>
              </w:tc>
              <w:tc>
                <w:tcPr>
                  <w:tcW w:w="2581" w:type="dxa"/>
                  <w:shd w:val="clear" w:color="auto" w:fill="auto"/>
                  <w:noWrap w:val="0"/>
                  <w:vAlign w:val="center"/>
                </w:tcPr>
                <w:p w14:paraId="1843D1EA">
                  <w:pPr>
                    <w:spacing w:line="240" w:lineRule="auto"/>
                    <w:jc w:val="center"/>
                    <w:rPr>
                      <w:rFonts w:hint="eastAsia" w:ascii="宋体" w:hAnsi="宋体" w:eastAsia="宋体" w:cs="宋体"/>
                      <w:snapToGrid w:val="0"/>
                      <w:color w:val="000000"/>
                      <w:sz w:val="24"/>
                      <w:szCs w:val="24"/>
                      <w:lang w:val="en-US" w:eastAsia="zh-CN" w:bidi="ar-SA"/>
                    </w:rPr>
                  </w:pPr>
                  <w:r>
                    <w:rPr>
                      <w:rFonts w:hint="eastAsia" w:ascii="宋体" w:hAnsi="宋体" w:eastAsia="宋体" w:cs="宋体"/>
                      <w:sz w:val="24"/>
                      <w:szCs w:val="24"/>
                      <w:lang w:val="en-US" w:eastAsia="en-US"/>
                    </w:rPr>
                    <w:t>为本招标项目的</w:t>
                  </w:r>
                  <w:r>
                    <w:rPr>
                      <w:rFonts w:hint="eastAsia" w:ascii="宋体" w:hAnsi="宋体" w:eastAsia="宋体" w:cs="宋体"/>
                      <w:sz w:val="24"/>
                      <w:szCs w:val="24"/>
                      <w:lang w:val="en-US" w:eastAsia="zh-CN"/>
                    </w:rPr>
                    <w:t>勘察设计单位</w:t>
                  </w:r>
                </w:p>
              </w:tc>
            </w:tr>
          </w:tbl>
          <w:p w14:paraId="3ECF3282">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w:t>
            </w:r>
            <w:r>
              <w:rPr>
                <w:rFonts w:hint="eastAsia" w:ascii="宋体" w:hAnsi="宋体" w:eastAsia="宋体" w:cs="宋体"/>
                <w:sz w:val="24"/>
                <w:szCs w:val="24"/>
              </w:rPr>
              <w:t>其他要求</w:t>
            </w:r>
          </w:p>
          <w:p w14:paraId="03177DF6">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省外企业及其拟派往本项目管理机构的所有人员均须按照《广东省住房和城乡建设厅关于取消省外建筑企业和人员进粤信息备案有关工作的通知》（粤建市﹝2015﹞52号）规定在“进粤企业和人员诚信信息登记平台”录入相关信息并通过数据规范检查。</w:t>
            </w:r>
          </w:p>
        </w:tc>
      </w:tr>
      <w:tr w14:paraId="54503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0599E045">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27</w:t>
            </w:r>
          </w:p>
        </w:tc>
        <w:tc>
          <w:tcPr>
            <w:tcW w:w="2433" w:type="dxa"/>
            <w:shd w:val="clear" w:color="auto" w:fill="auto"/>
            <w:vAlign w:val="top"/>
          </w:tcPr>
          <w:p w14:paraId="1996812E">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投标有效期</w:t>
            </w:r>
          </w:p>
        </w:tc>
        <w:tc>
          <w:tcPr>
            <w:tcW w:w="6900" w:type="dxa"/>
            <w:shd w:val="clear" w:color="auto" w:fill="auto"/>
            <w:vAlign w:val="top"/>
          </w:tcPr>
          <w:p w14:paraId="3CCC57BC">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本次招标的投标有效期为</w:t>
            </w:r>
            <w:r>
              <w:rPr>
                <w:rFonts w:hint="eastAsia" w:ascii="宋体" w:hAnsi="宋体" w:eastAsia="宋体" w:cs="宋体"/>
                <w:sz w:val="24"/>
                <w:szCs w:val="24"/>
                <w:lang w:eastAsia="zh-CN"/>
              </w:rPr>
              <w:t>90</w:t>
            </w:r>
            <w:r>
              <w:rPr>
                <w:rFonts w:hint="eastAsia" w:ascii="宋体" w:hAnsi="宋体" w:eastAsia="宋体" w:cs="宋体"/>
                <w:sz w:val="24"/>
                <w:szCs w:val="24"/>
              </w:rPr>
              <w:t>个日历天。</w:t>
            </w:r>
          </w:p>
        </w:tc>
      </w:tr>
      <w:tr w14:paraId="55C26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1A2D2C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28</w:t>
            </w:r>
          </w:p>
        </w:tc>
        <w:tc>
          <w:tcPr>
            <w:tcW w:w="2433" w:type="dxa"/>
            <w:shd w:val="clear" w:color="auto" w:fill="auto"/>
            <w:vAlign w:val="center"/>
          </w:tcPr>
          <w:p w14:paraId="726C8184">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投标文件</w:t>
            </w:r>
            <w:r>
              <w:rPr>
                <w:rFonts w:hint="eastAsia" w:ascii="宋体" w:hAnsi="宋体" w:eastAsia="宋体" w:cs="宋体"/>
                <w:sz w:val="24"/>
                <w:szCs w:val="24"/>
                <w:lang w:eastAsia="zh-CN"/>
              </w:rPr>
              <w:t>组成</w:t>
            </w:r>
          </w:p>
        </w:tc>
        <w:tc>
          <w:tcPr>
            <w:tcW w:w="6900" w:type="dxa"/>
            <w:shd w:val="clear" w:color="auto" w:fill="auto"/>
            <w:vAlign w:val="top"/>
          </w:tcPr>
          <w:p w14:paraId="47A6D59A">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投标文件包括商务标书、经济标书、施工组织设计三个分册。</w:t>
            </w:r>
          </w:p>
        </w:tc>
      </w:tr>
      <w:tr w14:paraId="64277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733" w:type="dxa"/>
            <w:shd w:val="clear" w:color="auto" w:fill="auto"/>
            <w:vAlign w:val="center"/>
          </w:tcPr>
          <w:p w14:paraId="310ECCF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29</w:t>
            </w:r>
          </w:p>
        </w:tc>
        <w:tc>
          <w:tcPr>
            <w:tcW w:w="2433" w:type="dxa"/>
            <w:shd w:val="clear" w:color="auto" w:fill="auto"/>
            <w:vAlign w:val="center"/>
          </w:tcPr>
          <w:p w14:paraId="14C92DFB">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施工组织设计评审方式</w:t>
            </w:r>
          </w:p>
        </w:tc>
        <w:tc>
          <w:tcPr>
            <w:tcW w:w="6900" w:type="dxa"/>
            <w:shd w:val="clear" w:color="auto" w:fill="auto"/>
            <w:vAlign w:val="top"/>
          </w:tcPr>
          <w:p w14:paraId="0A751A86">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本次招标施工组织设计不采用“暗标”方式进行评审。</w:t>
            </w:r>
          </w:p>
        </w:tc>
      </w:tr>
      <w:tr w14:paraId="736BD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23B0A8DC">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30</w:t>
            </w:r>
          </w:p>
        </w:tc>
        <w:tc>
          <w:tcPr>
            <w:tcW w:w="2433" w:type="dxa"/>
            <w:shd w:val="clear" w:color="auto" w:fill="auto"/>
            <w:vAlign w:val="center"/>
          </w:tcPr>
          <w:p w14:paraId="2455FFE5">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评标委员会</w:t>
            </w:r>
          </w:p>
        </w:tc>
        <w:tc>
          <w:tcPr>
            <w:tcW w:w="6900" w:type="dxa"/>
            <w:shd w:val="clear" w:color="auto" w:fill="auto"/>
            <w:vAlign w:val="top"/>
          </w:tcPr>
          <w:p w14:paraId="5A2AA783">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评标委员会由5人组成，其中招标人代表0人，专家5人。专家从广东省综合评标评审专家库-韶关区域中随机抽取，其中技术类专家3人，经济类专家2人。</w:t>
            </w:r>
          </w:p>
        </w:tc>
      </w:tr>
      <w:tr w14:paraId="3A89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765D23A1">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31</w:t>
            </w:r>
          </w:p>
        </w:tc>
        <w:tc>
          <w:tcPr>
            <w:tcW w:w="2433" w:type="dxa"/>
            <w:shd w:val="clear" w:color="auto" w:fill="auto"/>
            <w:vAlign w:val="center"/>
          </w:tcPr>
          <w:p w14:paraId="594609B6">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评标方法</w:t>
            </w:r>
          </w:p>
        </w:tc>
        <w:tc>
          <w:tcPr>
            <w:tcW w:w="6900" w:type="dxa"/>
            <w:shd w:val="clear" w:color="auto" w:fill="auto"/>
            <w:vAlign w:val="top"/>
          </w:tcPr>
          <w:p w14:paraId="1779EDBE">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 xml:space="preserve">□A＋B值评标法   □经评审的最低投标价法    </w:t>
            </w:r>
            <w:r>
              <w:rPr>
                <w:rFonts w:hint="eastAsia" w:ascii="宋体" w:hAnsi="宋体" w:eastAsia="宋体" w:cs="宋体"/>
                <w:sz w:val="24"/>
                <w:szCs w:val="24"/>
                <w:lang w:eastAsia="zh-CN"/>
              </w:rPr>
              <w:t>☑</w:t>
            </w:r>
            <w:r>
              <w:rPr>
                <w:rFonts w:hint="eastAsia" w:ascii="宋体" w:hAnsi="宋体" w:eastAsia="宋体" w:cs="宋体"/>
                <w:sz w:val="24"/>
                <w:szCs w:val="24"/>
              </w:rPr>
              <w:t>综合评估法</w:t>
            </w:r>
          </w:p>
        </w:tc>
      </w:tr>
      <w:tr w14:paraId="09C909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1698880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32</w:t>
            </w:r>
          </w:p>
        </w:tc>
        <w:tc>
          <w:tcPr>
            <w:tcW w:w="2433" w:type="dxa"/>
            <w:shd w:val="clear" w:color="auto" w:fill="auto"/>
            <w:vAlign w:val="center"/>
          </w:tcPr>
          <w:p w14:paraId="0616331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招标文件要求提交的用于评审的证书、证件、证明原件</w:t>
            </w:r>
          </w:p>
        </w:tc>
        <w:tc>
          <w:tcPr>
            <w:tcW w:w="6900" w:type="dxa"/>
            <w:shd w:val="clear" w:color="auto" w:fill="auto"/>
            <w:vAlign w:val="top"/>
          </w:tcPr>
          <w:p w14:paraId="34CDEF87">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投标人在提交用于评审的证书、证件、证明原件的，投标人应自行将所需原件密封于文件袋（箱）中，并自行准备两张“原件一览表”(详见格式</w:t>
            </w:r>
            <w:r>
              <w:rPr>
                <w:rFonts w:hint="eastAsia" w:ascii="宋体" w:hAnsi="宋体" w:eastAsia="宋体" w:cs="宋体"/>
                <w:sz w:val="24"/>
                <w:szCs w:val="24"/>
                <w:lang w:eastAsia="zh-CN"/>
              </w:rPr>
              <w:t>十四</w:t>
            </w:r>
            <w:r>
              <w:rPr>
                <w:rFonts w:hint="eastAsia" w:ascii="宋体" w:hAnsi="宋体" w:eastAsia="宋体" w:cs="宋体"/>
                <w:sz w:val="24"/>
                <w:szCs w:val="24"/>
              </w:rPr>
              <w:t>，投标人须自行填写，表格可扩展)，一张贴于文件袋（箱），一份在递交文件袋（箱）时由招标代理机构、投标人签字后交招标代理机构。招标代理机构仅代签收，不对文件袋（箱）中资料的数量、内容及真实性负责。评标结束后，招标代理机构将退回投标人的原件。若投标人未按要求提交相应证明材料原件或投标文件中证明材料的复印件与原件不一致，评审时相应证明材料不予认可。</w:t>
            </w:r>
          </w:p>
        </w:tc>
      </w:tr>
      <w:tr w14:paraId="1B259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67E0A92C">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3</w:t>
            </w:r>
          </w:p>
        </w:tc>
        <w:tc>
          <w:tcPr>
            <w:tcW w:w="2433" w:type="dxa"/>
            <w:shd w:val="clear" w:color="auto" w:fill="auto"/>
            <w:vAlign w:val="center"/>
          </w:tcPr>
          <w:p w14:paraId="28EA2522">
            <w:pPr>
              <w:widowControl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招标人</w:t>
            </w:r>
          </w:p>
          <w:p w14:paraId="69D92E98">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联系方式</w:t>
            </w:r>
          </w:p>
        </w:tc>
        <w:tc>
          <w:tcPr>
            <w:tcW w:w="6900" w:type="dxa"/>
            <w:shd w:val="clear" w:color="auto" w:fill="auto"/>
            <w:vAlign w:val="center"/>
          </w:tcPr>
          <w:p w14:paraId="49EACB17">
            <w:pPr>
              <w:widowControl w:val="0"/>
              <w:spacing w:line="36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单位名称：韶关市武江区龙归镇人民政府</w:t>
            </w:r>
          </w:p>
          <w:p w14:paraId="50ADB0AC">
            <w:pPr>
              <w:widowControl w:val="0"/>
              <w:spacing w:line="36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办公地址：广东省韶关市武江区龙归镇兴龙路57号</w:t>
            </w:r>
          </w:p>
          <w:p w14:paraId="12930B27">
            <w:pPr>
              <w:widowControl w:val="0"/>
              <w:spacing w:line="360" w:lineRule="auto"/>
              <w:jc w:val="both"/>
              <w:rPr>
                <w:rFonts w:hint="eastAsia" w:ascii="宋体" w:hAnsi="宋体" w:eastAsia="宋体" w:cs="宋体"/>
                <w:sz w:val="24"/>
                <w:szCs w:val="24"/>
                <w:lang w:eastAsia="zh-CN"/>
              </w:rPr>
            </w:pPr>
            <w:r>
              <w:rPr>
                <w:rFonts w:hint="eastAsia" w:ascii="宋体" w:hAnsi="宋体" w:eastAsia="宋体" w:cs="宋体"/>
                <w:sz w:val="24"/>
                <w:szCs w:val="24"/>
                <w:lang w:eastAsia="zh-CN"/>
              </w:rPr>
              <w:t>联系人（部门）：张工</w:t>
            </w:r>
          </w:p>
          <w:p w14:paraId="34AAD0E0">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eastAsia="zh-CN"/>
              </w:rPr>
              <w:t>联系电话：0751-6451199</w:t>
            </w:r>
          </w:p>
        </w:tc>
      </w:tr>
      <w:tr w14:paraId="483B0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63FB5766">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3</w:t>
            </w:r>
            <w:r>
              <w:rPr>
                <w:rFonts w:hint="eastAsia" w:ascii="宋体" w:hAnsi="宋体" w:eastAsia="宋体" w:cs="宋体"/>
                <w:sz w:val="24"/>
                <w:szCs w:val="24"/>
                <w:lang w:val="en-US" w:eastAsia="zh-CN"/>
              </w:rPr>
              <w:t>4</w:t>
            </w:r>
          </w:p>
        </w:tc>
        <w:tc>
          <w:tcPr>
            <w:tcW w:w="2433" w:type="dxa"/>
            <w:shd w:val="clear" w:color="auto" w:fill="auto"/>
            <w:vAlign w:val="center"/>
          </w:tcPr>
          <w:p w14:paraId="2F48F80F">
            <w:pPr>
              <w:widowControl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招标代理机构</w:t>
            </w:r>
          </w:p>
          <w:p w14:paraId="3818F3A0">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联系方式</w:t>
            </w:r>
          </w:p>
        </w:tc>
        <w:tc>
          <w:tcPr>
            <w:tcW w:w="6900" w:type="dxa"/>
            <w:shd w:val="clear" w:color="auto" w:fill="auto"/>
            <w:vAlign w:val="center"/>
          </w:tcPr>
          <w:p w14:paraId="5ED6A83F">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单位名称：广东明正项目管理有限公司</w:t>
            </w:r>
          </w:p>
          <w:p w14:paraId="50A090AE">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办公地址：韶关市武江区惠民北路428号7楼</w:t>
            </w:r>
          </w:p>
          <w:p w14:paraId="2726A17A">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联系人：杨工、潘工</w:t>
            </w:r>
          </w:p>
          <w:p w14:paraId="4CC0E68C">
            <w:pPr>
              <w:widowControl w:val="0"/>
              <w:spacing w:line="360" w:lineRule="auto"/>
              <w:jc w:val="both"/>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联系电话：0751-8606998</w:t>
            </w:r>
          </w:p>
        </w:tc>
      </w:tr>
      <w:tr w14:paraId="569D7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4DA0C3A1">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eastAsia="zh-CN"/>
              </w:rPr>
              <w:t>3</w:t>
            </w:r>
            <w:r>
              <w:rPr>
                <w:rFonts w:hint="eastAsia" w:ascii="宋体" w:hAnsi="宋体" w:eastAsia="宋体" w:cs="宋体"/>
                <w:sz w:val="24"/>
                <w:szCs w:val="24"/>
                <w:lang w:val="en-US" w:eastAsia="zh-CN"/>
              </w:rPr>
              <w:t>5</w:t>
            </w:r>
          </w:p>
        </w:tc>
        <w:tc>
          <w:tcPr>
            <w:tcW w:w="2433" w:type="dxa"/>
            <w:shd w:val="clear" w:color="auto" w:fill="auto"/>
            <w:vAlign w:val="center"/>
          </w:tcPr>
          <w:p w14:paraId="564881AB">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交易场所联系方式</w:t>
            </w:r>
          </w:p>
        </w:tc>
        <w:tc>
          <w:tcPr>
            <w:tcW w:w="6900" w:type="dxa"/>
            <w:shd w:val="clear" w:color="auto" w:fill="auto"/>
            <w:vAlign w:val="center"/>
          </w:tcPr>
          <w:p w14:paraId="22007D52">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单位名称：韶关市公共资源交易中心</w:t>
            </w:r>
          </w:p>
          <w:p w14:paraId="5D20F9A1">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 xml:space="preserve">办公地址：广东省韶关市武江区西联镇 </w:t>
            </w:r>
          </w:p>
          <w:p w14:paraId="189A43EC">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联系人（部门）：工程交易部</w:t>
            </w:r>
          </w:p>
          <w:p w14:paraId="360E3C3C">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rPr>
              <w:t>联系电话：0751-8633071、0751-8633211</w:t>
            </w:r>
          </w:p>
        </w:tc>
      </w:tr>
      <w:tr w14:paraId="5203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3" w:type="dxa"/>
            <w:shd w:val="clear" w:color="auto" w:fill="auto"/>
            <w:vAlign w:val="center"/>
          </w:tcPr>
          <w:p w14:paraId="297DD533">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36</w:t>
            </w:r>
          </w:p>
        </w:tc>
        <w:tc>
          <w:tcPr>
            <w:tcW w:w="2433" w:type="dxa"/>
            <w:shd w:val="clear" w:color="auto" w:fill="auto"/>
            <w:vAlign w:val="center"/>
          </w:tcPr>
          <w:p w14:paraId="088F7714">
            <w:pPr>
              <w:widowControl w:val="0"/>
              <w:spacing w:line="360" w:lineRule="auto"/>
              <w:jc w:val="center"/>
              <w:rPr>
                <w:rFonts w:hint="eastAsia" w:ascii="宋体" w:hAnsi="宋体" w:eastAsia="宋体" w:cs="宋体"/>
                <w:sz w:val="24"/>
                <w:szCs w:val="24"/>
              </w:rPr>
            </w:pPr>
            <w:r>
              <w:rPr>
                <w:rFonts w:hint="eastAsia" w:ascii="宋体" w:hAnsi="宋体" w:eastAsia="宋体" w:cs="宋体"/>
                <w:sz w:val="24"/>
                <w:szCs w:val="24"/>
              </w:rPr>
              <w:t>行政监督部</w:t>
            </w:r>
          </w:p>
          <w:p w14:paraId="57BFA0F7">
            <w:pPr>
              <w:widowControl w:val="0"/>
              <w:spacing w:line="360" w:lineRule="auto"/>
              <w:jc w:val="center"/>
              <w:rPr>
                <w:rFonts w:hint="eastAsia" w:ascii="宋体" w:hAnsi="宋体" w:eastAsia="宋体" w:cs="宋体"/>
                <w:sz w:val="24"/>
                <w:szCs w:val="24"/>
                <w:lang w:val="en-US" w:eastAsia="en-US"/>
              </w:rPr>
            </w:pPr>
            <w:r>
              <w:rPr>
                <w:rFonts w:hint="eastAsia" w:ascii="宋体" w:hAnsi="宋体" w:eastAsia="宋体" w:cs="宋体"/>
                <w:sz w:val="24"/>
                <w:szCs w:val="24"/>
              </w:rPr>
              <w:t>门联系方式</w:t>
            </w:r>
          </w:p>
        </w:tc>
        <w:tc>
          <w:tcPr>
            <w:tcW w:w="6900" w:type="dxa"/>
            <w:shd w:val="clear" w:color="auto" w:fill="auto"/>
            <w:vAlign w:val="center"/>
          </w:tcPr>
          <w:p w14:paraId="2512ABA0">
            <w:pPr>
              <w:widowControl w:val="0"/>
              <w:spacing w:line="360" w:lineRule="auto"/>
              <w:jc w:val="both"/>
              <w:rPr>
                <w:rFonts w:hint="eastAsia" w:ascii="宋体" w:hAnsi="宋体" w:eastAsia="宋体" w:cs="宋体"/>
                <w:sz w:val="24"/>
                <w:szCs w:val="24"/>
                <w:lang w:val="zh-CN"/>
              </w:rPr>
            </w:pPr>
            <w:r>
              <w:rPr>
                <w:rFonts w:hint="eastAsia" w:ascii="宋体" w:hAnsi="宋体" w:eastAsia="宋体" w:cs="宋体"/>
                <w:sz w:val="24"/>
                <w:szCs w:val="24"/>
                <w:lang w:val="zh-CN"/>
              </w:rPr>
              <w:t>单位名称：韶关市武江区农业农村局</w:t>
            </w:r>
          </w:p>
          <w:p w14:paraId="1C40E2C0">
            <w:pPr>
              <w:widowControl w:val="0"/>
              <w:spacing w:line="360" w:lineRule="auto"/>
              <w:jc w:val="both"/>
              <w:rPr>
                <w:rFonts w:hint="eastAsia" w:ascii="宋体" w:hAnsi="宋体" w:eastAsia="宋体" w:cs="宋体"/>
                <w:sz w:val="24"/>
                <w:szCs w:val="24"/>
                <w:lang w:val="zh-CN"/>
              </w:rPr>
            </w:pPr>
            <w:r>
              <w:rPr>
                <w:rFonts w:hint="eastAsia" w:ascii="宋体" w:hAnsi="宋体" w:eastAsia="宋体" w:cs="宋体"/>
                <w:sz w:val="24"/>
                <w:szCs w:val="24"/>
                <w:lang w:val="zh-CN"/>
              </w:rPr>
              <w:t>办公地址：广东省韶关市武江区惠民南路128号</w:t>
            </w:r>
          </w:p>
          <w:p w14:paraId="32F0C442">
            <w:pPr>
              <w:widowControl w:val="0"/>
              <w:spacing w:line="360" w:lineRule="auto"/>
              <w:jc w:val="both"/>
              <w:rPr>
                <w:rFonts w:hint="eastAsia" w:ascii="宋体" w:hAnsi="宋体" w:eastAsia="宋体" w:cs="宋体"/>
                <w:sz w:val="24"/>
                <w:szCs w:val="24"/>
                <w:lang w:val="zh-CN"/>
              </w:rPr>
            </w:pPr>
            <w:r>
              <w:rPr>
                <w:rFonts w:hint="eastAsia" w:ascii="宋体" w:hAnsi="宋体" w:eastAsia="宋体" w:cs="宋体"/>
                <w:sz w:val="24"/>
                <w:szCs w:val="24"/>
                <w:lang w:val="zh-CN"/>
              </w:rPr>
              <w:t>联系人（部门）：梁工</w:t>
            </w:r>
          </w:p>
          <w:p w14:paraId="14289F91">
            <w:pPr>
              <w:widowControl w:val="0"/>
              <w:spacing w:line="360" w:lineRule="auto"/>
              <w:jc w:val="both"/>
              <w:rPr>
                <w:rFonts w:hint="eastAsia" w:ascii="宋体" w:hAnsi="宋体" w:eastAsia="宋体" w:cs="宋体"/>
                <w:sz w:val="24"/>
                <w:szCs w:val="24"/>
                <w:lang w:val="en-US" w:eastAsia="en-US"/>
              </w:rPr>
            </w:pPr>
            <w:r>
              <w:rPr>
                <w:rFonts w:hint="eastAsia" w:ascii="宋体" w:hAnsi="宋体" w:eastAsia="宋体" w:cs="宋体"/>
                <w:sz w:val="24"/>
                <w:szCs w:val="24"/>
                <w:lang w:val="zh-CN"/>
              </w:rPr>
              <w:t>联系电话：0751-8623830</w:t>
            </w:r>
          </w:p>
        </w:tc>
      </w:tr>
    </w:tbl>
    <w:p w14:paraId="3D217AD7">
      <w:pPr>
        <w:rPr>
          <w:rFonts w:hint="eastAsia" w:ascii="宋体" w:hAnsi="宋体" w:eastAsia="宋体" w:cs="宋体"/>
        </w:rPr>
      </w:pPr>
    </w:p>
    <w:p w14:paraId="202FDF33">
      <w:pPr>
        <w:rPr>
          <w:rFonts w:hint="eastAsia" w:ascii="宋体" w:hAnsi="宋体" w:eastAsia="宋体" w:cs="宋体"/>
        </w:rPr>
      </w:pPr>
    </w:p>
    <w:p w14:paraId="6FFDB034">
      <w:pPr>
        <w:rPr>
          <w:rFonts w:hint="eastAsia" w:ascii="宋体" w:hAnsi="宋体" w:eastAsia="宋体" w:cs="宋体"/>
        </w:rPr>
      </w:pPr>
    </w:p>
    <w:p w14:paraId="23F190A9">
      <w:pPr>
        <w:rPr>
          <w:rFonts w:hint="eastAsia" w:ascii="宋体" w:hAnsi="宋体" w:eastAsia="宋体" w:cs="宋体"/>
        </w:rPr>
      </w:pPr>
    </w:p>
    <w:p w14:paraId="63CC66DC">
      <w:pPr>
        <w:rPr>
          <w:rFonts w:hint="eastAsia" w:ascii="宋体" w:hAnsi="宋体" w:eastAsia="宋体" w:cs="宋体"/>
        </w:rPr>
      </w:pPr>
      <w:bookmarkStart w:id="6" w:name="bookmark115"/>
      <w:bookmarkEnd w:id="6"/>
      <w:bookmarkStart w:id="7" w:name="_Toc10868"/>
    </w:p>
    <w:p w14:paraId="549EB851">
      <w:pPr>
        <w:rPr>
          <w:rFonts w:hint="eastAsia" w:ascii="宋体" w:hAnsi="宋体" w:eastAsia="宋体" w:cs="宋体"/>
        </w:rPr>
      </w:pPr>
    </w:p>
    <w:p w14:paraId="4B648D6F">
      <w:pPr>
        <w:rPr>
          <w:rFonts w:hint="eastAsia" w:ascii="宋体" w:hAnsi="宋体" w:eastAsia="宋体" w:cs="宋体"/>
        </w:rPr>
      </w:pPr>
    </w:p>
    <w:p w14:paraId="015242A9">
      <w:pPr>
        <w:rPr>
          <w:rFonts w:hint="eastAsia" w:ascii="宋体" w:hAnsi="宋体" w:eastAsia="宋体" w:cs="宋体"/>
        </w:rPr>
      </w:pPr>
    </w:p>
    <w:p w14:paraId="0C998B8F">
      <w:pPr>
        <w:rPr>
          <w:rFonts w:hint="eastAsia" w:ascii="宋体" w:hAnsi="宋体" w:eastAsia="宋体" w:cs="宋体"/>
        </w:rPr>
      </w:pPr>
    </w:p>
    <w:p w14:paraId="304367D7">
      <w:pPr>
        <w:rPr>
          <w:rFonts w:hint="eastAsia" w:ascii="宋体" w:hAnsi="宋体" w:eastAsia="宋体" w:cs="宋体"/>
        </w:rPr>
      </w:pPr>
    </w:p>
    <w:p w14:paraId="2406AF5C">
      <w:pPr>
        <w:rPr>
          <w:rFonts w:hint="eastAsia" w:ascii="宋体" w:hAnsi="宋体" w:eastAsia="宋体" w:cs="宋体"/>
        </w:rPr>
      </w:pPr>
    </w:p>
    <w:p w14:paraId="18575C25">
      <w:pPr>
        <w:rPr>
          <w:rFonts w:hint="eastAsia" w:ascii="宋体" w:hAnsi="宋体" w:eastAsia="宋体" w:cs="宋体"/>
        </w:rPr>
      </w:pPr>
    </w:p>
    <w:p w14:paraId="6F84E037">
      <w:pPr>
        <w:rPr>
          <w:rFonts w:hint="eastAsia" w:ascii="宋体" w:hAnsi="宋体" w:eastAsia="宋体" w:cs="宋体"/>
        </w:rPr>
      </w:pPr>
    </w:p>
    <w:p w14:paraId="6B36B26C">
      <w:pPr>
        <w:rPr>
          <w:rFonts w:hint="eastAsia" w:ascii="宋体" w:hAnsi="宋体" w:eastAsia="宋体" w:cs="宋体"/>
        </w:rPr>
      </w:pPr>
    </w:p>
    <w:p w14:paraId="42E9F1AC">
      <w:pPr>
        <w:rPr>
          <w:rFonts w:hint="eastAsia" w:ascii="宋体" w:hAnsi="宋体" w:eastAsia="宋体" w:cs="宋体"/>
        </w:rPr>
      </w:pPr>
    </w:p>
    <w:p w14:paraId="76092D5D">
      <w:pPr>
        <w:rPr>
          <w:rFonts w:hint="eastAsia" w:ascii="宋体" w:hAnsi="宋体" w:eastAsia="宋体" w:cs="宋体"/>
        </w:rPr>
      </w:pPr>
    </w:p>
    <w:p w14:paraId="7E2EBAB6">
      <w:pPr>
        <w:rPr>
          <w:rFonts w:hint="eastAsia" w:ascii="宋体" w:hAnsi="宋体" w:eastAsia="宋体" w:cs="宋体"/>
        </w:rPr>
      </w:pPr>
    </w:p>
    <w:p w14:paraId="45F6BC59">
      <w:pPr>
        <w:rPr>
          <w:rFonts w:hint="eastAsia" w:ascii="宋体" w:hAnsi="宋体" w:eastAsia="宋体" w:cs="宋体"/>
        </w:rPr>
      </w:pPr>
    </w:p>
    <w:p w14:paraId="646D629B">
      <w:pPr>
        <w:rPr>
          <w:rFonts w:hint="eastAsia" w:ascii="宋体" w:hAnsi="宋体" w:eastAsia="宋体" w:cs="宋体"/>
        </w:rPr>
      </w:pPr>
    </w:p>
    <w:p w14:paraId="17839246">
      <w:pPr>
        <w:rPr>
          <w:rFonts w:hint="eastAsia" w:ascii="宋体" w:hAnsi="宋体" w:eastAsia="宋体" w:cs="宋体"/>
        </w:rPr>
      </w:pPr>
    </w:p>
    <w:p w14:paraId="741D5ED4">
      <w:pPr>
        <w:rPr>
          <w:rFonts w:hint="eastAsia" w:ascii="宋体" w:hAnsi="宋体" w:eastAsia="宋体" w:cs="宋体"/>
        </w:rPr>
      </w:pPr>
    </w:p>
    <w:p w14:paraId="7C2F6100">
      <w:pPr>
        <w:rPr>
          <w:rFonts w:hint="eastAsia" w:ascii="宋体" w:hAnsi="宋体" w:eastAsia="宋体" w:cs="宋体"/>
        </w:rPr>
      </w:pPr>
    </w:p>
    <w:p w14:paraId="367CC18E">
      <w:pPr>
        <w:rPr>
          <w:rFonts w:hint="eastAsia" w:ascii="宋体" w:hAnsi="宋体" w:eastAsia="宋体" w:cs="宋体"/>
        </w:rPr>
      </w:pPr>
    </w:p>
    <w:p w14:paraId="5A2AE4DB">
      <w:pPr>
        <w:rPr>
          <w:rFonts w:hint="eastAsia" w:ascii="宋体" w:hAnsi="宋体" w:eastAsia="宋体" w:cs="宋体"/>
        </w:rPr>
      </w:pPr>
    </w:p>
    <w:p w14:paraId="3DD194E6">
      <w:pPr>
        <w:rPr>
          <w:rFonts w:hint="eastAsia" w:ascii="宋体" w:hAnsi="宋体" w:eastAsia="宋体" w:cs="宋体"/>
        </w:rPr>
      </w:pPr>
    </w:p>
    <w:p w14:paraId="7C4032D5">
      <w:pPr>
        <w:rPr>
          <w:rFonts w:hint="eastAsia" w:ascii="宋体" w:hAnsi="宋体" w:eastAsia="宋体" w:cs="宋体"/>
        </w:rPr>
      </w:pPr>
    </w:p>
    <w:p w14:paraId="6CE4BB2F">
      <w:pPr>
        <w:rPr>
          <w:rFonts w:hint="eastAsia" w:ascii="宋体" w:hAnsi="宋体" w:eastAsia="宋体" w:cs="宋体"/>
        </w:rPr>
      </w:pPr>
    </w:p>
    <w:p w14:paraId="34CB934B">
      <w:pPr>
        <w:rPr>
          <w:rFonts w:hint="eastAsia" w:ascii="宋体" w:hAnsi="宋体" w:eastAsia="宋体" w:cs="宋体"/>
        </w:rPr>
      </w:pPr>
    </w:p>
    <w:p w14:paraId="73A64932">
      <w:pPr>
        <w:rPr>
          <w:rFonts w:hint="eastAsia" w:ascii="宋体" w:hAnsi="宋体" w:eastAsia="宋体" w:cs="宋体"/>
        </w:rPr>
      </w:pPr>
    </w:p>
    <w:p w14:paraId="39631996">
      <w:pPr>
        <w:rPr>
          <w:rFonts w:hint="eastAsia" w:ascii="宋体" w:hAnsi="宋体" w:eastAsia="宋体" w:cs="宋体"/>
        </w:rPr>
      </w:pPr>
    </w:p>
    <w:p w14:paraId="7F9BA428">
      <w:pPr>
        <w:rPr>
          <w:rFonts w:hint="eastAsia" w:ascii="宋体" w:hAnsi="宋体" w:eastAsia="宋体" w:cs="宋体"/>
        </w:rPr>
      </w:pPr>
    </w:p>
    <w:p w14:paraId="3B06AC64">
      <w:pPr>
        <w:rPr>
          <w:rFonts w:hint="eastAsia" w:ascii="宋体" w:hAnsi="宋体" w:eastAsia="宋体" w:cs="宋体"/>
        </w:rPr>
      </w:pPr>
    </w:p>
    <w:p w14:paraId="1D05B7D9">
      <w:pPr>
        <w:rPr>
          <w:rFonts w:hint="eastAsia" w:ascii="宋体" w:hAnsi="宋体" w:eastAsia="宋体" w:cs="宋体"/>
        </w:rPr>
      </w:pPr>
    </w:p>
    <w:p w14:paraId="49CB51F7">
      <w:pPr>
        <w:rPr>
          <w:rFonts w:hint="eastAsia" w:ascii="宋体" w:hAnsi="宋体" w:eastAsia="宋体" w:cs="宋体"/>
        </w:rPr>
      </w:pPr>
    </w:p>
    <w:p w14:paraId="0686AD76">
      <w:pPr>
        <w:rPr>
          <w:rFonts w:hint="eastAsia" w:ascii="宋体" w:hAnsi="宋体" w:eastAsia="宋体" w:cs="宋体"/>
        </w:rPr>
      </w:pPr>
    </w:p>
    <w:p w14:paraId="64882A7E">
      <w:pPr>
        <w:rPr>
          <w:rFonts w:hint="eastAsia" w:ascii="宋体" w:hAnsi="宋体" w:eastAsia="宋体" w:cs="宋体"/>
        </w:rPr>
      </w:pPr>
    </w:p>
    <w:p w14:paraId="409328D3">
      <w:pPr>
        <w:rPr>
          <w:rFonts w:hint="eastAsia" w:ascii="宋体" w:hAnsi="宋体" w:eastAsia="宋体" w:cs="宋体"/>
        </w:rPr>
      </w:pPr>
    </w:p>
    <w:p w14:paraId="7C78470A">
      <w:pPr>
        <w:rPr>
          <w:rFonts w:hint="eastAsia" w:ascii="宋体" w:hAnsi="宋体" w:eastAsia="宋体" w:cs="宋体"/>
        </w:rPr>
      </w:pPr>
    </w:p>
    <w:p w14:paraId="3B953AB6">
      <w:pPr>
        <w:rPr>
          <w:rFonts w:hint="eastAsia" w:ascii="宋体" w:hAnsi="宋体" w:eastAsia="宋体" w:cs="宋体"/>
        </w:rPr>
      </w:pPr>
    </w:p>
    <w:p w14:paraId="0A719E93">
      <w:pPr>
        <w:rPr>
          <w:rFonts w:hint="eastAsia" w:ascii="宋体" w:hAnsi="宋体" w:eastAsia="宋体" w:cs="宋体"/>
        </w:rPr>
      </w:pPr>
    </w:p>
    <w:p w14:paraId="7BAFF41D">
      <w:pPr>
        <w:rPr>
          <w:rFonts w:hint="eastAsia" w:ascii="宋体" w:hAnsi="宋体" w:eastAsia="宋体" w:cs="宋体"/>
        </w:rPr>
      </w:pPr>
    </w:p>
    <w:p w14:paraId="681A7095">
      <w:pPr>
        <w:rPr>
          <w:rFonts w:hint="eastAsia" w:ascii="宋体" w:hAnsi="宋体" w:eastAsia="宋体" w:cs="宋体"/>
        </w:rPr>
      </w:pPr>
    </w:p>
    <w:p w14:paraId="32EE748C">
      <w:pPr>
        <w:rPr>
          <w:rFonts w:hint="eastAsia" w:ascii="宋体" w:hAnsi="宋体" w:eastAsia="宋体" w:cs="宋体"/>
        </w:rPr>
      </w:pPr>
    </w:p>
    <w:p w14:paraId="56E5372F">
      <w:pPr>
        <w:rPr>
          <w:rFonts w:hint="eastAsia" w:ascii="宋体" w:hAnsi="宋体" w:eastAsia="宋体" w:cs="宋体"/>
        </w:rPr>
      </w:pPr>
    </w:p>
    <w:p w14:paraId="185FA4A9">
      <w:pPr>
        <w:spacing w:before="156" w:line="360" w:lineRule="auto"/>
        <w:ind w:left="17"/>
        <w:outlineLvl w:val="1"/>
        <w:rPr>
          <w:rFonts w:hint="eastAsia" w:ascii="宋体" w:hAnsi="宋体" w:eastAsia="宋体" w:cs="宋体"/>
          <w:b/>
          <w:bCs/>
          <w:color w:val="auto"/>
          <w:spacing w:val="-3"/>
          <w:sz w:val="24"/>
          <w:szCs w:val="24"/>
          <w:highlight w:val="none"/>
        </w:rPr>
      </w:pPr>
      <w:bookmarkStart w:id="8" w:name="_Toc18441"/>
      <w:r>
        <w:rPr>
          <w:rFonts w:hint="eastAsia" w:ascii="宋体" w:hAnsi="宋体" w:eastAsia="宋体" w:cs="宋体"/>
          <w:b/>
          <w:bCs/>
          <w:color w:val="auto"/>
          <w:spacing w:val="-3"/>
          <w:sz w:val="24"/>
          <w:szCs w:val="24"/>
          <w:highlight w:val="none"/>
        </w:rPr>
        <w:t>第二节</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重要事项时间地点一览表</w:t>
      </w:r>
      <w:bookmarkEnd w:id="7"/>
      <w:bookmarkEnd w:id="8"/>
    </w:p>
    <w:tbl>
      <w:tblPr>
        <w:tblStyle w:val="24"/>
        <w:tblW w:w="9855" w:type="dxa"/>
        <w:jc w:val="center"/>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602"/>
        <w:gridCol w:w="1527"/>
        <w:gridCol w:w="7726"/>
      </w:tblGrid>
      <w:tr w14:paraId="71599B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50"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374F5C48">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3A4F2023">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招标公告</w:t>
            </w:r>
          </w:p>
          <w:p w14:paraId="4F7CFA9B">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发布时间 </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0F68EC28">
            <w:pPr>
              <w:pStyle w:val="34"/>
              <w:wordWrap w:val="0"/>
              <w:adjustRightInd w:val="0"/>
              <w:snapToGrid w:val="0"/>
              <w:spacing w:line="360" w:lineRule="auto"/>
              <w:jc w:val="both"/>
              <w:rPr>
                <w:rFonts w:hint="eastAsia" w:ascii="宋体" w:hAnsi="宋体" w:eastAsia="宋体" w:cs="宋体"/>
                <w:snapToGrid w:val="0"/>
                <w:color w:val="auto"/>
                <w:kern w:val="0"/>
                <w:sz w:val="24"/>
                <w:highlight w:val="none"/>
                <w:lang w:val="en-US" w:eastAsia="zh-CN"/>
              </w:rPr>
            </w:pPr>
            <w:r>
              <w:rPr>
                <w:rFonts w:hint="eastAsia" w:ascii="宋体" w:hAnsi="宋体" w:eastAsia="宋体" w:cs="宋体"/>
                <w:snapToGrid w:val="0"/>
                <w:color w:val="auto"/>
                <w:kern w:val="0"/>
                <w:sz w:val="24"/>
                <w:highlight w:val="none"/>
                <w:lang w:val="en-US" w:eastAsia="zh-CN"/>
              </w:rPr>
              <w:t>2025年06月30日20时00分</w:t>
            </w:r>
          </w:p>
        </w:tc>
      </w:tr>
      <w:tr w14:paraId="20182754">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28"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5E66AA9F">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7AB2F580">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获取招标文件</w:t>
            </w:r>
          </w:p>
          <w:p w14:paraId="0394C5DD">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773B1D0A">
            <w:pPr>
              <w:pStyle w:val="34"/>
              <w:wordWrap w:val="0"/>
              <w:adjustRightInd w:val="0"/>
              <w:snapToGrid w:val="0"/>
              <w:spacing w:line="360" w:lineRule="auto"/>
              <w:jc w:val="both"/>
              <w:rPr>
                <w:rFonts w:hint="eastAsia" w:ascii="宋体" w:hAnsi="宋体" w:eastAsia="宋体" w:cs="宋体"/>
                <w:snapToGrid w:val="0"/>
                <w:color w:val="auto"/>
                <w:kern w:val="0"/>
                <w:sz w:val="24"/>
                <w:highlight w:val="none"/>
                <w:lang w:val="en-US" w:eastAsia="zh-CN"/>
              </w:rPr>
            </w:pPr>
            <w:r>
              <w:rPr>
                <w:rFonts w:hint="eastAsia" w:ascii="宋体" w:hAnsi="宋体" w:eastAsia="宋体" w:cs="宋体"/>
                <w:snapToGrid w:val="0"/>
                <w:color w:val="auto"/>
                <w:kern w:val="0"/>
                <w:sz w:val="24"/>
                <w:highlight w:val="none"/>
                <w:lang w:val="en-US" w:eastAsia="zh-CN"/>
              </w:rPr>
              <w:t>2025年07月22日09时30分</w:t>
            </w:r>
          </w:p>
        </w:tc>
      </w:tr>
      <w:tr w14:paraId="25C28D72">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05"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152C94F6">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39629958">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网上提问</w:t>
            </w:r>
          </w:p>
          <w:p w14:paraId="45B8CAE5">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截止时间 </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6EE57C6A">
            <w:pPr>
              <w:pStyle w:val="34"/>
              <w:wordWrap w:val="0"/>
              <w:adjustRightInd w:val="0"/>
              <w:snapToGrid w:val="0"/>
              <w:spacing w:line="360" w:lineRule="auto"/>
              <w:jc w:val="both"/>
              <w:rPr>
                <w:rFonts w:hint="eastAsia" w:ascii="宋体" w:hAnsi="宋体" w:eastAsia="宋体" w:cs="宋体"/>
                <w:snapToGrid w:val="0"/>
                <w:color w:val="auto"/>
                <w:kern w:val="0"/>
                <w:sz w:val="24"/>
                <w:highlight w:val="none"/>
                <w:lang w:val="en-US" w:eastAsia="zh-CN"/>
              </w:rPr>
            </w:pPr>
            <w:r>
              <w:rPr>
                <w:rFonts w:hint="eastAsia" w:ascii="宋体" w:hAnsi="宋体" w:eastAsia="宋体" w:cs="宋体"/>
                <w:snapToGrid w:val="0"/>
                <w:color w:val="auto"/>
                <w:kern w:val="0"/>
                <w:sz w:val="24"/>
                <w:highlight w:val="none"/>
                <w:lang w:val="en-US" w:eastAsia="zh-CN"/>
              </w:rPr>
              <w:t>2025年07月12日16时00分</w:t>
            </w:r>
          </w:p>
        </w:tc>
      </w:tr>
      <w:tr w14:paraId="4DF328C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920"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473A7348">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6ADEFF61">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网上答疑</w:t>
            </w:r>
          </w:p>
          <w:p w14:paraId="7BD92372">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5C2D5569">
            <w:pPr>
              <w:pStyle w:val="34"/>
              <w:wordWrap w:val="0"/>
              <w:adjustRightInd w:val="0"/>
              <w:snapToGrid w:val="0"/>
              <w:spacing w:line="360" w:lineRule="auto"/>
              <w:jc w:val="left"/>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highlight w:val="none"/>
                <w:lang w:val="en-US" w:eastAsia="zh-CN"/>
              </w:rPr>
              <w:t>2025年07月12日16时30分</w:t>
            </w:r>
            <w:r>
              <w:rPr>
                <w:rFonts w:hint="eastAsia" w:ascii="宋体" w:hAnsi="宋体" w:eastAsia="宋体" w:cs="宋体"/>
                <w:snapToGrid w:val="0"/>
                <w:color w:val="auto"/>
                <w:kern w:val="0"/>
                <w:sz w:val="24"/>
                <w:szCs w:val="24"/>
                <w:highlight w:val="none"/>
                <w:u w:val="none"/>
              </w:rPr>
              <w:t>至</w:t>
            </w:r>
            <w:r>
              <w:rPr>
                <w:rFonts w:hint="eastAsia" w:ascii="宋体" w:hAnsi="宋体" w:eastAsia="宋体" w:cs="宋体"/>
                <w:snapToGrid w:val="0"/>
                <w:color w:val="auto"/>
                <w:kern w:val="0"/>
                <w:sz w:val="24"/>
                <w:highlight w:val="none"/>
                <w:lang w:val="en-US" w:eastAsia="zh-CN"/>
              </w:rPr>
              <w:t>2025年07月15日16时00分</w:t>
            </w:r>
          </w:p>
        </w:tc>
      </w:tr>
      <w:tr w14:paraId="4CEC3A26">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17"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31730499">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5B21FAAC">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投标保证缴</w:t>
            </w:r>
          </w:p>
          <w:p w14:paraId="61124B54">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纳截止时间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1ADC98A9">
            <w:pPr>
              <w:pStyle w:val="34"/>
              <w:wordWrap w:val="0"/>
              <w:adjustRightInd w:val="0"/>
              <w:snapToGrid w:val="0"/>
              <w:spacing w:line="360" w:lineRule="auto"/>
              <w:ind w:firstLine="240" w:firstLineChars="100"/>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szCs w:val="24"/>
                <w:highlight w:val="none"/>
                <w:u w:val="none"/>
              </w:rPr>
              <w:t>投标保证金到账截止时间：</w:t>
            </w:r>
            <w:r>
              <w:rPr>
                <w:rFonts w:hint="eastAsia" w:ascii="宋体" w:hAnsi="宋体" w:eastAsia="宋体" w:cs="宋体"/>
                <w:snapToGrid w:val="0"/>
                <w:color w:val="auto"/>
                <w:kern w:val="0"/>
                <w:sz w:val="24"/>
                <w:highlight w:val="none"/>
                <w:lang w:val="en-US" w:eastAsia="zh-CN"/>
              </w:rPr>
              <w:t>2025年07月21日09时30分</w:t>
            </w:r>
          </w:p>
          <w:p w14:paraId="461BA50F">
            <w:pPr>
              <w:pStyle w:val="34"/>
              <w:wordWrap w:val="0"/>
              <w:adjustRightInd w:val="0"/>
              <w:snapToGrid w:val="0"/>
              <w:spacing w:line="360" w:lineRule="auto"/>
              <w:ind w:firstLine="240" w:firstLineChars="100"/>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szCs w:val="24"/>
                <w:highlight w:val="none"/>
                <w:u w:val="none"/>
              </w:rPr>
              <w:t>投标保证担保上传截止时间：</w:t>
            </w:r>
            <w:r>
              <w:rPr>
                <w:rFonts w:hint="eastAsia" w:ascii="宋体" w:hAnsi="宋体" w:eastAsia="宋体" w:cs="宋体"/>
                <w:snapToGrid w:val="0"/>
                <w:color w:val="auto"/>
                <w:kern w:val="0"/>
                <w:sz w:val="24"/>
                <w:highlight w:val="none"/>
                <w:lang w:val="en-US" w:eastAsia="zh-CN"/>
              </w:rPr>
              <w:t>2025年07月21日09时30分</w:t>
            </w:r>
          </w:p>
          <w:p w14:paraId="1DEB2FA3">
            <w:pPr>
              <w:pStyle w:val="34"/>
              <w:wordWrap w:val="0"/>
              <w:adjustRightInd w:val="0"/>
              <w:snapToGrid w:val="0"/>
              <w:spacing w:line="360" w:lineRule="auto"/>
              <w:ind w:firstLine="240" w:firstLineChars="100"/>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szCs w:val="24"/>
                <w:highlight w:val="none"/>
                <w:u w:val="none"/>
              </w:rPr>
              <w:t>投标保证保险投保截止时间：</w:t>
            </w:r>
            <w:r>
              <w:rPr>
                <w:rFonts w:hint="eastAsia" w:ascii="宋体" w:hAnsi="宋体" w:eastAsia="宋体" w:cs="宋体"/>
                <w:snapToGrid w:val="0"/>
                <w:color w:val="auto"/>
                <w:kern w:val="0"/>
                <w:sz w:val="24"/>
                <w:highlight w:val="none"/>
                <w:lang w:val="en-US" w:eastAsia="zh-CN"/>
              </w:rPr>
              <w:t>2025年07月21日09时30分</w:t>
            </w:r>
          </w:p>
        </w:tc>
      </w:tr>
      <w:tr w14:paraId="012438F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778"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394AC2B7">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6E2A5C91">
            <w:pPr>
              <w:pStyle w:val="34"/>
              <w:wordWrap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eastAsia="宋体" w:cs="宋体"/>
                <w:snapToGrid w:val="0"/>
                <w:color w:val="auto"/>
                <w:kern w:val="0"/>
                <w:sz w:val="24"/>
                <w:highlight w:val="none"/>
                <w:lang w:val="en-US" w:eastAsia="zh-CN"/>
              </w:rPr>
              <w:t>电子投标</w:t>
            </w:r>
          </w:p>
          <w:p w14:paraId="260E1535">
            <w:pPr>
              <w:pStyle w:val="34"/>
              <w:wordWrap w:val="0"/>
              <w:adjustRightInd w:val="0"/>
              <w:snapToGrid w:val="0"/>
              <w:spacing w:line="360" w:lineRule="auto"/>
              <w:ind w:firstLine="240" w:firstLineChars="100"/>
              <w:jc w:val="both"/>
              <w:rPr>
                <w:rFonts w:hint="eastAsia" w:ascii="宋体" w:hAnsi="宋体" w:eastAsia="宋体" w:cs="宋体"/>
                <w:snapToGrid w:val="0"/>
                <w:color w:val="auto"/>
                <w:kern w:val="0"/>
                <w:sz w:val="24"/>
                <w:highlight w:val="none"/>
                <w:lang w:val="en-US" w:eastAsia="zh-CN"/>
              </w:rPr>
            </w:pPr>
            <w:r>
              <w:rPr>
                <w:rFonts w:hint="eastAsia" w:ascii="宋体" w:hAnsi="宋体" w:eastAsia="宋体" w:cs="宋体"/>
                <w:snapToGrid w:val="0"/>
                <w:color w:val="auto"/>
                <w:kern w:val="0"/>
                <w:sz w:val="24"/>
                <w:highlight w:val="none"/>
                <w:lang w:val="en-US" w:eastAsia="zh-CN"/>
              </w:rPr>
              <w:t xml:space="preserve">截止时间 </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0C0C367C">
            <w:pPr>
              <w:pStyle w:val="34"/>
              <w:wordWrap w:val="0"/>
              <w:adjustRightInd w:val="0"/>
              <w:snapToGrid w:val="0"/>
              <w:spacing w:line="360" w:lineRule="auto"/>
              <w:jc w:val="both"/>
              <w:rPr>
                <w:rFonts w:hint="eastAsia" w:ascii="宋体" w:hAnsi="宋体" w:eastAsia="宋体" w:cs="宋体"/>
                <w:snapToGrid w:val="0"/>
                <w:color w:val="auto"/>
                <w:kern w:val="0"/>
                <w:sz w:val="24"/>
                <w:highlight w:val="none"/>
                <w:lang w:val="en-US" w:eastAsia="zh-CN"/>
              </w:rPr>
            </w:pPr>
            <w:r>
              <w:rPr>
                <w:rFonts w:hint="eastAsia" w:ascii="宋体" w:hAnsi="宋体" w:eastAsia="宋体" w:cs="宋体"/>
                <w:snapToGrid w:val="0"/>
                <w:color w:val="auto"/>
                <w:kern w:val="0"/>
                <w:sz w:val="24"/>
                <w:highlight w:val="none"/>
                <w:lang w:val="en-US" w:eastAsia="zh-CN"/>
              </w:rPr>
              <w:t>2025年07月22日09时30分</w:t>
            </w:r>
          </w:p>
        </w:tc>
      </w:tr>
      <w:tr w14:paraId="390BB35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14"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61F09BB2">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226F03A7">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投标相关资料（如有）递交时间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628FBCF9">
            <w:pPr>
              <w:pStyle w:val="34"/>
              <w:wordWrap w:val="0"/>
              <w:adjustRightInd w:val="0"/>
              <w:snapToGrid w:val="0"/>
              <w:spacing w:line="360" w:lineRule="auto"/>
              <w:jc w:val="left"/>
              <w:rPr>
                <w:rFonts w:hint="eastAsia" w:ascii="宋体" w:hAnsi="宋体" w:eastAsia="宋体" w:cs="宋体"/>
                <w:snapToGrid w:val="0"/>
                <w:color w:val="auto"/>
                <w:kern w:val="0"/>
                <w:sz w:val="24"/>
                <w:szCs w:val="24"/>
                <w:highlight w:val="none"/>
                <w:u w:val="none"/>
              </w:rPr>
            </w:pPr>
            <w:r>
              <w:rPr>
                <w:rFonts w:hint="eastAsia" w:ascii="宋体" w:hAnsi="宋体" w:eastAsia="宋体" w:cs="宋体"/>
                <w:snapToGrid w:val="0"/>
                <w:color w:val="auto"/>
                <w:kern w:val="0"/>
                <w:sz w:val="24"/>
                <w:highlight w:val="none"/>
                <w:lang w:val="en-US" w:eastAsia="zh-CN"/>
              </w:rPr>
              <w:t>2025年07月22日09时00分</w:t>
            </w:r>
            <w:r>
              <w:rPr>
                <w:rFonts w:hint="eastAsia" w:ascii="宋体" w:hAnsi="宋体" w:eastAsia="宋体" w:cs="宋体"/>
                <w:snapToGrid w:val="0"/>
                <w:color w:val="auto"/>
                <w:kern w:val="0"/>
                <w:sz w:val="24"/>
                <w:szCs w:val="24"/>
                <w:highlight w:val="none"/>
                <w:u w:val="none"/>
              </w:rPr>
              <w:t>至</w:t>
            </w:r>
            <w:r>
              <w:rPr>
                <w:rFonts w:hint="eastAsia" w:ascii="宋体" w:hAnsi="宋体" w:eastAsia="宋体" w:cs="宋体"/>
                <w:snapToGrid w:val="0"/>
                <w:color w:val="auto"/>
                <w:kern w:val="0"/>
                <w:sz w:val="24"/>
                <w:highlight w:val="none"/>
                <w:lang w:val="en-US" w:eastAsia="zh-CN"/>
              </w:rPr>
              <w:t>2025年07月22日09时30分</w:t>
            </w:r>
          </w:p>
        </w:tc>
      </w:tr>
      <w:tr w14:paraId="2D1D258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85"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72BCF6AA">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2D65EBA6">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投标相关资料（如有）递交地点</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4D932D98">
            <w:pPr>
              <w:pStyle w:val="20"/>
              <w:wordWrap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u w:val="none"/>
                <w:lang w:eastAsia="zh-CN"/>
              </w:rPr>
            </w:pPr>
            <w:r>
              <w:rPr>
                <w:rFonts w:hint="eastAsia" w:ascii="宋体" w:hAnsi="宋体" w:eastAsia="宋体" w:cs="宋体"/>
                <w:snapToGrid w:val="0"/>
                <w:color w:val="auto"/>
                <w:kern w:val="0"/>
                <w:sz w:val="24"/>
                <w:szCs w:val="24"/>
                <w:highlight w:val="none"/>
                <w:u w:val="none"/>
                <w:lang w:eastAsia="zh-CN"/>
              </w:rPr>
              <w:t>递交</w:t>
            </w:r>
            <w:r>
              <w:rPr>
                <w:rFonts w:hint="eastAsia" w:ascii="宋体" w:hAnsi="宋体" w:eastAsia="宋体" w:cs="宋体"/>
                <w:snapToGrid w:val="0"/>
                <w:color w:val="auto"/>
                <w:kern w:val="0"/>
                <w:sz w:val="24"/>
                <w:szCs w:val="24"/>
                <w:highlight w:val="none"/>
                <w:u w:val="none"/>
              </w:rPr>
              <w:t>场所：</w:t>
            </w:r>
            <w:r>
              <w:rPr>
                <w:rFonts w:hint="eastAsia" w:ascii="宋体" w:hAnsi="宋体" w:eastAsia="宋体" w:cs="宋体"/>
                <w:snapToGrid w:val="0"/>
                <w:color w:val="auto"/>
                <w:kern w:val="0"/>
                <w:sz w:val="24"/>
                <w:szCs w:val="24"/>
                <w:highlight w:val="none"/>
                <w:u w:val="none"/>
                <w:lang w:val="en-US" w:eastAsia="zh-CN"/>
              </w:rPr>
              <w:t>韶关市公共资源交易中心</w:t>
            </w:r>
          </w:p>
          <w:p w14:paraId="6164DD43">
            <w:pPr>
              <w:pStyle w:val="49"/>
              <w:widowControl w:val="0"/>
              <w:wordWrap w:val="0"/>
              <w:snapToGrid w:val="0"/>
              <w:spacing w:before="0" w:beforeAutospacing="0" w:after="0" w:afterAutospacing="0" w:line="360" w:lineRule="auto"/>
              <w:ind w:firstLine="240" w:firstLineChars="100"/>
              <w:rPr>
                <w:rFonts w:hint="eastAsia" w:ascii="宋体" w:hAnsi="宋体" w:eastAsia="宋体" w:cs="宋体"/>
                <w:snapToGrid w:val="0"/>
                <w:color w:val="auto"/>
                <w:kern w:val="0"/>
                <w:sz w:val="24"/>
                <w:szCs w:val="24"/>
                <w:highlight w:val="none"/>
                <w:u w:val="none"/>
                <w:lang w:eastAsia="zh-CN"/>
              </w:rPr>
            </w:pPr>
            <w:r>
              <w:rPr>
                <w:rFonts w:hint="eastAsia" w:ascii="宋体" w:hAnsi="宋体" w:eastAsia="宋体" w:cs="宋体"/>
                <w:snapToGrid w:val="0"/>
                <w:color w:val="auto"/>
                <w:kern w:val="0"/>
                <w:sz w:val="24"/>
                <w:szCs w:val="24"/>
                <w:highlight w:val="none"/>
                <w:u w:val="none"/>
              </w:rPr>
              <w:t>地址：</w:t>
            </w:r>
            <w:r>
              <w:rPr>
                <w:rFonts w:hint="eastAsia" w:ascii="宋体" w:hAnsi="宋体" w:eastAsia="宋体" w:cs="宋体"/>
                <w:snapToGrid w:val="0"/>
                <w:color w:val="auto"/>
                <w:kern w:val="0"/>
                <w:sz w:val="24"/>
                <w:szCs w:val="24"/>
                <w:highlight w:val="none"/>
              </w:rPr>
              <w:t>广东省韶关市武江区西联镇</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具体房间号以当日现场通知为准</w:t>
            </w:r>
            <w:r>
              <w:rPr>
                <w:rFonts w:hint="eastAsia" w:ascii="宋体" w:hAnsi="宋体" w:eastAsia="宋体" w:cs="宋体"/>
                <w:snapToGrid w:val="0"/>
                <w:color w:val="auto"/>
                <w:kern w:val="0"/>
                <w:sz w:val="24"/>
                <w:szCs w:val="24"/>
                <w:highlight w:val="none"/>
                <w:lang w:eastAsia="zh-CN"/>
              </w:rPr>
              <w:t>。</w:t>
            </w:r>
          </w:p>
        </w:tc>
      </w:tr>
      <w:tr w14:paraId="1C05BFD9">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95"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1CD38B72">
            <w:pPr>
              <w:pStyle w:val="34"/>
              <w:wordWrap w:val="0"/>
              <w:adjustRightInd w:val="0"/>
              <w:snapToGrid w:val="0"/>
              <w:spacing w:line="360" w:lineRule="auto"/>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9</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097BBC34">
            <w:pPr>
              <w:pStyle w:val="34"/>
              <w:wordWrap w:val="0"/>
              <w:adjustRightInd w:val="0"/>
              <w:snapToGrid w:val="0"/>
              <w:spacing w:line="360" w:lineRule="auto"/>
              <w:jc w:val="center"/>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开标时间</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6B807D9F">
            <w:pPr>
              <w:pStyle w:val="34"/>
              <w:wordWrap w:val="0"/>
              <w:adjustRightInd w:val="0"/>
              <w:snapToGrid w:val="0"/>
              <w:spacing w:line="360" w:lineRule="auto"/>
              <w:jc w:val="both"/>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lang w:val="en-US" w:eastAsia="zh-CN"/>
              </w:rPr>
              <w:t>2025年07月22日09时30分</w:t>
            </w:r>
          </w:p>
        </w:tc>
      </w:tr>
      <w:tr w14:paraId="5BB9412B">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282"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3E6761C9">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06ACC4E8">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开标地点</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50EB6ACD">
            <w:pPr>
              <w:pStyle w:val="20"/>
              <w:wordWrap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开标场所：</w:t>
            </w:r>
            <w:r>
              <w:rPr>
                <w:rFonts w:hint="eastAsia" w:ascii="宋体" w:hAnsi="宋体" w:eastAsia="宋体" w:cs="宋体"/>
                <w:snapToGrid w:val="0"/>
                <w:color w:val="auto"/>
                <w:kern w:val="0"/>
                <w:sz w:val="24"/>
                <w:szCs w:val="24"/>
                <w:highlight w:val="none"/>
                <w:lang w:val="en-US" w:eastAsia="zh-CN"/>
              </w:rPr>
              <w:t>韶关市公共资源交易中心</w:t>
            </w:r>
          </w:p>
          <w:p w14:paraId="59F1C8C1">
            <w:pPr>
              <w:pStyle w:val="49"/>
              <w:widowControl w:val="0"/>
              <w:wordWrap w:val="0"/>
              <w:snapToGrid w:val="0"/>
              <w:spacing w:before="0" w:beforeAutospacing="0" w:after="0" w:afterAutospacing="0" w:line="360" w:lineRule="auto"/>
              <w:ind w:firstLine="240" w:firstLineChars="1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地址：广东省韶关市武江区西联镇</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具体房间号以当日现场通知为准。</w:t>
            </w:r>
          </w:p>
        </w:tc>
      </w:tr>
      <w:tr w14:paraId="5D5E8F4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83" w:hRule="exact"/>
          <w:jc w:val="center"/>
        </w:trPr>
        <w:tc>
          <w:tcPr>
            <w:tcW w:w="602" w:type="dxa"/>
            <w:tcBorders>
              <w:top w:val="single" w:color="080000" w:sz="4" w:space="0"/>
              <w:left w:val="single" w:color="080000" w:sz="4" w:space="0"/>
              <w:bottom w:val="single" w:color="080000" w:sz="4" w:space="0"/>
              <w:right w:val="single" w:color="080000" w:sz="4" w:space="0"/>
            </w:tcBorders>
            <w:noWrap/>
            <w:vAlign w:val="center"/>
          </w:tcPr>
          <w:p w14:paraId="4B2B6B00">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1527" w:type="dxa"/>
            <w:tcBorders>
              <w:top w:val="single" w:color="080000" w:sz="4" w:space="0"/>
              <w:left w:val="single" w:color="080000" w:sz="4" w:space="0"/>
              <w:bottom w:val="single" w:color="080000" w:sz="4" w:space="0"/>
              <w:right w:val="single" w:color="080000" w:sz="4" w:space="0"/>
            </w:tcBorders>
            <w:noWrap/>
            <w:vAlign w:val="center"/>
          </w:tcPr>
          <w:p w14:paraId="3FFA4335">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其他</w:t>
            </w:r>
          </w:p>
        </w:tc>
        <w:tc>
          <w:tcPr>
            <w:tcW w:w="7726" w:type="dxa"/>
            <w:tcBorders>
              <w:top w:val="single" w:color="080000" w:sz="4" w:space="0"/>
              <w:left w:val="single" w:color="080000" w:sz="4" w:space="0"/>
              <w:bottom w:val="single" w:color="080000" w:sz="4" w:space="0"/>
              <w:right w:val="single" w:color="080000" w:sz="4" w:space="0"/>
            </w:tcBorders>
            <w:noWrap/>
            <w:vAlign w:val="center"/>
          </w:tcPr>
          <w:p w14:paraId="62484FFA">
            <w:pPr>
              <w:pStyle w:val="20"/>
              <w:wordWrap w:val="0"/>
              <w:adjustRightInd w:val="0"/>
              <w:snapToGrid w:val="0"/>
              <w:spacing w:line="360" w:lineRule="auto"/>
              <w:ind w:firstLine="240" w:firstLineChars="100"/>
              <w:jc w:val="left"/>
              <w:rPr>
                <w:rFonts w:hint="eastAsia" w:ascii="宋体" w:hAnsi="宋体" w:eastAsia="宋体" w:cs="宋体"/>
                <w:snapToGrid w:val="0"/>
                <w:color w:val="auto"/>
                <w:kern w:val="0"/>
                <w:sz w:val="24"/>
                <w:szCs w:val="24"/>
                <w:highlight w:val="none"/>
              </w:rPr>
            </w:pPr>
            <w:r>
              <w:rPr>
                <w:rFonts w:hint="eastAsia" w:ascii="宋体" w:hAnsi="宋体" w:eastAsia="宋体" w:cs="宋体"/>
                <w:color w:val="auto"/>
                <w:sz w:val="24"/>
                <w:szCs w:val="24"/>
                <w:highlight w:val="none"/>
                <w:shd w:val="clear" w:color="auto" w:fill="FFFFFF"/>
              </w:rPr>
              <w:t>投标人应按有关计划时间安排办理企业CA认证、企业入库等，获取招标文件后自行下载招标文件、资料文件及招标答疑书等。若由于投标人自身原因未能及时取得上述资料的，由此发生的任何责任由投标人自负。</w:t>
            </w:r>
          </w:p>
        </w:tc>
      </w:tr>
    </w:tbl>
    <w:p w14:paraId="783CCCE4">
      <w:pPr>
        <w:rPr>
          <w:rFonts w:hint="eastAsia" w:ascii="宋体" w:hAnsi="宋体" w:eastAsia="宋体" w:cs="宋体"/>
        </w:rPr>
      </w:pPr>
    </w:p>
    <w:p w14:paraId="0C391831">
      <w:pPr>
        <w:rPr>
          <w:rFonts w:hint="eastAsia" w:ascii="宋体" w:hAnsi="宋体" w:eastAsia="宋体" w:cs="宋体"/>
        </w:rPr>
      </w:pPr>
    </w:p>
    <w:p w14:paraId="06F3CE5A">
      <w:pPr>
        <w:rPr>
          <w:rFonts w:hint="eastAsia" w:ascii="宋体" w:hAnsi="宋体" w:eastAsia="宋体" w:cs="宋体"/>
        </w:rPr>
      </w:pPr>
    </w:p>
    <w:p w14:paraId="10FF82C7">
      <w:pPr>
        <w:rPr>
          <w:rFonts w:hint="eastAsia" w:ascii="宋体" w:hAnsi="宋体" w:eastAsia="宋体" w:cs="宋体"/>
        </w:rPr>
      </w:pPr>
    </w:p>
    <w:p w14:paraId="4740C1D3">
      <w:pPr>
        <w:rPr>
          <w:rFonts w:hint="eastAsia" w:ascii="宋体" w:hAnsi="宋体" w:eastAsia="宋体" w:cs="宋体"/>
        </w:rPr>
      </w:pPr>
    </w:p>
    <w:p w14:paraId="4E3F0761">
      <w:pPr>
        <w:rPr>
          <w:rFonts w:hint="eastAsia" w:ascii="宋体" w:hAnsi="宋体" w:eastAsia="宋体" w:cs="宋体"/>
        </w:rPr>
      </w:pPr>
    </w:p>
    <w:p w14:paraId="11E1D095">
      <w:pPr>
        <w:rPr>
          <w:rFonts w:hint="eastAsia" w:ascii="宋体" w:hAnsi="宋体" w:eastAsia="宋体" w:cs="宋体"/>
        </w:rPr>
      </w:pPr>
    </w:p>
    <w:p w14:paraId="6187EEB5">
      <w:pPr>
        <w:rPr>
          <w:rFonts w:hint="eastAsia" w:ascii="宋体" w:hAnsi="宋体" w:eastAsia="宋体" w:cs="宋体"/>
        </w:rPr>
      </w:pPr>
    </w:p>
    <w:p w14:paraId="73C561D0">
      <w:pPr>
        <w:rPr>
          <w:rFonts w:hint="eastAsia" w:ascii="宋体" w:hAnsi="宋体" w:eastAsia="宋体" w:cs="宋体"/>
        </w:rPr>
      </w:pPr>
      <w:bookmarkStart w:id="9" w:name="_Toc29292"/>
    </w:p>
    <w:p w14:paraId="12CA5012">
      <w:pPr>
        <w:spacing w:before="156" w:line="360" w:lineRule="auto"/>
        <w:ind w:left="17"/>
        <w:outlineLvl w:val="1"/>
        <w:rPr>
          <w:rFonts w:hint="eastAsia" w:ascii="宋体" w:hAnsi="宋体" w:eastAsia="宋体" w:cs="宋体"/>
          <w:b/>
          <w:bCs/>
          <w:color w:val="auto"/>
          <w:spacing w:val="-3"/>
          <w:sz w:val="24"/>
          <w:szCs w:val="24"/>
          <w:highlight w:val="none"/>
        </w:rPr>
      </w:pPr>
      <w:bookmarkStart w:id="10" w:name="_Toc14940"/>
      <w:r>
        <w:rPr>
          <w:rFonts w:hint="eastAsia" w:ascii="宋体" w:hAnsi="宋体" w:eastAsia="宋体" w:cs="宋体"/>
          <w:b/>
          <w:bCs/>
          <w:color w:val="auto"/>
          <w:spacing w:val="-3"/>
          <w:sz w:val="24"/>
          <w:szCs w:val="24"/>
          <w:highlight w:val="none"/>
        </w:rPr>
        <w:t>第三节</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投标人须知正文</w:t>
      </w:r>
      <w:bookmarkEnd w:id="9"/>
      <w:bookmarkEnd w:id="10"/>
    </w:p>
    <w:p w14:paraId="4094FC0C">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snapToGrid w:val="0"/>
          <w:color w:val="auto"/>
          <w:sz w:val="24"/>
          <w:szCs w:val="24"/>
          <w:highlight w:val="none"/>
        </w:rPr>
      </w:pPr>
      <w:bookmarkStart w:id="11" w:name="_Toc24668"/>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武江区龙归镇环工业园区人居环境整治建设项目工程施工</w:t>
      </w:r>
      <w:r>
        <w:rPr>
          <w:rFonts w:hint="eastAsia" w:ascii="宋体" w:hAnsi="宋体" w:eastAsia="宋体" w:cs="宋体"/>
          <w:b w:val="0"/>
          <w:bCs w:val="0"/>
          <w:caps w:val="0"/>
          <w:smallCaps w:val="0"/>
          <w:snapToGrid w:val="0"/>
          <w:color w:val="auto"/>
          <w:spacing w:val="0"/>
          <w:kern w:val="0"/>
          <w:sz w:val="24"/>
          <w:szCs w:val="24"/>
          <w:highlight w:val="none"/>
          <w:lang w:val="en-US" w:eastAsia="zh-CN"/>
        </w:rPr>
        <w:t>经</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韶关市武江区发展和改革局</w:t>
      </w:r>
      <w:r>
        <w:rPr>
          <w:rFonts w:hint="eastAsia" w:ascii="宋体" w:hAnsi="宋体" w:eastAsia="宋体" w:cs="宋体"/>
          <w:b w:val="0"/>
          <w:bCs w:val="0"/>
          <w:caps w:val="0"/>
          <w:smallCaps w:val="0"/>
          <w:snapToGrid w:val="0"/>
          <w:color w:val="auto"/>
          <w:spacing w:val="0"/>
          <w:kern w:val="0"/>
          <w:sz w:val="24"/>
          <w:szCs w:val="24"/>
          <w:highlight w:val="none"/>
          <w:lang w:val="en-US" w:eastAsia="zh-CN"/>
        </w:rPr>
        <w:t>以</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《韶关市武江区发展和改革局关于广东省韶关市武江区人居环境整治建设项目可行性研究报告的批复》</w:t>
      </w:r>
      <w:r>
        <w:rPr>
          <w:rFonts w:hint="eastAsia" w:ascii="宋体" w:hAnsi="宋体" w:eastAsia="宋体" w:cs="宋体"/>
          <w:b w:val="0"/>
          <w:bCs w:val="0"/>
          <w:caps w:val="0"/>
          <w:smallCaps w:val="0"/>
          <w:snapToGrid w:val="0"/>
          <w:color w:val="auto"/>
          <w:spacing w:val="0"/>
          <w:kern w:val="0"/>
          <w:sz w:val="24"/>
          <w:szCs w:val="24"/>
          <w:highlight w:val="none"/>
          <w:lang w:val="en-US" w:eastAsia="zh-CN"/>
        </w:rPr>
        <w:t>批准招标，项目批准文号为</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韶武发改投审〔2025〕36号</w:t>
      </w:r>
      <w:r>
        <w:rPr>
          <w:rFonts w:hint="eastAsia" w:ascii="宋体" w:hAnsi="宋体" w:eastAsia="宋体" w:cs="宋体"/>
          <w:b w:val="0"/>
          <w:bCs w:val="0"/>
          <w:caps w:val="0"/>
          <w:smallCaps w:val="0"/>
          <w:snapToGrid w:val="0"/>
          <w:color w:val="auto"/>
          <w:spacing w:val="0"/>
          <w:kern w:val="0"/>
          <w:sz w:val="24"/>
          <w:szCs w:val="24"/>
          <w:highlight w:val="none"/>
          <w:lang w:val="en-US" w:eastAsia="zh-CN"/>
        </w:rPr>
        <w:t>，项目代码为</w:t>
      </w:r>
      <w:r>
        <w:rPr>
          <w:rFonts w:hint="eastAsia" w:ascii="宋体" w:hAnsi="宋体" w:eastAsia="宋体" w:cs="宋体"/>
          <w:snapToGrid w:val="0"/>
          <w:color w:val="auto"/>
          <w:kern w:val="0"/>
          <w:sz w:val="24"/>
          <w:szCs w:val="24"/>
          <w:highlight w:val="none"/>
          <w:u w:val="single"/>
          <w:lang w:eastAsia="zh-CN"/>
        </w:rPr>
        <w:t>2501-440203-20-01-721867</w:t>
      </w:r>
      <w:r>
        <w:rPr>
          <w:rFonts w:hint="eastAsia" w:ascii="宋体" w:hAnsi="宋体" w:eastAsia="宋体" w:cs="宋体"/>
          <w:b w:val="0"/>
          <w:bCs w:val="0"/>
          <w:caps w:val="0"/>
          <w:smallCaps w:val="0"/>
          <w:snapToGrid w:val="0"/>
          <w:color w:val="auto"/>
          <w:spacing w:val="0"/>
          <w:kern w:val="0"/>
          <w:sz w:val="24"/>
          <w:szCs w:val="24"/>
          <w:highlight w:val="none"/>
          <w:lang w:val="en-US" w:eastAsia="zh-CN"/>
        </w:rPr>
        <w:t>，本工程项目业主为</w:t>
      </w:r>
      <w:r>
        <w:rPr>
          <w:rFonts w:hint="eastAsia" w:ascii="宋体" w:hAnsi="宋体" w:eastAsia="宋体" w:cs="宋体"/>
          <w:snapToGrid w:val="0"/>
          <w:color w:val="auto"/>
          <w:kern w:val="0"/>
          <w:sz w:val="24"/>
          <w:szCs w:val="24"/>
          <w:highlight w:val="none"/>
          <w:u w:val="single"/>
          <w:lang w:eastAsia="zh-CN"/>
        </w:rPr>
        <w:t>韶关市武江区龙归镇人民政府</w:t>
      </w:r>
      <w:r>
        <w:rPr>
          <w:rFonts w:hint="eastAsia" w:ascii="宋体" w:hAnsi="宋体" w:eastAsia="宋体" w:cs="宋体"/>
          <w:b w:val="0"/>
          <w:bCs w:val="0"/>
          <w:caps w:val="0"/>
          <w:smallCaps w:val="0"/>
          <w:snapToGrid w:val="0"/>
          <w:color w:val="auto"/>
          <w:spacing w:val="0"/>
          <w:kern w:val="0"/>
          <w:sz w:val="24"/>
          <w:szCs w:val="24"/>
          <w:highlight w:val="none"/>
          <w:lang w:val="en-US" w:eastAsia="zh-CN"/>
        </w:rPr>
        <w:t>，建设资金来自</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区财政统筹</w:t>
      </w:r>
      <w:r>
        <w:rPr>
          <w:rFonts w:hint="eastAsia" w:ascii="宋体" w:hAnsi="宋体" w:eastAsia="宋体" w:cs="宋体"/>
          <w:b w:val="0"/>
          <w:bCs w:val="0"/>
          <w:caps w:val="0"/>
          <w:smallCaps w:val="0"/>
          <w:snapToGrid w:val="0"/>
          <w:color w:val="auto"/>
          <w:spacing w:val="0"/>
          <w:kern w:val="0"/>
          <w:sz w:val="24"/>
          <w:szCs w:val="24"/>
          <w:highlight w:val="none"/>
          <w:lang w:val="en-US" w:eastAsia="zh-CN"/>
        </w:rPr>
        <w:t>，出资比例为</w:t>
      </w:r>
      <w:r>
        <w:rPr>
          <w:rFonts w:hint="eastAsia" w:ascii="宋体" w:hAnsi="宋体" w:eastAsia="宋体" w:cs="宋体"/>
          <w:b w:val="0"/>
          <w:bCs w:val="0"/>
          <w:caps w:val="0"/>
          <w:smallCaps w:val="0"/>
          <w:snapToGrid w:val="0"/>
          <w:color w:val="auto"/>
          <w:spacing w:val="0"/>
          <w:kern w:val="0"/>
          <w:sz w:val="24"/>
          <w:szCs w:val="24"/>
          <w:highlight w:val="none"/>
          <w:u w:val="single"/>
          <w:lang w:val="en-US" w:eastAsia="zh-CN"/>
        </w:rPr>
        <w:t>100%</w:t>
      </w:r>
      <w:r>
        <w:rPr>
          <w:rFonts w:hint="eastAsia" w:ascii="宋体" w:hAnsi="宋体" w:eastAsia="宋体" w:cs="宋体"/>
          <w:b w:val="0"/>
          <w:bCs w:val="0"/>
          <w:caps w:val="0"/>
          <w:smallCaps w:val="0"/>
          <w:snapToGrid w:val="0"/>
          <w:color w:val="auto"/>
          <w:spacing w:val="0"/>
          <w:kern w:val="0"/>
          <w:sz w:val="24"/>
          <w:szCs w:val="24"/>
          <w:highlight w:val="none"/>
          <w:lang w:val="en-US" w:eastAsia="zh-CN"/>
        </w:rPr>
        <w:t>，招标人为</w:t>
      </w:r>
      <w:r>
        <w:rPr>
          <w:rFonts w:hint="eastAsia" w:ascii="宋体" w:hAnsi="宋体" w:eastAsia="宋体" w:cs="宋体"/>
          <w:snapToGrid w:val="0"/>
          <w:color w:val="auto"/>
          <w:kern w:val="0"/>
          <w:sz w:val="24"/>
          <w:szCs w:val="24"/>
          <w:highlight w:val="none"/>
          <w:u w:val="single"/>
          <w:lang w:eastAsia="zh-CN"/>
        </w:rPr>
        <w:t>韶关市武江区龙归镇人民政府</w:t>
      </w:r>
      <w:r>
        <w:rPr>
          <w:rFonts w:hint="eastAsia" w:ascii="宋体" w:hAnsi="宋体" w:eastAsia="宋体" w:cs="宋体"/>
          <w:b w:val="0"/>
          <w:bCs w:val="0"/>
          <w:caps w:val="0"/>
          <w:smallCaps w:val="0"/>
          <w:snapToGrid w:val="0"/>
          <w:color w:val="auto"/>
          <w:spacing w:val="0"/>
          <w:kern w:val="0"/>
          <w:sz w:val="24"/>
          <w:szCs w:val="24"/>
          <w:highlight w:val="none"/>
          <w:lang w:val="en-US" w:eastAsia="zh-CN"/>
        </w:rPr>
        <w:t>，</w:t>
      </w:r>
      <w:r>
        <w:rPr>
          <w:rFonts w:hint="eastAsia" w:ascii="宋体" w:hAnsi="宋体" w:eastAsia="宋体" w:cs="宋体"/>
          <w:snapToGrid w:val="0"/>
          <w:color w:val="auto"/>
          <w:kern w:val="0"/>
          <w:sz w:val="24"/>
          <w:szCs w:val="24"/>
          <w:highlight w:val="none"/>
        </w:rPr>
        <w:t>招标代理机构为</w:t>
      </w:r>
      <w:r>
        <w:rPr>
          <w:rFonts w:hint="eastAsia" w:ascii="宋体" w:hAnsi="宋体" w:eastAsia="宋体" w:cs="宋体"/>
          <w:snapToGrid w:val="0"/>
          <w:color w:val="auto"/>
          <w:kern w:val="0"/>
          <w:sz w:val="24"/>
          <w:szCs w:val="24"/>
          <w:highlight w:val="none"/>
          <w:u w:val="single"/>
          <w:lang w:eastAsia="zh-CN"/>
        </w:rPr>
        <w:t>广东明正项目管理有限公司</w:t>
      </w:r>
      <w:r>
        <w:rPr>
          <w:rFonts w:hint="eastAsia" w:ascii="宋体" w:hAnsi="宋体" w:eastAsia="宋体" w:cs="宋体"/>
          <w:snapToGrid w:val="0"/>
          <w:color w:val="auto"/>
          <w:kern w:val="0"/>
          <w:sz w:val="24"/>
          <w:szCs w:val="24"/>
          <w:highlight w:val="none"/>
        </w:rPr>
        <w:t>。项目已具备招标条件，现对</w:t>
      </w:r>
      <w:r>
        <w:rPr>
          <w:rFonts w:hint="eastAsia" w:ascii="宋体" w:hAnsi="宋体" w:eastAsia="宋体" w:cs="宋体"/>
          <w:snapToGrid w:val="0"/>
          <w:color w:val="auto"/>
          <w:kern w:val="0"/>
          <w:sz w:val="24"/>
          <w:szCs w:val="24"/>
          <w:highlight w:val="none"/>
          <w:u w:val="none"/>
          <w:lang w:val="en-US" w:eastAsia="zh-CN"/>
        </w:rPr>
        <w:t>该项目</w:t>
      </w:r>
      <w:r>
        <w:rPr>
          <w:rFonts w:hint="eastAsia" w:ascii="宋体" w:hAnsi="宋体" w:eastAsia="宋体" w:cs="宋体"/>
          <w:snapToGrid w:val="0"/>
          <w:color w:val="auto"/>
          <w:kern w:val="0"/>
          <w:sz w:val="24"/>
          <w:szCs w:val="24"/>
          <w:highlight w:val="none"/>
          <w:u w:val="single"/>
          <w:lang w:val="en-US" w:eastAsia="zh-CN"/>
        </w:rPr>
        <w:t>施工</w:t>
      </w:r>
      <w:r>
        <w:rPr>
          <w:rFonts w:hint="eastAsia" w:ascii="宋体" w:hAnsi="宋体" w:eastAsia="宋体" w:cs="宋体"/>
          <w:snapToGrid w:val="0"/>
          <w:color w:val="auto"/>
          <w:kern w:val="0"/>
          <w:sz w:val="24"/>
          <w:szCs w:val="24"/>
          <w:highlight w:val="none"/>
        </w:rPr>
        <w:t>进行公开招标。</w:t>
      </w:r>
    </w:p>
    <w:p w14:paraId="55C36900">
      <w:pPr>
        <w:spacing w:before="78" w:line="360" w:lineRule="auto"/>
        <w:ind w:left="496"/>
        <w:outlineLvl w:val="2"/>
        <w:rPr>
          <w:rFonts w:hint="eastAsia" w:ascii="宋体" w:hAnsi="宋体" w:eastAsia="宋体" w:cs="宋体"/>
          <w:color w:val="auto"/>
          <w:sz w:val="24"/>
          <w:szCs w:val="24"/>
          <w:highlight w:val="none"/>
        </w:rPr>
      </w:pPr>
      <w:bookmarkStart w:id="12" w:name="_Toc28909"/>
      <w:r>
        <w:rPr>
          <w:rFonts w:hint="eastAsia" w:ascii="宋体" w:hAnsi="宋体" w:eastAsia="宋体" w:cs="宋体"/>
          <w:b/>
          <w:bCs/>
          <w:color w:val="auto"/>
          <w:spacing w:val="-4"/>
          <w:sz w:val="24"/>
          <w:szCs w:val="24"/>
          <w:highlight w:val="none"/>
        </w:rPr>
        <w:t>1</w:t>
      </w:r>
      <w:r>
        <w:rPr>
          <w:rFonts w:hint="eastAsia" w:ascii="宋体" w:hAnsi="宋体" w:eastAsia="宋体" w:cs="宋体"/>
          <w:b/>
          <w:bCs/>
          <w:color w:val="auto"/>
          <w:spacing w:val="-23"/>
          <w:sz w:val="24"/>
          <w:szCs w:val="24"/>
          <w:highlight w:val="none"/>
          <w:lang w:eastAsia="zh-CN"/>
        </w:rPr>
        <w:t>.</w:t>
      </w:r>
      <w:r>
        <w:rPr>
          <w:rFonts w:hint="eastAsia" w:ascii="宋体" w:hAnsi="宋体" w:eastAsia="宋体" w:cs="宋体"/>
          <w:b/>
          <w:bCs/>
          <w:color w:val="auto"/>
          <w:spacing w:val="-4"/>
          <w:sz w:val="24"/>
          <w:szCs w:val="24"/>
          <w:highlight w:val="none"/>
        </w:rPr>
        <w:t>项目概况、招标范围和标段划分、投标费用等</w:t>
      </w:r>
      <w:bookmarkEnd w:id="11"/>
      <w:bookmarkEnd w:id="12"/>
    </w:p>
    <w:p w14:paraId="6512D44E">
      <w:pPr>
        <w:numPr>
          <w:ilvl w:val="1"/>
          <w:numId w:val="0"/>
        </w:numPr>
        <w:spacing w:before="151" w:line="360" w:lineRule="auto"/>
        <w:ind w:left="496" w:leftChars="0" w:firstLine="0" w:firstLineChars="0"/>
        <w:rPr>
          <w:rFonts w:hint="eastAsia" w:ascii="宋体" w:hAnsi="宋体" w:eastAsia="宋体" w:cs="宋体"/>
          <w:color w:val="auto"/>
          <w:spacing w:val="-5"/>
          <w:sz w:val="24"/>
          <w:szCs w:val="24"/>
          <w:highlight w:val="none"/>
        </w:rPr>
      </w:pPr>
      <w:r>
        <w:rPr>
          <w:rFonts w:hint="eastAsia" w:ascii="宋体" w:hAnsi="宋体" w:eastAsia="宋体" w:cs="宋体"/>
          <w:b/>
          <w:bCs/>
          <w:snapToGrid w:val="0"/>
          <w:color w:val="auto"/>
          <w:spacing w:val="-5"/>
          <w:sz w:val="24"/>
          <w:szCs w:val="24"/>
          <w:lang w:val="en-US" w:eastAsia="en-US" w:bidi="ar-SA"/>
        </w:rPr>
        <w:t>1.1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b/>
          <w:bCs/>
          <w:color w:val="auto"/>
          <w:spacing w:val="9"/>
          <w:sz w:val="24"/>
          <w:szCs w:val="24"/>
          <w:highlight w:val="none"/>
          <w:lang w:val="en-US" w:eastAsia="zh-CN"/>
        </w:rPr>
        <w:t xml:space="preserve"> </w:t>
      </w:r>
      <w:r>
        <w:rPr>
          <w:rFonts w:hint="eastAsia" w:ascii="宋体" w:hAnsi="宋体" w:eastAsia="宋体" w:cs="宋体"/>
          <w:color w:val="auto"/>
          <w:spacing w:val="-5"/>
          <w:sz w:val="24"/>
          <w:szCs w:val="24"/>
          <w:highlight w:val="none"/>
        </w:rPr>
        <w:t>项目概况</w:t>
      </w:r>
    </w:p>
    <w:p w14:paraId="6C0E213B">
      <w:pPr>
        <w:numPr>
          <w:ilvl w:val="0"/>
          <w:numId w:val="0"/>
        </w:numPr>
        <w:spacing w:before="151" w:line="360" w:lineRule="auto"/>
        <w:ind w:left="496" w:leftChars="0"/>
        <w:rPr>
          <w:rFonts w:hint="eastAsia" w:ascii="宋体" w:hAnsi="宋体" w:eastAsia="宋体" w:cs="宋体"/>
          <w:color w:val="auto"/>
          <w:sz w:val="24"/>
          <w:szCs w:val="24"/>
          <w:highlight w:val="none"/>
          <w:u w:val="none"/>
          <w:lang w:val="en-US" w:eastAsia="zh-CN"/>
        </w:rPr>
      </w:pPr>
      <w:r>
        <w:rPr>
          <w:rFonts w:hint="eastAsia" w:ascii="宋体" w:hAnsi="宋体" w:eastAsia="宋体" w:cs="宋体"/>
          <w:b/>
          <w:bCs/>
          <w:color w:val="auto"/>
          <w:spacing w:val="-2"/>
          <w:sz w:val="24"/>
          <w:szCs w:val="24"/>
          <w:highlight w:val="none"/>
        </w:rPr>
        <w:t xml:space="preserve">1.1.1  </w:t>
      </w:r>
      <w:r>
        <w:rPr>
          <w:rFonts w:hint="eastAsia" w:ascii="宋体" w:hAnsi="宋体" w:eastAsia="宋体" w:cs="宋体"/>
          <w:color w:val="auto"/>
          <w:spacing w:val="-2"/>
          <w:sz w:val="24"/>
          <w:szCs w:val="24"/>
          <w:highlight w:val="none"/>
        </w:rPr>
        <w:t>建设地点：</w:t>
      </w:r>
      <w:r>
        <w:rPr>
          <w:rFonts w:hint="eastAsia" w:ascii="宋体" w:hAnsi="宋体" w:eastAsia="宋体" w:cs="宋体"/>
          <w:color w:val="auto"/>
          <w:sz w:val="24"/>
          <w:szCs w:val="24"/>
          <w:highlight w:val="none"/>
          <w:u w:val="single"/>
          <w:lang w:val="en-US" w:eastAsia="zh-CN"/>
        </w:rPr>
        <w:t>武江区龙归镇</w:t>
      </w:r>
      <w:r>
        <w:rPr>
          <w:rFonts w:hint="eastAsia" w:ascii="宋体" w:hAnsi="宋体" w:eastAsia="宋体" w:cs="宋体"/>
          <w:color w:val="auto"/>
          <w:sz w:val="24"/>
          <w:szCs w:val="24"/>
          <w:highlight w:val="none"/>
          <w:u w:val="none"/>
          <w:lang w:val="en-US" w:eastAsia="zh-CN"/>
        </w:rPr>
        <w:t>。</w:t>
      </w:r>
    </w:p>
    <w:p w14:paraId="4FB7DEF3">
      <w:pPr>
        <w:pStyle w:val="58"/>
        <w:tabs>
          <w:tab w:val="left" w:pos="7020"/>
        </w:tabs>
        <w:spacing w:line="360" w:lineRule="auto"/>
        <w:ind w:firstLine="524" w:firstLineChars="221"/>
        <w:jc w:val="left"/>
        <w:rPr>
          <w:rFonts w:hint="eastAsia" w:ascii="宋体" w:hAnsi="宋体" w:eastAsia="宋体" w:cs="宋体"/>
          <w:color w:val="auto"/>
          <w:sz w:val="24"/>
          <w:szCs w:val="24"/>
          <w:highlight w:val="none"/>
          <w:u w:val="single"/>
          <w:lang w:val="en-US" w:eastAsia="zh-CN"/>
        </w:rPr>
      </w:pPr>
      <w:r>
        <w:rPr>
          <w:rFonts w:hint="eastAsia" w:ascii="宋体" w:hAnsi="宋体" w:eastAsia="宋体" w:cs="宋体"/>
          <w:b/>
          <w:bCs/>
          <w:color w:val="auto"/>
          <w:spacing w:val="-2"/>
          <w:sz w:val="24"/>
          <w:szCs w:val="24"/>
          <w:highlight w:val="none"/>
        </w:rPr>
        <w:t xml:space="preserve">1.1.2  </w:t>
      </w:r>
      <w:r>
        <w:rPr>
          <w:rFonts w:hint="eastAsia" w:ascii="宋体" w:hAnsi="宋体" w:eastAsia="宋体" w:cs="宋体"/>
          <w:color w:val="auto"/>
          <w:spacing w:val="-2"/>
          <w:sz w:val="24"/>
          <w:szCs w:val="24"/>
          <w:highlight w:val="none"/>
        </w:rPr>
        <w:t>建设内容和规模：</w:t>
      </w:r>
      <w:r>
        <w:rPr>
          <w:rFonts w:hint="eastAsia" w:ascii="宋体" w:hAnsi="宋体" w:eastAsia="宋体" w:cs="宋体"/>
          <w:color w:val="auto"/>
          <w:spacing w:val="-2"/>
          <w:sz w:val="24"/>
          <w:szCs w:val="24"/>
          <w:highlight w:val="none"/>
          <w:u w:val="single"/>
          <w:lang w:val="en-US" w:eastAsia="zh-CN"/>
        </w:rPr>
        <w:t>提升国道323沿线（社主出口至寺前段）、冲下至留村、园区水冲坪等约14公里路域两侧人居环境，外墙提升约4.5万平方，加装空调格约120个、格栅约2430平方、树脂瓦屋檐2605等，店招更新1642平方，道路修复约4500平方，场地硬化约6500平方，完善路网建设新建魔芋基地道路，提升323沿线排水沟约1.5公里，新建村庄雨污排水沟约3.5公里，边坡治理约3处，新建四小园、生态停车场3600平方，增设太阳能路灯约450盏等，对沿线进行绿美广东建设约20公里。</w:t>
      </w:r>
    </w:p>
    <w:p w14:paraId="0402EAEE">
      <w:pPr>
        <w:keepNext w:val="0"/>
        <w:keepLines w:val="0"/>
        <w:widowControl/>
        <w:suppressLineNumbers w:val="0"/>
        <w:spacing w:line="360" w:lineRule="auto"/>
        <w:ind w:firstLine="474" w:firstLineChars="200"/>
        <w:jc w:val="left"/>
        <w:rPr>
          <w:rFonts w:hint="eastAsia" w:ascii="宋体" w:hAnsi="宋体" w:eastAsia="宋体" w:cs="宋体"/>
          <w:snapToGrid/>
          <w:color w:val="auto"/>
          <w:spacing w:val="-7"/>
          <w:kern w:val="2"/>
          <w:sz w:val="24"/>
          <w:szCs w:val="24"/>
          <w:highlight w:val="none"/>
          <w:u w:val="single"/>
          <w:lang w:val="en-US" w:eastAsia="zh-CN" w:bidi="ar-SA"/>
        </w:rPr>
      </w:pPr>
      <w:r>
        <w:rPr>
          <w:rFonts w:hint="eastAsia" w:ascii="宋体" w:hAnsi="宋体" w:eastAsia="宋体" w:cs="宋体"/>
          <w:b/>
          <w:bCs/>
          <w:color w:val="auto"/>
          <w:spacing w:val="-2"/>
          <w:sz w:val="24"/>
          <w:szCs w:val="24"/>
          <w:highlight w:val="none"/>
        </w:rPr>
        <w:t xml:space="preserve">1.1.3  </w:t>
      </w:r>
      <w:r>
        <w:rPr>
          <w:rFonts w:hint="eastAsia" w:ascii="宋体" w:hAnsi="宋体" w:eastAsia="宋体" w:cs="宋体"/>
          <w:color w:val="auto"/>
          <w:spacing w:val="-2"/>
          <w:sz w:val="24"/>
          <w:szCs w:val="24"/>
          <w:highlight w:val="none"/>
        </w:rPr>
        <w:t>项目总投资</w:t>
      </w:r>
      <w:r>
        <w:rPr>
          <w:rFonts w:hint="eastAsia" w:ascii="宋体" w:hAnsi="宋体" w:eastAsia="宋体" w:cs="宋体"/>
          <w:color w:val="auto"/>
          <w:spacing w:val="-7"/>
          <w:sz w:val="24"/>
          <w:szCs w:val="24"/>
          <w:highlight w:val="none"/>
          <w:u w:val="none"/>
          <w:lang w:val="en-US" w:eastAsia="zh-CN"/>
        </w:rPr>
        <w:t>：</w:t>
      </w:r>
      <w:r>
        <w:rPr>
          <w:rFonts w:hint="eastAsia" w:ascii="宋体" w:hAnsi="宋体" w:eastAsia="宋体" w:cs="宋体"/>
          <w:color w:val="auto"/>
          <w:spacing w:val="-6"/>
          <w:sz w:val="24"/>
          <w:szCs w:val="24"/>
          <w:highlight w:val="none"/>
          <w:lang w:val="en-US" w:eastAsia="zh-CN"/>
        </w:rPr>
        <w:t>项目概算总投资2470.45万元，其中工程费用2122.28万元，工程建设其他费用230.53万元，预备费用117.64万元。</w:t>
      </w:r>
    </w:p>
    <w:p w14:paraId="5F1DBCD4">
      <w:pPr>
        <w:spacing w:before="152"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  </w:t>
      </w:r>
      <w:r>
        <w:rPr>
          <w:rFonts w:hint="eastAsia" w:ascii="宋体" w:hAnsi="宋体" w:eastAsia="宋体" w:cs="宋体"/>
          <w:color w:val="auto"/>
          <w:spacing w:val="-2"/>
          <w:sz w:val="24"/>
          <w:szCs w:val="24"/>
          <w:highlight w:val="none"/>
        </w:rPr>
        <w:t>招标范围和标段划分</w:t>
      </w:r>
    </w:p>
    <w:p w14:paraId="3AAF1533">
      <w:pPr>
        <w:spacing w:before="152" w:line="360" w:lineRule="auto"/>
        <w:ind w:left="496"/>
        <w:rPr>
          <w:rFonts w:hint="eastAsia" w:ascii="宋体" w:hAnsi="宋体" w:eastAsia="宋体" w:cs="宋体"/>
          <w:color w:val="auto"/>
          <w:sz w:val="24"/>
          <w:szCs w:val="24"/>
          <w:highlight w:val="none"/>
          <w:lang w:eastAsia="zh-CN"/>
        </w:rPr>
      </w:pPr>
      <w:r>
        <w:rPr>
          <w:rFonts w:hint="eastAsia" w:ascii="宋体" w:hAnsi="宋体" w:eastAsia="宋体" w:cs="宋体"/>
          <w:b/>
          <w:bCs/>
          <w:color w:val="auto"/>
          <w:spacing w:val="-2"/>
          <w:sz w:val="24"/>
          <w:szCs w:val="24"/>
          <w:highlight w:val="none"/>
        </w:rPr>
        <w:t xml:space="preserve">1.2.1  </w:t>
      </w:r>
      <w:r>
        <w:rPr>
          <w:rFonts w:hint="eastAsia" w:ascii="宋体" w:hAnsi="宋体" w:eastAsia="宋体" w:cs="宋体"/>
          <w:color w:val="auto"/>
          <w:spacing w:val="-2"/>
          <w:sz w:val="24"/>
          <w:szCs w:val="24"/>
          <w:highlight w:val="none"/>
        </w:rPr>
        <w:t>招标范围：</w:t>
      </w:r>
      <w:r>
        <w:rPr>
          <w:rFonts w:hint="eastAsia" w:ascii="宋体" w:hAnsi="宋体" w:eastAsia="宋体" w:cs="宋体"/>
          <w:color w:val="auto"/>
          <w:spacing w:val="-1"/>
          <w:sz w:val="24"/>
          <w:szCs w:val="24"/>
          <w:highlight w:val="none"/>
        </w:rPr>
        <w:t>按审查合格的施工图纸及工程量清单内容施工</w:t>
      </w:r>
      <w:r>
        <w:rPr>
          <w:rFonts w:hint="eastAsia" w:ascii="宋体" w:hAnsi="宋体" w:eastAsia="宋体" w:cs="宋体"/>
          <w:color w:val="auto"/>
          <w:spacing w:val="-1"/>
          <w:sz w:val="24"/>
          <w:szCs w:val="24"/>
          <w:highlight w:val="none"/>
          <w:lang w:eastAsia="zh-CN"/>
        </w:rPr>
        <w:t>。</w:t>
      </w:r>
    </w:p>
    <w:p w14:paraId="1E6C1E53">
      <w:pPr>
        <w:spacing w:before="151" w:line="360" w:lineRule="auto"/>
        <w:ind w:left="13" w:right="65" w:firstLine="533"/>
        <w:rPr>
          <w:rFonts w:hint="eastAsia" w:ascii="宋体" w:hAnsi="宋体" w:eastAsia="宋体" w:cs="宋体"/>
          <w:b w:val="0"/>
          <w:bCs w:val="0"/>
          <w:color w:val="auto"/>
          <w:spacing w:val="-1"/>
          <w:sz w:val="24"/>
          <w:szCs w:val="24"/>
          <w:highlight w:val="none"/>
        </w:rPr>
      </w:pPr>
      <w:bookmarkStart w:id="13" w:name="_Toc30251"/>
      <w:bookmarkStart w:id="14" w:name="_Toc20855"/>
      <w:bookmarkStart w:id="15" w:name="_Toc28202"/>
      <w:bookmarkStart w:id="16" w:name="_Toc14190"/>
      <w:r>
        <w:rPr>
          <w:rFonts w:hint="eastAsia" w:ascii="宋体" w:hAnsi="宋体" w:eastAsia="宋体" w:cs="宋体"/>
          <w:b/>
          <w:bCs/>
          <w:color w:val="auto"/>
          <w:spacing w:val="-1"/>
          <w:sz w:val="24"/>
          <w:szCs w:val="24"/>
          <w:highlight w:val="none"/>
        </w:rPr>
        <w:t xml:space="preserve">1.2.2  </w:t>
      </w:r>
      <w:r>
        <w:rPr>
          <w:rFonts w:hint="eastAsia" w:ascii="宋体" w:hAnsi="宋体" w:eastAsia="宋体" w:cs="宋体"/>
          <w:b w:val="0"/>
          <w:bCs w:val="0"/>
          <w:color w:val="auto"/>
          <w:spacing w:val="-1"/>
          <w:sz w:val="24"/>
          <w:szCs w:val="24"/>
          <w:highlight w:val="none"/>
        </w:rPr>
        <w:t>标段划分：本招标项目不划分标段。</w:t>
      </w:r>
      <w:bookmarkEnd w:id="13"/>
      <w:bookmarkEnd w:id="14"/>
      <w:bookmarkEnd w:id="15"/>
      <w:bookmarkEnd w:id="16"/>
    </w:p>
    <w:p w14:paraId="3E431764">
      <w:pPr>
        <w:spacing w:before="151" w:line="360" w:lineRule="auto"/>
        <w:ind w:left="13" w:right="65" w:firstLine="53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  </w:t>
      </w:r>
      <w:r>
        <w:rPr>
          <w:rFonts w:hint="eastAsia" w:ascii="宋体" w:hAnsi="宋体" w:eastAsia="宋体" w:cs="宋体"/>
          <w:color w:val="auto"/>
          <w:spacing w:val="-1"/>
          <w:sz w:val="24"/>
          <w:szCs w:val="24"/>
          <w:highlight w:val="none"/>
        </w:rPr>
        <w:t>投标费用：投标人应承担所有准备和参加投标的相关费用，不</w:t>
      </w:r>
      <w:r>
        <w:rPr>
          <w:rFonts w:hint="eastAsia" w:ascii="宋体" w:hAnsi="宋体" w:eastAsia="宋体" w:cs="宋体"/>
          <w:color w:val="auto"/>
          <w:spacing w:val="-2"/>
          <w:sz w:val="24"/>
          <w:szCs w:val="24"/>
          <w:highlight w:val="none"/>
        </w:rPr>
        <w:t>论投标结果如</w:t>
      </w:r>
      <w:r>
        <w:rPr>
          <w:rFonts w:hint="eastAsia" w:ascii="宋体" w:hAnsi="宋体" w:eastAsia="宋体" w:cs="宋体"/>
          <w:color w:val="auto"/>
          <w:spacing w:val="-1"/>
          <w:sz w:val="24"/>
          <w:szCs w:val="24"/>
          <w:highlight w:val="none"/>
        </w:rPr>
        <w:t>何，招标人均无义务和责任承担这些费用。</w:t>
      </w:r>
    </w:p>
    <w:p w14:paraId="712CC623">
      <w:pPr>
        <w:spacing w:before="22"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 xml:space="preserve">1.4  </w:t>
      </w:r>
      <w:r>
        <w:rPr>
          <w:rFonts w:hint="eastAsia" w:ascii="宋体" w:hAnsi="宋体" w:eastAsia="宋体" w:cs="宋体"/>
          <w:color w:val="auto"/>
          <w:spacing w:val="-6"/>
          <w:sz w:val="24"/>
          <w:szCs w:val="24"/>
          <w:highlight w:val="none"/>
        </w:rPr>
        <w:t>招标代理费用：</w:t>
      </w:r>
      <w:r>
        <w:rPr>
          <w:rFonts w:hint="eastAsia" w:ascii="宋体" w:hAnsi="宋体" w:eastAsia="宋体" w:cs="宋体"/>
          <w:color w:val="auto"/>
          <w:spacing w:val="-6"/>
          <w:sz w:val="24"/>
          <w:szCs w:val="24"/>
          <w:highlight w:val="none"/>
          <w:lang w:eastAsia="zh-CN"/>
        </w:rPr>
        <w:t>□</w:t>
      </w:r>
      <w:r>
        <w:rPr>
          <w:rFonts w:hint="eastAsia" w:ascii="宋体" w:hAnsi="宋体" w:eastAsia="宋体" w:cs="宋体"/>
          <w:color w:val="auto"/>
          <w:spacing w:val="-82"/>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w:t>
      </w:r>
      <w:r>
        <w:rPr>
          <w:rFonts w:hint="eastAsia" w:ascii="宋体" w:hAnsi="宋体" w:eastAsia="宋体" w:cs="宋体"/>
          <w:color w:val="auto"/>
          <w:spacing w:val="6"/>
          <w:sz w:val="24"/>
          <w:szCs w:val="24"/>
          <w:highlight w:val="none"/>
        </w:rPr>
        <w:t>项目业主</w:t>
      </w:r>
      <w:r>
        <w:rPr>
          <w:rFonts w:hint="eastAsia" w:ascii="宋体" w:hAnsi="宋体" w:eastAsia="宋体" w:cs="宋体"/>
          <w:color w:val="auto"/>
          <w:spacing w:val="-6"/>
          <w:sz w:val="24"/>
          <w:szCs w:val="24"/>
          <w:highlight w:val="none"/>
          <w:shd w:val="clear" w:color="auto" w:fill="FFFFFF"/>
        </w:rPr>
        <w:t>支</w:t>
      </w:r>
      <w:r>
        <w:rPr>
          <w:rFonts w:hint="eastAsia" w:ascii="宋体" w:hAnsi="宋体" w:eastAsia="宋体" w:cs="宋体"/>
          <w:color w:val="auto"/>
          <w:spacing w:val="-6"/>
          <w:sz w:val="24"/>
          <w:szCs w:val="24"/>
          <w:highlight w:val="none"/>
        </w:rPr>
        <w:t>付</w:t>
      </w:r>
      <w:r>
        <w:rPr>
          <w:rFonts w:hint="eastAsia" w:ascii="宋体" w:hAnsi="宋体" w:eastAsia="宋体" w:cs="宋体"/>
          <w:color w:val="auto"/>
          <w:position w:val="-6"/>
          <w:sz w:val="24"/>
          <w:szCs w:val="24"/>
          <w:highlight w:val="none"/>
          <w:shd w:val="clear" w:color="auto" w:fill="FFFFFF"/>
          <w:lang w:eastAsia="zh-CN"/>
        </w:rPr>
        <w:t xml:space="preserve"> </w:t>
      </w:r>
      <w:r>
        <w:rPr>
          <w:rFonts w:hint="eastAsia" w:ascii="宋体" w:hAnsi="宋体" w:eastAsia="宋体" w:cs="宋体"/>
          <w:color w:val="auto"/>
          <w:spacing w:val="-6"/>
          <w:sz w:val="24"/>
          <w:szCs w:val="24"/>
          <w:highlight w:val="none"/>
          <w:shd w:val="clear" w:color="auto" w:fill="FFFFFF"/>
          <w:lang w:eastAsia="zh-CN"/>
        </w:rPr>
        <w:t>☑</w:t>
      </w:r>
      <w:r>
        <w:rPr>
          <w:rFonts w:hint="eastAsia" w:ascii="宋体" w:hAnsi="宋体" w:eastAsia="宋体" w:cs="宋体"/>
          <w:color w:val="auto"/>
          <w:spacing w:val="-81"/>
          <w:sz w:val="24"/>
          <w:szCs w:val="24"/>
          <w:highlight w:val="none"/>
          <w:shd w:val="clear" w:color="auto" w:fill="FFFFFF"/>
        </w:rPr>
        <w:t xml:space="preserve"> </w:t>
      </w:r>
      <w:r>
        <w:rPr>
          <w:rFonts w:hint="eastAsia" w:ascii="宋体" w:hAnsi="宋体" w:eastAsia="宋体" w:cs="宋体"/>
          <w:color w:val="auto"/>
          <w:spacing w:val="-6"/>
          <w:sz w:val="24"/>
          <w:szCs w:val="24"/>
          <w:highlight w:val="none"/>
          <w:shd w:val="clear" w:color="auto" w:fill="FFFFFF"/>
        </w:rPr>
        <w:t>由中标人支付。</w:t>
      </w:r>
    </w:p>
    <w:p w14:paraId="531FCE6E">
      <w:pPr>
        <w:wordWrap w:val="0"/>
        <w:adjustRightInd w:val="0"/>
        <w:snapToGrid w:val="0"/>
        <w:spacing w:line="360" w:lineRule="auto"/>
        <w:ind w:firstLine="482" w:firstLineChars="200"/>
        <w:jc w:val="left"/>
        <w:outlineLvl w:val="2"/>
        <w:rPr>
          <w:rFonts w:hint="eastAsia" w:ascii="宋体" w:hAnsi="宋体" w:eastAsia="宋体" w:cs="宋体"/>
          <w:b/>
          <w:bCs/>
          <w:color w:val="auto"/>
          <w:sz w:val="24"/>
          <w:szCs w:val="24"/>
          <w:highlight w:val="none"/>
        </w:rPr>
      </w:pPr>
      <w:bookmarkStart w:id="17" w:name="_Toc11595"/>
      <w:r>
        <w:rPr>
          <w:rFonts w:hint="eastAsia" w:ascii="宋体" w:hAnsi="宋体" w:eastAsia="宋体" w:cs="宋体"/>
          <w:b/>
          <w:bCs/>
          <w:color w:val="auto"/>
          <w:sz w:val="24"/>
          <w:szCs w:val="24"/>
          <w:highlight w:val="none"/>
        </w:rPr>
        <w:t>2</w:t>
      </w:r>
      <w:r>
        <w:rPr>
          <w:rFonts w:hint="eastAsia" w:ascii="宋体" w:hAnsi="宋体" w:eastAsia="宋体" w:cs="宋体"/>
          <w:b/>
          <w:bCs/>
          <w:color w:val="auto"/>
          <w:sz w:val="24"/>
          <w:szCs w:val="24"/>
          <w:highlight w:val="none"/>
          <w:lang w:val="en-US" w:eastAsia="zh-CN"/>
        </w:rPr>
        <w:t>.</w:t>
      </w:r>
      <w:r>
        <w:rPr>
          <w:rFonts w:hint="eastAsia" w:ascii="宋体" w:hAnsi="宋体" w:eastAsia="宋体" w:cs="宋体"/>
          <w:b/>
          <w:bCs/>
          <w:color w:val="auto"/>
          <w:sz w:val="24"/>
          <w:szCs w:val="24"/>
          <w:highlight w:val="none"/>
          <w:lang w:eastAsia="zh-CN"/>
        </w:rPr>
        <w:t>投标人</w:t>
      </w:r>
      <w:r>
        <w:rPr>
          <w:rFonts w:hint="eastAsia" w:ascii="宋体" w:hAnsi="宋体" w:eastAsia="宋体" w:cs="宋体"/>
          <w:b/>
          <w:bCs/>
          <w:color w:val="auto"/>
          <w:sz w:val="24"/>
          <w:szCs w:val="24"/>
          <w:highlight w:val="none"/>
        </w:rPr>
        <w:t>资质要求</w:t>
      </w:r>
      <w:bookmarkEnd w:id="17"/>
    </w:p>
    <w:p w14:paraId="2C1CD63E">
      <w:pPr>
        <w:pStyle w:val="57"/>
        <w:pageBreakBefore w:val="0"/>
        <w:kinsoku/>
        <w:overflowPunct/>
        <w:topLinePunct w:val="0"/>
        <w:autoSpaceDE/>
        <w:autoSpaceDN/>
        <w:bidi w:val="0"/>
        <w:snapToGrid w:val="0"/>
        <w:spacing w:line="360" w:lineRule="auto"/>
        <w:ind w:firstLine="482" w:firstLineChars="200"/>
        <w:jc w:val="left"/>
        <w:rPr>
          <w:rStyle w:val="48"/>
          <w:rFonts w:hint="eastAsia" w:ascii="宋体" w:hAnsi="宋体" w:eastAsia="宋体" w:cs="宋体"/>
          <w:color w:val="auto"/>
          <w:kern w:val="0"/>
          <w:sz w:val="24"/>
          <w:szCs w:val="24"/>
          <w:highlight w:val="none"/>
          <w:lang w:eastAsia="zh-CN"/>
        </w:rPr>
      </w:pPr>
      <w:r>
        <w:rPr>
          <w:rStyle w:val="48"/>
          <w:rFonts w:hint="eastAsia" w:ascii="宋体" w:hAnsi="宋体" w:eastAsia="宋体" w:cs="宋体"/>
          <w:b/>
          <w:bCs/>
          <w:color w:val="auto"/>
          <w:kern w:val="0"/>
          <w:sz w:val="24"/>
          <w:szCs w:val="24"/>
          <w:highlight w:val="none"/>
          <w:lang w:val="en-US" w:eastAsia="zh-CN"/>
        </w:rPr>
        <w:t>2.</w:t>
      </w:r>
      <w:r>
        <w:rPr>
          <w:rStyle w:val="48"/>
          <w:rFonts w:hint="eastAsia" w:ascii="宋体" w:hAnsi="宋体" w:eastAsia="宋体" w:cs="宋体"/>
          <w:b/>
          <w:bCs/>
          <w:color w:val="auto"/>
          <w:kern w:val="0"/>
          <w:sz w:val="24"/>
          <w:szCs w:val="24"/>
          <w:highlight w:val="none"/>
        </w:rPr>
        <w:t>1</w:t>
      </w:r>
      <w:r>
        <w:rPr>
          <w:rStyle w:val="48"/>
          <w:rFonts w:hint="eastAsia" w:ascii="宋体" w:hAnsi="宋体" w:eastAsia="宋体" w:cs="宋体"/>
          <w:color w:val="auto"/>
          <w:kern w:val="0"/>
          <w:sz w:val="24"/>
          <w:szCs w:val="24"/>
          <w:highlight w:val="none"/>
          <w:lang w:eastAsia="zh-CN"/>
        </w:rPr>
        <w:t>本次招标</w:t>
      </w:r>
      <w:r>
        <w:rPr>
          <w:rStyle w:val="48"/>
          <w:rFonts w:hint="eastAsia" w:ascii="宋体" w:hAnsi="宋体" w:eastAsia="宋体" w:cs="宋体"/>
          <w:color w:val="auto"/>
          <w:kern w:val="0"/>
          <w:sz w:val="24"/>
          <w:szCs w:val="24"/>
          <w:highlight w:val="none"/>
          <w:u w:val="single"/>
          <w:lang w:eastAsia="zh-CN"/>
        </w:rPr>
        <w:t>不接受</w:t>
      </w:r>
      <w:r>
        <w:rPr>
          <w:rStyle w:val="48"/>
          <w:rFonts w:hint="eastAsia" w:ascii="宋体" w:hAnsi="宋体" w:eastAsia="宋体" w:cs="宋体"/>
          <w:color w:val="auto"/>
          <w:kern w:val="0"/>
          <w:sz w:val="24"/>
          <w:szCs w:val="24"/>
          <w:highlight w:val="none"/>
          <w:lang w:eastAsia="zh-CN"/>
        </w:rPr>
        <w:t>联合体投标。</w:t>
      </w:r>
    </w:p>
    <w:p w14:paraId="522C5F58">
      <w:pPr>
        <w:pStyle w:val="57"/>
        <w:pageBreakBefore w:val="0"/>
        <w:kinsoku/>
        <w:overflowPunct/>
        <w:topLinePunct w:val="0"/>
        <w:autoSpaceDE/>
        <w:autoSpaceDN/>
        <w:bidi w:val="0"/>
        <w:snapToGrid w:val="0"/>
        <w:spacing w:line="360" w:lineRule="auto"/>
        <w:ind w:firstLine="482" w:firstLineChars="200"/>
        <w:jc w:val="left"/>
        <w:rPr>
          <w:rStyle w:val="48"/>
          <w:rFonts w:hint="eastAsia" w:ascii="宋体" w:hAnsi="宋体" w:eastAsia="宋体" w:cs="宋体"/>
          <w:color w:val="auto"/>
          <w:kern w:val="0"/>
          <w:sz w:val="24"/>
          <w:szCs w:val="24"/>
          <w:highlight w:val="none"/>
          <w:lang w:val="en-US" w:eastAsia="zh-CN"/>
        </w:rPr>
      </w:pPr>
      <w:r>
        <w:rPr>
          <w:rStyle w:val="48"/>
          <w:rFonts w:hint="eastAsia" w:ascii="宋体" w:hAnsi="宋体" w:eastAsia="宋体" w:cs="宋体"/>
          <w:b/>
          <w:bCs/>
          <w:color w:val="auto"/>
          <w:kern w:val="0"/>
          <w:sz w:val="24"/>
          <w:szCs w:val="24"/>
          <w:highlight w:val="none"/>
          <w:lang w:val="en-US" w:eastAsia="zh-CN"/>
        </w:rPr>
        <w:t>2.2</w:t>
      </w:r>
      <w:r>
        <w:rPr>
          <w:rStyle w:val="48"/>
          <w:rFonts w:hint="eastAsia" w:ascii="宋体" w:hAnsi="宋体" w:eastAsia="宋体" w:cs="宋体"/>
          <w:color w:val="auto"/>
          <w:kern w:val="0"/>
          <w:sz w:val="24"/>
          <w:szCs w:val="24"/>
          <w:highlight w:val="none"/>
          <w:lang w:val="en-US" w:eastAsia="zh-CN"/>
        </w:rPr>
        <w:t>资格资质要求</w:t>
      </w:r>
    </w:p>
    <w:p w14:paraId="7F8C533F">
      <w:pPr>
        <w:pStyle w:val="7"/>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2.1</w:t>
      </w:r>
      <w:r>
        <w:rPr>
          <w:rFonts w:hint="eastAsia" w:ascii="宋体" w:hAnsi="宋体" w:eastAsia="宋体" w:cs="宋体"/>
          <w:color w:val="auto"/>
          <w:sz w:val="24"/>
          <w:szCs w:val="24"/>
          <w:highlight w:val="none"/>
        </w:rPr>
        <w:t xml:space="preserve"> 投标人须具备独立法人资格，按国家法律经营。</w:t>
      </w:r>
    </w:p>
    <w:p w14:paraId="3D9D6AF2">
      <w:pPr>
        <w:pStyle w:val="7"/>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2.2</w:t>
      </w:r>
      <w:r>
        <w:rPr>
          <w:rFonts w:hint="eastAsia" w:ascii="宋体" w:hAnsi="宋体" w:eastAsia="宋体" w:cs="宋体"/>
          <w:color w:val="auto"/>
          <w:sz w:val="24"/>
          <w:szCs w:val="24"/>
          <w:highlight w:val="none"/>
        </w:rPr>
        <w:t xml:space="preserve"> 投标人须持有建设行政主管部门颁发的企业资质证书及安全生产许可证。</w:t>
      </w:r>
    </w:p>
    <w:p w14:paraId="31719858">
      <w:pPr>
        <w:pStyle w:val="7"/>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2.3</w:t>
      </w:r>
      <w:r>
        <w:rPr>
          <w:rFonts w:hint="eastAsia" w:ascii="宋体" w:hAnsi="宋体" w:eastAsia="宋体" w:cs="宋体"/>
          <w:color w:val="auto"/>
          <w:sz w:val="24"/>
          <w:szCs w:val="24"/>
          <w:highlight w:val="none"/>
        </w:rPr>
        <w:t xml:space="preserve"> 投标人须具备以下资质：</w:t>
      </w:r>
      <w:r>
        <w:rPr>
          <w:rFonts w:hint="eastAsia" w:ascii="宋体" w:hAnsi="宋体" w:eastAsia="宋体" w:cs="宋体"/>
          <w:color w:val="auto"/>
          <w:sz w:val="24"/>
          <w:szCs w:val="24"/>
          <w:highlight w:val="none"/>
          <w:u w:val="single"/>
        </w:rPr>
        <w:t>市政公用工程施工总承包叁级以上（含叁级）资质</w:t>
      </w:r>
      <w:r>
        <w:rPr>
          <w:rFonts w:hint="eastAsia" w:ascii="宋体" w:hAnsi="宋体" w:eastAsia="宋体" w:cs="宋体"/>
          <w:color w:val="auto"/>
          <w:sz w:val="24"/>
          <w:szCs w:val="24"/>
          <w:highlight w:val="none"/>
        </w:rPr>
        <w:t>。</w:t>
      </w:r>
    </w:p>
    <w:p w14:paraId="1DE6637B">
      <w:pPr>
        <w:spacing w:before="78" w:line="360" w:lineRule="auto"/>
        <w:ind w:left="489"/>
        <w:rPr>
          <w:rFonts w:hint="eastAsia" w:ascii="宋体" w:hAnsi="宋体" w:eastAsia="宋体" w:cs="宋体"/>
          <w:b/>
          <w:bCs/>
          <w:color w:val="auto"/>
          <w:spacing w:val="-1"/>
          <w:sz w:val="24"/>
          <w:szCs w:val="24"/>
          <w:highlight w:val="none"/>
        </w:rPr>
      </w:pPr>
      <w:r>
        <w:rPr>
          <w:rFonts w:hint="eastAsia" w:ascii="宋体" w:hAnsi="宋体" w:eastAsia="宋体" w:cs="宋体"/>
          <w:b/>
          <w:bCs/>
          <w:color w:val="auto"/>
          <w:spacing w:val="-1"/>
          <w:sz w:val="24"/>
          <w:szCs w:val="24"/>
          <w:highlight w:val="none"/>
          <w:lang w:val="en-US" w:eastAsia="zh-CN"/>
        </w:rPr>
        <w:t>2.</w:t>
      </w:r>
      <w:r>
        <w:rPr>
          <w:rFonts w:hint="eastAsia" w:ascii="宋体" w:hAnsi="宋体" w:eastAsia="宋体" w:cs="宋体"/>
          <w:b/>
          <w:bCs/>
          <w:color w:val="auto"/>
          <w:spacing w:val="-1"/>
          <w:sz w:val="24"/>
          <w:szCs w:val="24"/>
          <w:highlight w:val="none"/>
        </w:rPr>
        <w:t>3</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val="0"/>
          <w:bCs w:val="0"/>
          <w:color w:val="auto"/>
          <w:spacing w:val="-1"/>
          <w:sz w:val="24"/>
          <w:szCs w:val="24"/>
          <w:highlight w:val="none"/>
        </w:rPr>
        <w:t>相关人员要求</w:t>
      </w:r>
    </w:p>
    <w:p w14:paraId="51E60F3F">
      <w:pPr>
        <w:widowControl/>
        <w:spacing w:line="360" w:lineRule="auto"/>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3.1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kern w:val="0"/>
          <w:sz w:val="24"/>
          <w:szCs w:val="24"/>
          <w:highlight w:val="none"/>
          <w:lang w:bidi="ar"/>
        </w:rPr>
        <w:t>拟派项目经理为</w:t>
      </w:r>
      <w:r>
        <w:rPr>
          <w:rFonts w:hint="eastAsia" w:ascii="宋体" w:hAnsi="宋体" w:eastAsia="宋体" w:cs="宋体"/>
          <w:color w:val="auto"/>
          <w:kern w:val="0"/>
          <w:sz w:val="24"/>
          <w:szCs w:val="24"/>
          <w:highlight w:val="none"/>
          <w:u w:val="single"/>
          <w:lang w:bidi="ar"/>
        </w:rPr>
        <w:t>市政公用工程</w:t>
      </w:r>
      <w:r>
        <w:rPr>
          <w:rFonts w:hint="eastAsia" w:ascii="宋体" w:hAnsi="宋体" w:eastAsia="宋体" w:cs="宋体"/>
          <w:color w:val="auto"/>
          <w:kern w:val="0"/>
          <w:sz w:val="24"/>
          <w:szCs w:val="24"/>
          <w:highlight w:val="none"/>
          <w:lang w:bidi="ar"/>
        </w:rPr>
        <w:t>专业一级或二级注册建造师，应持有住建部门印发的在使用有效期内的有效电子注册证书（根据广东省住房和城乡建设厅（粤建市函〔2023〕469号）文件精神，二级注册建造师可随注册企业在全国范围内执业）。同时均须具备有效安全生产考核合格证明（B证），且未担任其他在施（包括已中标未开工、已开工未竣工）建设工程项目的项目经理。</w:t>
      </w:r>
    </w:p>
    <w:p w14:paraId="16B50FA1">
      <w:pPr>
        <w:widowControl/>
        <w:spacing w:line="360" w:lineRule="auto"/>
        <w:ind w:firstLine="482" w:firstLineChars="200"/>
        <w:jc w:val="left"/>
        <w:rPr>
          <w:rFonts w:hint="eastAsia" w:ascii="宋体" w:hAnsi="宋体" w:eastAsia="宋体" w:cs="宋体"/>
          <w:color w:val="auto"/>
          <w:kern w:val="0"/>
          <w:sz w:val="24"/>
          <w:szCs w:val="24"/>
          <w:highlight w:val="none"/>
          <w:lang w:bidi="ar"/>
        </w:rPr>
      </w:pPr>
      <w:r>
        <w:rPr>
          <w:rFonts w:hint="eastAsia" w:ascii="宋体" w:hAnsi="宋体" w:eastAsia="宋体" w:cs="宋体"/>
          <w:b/>
          <w:bCs/>
          <w:color w:val="auto"/>
          <w:kern w:val="0"/>
          <w:sz w:val="24"/>
          <w:szCs w:val="24"/>
          <w:highlight w:val="none"/>
          <w:lang w:val="en-US" w:eastAsia="zh-CN" w:bidi="ar"/>
        </w:rPr>
        <w:t>2.</w:t>
      </w:r>
      <w:r>
        <w:rPr>
          <w:rFonts w:hint="eastAsia" w:ascii="宋体" w:hAnsi="宋体" w:eastAsia="宋体" w:cs="宋体"/>
          <w:b/>
          <w:bCs/>
          <w:color w:val="auto"/>
          <w:kern w:val="0"/>
          <w:sz w:val="24"/>
          <w:szCs w:val="24"/>
          <w:highlight w:val="none"/>
          <w:lang w:bidi="ar"/>
        </w:rPr>
        <w:t>3.2</w:t>
      </w:r>
      <w:r>
        <w:rPr>
          <w:rFonts w:hint="eastAsia" w:ascii="宋体" w:hAnsi="宋体" w:eastAsia="宋体" w:cs="宋体"/>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bidi="ar"/>
        </w:rPr>
        <w:t>拟派项目技术负责人须具备</w:t>
      </w:r>
      <w:r>
        <w:rPr>
          <w:rFonts w:hint="eastAsia" w:ascii="宋体" w:hAnsi="宋体" w:eastAsia="宋体" w:cs="宋体"/>
          <w:color w:val="auto"/>
          <w:kern w:val="0"/>
          <w:sz w:val="24"/>
          <w:szCs w:val="24"/>
          <w:highlight w:val="none"/>
          <w:u w:val="single"/>
          <w:lang w:eastAsia="zh-CN" w:bidi="ar"/>
        </w:rPr>
        <w:t>市政工程</w:t>
      </w:r>
      <w:r>
        <w:rPr>
          <w:rFonts w:hint="eastAsia" w:ascii="宋体" w:hAnsi="宋体" w:eastAsia="宋体" w:cs="宋体"/>
          <w:color w:val="auto"/>
          <w:kern w:val="0"/>
          <w:sz w:val="24"/>
          <w:szCs w:val="24"/>
          <w:highlight w:val="none"/>
          <w:lang w:bidi="ar"/>
        </w:rPr>
        <w:t>相关专业</w:t>
      </w:r>
      <w:r>
        <w:rPr>
          <w:rFonts w:hint="eastAsia" w:ascii="宋体" w:hAnsi="宋体" w:eastAsia="宋体" w:cs="宋体"/>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u w:val="single"/>
          <w:lang w:bidi="ar"/>
        </w:rPr>
        <w:t>中</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bidi="ar"/>
        </w:rPr>
        <w:t>级或以上技术职称。</w:t>
      </w:r>
    </w:p>
    <w:p w14:paraId="37B17EBC">
      <w:pPr>
        <w:widowControl/>
        <w:spacing w:line="360" w:lineRule="auto"/>
        <w:ind w:firstLine="482" w:firstLineChars="20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3.3</w:t>
      </w:r>
      <w:r>
        <w:rPr>
          <w:rFonts w:hint="eastAsia" w:ascii="宋体" w:hAnsi="宋体" w:eastAsia="宋体" w:cs="宋体"/>
          <w:color w:val="auto"/>
          <w:sz w:val="24"/>
          <w:szCs w:val="24"/>
          <w:highlight w:val="none"/>
        </w:rPr>
        <w:t xml:space="preserve"> 投标人拟派专职安全生产管理人员须具备有效安全生产考核合格证明（C证，安全生产考核合格证书或“广东省建筑施工企业管理人员安全生产考核系统”考核合格信息打印页），且不少于</w:t>
      </w:r>
      <w:r>
        <w:rPr>
          <w:rFonts w:hint="eastAsia" w:ascii="宋体" w:hAnsi="宋体" w:eastAsia="宋体" w:cs="宋体"/>
          <w:color w:val="auto"/>
          <w:sz w:val="24"/>
          <w:szCs w:val="24"/>
          <w:highlight w:val="none"/>
          <w:u w:val="single"/>
        </w:rPr>
        <w:t>1</w:t>
      </w:r>
      <w:r>
        <w:rPr>
          <w:rFonts w:hint="eastAsia" w:ascii="宋体" w:hAnsi="宋体" w:eastAsia="宋体" w:cs="宋体"/>
          <w:color w:val="auto"/>
          <w:sz w:val="24"/>
          <w:szCs w:val="24"/>
          <w:highlight w:val="none"/>
        </w:rPr>
        <w:t>人。</w:t>
      </w:r>
    </w:p>
    <w:p w14:paraId="663CCED1">
      <w:pPr>
        <w:wordWrap w:val="0"/>
        <w:adjustRightInd w:val="0"/>
        <w:snapToGri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2.</w:t>
      </w:r>
      <w:r>
        <w:rPr>
          <w:rFonts w:hint="eastAsia" w:ascii="宋体" w:hAnsi="宋体" w:eastAsia="宋体" w:cs="宋体"/>
          <w:b/>
          <w:bCs/>
          <w:color w:val="auto"/>
          <w:sz w:val="24"/>
          <w:szCs w:val="24"/>
          <w:highlight w:val="none"/>
        </w:rPr>
        <w:t>3.4</w:t>
      </w:r>
      <w:r>
        <w:rPr>
          <w:rFonts w:hint="eastAsia" w:ascii="宋体" w:hAnsi="宋体" w:eastAsia="宋体" w:cs="宋体"/>
          <w:color w:val="auto"/>
          <w:sz w:val="24"/>
          <w:szCs w:val="24"/>
          <w:highlight w:val="none"/>
        </w:rPr>
        <w:t xml:space="preserve"> 投标人与其拟派往本项目管理机构的所有人员之间必须具备合法、唯一的劳动聘用关系。拟派人员中具备注册执业资格的，其注册单位须与投标人保持一致。</w:t>
      </w:r>
    </w:p>
    <w:p w14:paraId="4D73ADC8">
      <w:pPr>
        <w:spacing w:before="78" w:line="36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  </w:t>
      </w:r>
      <w:r>
        <w:rPr>
          <w:rFonts w:hint="eastAsia" w:ascii="宋体" w:hAnsi="宋体" w:eastAsia="宋体" w:cs="宋体"/>
          <w:color w:val="auto"/>
          <w:spacing w:val="-1"/>
          <w:sz w:val="24"/>
          <w:szCs w:val="24"/>
          <w:highlight w:val="none"/>
        </w:rPr>
        <w:t>禁止投标条款</w:t>
      </w:r>
    </w:p>
    <w:p w14:paraId="65C506C1">
      <w:pPr>
        <w:spacing w:before="153" w:line="360" w:lineRule="auto"/>
        <w:ind w:left="48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2.4.1  </w:t>
      </w:r>
      <w:r>
        <w:rPr>
          <w:rFonts w:hint="eastAsia" w:ascii="宋体" w:hAnsi="宋体" w:eastAsia="宋体" w:cs="宋体"/>
          <w:color w:val="auto"/>
          <w:spacing w:val="-1"/>
          <w:sz w:val="24"/>
          <w:szCs w:val="24"/>
          <w:highlight w:val="none"/>
        </w:rPr>
        <w:t>投标人不得存在下列情形之一：</w:t>
      </w:r>
    </w:p>
    <w:p w14:paraId="57058069">
      <w:pPr>
        <w:spacing w:before="153"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（1）为招标人不具有独立法人资格的附属机构（单位</w:t>
      </w:r>
      <w:r>
        <w:rPr>
          <w:rFonts w:hint="eastAsia" w:ascii="宋体" w:hAnsi="宋体" w:eastAsia="宋体" w:cs="宋体"/>
          <w:color w:val="auto"/>
          <w:spacing w:val="1"/>
          <w:sz w:val="24"/>
          <w:szCs w:val="24"/>
          <w:highlight w:val="none"/>
        </w:rPr>
        <w:t>）；</w:t>
      </w:r>
    </w:p>
    <w:p w14:paraId="770C7F52">
      <w:pPr>
        <w:spacing w:before="157"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（2）为本招标项目前期准备提供设计或咨询服务的；</w:t>
      </w:r>
    </w:p>
    <w:p w14:paraId="464593DC">
      <w:pPr>
        <w:spacing w:before="154"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（3）与本招标项目的其他投标人为同一个单位负责人；</w:t>
      </w:r>
    </w:p>
    <w:p w14:paraId="1569B005">
      <w:pPr>
        <w:spacing w:before="155"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（4）与本招标项目的其他投标人存在控股、管理关系；</w:t>
      </w:r>
    </w:p>
    <w:p w14:paraId="129D7125">
      <w:pPr>
        <w:keepNext w:val="0"/>
        <w:keepLines w:val="0"/>
        <w:pageBreakBefore w:val="0"/>
        <w:widowControl w:val="0"/>
        <w:overflowPunct/>
        <w:topLinePunct w:val="0"/>
        <w:bidi w:val="0"/>
        <w:adjustRightInd w:val="0"/>
        <w:snapToGrid w:val="0"/>
        <w:spacing w:before="157"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（5）为本招标项目的监理人；</w:t>
      </w:r>
    </w:p>
    <w:p w14:paraId="5AF11870">
      <w:pPr>
        <w:keepNext w:val="0"/>
        <w:keepLines w:val="0"/>
        <w:pageBreakBefore w:val="0"/>
        <w:widowControl w:val="0"/>
        <w:overflowPunct/>
        <w:topLinePunct w:val="0"/>
        <w:bidi w:val="0"/>
        <w:adjustRightInd w:val="0"/>
        <w:snapToGrid w:val="0"/>
        <w:spacing w:before="154"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（6）为本招标项目的代建人；</w:t>
      </w:r>
    </w:p>
    <w:p w14:paraId="37029DB6">
      <w:pPr>
        <w:keepNext w:val="0"/>
        <w:keepLines w:val="0"/>
        <w:pageBreakBefore w:val="0"/>
        <w:widowControl w:val="0"/>
        <w:overflowPunct/>
        <w:topLinePunct w:val="0"/>
        <w:bidi w:val="0"/>
        <w:adjustRightInd w:val="0"/>
        <w:snapToGrid w:val="0"/>
        <w:spacing w:before="155"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（7）为本招标项目的招标代理机构；</w:t>
      </w:r>
    </w:p>
    <w:p w14:paraId="1166289D">
      <w:pPr>
        <w:keepNext w:val="0"/>
        <w:keepLines w:val="0"/>
        <w:pageBreakBefore w:val="0"/>
        <w:widowControl w:val="0"/>
        <w:overflowPunct/>
        <w:topLinePunct w:val="0"/>
        <w:bidi w:val="0"/>
        <w:adjustRightInd w:val="0"/>
        <w:snapToGrid w:val="0"/>
        <w:spacing w:before="157"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（8）与本招标项目的监理人或代建人或招标代理机构同为一个法定代表人；</w:t>
      </w:r>
    </w:p>
    <w:p w14:paraId="0C5F291D">
      <w:pPr>
        <w:keepNext w:val="0"/>
        <w:keepLines w:val="0"/>
        <w:pageBreakBefore w:val="0"/>
        <w:widowControl w:val="0"/>
        <w:overflowPunct/>
        <w:topLinePunct w:val="0"/>
        <w:bidi w:val="0"/>
        <w:adjustRightInd w:val="0"/>
        <w:snapToGrid w:val="0"/>
        <w:spacing w:before="154"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（9）与本招标项目的监理人或代建人或招标代理机构存在控股或参股关系；</w:t>
      </w:r>
    </w:p>
    <w:p w14:paraId="1754781E">
      <w:pPr>
        <w:keepNext w:val="0"/>
        <w:keepLines w:val="0"/>
        <w:pageBreakBefore w:val="0"/>
        <w:widowControl w:val="0"/>
        <w:overflowPunct/>
        <w:topLinePunct w:val="0"/>
        <w:bidi w:val="0"/>
        <w:adjustRightInd w:val="0"/>
        <w:snapToGrid w:val="0"/>
        <w:spacing w:before="155" w:line="360" w:lineRule="auto"/>
        <w:ind w:firstLine="468"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（10）与本招标项目的监理人或代建人或招标代理机构存在相互</w:t>
      </w:r>
      <w:r>
        <w:rPr>
          <w:rFonts w:hint="eastAsia" w:ascii="宋体" w:hAnsi="宋体" w:eastAsia="宋体" w:cs="宋体"/>
          <w:color w:val="auto"/>
          <w:spacing w:val="-4"/>
          <w:sz w:val="24"/>
          <w:szCs w:val="24"/>
          <w:highlight w:val="none"/>
        </w:rPr>
        <w:t>任职或工作关系；</w:t>
      </w:r>
    </w:p>
    <w:p w14:paraId="3E4D3A29">
      <w:pPr>
        <w:keepNext w:val="0"/>
        <w:keepLines w:val="0"/>
        <w:pageBreakBefore w:val="0"/>
        <w:widowControl w:val="0"/>
        <w:overflowPunct/>
        <w:topLinePunct w:val="0"/>
        <w:bidi w:val="0"/>
        <w:adjustRightInd w:val="0"/>
        <w:snapToGrid w:val="0"/>
        <w:spacing w:before="157"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（11）被依法暂停或者取消投标资格；</w:t>
      </w:r>
    </w:p>
    <w:p w14:paraId="4540A860">
      <w:pPr>
        <w:keepNext w:val="0"/>
        <w:keepLines w:val="0"/>
        <w:pageBreakBefore w:val="0"/>
        <w:widowControl w:val="0"/>
        <w:overflowPunct/>
        <w:topLinePunct w:val="0"/>
        <w:bidi w:val="0"/>
        <w:adjustRightInd w:val="0"/>
        <w:snapToGrid w:val="0"/>
        <w:spacing w:before="154" w:line="360" w:lineRule="auto"/>
        <w:ind w:left="504"/>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（12）被责令停产停业、暂扣或者吊销许可证、暂扣或者吊销执照；</w:t>
      </w:r>
    </w:p>
    <w:p w14:paraId="204F9BEE">
      <w:pPr>
        <w:pStyle w:val="34"/>
        <w:keepNext w:val="0"/>
        <w:keepLines w:val="0"/>
        <w:pageBreakBefore w:val="0"/>
        <w:widowControl w:val="0"/>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（13）进入清算程序，或被宣告破产，或其他丧失履约能力的情形；</w:t>
      </w:r>
      <w:bookmarkStart w:id="18" w:name="bookmark116"/>
      <w:bookmarkEnd w:id="18"/>
      <w:r>
        <w:rPr>
          <w:rFonts w:hint="eastAsia" w:ascii="宋体" w:hAnsi="宋体" w:eastAsia="宋体" w:cs="宋体"/>
          <w:snapToGrid w:val="0"/>
          <w:color w:val="auto"/>
          <w:kern w:val="0"/>
          <w:sz w:val="24"/>
          <w:highlight w:val="none"/>
        </w:rPr>
        <w:t>处罚决定或司法机关出具的有关法律文书为准）；</w:t>
      </w:r>
    </w:p>
    <w:p w14:paraId="1BA42F11">
      <w:pPr>
        <w:pStyle w:val="34"/>
        <w:keepNext w:val="0"/>
        <w:keepLines w:val="0"/>
        <w:pageBreakBefore w:val="0"/>
        <w:widowControl w:val="0"/>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（14）在最近三年内发生重大工程质量或安全问题（以相关行业主管部门的行政处罚决定或司法机关出具的有关法律文书为准）；</w:t>
      </w:r>
    </w:p>
    <w:p w14:paraId="1601A147">
      <w:pPr>
        <w:pStyle w:val="34"/>
        <w:keepNext w:val="0"/>
        <w:keepLines w:val="0"/>
        <w:pageBreakBefore w:val="0"/>
        <w:widowControl w:val="0"/>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（15）被“信用中国”网站（https://www.creditchina.gov.cn）发布的《法人和非法人组织公共信用信息报告》列为严重失信主体名单的。</w:t>
      </w:r>
    </w:p>
    <w:p w14:paraId="356AECBA">
      <w:pPr>
        <w:pStyle w:val="34"/>
        <w:keepNext w:val="0"/>
        <w:keepLines w:val="0"/>
        <w:pageBreakBefore w:val="0"/>
        <w:widowControl w:val="0"/>
        <w:wordWrap w:val="0"/>
        <w:overflowPunct/>
        <w:topLinePunct w:val="0"/>
        <w:bidi w:val="0"/>
        <w:adjustRightInd w:val="0"/>
        <w:snapToGrid w:val="0"/>
        <w:spacing w:line="360" w:lineRule="auto"/>
        <w:ind w:firstLine="480"/>
        <w:jc w:val="left"/>
        <w:rPr>
          <w:rFonts w:hint="eastAsia" w:ascii="宋体" w:hAnsi="宋体" w:eastAsia="宋体" w:cs="宋体"/>
          <w:snapToGrid w:val="0"/>
          <w:color w:val="auto"/>
          <w:kern w:val="0"/>
          <w:sz w:val="24"/>
          <w:highlight w:val="none"/>
        </w:rPr>
      </w:pPr>
      <w:r>
        <w:rPr>
          <w:rFonts w:hint="eastAsia" w:ascii="宋体" w:hAnsi="宋体" w:eastAsia="宋体" w:cs="宋体"/>
          <w:snapToGrid w:val="0"/>
          <w:color w:val="auto"/>
          <w:kern w:val="0"/>
          <w:sz w:val="24"/>
          <w:highlight w:val="none"/>
        </w:rPr>
        <w:t>2.4.2  招标人拒绝以下名单中的单位参加本次投标：</w:t>
      </w:r>
    </w:p>
    <w:tbl>
      <w:tblPr>
        <w:tblStyle w:val="25"/>
        <w:tblW w:w="100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6000"/>
        <w:gridCol w:w="3341"/>
      </w:tblGrid>
      <w:tr w14:paraId="7C376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shd w:val="clear" w:color="auto" w:fill="auto"/>
            <w:vAlign w:val="center"/>
          </w:tcPr>
          <w:p w14:paraId="4D9291C7">
            <w:pPr>
              <w:widowControl w:val="0"/>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rPr>
              <w:t>序号</w:t>
            </w:r>
          </w:p>
        </w:tc>
        <w:tc>
          <w:tcPr>
            <w:tcW w:w="6000" w:type="dxa"/>
            <w:shd w:val="clear" w:color="auto" w:fill="auto"/>
            <w:vAlign w:val="center"/>
          </w:tcPr>
          <w:p w14:paraId="3C5C2F65">
            <w:pPr>
              <w:widowControl w:val="0"/>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rPr>
              <w:t>单位名称</w:t>
            </w:r>
          </w:p>
        </w:tc>
        <w:tc>
          <w:tcPr>
            <w:tcW w:w="3341" w:type="dxa"/>
            <w:shd w:val="clear" w:color="auto" w:fill="auto"/>
            <w:vAlign w:val="center"/>
          </w:tcPr>
          <w:p w14:paraId="1CB93384">
            <w:pPr>
              <w:widowControl w:val="0"/>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rPr>
              <w:t>拒绝原因</w:t>
            </w:r>
          </w:p>
        </w:tc>
      </w:tr>
      <w:tr w14:paraId="58AEB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shd w:val="clear" w:color="auto" w:fill="auto"/>
            <w:vAlign w:val="center"/>
          </w:tcPr>
          <w:p w14:paraId="5C386AC6">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1</w:t>
            </w:r>
          </w:p>
        </w:tc>
        <w:tc>
          <w:tcPr>
            <w:tcW w:w="6000" w:type="dxa"/>
            <w:shd w:val="clear" w:color="auto" w:fill="auto"/>
            <w:vAlign w:val="center"/>
          </w:tcPr>
          <w:p w14:paraId="7C662F69">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eastAsia="zh-CN"/>
              </w:rPr>
              <w:t>韶关市武江区龙归镇人民政府</w:t>
            </w:r>
          </w:p>
        </w:tc>
        <w:tc>
          <w:tcPr>
            <w:tcW w:w="3341" w:type="dxa"/>
            <w:shd w:val="clear" w:color="auto" w:fill="auto"/>
            <w:vAlign w:val="center"/>
          </w:tcPr>
          <w:p w14:paraId="41B2E85D">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为本招标项目的业主</w:t>
            </w:r>
            <w:r>
              <w:rPr>
                <w:rFonts w:hint="eastAsia" w:ascii="宋体" w:hAnsi="宋体" w:eastAsia="宋体" w:cs="宋体"/>
                <w:snapToGrid w:val="0"/>
                <w:color w:val="auto"/>
                <w:kern w:val="0"/>
                <w:sz w:val="24"/>
                <w:szCs w:val="24"/>
                <w:highlight w:val="none"/>
                <w:lang w:eastAsia="zh-CN"/>
              </w:rPr>
              <w:t>、招标人</w:t>
            </w:r>
          </w:p>
        </w:tc>
      </w:tr>
      <w:tr w14:paraId="18D91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shd w:val="clear" w:color="auto" w:fill="auto"/>
            <w:vAlign w:val="center"/>
          </w:tcPr>
          <w:p w14:paraId="54BC1AD2">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2</w:t>
            </w:r>
          </w:p>
        </w:tc>
        <w:tc>
          <w:tcPr>
            <w:tcW w:w="6000" w:type="dxa"/>
            <w:shd w:val="clear" w:color="auto" w:fill="auto"/>
            <w:vAlign w:val="center"/>
          </w:tcPr>
          <w:p w14:paraId="22F1FD2A">
            <w:pPr>
              <w:widowControl w:val="0"/>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eastAsia="zh-CN"/>
              </w:rPr>
              <w:t>广东明正项目管理有限公司</w:t>
            </w:r>
          </w:p>
        </w:tc>
        <w:tc>
          <w:tcPr>
            <w:tcW w:w="3341" w:type="dxa"/>
            <w:shd w:val="clear" w:color="auto" w:fill="auto"/>
            <w:vAlign w:val="center"/>
          </w:tcPr>
          <w:p w14:paraId="5D8F5DC5">
            <w:pPr>
              <w:widowControl w:val="0"/>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rPr>
              <w:t>为本招标项目的招标代理机构</w:t>
            </w:r>
          </w:p>
        </w:tc>
      </w:tr>
      <w:tr w14:paraId="34051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shd w:val="clear" w:color="auto" w:fill="auto"/>
            <w:vAlign w:val="center"/>
          </w:tcPr>
          <w:p w14:paraId="6C78A28D">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3</w:t>
            </w:r>
          </w:p>
        </w:tc>
        <w:tc>
          <w:tcPr>
            <w:tcW w:w="6000" w:type="dxa"/>
            <w:shd w:val="clear" w:color="auto" w:fill="auto"/>
            <w:vAlign w:val="center"/>
          </w:tcPr>
          <w:p w14:paraId="30C4E127">
            <w:pPr>
              <w:pStyle w:val="7"/>
              <w:widowControl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sz w:val="24"/>
                <w:szCs w:val="24"/>
                <w:highlight w:val="none"/>
              </w:rPr>
              <w:t>世纪工程项目管理有限公司</w:t>
            </w:r>
          </w:p>
        </w:tc>
        <w:tc>
          <w:tcPr>
            <w:tcW w:w="3341" w:type="dxa"/>
            <w:shd w:val="clear" w:color="auto" w:fill="auto"/>
            <w:vAlign w:val="center"/>
          </w:tcPr>
          <w:p w14:paraId="65B5822C">
            <w:pPr>
              <w:widowControl w:val="0"/>
              <w:spacing w:line="360" w:lineRule="auto"/>
              <w:jc w:val="center"/>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snapToGrid w:val="0"/>
                <w:color w:val="auto"/>
                <w:kern w:val="0"/>
                <w:sz w:val="24"/>
                <w:szCs w:val="24"/>
                <w:highlight w:val="none"/>
              </w:rPr>
              <w:t>为本招标项目的可研编制单位</w:t>
            </w:r>
          </w:p>
        </w:tc>
      </w:tr>
      <w:tr w14:paraId="0E256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shd w:val="clear" w:color="auto" w:fill="auto"/>
            <w:vAlign w:val="center"/>
          </w:tcPr>
          <w:p w14:paraId="633C1A85">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4</w:t>
            </w:r>
          </w:p>
        </w:tc>
        <w:tc>
          <w:tcPr>
            <w:tcW w:w="6000" w:type="dxa"/>
            <w:shd w:val="clear" w:color="auto" w:fill="auto"/>
            <w:vAlign w:val="center"/>
          </w:tcPr>
          <w:p w14:paraId="6F522C2B">
            <w:pPr>
              <w:pStyle w:val="7"/>
              <w:widowControl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sz w:val="24"/>
                <w:szCs w:val="24"/>
                <w:highlight w:val="none"/>
                <w:lang w:eastAsia="zh-CN"/>
              </w:rPr>
              <w:t>广东省华源建设项目管理有限公司</w:t>
            </w:r>
          </w:p>
        </w:tc>
        <w:tc>
          <w:tcPr>
            <w:tcW w:w="3341" w:type="dxa"/>
            <w:shd w:val="clear" w:color="auto" w:fill="auto"/>
            <w:vAlign w:val="center"/>
          </w:tcPr>
          <w:p w14:paraId="244A5698">
            <w:pPr>
              <w:pStyle w:val="7"/>
              <w:widowControl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sz w:val="24"/>
                <w:szCs w:val="24"/>
                <w:highlight w:val="none"/>
              </w:rPr>
              <w:t>为本招标项目的</w:t>
            </w:r>
            <w:r>
              <w:rPr>
                <w:rFonts w:hint="eastAsia" w:ascii="宋体" w:hAnsi="宋体" w:eastAsia="宋体" w:cs="宋体"/>
                <w:snapToGrid w:val="0"/>
                <w:color w:val="auto"/>
                <w:sz w:val="24"/>
                <w:szCs w:val="24"/>
                <w:highlight w:val="none"/>
                <w:lang w:eastAsia="zh-CN"/>
              </w:rPr>
              <w:t>工程咨询</w:t>
            </w:r>
            <w:r>
              <w:rPr>
                <w:rFonts w:hint="eastAsia" w:ascii="宋体" w:hAnsi="宋体" w:eastAsia="宋体" w:cs="宋体"/>
                <w:snapToGrid w:val="0"/>
                <w:color w:val="auto"/>
                <w:sz w:val="24"/>
                <w:szCs w:val="24"/>
                <w:highlight w:val="none"/>
              </w:rPr>
              <w:t>单位</w:t>
            </w:r>
          </w:p>
        </w:tc>
      </w:tr>
      <w:tr w14:paraId="7A7C2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7" w:type="dxa"/>
            <w:shd w:val="clear" w:color="auto" w:fill="auto"/>
            <w:vAlign w:val="center"/>
          </w:tcPr>
          <w:p w14:paraId="085A5357">
            <w:pPr>
              <w:pStyle w:val="34"/>
              <w:wordWrap w:val="0"/>
              <w:adjustRightInd w:val="0"/>
              <w:snapToGrid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lang w:val="en-US" w:eastAsia="zh-CN"/>
              </w:rPr>
              <w:t>5</w:t>
            </w:r>
          </w:p>
        </w:tc>
        <w:tc>
          <w:tcPr>
            <w:tcW w:w="6000" w:type="dxa"/>
            <w:shd w:val="clear" w:color="auto" w:fill="auto"/>
            <w:vAlign w:val="center"/>
          </w:tcPr>
          <w:p w14:paraId="43E49A3B">
            <w:pPr>
              <w:pStyle w:val="7"/>
              <w:widowControl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bCs/>
                <w:snapToGrid w:val="0"/>
                <w:color w:val="auto"/>
                <w:kern w:val="0"/>
                <w:sz w:val="24"/>
                <w:szCs w:val="24"/>
                <w:highlight w:val="none"/>
                <w:lang w:val="en-US" w:eastAsia="zh-CN"/>
              </w:rPr>
              <w:t>建材广州工程勘测院有限公司、广东省城乡规划设计研究院科技集团股份有限公司、佳风工程设计有限公司</w:t>
            </w:r>
          </w:p>
        </w:tc>
        <w:tc>
          <w:tcPr>
            <w:tcW w:w="3341" w:type="dxa"/>
            <w:shd w:val="clear" w:color="auto" w:fill="auto"/>
            <w:vAlign w:val="center"/>
          </w:tcPr>
          <w:p w14:paraId="48682A40">
            <w:pPr>
              <w:pStyle w:val="7"/>
              <w:widowControl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为本招标项目的</w:t>
            </w:r>
            <w:r>
              <w:rPr>
                <w:rFonts w:hint="eastAsia" w:ascii="宋体" w:hAnsi="宋体" w:eastAsia="宋体" w:cs="宋体"/>
                <w:snapToGrid w:val="0"/>
                <w:color w:val="auto"/>
                <w:kern w:val="0"/>
                <w:sz w:val="24"/>
                <w:szCs w:val="24"/>
                <w:highlight w:val="none"/>
                <w:lang w:eastAsia="zh-CN"/>
              </w:rPr>
              <w:t>勘察设计单位</w:t>
            </w:r>
          </w:p>
        </w:tc>
      </w:tr>
    </w:tbl>
    <w:p w14:paraId="5D1C8E36">
      <w:pPr>
        <w:spacing w:before="153" w:line="360" w:lineRule="auto"/>
        <w:ind w:left="70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其他要求</w:t>
      </w:r>
    </w:p>
    <w:p w14:paraId="3A84FD35">
      <w:pPr>
        <w:spacing w:before="150" w:line="360" w:lineRule="auto"/>
        <w:ind w:left="232" w:right="99" w:firstLine="481"/>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省外企业及其拟派往本项目管理机构的所有</w:t>
      </w:r>
      <w:r>
        <w:rPr>
          <w:rFonts w:hint="eastAsia" w:ascii="宋体" w:hAnsi="宋体" w:eastAsia="宋体" w:cs="宋体"/>
          <w:color w:val="auto"/>
          <w:spacing w:val="-2"/>
          <w:sz w:val="24"/>
          <w:szCs w:val="24"/>
          <w:highlight w:val="none"/>
        </w:rPr>
        <w:t>人员均须按照《广东省住房和城乡建</w:t>
      </w:r>
      <w:r>
        <w:rPr>
          <w:rFonts w:hint="eastAsia" w:ascii="宋体" w:hAnsi="宋体" w:eastAsia="宋体" w:cs="宋体"/>
          <w:color w:val="auto"/>
          <w:spacing w:val="-1"/>
          <w:sz w:val="24"/>
          <w:szCs w:val="24"/>
          <w:highlight w:val="none"/>
        </w:rPr>
        <w:t>设厅关于取消省外建筑企业和人员进粤信息备案有关工作的通知》</w:t>
      </w:r>
      <w:r>
        <w:rPr>
          <w:rFonts w:hint="eastAsia" w:ascii="宋体" w:hAnsi="宋体" w:eastAsia="宋体" w:cs="宋体"/>
          <w:color w:val="auto"/>
          <w:spacing w:val="-2"/>
          <w:sz w:val="24"/>
          <w:szCs w:val="24"/>
          <w:highlight w:val="none"/>
        </w:rPr>
        <w:t>（粤建市﹝2015﹞</w:t>
      </w:r>
      <w:r>
        <w:rPr>
          <w:rFonts w:hint="eastAsia" w:ascii="宋体" w:hAnsi="宋体" w:eastAsia="宋体" w:cs="宋体"/>
          <w:color w:val="auto"/>
          <w:spacing w:val="-4"/>
          <w:sz w:val="24"/>
          <w:szCs w:val="24"/>
          <w:highlight w:val="none"/>
        </w:rPr>
        <w:t>52号）规定在“进粤企业和人员诚信信息登记平台</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”录入相关信息并通过数</w:t>
      </w:r>
      <w:r>
        <w:rPr>
          <w:rFonts w:hint="eastAsia" w:ascii="宋体" w:hAnsi="宋体" w:eastAsia="宋体" w:cs="宋体"/>
          <w:color w:val="auto"/>
          <w:spacing w:val="-5"/>
          <w:sz w:val="24"/>
          <w:szCs w:val="24"/>
          <w:highlight w:val="none"/>
        </w:rPr>
        <w:t>据规范检</w:t>
      </w:r>
      <w:r>
        <w:rPr>
          <w:rFonts w:hint="eastAsia" w:ascii="宋体" w:hAnsi="宋体" w:eastAsia="宋体" w:cs="宋体"/>
          <w:color w:val="auto"/>
          <w:spacing w:val="-6"/>
          <w:sz w:val="24"/>
          <w:szCs w:val="24"/>
          <w:highlight w:val="none"/>
        </w:rPr>
        <w:t>查。</w:t>
      </w:r>
    </w:p>
    <w:p w14:paraId="0BDE96C7">
      <w:pPr>
        <w:spacing w:before="79" w:line="360" w:lineRule="auto"/>
        <w:ind w:left="715"/>
        <w:outlineLvl w:val="2"/>
        <w:rPr>
          <w:rFonts w:hint="eastAsia" w:ascii="宋体" w:hAnsi="宋体" w:eastAsia="宋体" w:cs="宋体"/>
          <w:color w:val="auto"/>
          <w:sz w:val="24"/>
          <w:szCs w:val="24"/>
          <w:highlight w:val="none"/>
        </w:rPr>
      </w:pPr>
      <w:bookmarkStart w:id="19" w:name="_Toc10655"/>
      <w:bookmarkStart w:id="20" w:name="_Toc32239"/>
      <w:r>
        <w:rPr>
          <w:rFonts w:hint="eastAsia" w:ascii="宋体" w:hAnsi="宋体" w:eastAsia="宋体" w:cs="宋体"/>
          <w:b/>
          <w:bCs/>
          <w:color w:val="auto"/>
          <w:spacing w:val="-4"/>
          <w:sz w:val="24"/>
          <w:szCs w:val="24"/>
          <w:highlight w:val="none"/>
        </w:rPr>
        <w:t>3</w:t>
      </w:r>
      <w:r>
        <w:rPr>
          <w:rFonts w:hint="eastAsia" w:ascii="宋体" w:hAnsi="宋体" w:eastAsia="宋体" w:cs="宋体"/>
          <w:b/>
          <w:bCs/>
          <w:color w:val="auto"/>
          <w:spacing w:val="-4"/>
          <w:sz w:val="24"/>
          <w:szCs w:val="24"/>
          <w:highlight w:val="none"/>
          <w:lang w:val="en-US" w:eastAsia="zh-CN"/>
        </w:rPr>
        <w:t>.</w:t>
      </w:r>
      <w:r>
        <w:rPr>
          <w:rFonts w:hint="eastAsia" w:ascii="宋体" w:hAnsi="宋体" w:eastAsia="宋体" w:cs="宋体"/>
          <w:b/>
          <w:bCs/>
          <w:color w:val="auto"/>
          <w:spacing w:val="-4"/>
          <w:sz w:val="24"/>
          <w:szCs w:val="24"/>
          <w:highlight w:val="none"/>
        </w:rPr>
        <w:t>招标文件的获取</w:t>
      </w:r>
      <w:bookmarkEnd w:id="19"/>
      <w:bookmarkEnd w:id="20"/>
    </w:p>
    <w:p w14:paraId="10B325F2">
      <w:pPr>
        <w:spacing w:before="182" w:line="360" w:lineRule="auto"/>
        <w:ind w:left="70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3.1  </w:t>
      </w:r>
      <w:r>
        <w:rPr>
          <w:rFonts w:hint="eastAsia" w:ascii="宋体" w:hAnsi="宋体" w:eastAsia="宋体" w:cs="宋体"/>
          <w:color w:val="auto"/>
          <w:spacing w:val="-1"/>
          <w:sz w:val="24"/>
          <w:szCs w:val="24"/>
          <w:highlight w:val="none"/>
        </w:rPr>
        <w:t>本次招标实行电子投标。</w:t>
      </w:r>
    </w:p>
    <w:p w14:paraId="116295C5">
      <w:pPr>
        <w:spacing w:before="178" w:line="360" w:lineRule="auto"/>
        <w:ind w:left="229" w:firstLine="48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本次招标实行电子投标。本项目招标文件随招标公</w:t>
      </w:r>
      <w:r>
        <w:rPr>
          <w:rFonts w:hint="eastAsia" w:ascii="宋体" w:hAnsi="宋体" w:eastAsia="宋体" w:cs="宋体"/>
          <w:color w:val="auto"/>
          <w:spacing w:val="-2"/>
          <w:sz w:val="24"/>
          <w:szCs w:val="24"/>
          <w:highlight w:val="none"/>
        </w:rPr>
        <w:t>告一并在全国公共资源交易平台（广东省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56"/>
          <w:sz w:val="24"/>
          <w:szCs w:val="24"/>
          <w:highlight w:val="none"/>
        </w:rPr>
        <w:t>）（</w:t>
      </w:r>
      <w:r>
        <w:rPr>
          <w:rFonts w:hint="eastAsia" w:ascii="宋体" w:hAnsi="宋体" w:eastAsia="宋体" w:cs="宋体"/>
          <w:color w:val="auto"/>
          <w:spacing w:val="-2"/>
          <w:sz w:val="24"/>
          <w:szCs w:val="24"/>
          <w:highlight w:val="none"/>
        </w:rPr>
        <w:t>https://yg</w:t>
      </w:r>
      <w:r>
        <w:rPr>
          <w:rFonts w:hint="eastAsia" w:ascii="宋体" w:hAnsi="宋体" w:eastAsia="宋体" w:cs="宋体"/>
          <w:color w:val="auto"/>
          <w:spacing w:val="-3"/>
          <w:sz w:val="24"/>
          <w:szCs w:val="24"/>
          <w:highlight w:val="none"/>
        </w:rPr>
        <w:t>p.gdzwfw.gov.cn/ggzy-portal/#/440200/index）</w:t>
      </w:r>
      <w:r>
        <w:rPr>
          <w:rFonts w:hint="eastAsia" w:ascii="宋体" w:hAnsi="宋体" w:eastAsia="宋体" w:cs="宋体"/>
          <w:color w:val="auto"/>
          <w:spacing w:val="-1"/>
          <w:sz w:val="24"/>
          <w:szCs w:val="24"/>
          <w:highlight w:val="none"/>
        </w:rPr>
        <w:t>网站发布。招标文件一经发布，视为发送投标人，招标文件及相</w:t>
      </w:r>
      <w:r>
        <w:rPr>
          <w:rFonts w:hint="eastAsia" w:ascii="宋体" w:hAnsi="宋体" w:eastAsia="宋体" w:cs="宋体"/>
          <w:color w:val="auto"/>
          <w:spacing w:val="-2"/>
          <w:sz w:val="24"/>
          <w:szCs w:val="24"/>
          <w:highlight w:val="none"/>
        </w:rPr>
        <w:t>关附件由投标人自行</w:t>
      </w:r>
      <w:r>
        <w:rPr>
          <w:rFonts w:hint="eastAsia" w:ascii="宋体" w:hAnsi="宋体" w:eastAsia="宋体" w:cs="宋体"/>
          <w:color w:val="auto"/>
          <w:spacing w:val="-7"/>
          <w:sz w:val="24"/>
          <w:szCs w:val="24"/>
          <w:highlight w:val="none"/>
        </w:rPr>
        <w:t>在全国公共资源交易平台（广东省·韶关市）网站下载。请于招标文件获取期间,（见</w:t>
      </w:r>
      <w:r>
        <w:rPr>
          <w:rFonts w:hint="eastAsia" w:ascii="宋体" w:hAnsi="宋体" w:eastAsia="宋体" w:cs="宋体"/>
          <w:color w:val="auto"/>
          <w:spacing w:val="-2"/>
          <w:sz w:val="24"/>
          <w:szCs w:val="24"/>
          <w:highlight w:val="none"/>
        </w:rPr>
        <w:t>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”）招标文件获取期间与招标公告发</w:t>
      </w:r>
      <w:r>
        <w:rPr>
          <w:rFonts w:hint="eastAsia" w:ascii="宋体" w:hAnsi="宋体" w:eastAsia="宋体" w:cs="宋体"/>
          <w:color w:val="auto"/>
          <w:spacing w:val="-3"/>
          <w:sz w:val="24"/>
          <w:szCs w:val="24"/>
          <w:highlight w:val="none"/>
        </w:rPr>
        <w:t>布时间一</w:t>
      </w:r>
      <w:r>
        <w:rPr>
          <w:rFonts w:hint="eastAsia" w:ascii="宋体" w:hAnsi="宋体" w:eastAsia="宋体" w:cs="宋体"/>
          <w:color w:val="auto"/>
          <w:spacing w:val="-4"/>
          <w:sz w:val="24"/>
          <w:szCs w:val="24"/>
          <w:highlight w:val="none"/>
        </w:rPr>
        <w:t>致，投标人须登录全国公共资源交易平台（广东省·韶关市</w:t>
      </w:r>
      <w:r>
        <w:rPr>
          <w:rFonts w:hint="eastAsia" w:ascii="宋体" w:hAnsi="宋体" w:eastAsia="宋体" w:cs="宋体"/>
          <w:color w:val="auto"/>
          <w:spacing w:val="-40"/>
          <w:sz w:val="24"/>
          <w:szCs w:val="24"/>
          <w:highlight w:val="none"/>
        </w:rPr>
        <w:t>）（</w:t>
      </w:r>
      <w:r>
        <w:rPr>
          <w:rFonts w:hint="eastAsia" w:ascii="宋体" w:hAnsi="宋体" w:eastAsia="宋体" w:cs="宋体"/>
          <w:color w:val="auto"/>
          <w:spacing w:val="-4"/>
          <w:sz w:val="24"/>
          <w:szCs w:val="24"/>
          <w:highlight w:val="none"/>
        </w:rPr>
        <w:t>https://ygp.gdzwfw.</w:t>
      </w:r>
      <w:r>
        <w:rPr>
          <w:rFonts w:hint="eastAsia" w:ascii="宋体" w:hAnsi="宋体" w:eastAsia="宋体" w:cs="宋体"/>
          <w:color w:val="auto"/>
          <w:sz w:val="24"/>
          <w:szCs w:val="24"/>
          <w:highlight w:val="none"/>
        </w:rPr>
        <w:t>gov</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cn</w:t>
      </w:r>
      <w:r>
        <w:rPr>
          <w:rFonts w:hint="eastAsia" w:ascii="宋体" w:hAnsi="宋体" w:eastAsia="宋体" w:cs="宋体"/>
          <w:color w:val="auto"/>
          <w:spacing w:val="2"/>
          <w:sz w:val="24"/>
          <w:szCs w:val="24"/>
          <w:highlight w:val="none"/>
        </w:rPr>
        <w:t>/</w:t>
      </w:r>
      <w:r>
        <w:rPr>
          <w:rFonts w:hint="eastAsia" w:ascii="宋体" w:hAnsi="宋体" w:eastAsia="宋体" w:cs="宋体"/>
          <w:color w:val="auto"/>
          <w:sz w:val="24"/>
          <w:szCs w:val="24"/>
          <w:highlight w:val="none"/>
        </w:rPr>
        <w:t>ggzy</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portal</w:t>
      </w:r>
      <w:r>
        <w:rPr>
          <w:rFonts w:hint="eastAsia" w:ascii="宋体" w:hAnsi="宋体" w:eastAsia="宋体" w:cs="宋体"/>
          <w:color w:val="auto"/>
          <w:spacing w:val="2"/>
          <w:sz w:val="24"/>
          <w:szCs w:val="24"/>
          <w:highlight w:val="none"/>
        </w:rPr>
        <w:t>/#/440200/</w:t>
      </w:r>
      <w:r>
        <w:rPr>
          <w:rFonts w:hint="eastAsia" w:ascii="宋体" w:hAnsi="宋体" w:eastAsia="宋体" w:cs="宋体"/>
          <w:color w:val="auto"/>
          <w:sz w:val="24"/>
          <w:szCs w:val="24"/>
          <w:highlight w:val="none"/>
        </w:rPr>
        <w:t>index</w:t>
      </w:r>
      <w:r>
        <w:rPr>
          <w:rFonts w:hint="eastAsia" w:ascii="宋体" w:hAnsi="宋体" w:eastAsia="宋体" w:cs="宋体"/>
          <w:color w:val="auto"/>
          <w:spacing w:val="7"/>
          <w:sz w:val="24"/>
          <w:szCs w:val="24"/>
          <w:highlight w:val="none"/>
        </w:rPr>
        <w:t>），</w:t>
      </w:r>
      <w:r>
        <w:rPr>
          <w:rFonts w:hint="eastAsia" w:ascii="宋体" w:hAnsi="宋体" w:eastAsia="宋体" w:cs="宋体"/>
          <w:color w:val="auto"/>
          <w:spacing w:val="2"/>
          <w:sz w:val="24"/>
          <w:szCs w:val="24"/>
          <w:highlight w:val="none"/>
        </w:rPr>
        <w:t>使用新建设工程交易系统进行下载</w:t>
      </w:r>
      <w:r>
        <w:rPr>
          <w:rFonts w:hint="eastAsia" w:ascii="宋体" w:hAnsi="宋体" w:eastAsia="宋体" w:cs="宋体"/>
          <w:color w:val="auto"/>
          <w:spacing w:val="1"/>
          <w:sz w:val="24"/>
          <w:szCs w:val="24"/>
          <w:highlight w:val="none"/>
        </w:rPr>
        <w:t>招标文</w:t>
      </w:r>
      <w:r>
        <w:rPr>
          <w:rFonts w:hint="eastAsia" w:ascii="宋体" w:hAnsi="宋体" w:eastAsia="宋体" w:cs="宋体"/>
          <w:color w:val="auto"/>
          <w:spacing w:val="-6"/>
          <w:sz w:val="24"/>
          <w:szCs w:val="24"/>
          <w:highlight w:val="none"/>
        </w:rPr>
        <w:t>件及相关附件，并于电子投标截止时间（见本章第二节“重要事项时间地点一览表</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2"/>
          <w:sz w:val="24"/>
          <w:szCs w:val="24"/>
          <w:highlight w:val="none"/>
        </w:rPr>
        <w:t>前完成电子投标。投标人可登录全国公共资源交易平</w:t>
      </w:r>
      <w:r>
        <w:rPr>
          <w:rFonts w:hint="eastAsia" w:ascii="宋体" w:hAnsi="宋体" w:eastAsia="宋体" w:cs="宋体"/>
          <w:color w:val="auto"/>
          <w:spacing w:val="-3"/>
          <w:sz w:val="24"/>
          <w:szCs w:val="24"/>
          <w:highlight w:val="none"/>
        </w:rPr>
        <w:t>台（广东省·韶关市</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3"/>
          <w:sz w:val="24"/>
          <w:szCs w:val="24"/>
          <w:highlight w:val="none"/>
        </w:rPr>
        <w:t>https:</w:t>
      </w:r>
      <w:r>
        <w:rPr>
          <w:rFonts w:hint="eastAsia" w:ascii="宋体" w:hAnsi="宋体" w:eastAsia="宋体" w:cs="宋体"/>
          <w:color w:val="auto"/>
          <w:sz w:val="24"/>
          <w:szCs w:val="24"/>
          <w:highlight w:val="none"/>
        </w:rPr>
        <w:t>//ygp.gdzwfw.gov.cn/ggz</w:t>
      </w:r>
      <w:r>
        <w:rPr>
          <w:rFonts w:hint="eastAsia" w:ascii="宋体" w:hAnsi="宋体" w:eastAsia="宋体" w:cs="宋体"/>
          <w:color w:val="auto"/>
          <w:spacing w:val="-1"/>
          <w:sz w:val="24"/>
          <w:szCs w:val="24"/>
          <w:highlight w:val="none"/>
        </w:rPr>
        <w:t>y-portal/#/440200/index</w:t>
      </w:r>
      <w:r>
        <w:rPr>
          <w:rFonts w:hint="eastAsia" w:ascii="宋体" w:hAnsi="宋体" w:eastAsia="宋体" w:cs="宋体"/>
          <w:color w:val="auto"/>
          <w:spacing w:val="-6"/>
          <w:sz w:val="24"/>
          <w:szCs w:val="24"/>
          <w:highlight w:val="none"/>
        </w:rPr>
        <w:t>），</w:t>
      </w:r>
      <w:r>
        <w:rPr>
          <w:rFonts w:hint="eastAsia" w:ascii="宋体" w:hAnsi="宋体" w:eastAsia="宋体" w:cs="宋体"/>
          <w:color w:val="auto"/>
          <w:spacing w:val="-1"/>
          <w:sz w:val="24"/>
          <w:szCs w:val="24"/>
          <w:highlight w:val="none"/>
        </w:rPr>
        <w:t>在【服务指南】栏目中建设</w:t>
      </w:r>
      <w:r>
        <w:rPr>
          <w:rFonts w:hint="eastAsia" w:ascii="宋体" w:hAnsi="宋体" w:eastAsia="宋体" w:cs="宋体"/>
          <w:color w:val="auto"/>
          <w:spacing w:val="-2"/>
          <w:sz w:val="24"/>
          <w:szCs w:val="24"/>
          <w:highlight w:val="none"/>
        </w:rPr>
        <w:t>工程交易中下载《韶关市公共资源建设工程交易系统-投</w:t>
      </w:r>
      <w:r>
        <w:rPr>
          <w:rFonts w:hint="eastAsia" w:ascii="宋体" w:hAnsi="宋体" w:eastAsia="宋体" w:cs="宋体"/>
          <w:color w:val="auto"/>
          <w:spacing w:val="-1"/>
          <w:sz w:val="24"/>
          <w:szCs w:val="24"/>
          <w:highlight w:val="none"/>
        </w:rPr>
        <w:t>标人操作指南（电子评标）》（附件2），了解网上获取招标文件操作流程。技术咨询电话：0751-837</w:t>
      </w:r>
      <w:r>
        <w:rPr>
          <w:rFonts w:hint="eastAsia" w:ascii="宋体" w:hAnsi="宋体" w:eastAsia="宋体" w:cs="宋体"/>
          <w:color w:val="auto"/>
          <w:spacing w:val="-4"/>
          <w:sz w:val="24"/>
          <w:szCs w:val="24"/>
          <w:highlight w:val="none"/>
        </w:rPr>
        <w:t>9671伍</w:t>
      </w:r>
      <w:r>
        <w:rPr>
          <w:rFonts w:hint="eastAsia" w:ascii="宋体" w:hAnsi="宋体" w:eastAsia="宋体" w:cs="宋体"/>
          <w:color w:val="auto"/>
          <w:spacing w:val="-5"/>
          <w:sz w:val="24"/>
          <w:szCs w:val="24"/>
          <w:highlight w:val="none"/>
        </w:rPr>
        <w:t>先生，</w:t>
      </w:r>
      <w:r>
        <w:rPr>
          <w:rFonts w:hint="eastAsia" w:ascii="宋体" w:hAnsi="宋体" w:eastAsia="宋体" w:cs="宋体"/>
          <w:color w:val="auto"/>
          <w:spacing w:val="-1"/>
          <w:sz w:val="24"/>
          <w:szCs w:val="24"/>
          <w:highlight w:val="none"/>
        </w:rPr>
        <w:t>业务咨询电话：0751-8633211、8633071。</w:t>
      </w:r>
    </w:p>
    <w:p w14:paraId="785339EF">
      <w:pPr>
        <w:spacing w:before="142" w:line="360" w:lineRule="auto"/>
        <w:ind w:left="11" w:right="105" w:firstLine="473"/>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3.2  </w:t>
      </w:r>
      <w:r>
        <w:rPr>
          <w:rFonts w:hint="eastAsia" w:ascii="宋体" w:hAnsi="宋体" w:eastAsia="宋体" w:cs="宋体"/>
          <w:color w:val="auto"/>
          <w:spacing w:val="-1"/>
          <w:sz w:val="24"/>
          <w:szCs w:val="24"/>
          <w:highlight w:val="none"/>
        </w:rPr>
        <w:t>只有申领了数字证书（CA）、“粤企签”或</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pacing w:val="-1"/>
          <w:sz w:val="24"/>
          <w:szCs w:val="24"/>
          <w:highlight w:val="none"/>
        </w:rPr>
        <w:t>GDCA/SZCA/NETCA等符合法律法规规定的电子印章，并在交易系统中完成企业信息数据入库</w:t>
      </w:r>
      <w:r>
        <w:rPr>
          <w:rFonts w:hint="eastAsia" w:ascii="宋体" w:hAnsi="宋体" w:eastAsia="宋体" w:cs="宋体"/>
          <w:color w:val="auto"/>
          <w:spacing w:val="-2"/>
          <w:sz w:val="24"/>
          <w:szCs w:val="24"/>
          <w:highlight w:val="none"/>
        </w:rPr>
        <w:t>的投标人，方可使用建设</w:t>
      </w:r>
      <w:r>
        <w:rPr>
          <w:rFonts w:hint="eastAsia" w:ascii="宋体" w:hAnsi="宋体" w:eastAsia="宋体" w:cs="宋体"/>
          <w:color w:val="auto"/>
          <w:spacing w:val="-1"/>
          <w:sz w:val="24"/>
          <w:szCs w:val="24"/>
          <w:highlight w:val="none"/>
        </w:rPr>
        <w:t>工程交易系统进行招标文件及附件获取和电子投标。</w:t>
      </w:r>
    </w:p>
    <w:p w14:paraId="76B73CD5">
      <w:pPr>
        <w:spacing w:before="32" w:line="360" w:lineRule="auto"/>
        <w:ind w:left="10" w:right="90" w:firstLine="483"/>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首次在韶关市参与建设工程招标投标活动的</w:t>
      </w:r>
      <w:r>
        <w:rPr>
          <w:rFonts w:hint="eastAsia" w:ascii="宋体" w:hAnsi="宋体" w:eastAsia="宋体" w:cs="宋体"/>
          <w:color w:val="auto"/>
          <w:spacing w:val="-2"/>
          <w:sz w:val="24"/>
          <w:szCs w:val="24"/>
          <w:highlight w:val="none"/>
        </w:rPr>
        <w:t>投标人，必须在平台系统上传企业相</w:t>
      </w:r>
      <w:r>
        <w:rPr>
          <w:rFonts w:hint="eastAsia" w:ascii="宋体" w:hAnsi="宋体" w:eastAsia="宋体" w:cs="宋体"/>
          <w:color w:val="auto"/>
          <w:spacing w:val="-3"/>
          <w:sz w:val="24"/>
          <w:szCs w:val="24"/>
          <w:highlight w:val="none"/>
        </w:rPr>
        <w:t>关资料办理企业入库事宜。投标人可登录全国公共资源</w:t>
      </w:r>
      <w:r>
        <w:rPr>
          <w:rFonts w:hint="eastAsia" w:ascii="宋体" w:hAnsi="宋体" w:eastAsia="宋体" w:cs="宋体"/>
          <w:color w:val="auto"/>
          <w:spacing w:val="-4"/>
          <w:sz w:val="24"/>
          <w:szCs w:val="24"/>
          <w:highlight w:val="none"/>
        </w:rPr>
        <w:t>交易平台（广东省·韶关市）</w:t>
      </w:r>
      <w:r>
        <w:rPr>
          <w:rFonts w:hint="eastAsia" w:ascii="宋体" w:hAnsi="宋体" w:eastAsia="宋体" w:cs="宋体"/>
          <w:color w:val="auto"/>
          <w:spacing w:val="-1"/>
          <w:sz w:val="24"/>
          <w:szCs w:val="24"/>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"https://ygp.gdzwfw.gov.cn/ggzy-portal/#/440200/index" </w:instrText>
      </w:r>
      <w:r>
        <w:rPr>
          <w:rFonts w:hint="eastAsia" w:ascii="宋体" w:hAnsi="宋体" w:eastAsia="宋体" w:cs="宋体"/>
          <w:color w:val="auto"/>
          <w:highlight w:val="none"/>
        </w:rPr>
        <w:fldChar w:fldCharType="separate"/>
      </w:r>
      <w:r>
        <w:rPr>
          <w:rFonts w:hint="eastAsia" w:ascii="宋体" w:hAnsi="宋体" w:eastAsia="宋体" w:cs="宋体"/>
          <w:color w:val="auto"/>
          <w:spacing w:val="-1"/>
          <w:sz w:val="24"/>
          <w:szCs w:val="24"/>
          <w:highlight w:val="none"/>
        </w:rPr>
        <w:t>https://ygp.gdzwfw.gov.cn/ggzy-portal/#/440200/index</w:t>
      </w:r>
      <w:r>
        <w:rPr>
          <w:rFonts w:hint="eastAsia" w:ascii="宋体" w:hAnsi="宋体" w:eastAsia="宋体" w:cs="宋体"/>
          <w:color w:val="auto"/>
          <w:spacing w:val="-1"/>
          <w:sz w:val="24"/>
          <w:szCs w:val="24"/>
          <w:highlight w:val="none"/>
        </w:rPr>
        <w:fldChar w:fldCharType="end"/>
      </w:r>
      <w:r>
        <w:rPr>
          <w:rFonts w:hint="eastAsia" w:ascii="宋体" w:hAnsi="宋体" w:eastAsia="宋体" w:cs="宋体"/>
          <w:color w:val="auto"/>
          <w:spacing w:val="-1"/>
          <w:sz w:val="24"/>
          <w:szCs w:val="24"/>
          <w:highlight w:val="none"/>
        </w:rPr>
        <w:t>）办理企业入库、数字证书及电子印章事宜，具体请在平台查阅相应的交易指引。</w:t>
      </w:r>
    </w:p>
    <w:p w14:paraId="015DEDBB">
      <w:pPr>
        <w:spacing w:before="37" w:line="360" w:lineRule="auto"/>
        <w:ind w:left="9" w:right="105" w:firstLine="507"/>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已入库企业有关信息（如单位名称、基本账号、资质、人员等）发生变化</w:t>
      </w:r>
      <w:r>
        <w:rPr>
          <w:rFonts w:hint="eastAsia" w:ascii="宋体" w:hAnsi="宋体" w:eastAsia="宋体" w:cs="宋体"/>
          <w:color w:val="auto"/>
          <w:spacing w:val="-3"/>
          <w:sz w:val="24"/>
          <w:szCs w:val="24"/>
          <w:highlight w:val="none"/>
        </w:rPr>
        <w:t>的，须</w:t>
      </w:r>
      <w:r>
        <w:rPr>
          <w:rFonts w:hint="eastAsia" w:ascii="宋体" w:hAnsi="宋体" w:eastAsia="宋体" w:cs="宋体"/>
          <w:color w:val="auto"/>
          <w:spacing w:val="-1"/>
          <w:sz w:val="24"/>
          <w:szCs w:val="24"/>
          <w:highlight w:val="none"/>
        </w:rPr>
        <w:t>及时在交易系统进行相应变更。投标人未及时变更信息而造成的</w:t>
      </w:r>
      <w:r>
        <w:rPr>
          <w:rFonts w:hint="eastAsia" w:ascii="宋体" w:hAnsi="宋体" w:eastAsia="宋体" w:cs="宋体"/>
          <w:color w:val="auto"/>
          <w:spacing w:val="-2"/>
          <w:sz w:val="24"/>
          <w:szCs w:val="24"/>
          <w:highlight w:val="none"/>
        </w:rPr>
        <w:t>损失和后果，由投标人自行承担。</w:t>
      </w:r>
    </w:p>
    <w:p w14:paraId="692B4BF1">
      <w:pPr>
        <w:spacing w:before="33" w:line="360" w:lineRule="auto"/>
        <w:ind w:left="10" w:right="105" w:firstLine="508"/>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电子印章：是指获得国家工业和信息化部颁发的《电子认证服务许可</w:t>
      </w:r>
      <w:r>
        <w:rPr>
          <w:rFonts w:hint="eastAsia" w:ascii="宋体" w:hAnsi="宋体" w:eastAsia="宋体" w:cs="宋体"/>
          <w:color w:val="auto"/>
          <w:spacing w:val="-3"/>
          <w:sz w:val="24"/>
          <w:szCs w:val="24"/>
          <w:highlight w:val="none"/>
        </w:rPr>
        <w:t>证》、国家</w:t>
      </w:r>
      <w:r>
        <w:rPr>
          <w:rFonts w:hint="eastAsia" w:ascii="宋体" w:hAnsi="宋体" w:eastAsia="宋体" w:cs="宋体"/>
          <w:color w:val="auto"/>
          <w:spacing w:val="-1"/>
          <w:sz w:val="24"/>
          <w:szCs w:val="24"/>
          <w:highlight w:val="none"/>
        </w:rPr>
        <w:t>密码管理局颁发的《电子认证服务使用密码许可证》等资质，</w:t>
      </w:r>
      <w:r>
        <w:rPr>
          <w:rFonts w:hint="eastAsia" w:ascii="宋体" w:hAnsi="宋体" w:eastAsia="宋体" w:cs="宋体"/>
          <w:color w:val="auto"/>
          <w:spacing w:val="-2"/>
          <w:sz w:val="24"/>
          <w:szCs w:val="24"/>
          <w:highlight w:val="none"/>
        </w:rPr>
        <w:t>具备承担因数字证书原</w:t>
      </w:r>
      <w:r>
        <w:rPr>
          <w:rFonts w:hint="eastAsia" w:ascii="宋体" w:hAnsi="宋体" w:eastAsia="宋体" w:cs="宋体"/>
          <w:color w:val="auto"/>
          <w:spacing w:val="-1"/>
          <w:sz w:val="24"/>
          <w:szCs w:val="24"/>
          <w:highlight w:val="none"/>
        </w:rPr>
        <w:t>因产生纠纷的相关责任的能力，且在广东省内具有数量基础和</w:t>
      </w:r>
      <w:r>
        <w:rPr>
          <w:rFonts w:hint="eastAsia" w:ascii="宋体" w:hAnsi="宋体" w:eastAsia="宋体" w:cs="宋体"/>
          <w:color w:val="auto"/>
          <w:spacing w:val="-2"/>
          <w:sz w:val="24"/>
          <w:szCs w:val="24"/>
          <w:highlight w:val="none"/>
        </w:rPr>
        <w:t>服务能力的依法设立的</w:t>
      </w:r>
      <w:r>
        <w:rPr>
          <w:rFonts w:hint="eastAsia" w:ascii="宋体" w:hAnsi="宋体" w:eastAsia="宋体" w:cs="宋体"/>
          <w:color w:val="auto"/>
          <w:spacing w:val="3"/>
          <w:sz w:val="24"/>
          <w:szCs w:val="24"/>
          <w:highlight w:val="none"/>
        </w:rPr>
        <w:t>电子认证服务机构签发的电子签章认证证书（即</w:t>
      </w:r>
      <w:r>
        <w:rPr>
          <w:rFonts w:hint="eastAsia" w:ascii="宋体" w:hAnsi="宋体" w:eastAsia="宋体" w:cs="宋体"/>
          <w:color w:val="auto"/>
          <w:sz w:val="24"/>
          <w:szCs w:val="24"/>
          <w:highlight w:val="none"/>
        </w:rPr>
        <w:t>CA</w:t>
      </w:r>
      <w:r>
        <w:rPr>
          <w:rFonts w:hint="eastAsia" w:ascii="宋体" w:hAnsi="宋体" w:eastAsia="宋体" w:cs="宋体"/>
          <w:color w:val="auto"/>
          <w:spacing w:val="3"/>
          <w:sz w:val="24"/>
          <w:szCs w:val="24"/>
          <w:highlight w:val="none"/>
        </w:rPr>
        <w:t>数字证书）。投标人应当到相关</w:t>
      </w:r>
      <w:r>
        <w:rPr>
          <w:rFonts w:hint="eastAsia" w:ascii="宋体" w:hAnsi="宋体" w:eastAsia="宋体" w:cs="宋体"/>
          <w:color w:val="auto"/>
          <w:spacing w:val="-1"/>
          <w:sz w:val="24"/>
          <w:szCs w:val="24"/>
          <w:highlight w:val="none"/>
        </w:rPr>
        <w:t>服务机构办理并取得数字证书介质和应用。电子印章包括机构</w:t>
      </w:r>
      <w:r>
        <w:rPr>
          <w:rFonts w:hint="eastAsia" w:ascii="宋体" w:hAnsi="宋体" w:eastAsia="宋体" w:cs="宋体"/>
          <w:color w:val="auto"/>
          <w:spacing w:val="-2"/>
          <w:sz w:val="24"/>
          <w:szCs w:val="24"/>
          <w:highlight w:val="none"/>
        </w:rPr>
        <w:t>法人电子形式印章，单</w:t>
      </w:r>
      <w:r>
        <w:rPr>
          <w:rFonts w:hint="eastAsia" w:ascii="宋体" w:hAnsi="宋体" w:eastAsia="宋体" w:cs="宋体"/>
          <w:color w:val="auto"/>
          <w:spacing w:val="-1"/>
          <w:sz w:val="24"/>
          <w:szCs w:val="24"/>
          <w:highlight w:val="none"/>
        </w:rPr>
        <w:t>位法定代表人、被委托人及其他个人的电子形式印章。电子印</w:t>
      </w:r>
      <w:r>
        <w:rPr>
          <w:rFonts w:hint="eastAsia" w:ascii="宋体" w:hAnsi="宋体" w:eastAsia="宋体" w:cs="宋体"/>
          <w:color w:val="auto"/>
          <w:spacing w:val="-2"/>
          <w:sz w:val="24"/>
          <w:szCs w:val="24"/>
          <w:highlight w:val="none"/>
        </w:rPr>
        <w:t>章与手写签名或者盖章</w:t>
      </w:r>
      <w:r>
        <w:rPr>
          <w:rFonts w:hint="eastAsia" w:ascii="宋体" w:hAnsi="宋体" w:eastAsia="宋体" w:cs="宋体"/>
          <w:color w:val="auto"/>
          <w:spacing w:val="-1"/>
          <w:sz w:val="24"/>
          <w:szCs w:val="24"/>
          <w:highlight w:val="none"/>
        </w:rPr>
        <w:t>具有同等的法律效力。</w:t>
      </w:r>
    </w:p>
    <w:p w14:paraId="6C5D9CE5">
      <w:pPr>
        <w:spacing w:before="33" w:line="36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3.3</w:t>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3"/>
          <w:sz w:val="24"/>
          <w:szCs w:val="24"/>
          <w:highlight w:val="none"/>
        </w:rPr>
        <w:t>投标保证</w:t>
      </w:r>
    </w:p>
    <w:p w14:paraId="28028499">
      <w:pPr>
        <w:spacing w:before="152" w:line="360" w:lineRule="auto"/>
        <w:ind w:left="8" w:right="105"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3.3.1  </w:t>
      </w:r>
      <w:r>
        <w:rPr>
          <w:rFonts w:hint="eastAsia" w:ascii="宋体" w:hAnsi="宋体" w:eastAsia="宋体" w:cs="宋体"/>
          <w:color w:val="auto"/>
          <w:spacing w:val="-1"/>
          <w:sz w:val="24"/>
          <w:szCs w:val="24"/>
          <w:highlight w:val="none"/>
        </w:rPr>
        <w:t>投标人须缴纳金额为</w:t>
      </w:r>
      <w:r>
        <w:rPr>
          <w:rFonts w:hint="eastAsia" w:ascii="宋体" w:hAnsi="宋体" w:eastAsia="宋体" w:cs="宋体"/>
          <w:color w:val="auto"/>
          <w:spacing w:val="-1"/>
          <w:sz w:val="24"/>
          <w:szCs w:val="24"/>
          <w:highlight w:val="none"/>
          <w:lang w:val="en-US" w:eastAsia="zh-CN"/>
        </w:rPr>
        <w:t>20万</w:t>
      </w:r>
      <w:r>
        <w:rPr>
          <w:rFonts w:hint="eastAsia" w:ascii="宋体" w:hAnsi="宋体" w:eastAsia="宋体" w:cs="宋体"/>
          <w:color w:val="auto"/>
          <w:spacing w:val="-1"/>
          <w:sz w:val="24"/>
          <w:szCs w:val="24"/>
          <w:highlight w:val="none"/>
          <w:u w:val="none"/>
          <w:lang w:eastAsia="zh-CN"/>
        </w:rPr>
        <w:t>元</w:t>
      </w:r>
      <w:r>
        <w:rPr>
          <w:rFonts w:hint="eastAsia" w:ascii="宋体" w:hAnsi="宋体" w:eastAsia="宋体" w:cs="宋体"/>
          <w:color w:val="auto"/>
          <w:spacing w:val="-1"/>
          <w:sz w:val="24"/>
          <w:szCs w:val="24"/>
          <w:highlight w:val="none"/>
        </w:rPr>
        <w:t>人民币的投标保证。</w:t>
      </w:r>
    </w:p>
    <w:p w14:paraId="2F6E27F3">
      <w:pPr>
        <w:spacing w:before="35" w:line="360" w:lineRule="auto"/>
        <w:ind w:left="12" w:right="108" w:firstLine="471"/>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3.3.2  </w:t>
      </w:r>
      <w:r>
        <w:rPr>
          <w:rFonts w:hint="eastAsia" w:ascii="宋体" w:hAnsi="宋体" w:eastAsia="宋体" w:cs="宋体"/>
          <w:color w:val="auto"/>
          <w:spacing w:val="2"/>
          <w:sz w:val="24"/>
          <w:szCs w:val="24"/>
          <w:highlight w:val="none"/>
        </w:rPr>
        <w:t>投标保证的形式包括投标保证金、投标保证担保、投标保证保险三种</w:t>
      </w:r>
      <w:r>
        <w:rPr>
          <w:rFonts w:hint="eastAsia" w:ascii="宋体" w:hAnsi="宋体" w:eastAsia="宋体" w:cs="宋体"/>
          <w:color w:val="auto"/>
          <w:spacing w:val="1"/>
          <w:sz w:val="24"/>
          <w:szCs w:val="24"/>
          <w:highlight w:val="none"/>
        </w:rPr>
        <w:t>，由</w:t>
      </w:r>
      <w:r>
        <w:rPr>
          <w:rFonts w:hint="eastAsia" w:ascii="宋体" w:hAnsi="宋体" w:eastAsia="宋体" w:cs="宋体"/>
          <w:color w:val="auto"/>
          <w:spacing w:val="-2"/>
          <w:sz w:val="24"/>
          <w:szCs w:val="24"/>
          <w:highlight w:val="none"/>
        </w:rPr>
        <w:t>投标人自主选择。</w:t>
      </w:r>
    </w:p>
    <w:p w14:paraId="2A4547AB">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1" w:right="0" w:firstLine="488"/>
        <w:jc w:val="both"/>
        <w:textAlignment w:val="baseline"/>
        <w:rPr>
          <w:rFonts w:hint="eastAsia" w:ascii="宋体" w:hAnsi="宋体" w:eastAsia="宋体" w:cs="宋体"/>
          <w:color w:val="auto"/>
          <w:spacing w:val="-1"/>
          <w:sz w:val="24"/>
          <w:szCs w:val="24"/>
          <w:highlight w:val="none"/>
        </w:rPr>
      </w:pPr>
      <w:bookmarkStart w:id="21" w:name="bookmark117"/>
      <w:bookmarkEnd w:id="21"/>
      <w:r>
        <w:rPr>
          <w:rFonts w:hint="eastAsia" w:ascii="宋体" w:hAnsi="宋体" w:eastAsia="宋体" w:cs="宋体"/>
          <w:color w:val="auto"/>
          <w:spacing w:val="2"/>
          <w:sz w:val="24"/>
          <w:szCs w:val="24"/>
          <w:highlight w:val="none"/>
        </w:rPr>
        <w:t>（1）采用投标保证金的，投标人在建设工程交易系统获取招</w:t>
      </w:r>
      <w:r>
        <w:rPr>
          <w:rFonts w:hint="eastAsia" w:ascii="宋体" w:hAnsi="宋体" w:eastAsia="宋体" w:cs="宋体"/>
          <w:color w:val="auto"/>
          <w:spacing w:val="1"/>
          <w:sz w:val="24"/>
          <w:szCs w:val="24"/>
          <w:highlight w:val="none"/>
        </w:rPr>
        <w:t>标文件完毕后，即</w:t>
      </w:r>
      <w:r>
        <w:rPr>
          <w:rFonts w:hint="eastAsia" w:ascii="宋体" w:hAnsi="宋体" w:eastAsia="宋体" w:cs="宋体"/>
          <w:color w:val="auto"/>
          <w:spacing w:val="-1"/>
          <w:sz w:val="24"/>
          <w:szCs w:val="24"/>
          <w:highlight w:val="none"/>
        </w:rPr>
        <w:t>可在系统申请缴纳投标保证金，获取本次招标投标保证金缴</w:t>
      </w:r>
      <w:r>
        <w:rPr>
          <w:rFonts w:hint="eastAsia" w:ascii="宋体" w:hAnsi="宋体" w:eastAsia="宋体" w:cs="宋体"/>
          <w:color w:val="auto"/>
          <w:spacing w:val="-2"/>
          <w:sz w:val="24"/>
          <w:szCs w:val="24"/>
          <w:highlight w:val="none"/>
        </w:rPr>
        <w:t>纳账号。投标人必须于投标保证金到账截</w:t>
      </w:r>
      <w:r>
        <w:rPr>
          <w:rFonts w:hint="eastAsia" w:ascii="宋体" w:hAnsi="宋体" w:eastAsia="宋体" w:cs="宋体"/>
          <w:color w:val="auto"/>
          <w:spacing w:val="-1"/>
          <w:sz w:val="24"/>
          <w:szCs w:val="24"/>
          <w:highlight w:val="none"/>
        </w:rPr>
        <w:t>止时间（见本招标文件“重要事项时间地点一览表”）前，从其基本账户将投标保证金转账到指定的缴纳账号。逾期到账的、从非投标人基本账户转出的，其投标无效。</w:t>
      </w:r>
    </w:p>
    <w:p w14:paraId="4AB78A72">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1" w:right="0" w:firstLine="488"/>
        <w:jc w:val="both"/>
        <w:textAlignment w:val="baseline"/>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2）采用投标保证担保的，投标人应提交有效的电子保函或保证保险，电子保函或保证保险的有效期不得短于投标有效期。投标人必须在投标保证担保截止时间（详见“重要事项时间地点一览表”）前，使用工程建设交易系统完成网上办理电子保函或保证保险。</w:t>
      </w:r>
    </w:p>
    <w:p w14:paraId="0FB57550">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1" w:right="0" w:firstLine="488"/>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1"/>
          <w:sz w:val="24"/>
          <w:szCs w:val="24"/>
          <w:highlight w:val="none"/>
        </w:rPr>
        <w:t>（3）采用投标保证保险的，投标人须在投标保证保险投保截止时间（见本招标文件“重要事项时间地点一览表 ”）前，使用建设工程交易系统完成网上投保。投标人可在系统选择保险机构、录入投保信息、支付保费、打印</w:t>
      </w:r>
      <w:r>
        <w:rPr>
          <w:rFonts w:hint="eastAsia" w:ascii="宋体" w:hAnsi="宋体" w:eastAsia="宋体" w:cs="宋体"/>
          <w:color w:val="auto"/>
          <w:spacing w:val="-2"/>
          <w:sz w:val="24"/>
          <w:szCs w:val="24"/>
          <w:highlight w:val="none"/>
        </w:rPr>
        <w:t>电子保单，电子保单的有</w:t>
      </w:r>
      <w:r>
        <w:rPr>
          <w:rFonts w:hint="eastAsia" w:ascii="宋体" w:hAnsi="宋体" w:eastAsia="宋体" w:cs="宋体"/>
          <w:color w:val="auto"/>
          <w:spacing w:val="-3"/>
          <w:sz w:val="24"/>
          <w:szCs w:val="24"/>
          <w:highlight w:val="none"/>
        </w:rPr>
        <w:t>效期不得短于投标有效期。投标人可登录全国公共资源交易平台（广东省·韶关市）（</w:t>
      </w:r>
      <w:r>
        <w:rPr>
          <w:rFonts w:hint="eastAsia" w:ascii="宋体" w:hAnsi="宋体" w:eastAsia="宋体" w:cs="宋体"/>
          <w:color w:val="auto"/>
          <w:spacing w:val="-3"/>
          <w:sz w:val="24"/>
          <w:szCs w:val="24"/>
          <w:highlight w:val="none"/>
        </w:rPr>
        <w:fldChar w:fldCharType="begin"/>
      </w:r>
      <w:r>
        <w:rPr>
          <w:rFonts w:hint="eastAsia" w:ascii="宋体" w:hAnsi="宋体" w:eastAsia="宋体" w:cs="宋体"/>
          <w:color w:val="auto"/>
          <w:spacing w:val="-3"/>
          <w:sz w:val="24"/>
          <w:szCs w:val="24"/>
          <w:highlight w:val="none"/>
        </w:rPr>
        <w:instrText xml:space="preserve"> HYPERLINK "https://ygp.gdzwfw.gov.cn/ggzy-portal/#/440200/index" </w:instrText>
      </w:r>
      <w:r>
        <w:rPr>
          <w:rFonts w:hint="eastAsia" w:ascii="宋体" w:hAnsi="宋体" w:eastAsia="宋体" w:cs="宋体"/>
          <w:color w:val="auto"/>
          <w:spacing w:val="-3"/>
          <w:sz w:val="24"/>
          <w:szCs w:val="24"/>
          <w:highlight w:val="none"/>
        </w:rPr>
        <w:fldChar w:fldCharType="separate"/>
      </w:r>
      <w:r>
        <w:rPr>
          <w:rFonts w:hint="eastAsia" w:ascii="宋体" w:hAnsi="宋体" w:eastAsia="宋体" w:cs="宋体"/>
          <w:color w:val="auto"/>
          <w:spacing w:val="-3"/>
          <w:sz w:val="24"/>
          <w:szCs w:val="24"/>
          <w:highlight w:val="none"/>
        </w:rPr>
        <w:t>https://ygp.gdzwfw.gov.cn/ggzy-portal/#/440200/index</w:t>
      </w:r>
      <w:r>
        <w:rPr>
          <w:rFonts w:hint="eastAsia" w:ascii="宋体" w:hAnsi="宋体" w:eastAsia="宋体" w:cs="宋体"/>
          <w:color w:val="auto"/>
          <w:spacing w:val="-3"/>
          <w:sz w:val="24"/>
          <w:szCs w:val="24"/>
          <w:highlight w:val="none"/>
        </w:rPr>
        <w:fldChar w:fldCharType="end"/>
      </w:r>
      <w:r>
        <w:rPr>
          <w:rFonts w:hint="eastAsia" w:ascii="宋体" w:hAnsi="宋体" w:eastAsia="宋体" w:cs="宋体"/>
          <w:color w:val="auto"/>
          <w:spacing w:val="-3"/>
          <w:sz w:val="24"/>
          <w:szCs w:val="24"/>
          <w:highlight w:val="none"/>
        </w:rPr>
        <w:t>），在【服务指南】栏目中下载《建设工程网上交易系统保险保证金缴纳操作指南》，了解网上投保具体操作流程。逾期投保的，其投标无效。</w:t>
      </w:r>
    </w:p>
    <w:p w14:paraId="433D883D">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1" w:right="0" w:firstLine="488"/>
        <w:jc w:val="both"/>
        <w:textAlignment w:val="baseline"/>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温馨提示：1.投标人采用投标保证担保或投标保证保险的，为避免在评标过程中因有效期发生争议，建议投标人将银行保函或电子保单有效期设置为较招标文件规定的投标有效期延长不少于20个日历天。</w:t>
      </w:r>
    </w:p>
    <w:p w14:paraId="6CA2428D">
      <w:pPr>
        <w:spacing w:before="78" w:line="360" w:lineRule="auto"/>
        <w:ind w:left="12" w:right="2" w:firstLine="490"/>
        <w:jc w:val="both"/>
        <w:rPr>
          <w:rFonts w:hint="eastAsia" w:ascii="宋体" w:hAnsi="宋体" w:eastAsia="宋体" w:cs="宋体"/>
          <w:color w:val="auto"/>
          <w:highlight w:val="none"/>
        </w:rPr>
      </w:pPr>
      <w:r>
        <w:rPr>
          <w:rFonts w:hint="eastAsia" w:ascii="宋体" w:hAnsi="宋体" w:eastAsia="宋体" w:cs="宋体"/>
          <w:color w:val="auto"/>
          <w:spacing w:val="-3"/>
          <w:sz w:val="24"/>
          <w:szCs w:val="24"/>
          <w:highlight w:val="none"/>
        </w:rPr>
        <w:t>3.4  若投标人因自身原因未能正确完成获取招标文件</w:t>
      </w:r>
      <w:r>
        <w:rPr>
          <w:rFonts w:hint="eastAsia" w:ascii="宋体" w:hAnsi="宋体" w:eastAsia="宋体" w:cs="宋体"/>
          <w:color w:val="auto"/>
          <w:sz w:val="24"/>
          <w:szCs w:val="24"/>
          <w:highlight w:val="none"/>
        </w:rPr>
        <w:t>、电子投标、缴纳投标保证</w:t>
      </w:r>
      <w:r>
        <w:rPr>
          <w:rFonts w:hint="eastAsia" w:ascii="宋体" w:hAnsi="宋体" w:eastAsia="宋体" w:cs="宋体"/>
          <w:color w:val="auto"/>
          <w:spacing w:val="-4"/>
          <w:sz w:val="24"/>
          <w:szCs w:val="24"/>
          <w:highlight w:val="none"/>
        </w:rPr>
        <w:t>的，其投标无效。</w:t>
      </w:r>
    </w:p>
    <w:p w14:paraId="63EDD81B">
      <w:pPr>
        <w:spacing w:before="79" w:line="360" w:lineRule="auto"/>
        <w:ind w:left="487"/>
        <w:outlineLvl w:val="2"/>
        <w:rPr>
          <w:rFonts w:hint="eastAsia" w:ascii="宋体" w:hAnsi="宋体" w:eastAsia="宋体" w:cs="宋体"/>
          <w:color w:val="auto"/>
          <w:sz w:val="24"/>
          <w:szCs w:val="24"/>
          <w:highlight w:val="none"/>
        </w:rPr>
      </w:pPr>
      <w:bookmarkStart w:id="22" w:name="bookmark78"/>
      <w:bookmarkEnd w:id="22"/>
      <w:bookmarkStart w:id="23" w:name="bookmark64"/>
      <w:bookmarkEnd w:id="23"/>
      <w:bookmarkStart w:id="24" w:name="_Toc27100"/>
      <w:bookmarkStart w:id="25" w:name="_Toc18681"/>
      <w:r>
        <w:rPr>
          <w:rFonts w:hint="eastAsia" w:ascii="宋体" w:hAnsi="宋体" w:eastAsia="宋体" w:cs="宋体"/>
          <w:b/>
          <w:bCs/>
          <w:color w:val="auto"/>
          <w:spacing w:val="-8"/>
          <w:sz w:val="24"/>
          <w:szCs w:val="24"/>
          <w:highlight w:val="none"/>
        </w:rPr>
        <w:t>4</w:t>
      </w:r>
      <w:r>
        <w:rPr>
          <w:rFonts w:hint="eastAsia" w:ascii="宋体" w:hAnsi="宋体" w:eastAsia="宋体" w:cs="宋体"/>
          <w:b/>
          <w:bCs/>
          <w:color w:val="auto"/>
          <w:spacing w:val="-27"/>
          <w:sz w:val="24"/>
          <w:szCs w:val="24"/>
          <w:highlight w:val="none"/>
          <w:lang w:eastAsia="zh-CN"/>
        </w:rPr>
        <w:t>.</w:t>
      </w:r>
      <w:r>
        <w:rPr>
          <w:rFonts w:hint="eastAsia" w:ascii="宋体" w:hAnsi="宋体" w:eastAsia="宋体" w:cs="宋体"/>
          <w:b/>
          <w:bCs/>
          <w:color w:val="auto"/>
          <w:spacing w:val="-8"/>
          <w:sz w:val="24"/>
          <w:szCs w:val="24"/>
          <w:highlight w:val="none"/>
        </w:rPr>
        <w:t>工期要求</w:t>
      </w:r>
      <w:bookmarkEnd w:id="24"/>
      <w:bookmarkEnd w:id="25"/>
    </w:p>
    <w:p w14:paraId="6373A964">
      <w:pPr>
        <w:spacing w:before="153" w:line="360" w:lineRule="auto"/>
        <w:ind w:left="30" w:right="65" w:firstLine="46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本招标项目招标工期为</w:t>
      </w:r>
      <w:r>
        <w:rPr>
          <w:rFonts w:hint="eastAsia" w:ascii="宋体" w:hAnsi="宋体" w:eastAsia="宋体" w:cs="宋体"/>
          <w:color w:val="auto"/>
          <w:spacing w:val="-2"/>
          <w:sz w:val="24"/>
          <w:szCs w:val="24"/>
          <w:highlight w:val="none"/>
          <w:u w:val="single"/>
          <w:lang w:val="en-US" w:eastAsia="zh-CN"/>
        </w:rPr>
        <w:t>180</w:t>
      </w:r>
      <w:r>
        <w:rPr>
          <w:rFonts w:hint="eastAsia" w:ascii="宋体" w:hAnsi="宋体" w:eastAsia="宋体" w:cs="宋体"/>
          <w:color w:val="auto"/>
          <w:spacing w:val="-2"/>
          <w:sz w:val="24"/>
          <w:szCs w:val="24"/>
          <w:highlight w:val="none"/>
        </w:rPr>
        <w:t>个日历天，中标人必须在招标工期内完成招标范围内</w:t>
      </w:r>
      <w:r>
        <w:rPr>
          <w:rFonts w:hint="eastAsia" w:ascii="宋体" w:hAnsi="宋体" w:eastAsia="宋体" w:cs="宋体"/>
          <w:color w:val="auto"/>
          <w:spacing w:val="-5"/>
          <w:sz w:val="24"/>
          <w:szCs w:val="24"/>
          <w:highlight w:val="none"/>
        </w:rPr>
        <w:t>的全部内容。</w:t>
      </w:r>
    </w:p>
    <w:p w14:paraId="7C2E502E">
      <w:pPr>
        <w:spacing w:before="78" w:line="360" w:lineRule="auto"/>
        <w:ind w:left="488"/>
        <w:outlineLvl w:val="2"/>
        <w:rPr>
          <w:rFonts w:hint="eastAsia" w:ascii="宋体" w:hAnsi="宋体" w:eastAsia="宋体" w:cs="宋体"/>
          <w:color w:val="auto"/>
          <w:sz w:val="24"/>
          <w:szCs w:val="24"/>
          <w:highlight w:val="none"/>
        </w:rPr>
      </w:pPr>
      <w:bookmarkStart w:id="26" w:name="_Toc3173"/>
      <w:bookmarkStart w:id="27" w:name="_Toc1639"/>
      <w:r>
        <w:rPr>
          <w:rFonts w:hint="eastAsia" w:ascii="宋体" w:hAnsi="宋体" w:eastAsia="宋体" w:cs="宋体"/>
          <w:b/>
          <w:bCs/>
          <w:color w:val="auto"/>
          <w:spacing w:val="-5"/>
          <w:sz w:val="24"/>
          <w:szCs w:val="24"/>
          <w:highlight w:val="none"/>
        </w:rPr>
        <w:t>5</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b/>
          <w:bCs/>
          <w:color w:val="auto"/>
          <w:spacing w:val="-5"/>
          <w:sz w:val="24"/>
          <w:szCs w:val="24"/>
          <w:highlight w:val="none"/>
        </w:rPr>
        <w:t>质量标准和材料、机械要求</w:t>
      </w:r>
      <w:bookmarkEnd w:id="26"/>
      <w:bookmarkEnd w:id="27"/>
    </w:p>
    <w:p w14:paraId="1AAE31B9">
      <w:pPr>
        <w:spacing w:before="154" w:line="360" w:lineRule="auto"/>
        <w:ind w:left="11" w:right="99" w:firstLine="47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5.1  </w:t>
      </w:r>
      <w:r>
        <w:rPr>
          <w:rFonts w:hint="eastAsia" w:ascii="宋体" w:hAnsi="宋体" w:eastAsia="宋体" w:cs="宋体"/>
          <w:snapToGrid w:val="0"/>
          <w:color w:val="auto"/>
          <w:kern w:val="0"/>
          <w:sz w:val="24"/>
          <w:szCs w:val="24"/>
          <w:highlight w:val="none"/>
        </w:rPr>
        <w:t>施工工艺严格按照国家和广东省的有关现行施工技术规范及标准执行，工程质量标准须</w:t>
      </w:r>
      <w:r>
        <w:rPr>
          <w:rFonts w:hint="eastAsia" w:ascii="宋体" w:hAnsi="宋体" w:eastAsia="宋体" w:cs="宋体"/>
          <w:snapToGrid w:val="0"/>
          <w:color w:val="auto"/>
          <w:kern w:val="0"/>
          <w:sz w:val="24"/>
          <w:szCs w:val="24"/>
          <w:highlight w:val="none"/>
          <w:u w:val="single"/>
        </w:rPr>
        <w:t>达到《建筑工程施工质量验收统一标准》(GB50300-2013)合格</w:t>
      </w:r>
      <w:r>
        <w:rPr>
          <w:rFonts w:hint="eastAsia" w:ascii="宋体" w:hAnsi="宋体" w:eastAsia="宋体" w:cs="宋体"/>
          <w:color w:val="auto"/>
          <w:sz w:val="24"/>
          <w:szCs w:val="24"/>
          <w:highlight w:val="none"/>
        </w:rPr>
        <w:t>。</w:t>
      </w:r>
    </w:p>
    <w:p w14:paraId="792ACDC1">
      <w:pPr>
        <w:spacing w:before="154" w:line="360" w:lineRule="auto"/>
        <w:ind w:left="11" w:right="99" w:firstLine="477"/>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3"/>
          <w:sz w:val="24"/>
          <w:szCs w:val="24"/>
          <w:highlight w:val="none"/>
        </w:rPr>
        <w:t>5.2</w:t>
      </w:r>
      <w:r>
        <w:rPr>
          <w:rFonts w:hint="eastAsia" w:ascii="宋体" w:hAnsi="宋体" w:eastAsia="宋体" w:cs="宋体"/>
          <w:b/>
          <w:bCs/>
          <w:color w:val="auto"/>
          <w:spacing w:val="21"/>
          <w:w w:val="101"/>
          <w:sz w:val="24"/>
          <w:szCs w:val="24"/>
          <w:highlight w:val="none"/>
        </w:rPr>
        <w:t xml:space="preserve">  </w:t>
      </w:r>
      <w:r>
        <w:rPr>
          <w:rFonts w:hint="eastAsia" w:ascii="宋体" w:hAnsi="宋体" w:eastAsia="宋体" w:cs="宋体"/>
          <w:color w:val="auto"/>
          <w:spacing w:val="-3"/>
          <w:sz w:val="24"/>
          <w:szCs w:val="24"/>
          <w:highlight w:val="none"/>
        </w:rPr>
        <w:t>中标人在施工中如果工程质量不符合设计要求和有关规定，招标人或监理单</w:t>
      </w:r>
      <w:r>
        <w:rPr>
          <w:rFonts w:hint="eastAsia" w:ascii="宋体" w:hAnsi="宋体" w:eastAsia="宋体" w:cs="宋体"/>
          <w:color w:val="auto"/>
          <w:sz w:val="24"/>
          <w:szCs w:val="24"/>
          <w:highlight w:val="none"/>
        </w:rPr>
        <w:t>位要求停工和返工的必须立即执行，并承担由此产生的各</w:t>
      </w:r>
      <w:r>
        <w:rPr>
          <w:rFonts w:hint="eastAsia" w:ascii="宋体" w:hAnsi="宋体" w:eastAsia="宋体" w:cs="宋体"/>
          <w:color w:val="auto"/>
          <w:spacing w:val="-1"/>
          <w:sz w:val="24"/>
          <w:szCs w:val="24"/>
          <w:highlight w:val="none"/>
        </w:rPr>
        <w:t>种费用，工期不予顺延。</w:t>
      </w:r>
    </w:p>
    <w:p w14:paraId="36DDB4F7">
      <w:pPr>
        <w:spacing w:before="154" w:line="360" w:lineRule="auto"/>
        <w:ind w:left="11" w:right="99" w:firstLine="477"/>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6"/>
          <w:sz w:val="24"/>
          <w:szCs w:val="24"/>
          <w:highlight w:val="none"/>
        </w:rPr>
        <w:t xml:space="preserve">5.3  </w:t>
      </w:r>
      <w:r>
        <w:rPr>
          <w:rFonts w:hint="eastAsia" w:ascii="宋体" w:hAnsi="宋体" w:eastAsia="宋体" w:cs="宋体"/>
          <w:color w:val="auto"/>
          <w:spacing w:val="-6"/>
          <w:sz w:val="24"/>
          <w:szCs w:val="24"/>
          <w:highlight w:val="none"/>
        </w:rPr>
        <w:t>保修期限按《建设工程质量管理条例》（中华人民共和国国务院令第279号）</w:t>
      </w:r>
      <w:r>
        <w:rPr>
          <w:rFonts w:hint="eastAsia" w:ascii="宋体" w:hAnsi="宋体" w:eastAsia="宋体" w:cs="宋体"/>
          <w:color w:val="auto"/>
          <w:spacing w:val="-1"/>
          <w:sz w:val="24"/>
          <w:szCs w:val="24"/>
          <w:highlight w:val="none"/>
        </w:rPr>
        <w:t>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300B7EA2">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11" w:firstLine="567"/>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5.4</w:t>
      </w:r>
      <w:r>
        <w:rPr>
          <w:rFonts w:hint="eastAsia" w:ascii="宋体" w:hAnsi="宋体" w:eastAsia="宋体" w:cs="宋体"/>
          <w:color w:val="auto"/>
          <w:spacing w:val="-1"/>
          <w:sz w:val="24"/>
          <w:szCs w:val="24"/>
          <w:highlight w:val="none"/>
        </w:rPr>
        <w:t xml:space="preserve"> 本招标项目</w:t>
      </w:r>
      <w:r>
        <w:rPr>
          <w:rFonts w:hint="eastAsia" w:ascii="宋体" w:hAnsi="宋体" w:eastAsia="宋体" w:cs="宋体"/>
          <w:color w:val="auto"/>
          <w:spacing w:val="-1"/>
          <w:sz w:val="24"/>
          <w:szCs w:val="24"/>
          <w:highlight w:val="none"/>
          <w:lang w:eastAsia="zh-CN"/>
        </w:rPr>
        <w:t>不</w:t>
      </w:r>
      <w:r>
        <w:rPr>
          <w:rFonts w:hint="eastAsia" w:ascii="宋体" w:hAnsi="宋体" w:eastAsia="宋体" w:cs="宋体"/>
          <w:color w:val="auto"/>
          <w:spacing w:val="-1"/>
          <w:sz w:val="24"/>
          <w:szCs w:val="24"/>
          <w:highlight w:val="none"/>
        </w:rPr>
        <w:t>纳入绿色建筑实施范围</w:t>
      </w:r>
      <w:r>
        <w:rPr>
          <w:rFonts w:hint="eastAsia" w:ascii="宋体" w:hAnsi="宋体" w:eastAsia="宋体" w:cs="宋体"/>
          <w:color w:val="auto"/>
          <w:spacing w:val="-1"/>
          <w:sz w:val="24"/>
          <w:szCs w:val="24"/>
          <w:highlight w:val="none"/>
          <w:lang w:eastAsia="zh-CN"/>
        </w:rPr>
        <w:t>。</w:t>
      </w:r>
    </w:p>
    <w:p w14:paraId="0876B684">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11" w:firstLine="567"/>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5.5</w:t>
      </w:r>
      <w:r>
        <w:rPr>
          <w:rFonts w:hint="eastAsia" w:ascii="宋体" w:hAnsi="宋体" w:eastAsia="宋体" w:cs="宋体"/>
          <w:color w:val="auto"/>
          <w:spacing w:val="-1"/>
          <w:sz w:val="24"/>
          <w:szCs w:val="24"/>
          <w:highlight w:val="none"/>
        </w:rPr>
        <w:t xml:space="preserve">  其它：招标项目</w:t>
      </w:r>
      <w:r>
        <w:rPr>
          <w:rFonts w:hint="eastAsia" w:ascii="宋体" w:hAnsi="宋体" w:eastAsia="宋体" w:cs="宋体"/>
          <w:color w:val="auto"/>
          <w:spacing w:val="-1"/>
          <w:sz w:val="24"/>
          <w:szCs w:val="24"/>
          <w:highlight w:val="none"/>
          <w:lang w:eastAsia="zh-CN"/>
        </w:rPr>
        <w:t>不</w:t>
      </w:r>
      <w:r>
        <w:rPr>
          <w:rFonts w:hint="eastAsia" w:ascii="宋体" w:hAnsi="宋体" w:eastAsia="宋体" w:cs="宋体"/>
          <w:color w:val="auto"/>
          <w:spacing w:val="-1"/>
          <w:sz w:val="24"/>
          <w:szCs w:val="24"/>
          <w:highlight w:val="none"/>
        </w:rPr>
        <w:t>纳入装配式建造建设实施范围。</w:t>
      </w:r>
    </w:p>
    <w:p w14:paraId="0FC3B7C0">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11" w:firstLine="567"/>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5.6</w:t>
      </w:r>
      <w:r>
        <w:rPr>
          <w:rFonts w:hint="eastAsia" w:ascii="宋体" w:hAnsi="宋体" w:eastAsia="宋体" w:cs="宋体"/>
          <w:color w:val="auto"/>
          <w:spacing w:val="-1"/>
          <w:sz w:val="24"/>
          <w:szCs w:val="24"/>
          <w:highlight w:val="none"/>
        </w:rPr>
        <w:t xml:space="preserve">  其它：本招标文件（包括答疑纪要、补充及修改文件）中招标人对材料或设备有明确要求的，投标人必须响应招标人要求，如投标人在投标文件未明确响应者视为默认；或投标人在投标文件中的虽有响应但不符合招标人要求的，视为无效响应，中标后必须按招标人要求执行。如招标人在招标文件中对材料或设备没有明确要求</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则中标人必须使用合格材料或设备。</w:t>
      </w:r>
    </w:p>
    <w:p w14:paraId="5F446122">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11" w:firstLine="567"/>
        <w:textAlignment w:val="baseline"/>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w:t>
      </w:r>
      <w:r>
        <w:rPr>
          <w:rFonts w:hint="eastAsia" w:ascii="宋体" w:hAnsi="宋体" w:eastAsia="宋体" w:cs="宋体"/>
          <w:b/>
          <w:bCs/>
          <w:color w:val="auto"/>
          <w:spacing w:val="-1"/>
          <w:sz w:val="24"/>
          <w:szCs w:val="24"/>
          <w:highlight w:val="none"/>
          <w:lang w:eastAsia="zh-CN"/>
        </w:rPr>
        <w:t>7</w:t>
      </w:r>
      <w:r>
        <w:rPr>
          <w:rFonts w:hint="eastAsia" w:ascii="宋体" w:hAnsi="宋体" w:eastAsia="宋体" w:cs="宋体"/>
          <w:color w:val="auto"/>
          <w:spacing w:val="-1"/>
          <w:sz w:val="24"/>
          <w:szCs w:val="24"/>
          <w:highlight w:val="none"/>
        </w:rPr>
        <w:t xml:space="preserve"> 工程使用的主要材料质量要求：不低于强制标准、招标工程量清单所列的要求，主要材料必须先提供样板或相关资料给招标人和监理工程师验收，同意确定其规格、型号、颜色、等级等，并经发包人委托的第三方检测部门检测合格方可使用，所有材料必须使用合格产品。</w:t>
      </w:r>
    </w:p>
    <w:p w14:paraId="5B497438">
      <w:pPr>
        <w:spacing w:before="78" w:line="360" w:lineRule="auto"/>
        <w:ind w:left="489"/>
        <w:outlineLvl w:val="2"/>
        <w:rPr>
          <w:rFonts w:hint="eastAsia" w:ascii="宋体" w:hAnsi="宋体" w:eastAsia="宋体" w:cs="宋体"/>
          <w:color w:val="auto"/>
          <w:sz w:val="24"/>
          <w:szCs w:val="24"/>
          <w:highlight w:val="none"/>
        </w:rPr>
      </w:pPr>
      <w:bookmarkStart w:id="28" w:name="_Toc20271"/>
      <w:bookmarkStart w:id="29" w:name="_Toc12840"/>
      <w:r>
        <w:rPr>
          <w:rFonts w:hint="eastAsia" w:ascii="宋体" w:hAnsi="宋体" w:eastAsia="宋体" w:cs="宋体"/>
          <w:b/>
          <w:bCs/>
          <w:color w:val="auto"/>
          <w:spacing w:val="-6"/>
          <w:sz w:val="24"/>
          <w:szCs w:val="24"/>
          <w:highlight w:val="none"/>
        </w:rPr>
        <w:t>6</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b/>
          <w:bCs/>
          <w:color w:val="auto"/>
          <w:spacing w:val="-6"/>
          <w:sz w:val="24"/>
          <w:szCs w:val="24"/>
          <w:highlight w:val="none"/>
        </w:rPr>
        <w:t>施工条件及现场踏勘</w:t>
      </w:r>
      <w:bookmarkEnd w:id="28"/>
      <w:bookmarkEnd w:id="29"/>
    </w:p>
    <w:p w14:paraId="5C5E2D5D">
      <w:pPr>
        <w:spacing w:before="155" w:line="360"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6.1  </w:t>
      </w:r>
      <w:r>
        <w:rPr>
          <w:rFonts w:hint="eastAsia" w:ascii="宋体" w:hAnsi="宋体" w:eastAsia="宋体" w:cs="宋体"/>
          <w:color w:val="auto"/>
          <w:spacing w:val="-2"/>
          <w:sz w:val="24"/>
          <w:szCs w:val="24"/>
          <w:highlight w:val="none"/>
        </w:rPr>
        <w:t>招标人仅在本招标项目征地红线范围内提供场地，其他一切场地费用由中标人自行负责（含临时道路）。</w:t>
      </w:r>
    </w:p>
    <w:p w14:paraId="095FC4ED">
      <w:pPr>
        <w:spacing w:before="155" w:line="360" w:lineRule="auto"/>
        <w:ind w:left="12" w:right="99" w:firstLine="556"/>
        <w:rPr>
          <w:rFonts w:hint="eastAsia" w:ascii="宋体" w:hAnsi="宋体" w:eastAsia="宋体" w:cs="宋体"/>
          <w:color w:val="auto"/>
          <w:spacing w:val="-2"/>
          <w:sz w:val="24"/>
          <w:szCs w:val="24"/>
          <w:highlight w:val="none"/>
        </w:rPr>
      </w:pPr>
      <w:bookmarkStart w:id="30" w:name="bookmark118"/>
      <w:bookmarkEnd w:id="30"/>
      <w:r>
        <w:rPr>
          <w:rFonts w:hint="eastAsia" w:ascii="宋体" w:hAnsi="宋体" w:eastAsia="宋体" w:cs="宋体"/>
          <w:b/>
          <w:bCs/>
          <w:color w:val="auto"/>
          <w:spacing w:val="-2"/>
          <w:sz w:val="24"/>
          <w:szCs w:val="24"/>
          <w:highlight w:val="none"/>
        </w:rPr>
        <w:t>6.2</w:t>
      </w:r>
      <w:r>
        <w:rPr>
          <w:rFonts w:hint="eastAsia" w:ascii="宋体" w:hAnsi="宋体" w:eastAsia="宋体" w:cs="宋体"/>
          <w:color w:val="auto"/>
          <w:spacing w:val="-2"/>
          <w:sz w:val="24"/>
          <w:szCs w:val="24"/>
          <w:highlight w:val="none"/>
        </w:rPr>
        <w:t xml:space="preserve">  施工用水：</w:t>
      </w:r>
      <w:r>
        <w:rPr>
          <w:rFonts w:hint="eastAsia" w:ascii="宋体" w:hAnsi="宋体" w:eastAsia="宋体" w:cs="宋体"/>
          <w:color w:val="auto"/>
          <w:spacing w:val="-2"/>
          <w:sz w:val="24"/>
          <w:szCs w:val="24"/>
          <w:highlight w:val="none"/>
          <w:u w:val="single"/>
        </w:rPr>
        <w:t>由中标人自行解决，费用考虑在投标报价中</w:t>
      </w:r>
      <w:r>
        <w:rPr>
          <w:rFonts w:hint="eastAsia" w:ascii="宋体" w:hAnsi="宋体" w:eastAsia="宋体" w:cs="宋体"/>
          <w:color w:val="auto"/>
          <w:spacing w:val="-2"/>
          <w:sz w:val="24"/>
          <w:szCs w:val="24"/>
          <w:highlight w:val="none"/>
        </w:rPr>
        <w:t>。</w:t>
      </w:r>
    </w:p>
    <w:p w14:paraId="7AC90E75">
      <w:pPr>
        <w:spacing w:before="155" w:line="360" w:lineRule="auto"/>
        <w:ind w:left="12" w:right="99" w:firstLine="556"/>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6.3</w:t>
      </w:r>
      <w:r>
        <w:rPr>
          <w:rFonts w:hint="eastAsia" w:ascii="宋体" w:hAnsi="宋体" w:eastAsia="宋体" w:cs="宋体"/>
          <w:color w:val="auto"/>
          <w:spacing w:val="-2"/>
          <w:sz w:val="24"/>
          <w:szCs w:val="24"/>
          <w:highlight w:val="none"/>
        </w:rPr>
        <w:t xml:space="preserve">  施工用电：</w:t>
      </w:r>
      <w:r>
        <w:rPr>
          <w:rFonts w:hint="eastAsia" w:ascii="宋体" w:hAnsi="宋体" w:eastAsia="宋体" w:cs="宋体"/>
          <w:color w:val="auto"/>
          <w:spacing w:val="-2"/>
          <w:sz w:val="24"/>
          <w:szCs w:val="24"/>
          <w:highlight w:val="none"/>
          <w:u w:val="single"/>
        </w:rPr>
        <w:t>由中标人自行解决，费用考虑在投标报价中</w:t>
      </w:r>
      <w:r>
        <w:rPr>
          <w:rFonts w:hint="eastAsia" w:ascii="宋体" w:hAnsi="宋体" w:eastAsia="宋体" w:cs="宋体"/>
          <w:color w:val="auto"/>
          <w:spacing w:val="-2"/>
          <w:sz w:val="24"/>
          <w:szCs w:val="24"/>
          <w:highlight w:val="none"/>
        </w:rPr>
        <w:t>。</w:t>
      </w:r>
    </w:p>
    <w:p w14:paraId="0EEB5CBB">
      <w:pPr>
        <w:spacing w:before="155" w:line="360" w:lineRule="auto"/>
        <w:ind w:left="12" w:right="99"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6.4</w:t>
      </w:r>
      <w:r>
        <w:rPr>
          <w:rFonts w:hint="eastAsia" w:ascii="宋体" w:hAnsi="宋体" w:eastAsia="宋体" w:cs="宋体"/>
          <w:color w:val="auto"/>
          <w:spacing w:val="-2"/>
          <w:sz w:val="24"/>
          <w:szCs w:val="24"/>
          <w:highlight w:val="none"/>
        </w:rPr>
        <w:t xml:space="preserve">  施工用水、用电各提供一驳接点到现场边缘。要求中标人单独安装水表、电表，其水、电费按项目所在地韶关市/</w:t>
      </w:r>
      <w:r>
        <w:rPr>
          <w:rFonts w:hint="eastAsia" w:ascii="宋体" w:hAnsi="宋体" w:eastAsia="宋体" w:cs="宋体"/>
          <w:color w:val="auto"/>
          <w:spacing w:val="-2"/>
          <w:sz w:val="24"/>
          <w:szCs w:val="24"/>
          <w:highlight w:val="none"/>
          <w:lang w:eastAsia="zh-CN"/>
        </w:rPr>
        <w:t>武江区</w:t>
      </w:r>
      <w:r>
        <w:rPr>
          <w:rFonts w:hint="eastAsia" w:ascii="宋体" w:hAnsi="宋体" w:eastAsia="宋体" w:cs="宋体"/>
          <w:color w:val="auto"/>
          <w:spacing w:val="-2"/>
          <w:sz w:val="24"/>
          <w:szCs w:val="24"/>
          <w:highlight w:val="none"/>
        </w:rPr>
        <w:t>基建工程水、电计费</w:t>
      </w:r>
      <w:r>
        <w:rPr>
          <w:rFonts w:hint="eastAsia" w:ascii="宋体" w:hAnsi="宋体" w:eastAsia="宋体" w:cs="宋体"/>
          <w:color w:val="auto"/>
          <w:spacing w:val="-3"/>
          <w:sz w:val="24"/>
          <w:szCs w:val="24"/>
          <w:highlight w:val="none"/>
        </w:rPr>
        <w:t>标准计算并由中标人缴纳。</w:t>
      </w:r>
    </w:p>
    <w:p w14:paraId="658065E1">
      <w:pPr>
        <w:spacing w:before="154" w:line="360"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6.5  </w:t>
      </w:r>
      <w:r>
        <w:rPr>
          <w:rFonts w:hint="eastAsia" w:ascii="宋体" w:hAnsi="宋体" w:eastAsia="宋体" w:cs="宋体"/>
          <w:color w:val="auto"/>
          <w:spacing w:val="-2"/>
          <w:sz w:val="24"/>
          <w:szCs w:val="24"/>
          <w:highlight w:val="none"/>
        </w:rPr>
        <w:t>招标人不组织现场踏勘，但会在招标文件及有关设计文件中明确告知招标项</w:t>
      </w:r>
      <w:r>
        <w:rPr>
          <w:rFonts w:hint="eastAsia" w:ascii="宋体" w:hAnsi="宋体" w:eastAsia="宋体" w:cs="宋体"/>
          <w:color w:val="auto"/>
          <w:spacing w:val="-1"/>
          <w:sz w:val="24"/>
          <w:szCs w:val="24"/>
          <w:highlight w:val="none"/>
        </w:rPr>
        <w:t>目的具体位置和周边环境，并在现场设置足以识别的标识或提</w:t>
      </w:r>
      <w:r>
        <w:rPr>
          <w:rFonts w:hint="eastAsia" w:ascii="宋体" w:hAnsi="宋体" w:eastAsia="宋体" w:cs="宋体"/>
          <w:color w:val="auto"/>
          <w:spacing w:val="-2"/>
          <w:sz w:val="24"/>
          <w:szCs w:val="24"/>
          <w:highlight w:val="none"/>
        </w:rPr>
        <w:t>供足以表明招标项目具</w:t>
      </w:r>
      <w:r>
        <w:rPr>
          <w:rFonts w:hint="eastAsia" w:ascii="宋体" w:hAnsi="宋体" w:eastAsia="宋体" w:cs="宋体"/>
          <w:color w:val="auto"/>
          <w:sz w:val="24"/>
          <w:szCs w:val="24"/>
          <w:highlight w:val="none"/>
        </w:rPr>
        <w:t>体位置的文字或图片。投标人需要了解现场情况的</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pacing w:val="-1"/>
          <w:sz w:val="24"/>
          <w:szCs w:val="24"/>
          <w:highlight w:val="none"/>
        </w:rPr>
        <w:t>可自行进行现场踏勘。</w:t>
      </w:r>
    </w:p>
    <w:p w14:paraId="1B519EF0">
      <w:pPr>
        <w:spacing w:before="153" w:line="360" w:lineRule="auto"/>
        <w:ind w:left="9" w:right="16" w:firstLine="558"/>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6.6  </w:t>
      </w:r>
      <w:r>
        <w:rPr>
          <w:rFonts w:hint="eastAsia" w:ascii="宋体" w:hAnsi="宋体" w:eastAsia="宋体" w:cs="宋体"/>
          <w:color w:val="auto"/>
          <w:spacing w:val="-2"/>
          <w:sz w:val="24"/>
          <w:szCs w:val="24"/>
          <w:highlight w:val="none"/>
        </w:rPr>
        <w:t>在现场踏勘过程中，投标人应确保自身安全，投标人如果发生人身伤亡、财</w:t>
      </w:r>
      <w:r>
        <w:rPr>
          <w:rFonts w:hint="eastAsia" w:ascii="宋体" w:hAnsi="宋体" w:eastAsia="宋体" w:cs="宋体"/>
          <w:color w:val="auto"/>
          <w:spacing w:val="-1"/>
          <w:sz w:val="24"/>
          <w:szCs w:val="24"/>
          <w:highlight w:val="none"/>
        </w:rPr>
        <w:t>物或其他损失，法律法规有规定的按有关规定处理，没有规定</w:t>
      </w:r>
      <w:r>
        <w:rPr>
          <w:rFonts w:hint="eastAsia" w:ascii="宋体" w:hAnsi="宋体" w:eastAsia="宋体" w:cs="宋体"/>
          <w:color w:val="auto"/>
          <w:spacing w:val="-2"/>
          <w:sz w:val="24"/>
          <w:szCs w:val="24"/>
          <w:highlight w:val="none"/>
        </w:rPr>
        <w:t>的由投标人自行负责。</w:t>
      </w:r>
    </w:p>
    <w:p w14:paraId="77BF35A0">
      <w:pPr>
        <w:spacing w:before="153" w:line="360" w:lineRule="auto"/>
        <w:ind w:left="568"/>
        <w:rPr>
          <w:rFonts w:hint="eastAsia" w:ascii="宋体" w:hAnsi="宋体" w:eastAsia="宋体" w:cs="宋体"/>
          <w:color w:val="auto"/>
          <w:spacing w:val="-1"/>
          <w:sz w:val="24"/>
          <w:szCs w:val="24"/>
          <w:highlight w:val="none"/>
        </w:rPr>
      </w:pPr>
      <w:r>
        <w:rPr>
          <w:rFonts w:hint="eastAsia" w:ascii="宋体" w:hAnsi="宋体" w:eastAsia="宋体" w:cs="宋体"/>
          <w:b/>
          <w:bCs/>
          <w:color w:val="auto"/>
          <w:sz w:val="24"/>
          <w:szCs w:val="24"/>
          <w:highlight w:val="none"/>
        </w:rPr>
        <w:t xml:space="preserve">6.7  </w:t>
      </w:r>
      <w:r>
        <w:rPr>
          <w:rFonts w:hint="eastAsia" w:ascii="宋体" w:hAnsi="宋体" w:eastAsia="宋体" w:cs="宋体"/>
          <w:color w:val="auto"/>
          <w:sz w:val="24"/>
          <w:szCs w:val="24"/>
          <w:highlight w:val="none"/>
        </w:rPr>
        <w:t>现场踏勘期间的交通、食宿由投标人</w:t>
      </w:r>
      <w:r>
        <w:rPr>
          <w:rFonts w:hint="eastAsia" w:ascii="宋体" w:hAnsi="宋体" w:eastAsia="宋体" w:cs="宋体"/>
          <w:color w:val="auto"/>
          <w:spacing w:val="-1"/>
          <w:sz w:val="24"/>
          <w:szCs w:val="24"/>
          <w:highlight w:val="none"/>
        </w:rPr>
        <w:t>自行安排，费用自理。</w:t>
      </w:r>
      <w:bookmarkStart w:id="31" w:name="bookmark67"/>
      <w:bookmarkEnd w:id="31"/>
      <w:bookmarkStart w:id="32" w:name="bookmark69"/>
      <w:bookmarkEnd w:id="32"/>
      <w:bookmarkStart w:id="33" w:name="bookmark81"/>
      <w:bookmarkEnd w:id="33"/>
      <w:bookmarkStart w:id="34" w:name="_Toc9426"/>
    </w:p>
    <w:p w14:paraId="33A6D60D">
      <w:pPr>
        <w:spacing w:before="153" w:line="360" w:lineRule="auto"/>
        <w:ind w:left="568"/>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7</w:t>
      </w:r>
      <w:r>
        <w:rPr>
          <w:rFonts w:hint="eastAsia" w:ascii="宋体" w:hAnsi="宋体" w:eastAsia="宋体" w:cs="宋体"/>
          <w:b/>
          <w:bCs/>
          <w:color w:val="auto"/>
          <w:spacing w:val="-5"/>
          <w:sz w:val="24"/>
          <w:szCs w:val="24"/>
          <w:highlight w:val="none"/>
          <w:lang w:eastAsia="zh-CN"/>
        </w:rPr>
        <w:t>.</w:t>
      </w:r>
      <w:r>
        <w:rPr>
          <w:rFonts w:hint="eastAsia" w:ascii="宋体" w:hAnsi="宋体" w:eastAsia="宋体" w:cs="宋体"/>
          <w:b/>
          <w:bCs/>
          <w:color w:val="auto"/>
          <w:spacing w:val="-5"/>
          <w:sz w:val="24"/>
          <w:szCs w:val="24"/>
          <w:highlight w:val="none"/>
        </w:rPr>
        <w:t>招标文件的提问和答疑</w:t>
      </w:r>
      <w:bookmarkEnd w:id="34"/>
    </w:p>
    <w:p w14:paraId="141D04EB">
      <w:pPr>
        <w:keepNext w:val="0"/>
        <w:keepLines w:val="0"/>
        <w:pageBreakBefore w:val="0"/>
        <w:widowControl w:val="0"/>
        <w:kinsoku w:val="0"/>
        <w:wordWrap/>
        <w:overflowPunct/>
        <w:topLinePunct w:val="0"/>
        <w:autoSpaceDE w:val="0"/>
        <w:autoSpaceDN w:val="0"/>
        <w:bidi w:val="0"/>
        <w:adjustRightInd w:val="0"/>
        <w:snapToGrid w:val="0"/>
        <w:spacing w:before="153" w:line="360" w:lineRule="auto"/>
        <w:ind w:left="9" w:right="16" w:firstLine="47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7.1  </w:t>
      </w:r>
      <w:r>
        <w:rPr>
          <w:rFonts w:hint="eastAsia" w:ascii="宋体" w:hAnsi="宋体" w:eastAsia="宋体" w:cs="宋体"/>
          <w:color w:val="auto"/>
          <w:sz w:val="24"/>
          <w:szCs w:val="24"/>
          <w:highlight w:val="none"/>
        </w:rPr>
        <w:t>投标人若对招标文件（含施工图、招标工程量清单）有疑问，应在提问截止</w:t>
      </w:r>
      <w:r>
        <w:rPr>
          <w:rFonts w:hint="eastAsia" w:ascii="宋体" w:hAnsi="宋体" w:eastAsia="宋体" w:cs="宋体"/>
          <w:color w:val="auto"/>
          <w:spacing w:val="-2"/>
          <w:sz w:val="24"/>
          <w:szCs w:val="24"/>
          <w:highlight w:val="none"/>
        </w:rPr>
        <w:t>时间（见本章第二节“重要事项时间地点一览表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”）前使用建设工程交易</w:t>
      </w:r>
      <w:r>
        <w:rPr>
          <w:rFonts w:hint="eastAsia" w:ascii="宋体" w:hAnsi="宋体" w:eastAsia="宋体" w:cs="宋体"/>
          <w:color w:val="auto"/>
          <w:spacing w:val="-3"/>
          <w:sz w:val="24"/>
          <w:szCs w:val="24"/>
          <w:highlight w:val="none"/>
        </w:rPr>
        <w:t>系统提出问</w:t>
      </w:r>
      <w:r>
        <w:rPr>
          <w:rFonts w:hint="eastAsia" w:ascii="宋体" w:hAnsi="宋体" w:eastAsia="宋体" w:cs="宋体"/>
          <w:color w:val="auto"/>
          <w:spacing w:val="-1"/>
          <w:sz w:val="24"/>
          <w:szCs w:val="24"/>
          <w:highlight w:val="none"/>
        </w:rPr>
        <w:t>题。未在指定时间前、未采用指定方式提出的，招标人不予受理。</w:t>
      </w:r>
    </w:p>
    <w:p w14:paraId="36B0B037">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9" w:right="16" w:firstLine="55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7.2  </w:t>
      </w:r>
      <w:r>
        <w:rPr>
          <w:rFonts w:hint="eastAsia" w:ascii="宋体" w:hAnsi="宋体" w:eastAsia="宋体" w:cs="宋体"/>
          <w:color w:val="auto"/>
          <w:spacing w:val="-1"/>
          <w:sz w:val="24"/>
          <w:szCs w:val="24"/>
          <w:highlight w:val="none"/>
        </w:rPr>
        <w:t>招标人在提问截止时间（见本章第二节“重要</w:t>
      </w:r>
      <w:r>
        <w:rPr>
          <w:rFonts w:hint="eastAsia" w:ascii="宋体" w:hAnsi="宋体" w:eastAsia="宋体" w:cs="宋体"/>
          <w:color w:val="auto"/>
          <w:spacing w:val="-2"/>
          <w:sz w:val="24"/>
          <w:szCs w:val="24"/>
          <w:highlight w:val="none"/>
        </w:rPr>
        <w:t>事项时间地点一览表</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2"/>
          <w:sz w:val="24"/>
          <w:szCs w:val="24"/>
          <w:highlight w:val="none"/>
        </w:rPr>
        <w:t>”）后</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日内，一次性对收到的所有问题作出答复，并形成答疑（或修</w:t>
      </w:r>
      <w:r>
        <w:rPr>
          <w:rFonts w:hint="eastAsia" w:ascii="宋体" w:hAnsi="宋体" w:eastAsia="宋体" w:cs="宋体"/>
          <w:color w:val="auto"/>
          <w:spacing w:val="-2"/>
          <w:sz w:val="24"/>
          <w:szCs w:val="24"/>
          <w:highlight w:val="none"/>
        </w:rPr>
        <w:t>改）公告在发布招标公</w:t>
      </w:r>
      <w:r>
        <w:rPr>
          <w:rFonts w:hint="eastAsia" w:ascii="宋体" w:hAnsi="宋体" w:eastAsia="宋体" w:cs="宋体"/>
          <w:color w:val="auto"/>
          <w:spacing w:val="-1"/>
          <w:sz w:val="24"/>
          <w:szCs w:val="24"/>
          <w:highlight w:val="none"/>
        </w:rPr>
        <w:t>告的媒介上公开发布。答疑（或修改）公告一旦发布，即视所</w:t>
      </w:r>
      <w:r>
        <w:rPr>
          <w:rFonts w:hint="eastAsia" w:ascii="宋体" w:hAnsi="宋体" w:eastAsia="宋体" w:cs="宋体"/>
          <w:color w:val="auto"/>
          <w:spacing w:val="-2"/>
          <w:sz w:val="24"/>
          <w:szCs w:val="24"/>
          <w:highlight w:val="none"/>
        </w:rPr>
        <w:t>有潜在投标人已经知悉</w:t>
      </w:r>
      <w:r>
        <w:rPr>
          <w:rFonts w:hint="eastAsia" w:ascii="宋体" w:hAnsi="宋体" w:eastAsia="宋体" w:cs="宋体"/>
          <w:color w:val="auto"/>
          <w:spacing w:val="-1"/>
          <w:sz w:val="24"/>
          <w:szCs w:val="24"/>
          <w:highlight w:val="none"/>
        </w:rPr>
        <w:t>答疑（或修改）内容，投标人未及时关注而造成的损失和后果</w:t>
      </w:r>
      <w:r>
        <w:rPr>
          <w:rFonts w:hint="eastAsia" w:ascii="宋体" w:hAnsi="宋体" w:eastAsia="宋体" w:cs="宋体"/>
          <w:color w:val="auto"/>
          <w:spacing w:val="-2"/>
          <w:sz w:val="24"/>
          <w:szCs w:val="24"/>
          <w:highlight w:val="none"/>
        </w:rPr>
        <w:t>，由投标人自行承担。</w:t>
      </w:r>
    </w:p>
    <w:p w14:paraId="3A685D82">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firstLine="478" w:firstLineChars="200"/>
        <w:jc w:val="both"/>
        <w:textAlignment w:val="baseline"/>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7.3  </w:t>
      </w:r>
      <w:r>
        <w:rPr>
          <w:rFonts w:hint="eastAsia" w:ascii="宋体" w:hAnsi="宋体" w:eastAsia="宋体" w:cs="宋体"/>
          <w:color w:val="auto"/>
          <w:spacing w:val="-1"/>
          <w:sz w:val="24"/>
          <w:szCs w:val="24"/>
          <w:highlight w:val="none"/>
        </w:rPr>
        <w:t>招标人对招标文件所作的答疑（或修改）公告，构成</w:t>
      </w:r>
      <w:r>
        <w:rPr>
          <w:rFonts w:hint="eastAsia" w:ascii="宋体" w:hAnsi="宋体" w:eastAsia="宋体" w:cs="宋体"/>
          <w:color w:val="auto"/>
          <w:spacing w:val="-2"/>
          <w:sz w:val="24"/>
          <w:szCs w:val="24"/>
          <w:highlight w:val="none"/>
        </w:rPr>
        <w:t>招标文件的组成部分。</w:t>
      </w:r>
    </w:p>
    <w:p w14:paraId="4A158916">
      <w:pPr>
        <w:spacing w:before="79" w:line="360" w:lineRule="auto"/>
        <w:ind w:left="488"/>
        <w:outlineLvl w:val="2"/>
        <w:rPr>
          <w:rFonts w:hint="eastAsia" w:ascii="宋体" w:hAnsi="宋体" w:eastAsia="宋体" w:cs="宋体"/>
          <w:b/>
          <w:bCs/>
          <w:color w:val="auto"/>
          <w:spacing w:val="-1"/>
          <w:sz w:val="24"/>
          <w:szCs w:val="24"/>
          <w:highlight w:val="none"/>
        </w:rPr>
      </w:pPr>
      <w:bookmarkStart w:id="35" w:name="_Toc12890"/>
      <w:bookmarkStart w:id="36" w:name="_Toc947"/>
      <w:r>
        <w:rPr>
          <w:rFonts w:hint="eastAsia" w:ascii="宋体" w:hAnsi="宋体" w:eastAsia="宋体" w:cs="宋体"/>
          <w:b/>
          <w:bCs/>
          <w:color w:val="auto"/>
          <w:spacing w:val="-5"/>
          <w:sz w:val="24"/>
          <w:szCs w:val="24"/>
          <w:highlight w:val="none"/>
        </w:rPr>
        <w:t>8</w:t>
      </w:r>
      <w:r>
        <w:rPr>
          <w:rFonts w:hint="eastAsia" w:ascii="宋体" w:hAnsi="宋体" w:eastAsia="宋体" w:cs="宋体"/>
          <w:b/>
          <w:bCs/>
          <w:color w:val="auto"/>
          <w:spacing w:val="-23"/>
          <w:sz w:val="24"/>
          <w:szCs w:val="24"/>
          <w:highlight w:val="none"/>
          <w:lang w:eastAsia="zh-CN"/>
        </w:rPr>
        <w:t>.</w:t>
      </w:r>
      <w:r>
        <w:rPr>
          <w:rFonts w:hint="eastAsia" w:ascii="宋体" w:hAnsi="宋体" w:eastAsia="宋体" w:cs="宋体"/>
          <w:b/>
          <w:bCs/>
          <w:color w:val="auto"/>
          <w:spacing w:val="-1"/>
          <w:sz w:val="24"/>
          <w:szCs w:val="24"/>
          <w:highlight w:val="none"/>
        </w:rPr>
        <w:t>最高投标限价</w:t>
      </w:r>
      <w:bookmarkEnd w:id="35"/>
      <w:bookmarkEnd w:id="36"/>
    </w:p>
    <w:p w14:paraId="7D8411BA">
      <w:pPr>
        <w:spacing w:before="155" w:line="360" w:lineRule="auto"/>
        <w:ind w:left="488"/>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8.1  </w:t>
      </w:r>
      <w:r>
        <w:rPr>
          <w:rFonts w:hint="eastAsia" w:ascii="宋体" w:hAnsi="宋体" w:eastAsia="宋体" w:cs="宋体"/>
          <w:color w:val="auto"/>
          <w:spacing w:val="-1"/>
          <w:sz w:val="24"/>
          <w:szCs w:val="24"/>
          <w:highlight w:val="none"/>
        </w:rPr>
        <w:t>本招标项目按照以下依据编制</w:t>
      </w:r>
      <w:r>
        <w:rPr>
          <w:rFonts w:hint="eastAsia" w:ascii="宋体" w:hAnsi="宋体" w:eastAsia="宋体" w:cs="宋体"/>
          <w:b/>
          <w:bCs/>
          <w:color w:val="auto"/>
          <w:spacing w:val="-1"/>
          <w:sz w:val="24"/>
          <w:szCs w:val="24"/>
          <w:highlight w:val="none"/>
          <w:lang w:eastAsia="zh-CN"/>
        </w:rPr>
        <w:t>最高投标限</w:t>
      </w:r>
      <w:r>
        <w:rPr>
          <w:rFonts w:hint="eastAsia" w:ascii="宋体" w:hAnsi="宋体" w:eastAsia="宋体" w:cs="宋体"/>
          <w:b/>
          <w:bCs/>
          <w:color w:val="auto"/>
          <w:spacing w:val="-1"/>
          <w:sz w:val="24"/>
          <w:szCs w:val="24"/>
          <w:highlight w:val="none"/>
        </w:rPr>
        <w:t>价</w:t>
      </w:r>
      <w:r>
        <w:rPr>
          <w:rFonts w:hint="eastAsia" w:ascii="宋体" w:hAnsi="宋体" w:eastAsia="宋体" w:cs="宋体"/>
          <w:color w:val="auto"/>
          <w:spacing w:val="-1"/>
          <w:sz w:val="24"/>
          <w:szCs w:val="24"/>
          <w:highlight w:val="none"/>
        </w:rPr>
        <w:t>：</w:t>
      </w:r>
    </w:p>
    <w:p w14:paraId="7771E585">
      <w:pPr>
        <w:spacing w:before="157" w:line="36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（1）《建设工程工程量清单计价规范》（GB50500—2013）；</w:t>
      </w:r>
    </w:p>
    <w:p w14:paraId="37010A3E">
      <w:pPr>
        <w:spacing w:before="153" w:line="360" w:lineRule="auto"/>
        <w:ind w:left="9" w:right="16"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（2）《广东省建设工程计价依据（2018）》。具体</w:t>
      </w:r>
      <w:r>
        <w:rPr>
          <w:rFonts w:hint="eastAsia" w:ascii="宋体" w:hAnsi="宋体" w:eastAsia="宋体" w:cs="宋体"/>
          <w:color w:val="auto"/>
          <w:spacing w:val="1"/>
          <w:sz w:val="24"/>
          <w:szCs w:val="24"/>
          <w:highlight w:val="none"/>
        </w:rPr>
        <w:t>包括：《广东省房屋建筑与</w:t>
      </w:r>
      <w:r>
        <w:rPr>
          <w:rFonts w:hint="eastAsia" w:ascii="宋体" w:hAnsi="宋体" w:eastAsia="宋体" w:cs="宋体"/>
          <w:color w:val="auto"/>
          <w:spacing w:val="-1"/>
          <w:sz w:val="24"/>
          <w:szCs w:val="24"/>
          <w:highlight w:val="none"/>
        </w:rPr>
        <w:t>装饰工程综合定额（2018）》《广东省市政工程综合定额（2018）》《</w:t>
      </w:r>
      <w:r>
        <w:rPr>
          <w:rFonts w:hint="eastAsia" w:ascii="宋体" w:hAnsi="宋体" w:eastAsia="宋体" w:cs="宋体"/>
          <w:color w:val="auto"/>
          <w:spacing w:val="-2"/>
          <w:sz w:val="24"/>
          <w:szCs w:val="24"/>
          <w:highlight w:val="none"/>
        </w:rPr>
        <w:t>广东省通用安</w:t>
      </w:r>
      <w:r>
        <w:rPr>
          <w:rFonts w:hint="eastAsia" w:ascii="宋体" w:hAnsi="宋体" w:eastAsia="宋体" w:cs="宋体"/>
          <w:color w:val="auto"/>
          <w:spacing w:val="-1"/>
          <w:sz w:val="24"/>
          <w:szCs w:val="24"/>
          <w:highlight w:val="none"/>
        </w:rPr>
        <w:t>装工程综合定额（2018）》《广东省园林绿化工程综合定额（2018）》</w:t>
      </w:r>
      <w:r>
        <w:rPr>
          <w:rFonts w:hint="eastAsia" w:ascii="宋体" w:hAnsi="宋体" w:eastAsia="宋体" w:cs="宋体"/>
          <w:color w:val="auto"/>
          <w:spacing w:val="-2"/>
          <w:sz w:val="24"/>
          <w:szCs w:val="24"/>
          <w:highlight w:val="none"/>
        </w:rPr>
        <w:t>《广东省建设</w:t>
      </w:r>
      <w:r>
        <w:rPr>
          <w:rFonts w:hint="eastAsia" w:ascii="宋体" w:hAnsi="宋体" w:eastAsia="宋体" w:cs="宋体"/>
          <w:color w:val="auto"/>
          <w:spacing w:val="-1"/>
          <w:sz w:val="24"/>
          <w:szCs w:val="24"/>
          <w:highlight w:val="none"/>
        </w:rPr>
        <w:t>工程施工机具台班费用编制规则（2018）》等；</w:t>
      </w:r>
    </w:p>
    <w:p w14:paraId="3143AC53">
      <w:pPr>
        <w:spacing w:before="154" w:line="360" w:lineRule="auto"/>
        <w:ind w:left="50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（3）施工图及相关资料；</w:t>
      </w:r>
    </w:p>
    <w:p w14:paraId="26942C9D">
      <w:pPr>
        <w:spacing w:before="78" w:line="360" w:lineRule="auto"/>
        <w:ind w:left="502"/>
        <w:rPr>
          <w:rFonts w:hint="eastAsia" w:ascii="宋体" w:hAnsi="宋体" w:eastAsia="宋体" w:cs="宋体"/>
          <w:color w:val="auto"/>
          <w:sz w:val="24"/>
          <w:szCs w:val="24"/>
          <w:highlight w:val="none"/>
        </w:rPr>
      </w:pPr>
      <w:bookmarkStart w:id="37" w:name="bookmark119"/>
      <w:bookmarkEnd w:id="37"/>
      <w:r>
        <w:rPr>
          <w:rFonts w:hint="eastAsia" w:ascii="宋体" w:hAnsi="宋体" w:eastAsia="宋体" w:cs="宋体"/>
          <w:color w:val="auto"/>
          <w:spacing w:val="-2"/>
          <w:sz w:val="24"/>
          <w:szCs w:val="24"/>
          <w:highlight w:val="none"/>
        </w:rPr>
        <w:t>（4）招标文件及招标工程量清单；</w:t>
      </w:r>
    </w:p>
    <w:p w14:paraId="4C7E7F6F">
      <w:pPr>
        <w:spacing w:before="155" w:line="360" w:lineRule="auto"/>
        <w:ind w:left="50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（5）施工现场情况、工程特点及常规施工方案；</w:t>
      </w:r>
    </w:p>
    <w:p w14:paraId="4D821E47">
      <w:pPr>
        <w:spacing w:before="153" w:line="360" w:lineRule="auto"/>
        <w:ind w:left="12" w:right="136" w:firstLine="489"/>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（6）项目所在地工程造价管理机构发布的工程造价信息，工程造</w:t>
      </w:r>
      <w:r>
        <w:rPr>
          <w:rFonts w:hint="eastAsia" w:ascii="宋体" w:hAnsi="宋体" w:eastAsia="宋体" w:cs="宋体"/>
          <w:color w:val="auto"/>
          <w:spacing w:val="-4"/>
          <w:sz w:val="24"/>
          <w:szCs w:val="24"/>
          <w:highlight w:val="none"/>
        </w:rPr>
        <w:t>价信息缺项的，</w:t>
      </w:r>
      <w:r>
        <w:rPr>
          <w:rFonts w:hint="eastAsia" w:ascii="宋体" w:hAnsi="宋体" w:eastAsia="宋体" w:cs="宋体"/>
          <w:color w:val="auto"/>
          <w:spacing w:val="-2"/>
          <w:sz w:val="24"/>
          <w:szCs w:val="24"/>
          <w:highlight w:val="none"/>
        </w:rPr>
        <w:t>参照市场价格；</w:t>
      </w:r>
    </w:p>
    <w:p w14:paraId="08839E0D">
      <w:pPr>
        <w:spacing w:before="157" w:line="360" w:lineRule="auto"/>
        <w:ind w:left="50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（7）与建设项目相关的标准、规范、技术资料。</w:t>
      </w:r>
    </w:p>
    <w:p w14:paraId="5E405D0D">
      <w:pPr>
        <w:spacing w:before="79" w:line="360" w:lineRule="auto"/>
        <w:ind w:left="11" w:firstLine="479"/>
        <w:jc w:val="both"/>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rPr>
        <w:t>8.2</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lang w:eastAsia="zh-CN"/>
        </w:rPr>
        <w:t>根据韶关市发展和改革局关于印发《关于韶关市“百县干镇万村高质量发展工程”项目规范化便利化实施的指导意见(试行)》的通知(韶发改投资(2024)8号)，本招标项目招标控制价、工程量清单在开标前7天另行发布于全国公共资源交易平台（广东省·韶关市）（https://ygp.gdzwfw.gov..cn/ggzy-portal/#/440200/index）、广东省招标投标监管网（https://www.gdzwfw.gov.cn/ztbjg-portal/#/index）网站。</w:t>
      </w:r>
    </w:p>
    <w:p w14:paraId="29778293">
      <w:pPr>
        <w:keepNext w:val="0"/>
        <w:keepLines w:val="0"/>
        <w:pageBreakBefore w:val="0"/>
        <w:widowControl w:val="0"/>
        <w:kinsoku w:val="0"/>
        <w:wordWrap/>
        <w:overflowPunct/>
        <w:topLinePunct w:val="0"/>
        <w:autoSpaceDE w:val="0"/>
        <w:autoSpaceDN w:val="0"/>
        <w:bidi w:val="0"/>
        <w:adjustRightInd w:val="0"/>
        <w:snapToGrid w:val="0"/>
        <w:spacing w:before="79" w:line="360" w:lineRule="auto"/>
        <w:ind w:left="11" w:firstLine="479"/>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3</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暂估价指招标工程量清单中提供的用于支付必然发生但暂时不能确定价格的</w:t>
      </w:r>
      <w:r>
        <w:rPr>
          <w:rFonts w:hint="eastAsia" w:ascii="宋体" w:hAnsi="宋体" w:eastAsia="宋体" w:cs="宋体"/>
          <w:color w:val="auto"/>
          <w:spacing w:val="-1"/>
          <w:sz w:val="24"/>
          <w:szCs w:val="24"/>
          <w:highlight w:val="none"/>
        </w:rPr>
        <w:t>材料、工程设备的单价以及专业工程的金额；暂列金额指招标</w:t>
      </w:r>
      <w:r>
        <w:rPr>
          <w:rFonts w:hint="eastAsia" w:ascii="宋体" w:hAnsi="宋体" w:eastAsia="宋体" w:cs="宋体"/>
          <w:color w:val="auto"/>
          <w:spacing w:val="-2"/>
          <w:sz w:val="24"/>
          <w:szCs w:val="24"/>
          <w:highlight w:val="none"/>
        </w:rPr>
        <w:t>工程量清单中暂定并包括在合同价款中的一笔款项，用于工程合同签订时尚未确定或</w:t>
      </w:r>
      <w:r>
        <w:rPr>
          <w:rFonts w:hint="eastAsia" w:ascii="宋体" w:hAnsi="宋体" w:eastAsia="宋体" w:cs="宋体"/>
          <w:color w:val="auto"/>
          <w:spacing w:val="-3"/>
          <w:sz w:val="24"/>
          <w:szCs w:val="24"/>
          <w:highlight w:val="none"/>
        </w:rPr>
        <w:t>者不可预见的所需材料、</w:t>
      </w:r>
      <w:r>
        <w:rPr>
          <w:rFonts w:hint="eastAsia" w:ascii="宋体" w:hAnsi="宋体" w:eastAsia="宋体" w:cs="宋体"/>
          <w:color w:val="auto"/>
          <w:spacing w:val="-1"/>
          <w:sz w:val="24"/>
          <w:szCs w:val="24"/>
          <w:highlight w:val="none"/>
        </w:rPr>
        <w:t>工程设备、服务的采购，施工中可能发生的工程变更、合同约</w:t>
      </w:r>
      <w:r>
        <w:rPr>
          <w:rFonts w:hint="eastAsia" w:ascii="宋体" w:hAnsi="宋体" w:eastAsia="宋体" w:cs="宋体"/>
          <w:color w:val="auto"/>
          <w:spacing w:val="-2"/>
          <w:sz w:val="24"/>
          <w:szCs w:val="24"/>
          <w:highlight w:val="none"/>
        </w:rPr>
        <w:t>定调整因素出现时的合</w:t>
      </w:r>
      <w:r>
        <w:rPr>
          <w:rFonts w:hint="eastAsia" w:ascii="宋体" w:hAnsi="宋体" w:eastAsia="宋体" w:cs="宋体"/>
          <w:color w:val="auto"/>
          <w:spacing w:val="-1"/>
          <w:sz w:val="24"/>
          <w:szCs w:val="24"/>
          <w:highlight w:val="none"/>
        </w:rPr>
        <w:t>同价款调整以及发生的索赔、现场签证确认等的费用。</w:t>
      </w:r>
    </w:p>
    <w:p w14:paraId="169F5C58">
      <w:pPr>
        <w:keepNext w:val="0"/>
        <w:keepLines w:val="0"/>
        <w:pageBreakBefore w:val="0"/>
        <w:widowControl w:val="0"/>
        <w:kinsoku w:val="0"/>
        <w:wordWrap/>
        <w:overflowPunct/>
        <w:topLinePunct w:val="0"/>
        <w:autoSpaceDE w:val="0"/>
        <w:autoSpaceDN w:val="0"/>
        <w:bidi w:val="0"/>
        <w:adjustRightInd w:val="0"/>
        <w:snapToGrid w:val="0"/>
        <w:spacing w:before="36" w:line="360" w:lineRule="auto"/>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4</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本招标项目以暂估价形式列入招标工程量清单中的材料、工程设备、专业工</w:t>
      </w:r>
      <w:r>
        <w:rPr>
          <w:rFonts w:hint="eastAsia" w:ascii="宋体" w:hAnsi="宋体" w:eastAsia="宋体" w:cs="宋体"/>
          <w:color w:val="auto"/>
          <w:spacing w:val="-2"/>
          <w:sz w:val="24"/>
          <w:szCs w:val="24"/>
          <w:highlight w:val="none"/>
        </w:rPr>
        <w:t>程（以下统称“暂估价项目</w:t>
      </w:r>
      <w:r>
        <w:rPr>
          <w:rFonts w:hint="eastAsia" w:ascii="宋体" w:hAnsi="宋体" w:eastAsia="宋体" w:cs="宋体"/>
          <w:color w:val="auto"/>
          <w:spacing w:val="-80"/>
          <w:sz w:val="24"/>
          <w:szCs w:val="24"/>
          <w:highlight w:val="none"/>
        </w:rPr>
        <w:t xml:space="preserve"> </w:t>
      </w:r>
      <w:r>
        <w:rPr>
          <w:rFonts w:hint="eastAsia" w:ascii="宋体" w:hAnsi="宋体" w:eastAsia="宋体" w:cs="宋体"/>
          <w:color w:val="auto"/>
          <w:spacing w:val="-2"/>
          <w:sz w:val="24"/>
          <w:szCs w:val="24"/>
          <w:highlight w:val="none"/>
        </w:rPr>
        <w:t>”）包括：</w:t>
      </w:r>
      <w:r>
        <w:rPr>
          <w:rFonts w:hint="eastAsia" w:ascii="宋体" w:hAnsi="宋体" w:eastAsia="宋体" w:cs="宋体"/>
          <w:color w:val="auto"/>
          <w:sz w:val="24"/>
          <w:szCs w:val="24"/>
          <w:highlight w:val="none"/>
          <w:u w:val="single"/>
        </w:rPr>
        <w:t>为招标人在工程量清单中提供的用于支付必然发生但暂时不能确定价格的材料、工程设备的单价以及专业工程的金额。投标人必须按招标工程量清单中列出的单价、金额统一报价，其结算原则按本招标文件相关条款执行。</w:t>
      </w:r>
    </w:p>
    <w:p w14:paraId="1D1A87E1">
      <w:pPr>
        <w:keepNext w:val="0"/>
        <w:keepLines w:val="0"/>
        <w:pageBreakBefore w:val="0"/>
        <w:widowControl w:val="0"/>
        <w:kinsoku w:val="0"/>
        <w:wordWrap/>
        <w:overflowPunct/>
        <w:topLinePunct w:val="0"/>
        <w:autoSpaceDE w:val="0"/>
        <w:autoSpaceDN w:val="0"/>
        <w:bidi w:val="0"/>
        <w:adjustRightInd w:val="0"/>
        <w:snapToGrid w:val="0"/>
        <w:spacing w:before="36" w:line="360" w:lineRule="auto"/>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eastAsia="zh-CN"/>
        </w:rPr>
        <w:t>5</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当暂估价项目的内容、标准、要求在项目实施过程中得以深化、明确、固定后，按以下原则发包：</w:t>
      </w:r>
    </w:p>
    <w:p w14:paraId="33109C8D">
      <w:pPr>
        <w:keepNext w:val="0"/>
        <w:keepLines w:val="0"/>
        <w:pageBreakBefore w:val="0"/>
        <w:widowControl w:val="0"/>
        <w:kinsoku w:val="0"/>
        <w:wordWrap/>
        <w:overflowPunct/>
        <w:topLinePunct w:val="0"/>
        <w:autoSpaceDE w:val="0"/>
        <w:autoSpaceDN w:val="0"/>
        <w:bidi w:val="0"/>
        <w:adjustRightInd w:val="0"/>
        <w:snapToGrid w:val="0"/>
        <w:spacing w:before="36" w:line="360" w:lineRule="auto"/>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（1）暂估价项目按工程、货物（指材料或工程设备，下同）的类别分类汇总的金额，达到必须招标规模标准的，由中标人招标，招标人参与管理，确定专业工程承包人（或材料、工程 设备供应商）和合同价格。</w:t>
      </w:r>
    </w:p>
    <w:p w14:paraId="64DAAE36">
      <w:pPr>
        <w:keepNext w:val="0"/>
        <w:keepLines w:val="0"/>
        <w:pageBreakBefore w:val="0"/>
        <w:widowControl w:val="0"/>
        <w:kinsoku w:val="0"/>
        <w:wordWrap/>
        <w:overflowPunct/>
        <w:topLinePunct w:val="0"/>
        <w:autoSpaceDE w:val="0"/>
        <w:autoSpaceDN w:val="0"/>
        <w:bidi w:val="0"/>
        <w:adjustRightInd w:val="0"/>
        <w:snapToGrid w:val="0"/>
        <w:spacing w:before="36" w:line="360" w:lineRule="auto"/>
        <w:ind w:left="10" w:right="200" w:firstLine="480"/>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（2）暂估价项目按工程、货物的类别分类汇总的金额，未达到必须招标规模标准但适用政府采购规定的，按照政府采购规定确定专业工程承包人（或材料、工程设备供应商）和合同价格。</w:t>
      </w:r>
    </w:p>
    <w:p w14:paraId="76EC6FD1">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11" w:right="65"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准也不适用政府采购规定，中标人具备相应资格条件的，</w:t>
      </w:r>
      <w:r>
        <w:rPr>
          <w:rFonts w:hint="eastAsia" w:ascii="宋体" w:hAnsi="宋体" w:eastAsia="宋体" w:cs="宋体"/>
          <w:color w:val="auto"/>
          <w:spacing w:val="-2"/>
          <w:sz w:val="24"/>
          <w:szCs w:val="24"/>
          <w:highlight w:val="none"/>
        </w:rPr>
        <w:t>由中标人承包；中标人不具</w:t>
      </w:r>
      <w:r>
        <w:rPr>
          <w:rFonts w:hint="eastAsia" w:ascii="宋体" w:hAnsi="宋体" w:eastAsia="宋体" w:cs="宋体"/>
          <w:color w:val="auto"/>
          <w:spacing w:val="-1"/>
          <w:sz w:val="24"/>
          <w:szCs w:val="24"/>
          <w:highlight w:val="none"/>
        </w:rPr>
        <w:t>备相应资格条件但具备分包权的，由中标人分包，招标人</w:t>
      </w:r>
      <w:r>
        <w:rPr>
          <w:rFonts w:hint="eastAsia" w:ascii="宋体" w:hAnsi="宋体" w:eastAsia="宋体" w:cs="宋体"/>
          <w:color w:val="auto"/>
          <w:spacing w:val="-2"/>
          <w:sz w:val="24"/>
          <w:szCs w:val="24"/>
          <w:highlight w:val="none"/>
        </w:rPr>
        <w:t>同中标人结算原则按本招标文件相关条款执行。</w:t>
      </w:r>
    </w:p>
    <w:p w14:paraId="5C652789">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11" w:right="65"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（4）暂估价项目按工程、货物的类别分类汇总的金额，未</w:t>
      </w:r>
      <w:r>
        <w:rPr>
          <w:rFonts w:hint="eastAsia" w:ascii="宋体" w:hAnsi="宋体" w:eastAsia="宋体" w:cs="宋体"/>
          <w:color w:val="auto"/>
          <w:spacing w:val="1"/>
          <w:sz w:val="24"/>
          <w:szCs w:val="24"/>
          <w:highlight w:val="none"/>
        </w:rPr>
        <w:t>达到必须招标规模标</w:t>
      </w:r>
      <w:r>
        <w:rPr>
          <w:rFonts w:hint="eastAsia" w:ascii="宋体" w:hAnsi="宋体" w:eastAsia="宋体" w:cs="宋体"/>
          <w:color w:val="auto"/>
          <w:spacing w:val="-1"/>
          <w:sz w:val="24"/>
          <w:szCs w:val="24"/>
          <w:highlight w:val="none"/>
        </w:rPr>
        <w:t>准也不适用政府采购规定，中标人既不具备相应资格条件</w:t>
      </w:r>
      <w:r>
        <w:rPr>
          <w:rFonts w:hint="eastAsia" w:ascii="宋体" w:hAnsi="宋体" w:eastAsia="宋体" w:cs="宋体"/>
          <w:color w:val="auto"/>
          <w:spacing w:val="-2"/>
          <w:sz w:val="24"/>
          <w:szCs w:val="24"/>
          <w:highlight w:val="none"/>
        </w:rPr>
        <w:t>又不具备分包权的，由招标人另行发包。</w:t>
      </w:r>
    </w:p>
    <w:p w14:paraId="33A9C25D">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9" w:right="66" w:firstLine="49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（5）暂估价项目由其他承包人承包的，纳入中标人的管理</w:t>
      </w:r>
      <w:r>
        <w:rPr>
          <w:rFonts w:hint="eastAsia" w:ascii="宋体" w:hAnsi="宋体" w:eastAsia="宋体" w:cs="宋体"/>
          <w:color w:val="auto"/>
          <w:spacing w:val="1"/>
          <w:sz w:val="24"/>
          <w:szCs w:val="24"/>
          <w:highlight w:val="none"/>
        </w:rPr>
        <w:t>和协调范围，由其他</w:t>
      </w:r>
      <w:r>
        <w:rPr>
          <w:rFonts w:hint="eastAsia" w:ascii="宋体" w:hAnsi="宋体" w:eastAsia="宋体" w:cs="宋体"/>
          <w:color w:val="auto"/>
          <w:spacing w:val="-1"/>
          <w:sz w:val="24"/>
          <w:szCs w:val="24"/>
          <w:highlight w:val="none"/>
        </w:rPr>
        <w:t>承包人向中标人承担质量、安全、文明施工、工期责任，中标</w:t>
      </w:r>
      <w:r>
        <w:rPr>
          <w:rFonts w:hint="eastAsia" w:ascii="宋体" w:hAnsi="宋体" w:eastAsia="宋体" w:cs="宋体"/>
          <w:color w:val="auto"/>
          <w:spacing w:val="-2"/>
          <w:sz w:val="24"/>
          <w:szCs w:val="24"/>
          <w:highlight w:val="none"/>
        </w:rPr>
        <w:t>人向招标人承担责任。</w:t>
      </w:r>
    </w:p>
    <w:p w14:paraId="2166C88B">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10" w:right="65" w:firstLine="478"/>
        <w:jc w:val="both"/>
        <w:textAlignment w:val="baseline"/>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8</w:t>
      </w:r>
      <w:r>
        <w:rPr>
          <w:rFonts w:hint="eastAsia" w:ascii="宋体" w:hAnsi="宋体" w:eastAsia="宋体" w:cs="宋体"/>
          <w:b/>
          <w:bCs/>
          <w:color w:val="auto"/>
          <w:sz w:val="24"/>
          <w:szCs w:val="24"/>
          <w:highlight w:val="none"/>
          <w:lang w:val="en-US" w:eastAsia="zh-CN"/>
        </w:rPr>
        <w:t>.6</w:t>
      </w:r>
      <w:r>
        <w:rPr>
          <w:rFonts w:hint="eastAsia" w:ascii="宋体" w:hAnsi="宋体" w:eastAsia="宋体" w:cs="宋体"/>
          <w:b/>
          <w:bCs/>
          <w:color w:val="auto"/>
          <w:sz w:val="24"/>
          <w:szCs w:val="24"/>
          <w:highlight w:val="none"/>
        </w:rPr>
        <w:t xml:space="preserve"> </w:t>
      </w:r>
      <w:r>
        <w:rPr>
          <w:rFonts w:hint="eastAsia" w:ascii="宋体" w:hAnsi="宋体" w:eastAsia="宋体" w:cs="宋体"/>
          <w:color w:val="auto"/>
          <w:sz w:val="24"/>
          <w:szCs w:val="24"/>
          <w:highlight w:val="none"/>
        </w:rPr>
        <w:t>本招标项目以暂列金额形式列入招标工程量清单中的所需货物和服务的采购</w:t>
      </w:r>
      <w:r>
        <w:rPr>
          <w:rFonts w:hint="eastAsia" w:ascii="宋体" w:hAnsi="宋体" w:eastAsia="宋体" w:cs="宋体"/>
          <w:color w:val="auto"/>
          <w:spacing w:val="-1"/>
          <w:sz w:val="24"/>
          <w:szCs w:val="24"/>
          <w:highlight w:val="none"/>
        </w:rPr>
        <w:t>（以下统称“暂列金额项目</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”）若有发生，按照本节第</w:t>
      </w:r>
      <w:r>
        <w:rPr>
          <w:rFonts w:hint="eastAsia" w:ascii="宋体" w:hAnsi="宋体" w:eastAsia="宋体" w:cs="宋体"/>
          <w:color w:val="auto"/>
          <w:spacing w:val="-52"/>
          <w:sz w:val="24"/>
          <w:szCs w:val="24"/>
          <w:highlight w:val="none"/>
        </w:rPr>
        <w:t xml:space="preserve"> </w:t>
      </w:r>
      <w:r>
        <w:rPr>
          <w:rFonts w:hint="eastAsia" w:ascii="宋体" w:hAnsi="宋体" w:eastAsia="宋体" w:cs="宋体"/>
          <w:b/>
          <w:bCs/>
          <w:color w:val="auto"/>
          <w:spacing w:val="-1"/>
          <w:sz w:val="24"/>
          <w:szCs w:val="24"/>
          <w:highlight w:val="none"/>
        </w:rPr>
        <w:t xml:space="preserve">8.5 </w:t>
      </w:r>
      <w:r>
        <w:rPr>
          <w:rFonts w:hint="eastAsia" w:ascii="宋体" w:hAnsi="宋体" w:eastAsia="宋体" w:cs="宋体"/>
          <w:color w:val="auto"/>
          <w:spacing w:val="-1"/>
          <w:sz w:val="24"/>
          <w:szCs w:val="24"/>
          <w:highlight w:val="none"/>
        </w:rPr>
        <w:t>条的规定确定货物（或服务）供应商和合同价格。暂列金额项目由其他承包人承包的</w:t>
      </w:r>
      <w:r>
        <w:rPr>
          <w:rFonts w:hint="eastAsia" w:ascii="宋体" w:hAnsi="宋体" w:eastAsia="宋体" w:cs="宋体"/>
          <w:color w:val="auto"/>
          <w:spacing w:val="-2"/>
          <w:sz w:val="24"/>
          <w:szCs w:val="24"/>
          <w:highlight w:val="none"/>
        </w:rPr>
        <w:t>，纳入中标人的管理和协</w:t>
      </w:r>
      <w:r>
        <w:rPr>
          <w:rFonts w:hint="eastAsia" w:ascii="宋体" w:hAnsi="宋体" w:eastAsia="宋体" w:cs="宋体"/>
          <w:color w:val="auto"/>
          <w:spacing w:val="-1"/>
          <w:sz w:val="24"/>
          <w:szCs w:val="24"/>
          <w:highlight w:val="none"/>
        </w:rPr>
        <w:t>调范围</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由其他承包人向中标人承担质量、安全、文明</w:t>
      </w:r>
      <w:r>
        <w:rPr>
          <w:rFonts w:hint="eastAsia" w:ascii="宋体" w:hAnsi="宋体" w:eastAsia="宋体" w:cs="宋体"/>
          <w:color w:val="auto"/>
          <w:spacing w:val="-2"/>
          <w:sz w:val="24"/>
          <w:szCs w:val="24"/>
          <w:highlight w:val="none"/>
        </w:rPr>
        <w:t>施工、工期责任，中标人向招标人承担责任。</w:t>
      </w:r>
    </w:p>
    <w:p w14:paraId="28912A05">
      <w:pPr>
        <w:spacing w:before="79" w:line="360" w:lineRule="auto"/>
        <w:ind w:left="487"/>
        <w:outlineLvl w:val="2"/>
        <w:rPr>
          <w:rFonts w:hint="eastAsia" w:ascii="宋体" w:hAnsi="宋体" w:eastAsia="宋体" w:cs="宋体"/>
          <w:color w:val="auto"/>
          <w:sz w:val="24"/>
          <w:szCs w:val="24"/>
          <w:highlight w:val="none"/>
        </w:rPr>
      </w:pPr>
      <w:bookmarkStart w:id="38" w:name="_Toc25884"/>
      <w:bookmarkStart w:id="39" w:name="_Toc19930"/>
      <w:r>
        <w:rPr>
          <w:rFonts w:hint="eastAsia" w:ascii="宋体" w:hAnsi="宋体" w:eastAsia="宋体" w:cs="宋体"/>
          <w:b/>
          <w:bCs/>
          <w:color w:val="auto"/>
          <w:spacing w:val="-8"/>
          <w:sz w:val="24"/>
          <w:szCs w:val="24"/>
          <w:highlight w:val="none"/>
        </w:rPr>
        <w:t>9</w:t>
      </w:r>
      <w:r>
        <w:rPr>
          <w:rFonts w:hint="eastAsia" w:ascii="宋体" w:hAnsi="宋体" w:eastAsia="宋体" w:cs="宋体"/>
          <w:b/>
          <w:bCs/>
          <w:color w:val="auto"/>
          <w:spacing w:val="-29"/>
          <w:sz w:val="24"/>
          <w:szCs w:val="24"/>
          <w:highlight w:val="none"/>
          <w:lang w:eastAsia="zh-CN"/>
        </w:rPr>
        <w:t>.</w:t>
      </w:r>
      <w:r>
        <w:rPr>
          <w:rFonts w:hint="eastAsia" w:ascii="宋体" w:hAnsi="宋体" w:eastAsia="宋体" w:cs="宋体"/>
          <w:b/>
          <w:bCs/>
          <w:color w:val="auto"/>
          <w:spacing w:val="-8"/>
          <w:sz w:val="24"/>
          <w:szCs w:val="24"/>
          <w:highlight w:val="none"/>
        </w:rPr>
        <w:t>投标报价</w:t>
      </w:r>
      <w:bookmarkEnd w:id="38"/>
      <w:bookmarkEnd w:id="39"/>
    </w:p>
    <w:p w14:paraId="36361E61">
      <w:pPr>
        <w:keepNext w:val="0"/>
        <w:keepLines w:val="0"/>
        <w:pageBreakBefore w:val="0"/>
        <w:widowControl w:val="0"/>
        <w:kinsoku w:val="0"/>
        <w:wordWrap/>
        <w:overflowPunct/>
        <w:topLinePunct w:val="0"/>
        <w:autoSpaceDE w:val="0"/>
        <w:autoSpaceDN w:val="0"/>
        <w:bidi w:val="0"/>
        <w:adjustRightInd w:val="0"/>
        <w:snapToGrid w:val="0"/>
        <w:spacing w:before="157" w:line="360" w:lineRule="auto"/>
        <w:ind w:left="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9.1  </w:t>
      </w:r>
      <w:r>
        <w:rPr>
          <w:rFonts w:hint="eastAsia" w:ascii="宋体" w:hAnsi="宋体" w:eastAsia="宋体" w:cs="宋体"/>
          <w:color w:val="auto"/>
          <w:spacing w:val="-1"/>
          <w:sz w:val="24"/>
          <w:szCs w:val="24"/>
          <w:highlight w:val="none"/>
        </w:rPr>
        <w:t>投标人应按照以下依据编制投标报价：</w:t>
      </w:r>
    </w:p>
    <w:p w14:paraId="4F06C9F5">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（1）《建设工程工程量清单计价规范》（GB50500—2013</w:t>
      </w:r>
      <w:r>
        <w:rPr>
          <w:rFonts w:hint="eastAsia" w:ascii="宋体" w:hAnsi="宋体" w:eastAsia="宋体" w:cs="宋体"/>
          <w:color w:val="auto"/>
          <w:spacing w:val="4"/>
          <w:sz w:val="24"/>
          <w:szCs w:val="24"/>
          <w:highlight w:val="none"/>
        </w:rPr>
        <w:t>）；</w:t>
      </w:r>
    </w:p>
    <w:p w14:paraId="6C7C7907">
      <w:pPr>
        <w:keepNext w:val="0"/>
        <w:keepLines w:val="0"/>
        <w:pageBreakBefore w:val="0"/>
        <w:widowControl w:val="0"/>
        <w:kinsoku w:val="0"/>
        <w:wordWrap/>
        <w:overflowPunct/>
        <w:topLinePunct w:val="0"/>
        <w:autoSpaceDE w:val="0"/>
        <w:autoSpaceDN w:val="0"/>
        <w:bidi w:val="0"/>
        <w:adjustRightInd w:val="0"/>
        <w:snapToGrid w:val="0"/>
        <w:spacing w:before="153" w:line="360" w:lineRule="auto"/>
        <w:ind w:left="9" w:right="65" w:firstLine="49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（2）《广东省建设工程计价依据（2018）》。具体</w:t>
      </w:r>
      <w:r>
        <w:rPr>
          <w:rFonts w:hint="eastAsia" w:ascii="宋体" w:hAnsi="宋体" w:eastAsia="宋体" w:cs="宋体"/>
          <w:color w:val="auto"/>
          <w:spacing w:val="1"/>
          <w:sz w:val="24"/>
          <w:szCs w:val="24"/>
          <w:highlight w:val="none"/>
        </w:rPr>
        <w:t>包括：《广东省房屋建筑与</w:t>
      </w:r>
      <w:r>
        <w:rPr>
          <w:rFonts w:hint="eastAsia" w:ascii="宋体" w:hAnsi="宋体" w:eastAsia="宋体" w:cs="宋体"/>
          <w:color w:val="auto"/>
          <w:spacing w:val="-1"/>
          <w:sz w:val="24"/>
          <w:szCs w:val="24"/>
          <w:highlight w:val="none"/>
        </w:rPr>
        <w:t>装饰工程综合定额（2018）》《广东省市政工程综合定额（2018）》《</w:t>
      </w:r>
      <w:r>
        <w:rPr>
          <w:rFonts w:hint="eastAsia" w:ascii="宋体" w:hAnsi="宋体" w:eastAsia="宋体" w:cs="宋体"/>
          <w:color w:val="auto"/>
          <w:spacing w:val="-2"/>
          <w:sz w:val="24"/>
          <w:szCs w:val="24"/>
          <w:highlight w:val="none"/>
        </w:rPr>
        <w:t>广东省通用安</w:t>
      </w:r>
      <w:r>
        <w:rPr>
          <w:rFonts w:hint="eastAsia" w:ascii="宋体" w:hAnsi="宋体" w:eastAsia="宋体" w:cs="宋体"/>
          <w:color w:val="auto"/>
          <w:spacing w:val="-1"/>
          <w:sz w:val="24"/>
          <w:szCs w:val="24"/>
          <w:highlight w:val="none"/>
        </w:rPr>
        <w:t>装工程综合定额（2018）》《广东省园林绿化工程综合定额（2018）》</w:t>
      </w:r>
      <w:r>
        <w:rPr>
          <w:rFonts w:hint="eastAsia" w:ascii="宋体" w:hAnsi="宋体" w:eastAsia="宋体" w:cs="宋体"/>
          <w:color w:val="auto"/>
          <w:spacing w:val="-2"/>
          <w:sz w:val="24"/>
          <w:szCs w:val="24"/>
          <w:highlight w:val="none"/>
        </w:rPr>
        <w:t>《广东省建设</w:t>
      </w:r>
      <w:r>
        <w:rPr>
          <w:rFonts w:hint="eastAsia" w:ascii="宋体" w:hAnsi="宋体" w:eastAsia="宋体" w:cs="宋体"/>
          <w:color w:val="auto"/>
          <w:spacing w:val="-1"/>
          <w:sz w:val="24"/>
          <w:szCs w:val="24"/>
          <w:highlight w:val="none"/>
        </w:rPr>
        <w:t>工程施工机具台班费用编制规则（2018）》等；</w:t>
      </w:r>
    </w:p>
    <w:p w14:paraId="6DA419D1">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501"/>
        <w:textAlignment w:val="baseline"/>
        <w:rPr>
          <w:rFonts w:hint="eastAsia" w:ascii="宋体" w:hAnsi="宋体" w:eastAsia="宋体" w:cs="宋体"/>
          <w:color w:val="auto"/>
          <w:sz w:val="24"/>
          <w:szCs w:val="24"/>
          <w:highlight w:val="none"/>
        </w:rPr>
      </w:pPr>
      <w:bookmarkStart w:id="40" w:name="bookmark120"/>
      <w:bookmarkEnd w:id="40"/>
      <w:r>
        <w:rPr>
          <w:rFonts w:hint="eastAsia" w:ascii="宋体" w:hAnsi="宋体" w:eastAsia="宋体" w:cs="宋体"/>
          <w:color w:val="auto"/>
          <w:spacing w:val="-3"/>
          <w:sz w:val="24"/>
          <w:szCs w:val="24"/>
          <w:highlight w:val="none"/>
        </w:rPr>
        <w:t>（3）企业定额；</w:t>
      </w:r>
    </w:p>
    <w:p w14:paraId="2A1D6921">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（4）招标文件及其答疑（或修改）公告、招标工程量清单；</w:t>
      </w:r>
    </w:p>
    <w:p w14:paraId="1E239EF3">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（5）施工图及相关资料；</w:t>
      </w:r>
    </w:p>
    <w:p w14:paraId="4805DE51">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（6）施工现场情况、工程特点及投标时拟定的施工组织设计或施工方案；</w:t>
      </w:r>
    </w:p>
    <w:p w14:paraId="4E1DCFFE">
      <w:pPr>
        <w:keepNext w:val="0"/>
        <w:keepLines w:val="0"/>
        <w:pageBreakBefore w:val="0"/>
        <w:widowControl w:val="0"/>
        <w:kinsoku w:val="0"/>
        <w:wordWrap/>
        <w:overflowPunct/>
        <w:topLinePunct w:val="0"/>
        <w:autoSpaceDE w:val="0"/>
        <w:autoSpaceDN w:val="0"/>
        <w:bidi w:val="0"/>
        <w:adjustRightInd w:val="0"/>
        <w:snapToGrid w:val="0"/>
        <w:spacing w:before="156"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（7）市场价格信息或项目所在地工程造价管理机构发布的工程造价信息；</w:t>
      </w:r>
    </w:p>
    <w:p w14:paraId="5825D2D8">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50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（8）与建设项目相关的标准、规范、技术资料。</w:t>
      </w:r>
    </w:p>
    <w:p w14:paraId="1BDA0FF0">
      <w:pPr>
        <w:keepNext w:val="0"/>
        <w:keepLines w:val="0"/>
        <w:pageBreakBefore w:val="0"/>
        <w:widowControl w:val="0"/>
        <w:kinsoku w:val="0"/>
        <w:wordWrap/>
        <w:overflowPunct/>
        <w:topLinePunct w:val="0"/>
        <w:autoSpaceDE w:val="0"/>
        <w:autoSpaceDN w:val="0"/>
        <w:bidi w:val="0"/>
        <w:adjustRightInd w:val="0"/>
        <w:snapToGrid w:val="0"/>
        <w:spacing w:before="153" w:line="360" w:lineRule="auto"/>
        <w:ind w:left="8" w:right="150" w:firstLine="55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9.2  </w:t>
      </w:r>
      <w:r>
        <w:rPr>
          <w:rFonts w:hint="eastAsia" w:ascii="宋体" w:hAnsi="宋体" w:eastAsia="宋体" w:cs="宋体"/>
          <w:color w:val="auto"/>
          <w:spacing w:val="-2"/>
          <w:sz w:val="24"/>
          <w:szCs w:val="24"/>
          <w:highlight w:val="none"/>
        </w:rPr>
        <w:t>投标人应根据招标工程量清单、工程量清单计价规范中的工作内容、设计文</w:t>
      </w:r>
      <w:r>
        <w:rPr>
          <w:rFonts w:hint="eastAsia" w:ascii="宋体" w:hAnsi="宋体" w:eastAsia="宋体" w:cs="宋体"/>
          <w:color w:val="auto"/>
          <w:spacing w:val="-1"/>
          <w:sz w:val="24"/>
          <w:szCs w:val="24"/>
          <w:highlight w:val="none"/>
        </w:rPr>
        <w:t>件和有关要求、施工现场实际情况、投标人拟定的施工组织设计</w:t>
      </w:r>
      <w:r>
        <w:rPr>
          <w:rFonts w:hint="eastAsia" w:ascii="宋体" w:hAnsi="宋体" w:eastAsia="宋体" w:cs="宋体"/>
          <w:color w:val="auto"/>
          <w:spacing w:val="-2"/>
          <w:sz w:val="24"/>
          <w:szCs w:val="24"/>
          <w:highlight w:val="none"/>
        </w:rPr>
        <w:t>、本单位的企业定额</w:t>
      </w:r>
      <w:r>
        <w:rPr>
          <w:rFonts w:hint="eastAsia" w:ascii="宋体" w:hAnsi="宋体" w:eastAsia="宋体" w:cs="宋体"/>
          <w:color w:val="auto"/>
          <w:spacing w:val="-1"/>
          <w:sz w:val="24"/>
          <w:szCs w:val="24"/>
          <w:highlight w:val="none"/>
        </w:rPr>
        <w:t>和市场价格进行编制，自行报价，并承担一定范围内的风险费用</w:t>
      </w:r>
      <w:r>
        <w:rPr>
          <w:rFonts w:hint="eastAsia" w:ascii="宋体" w:hAnsi="宋体" w:eastAsia="宋体" w:cs="宋体"/>
          <w:color w:val="auto"/>
          <w:spacing w:val="-2"/>
          <w:sz w:val="24"/>
          <w:szCs w:val="24"/>
          <w:highlight w:val="none"/>
        </w:rPr>
        <w:t>。所谓“一定范围内</w:t>
      </w:r>
      <w:r>
        <w:rPr>
          <w:rFonts w:hint="eastAsia" w:ascii="宋体" w:hAnsi="宋体" w:eastAsia="宋体" w:cs="宋体"/>
          <w:color w:val="auto"/>
          <w:spacing w:val="-3"/>
          <w:sz w:val="24"/>
          <w:szCs w:val="24"/>
          <w:highlight w:val="none"/>
        </w:rPr>
        <w:t>的风险</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3"/>
          <w:sz w:val="24"/>
          <w:szCs w:val="24"/>
          <w:highlight w:val="none"/>
        </w:rPr>
        <w:t>”是指合同约定的风险。</w:t>
      </w:r>
    </w:p>
    <w:p w14:paraId="1D39A523">
      <w:pPr>
        <w:spacing w:before="152" w:line="360" w:lineRule="auto"/>
        <w:ind w:left="9" w:right="150" w:firstLine="557"/>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9.3  </w:t>
      </w:r>
      <w:r>
        <w:rPr>
          <w:rFonts w:hint="eastAsia" w:ascii="宋体" w:hAnsi="宋体" w:eastAsia="宋体" w:cs="宋体"/>
          <w:color w:val="auto"/>
          <w:spacing w:val="-2"/>
          <w:sz w:val="24"/>
          <w:szCs w:val="24"/>
          <w:highlight w:val="none"/>
        </w:rPr>
        <w:t>招标人及招标代理机构不集中组织现场踏勘，投标人需要了解现场情况的，</w:t>
      </w:r>
      <w:r>
        <w:rPr>
          <w:rFonts w:hint="eastAsia" w:ascii="宋体" w:hAnsi="宋体" w:eastAsia="宋体" w:cs="宋体"/>
          <w:color w:val="auto"/>
          <w:spacing w:val="-1"/>
          <w:sz w:val="24"/>
          <w:szCs w:val="24"/>
          <w:highlight w:val="none"/>
        </w:rPr>
        <w:t>可自行进行现场踏勘。各投标人应勘察施工现场及周围环</w:t>
      </w:r>
      <w:r>
        <w:rPr>
          <w:rFonts w:hint="eastAsia" w:ascii="宋体" w:hAnsi="宋体" w:eastAsia="宋体" w:cs="宋体"/>
          <w:color w:val="auto"/>
          <w:spacing w:val="-2"/>
          <w:sz w:val="24"/>
          <w:szCs w:val="24"/>
          <w:highlight w:val="none"/>
        </w:rPr>
        <w:t>境、地形、地貌、水文、交</w:t>
      </w:r>
      <w:r>
        <w:rPr>
          <w:rFonts w:hint="eastAsia" w:ascii="宋体" w:hAnsi="宋体" w:eastAsia="宋体" w:cs="宋体"/>
          <w:color w:val="auto"/>
          <w:spacing w:val="-1"/>
          <w:sz w:val="24"/>
          <w:szCs w:val="24"/>
          <w:highlight w:val="none"/>
        </w:rPr>
        <w:t>通等情况，以获得一切可能影响到投标的直接资料。投标人应</w:t>
      </w:r>
      <w:r>
        <w:rPr>
          <w:rFonts w:hint="eastAsia" w:ascii="宋体" w:hAnsi="宋体" w:eastAsia="宋体" w:cs="宋体"/>
          <w:color w:val="auto"/>
          <w:spacing w:val="-2"/>
          <w:sz w:val="24"/>
          <w:szCs w:val="24"/>
          <w:highlight w:val="none"/>
        </w:rPr>
        <w:t>针对现场情况编制施工</w:t>
      </w:r>
      <w:r>
        <w:rPr>
          <w:rFonts w:hint="eastAsia" w:ascii="宋体" w:hAnsi="宋体" w:eastAsia="宋体" w:cs="宋体"/>
          <w:color w:val="auto"/>
          <w:spacing w:val="-1"/>
          <w:sz w:val="24"/>
          <w:szCs w:val="24"/>
          <w:highlight w:val="none"/>
        </w:rPr>
        <w:t>组织设计，并在编制投标报价时考虑现场情况的影响。</w:t>
      </w:r>
    </w:p>
    <w:p w14:paraId="40D7449B">
      <w:pPr>
        <w:spacing w:before="155" w:line="360" w:lineRule="auto"/>
        <w:ind w:left="10" w:right="150" w:firstLine="55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9.4  </w:t>
      </w:r>
      <w:r>
        <w:rPr>
          <w:rFonts w:hint="eastAsia" w:ascii="宋体" w:hAnsi="宋体" w:eastAsia="宋体" w:cs="宋体"/>
          <w:color w:val="auto"/>
          <w:spacing w:val="-2"/>
          <w:sz w:val="24"/>
          <w:szCs w:val="24"/>
          <w:highlight w:val="none"/>
        </w:rPr>
        <w:t>招标人向投标人提供的有关现场的数据和资料，是招标人现有的能被投标人</w:t>
      </w:r>
      <w:r>
        <w:rPr>
          <w:rFonts w:hint="eastAsia" w:ascii="宋体" w:hAnsi="宋体" w:eastAsia="宋体" w:cs="宋体"/>
          <w:color w:val="auto"/>
          <w:sz w:val="24"/>
          <w:szCs w:val="24"/>
          <w:highlight w:val="none"/>
        </w:rPr>
        <w:t>利用的资料，招标人对投标人做出的任何推论</w:t>
      </w:r>
      <w:r>
        <w:rPr>
          <w:rFonts w:hint="eastAsia" w:ascii="宋体" w:hAnsi="宋体" w:eastAsia="宋体" w:cs="宋体"/>
          <w:color w:val="auto"/>
          <w:spacing w:val="-1"/>
          <w:sz w:val="24"/>
          <w:szCs w:val="24"/>
          <w:highlight w:val="none"/>
        </w:rPr>
        <w:t>、理解和结论均不负责任。</w:t>
      </w:r>
    </w:p>
    <w:p w14:paraId="5FF17A23">
      <w:pPr>
        <w:spacing w:before="154" w:line="360" w:lineRule="auto"/>
        <w:ind w:left="12" w:firstLine="554"/>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9.5  </w:t>
      </w:r>
      <w:r>
        <w:rPr>
          <w:rFonts w:hint="eastAsia" w:ascii="宋体" w:hAnsi="宋体" w:eastAsia="宋体" w:cs="宋体"/>
          <w:color w:val="auto"/>
          <w:spacing w:val="-2"/>
          <w:sz w:val="24"/>
          <w:szCs w:val="24"/>
          <w:highlight w:val="none"/>
        </w:rPr>
        <w:t>投标人必须按照招标工程量清单及表格填报价格。项目编码、项目名称、项</w:t>
      </w:r>
      <w:r>
        <w:rPr>
          <w:rFonts w:hint="eastAsia" w:ascii="宋体" w:hAnsi="宋体" w:eastAsia="宋体" w:cs="宋体"/>
          <w:color w:val="auto"/>
          <w:spacing w:val="2"/>
          <w:sz w:val="24"/>
          <w:szCs w:val="24"/>
          <w:highlight w:val="none"/>
        </w:rPr>
        <w:t>目特征、计量单位、工程量必须与招标工程量清单一致。所有报价均以人</w:t>
      </w:r>
      <w:r>
        <w:rPr>
          <w:rFonts w:hint="eastAsia" w:ascii="宋体" w:hAnsi="宋体" w:eastAsia="宋体" w:cs="宋体"/>
          <w:color w:val="auto"/>
          <w:spacing w:val="1"/>
          <w:sz w:val="24"/>
          <w:szCs w:val="24"/>
          <w:highlight w:val="none"/>
        </w:rPr>
        <w:t>民币“元</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1"/>
          <w:sz w:val="24"/>
          <w:szCs w:val="24"/>
          <w:highlight w:val="none"/>
        </w:rPr>
        <w:t>为单位，并保留小数点后两位。</w:t>
      </w:r>
    </w:p>
    <w:p w14:paraId="18DC44D4">
      <w:pPr>
        <w:keepNext w:val="0"/>
        <w:keepLines w:val="0"/>
        <w:pageBreakBefore w:val="0"/>
        <w:widowControl w:val="0"/>
        <w:kinsoku w:val="0"/>
        <w:wordWrap/>
        <w:overflowPunct/>
        <w:topLinePunct w:val="0"/>
        <w:autoSpaceDE w:val="0"/>
        <w:autoSpaceDN w:val="0"/>
        <w:bidi w:val="0"/>
        <w:adjustRightInd w:val="0"/>
        <w:snapToGrid w:val="0"/>
        <w:spacing w:before="158" w:line="360" w:lineRule="auto"/>
        <w:ind w:left="9" w:right="150" w:firstLine="55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9.6  </w:t>
      </w:r>
      <w:r>
        <w:rPr>
          <w:rFonts w:hint="eastAsia" w:ascii="宋体" w:hAnsi="宋体" w:eastAsia="宋体" w:cs="宋体"/>
          <w:color w:val="auto"/>
          <w:spacing w:val="-2"/>
          <w:sz w:val="24"/>
          <w:szCs w:val="24"/>
          <w:highlight w:val="none"/>
        </w:rPr>
        <w:t>投标人只允许有一个投标总价。投标总价必须同时用大、小写表示，大、小</w:t>
      </w:r>
      <w:r>
        <w:rPr>
          <w:rFonts w:hint="eastAsia" w:ascii="宋体" w:hAnsi="宋体" w:eastAsia="宋体" w:cs="宋体"/>
          <w:color w:val="auto"/>
          <w:spacing w:val="-1"/>
          <w:sz w:val="24"/>
          <w:szCs w:val="24"/>
          <w:highlight w:val="none"/>
        </w:rPr>
        <w:t>写报价应保持一致，若不一致，以大写报价为准。招标工程量</w:t>
      </w:r>
      <w:r>
        <w:rPr>
          <w:rFonts w:hint="eastAsia" w:ascii="宋体" w:hAnsi="宋体" w:eastAsia="宋体" w:cs="宋体"/>
          <w:color w:val="auto"/>
          <w:spacing w:val="-2"/>
          <w:sz w:val="24"/>
          <w:szCs w:val="24"/>
          <w:highlight w:val="none"/>
        </w:rPr>
        <w:t>清单与计价表中列明的</w:t>
      </w:r>
      <w:r>
        <w:rPr>
          <w:rFonts w:hint="eastAsia" w:ascii="宋体" w:hAnsi="宋体" w:eastAsia="宋体" w:cs="宋体"/>
          <w:color w:val="auto"/>
          <w:spacing w:val="-1"/>
          <w:sz w:val="24"/>
          <w:szCs w:val="24"/>
          <w:highlight w:val="none"/>
        </w:rPr>
        <w:t>所有需要填写单价和合价的项目，投标人均应填写且只允许有</w:t>
      </w:r>
      <w:r>
        <w:rPr>
          <w:rFonts w:hint="eastAsia" w:ascii="宋体" w:hAnsi="宋体" w:eastAsia="宋体" w:cs="宋体"/>
          <w:color w:val="auto"/>
          <w:spacing w:val="-2"/>
          <w:sz w:val="24"/>
          <w:szCs w:val="24"/>
          <w:highlight w:val="none"/>
        </w:rPr>
        <w:t>一个报价。未填写单价</w:t>
      </w:r>
      <w:r>
        <w:rPr>
          <w:rFonts w:hint="eastAsia" w:ascii="宋体" w:hAnsi="宋体" w:eastAsia="宋体" w:cs="宋体"/>
          <w:color w:val="auto"/>
          <w:spacing w:val="-1"/>
          <w:sz w:val="24"/>
          <w:szCs w:val="24"/>
          <w:highlight w:val="none"/>
        </w:rPr>
        <w:t>和合价的项目，视为此项费用已包含在已标价工程量清单其他</w:t>
      </w:r>
      <w:r>
        <w:rPr>
          <w:rFonts w:hint="eastAsia" w:ascii="宋体" w:hAnsi="宋体" w:eastAsia="宋体" w:cs="宋体"/>
          <w:color w:val="auto"/>
          <w:spacing w:val="-2"/>
          <w:sz w:val="24"/>
          <w:szCs w:val="24"/>
          <w:highlight w:val="none"/>
        </w:rPr>
        <w:t>项目的单价和合价中，</w:t>
      </w:r>
      <w:r>
        <w:rPr>
          <w:rFonts w:hint="eastAsia" w:ascii="宋体" w:hAnsi="宋体" w:eastAsia="宋体" w:cs="宋体"/>
          <w:color w:val="auto"/>
          <w:spacing w:val="-1"/>
          <w:sz w:val="24"/>
          <w:szCs w:val="24"/>
          <w:highlight w:val="none"/>
        </w:rPr>
        <w:t>竣工结算时不得重新组价和调整。</w:t>
      </w:r>
    </w:p>
    <w:p w14:paraId="1259ACCC">
      <w:pPr>
        <w:keepNext w:val="0"/>
        <w:keepLines w:val="0"/>
        <w:pageBreakBefore w:val="0"/>
        <w:widowControl w:val="0"/>
        <w:kinsoku w:val="0"/>
        <w:wordWrap/>
        <w:overflowPunct/>
        <w:topLinePunct w:val="0"/>
        <w:autoSpaceDE w:val="0"/>
        <w:autoSpaceDN w:val="0"/>
        <w:bidi w:val="0"/>
        <w:adjustRightInd w:val="0"/>
        <w:snapToGrid w:val="0"/>
        <w:spacing w:before="152" w:line="360" w:lineRule="auto"/>
        <w:ind w:left="7" w:right="120" w:firstLine="480"/>
        <w:textAlignment w:val="baseline"/>
        <w:rPr>
          <w:rFonts w:hint="eastAsia" w:ascii="宋体" w:hAnsi="宋体" w:eastAsia="宋体" w:cs="宋体"/>
          <w:b/>
          <w:bCs/>
          <w:color w:val="auto"/>
          <w:spacing w:val="-3"/>
          <w:sz w:val="24"/>
          <w:szCs w:val="24"/>
          <w:highlight w:val="none"/>
        </w:rPr>
      </w:pPr>
      <w:r>
        <w:rPr>
          <w:rFonts w:hint="eastAsia" w:ascii="宋体" w:hAnsi="宋体" w:eastAsia="宋体" w:cs="宋体"/>
          <w:b/>
          <w:bCs/>
          <w:color w:val="auto"/>
          <w:sz w:val="24"/>
          <w:szCs w:val="24"/>
          <w:highlight w:val="none"/>
        </w:rPr>
        <w:t xml:space="preserve">9.7  </w:t>
      </w:r>
      <w:r>
        <w:rPr>
          <w:rFonts w:hint="eastAsia" w:ascii="宋体" w:hAnsi="宋体" w:eastAsia="宋体" w:cs="宋体"/>
          <w:color w:val="auto"/>
          <w:sz w:val="24"/>
          <w:szCs w:val="24"/>
          <w:highlight w:val="none"/>
        </w:rPr>
        <w:t>投标人的投标总价不得高于</w:t>
      </w:r>
      <w:r>
        <w:rPr>
          <w:rFonts w:hint="eastAsia" w:ascii="宋体" w:hAnsi="宋体" w:eastAsia="宋体" w:cs="宋体"/>
          <w:b/>
          <w:bCs/>
          <w:color w:val="auto"/>
          <w:sz w:val="24"/>
          <w:szCs w:val="24"/>
          <w:highlight w:val="none"/>
        </w:rPr>
        <w:t>最高投标限价</w:t>
      </w:r>
      <w:r>
        <w:rPr>
          <w:rFonts w:hint="eastAsia" w:ascii="宋体" w:hAnsi="宋体" w:eastAsia="宋体" w:cs="宋体"/>
          <w:color w:val="auto"/>
          <w:sz w:val="24"/>
          <w:szCs w:val="24"/>
          <w:highlight w:val="none"/>
        </w:rPr>
        <w:t>，也不得低于工程成本。投标人对</w:t>
      </w:r>
      <w:r>
        <w:rPr>
          <w:rFonts w:hint="eastAsia" w:ascii="宋体" w:hAnsi="宋体" w:eastAsia="宋体" w:cs="宋体"/>
          <w:color w:val="auto"/>
          <w:spacing w:val="-1"/>
          <w:sz w:val="24"/>
          <w:szCs w:val="24"/>
          <w:highlight w:val="none"/>
        </w:rPr>
        <w:t>投标总价的所有优惠（降价、让利等</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
          <w:sz w:val="24"/>
          <w:szCs w:val="24"/>
          <w:highlight w:val="none"/>
        </w:rPr>
        <w:t>均应当反映在具体清单项目或其综合</w:t>
      </w:r>
      <w:r>
        <w:rPr>
          <w:rFonts w:hint="eastAsia" w:ascii="宋体" w:hAnsi="宋体" w:eastAsia="宋体" w:cs="宋体"/>
          <w:color w:val="auto"/>
          <w:spacing w:val="-2"/>
          <w:sz w:val="24"/>
          <w:szCs w:val="24"/>
          <w:highlight w:val="none"/>
        </w:rPr>
        <w:t>单价的</w:t>
      </w:r>
      <w:r>
        <w:rPr>
          <w:rFonts w:hint="eastAsia" w:ascii="宋体" w:hAnsi="宋体" w:eastAsia="宋体" w:cs="宋体"/>
          <w:color w:val="auto"/>
          <w:spacing w:val="1"/>
          <w:sz w:val="24"/>
          <w:szCs w:val="24"/>
          <w:highlight w:val="none"/>
        </w:rPr>
        <w:t>报价上。</w:t>
      </w:r>
      <w:r>
        <w:rPr>
          <w:rFonts w:hint="eastAsia" w:ascii="宋体" w:hAnsi="宋体" w:eastAsia="宋体" w:cs="宋体"/>
          <w:b/>
          <w:bCs/>
          <w:color w:val="auto"/>
          <w:spacing w:val="1"/>
          <w:sz w:val="24"/>
          <w:szCs w:val="24"/>
          <w:highlight w:val="none"/>
        </w:rPr>
        <w:t>如果投标人的投标总价下浮率高于15%时，投标人必须在投标文件中专项</w:t>
      </w:r>
      <w:r>
        <w:rPr>
          <w:rFonts w:hint="eastAsia" w:ascii="宋体" w:hAnsi="宋体" w:eastAsia="宋体" w:cs="宋体"/>
          <w:b/>
          <w:bCs/>
          <w:color w:val="auto"/>
          <w:spacing w:val="-3"/>
          <w:sz w:val="24"/>
          <w:szCs w:val="24"/>
          <w:highlight w:val="none"/>
        </w:rPr>
        <w:t>作出详细合理的书面说明并提供以往类似工程详细成本分析报告供评标委员会审查。</w:t>
      </w:r>
    </w:p>
    <w:p w14:paraId="2D9785B9">
      <w:pPr>
        <w:keepNext w:val="0"/>
        <w:keepLines w:val="0"/>
        <w:pageBreakBefore w:val="0"/>
        <w:widowControl w:val="0"/>
        <w:kinsoku w:val="0"/>
        <w:wordWrap/>
        <w:overflowPunct/>
        <w:topLinePunct w:val="0"/>
        <w:autoSpaceDE w:val="0"/>
        <w:autoSpaceDN w:val="0"/>
        <w:bidi w:val="0"/>
        <w:adjustRightInd w:val="0"/>
        <w:snapToGrid w:val="0"/>
        <w:textAlignment w:val="baseline"/>
        <w:rPr>
          <w:rFonts w:hint="eastAsia" w:ascii="宋体" w:hAnsi="宋体" w:eastAsia="宋体" w:cs="宋体"/>
          <w:b/>
          <w:bCs/>
          <w:snapToGrid w:val="0"/>
          <w:color w:val="auto"/>
          <w:spacing w:val="1"/>
          <w:sz w:val="24"/>
          <w:szCs w:val="24"/>
          <w:highlight w:val="none"/>
          <w:lang w:val="en-US" w:eastAsia="zh-CN" w:bidi="ar-SA"/>
        </w:rPr>
      </w:pPr>
      <w:bookmarkStart w:id="41" w:name="_Toc22704"/>
      <w:r>
        <w:rPr>
          <w:rFonts w:hint="eastAsia" w:ascii="宋体" w:hAnsi="宋体" w:eastAsia="宋体" w:cs="宋体"/>
          <w:b/>
          <w:bCs/>
          <w:snapToGrid w:val="0"/>
          <w:color w:val="auto"/>
          <w:spacing w:val="1"/>
          <w:sz w:val="24"/>
          <w:szCs w:val="24"/>
          <w:highlight w:val="none"/>
          <w:lang w:val="en-US" w:eastAsia="zh-CN" w:bidi="ar-SA"/>
        </w:rPr>
        <w:t>投标总价下浮率=（1-投标总价</w:t>
      </w:r>
      <w:r>
        <w:rPr>
          <w:rFonts w:hint="eastAsia" w:ascii="宋体" w:hAnsi="宋体" w:eastAsia="宋体" w:cs="宋体"/>
          <w:b/>
          <w:bCs/>
          <w:snapToGrid w:val="0"/>
          <w:color w:val="auto"/>
          <w:spacing w:val="1"/>
          <w:sz w:val="24"/>
          <w:szCs w:val="24"/>
          <w:highlight w:val="none"/>
          <w:lang w:val="en-US" w:eastAsia="en-US" w:bidi="ar-SA"/>
        </w:rPr>
        <w:t>÷</w:t>
      </w:r>
      <w:r>
        <w:rPr>
          <w:rFonts w:hint="eastAsia" w:ascii="宋体" w:hAnsi="宋体" w:eastAsia="宋体" w:cs="宋体"/>
          <w:b/>
          <w:bCs/>
          <w:snapToGrid w:val="0"/>
          <w:color w:val="auto"/>
          <w:spacing w:val="1"/>
          <w:sz w:val="24"/>
          <w:szCs w:val="24"/>
          <w:highlight w:val="none"/>
          <w:lang w:val="en-US" w:eastAsia="zh-CN" w:bidi="ar-SA"/>
        </w:rPr>
        <w:t>招标控制价）</w:t>
      </w:r>
      <w:r>
        <w:rPr>
          <w:rFonts w:hint="eastAsia" w:ascii="宋体" w:hAnsi="宋体" w:eastAsia="宋体" w:cs="宋体"/>
          <w:b/>
          <w:bCs/>
          <w:snapToGrid w:val="0"/>
          <w:color w:val="auto"/>
          <w:spacing w:val="1"/>
          <w:sz w:val="24"/>
          <w:szCs w:val="24"/>
          <w:highlight w:val="none"/>
          <w:lang w:val="en-US" w:eastAsia="en-US" w:bidi="ar-SA"/>
        </w:rPr>
        <w:t>×</w:t>
      </w:r>
      <w:r>
        <w:rPr>
          <w:rFonts w:hint="eastAsia" w:ascii="宋体" w:hAnsi="宋体" w:eastAsia="宋体" w:cs="宋体"/>
          <w:b/>
          <w:bCs/>
          <w:snapToGrid w:val="0"/>
          <w:color w:val="auto"/>
          <w:spacing w:val="1"/>
          <w:sz w:val="24"/>
          <w:szCs w:val="24"/>
          <w:highlight w:val="none"/>
          <w:lang w:val="en-US" w:eastAsia="zh-CN" w:bidi="ar-SA"/>
        </w:rPr>
        <w:t>100%</w:t>
      </w:r>
      <w:bookmarkEnd w:id="41"/>
    </w:p>
    <w:p w14:paraId="4DC38C7E">
      <w:pPr>
        <w:keepNext w:val="0"/>
        <w:keepLines w:val="0"/>
        <w:pageBreakBefore w:val="0"/>
        <w:widowControl w:val="0"/>
        <w:kinsoku w:val="0"/>
        <w:wordWrap/>
        <w:overflowPunct/>
        <w:topLinePunct w:val="0"/>
        <w:autoSpaceDE w:val="0"/>
        <w:autoSpaceDN w:val="0"/>
        <w:bidi w:val="0"/>
        <w:adjustRightInd w:val="0"/>
        <w:snapToGrid w:val="0"/>
        <w:spacing w:before="146" w:line="360" w:lineRule="auto"/>
        <w:ind w:left="29" w:right="153" w:firstLine="45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9.8  </w:t>
      </w:r>
      <w:r>
        <w:rPr>
          <w:rFonts w:hint="eastAsia" w:ascii="宋体" w:hAnsi="宋体" w:eastAsia="宋体" w:cs="宋体"/>
          <w:color w:val="auto"/>
          <w:sz w:val="24"/>
          <w:szCs w:val="24"/>
          <w:highlight w:val="none"/>
        </w:rPr>
        <w:t>投标人的绿色施工安全防护措施费报价必须达到或超过</w:t>
      </w:r>
      <w:r>
        <w:rPr>
          <w:rFonts w:hint="eastAsia" w:ascii="宋体" w:hAnsi="宋体" w:eastAsia="宋体" w:cs="宋体"/>
          <w:b/>
          <w:bCs/>
          <w:color w:val="auto"/>
          <w:sz w:val="24"/>
          <w:szCs w:val="24"/>
          <w:highlight w:val="none"/>
        </w:rPr>
        <w:t>最高投标限价</w:t>
      </w:r>
      <w:r>
        <w:rPr>
          <w:rFonts w:hint="eastAsia" w:ascii="宋体" w:hAnsi="宋体" w:eastAsia="宋体" w:cs="宋体"/>
          <w:color w:val="auto"/>
          <w:sz w:val="24"/>
          <w:szCs w:val="24"/>
          <w:highlight w:val="none"/>
        </w:rPr>
        <w:t>中</w:t>
      </w:r>
      <w:r>
        <w:rPr>
          <w:rFonts w:hint="eastAsia" w:ascii="宋体" w:hAnsi="宋体" w:eastAsia="宋体" w:cs="宋体"/>
          <w:color w:val="auto"/>
          <w:spacing w:val="-1"/>
          <w:sz w:val="24"/>
          <w:szCs w:val="24"/>
          <w:highlight w:val="none"/>
        </w:rPr>
        <w:t>提供</w:t>
      </w:r>
      <w:r>
        <w:rPr>
          <w:rFonts w:hint="eastAsia" w:ascii="宋体" w:hAnsi="宋体" w:eastAsia="宋体" w:cs="宋体"/>
          <w:color w:val="auto"/>
          <w:spacing w:val="-3"/>
          <w:sz w:val="24"/>
          <w:szCs w:val="24"/>
          <w:highlight w:val="none"/>
        </w:rPr>
        <w:t>的绿色施工安全防护措施费。</w:t>
      </w:r>
    </w:p>
    <w:p w14:paraId="1D4AD06B">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right="99"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9.9  </w:t>
      </w:r>
      <w:r>
        <w:rPr>
          <w:rFonts w:hint="eastAsia" w:ascii="宋体" w:hAnsi="宋体" w:eastAsia="宋体" w:cs="宋体"/>
          <w:color w:val="auto"/>
          <w:sz w:val="24"/>
          <w:szCs w:val="24"/>
          <w:highlight w:val="none"/>
        </w:rPr>
        <w:t>投标人必须按照招标工程量清单中提供的暂列金额和暂估价统一报价。投标</w:t>
      </w:r>
      <w:r>
        <w:rPr>
          <w:rFonts w:hint="eastAsia" w:ascii="宋体" w:hAnsi="宋体" w:eastAsia="宋体" w:cs="宋体"/>
          <w:color w:val="auto"/>
          <w:spacing w:val="-1"/>
          <w:sz w:val="24"/>
          <w:szCs w:val="24"/>
          <w:highlight w:val="none"/>
        </w:rPr>
        <w:t>人应充分考虑暂估价项目（或暂列金额项目）的管理和协调所发</w:t>
      </w:r>
      <w:r>
        <w:rPr>
          <w:rFonts w:hint="eastAsia" w:ascii="宋体" w:hAnsi="宋体" w:eastAsia="宋体" w:cs="宋体"/>
          <w:color w:val="auto"/>
          <w:spacing w:val="-2"/>
          <w:sz w:val="24"/>
          <w:szCs w:val="24"/>
          <w:highlight w:val="none"/>
        </w:rPr>
        <w:t>生的费用，并将其纳</w:t>
      </w:r>
      <w:r>
        <w:rPr>
          <w:rFonts w:hint="eastAsia" w:ascii="宋体" w:hAnsi="宋体" w:eastAsia="宋体" w:cs="宋体"/>
          <w:color w:val="auto"/>
          <w:spacing w:val="-1"/>
          <w:sz w:val="24"/>
          <w:szCs w:val="24"/>
          <w:highlight w:val="none"/>
        </w:rPr>
        <w:t>入已标价工程量清单中的适当项目。招标人视该项管理和协调所</w:t>
      </w:r>
      <w:r>
        <w:rPr>
          <w:rFonts w:hint="eastAsia" w:ascii="宋体" w:hAnsi="宋体" w:eastAsia="宋体" w:cs="宋体"/>
          <w:color w:val="auto"/>
          <w:spacing w:val="-2"/>
          <w:sz w:val="24"/>
          <w:szCs w:val="24"/>
          <w:highlight w:val="none"/>
        </w:rPr>
        <w:t>发生的费用已包含在</w:t>
      </w:r>
      <w:r>
        <w:rPr>
          <w:rFonts w:hint="eastAsia" w:ascii="宋体" w:hAnsi="宋体" w:eastAsia="宋体" w:cs="宋体"/>
          <w:color w:val="auto"/>
          <w:spacing w:val="-1"/>
          <w:sz w:val="24"/>
          <w:szCs w:val="24"/>
          <w:highlight w:val="none"/>
        </w:rPr>
        <w:t>其它有价款的竞争性报价内，不再另行支付。</w:t>
      </w:r>
    </w:p>
    <w:p w14:paraId="6365E107">
      <w:pPr>
        <w:spacing w:before="78" w:line="360" w:lineRule="auto"/>
        <w:ind w:right="99" w:firstLine="478" w:firstLineChars="200"/>
        <w:rPr>
          <w:rFonts w:hint="eastAsia" w:ascii="宋体" w:hAnsi="宋体" w:eastAsia="宋体" w:cs="宋体"/>
          <w:color w:val="auto"/>
          <w:spacing w:val="-3"/>
          <w:sz w:val="24"/>
          <w:szCs w:val="24"/>
          <w:highlight w:val="none"/>
          <w:lang w:eastAsia="zh-CN"/>
        </w:rPr>
      </w:pPr>
      <w:r>
        <w:rPr>
          <w:rFonts w:hint="eastAsia" w:ascii="宋体" w:hAnsi="宋体" w:eastAsia="宋体" w:cs="宋体"/>
          <w:b/>
          <w:bCs/>
          <w:color w:val="auto"/>
          <w:spacing w:val="-1"/>
          <w:sz w:val="24"/>
          <w:szCs w:val="24"/>
          <w:highlight w:val="none"/>
        </w:rPr>
        <w:t>9.10</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预算包干内容一般包括施工雨（污）水的排除、因地形影响造成的场内料具二次运输、20米高以下的工程用水加压措施、施工材料堆放场地的整理、机电安装后的补洞（槽）工料费、工程成品保护费、施工中的临时停水停电、基础埋深2米以内挖土方的塌方、日间照明施工增加费（不包括地下室和特殊工程）、完工清场后的垃</w:t>
      </w:r>
      <w:r>
        <w:rPr>
          <w:rFonts w:hint="eastAsia" w:ascii="宋体" w:hAnsi="宋体" w:eastAsia="宋体" w:cs="宋体"/>
          <w:color w:val="auto"/>
          <w:spacing w:val="-7"/>
          <w:sz w:val="24"/>
          <w:szCs w:val="24"/>
          <w:highlight w:val="none"/>
        </w:rPr>
        <w:t>圾外运等。投标报价时，应按《广东省建设工程计价依据（2018）》规定的费率报价，</w:t>
      </w:r>
      <w:r>
        <w:rPr>
          <w:rFonts w:hint="eastAsia" w:ascii="宋体" w:hAnsi="宋体" w:eastAsia="宋体" w:cs="宋体"/>
          <w:color w:val="auto"/>
          <w:spacing w:val="-2"/>
          <w:sz w:val="24"/>
          <w:szCs w:val="24"/>
          <w:highlight w:val="none"/>
        </w:rPr>
        <w:t>若招标工程量清单明确说明不计算预算包干费或</w:t>
      </w:r>
      <w:r>
        <w:rPr>
          <w:rFonts w:hint="eastAsia" w:ascii="宋体" w:hAnsi="宋体" w:eastAsia="宋体" w:cs="宋体"/>
          <w:color w:val="auto"/>
          <w:spacing w:val="-3"/>
          <w:sz w:val="24"/>
          <w:szCs w:val="24"/>
          <w:highlight w:val="none"/>
        </w:rPr>
        <w:t>另外确定预算包干费费率的，则按招</w:t>
      </w:r>
      <w:r>
        <w:rPr>
          <w:rFonts w:hint="eastAsia" w:ascii="宋体" w:hAnsi="宋体" w:eastAsia="宋体" w:cs="宋体"/>
          <w:color w:val="auto"/>
          <w:spacing w:val="-3"/>
          <w:sz w:val="24"/>
          <w:szCs w:val="24"/>
          <w:highlight w:val="none"/>
          <w:lang w:eastAsia="zh-CN"/>
        </w:rPr>
        <w:t>标工程量清单报价。</w:t>
      </w:r>
    </w:p>
    <w:p w14:paraId="3CE024D8">
      <w:pPr>
        <w:pageBreakBefore w:val="0"/>
        <w:kinsoku/>
        <w:overflowPunct/>
        <w:topLinePunct w:val="0"/>
        <w:autoSpaceDE/>
        <w:autoSpaceDN/>
        <w:bidi w:val="0"/>
        <w:snapToGrid w:val="0"/>
        <w:spacing w:line="360" w:lineRule="auto"/>
        <w:ind w:firstLine="482" w:firstLineChars="200"/>
        <w:rPr>
          <w:rFonts w:hint="eastAsia" w:ascii="宋体" w:hAnsi="宋体" w:eastAsia="宋体" w:cs="宋体"/>
          <w:color w:val="auto"/>
          <w:spacing w:val="-3"/>
          <w:sz w:val="24"/>
          <w:szCs w:val="24"/>
          <w:highlight w:val="none"/>
          <w:lang w:eastAsia="zh-CN"/>
        </w:rPr>
      </w:pPr>
      <w:r>
        <w:rPr>
          <w:rFonts w:hint="eastAsia" w:ascii="宋体" w:hAnsi="宋体" w:eastAsia="宋体" w:cs="宋体"/>
          <w:b/>
          <w:bCs/>
          <w:color w:val="auto"/>
          <w:sz w:val="24"/>
          <w:szCs w:val="24"/>
          <w:lang w:val="en-US" w:eastAsia="zh-CN"/>
        </w:rPr>
        <w:t>9.11</w:t>
      </w:r>
      <w:r>
        <w:rPr>
          <w:rFonts w:hint="eastAsia" w:ascii="宋体" w:hAnsi="宋体" w:eastAsia="宋体" w:cs="宋体"/>
          <w:color w:val="auto"/>
          <w:sz w:val="24"/>
          <w:szCs w:val="24"/>
          <w:lang w:eastAsia="zh-CN"/>
        </w:rPr>
        <w:t>招标代理费和评标专家酬劳的支付：本工程的招标代理费和评标专家酬劳由中标人支付，该费用不再另行报价，由投标人在投标报价时综合考虑在内。中标人在领取中标通知书前须向招标代理机构一次性支付（评标专家酬劳包括食宿费用、交通费、专家评审劳务费等。）</w:t>
      </w:r>
    </w:p>
    <w:p w14:paraId="03BA4414">
      <w:pPr>
        <w:spacing w:before="78" w:line="360" w:lineRule="auto"/>
        <w:ind w:left="496"/>
        <w:outlineLvl w:val="2"/>
        <w:rPr>
          <w:rFonts w:hint="eastAsia" w:ascii="宋体" w:hAnsi="宋体" w:eastAsia="宋体" w:cs="宋体"/>
          <w:color w:val="auto"/>
          <w:sz w:val="24"/>
          <w:szCs w:val="24"/>
          <w:highlight w:val="none"/>
        </w:rPr>
      </w:pPr>
      <w:bookmarkStart w:id="42" w:name="_Toc26296"/>
      <w:bookmarkStart w:id="43" w:name="_Toc15232"/>
      <w:r>
        <w:rPr>
          <w:rFonts w:hint="eastAsia" w:ascii="宋体" w:hAnsi="宋体" w:eastAsia="宋体" w:cs="宋体"/>
          <w:b/>
          <w:bCs/>
          <w:color w:val="auto"/>
          <w:spacing w:val="-6"/>
          <w:sz w:val="24"/>
          <w:szCs w:val="24"/>
          <w:highlight w:val="none"/>
        </w:rPr>
        <w:t>10</w:t>
      </w:r>
      <w:r>
        <w:rPr>
          <w:rFonts w:hint="eastAsia" w:ascii="宋体" w:hAnsi="宋体" w:eastAsia="宋体" w:cs="宋体"/>
          <w:b/>
          <w:bCs/>
          <w:color w:val="auto"/>
          <w:spacing w:val="-21"/>
          <w:sz w:val="24"/>
          <w:szCs w:val="24"/>
          <w:highlight w:val="none"/>
          <w:lang w:eastAsia="zh-CN"/>
        </w:rPr>
        <w:t>.</w:t>
      </w:r>
      <w:r>
        <w:rPr>
          <w:rFonts w:hint="eastAsia" w:ascii="宋体" w:hAnsi="宋体" w:eastAsia="宋体" w:cs="宋体"/>
          <w:b/>
          <w:bCs/>
          <w:color w:val="auto"/>
          <w:spacing w:val="-6"/>
          <w:sz w:val="24"/>
          <w:szCs w:val="24"/>
          <w:highlight w:val="none"/>
        </w:rPr>
        <w:t>投标文件的编制要求</w:t>
      </w:r>
      <w:bookmarkEnd w:id="42"/>
      <w:bookmarkEnd w:id="43"/>
    </w:p>
    <w:p w14:paraId="0C191376">
      <w:pPr>
        <w:spacing w:before="68" w:line="360" w:lineRule="auto"/>
        <w:ind w:left="11" w:right="99" w:firstLine="563"/>
        <w:rPr>
          <w:rFonts w:hint="eastAsia" w:ascii="宋体" w:hAnsi="宋体" w:eastAsia="宋体" w:cs="宋体"/>
          <w:b w:val="0"/>
          <w:bCs w:val="0"/>
          <w:color w:val="auto"/>
          <w:spacing w:val="-3"/>
          <w:sz w:val="24"/>
          <w:szCs w:val="24"/>
          <w:highlight w:val="none"/>
        </w:rPr>
      </w:pPr>
      <w:bookmarkStart w:id="44" w:name="_Toc25990"/>
      <w:bookmarkStart w:id="45" w:name="_Toc20590"/>
      <w:r>
        <w:rPr>
          <w:rFonts w:hint="eastAsia" w:ascii="宋体" w:hAnsi="宋体" w:eastAsia="宋体" w:cs="宋体"/>
          <w:b/>
          <w:bCs/>
          <w:color w:val="auto"/>
          <w:spacing w:val="-3"/>
          <w:sz w:val="24"/>
          <w:szCs w:val="24"/>
          <w:highlight w:val="none"/>
        </w:rPr>
        <w:t xml:space="preserve">10.1  </w:t>
      </w:r>
      <w:r>
        <w:rPr>
          <w:rFonts w:hint="eastAsia" w:ascii="宋体" w:hAnsi="宋体" w:eastAsia="宋体" w:cs="宋体"/>
          <w:b w:val="0"/>
          <w:bCs w:val="0"/>
          <w:color w:val="auto"/>
          <w:spacing w:val="-3"/>
          <w:sz w:val="24"/>
          <w:szCs w:val="24"/>
          <w:highlight w:val="none"/>
        </w:rPr>
        <w:t>一般要求</w:t>
      </w:r>
      <w:bookmarkEnd w:id="44"/>
      <w:bookmarkEnd w:id="45"/>
    </w:p>
    <w:p w14:paraId="7DC17D36">
      <w:pPr>
        <w:spacing w:before="118" w:line="360" w:lineRule="auto"/>
        <w:ind w:left="11" w:right="99" w:firstLine="4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投标文件应按第六章投标文件格式规定的内容，投标人提交的投标文件应当使</w:t>
      </w:r>
      <w:r>
        <w:rPr>
          <w:rFonts w:hint="eastAsia" w:ascii="宋体" w:hAnsi="宋体" w:eastAsia="宋体" w:cs="宋体"/>
          <w:color w:val="auto"/>
          <w:spacing w:val="-1"/>
          <w:sz w:val="24"/>
          <w:szCs w:val="24"/>
          <w:highlight w:val="none"/>
        </w:rPr>
        <w:t>用招标文件所提供的投标文件全部格式。</w:t>
      </w:r>
    </w:p>
    <w:p w14:paraId="00D2071A">
      <w:pPr>
        <w:spacing w:before="68" w:line="360" w:lineRule="auto"/>
        <w:ind w:left="11" w:right="99" w:firstLine="563"/>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10.1.1  </w:t>
      </w:r>
      <w:r>
        <w:rPr>
          <w:rFonts w:hint="eastAsia" w:ascii="宋体" w:hAnsi="宋体" w:eastAsia="宋体" w:cs="宋体"/>
          <w:color w:val="auto"/>
          <w:spacing w:val="-3"/>
          <w:sz w:val="24"/>
          <w:szCs w:val="24"/>
          <w:highlight w:val="none"/>
        </w:rPr>
        <w:t>投标人必须响应招标文件，并在充分理解招</w:t>
      </w:r>
      <w:r>
        <w:rPr>
          <w:rFonts w:hint="eastAsia" w:ascii="宋体" w:hAnsi="宋体" w:eastAsia="宋体" w:cs="宋体"/>
          <w:color w:val="auto"/>
          <w:spacing w:val="-4"/>
          <w:sz w:val="24"/>
          <w:szCs w:val="24"/>
          <w:highlight w:val="none"/>
        </w:rPr>
        <w:t>标人提供的全部文件、设计图</w:t>
      </w:r>
      <w:r>
        <w:rPr>
          <w:rFonts w:hint="eastAsia" w:ascii="宋体" w:hAnsi="宋体" w:eastAsia="宋体" w:cs="宋体"/>
          <w:color w:val="auto"/>
          <w:spacing w:val="-1"/>
          <w:sz w:val="24"/>
          <w:szCs w:val="24"/>
          <w:highlight w:val="none"/>
        </w:rPr>
        <w:t>纸、资料及现场条件的基础上编制投标文件。因投标文件</w:t>
      </w:r>
      <w:r>
        <w:rPr>
          <w:rFonts w:hint="eastAsia" w:ascii="宋体" w:hAnsi="宋体" w:eastAsia="宋体" w:cs="宋体"/>
          <w:color w:val="auto"/>
          <w:spacing w:val="-2"/>
          <w:sz w:val="24"/>
          <w:szCs w:val="24"/>
          <w:highlight w:val="none"/>
        </w:rPr>
        <w:t>不符合招标文件的要求而造</w:t>
      </w:r>
      <w:r>
        <w:rPr>
          <w:rFonts w:hint="eastAsia" w:ascii="宋体" w:hAnsi="宋体" w:eastAsia="宋体" w:cs="宋体"/>
          <w:color w:val="auto"/>
          <w:spacing w:val="-1"/>
          <w:sz w:val="24"/>
          <w:szCs w:val="24"/>
          <w:highlight w:val="none"/>
        </w:rPr>
        <w:t>成的损失和后果，由投标人自行承担。</w:t>
      </w:r>
    </w:p>
    <w:p w14:paraId="6CE89948">
      <w:pPr>
        <w:spacing w:before="123" w:line="360" w:lineRule="auto"/>
        <w:ind w:left="8" w:firstLine="566"/>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10.1.2  </w:t>
      </w:r>
      <w:r>
        <w:rPr>
          <w:rFonts w:hint="eastAsia" w:ascii="宋体" w:hAnsi="宋体" w:eastAsia="宋体" w:cs="宋体"/>
          <w:color w:val="auto"/>
          <w:spacing w:val="-3"/>
          <w:sz w:val="24"/>
          <w:szCs w:val="24"/>
          <w:highlight w:val="none"/>
        </w:rPr>
        <w:t>投标文件全部采用电子文档，投标文件所附</w:t>
      </w:r>
      <w:r>
        <w:rPr>
          <w:rFonts w:hint="eastAsia" w:ascii="宋体" w:hAnsi="宋体" w:eastAsia="宋体" w:cs="宋体"/>
          <w:color w:val="auto"/>
          <w:spacing w:val="-4"/>
          <w:sz w:val="24"/>
          <w:szCs w:val="24"/>
          <w:highlight w:val="none"/>
        </w:rPr>
        <w:t>证书证件均为原件扫描件，并</w:t>
      </w:r>
      <w:r>
        <w:rPr>
          <w:rFonts w:hint="eastAsia" w:ascii="宋体" w:hAnsi="宋体" w:eastAsia="宋体" w:cs="宋体"/>
          <w:color w:val="auto"/>
          <w:spacing w:val="-1"/>
          <w:sz w:val="24"/>
          <w:szCs w:val="24"/>
          <w:highlight w:val="none"/>
        </w:rPr>
        <w:t>采用单位数字证书，按招标文件要求在相应位置加盖电子印章。</w:t>
      </w:r>
      <w:r>
        <w:rPr>
          <w:rFonts w:hint="eastAsia" w:ascii="宋体" w:hAnsi="宋体" w:eastAsia="宋体" w:cs="宋体"/>
          <w:color w:val="auto"/>
          <w:spacing w:val="-2"/>
          <w:sz w:val="24"/>
          <w:szCs w:val="24"/>
          <w:highlight w:val="none"/>
        </w:rPr>
        <w:t>投标文件中需个人签</w:t>
      </w:r>
      <w:r>
        <w:rPr>
          <w:rFonts w:hint="eastAsia" w:ascii="宋体" w:hAnsi="宋体" w:eastAsia="宋体" w:cs="宋体"/>
          <w:color w:val="auto"/>
          <w:spacing w:val="-1"/>
          <w:sz w:val="24"/>
          <w:szCs w:val="24"/>
          <w:highlight w:val="none"/>
        </w:rPr>
        <w:t>字或盖章的，应加盖个人电子印章或在线下完成后扫描上传。按</w:t>
      </w:r>
      <w:r>
        <w:rPr>
          <w:rFonts w:hint="eastAsia" w:ascii="宋体" w:hAnsi="宋体" w:eastAsia="宋体" w:cs="宋体"/>
          <w:color w:val="auto"/>
          <w:spacing w:val="-2"/>
          <w:sz w:val="24"/>
          <w:szCs w:val="24"/>
          <w:highlight w:val="none"/>
        </w:rPr>
        <w:t>照交易平台关于全流</w:t>
      </w:r>
      <w:r>
        <w:rPr>
          <w:rFonts w:hint="eastAsia" w:ascii="宋体" w:hAnsi="宋体" w:eastAsia="宋体" w:cs="宋体"/>
          <w:color w:val="auto"/>
          <w:spacing w:val="-7"/>
          <w:sz w:val="24"/>
          <w:szCs w:val="24"/>
          <w:highlight w:val="none"/>
        </w:rPr>
        <w:t>程电子化项目的相关指南进行操作。详见：全国公共资源</w:t>
      </w:r>
      <w:r>
        <w:rPr>
          <w:rFonts w:hint="eastAsia" w:ascii="宋体" w:hAnsi="宋体" w:eastAsia="宋体" w:cs="宋体"/>
          <w:color w:val="auto"/>
          <w:spacing w:val="-8"/>
          <w:sz w:val="24"/>
          <w:szCs w:val="24"/>
          <w:highlight w:val="none"/>
        </w:rPr>
        <w:t>交易平台（广东省·韶关市）</w:t>
      </w:r>
      <w:r>
        <w:rPr>
          <w:rFonts w:hint="eastAsia" w:ascii="宋体" w:hAnsi="宋体" w:eastAsia="宋体" w:cs="宋体"/>
          <w:color w:val="auto"/>
          <w:spacing w:val="-2"/>
          <w:sz w:val="24"/>
          <w:szCs w:val="24"/>
          <w:highlight w:val="none"/>
        </w:rPr>
        <w:t>交易指引。</w:t>
      </w:r>
    </w:p>
    <w:p w14:paraId="56ED9FEA">
      <w:pPr>
        <w:spacing w:before="1" w:line="360" w:lineRule="auto"/>
        <w:ind w:left="57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10.1.3  </w:t>
      </w:r>
      <w:r>
        <w:rPr>
          <w:rFonts w:hint="eastAsia" w:ascii="宋体" w:hAnsi="宋体" w:eastAsia="宋体" w:cs="宋体"/>
          <w:color w:val="auto"/>
          <w:spacing w:val="-1"/>
          <w:sz w:val="24"/>
          <w:szCs w:val="24"/>
          <w:highlight w:val="none"/>
        </w:rPr>
        <w:t>投标文件需按以下要求签字、盖章：电子投标文件：</w:t>
      </w:r>
    </w:p>
    <w:p w14:paraId="09125407">
      <w:pPr>
        <w:spacing w:before="111" w:line="360" w:lineRule="auto"/>
        <w:ind w:right="133" w:firstLine="57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"10.1.3.1"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2"/>
          <w:sz w:val="24"/>
          <w:szCs w:val="24"/>
          <w:highlight w:val="none"/>
        </w:rPr>
        <w:t>10.1.3.1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投标文件封面、组成</w:t>
      </w:r>
      <w:r>
        <w:rPr>
          <w:rFonts w:hint="eastAsia" w:ascii="宋体" w:hAnsi="宋体" w:eastAsia="宋体" w:cs="宋体"/>
          <w:color w:val="auto"/>
          <w:spacing w:val="-3"/>
          <w:sz w:val="24"/>
          <w:szCs w:val="24"/>
          <w:highlight w:val="none"/>
        </w:rPr>
        <w:t>内容中凡注明“签字</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3"/>
          <w:sz w:val="24"/>
          <w:szCs w:val="24"/>
          <w:highlight w:val="none"/>
        </w:rPr>
        <w:t>”处由要求的人员签字或电子</w:t>
      </w:r>
      <w:r>
        <w:rPr>
          <w:rFonts w:hint="eastAsia" w:ascii="宋体" w:hAnsi="宋体" w:eastAsia="宋体" w:cs="宋体"/>
          <w:color w:val="auto"/>
          <w:spacing w:val="-2"/>
          <w:sz w:val="24"/>
          <w:szCs w:val="24"/>
          <w:highlight w:val="none"/>
        </w:rPr>
        <w:t>签章；凡注明“签字或盖章</w:t>
      </w:r>
      <w:r>
        <w:rPr>
          <w:rFonts w:hint="eastAsia" w:ascii="宋体" w:hAnsi="宋体" w:eastAsia="宋体" w:cs="宋体"/>
          <w:color w:val="auto"/>
          <w:spacing w:val="-87"/>
          <w:sz w:val="24"/>
          <w:szCs w:val="24"/>
          <w:highlight w:val="none"/>
        </w:rPr>
        <w:t xml:space="preserve"> </w:t>
      </w:r>
      <w:r>
        <w:rPr>
          <w:rFonts w:hint="eastAsia" w:ascii="宋体" w:hAnsi="宋体" w:eastAsia="宋体" w:cs="宋体"/>
          <w:color w:val="auto"/>
          <w:spacing w:val="-2"/>
          <w:sz w:val="24"/>
          <w:szCs w:val="24"/>
          <w:highlight w:val="none"/>
        </w:rPr>
        <w:t>”处由要求的人员签字或盖其私章（电子印章</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2"/>
          <w:sz w:val="24"/>
          <w:szCs w:val="24"/>
          <w:highlight w:val="none"/>
        </w:rPr>
        <w:t>凡注明</w:t>
      </w:r>
      <w:r>
        <w:rPr>
          <w:rFonts w:hint="eastAsia" w:ascii="宋体" w:hAnsi="宋体" w:eastAsia="宋体" w:cs="宋体"/>
          <w:color w:val="auto"/>
          <w:spacing w:val="-1"/>
          <w:sz w:val="24"/>
          <w:szCs w:val="24"/>
          <w:highlight w:val="none"/>
        </w:rPr>
        <w:t>“签字并盖执业印章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”处由要求的人员签字并盖其执业印</w:t>
      </w:r>
      <w:r>
        <w:rPr>
          <w:rFonts w:hint="eastAsia" w:ascii="宋体" w:hAnsi="宋体" w:eastAsia="宋体" w:cs="宋体"/>
          <w:color w:val="auto"/>
          <w:spacing w:val="-2"/>
          <w:sz w:val="24"/>
          <w:szCs w:val="24"/>
          <w:highlight w:val="none"/>
        </w:rPr>
        <w:t>章。</w:t>
      </w:r>
    </w:p>
    <w:p w14:paraId="06844991">
      <w:pPr>
        <w:spacing w:before="112" w:line="360" w:lineRule="auto"/>
        <w:ind w:left="13" w:right="133" w:firstLine="56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"10.1.3.2"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2"/>
          <w:sz w:val="24"/>
          <w:szCs w:val="24"/>
          <w:highlight w:val="none"/>
        </w:rPr>
        <w:t>10.1.3.2</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投标文件封套、封面、组成内容中凡要求录入投标人名称且注明“盖单</w:t>
      </w:r>
      <w:r>
        <w:rPr>
          <w:rFonts w:hint="eastAsia" w:ascii="宋体" w:hAnsi="宋体" w:eastAsia="宋体" w:cs="宋体"/>
          <w:color w:val="auto"/>
          <w:spacing w:val="-3"/>
          <w:sz w:val="24"/>
          <w:szCs w:val="24"/>
          <w:highlight w:val="none"/>
        </w:rPr>
        <w:t>位章</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3"/>
          <w:sz w:val="24"/>
          <w:szCs w:val="24"/>
          <w:highlight w:val="none"/>
        </w:rPr>
        <w:t>”处盖单位法人公章（电子印章）。</w:t>
      </w:r>
    </w:p>
    <w:p w14:paraId="56A0EC54">
      <w:pPr>
        <w:spacing w:before="146" w:line="360" w:lineRule="auto"/>
        <w:ind w:left="16" w:right="135" w:firstLine="56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"10.1.3.3"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1"/>
          <w:sz w:val="24"/>
          <w:szCs w:val="24"/>
          <w:highlight w:val="none"/>
        </w:rPr>
        <w:t>10.1.3.3</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投标文件的签字均为签字人本人亲笔署名或签章</w:t>
      </w:r>
      <w:r>
        <w:rPr>
          <w:rFonts w:hint="eastAsia" w:ascii="宋体" w:hAnsi="宋体" w:eastAsia="宋体" w:cs="宋体"/>
          <w:color w:val="auto"/>
          <w:spacing w:val="-2"/>
          <w:sz w:val="24"/>
          <w:szCs w:val="24"/>
          <w:highlight w:val="none"/>
        </w:rPr>
        <w:t>（电子印章</w:t>
      </w:r>
      <w:r>
        <w:rPr>
          <w:rFonts w:hint="eastAsia" w:ascii="宋体" w:hAnsi="宋体" w:eastAsia="宋体" w:cs="宋体"/>
          <w:color w:val="auto"/>
          <w:spacing w:val="-14"/>
          <w:sz w:val="24"/>
          <w:szCs w:val="24"/>
          <w:highlight w:val="none"/>
        </w:rPr>
        <w:t>），</w:t>
      </w:r>
      <w:r>
        <w:rPr>
          <w:rFonts w:hint="eastAsia" w:ascii="宋体" w:hAnsi="宋体" w:eastAsia="宋体" w:cs="宋体"/>
          <w:color w:val="auto"/>
          <w:spacing w:val="-2"/>
          <w:sz w:val="24"/>
          <w:szCs w:val="24"/>
          <w:highlight w:val="none"/>
        </w:rPr>
        <w:t>其余部</w:t>
      </w:r>
      <w:r>
        <w:rPr>
          <w:rFonts w:hint="eastAsia" w:ascii="宋体" w:hAnsi="宋体" w:eastAsia="宋体" w:cs="宋体"/>
          <w:color w:val="auto"/>
          <w:spacing w:val="-1"/>
          <w:sz w:val="24"/>
          <w:szCs w:val="24"/>
          <w:highlight w:val="none"/>
        </w:rPr>
        <w:t>分的复印件无须另行签字、盖章。</w:t>
      </w:r>
    </w:p>
    <w:p w14:paraId="4F952D25">
      <w:pPr>
        <w:spacing w:before="155" w:line="360" w:lineRule="auto"/>
        <w:ind w:left="16" w:right="133" w:firstLine="562"/>
        <w:rPr>
          <w:rFonts w:hint="eastAsia" w:ascii="宋体" w:hAnsi="宋体" w:eastAsia="宋体" w:cs="宋体"/>
          <w:color w:val="auto"/>
          <w:spacing w:val="-1"/>
          <w:sz w:val="24"/>
          <w:szCs w:val="24"/>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"10.1.3.4" </w:instrText>
      </w:r>
      <w:r>
        <w:rPr>
          <w:rFonts w:hint="eastAsia" w:ascii="宋体" w:hAnsi="宋体" w:eastAsia="宋体" w:cs="宋体"/>
          <w:color w:val="auto"/>
          <w:sz w:val="24"/>
          <w:szCs w:val="24"/>
          <w:highlight w:val="none"/>
        </w:rPr>
        <w:fldChar w:fldCharType="separate"/>
      </w:r>
      <w:r>
        <w:rPr>
          <w:rFonts w:hint="eastAsia" w:ascii="宋体" w:hAnsi="宋体" w:eastAsia="宋体" w:cs="宋体"/>
          <w:b/>
          <w:bCs/>
          <w:color w:val="auto"/>
          <w:spacing w:val="-2"/>
          <w:sz w:val="24"/>
          <w:szCs w:val="24"/>
          <w:highlight w:val="none"/>
        </w:rPr>
        <w:t>10.1.3.4</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联合体投标的，除《联合体协议书》外，由联合体牵头人按以上要求签</w:t>
      </w:r>
      <w:r>
        <w:rPr>
          <w:rFonts w:hint="eastAsia" w:ascii="宋体" w:hAnsi="宋体" w:eastAsia="宋体" w:cs="宋体"/>
          <w:color w:val="auto"/>
          <w:spacing w:val="-1"/>
          <w:sz w:val="24"/>
          <w:szCs w:val="24"/>
          <w:highlight w:val="none"/>
        </w:rPr>
        <w:t>亲笔署名或签章（电子印章）即可。</w:t>
      </w:r>
      <w:bookmarkStart w:id="46" w:name="_Toc21271"/>
      <w:bookmarkStart w:id="47" w:name="_Toc15948"/>
    </w:p>
    <w:p w14:paraId="3FEDC4B5">
      <w:pPr>
        <w:spacing w:before="155" w:line="360" w:lineRule="auto"/>
        <w:ind w:left="16" w:right="133" w:firstLine="562"/>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10.2  </w:t>
      </w:r>
      <w:r>
        <w:rPr>
          <w:rFonts w:hint="eastAsia" w:ascii="宋体" w:hAnsi="宋体" w:eastAsia="宋体" w:cs="宋体"/>
          <w:color w:val="auto"/>
          <w:spacing w:val="-2"/>
          <w:sz w:val="24"/>
          <w:szCs w:val="24"/>
          <w:highlight w:val="none"/>
        </w:rPr>
        <w:t>商务标书的编制要求</w:t>
      </w:r>
      <w:bookmarkEnd w:id="46"/>
      <w:bookmarkEnd w:id="47"/>
    </w:p>
    <w:p w14:paraId="0F56AEDA">
      <w:pPr>
        <w:keepNext w:val="0"/>
        <w:keepLines w:val="0"/>
        <w:pageBreakBefore w:val="0"/>
        <w:widowControl w:val="0"/>
        <w:overflowPunct/>
        <w:topLinePunct w:val="0"/>
        <w:bidi w:val="0"/>
        <w:adjustRightInd w:val="0"/>
        <w:snapToGrid w:val="0"/>
        <w:spacing w:before="157" w:line="360" w:lineRule="auto"/>
        <w:ind w:left="581"/>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10.2.1 </w:t>
      </w:r>
      <w:r>
        <w:rPr>
          <w:rFonts w:hint="eastAsia" w:ascii="宋体" w:hAnsi="宋体" w:eastAsia="宋体" w:cs="宋体"/>
          <w:color w:val="auto"/>
          <w:spacing w:val="-1"/>
          <w:sz w:val="24"/>
          <w:szCs w:val="24"/>
          <w:highlight w:val="none"/>
        </w:rPr>
        <w:t>商务标书包括但不限于以下内容：</w:t>
      </w:r>
    </w:p>
    <w:p w14:paraId="0AA1DC9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bookmarkStart w:id="48" w:name="bookmark121"/>
      <w:bookmarkEnd w:id="48"/>
      <w:r>
        <w:rPr>
          <w:rFonts w:hint="eastAsia" w:ascii="宋体" w:hAnsi="宋体" w:eastAsia="宋体" w:cs="宋体"/>
          <w:snapToGrid w:val="0"/>
          <w:color w:val="auto"/>
          <w:kern w:val="0"/>
          <w:sz w:val="24"/>
          <w:szCs w:val="24"/>
          <w:highlight w:val="none"/>
        </w:rPr>
        <w:t>（1）封面（格式一）；</w:t>
      </w:r>
    </w:p>
    <w:p w14:paraId="68911AF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（2）目录； </w:t>
      </w:r>
    </w:p>
    <w:p w14:paraId="67F4068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（3）《投标函》（格式二）；</w:t>
      </w:r>
    </w:p>
    <w:p w14:paraId="083F24D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（4）《各项承诺一览表》（格式三）；</w:t>
      </w:r>
    </w:p>
    <w:p w14:paraId="5C538F9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（5）《授权委托书》（格式四）；</w:t>
      </w:r>
    </w:p>
    <w:p w14:paraId="017A17A9">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（6）《法定代表人身份证明》（格式五）；</w:t>
      </w:r>
    </w:p>
    <w:p w14:paraId="770EFBD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投标保证缴纳证明（投标人采用投标保证金的，附建设工程交易系统《缴纳投标保证金通知书》页面截图和银行转账单彩色扫描件；采用投标保证担保的，附银行保函彩色扫描件；采用投标保证保险的，附电子保单和</w:t>
      </w:r>
      <w:r>
        <w:rPr>
          <w:rFonts w:hint="eastAsia" w:ascii="宋体" w:hAnsi="宋体" w:eastAsia="宋体" w:cs="宋体"/>
          <w:b/>
          <w:bCs/>
          <w:snapToGrid w:val="0"/>
          <w:color w:val="auto"/>
          <w:kern w:val="0"/>
          <w:sz w:val="24"/>
          <w:szCs w:val="24"/>
          <w:highlight w:val="none"/>
          <w:lang w:val="en-US" w:eastAsia="zh-CN"/>
        </w:rPr>
        <w:t>《韶关市公共资源交易一体化平台保证金缴纳信息》页面截图）</w:t>
      </w:r>
      <w:r>
        <w:rPr>
          <w:rFonts w:hint="eastAsia" w:ascii="宋体" w:hAnsi="宋体" w:eastAsia="宋体" w:cs="宋体"/>
          <w:snapToGrid w:val="0"/>
          <w:color w:val="auto"/>
          <w:kern w:val="0"/>
          <w:sz w:val="24"/>
          <w:szCs w:val="24"/>
          <w:highlight w:val="none"/>
          <w:lang w:val="en-US" w:eastAsia="zh-CN"/>
        </w:rPr>
        <w:t>；</w:t>
      </w:r>
    </w:p>
    <w:p w14:paraId="6345F3A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8</w:t>
      </w:r>
      <w:r>
        <w:rPr>
          <w:rFonts w:hint="eastAsia" w:ascii="宋体" w:hAnsi="宋体" w:eastAsia="宋体" w:cs="宋体"/>
          <w:snapToGrid w:val="0"/>
          <w:color w:val="auto"/>
          <w:kern w:val="0"/>
          <w:sz w:val="24"/>
          <w:szCs w:val="24"/>
          <w:highlight w:val="none"/>
        </w:rPr>
        <w:t>）《投标人基本情况表》（格式</w:t>
      </w:r>
      <w:r>
        <w:rPr>
          <w:rFonts w:hint="eastAsia" w:ascii="宋体" w:hAnsi="宋体" w:eastAsia="宋体" w:cs="宋体"/>
          <w:snapToGrid w:val="0"/>
          <w:color w:val="auto"/>
          <w:kern w:val="0"/>
          <w:sz w:val="24"/>
          <w:szCs w:val="24"/>
          <w:highlight w:val="none"/>
          <w:lang w:val="en-US" w:eastAsia="zh-CN"/>
        </w:rPr>
        <w:t>六</w:t>
      </w:r>
      <w:r>
        <w:rPr>
          <w:rFonts w:hint="eastAsia" w:ascii="宋体" w:hAnsi="宋体" w:eastAsia="宋体" w:cs="宋体"/>
          <w:snapToGrid w:val="0"/>
          <w:color w:val="auto"/>
          <w:kern w:val="0"/>
          <w:sz w:val="24"/>
          <w:szCs w:val="24"/>
          <w:highlight w:val="none"/>
        </w:rPr>
        <w:t>）及所附资料；</w:t>
      </w:r>
    </w:p>
    <w:p w14:paraId="77AE3B5F">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9</w:t>
      </w:r>
      <w:r>
        <w:rPr>
          <w:rFonts w:hint="eastAsia" w:ascii="宋体" w:hAnsi="宋体" w:eastAsia="宋体" w:cs="宋体"/>
          <w:snapToGrid w:val="0"/>
          <w:color w:val="auto"/>
          <w:kern w:val="0"/>
          <w:sz w:val="24"/>
          <w:szCs w:val="24"/>
          <w:highlight w:val="none"/>
        </w:rPr>
        <w:t>）《项目经理简历表》（格式</w:t>
      </w:r>
      <w:r>
        <w:rPr>
          <w:rFonts w:hint="eastAsia" w:ascii="宋体" w:hAnsi="宋体" w:eastAsia="宋体" w:cs="宋体"/>
          <w:snapToGrid w:val="0"/>
          <w:color w:val="auto"/>
          <w:kern w:val="0"/>
          <w:sz w:val="24"/>
          <w:szCs w:val="24"/>
          <w:highlight w:val="none"/>
          <w:lang w:val="en-US" w:eastAsia="zh-CN"/>
        </w:rPr>
        <w:t>七</w:t>
      </w:r>
      <w:r>
        <w:rPr>
          <w:rFonts w:hint="eastAsia" w:ascii="宋体" w:hAnsi="宋体" w:eastAsia="宋体" w:cs="宋体"/>
          <w:snapToGrid w:val="0"/>
          <w:color w:val="auto"/>
          <w:kern w:val="0"/>
          <w:sz w:val="24"/>
          <w:szCs w:val="24"/>
          <w:highlight w:val="none"/>
        </w:rPr>
        <w:t>）及所附资料；</w:t>
      </w:r>
    </w:p>
    <w:p w14:paraId="2B6A637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0</w:t>
      </w:r>
      <w:r>
        <w:rPr>
          <w:rFonts w:hint="eastAsia" w:ascii="宋体" w:hAnsi="宋体" w:eastAsia="宋体" w:cs="宋体"/>
          <w:snapToGrid w:val="0"/>
          <w:color w:val="auto"/>
          <w:kern w:val="0"/>
          <w:sz w:val="24"/>
          <w:szCs w:val="24"/>
          <w:highlight w:val="none"/>
        </w:rPr>
        <w:t>）《项目经理任职声明》（格式</w:t>
      </w:r>
      <w:r>
        <w:rPr>
          <w:rFonts w:hint="eastAsia" w:ascii="宋体" w:hAnsi="宋体" w:eastAsia="宋体" w:cs="宋体"/>
          <w:snapToGrid w:val="0"/>
          <w:color w:val="auto"/>
          <w:kern w:val="0"/>
          <w:sz w:val="24"/>
          <w:szCs w:val="24"/>
          <w:highlight w:val="none"/>
          <w:lang w:val="en-US" w:eastAsia="zh-CN"/>
        </w:rPr>
        <w:t>八</w:t>
      </w:r>
      <w:r>
        <w:rPr>
          <w:rFonts w:hint="eastAsia" w:ascii="宋体" w:hAnsi="宋体" w:eastAsia="宋体" w:cs="宋体"/>
          <w:snapToGrid w:val="0"/>
          <w:color w:val="auto"/>
          <w:kern w:val="0"/>
          <w:sz w:val="24"/>
          <w:szCs w:val="24"/>
          <w:highlight w:val="none"/>
        </w:rPr>
        <w:t>）；</w:t>
      </w:r>
    </w:p>
    <w:p w14:paraId="275FFD0D">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1</w:t>
      </w:r>
      <w:r>
        <w:rPr>
          <w:rFonts w:hint="eastAsia" w:ascii="宋体" w:hAnsi="宋体" w:eastAsia="宋体" w:cs="宋体"/>
          <w:snapToGrid w:val="0"/>
          <w:color w:val="auto"/>
          <w:kern w:val="0"/>
          <w:sz w:val="24"/>
          <w:szCs w:val="24"/>
          <w:highlight w:val="none"/>
        </w:rPr>
        <w:t>）《项目技术负责人简历表》（格式</w:t>
      </w:r>
      <w:r>
        <w:rPr>
          <w:rFonts w:hint="eastAsia" w:ascii="宋体" w:hAnsi="宋体" w:eastAsia="宋体" w:cs="宋体"/>
          <w:snapToGrid w:val="0"/>
          <w:color w:val="auto"/>
          <w:kern w:val="0"/>
          <w:sz w:val="24"/>
          <w:szCs w:val="24"/>
          <w:highlight w:val="none"/>
          <w:lang w:val="en-US" w:eastAsia="zh-CN"/>
        </w:rPr>
        <w:t>九</w:t>
      </w:r>
      <w:r>
        <w:rPr>
          <w:rFonts w:hint="eastAsia" w:ascii="宋体" w:hAnsi="宋体" w:eastAsia="宋体" w:cs="宋体"/>
          <w:snapToGrid w:val="0"/>
          <w:color w:val="auto"/>
          <w:kern w:val="0"/>
          <w:sz w:val="24"/>
          <w:szCs w:val="24"/>
          <w:highlight w:val="none"/>
        </w:rPr>
        <w:t>）及所附资料；</w:t>
      </w:r>
    </w:p>
    <w:p w14:paraId="78DB844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）《项目管理机构组成表》（格式十）及所附资料；</w:t>
      </w:r>
    </w:p>
    <w:p w14:paraId="775CFAF4">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）本节“评标方法”要求提供的评审资料；</w:t>
      </w:r>
    </w:p>
    <w:p w14:paraId="239977E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r>
        <w:rPr>
          <w:rFonts w:hint="eastAsia" w:ascii="宋体" w:hAnsi="宋体" w:eastAsia="宋体" w:cs="宋体"/>
          <w:snapToGrid w:val="0"/>
          <w:color w:val="auto"/>
          <w:kern w:val="0"/>
          <w:sz w:val="24"/>
          <w:szCs w:val="24"/>
          <w:highlight w:val="none"/>
          <w:lang w:val="en-US" w:eastAsia="zh-CN"/>
        </w:rPr>
        <w:t>4</w:t>
      </w:r>
      <w:r>
        <w:rPr>
          <w:rFonts w:hint="eastAsia" w:ascii="宋体" w:hAnsi="宋体" w:eastAsia="宋体" w:cs="宋体"/>
          <w:snapToGrid w:val="0"/>
          <w:color w:val="auto"/>
          <w:kern w:val="0"/>
          <w:sz w:val="24"/>
          <w:szCs w:val="24"/>
          <w:highlight w:val="none"/>
        </w:rPr>
        <w:t>）投标人认为有必要补充的其他资料。（例如投标人已经工商变更，但其企业资质证书、安全生产许可证或其员工执业资格注册证书上的企业名称未能在投标期间完成变更的书面说明和佐证材料；</w:t>
      </w:r>
      <w:r>
        <w:rPr>
          <w:rFonts w:hint="eastAsia" w:ascii="宋体" w:hAnsi="宋体" w:eastAsia="宋体" w:cs="宋体"/>
          <w:b/>
          <w:bCs/>
          <w:snapToGrid w:val="0"/>
          <w:color w:val="auto"/>
          <w:kern w:val="0"/>
          <w:sz w:val="24"/>
          <w:szCs w:val="24"/>
          <w:highlight w:val="none"/>
        </w:rPr>
        <w:t>企业所在省、地级市住建部门或其授权的组织（机构）关于企业资质、人员资格有效期自动顺延或延期办理的相关文件等）</w:t>
      </w:r>
      <w:r>
        <w:rPr>
          <w:rFonts w:hint="eastAsia" w:ascii="宋体" w:hAnsi="宋体" w:eastAsia="宋体" w:cs="宋体"/>
          <w:snapToGrid w:val="0"/>
          <w:color w:val="auto"/>
          <w:kern w:val="0"/>
          <w:sz w:val="24"/>
          <w:szCs w:val="24"/>
          <w:highlight w:val="none"/>
        </w:rPr>
        <w:t>。</w:t>
      </w:r>
    </w:p>
    <w:p w14:paraId="6B288EDE">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10.2.1</w:t>
      </w:r>
      <w:r>
        <w:rPr>
          <w:rFonts w:hint="eastAsia" w:ascii="宋体" w:hAnsi="宋体" w:eastAsia="宋体" w:cs="宋体"/>
          <w:snapToGrid w:val="0"/>
          <w:color w:val="auto"/>
          <w:kern w:val="0"/>
          <w:sz w:val="24"/>
          <w:szCs w:val="24"/>
          <w:highlight w:val="none"/>
        </w:rPr>
        <w:t>目中所列出的商务标书组成内容中，第（1）至第（1</w:t>
      </w:r>
      <w:r>
        <w:rPr>
          <w:rFonts w:hint="eastAsia" w:ascii="宋体" w:hAnsi="宋体" w:eastAsia="宋体" w:cs="宋体"/>
          <w:snapToGrid w:val="0"/>
          <w:color w:val="auto"/>
          <w:kern w:val="0"/>
          <w:sz w:val="24"/>
          <w:szCs w:val="24"/>
          <w:highlight w:val="none"/>
          <w:lang w:val="en-US" w:eastAsia="zh-CN"/>
        </w:rPr>
        <w:t>3</w:t>
      </w:r>
      <w:r>
        <w:rPr>
          <w:rFonts w:hint="eastAsia" w:ascii="宋体" w:hAnsi="宋体" w:eastAsia="宋体" w:cs="宋体"/>
          <w:snapToGrid w:val="0"/>
          <w:color w:val="auto"/>
          <w:kern w:val="0"/>
          <w:sz w:val="24"/>
          <w:szCs w:val="24"/>
          <w:highlight w:val="none"/>
        </w:rPr>
        <w:t>）项所有投标人均应提供</w:t>
      </w:r>
      <w:r>
        <w:rPr>
          <w:rFonts w:hint="eastAsia" w:ascii="宋体" w:hAnsi="宋体" w:eastAsia="宋体" w:cs="宋体"/>
          <w:b/>
          <w:bCs/>
          <w:snapToGrid w:val="0"/>
          <w:color w:val="auto"/>
          <w:kern w:val="0"/>
          <w:sz w:val="24"/>
          <w:szCs w:val="24"/>
          <w:highlight w:val="none"/>
        </w:rPr>
        <w:t>。</w:t>
      </w:r>
    </w:p>
    <w:p w14:paraId="2AC83DC3">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10.2.3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Cs/>
          <w:snapToGrid w:val="0"/>
          <w:color w:val="auto"/>
          <w:kern w:val="0"/>
          <w:sz w:val="24"/>
          <w:szCs w:val="24"/>
          <w:highlight w:val="none"/>
        </w:rPr>
        <w:t>商务标书的组成内容按本节第</w:t>
      </w:r>
      <w:r>
        <w:rPr>
          <w:rFonts w:hint="eastAsia" w:ascii="宋体" w:hAnsi="宋体" w:eastAsia="宋体" w:cs="宋体"/>
          <w:b/>
          <w:snapToGrid w:val="0"/>
          <w:color w:val="auto"/>
          <w:kern w:val="0"/>
          <w:sz w:val="24"/>
          <w:szCs w:val="24"/>
          <w:highlight w:val="none"/>
        </w:rPr>
        <w:t>10.2.1</w:t>
      </w:r>
      <w:r>
        <w:rPr>
          <w:rFonts w:hint="eastAsia" w:ascii="宋体" w:hAnsi="宋体" w:eastAsia="宋体" w:cs="宋体"/>
          <w:bCs/>
          <w:snapToGrid w:val="0"/>
          <w:color w:val="auto"/>
          <w:kern w:val="0"/>
          <w:sz w:val="24"/>
          <w:szCs w:val="24"/>
          <w:highlight w:val="none"/>
        </w:rPr>
        <w:t>目规定的顺序整理、编排后，逐页（页码起始从封面开始）连续标记页码</w:t>
      </w:r>
      <w:r>
        <w:rPr>
          <w:rFonts w:hint="eastAsia" w:ascii="宋体" w:hAnsi="宋体" w:eastAsia="宋体" w:cs="宋体"/>
          <w:snapToGrid w:val="0"/>
          <w:color w:val="auto"/>
          <w:kern w:val="0"/>
          <w:sz w:val="24"/>
          <w:szCs w:val="24"/>
          <w:highlight w:val="none"/>
        </w:rPr>
        <w:t>，作成一个PDF格式电子文件</w:t>
      </w:r>
      <w:r>
        <w:rPr>
          <w:rFonts w:hint="eastAsia" w:ascii="宋体" w:hAnsi="宋体" w:eastAsia="宋体" w:cs="宋体"/>
          <w:bCs/>
          <w:snapToGrid w:val="0"/>
          <w:color w:val="auto"/>
          <w:kern w:val="0"/>
          <w:sz w:val="24"/>
          <w:szCs w:val="24"/>
          <w:highlight w:val="none"/>
        </w:rPr>
        <w:t>。</w:t>
      </w:r>
      <w:bookmarkStart w:id="49" w:name="_Hlt87783273"/>
      <w:bookmarkEnd w:id="49"/>
      <w:bookmarkStart w:id="50" w:name="_Hlt69670029"/>
      <w:bookmarkEnd w:id="50"/>
      <w:bookmarkStart w:id="51" w:name="_Toc274313881"/>
    </w:p>
    <w:p w14:paraId="722C6DEB">
      <w:pPr>
        <w:spacing w:before="155" w:line="360" w:lineRule="auto"/>
        <w:ind w:left="16" w:right="133" w:firstLine="562"/>
        <w:rPr>
          <w:rFonts w:hint="eastAsia" w:ascii="宋体" w:hAnsi="宋体" w:eastAsia="宋体" w:cs="宋体"/>
          <w:b/>
          <w:bCs/>
          <w:color w:val="auto"/>
          <w:spacing w:val="-2"/>
          <w:sz w:val="24"/>
          <w:szCs w:val="24"/>
          <w:highlight w:val="none"/>
        </w:rPr>
      </w:pPr>
      <w:bookmarkStart w:id="52" w:name="_Toc20435"/>
      <w:bookmarkStart w:id="53" w:name="_Toc1207"/>
      <w:r>
        <w:rPr>
          <w:rFonts w:hint="eastAsia" w:ascii="宋体" w:hAnsi="宋体" w:eastAsia="宋体" w:cs="宋体"/>
          <w:b/>
          <w:bCs/>
          <w:color w:val="auto"/>
          <w:spacing w:val="-2"/>
          <w:sz w:val="24"/>
          <w:szCs w:val="24"/>
          <w:highlight w:val="none"/>
        </w:rPr>
        <w:t>10.3</w:t>
      </w:r>
      <w:bookmarkStart w:id="54" w:name="_Hlt69670035"/>
      <w:bookmarkEnd w:id="54"/>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b w:val="0"/>
          <w:bCs w:val="0"/>
          <w:color w:val="auto"/>
          <w:spacing w:val="-2"/>
          <w:sz w:val="24"/>
          <w:szCs w:val="24"/>
          <w:highlight w:val="none"/>
        </w:rPr>
        <w:t>经济标书的编制要求</w:t>
      </w:r>
      <w:bookmarkEnd w:id="51"/>
      <w:bookmarkEnd w:id="52"/>
      <w:bookmarkEnd w:id="53"/>
    </w:p>
    <w:p w14:paraId="3316F8EC">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 xml:space="preserve"> 经济标书包括以下内容：</w:t>
      </w:r>
    </w:p>
    <w:p w14:paraId="00F2E6C5">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46828E44">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0EEB1714">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color w:val="auto"/>
          <w:sz w:val="24"/>
          <w:szCs w:val="24"/>
          <w:highlight w:val="none"/>
        </w:rPr>
      </w:pPr>
      <w:bookmarkStart w:id="55" w:name="_Hlt69699579"/>
      <w:bookmarkEnd w:id="55"/>
      <w:r>
        <w:rPr>
          <w:rFonts w:hint="eastAsia" w:ascii="宋体" w:hAnsi="宋体" w:eastAsia="宋体" w:cs="宋体"/>
          <w:color w:val="auto"/>
          <w:sz w:val="24"/>
          <w:szCs w:val="24"/>
          <w:highlight w:val="none"/>
        </w:rPr>
        <w:t>（3）《投标总价》；</w:t>
      </w:r>
    </w:p>
    <w:p w14:paraId="1D1AD6AA">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说明：《投标总价》的格式按照《建设工程工程量清单计价规范》（GB50500—2013）执行，并应满足以下要求：</w:t>
      </w:r>
    </w:p>
    <w:p w14:paraId="25D6703B">
      <w:pPr>
        <w:keepNext w:val="0"/>
        <w:keepLines w:val="0"/>
        <w:pageBreakBefore w:val="0"/>
        <w:widowControl/>
        <w:suppressLineNumbers w:val="0"/>
        <w:kinsoku/>
        <w:overflowPunct/>
        <w:autoSpaceDE/>
        <w:autoSpaceDN/>
        <w:bidi w:val="0"/>
        <w:spacing w:line="360" w:lineRule="auto"/>
        <w:ind w:firstLine="723" w:firstLineChars="300"/>
        <w:jc w:val="left"/>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a</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《投标总价扉页》（即扉—3）后应附编制人的造价工程师注册证书</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（须复印或打印至变更注册栏</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bidi="ar"/>
        </w:rPr>
        <w:t>一级造价师或二级造价师均可提供电子证书</w:t>
      </w:r>
      <w:r>
        <w:rPr>
          <w:rFonts w:hint="eastAsia" w:ascii="宋体" w:hAnsi="宋体" w:eastAsia="宋体" w:cs="宋体"/>
          <w:snapToGrid w:val="0"/>
          <w:color w:val="auto"/>
          <w:kern w:val="0"/>
          <w:sz w:val="24"/>
          <w:szCs w:val="24"/>
          <w:highlight w:val="none"/>
        </w:rPr>
        <w:t>）；投标人委托造价咨询单位编制《投标总价》的，在该扉页“投标人”栏目加盖造价咨询人公章，并在该扉页后附造价咨询人的营业执照副本</w:t>
      </w:r>
      <w:r>
        <w:rPr>
          <w:rFonts w:hint="eastAsia" w:ascii="宋体" w:hAnsi="宋体" w:eastAsia="宋体" w:cs="宋体"/>
          <w:snapToGrid w:val="0"/>
          <w:color w:val="auto"/>
          <w:kern w:val="0"/>
          <w:sz w:val="24"/>
          <w:szCs w:val="24"/>
          <w:highlight w:val="none"/>
          <w:lang w:val="en-US" w:eastAsia="zh-CN"/>
        </w:rPr>
        <w:t>彩色扫描件</w:t>
      </w:r>
      <w:r>
        <w:rPr>
          <w:rFonts w:hint="eastAsia" w:ascii="宋体" w:hAnsi="宋体" w:eastAsia="宋体" w:cs="宋体"/>
          <w:snapToGrid w:val="0"/>
          <w:color w:val="auto"/>
          <w:kern w:val="0"/>
          <w:sz w:val="24"/>
          <w:szCs w:val="24"/>
          <w:highlight w:val="none"/>
        </w:rPr>
        <w:t>。</w:t>
      </w:r>
    </w:p>
    <w:p w14:paraId="7A6CACCD">
      <w:pPr>
        <w:keepNext w:val="0"/>
        <w:keepLines w:val="0"/>
        <w:pageBreakBefore w:val="0"/>
        <w:kinsoku/>
        <w:wordWrap w:val="0"/>
        <w:overflowPunct/>
        <w:autoSpaceDE/>
        <w:autoSpaceDN/>
        <w:bidi w:val="0"/>
        <w:adjustRightInd w:val="0"/>
        <w:snapToGrid w:val="0"/>
        <w:spacing w:line="360" w:lineRule="auto"/>
        <w:ind w:firstLine="723" w:firstLineChars="3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b</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投标人认为有必要补充的其他资料（例如关于投标总价下浮率超过15%的书面说明和佐证材料）。</w:t>
      </w:r>
    </w:p>
    <w:p w14:paraId="42CA8CBA">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10.3.2</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目中所列出的经济标书组成内容中，第（1）至第（3）项所有投标人均应提供</w:t>
      </w:r>
      <w:bookmarkStart w:id="56" w:name="_Hlt145127239"/>
      <w:bookmarkEnd w:id="56"/>
      <w:r>
        <w:rPr>
          <w:rFonts w:hint="eastAsia" w:ascii="宋体" w:hAnsi="宋体" w:eastAsia="宋体" w:cs="宋体"/>
          <w:snapToGrid w:val="0"/>
          <w:color w:val="auto"/>
          <w:kern w:val="0"/>
          <w:sz w:val="24"/>
          <w:szCs w:val="24"/>
          <w:highlight w:val="none"/>
        </w:rPr>
        <w:t>。</w:t>
      </w:r>
    </w:p>
    <w:p w14:paraId="2A012BEE">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b/>
          <w:bCs/>
          <w:snapToGrid w:val="0"/>
          <w:color w:val="auto"/>
          <w:sz w:val="24"/>
          <w:szCs w:val="24"/>
          <w:highlight w:val="none"/>
        </w:rPr>
      </w:pPr>
      <w:r>
        <w:rPr>
          <w:rFonts w:hint="eastAsia" w:ascii="宋体" w:hAnsi="宋体" w:eastAsia="宋体" w:cs="宋体"/>
          <w:b/>
          <w:bCs/>
          <w:snapToGrid w:val="0"/>
          <w:color w:val="auto"/>
          <w:kern w:val="0"/>
          <w:sz w:val="24"/>
          <w:szCs w:val="24"/>
          <w:highlight w:val="none"/>
        </w:rPr>
        <w:t xml:space="preserve">10.3.3 </w:t>
      </w:r>
      <w:r>
        <w:rPr>
          <w:rFonts w:hint="eastAsia" w:ascii="宋体" w:hAnsi="宋体" w:eastAsia="宋体" w:cs="宋体"/>
          <w:snapToGrid w:val="0"/>
          <w:color w:val="auto"/>
          <w:kern w:val="0"/>
          <w:sz w:val="24"/>
          <w:szCs w:val="24"/>
          <w:highlight w:val="none"/>
        </w:rPr>
        <w:t>经济标书的组成内容应按本节第</w:t>
      </w:r>
      <w:r>
        <w:rPr>
          <w:rFonts w:hint="eastAsia" w:ascii="宋体" w:hAnsi="宋体" w:eastAsia="宋体" w:cs="宋体"/>
          <w:b/>
          <w:bCs/>
          <w:snapToGrid w:val="0"/>
          <w:color w:val="auto"/>
          <w:kern w:val="0"/>
          <w:sz w:val="24"/>
          <w:szCs w:val="24"/>
          <w:highlight w:val="none"/>
        </w:rPr>
        <w:t>10.3.1</w:t>
      </w:r>
      <w:r>
        <w:rPr>
          <w:rFonts w:hint="eastAsia" w:ascii="宋体" w:hAnsi="宋体" w:eastAsia="宋体" w:cs="宋体"/>
          <w:snapToGrid w:val="0"/>
          <w:color w:val="auto"/>
          <w:kern w:val="0"/>
          <w:sz w:val="24"/>
          <w:szCs w:val="24"/>
          <w:highlight w:val="none"/>
        </w:rPr>
        <w:t>目规定的顺序整理、编排后，逐页（页码起始从封面开始）连续标记页码</w:t>
      </w:r>
      <w:r>
        <w:rPr>
          <w:rFonts w:hint="eastAsia" w:ascii="宋体" w:hAnsi="宋体" w:eastAsia="宋体" w:cs="宋体"/>
          <w:snapToGrid w:val="0"/>
          <w:color w:val="auto"/>
          <w:kern w:val="0"/>
          <w:sz w:val="24"/>
          <w:szCs w:val="24"/>
          <w:highlight w:val="none"/>
          <w:lang w:val="en-US" w:eastAsia="zh-CN" w:bidi="ar-SA"/>
        </w:rPr>
        <w:t>，作成一个PDF格式电子文件</w:t>
      </w:r>
      <w:r>
        <w:rPr>
          <w:rFonts w:hint="eastAsia" w:ascii="宋体" w:hAnsi="宋体" w:eastAsia="宋体" w:cs="宋体"/>
          <w:snapToGrid w:val="0"/>
          <w:color w:val="auto"/>
          <w:kern w:val="0"/>
          <w:sz w:val="24"/>
          <w:szCs w:val="24"/>
          <w:highlight w:val="none"/>
        </w:rPr>
        <w:t>。</w:t>
      </w:r>
    </w:p>
    <w:p w14:paraId="274133CF">
      <w:pPr>
        <w:spacing w:before="155" w:line="360" w:lineRule="auto"/>
        <w:ind w:left="16" w:right="133" w:firstLine="562"/>
        <w:rPr>
          <w:rFonts w:hint="eastAsia" w:ascii="宋体" w:hAnsi="宋体" w:eastAsia="宋体" w:cs="宋体"/>
          <w:b w:val="0"/>
          <w:bCs w:val="0"/>
          <w:color w:val="auto"/>
          <w:spacing w:val="-2"/>
          <w:sz w:val="24"/>
          <w:szCs w:val="24"/>
          <w:highlight w:val="none"/>
        </w:rPr>
      </w:pPr>
      <w:bookmarkStart w:id="57" w:name="_Toc13483"/>
      <w:bookmarkStart w:id="58" w:name="_Toc538"/>
      <w:r>
        <w:rPr>
          <w:rFonts w:hint="eastAsia" w:ascii="宋体" w:hAnsi="宋体" w:eastAsia="宋体" w:cs="宋体"/>
          <w:b/>
          <w:bCs/>
          <w:color w:val="auto"/>
          <w:spacing w:val="-2"/>
          <w:sz w:val="24"/>
          <w:szCs w:val="24"/>
          <w:highlight w:val="none"/>
        </w:rPr>
        <w:t xml:space="preserve">10.4 </w:t>
      </w:r>
      <w:r>
        <w:rPr>
          <w:rFonts w:hint="eastAsia" w:ascii="宋体" w:hAnsi="宋体" w:eastAsia="宋体" w:cs="宋体"/>
          <w:b w:val="0"/>
          <w:bCs w:val="0"/>
          <w:color w:val="auto"/>
          <w:spacing w:val="-2"/>
          <w:sz w:val="24"/>
          <w:szCs w:val="24"/>
          <w:highlight w:val="none"/>
        </w:rPr>
        <w:t>施工组织设计的编制要求</w:t>
      </w:r>
      <w:bookmarkEnd w:id="57"/>
      <w:bookmarkEnd w:id="58"/>
    </w:p>
    <w:p w14:paraId="3B8C9E46">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施工组织设计的编制依据包括且不限于</w:t>
      </w:r>
      <w:r>
        <w:rPr>
          <w:rFonts w:hint="eastAsia" w:ascii="宋体" w:hAnsi="宋体" w:eastAsia="宋体" w:cs="宋体"/>
          <w:bCs/>
          <w:snapToGrid w:val="0"/>
          <w:color w:val="auto"/>
          <w:kern w:val="0"/>
          <w:sz w:val="24"/>
          <w:szCs w:val="24"/>
          <w:highlight w:val="none"/>
        </w:rPr>
        <w:t>：</w:t>
      </w:r>
    </w:p>
    <w:p w14:paraId="38F6ED61">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（1）招标文件及</w:t>
      </w:r>
      <w:r>
        <w:rPr>
          <w:rFonts w:hint="eastAsia" w:ascii="宋体" w:hAnsi="宋体" w:eastAsia="宋体" w:cs="宋体"/>
          <w:snapToGrid w:val="0"/>
          <w:color w:val="auto"/>
          <w:kern w:val="0"/>
          <w:sz w:val="24"/>
          <w:szCs w:val="24"/>
          <w:highlight w:val="none"/>
        </w:rPr>
        <w:t>其答疑（或修改）公告；</w:t>
      </w:r>
    </w:p>
    <w:p w14:paraId="005410FC">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（2）施工图及相关资料；</w:t>
      </w:r>
    </w:p>
    <w:p w14:paraId="69F87FA0">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（3）施工现场情况、工程特点；</w:t>
      </w:r>
    </w:p>
    <w:p w14:paraId="58BB025F">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（4）相关法律、法规、规定；</w:t>
      </w:r>
    </w:p>
    <w:p w14:paraId="3E83AE7F">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5）国家、广东省、韶关市关于施工现场管理、施工工艺、绿色施工、安全防护、文明施工、环境保护等方面的标准、规范、技术资料。如《广东省住房和城乡建设厅绿色施工导则》《广东省建设工程施工扬尘污染防治管理办法（试行）》等；</w:t>
      </w:r>
    </w:p>
    <w:p w14:paraId="68DD6349">
      <w:pPr>
        <w:keepNext w:val="0"/>
        <w:keepLines w:val="0"/>
        <w:pageBreakBefore w:val="0"/>
        <w:kinsoku/>
        <w:wordWrap w:val="0"/>
        <w:overflowPunct/>
        <w:autoSpaceDE/>
        <w:autoSpaceDN/>
        <w:bidi w:val="0"/>
        <w:adjustRightInd w:val="0"/>
        <w:snapToGrid w:val="0"/>
        <w:spacing w:line="360" w:lineRule="auto"/>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（6）企业内部标准、工法。</w:t>
      </w:r>
    </w:p>
    <w:p w14:paraId="61A6557C">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10.4.2</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施工组织设计包括但不限于以下内容：</w:t>
      </w:r>
    </w:p>
    <w:p w14:paraId="40FEEBF6">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（1）封面（格式一）；</w:t>
      </w:r>
    </w:p>
    <w:p w14:paraId="6D78AC23">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（2）目录；</w:t>
      </w:r>
    </w:p>
    <w:p w14:paraId="7F9B099C">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（3）总体概述（包括施工程序总体设想及施工段划分等内容）；</w:t>
      </w:r>
    </w:p>
    <w:p w14:paraId="3A07B246">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（4）施工总进度计划及保证措施（包括进度管理目标；以横道图或标明关键线路的网络进度计划；保障进度计划需要的人、材、机需求计划及保证措施；违约责任承诺等内容）；</w:t>
      </w:r>
    </w:p>
    <w:p w14:paraId="7A6AFA06">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（5）质量保证措施（包括质量管理目标；相应保证措施；违约责任承诺等内容）；</w:t>
      </w:r>
    </w:p>
    <w:p w14:paraId="15DD8330">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（6）施工技术措施（包括关键施工技术、工艺及工程项目实施的重点、难点分析和解决方案；新技术应用与承诺等内容）；</w:t>
      </w:r>
    </w:p>
    <w:p w14:paraId="3F9F3D44">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（7）绿色施工、安全防护、文明施工措施计划</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rPr>
        <w:t>应对建设单位组织的勘察设计等单位在施工招标文件中列出的危大工程清单(详见格式十</w:t>
      </w:r>
      <w:r>
        <w:rPr>
          <w:rFonts w:hint="eastAsia" w:ascii="宋体" w:hAnsi="宋体" w:eastAsia="宋体" w:cs="宋体"/>
          <w:b/>
          <w:bCs/>
          <w:snapToGrid w:val="0"/>
          <w:color w:val="auto"/>
          <w:kern w:val="0"/>
          <w:sz w:val="24"/>
          <w:szCs w:val="24"/>
          <w:highlight w:val="none"/>
          <w:lang w:val="en-US" w:eastAsia="zh-CN"/>
        </w:rPr>
        <w:t>二</w:t>
      </w:r>
      <w:r>
        <w:rPr>
          <w:rFonts w:hint="eastAsia" w:ascii="宋体" w:hAnsi="宋体" w:eastAsia="宋体" w:cs="宋体"/>
          <w:b/>
          <w:bCs/>
          <w:snapToGrid w:val="0"/>
          <w:color w:val="auto"/>
          <w:kern w:val="0"/>
          <w:sz w:val="24"/>
          <w:szCs w:val="24"/>
          <w:highlight w:val="none"/>
        </w:rPr>
        <w:t>)进行投标文件回应</w:t>
      </w:r>
      <w:r>
        <w:rPr>
          <w:rFonts w:hint="eastAsia" w:ascii="宋体" w:hAnsi="宋体" w:eastAsia="宋体" w:cs="宋体"/>
          <w:b/>
          <w:bCs/>
          <w:snapToGrid w:val="0"/>
          <w:color w:val="auto"/>
          <w:kern w:val="0"/>
          <w:sz w:val="24"/>
          <w:szCs w:val="24"/>
          <w:highlight w:val="none"/>
          <w:lang w:eastAsia="zh-CN"/>
        </w:rPr>
        <w:t>，</w:t>
      </w:r>
      <w:r>
        <w:rPr>
          <w:rFonts w:hint="eastAsia" w:ascii="宋体" w:hAnsi="宋体" w:eastAsia="宋体" w:cs="宋体"/>
          <w:b/>
          <w:bCs/>
          <w:snapToGrid w:val="0"/>
          <w:color w:val="auto"/>
          <w:kern w:val="0"/>
          <w:sz w:val="24"/>
          <w:szCs w:val="24"/>
          <w:highlight w:val="none"/>
          <w:lang w:val="en-US" w:eastAsia="zh-CN"/>
        </w:rPr>
        <w:t>如有</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w:t>
      </w:r>
    </w:p>
    <w:p w14:paraId="29E32A1C">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（8）施工现场总平面布置（投标人应递交一份施工现场总平面布置图，绘出现场临时设施布置图表并附文字说明，说明临时设施、加工车间、现场办公</w:t>
      </w:r>
      <w:r>
        <w:rPr>
          <w:rFonts w:hint="eastAsia" w:ascii="宋体" w:hAnsi="宋体" w:eastAsia="宋体" w:cs="宋体"/>
          <w:snapToGrid w:val="0"/>
          <w:color w:val="auto"/>
          <w:kern w:val="0"/>
          <w:sz w:val="24"/>
          <w:szCs w:val="24"/>
          <w:highlight w:val="none"/>
          <w:lang w:val="en-US" w:eastAsia="zh-CN"/>
        </w:rPr>
        <w:t>、设备及仓储、供电、供水、卫生、生活、道路、消防等设施的情况和布置）</w:t>
      </w:r>
      <w:r>
        <w:rPr>
          <w:rFonts w:hint="eastAsia" w:ascii="宋体" w:hAnsi="宋体" w:eastAsia="宋体" w:cs="宋体"/>
          <w:snapToGrid w:val="0"/>
          <w:color w:val="auto"/>
          <w:kern w:val="0"/>
          <w:sz w:val="24"/>
          <w:szCs w:val="24"/>
          <w:highlight w:val="none"/>
        </w:rPr>
        <w:t>；</w:t>
      </w:r>
    </w:p>
    <w:p w14:paraId="3B5DA2F6">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（9）项目管理机构。</w:t>
      </w:r>
    </w:p>
    <w:p w14:paraId="79D4DD90">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（10）投标人认为有必要补充的其他内容（例如对总包管理的认识以及对专业分包工程的管理、协调、配合、服务方案）。</w:t>
      </w:r>
    </w:p>
    <w:p w14:paraId="28BCE066">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10.4.3</w:t>
      </w:r>
      <w:r>
        <w:rPr>
          <w:rFonts w:hint="eastAsia" w:ascii="宋体" w:hAnsi="宋体" w:eastAsia="宋体" w:cs="宋体"/>
          <w:snapToGrid w:val="0"/>
          <w:color w:val="auto"/>
          <w:kern w:val="0"/>
          <w:sz w:val="24"/>
          <w:szCs w:val="24"/>
          <w:highlight w:val="none"/>
        </w:rPr>
        <w:t xml:space="preserve"> 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目中所列出的施工组织设计组成内容中，第（1）至第（9）项所有投标人均应提供。</w:t>
      </w:r>
    </w:p>
    <w:p w14:paraId="54098E7F">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10.4.4</w:t>
      </w:r>
      <w:r>
        <w:rPr>
          <w:rFonts w:hint="eastAsia" w:ascii="宋体" w:hAnsi="宋体" w:eastAsia="宋体" w:cs="宋体"/>
          <w:snapToGrid w:val="0"/>
          <w:color w:val="auto"/>
          <w:kern w:val="0"/>
          <w:sz w:val="24"/>
          <w:szCs w:val="24"/>
          <w:highlight w:val="none"/>
        </w:rPr>
        <w:t xml:space="preserve"> 施工组织设计的组成内容按本节第</w:t>
      </w:r>
      <w:r>
        <w:rPr>
          <w:rFonts w:hint="eastAsia" w:ascii="宋体" w:hAnsi="宋体" w:eastAsia="宋体" w:cs="宋体"/>
          <w:b/>
          <w:bCs/>
          <w:snapToGrid w:val="0"/>
          <w:color w:val="auto"/>
          <w:kern w:val="0"/>
          <w:sz w:val="24"/>
          <w:szCs w:val="24"/>
          <w:highlight w:val="none"/>
        </w:rPr>
        <w:t>10.4.2</w:t>
      </w:r>
      <w:r>
        <w:rPr>
          <w:rFonts w:hint="eastAsia" w:ascii="宋体" w:hAnsi="宋体" w:eastAsia="宋体" w:cs="宋体"/>
          <w:snapToGrid w:val="0"/>
          <w:color w:val="auto"/>
          <w:kern w:val="0"/>
          <w:sz w:val="24"/>
          <w:szCs w:val="24"/>
          <w:highlight w:val="none"/>
        </w:rPr>
        <w:t>目规定的顺序整理、编排后，逐页（页码起始从封面开始）连续标记页码。</w:t>
      </w:r>
    </w:p>
    <w:p w14:paraId="3324639D">
      <w:pPr>
        <w:spacing w:before="78" w:line="360" w:lineRule="auto"/>
        <w:ind w:left="496"/>
        <w:outlineLvl w:val="2"/>
        <w:rPr>
          <w:rFonts w:hint="eastAsia" w:ascii="宋体" w:hAnsi="宋体" w:eastAsia="宋体" w:cs="宋体"/>
          <w:color w:val="auto"/>
          <w:sz w:val="24"/>
          <w:szCs w:val="24"/>
          <w:highlight w:val="none"/>
        </w:rPr>
      </w:pPr>
      <w:bookmarkStart w:id="59" w:name="_Toc29307"/>
      <w:bookmarkStart w:id="60" w:name="_Toc13551"/>
      <w:r>
        <w:rPr>
          <w:rFonts w:hint="eastAsia" w:ascii="宋体" w:hAnsi="宋体" w:eastAsia="宋体" w:cs="宋体"/>
          <w:b/>
          <w:bCs/>
          <w:color w:val="auto"/>
          <w:spacing w:val="-9"/>
          <w:sz w:val="24"/>
          <w:szCs w:val="24"/>
          <w:highlight w:val="none"/>
        </w:rPr>
        <w:t>11.电子投标</w:t>
      </w:r>
      <w:bookmarkEnd w:id="59"/>
      <w:bookmarkEnd w:id="60"/>
    </w:p>
    <w:p w14:paraId="25CDC026">
      <w:pPr>
        <w:keepNext w:val="0"/>
        <w:keepLines w:val="0"/>
        <w:pageBreakBefore w:val="0"/>
        <w:widowControl w:val="0"/>
        <w:kinsoku w:val="0"/>
        <w:wordWrap/>
        <w:overflowPunct/>
        <w:topLinePunct w:val="0"/>
        <w:autoSpaceDE w:val="0"/>
        <w:autoSpaceDN w:val="0"/>
        <w:bidi w:val="0"/>
        <w:adjustRightInd w:val="0"/>
        <w:snapToGrid w:val="0"/>
        <w:spacing w:before="112" w:line="360" w:lineRule="auto"/>
        <w:ind w:left="10" w:firstLine="48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11.1  </w:t>
      </w:r>
      <w:r>
        <w:rPr>
          <w:rFonts w:hint="eastAsia" w:ascii="宋体" w:hAnsi="宋体" w:eastAsia="宋体" w:cs="宋体"/>
          <w:color w:val="auto"/>
          <w:spacing w:val="-3"/>
          <w:sz w:val="24"/>
          <w:szCs w:val="24"/>
          <w:highlight w:val="none"/>
        </w:rPr>
        <w:t>在建设工程交易系统上传加盖了电子印章的投标文件、录入相关信息及标书</w:t>
      </w:r>
      <w:r>
        <w:rPr>
          <w:rFonts w:hint="eastAsia" w:ascii="宋体" w:hAnsi="宋体" w:eastAsia="宋体" w:cs="宋体"/>
          <w:color w:val="auto"/>
          <w:spacing w:val="2"/>
          <w:sz w:val="24"/>
          <w:szCs w:val="24"/>
          <w:highlight w:val="none"/>
        </w:rPr>
        <w:t>页码信息</w:t>
      </w:r>
      <w:r>
        <w:rPr>
          <w:rFonts w:hint="eastAsia" w:ascii="宋体" w:hAnsi="宋体" w:eastAsia="宋体" w:cs="宋体"/>
          <w:color w:val="auto"/>
          <w:spacing w:val="-25"/>
          <w:sz w:val="24"/>
          <w:szCs w:val="24"/>
          <w:highlight w:val="none"/>
        </w:rPr>
        <w:t>，（</w:t>
      </w:r>
      <w:r>
        <w:rPr>
          <w:rFonts w:hint="eastAsia" w:ascii="宋体" w:hAnsi="宋体" w:eastAsia="宋体" w:cs="宋体"/>
          <w:color w:val="auto"/>
          <w:spacing w:val="2"/>
          <w:sz w:val="24"/>
          <w:szCs w:val="24"/>
          <w:highlight w:val="none"/>
        </w:rPr>
        <w:t>页码起始从封面开始）并提交投标标书。提交标书为已加密投标文件。</w:t>
      </w:r>
      <w:r>
        <w:rPr>
          <w:rFonts w:hint="eastAsia" w:ascii="宋体" w:hAnsi="宋体" w:eastAsia="宋体" w:cs="宋体"/>
          <w:color w:val="auto"/>
          <w:spacing w:val="-2"/>
          <w:sz w:val="24"/>
          <w:szCs w:val="24"/>
          <w:highlight w:val="none"/>
        </w:rPr>
        <w:t>具体操作参照《韶关市公共资源建设工程交易系统-投标人操</w:t>
      </w:r>
      <w:r>
        <w:rPr>
          <w:rFonts w:hint="eastAsia" w:ascii="宋体" w:hAnsi="宋体" w:eastAsia="宋体" w:cs="宋体"/>
          <w:color w:val="auto"/>
          <w:spacing w:val="-3"/>
          <w:sz w:val="24"/>
          <w:szCs w:val="24"/>
          <w:highlight w:val="none"/>
        </w:rPr>
        <w:t>作指南（电子评标）》。</w:t>
      </w:r>
      <w:r>
        <w:rPr>
          <w:rFonts w:hint="eastAsia" w:ascii="宋体" w:hAnsi="宋体" w:eastAsia="宋体" w:cs="宋体"/>
          <w:color w:val="auto"/>
          <w:spacing w:val="-1"/>
          <w:sz w:val="24"/>
          <w:szCs w:val="24"/>
          <w:highlight w:val="none"/>
        </w:rPr>
        <w:t>本项目评标采用全流程电子化进行招标投标（投标人应根据</w:t>
      </w:r>
      <w:r>
        <w:rPr>
          <w:rFonts w:hint="eastAsia" w:ascii="宋体" w:hAnsi="宋体" w:eastAsia="宋体" w:cs="宋体"/>
          <w:color w:val="auto"/>
          <w:spacing w:val="-2"/>
          <w:sz w:val="24"/>
          <w:szCs w:val="24"/>
          <w:highlight w:val="none"/>
        </w:rPr>
        <w:t>韶关市公共资源建设工程</w:t>
      </w:r>
      <w:r>
        <w:rPr>
          <w:rFonts w:hint="eastAsia" w:ascii="宋体" w:hAnsi="宋体" w:eastAsia="宋体" w:cs="宋体"/>
          <w:color w:val="auto"/>
          <w:spacing w:val="-1"/>
          <w:sz w:val="24"/>
          <w:szCs w:val="24"/>
          <w:highlight w:val="none"/>
        </w:rPr>
        <w:t>交易系统进行编辑投标相关内容、按招标文件电子投标要求</w:t>
      </w:r>
      <w:r>
        <w:rPr>
          <w:rFonts w:hint="eastAsia" w:ascii="宋体" w:hAnsi="宋体" w:eastAsia="宋体" w:cs="宋体"/>
          <w:color w:val="auto"/>
          <w:spacing w:val="-2"/>
          <w:sz w:val="24"/>
          <w:szCs w:val="24"/>
          <w:highlight w:val="none"/>
        </w:rPr>
        <w:t>上传已加盖电子印章投标</w:t>
      </w:r>
      <w:r>
        <w:rPr>
          <w:rFonts w:hint="eastAsia" w:ascii="宋体" w:hAnsi="宋体" w:eastAsia="宋体" w:cs="宋体"/>
          <w:color w:val="auto"/>
          <w:spacing w:val="-1"/>
          <w:sz w:val="24"/>
          <w:szCs w:val="24"/>
          <w:highlight w:val="none"/>
        </w:rPr>
        <w:t>文件，否则将自行承担不利后果）。投标文件完成上传后，投标人应</w:t>
      </w:r>
      <w:r>
        <w:rPr>
          <w:rFonts w:hint="eastAsia" w:ascii="宋体" w:hAnsi="宋体" w:eastAsia="宋体" w:cs="宋体"/>
          <w:color w:val="auto"/>
          <w:spacing w:val="-2"/>
          <w:sz w:val="24"/>
          <w:szCs w:val="24"/>
          <w:highlight w:val="none"/>
        </w:rPr>
        <w:t>使用 CA 数字证</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书对投标文件进行文件加密，形成加密的投标文件并提交标书。</w:t>
      </w:r>
    </w:p>
    <w:p w14:paraId="35865D19">
      <w:pPr>
        <w:keepNext w:val="0"/>
        <w:keepLines w:val="0"/>
        <w:pageBreakBefore w:val="0"/>
        <w:widowControl w:val="0"/>
        <w:kinsoku w:val="0"/>
        <w:wordWrap/>
        <w:overflowPunct/>
        <w:topLinePunct w:val="0"/>
        <w:autoSpaceDE w:val="0"/>
        <w:autoSpaceDN w:val="0"/>
        <w:bidi w:val="0"/>
        <w:adjustRightInd w:val="0"/>
        <w:snapToGrid w:val="0"/>
        <w:spacing w:before="115" w:line="360" w:lineRule="auto"/>
        <w:ind w:left="10" w:right="81" w:firstLine="485"/>
        <w:textAlignment w:val="baseline"/>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11.2</w:t>
      </w:r>
      <w:r>
        <w:rPr>
          <w:rFonts w:hint="eastAsia" w:ascii="宋体" w:hAnsi="宋体" w:eastAsia="宋体" w:cs="宋体"/>
          <w:b/>
          <w:bCs/>
          <w:color w:val="auto"/>
          <w:spacing w:val="19"/>
          <w:sz w:val="24"/>
          <w:szCs w:val="24"/>
          <w:highlight w:val="none"/>
        </w:rPr>
        <w:t xml:space="preserve">  </w:t>
      </w:r>
      <w:r>
        <w:rPr>
          <w:rFonts w:hint="eastAsia" w:ascii="宋体" w:hAnsi="宋体" w:eastAsia="宋体" w:cs="宋体"/>
          <w:color w:val="auto"/>
          <w:spacing w:val="-4"/>
          <w:sz w:val="24"/>
          <w:szCs w:val="24"/>
          <w:highlight w:val="none"/>
        </w:rPr>
        <w:t>电子投标文件的修改、撤回：在提交投标文件截止时间前，投标人可</w:t>
      </w:r>
      <w:r>
        <w:rPr>
          <w:rFonts w:hint="eastAsia" w:ascii="宋体" w:hAnsi="宋体" w:eastAsia="宋体" w:cs="宋体"/>
          <w:color w:val="auto"/>
          <w:spacing w:val="-5"/>
          <w:sz w:val="24"/>
          <w:szCs w:val="24"/>
          <w:highlight w:val="none"/>
        </w:rPr>
        <w:t>以修改</w:t>
      </w:r>
      <w:r>
        <w:rPr>
          <w:rFonts w:hint="eastAsia" w:ascii="宋体" w:hAnsi="宋体" w:eastAsia="宋体" w:cs="宋体"/>
          <w:color w:val="auto"/>
          <w:spacing w:val="-1"/>
          <w:sz w:val="24"/>
          <w:szCs w:val="24"/>
          <w:highlight w:val="none"/>
        </w:rPr>
        <w:t>或撤回未解密的电子投标文件，并于提交投标文件截止时间</w:t>
      </w:r>
      <w:r>
        <w:rPr>
          <w:rFonts w:hint="eastAsia" w:ascii="宋体" w:hAnsi="宋体" w:eastAsia="宋体" w:cs="宋体"/>
          <w:color w:val="auto"/>
          <w:spacing w:val="-2"/>
          <w:sz w:val="24"/>
          <w:szCs w:val="24"/>
          <w:highlight w:val="none"/>
        </w:rPr>
        <w:t>前将重新上传修改后的电</w:t>
      </w:r>
      <w:r>
        <w:rPr>
          <w:rFonts w:hint="eastAsia" w:ascii="宋体" w:hAnsi="宋体" w:eastAsia="宋体" w:cs="宋体"/>
          <w:color w:val="auto"/>
          <w:spacing w:val="-1"/>
          <w:sz w:val="24"/>
          <w:szCs w:val="24"/>
          <w:highlight w:val="none"/>
        </w:rPr>
        <w:t>子投标文件至系统，到达投标文件提交截止时间后投标人不</w:t>
      </w:r>
      <w:r>
        <w:rPr>
          <w:rFonts w:hint="eastAsia" w:ascii="宋体" w:hAnsi="宋体" w:eastAsia="宋体" w:cs="宋体"/>
          <w:color w:val="auto"/>
          <w:spacing w:val="-2"/>
          <w:sz w:val="24"/>
          <w:szCs w:val="24"/>
          <w:highlight w:val="none"/>
        </w:rPr>
        <w:t>得撤回、补充、修改和更换投标文件。</w:t>
      </w:r>
    </w:p>
    <w:p w14:paraId="28C93B4D">
      <w:pPr>
        <w:spacing w:before="78" w:line="360" w:lineRule="auto"/>
        <w:ind w:left="496"/>
        <w:outlineLvl w:val="2"/>
        <w:rPr>
          <w:rFonts w:hint="eastAsia" w:ascii="宋体" w:hAnsi="宋体" w:eastAsia="宋体" w:cs="宋体"/>
          <w:b/>
          <w:bCs/>
          <w:color w:val="auto"/>
          <w:spacing w:val="-9"/>
          <w:sz w:val="24"/>
          <w:szCs w:val="24"/>
          <w:highlight w:val="none"/>
        </w:rPr>
      </w:pPr>
      <w:bookmarkStart w:id="61" w:name="_Toc15963"/>
      <w:bookmarkStart w:id="62" w:name="_Toc19819"/>
      <w:r>
        <w:rPr>
          <w:rFonts w:hint="eastAsia" w:ascii="宋体" w:hAnsi="宋体" w:eastAsia="宋体" w:cs="宋体"/>
          <w:b/>
          <w:bCs/>
          <w:color w:val="auto"/>
          <w:spacing w:val="-9"/>
          <w:sz w:val="24"/>
          <w:szCs w:val="24"/>
          <w:highlight w:val="none"/>
          <w:lang w:val="en-US" w:eastAsia="zh-CN"/>
        </w:rPr>
        <w:t>12.</w:t>
      </w:r>
      <w:r>
        <w:rPr>
          <w:rFonts w:hint="eastAsia" w:ascii="宋体" w:hAnsi="宋体" w:eastAsia="宋体" w:cs="宋体"/>
          <w:b/>
          <w:bCs/>
          <w:color w:val="auto"/>
          <w:spacing w:val="-9"/>
          <w:sz w:val="24"/>
          <w:szCs w:val="24"/>
          <w:highlight w:val="none"/>
        </w:rPr>
        <w:t>电子投标及投标解密失败及突发情况的补救方案</w:t>
      </w:r>
      <w:bookmarkEnd w:id="61"/>
      <w:bookmarkEnd w:id="62"/>
    </w:p>
    <w:p w14:paraId="7139F667">
      <w:pPr>
        <w:spacing w:before="78" w:line="360" w:lineRule="auto"/>
        <w:ind w:firstLine="478"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12.1 </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color w:val="auto"/>
          <w:spacing w:val="-1"/>
          <w:sz w:val="24"/>
          <w:szCs w:val="24"/>
          <w:highlight w:val="none"/>
        </w:rPr>
        <w:t>按照交易平台关于全流程电子化项目的相</w:t>
      </w:r>
      <w:r>
        <w:rPr>
          <w:rFonts w:hint="eastAsia" w:ascii="宋体" w:hAnsi="宋体" w:eastAsia="宋体" w:cs="宋体"/>
          <w:color w:val="auto"/>
          <w:spacing w:val="-2"/>
          <w:sz w:val="24"/>
          <w:szCs w:val="24"/>
          <w:highlight w:val="none"/>
        </w:rPr>
        <w:t>关指南进行操作。详见：全国公共</w:t>
      </w:r>
      <w:r>
        <w:rPr>
          <w:rFonts w:hint="eastAsia" w:ascii="宋体" w:hAnsi="宋体" w:eastAsia="宋体" w:cs="宋体"/>
          <w:color w:val="auto"/>
          <w:spacing w:val="-1"/>
          <w:sz w:val="24"/>
          <w:szCs w:val="24"/>
          <w:highlight w:val="none"/>
        </w:rPr>
        <w:t>资源交易平台（广东省·韶关市</w:t>
      </w:r>
      <w:r>
        <w:rPr>
          <w:rFonts w:hint="eastAsia" w:ascii="宋体" w:hAnsi="宋体" w:eastAsia="宋体" w:cs="宋体"/>
          <w:color w:val="auto"/>
          <w:spacing w:val="-26"/>
          <w:sz w:val="24"/>
          <w:szCs w:val="24"/>
          <w:highlight w:val="none"/>
        </w:rPr>
        <w:t>）（</w:t>
      </w:r>
      <w:r>
        <w:rPr>
          <w:rFonts w:hint="eastAsia" w:ascii="宋体" w:hAnsi="宋体" w:eastAsia="宋体" w:cs="宋体"/>
          <w:color w:val="auto"/>
          <w:spacing w:val="-1"/>
          <w:sz w:val="24"/>
          <w:szCs w:val="24"/>
          <w:highlight w:val="none"/>
        </w:rPr>
        <w:t>https://y</w:t>
      </w:r>
      <w:r>
        <w:rPr>
          <w:rFonts w:hint="eastAsia" w:ascii="宋体" w:hAnsi="宋体" w:eastAsia="宋体" w:cs="宋体"/>
          <w:color w:val="auto"/>
          <w:spacing w:val="-2"/>
          <w:sz w:val="24"/>
          <w:szCs w:val="24"/>
          <w:highlight w:val="none"/>
        </w:rPr>
        <w:t>gp.gdzwfw.gov.cn/ggzy-portal/#/44</w:t>
      </w:r>
      <w:r>
        <w:rPr>
          <w:rFonts w:hint="eastAsia" w:ascii="宋体" w:hAnsi="宋体" w:eastAsia="宋体" w:cs="宋体"/>
          <w:color w:val="auto"/>
          <w:spacing w:val="-1"/>
          <w:sz w:val="24"/>
          <w:szCs w:val="24"/>
          <w:highlight w:val="none"/>
        </w:rPr>
        <w:t>0200/index）服务指南栏目发布的最新版操作指引。</w:t>
      </w:r>
    </w:p>
    <w:p w14:paraId="150DE32F">
      <w:pPr>
        <w:spacing w:before="113"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12.2  </w:t>
      </w:r>
      <w:r>
        <w:rPr>
          <w:rFonts w:hint="eastAsia" w:ascii="宋体" w:hAnsi="宋体" w:eastAsia="宋体" w:cs="宋体"/>
          <w:color w:val="auto"/>
          <w:spacing w:val="-2"/>
          <w:sz w:val="24"/>
          <w:szCs w:val="24"/>
          <w:highlight w:val="none"/>
        </w:rPr>
        <w:t>补救方案：</w:t>
      </w:r>
    </w:p>
    <w:p w14:paraId="2CAE9A68">
      <w:pPr>
        <w:spacing w:before="115"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12.2.1  </w:t>
      </w:r>
      <w:r>
        <w:rPr>
          <w:rFonts w:hint="eastAsia" w:ascii="宋体" w:hAnsi="宋体" w:eastAsia="宋体" w:cs="宋体"/>
          <w:color w:val="auto"/>
          <w:spacing w:val="-1"/>
          <w:sz w:val="24"/>
          <w:szCs w:val="24"/>
          <w:highlight w:val="none"/>
        </w:rPr>
        <w:t>投标文件解密失败的补救方案：</w:t>
      </w:r>
    </w:p>
    <w:p w14:paraId="76763BF4">
      <w:pPr>
        <w:spacing w:before="115" w:line="360" w:lineRule="auto"/>
        <w:ind w:right="81" w:firstLine="488"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在规定时间内，因投标人之外原因(指网络瘫痪、服务器损坏、交易系统故障短期无法恢复)等导致的电子投标文件解密失败，在开标现场解密环节由代理授权后，</w:t>
      </w:r>
      <w:r>
        <w:rPr>
          <w:rFonts w:hint="eastAsia" w:ascii="宋体" w:hAnsi="宋体" w:eastAsia="宋体" w:cs="宋体"/>
          <w:color w:val="auto"/>
          <w:spacing w:val="1"/>
          <w:sz w:val="24"/>
          <w:szCs w:val="24"/>
          <w:highlight w:val="none"/>
        </w:rPr>
        <w:t>解密失败投标人可在建设工程交易系统在规定时间（代理机构授权后</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pacing w:val="1"/>
          <w:sz w:val="24"/>
          <w:szCs w:val="24"/>
          <w:highlight w:val="none"/>
        </w:rPr>
        <w:t>30</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1"/>
          <w:sz w:val="24"/>
          <w:szCs w:val="24"/>
          <w:highlight w:val="none"/>
        </w:rPr>
        <w:t>分钟内）内</w:t>
      </w:r>
      <w:bookmarkStart w:id="63" w:name="bookmark122"/>
      <w:bookmarkEnd w:id="63"/>
      <w:r>
        <w:rPr>
          <w:rFonts w:hint="eastAsia" w:ascii="宋体" w:hAnsi="宋体" w:eastAsia="宋体" w:cs="宋体"/>
          <w:color w:val="auto"/>
          <w:spacing w:val="-1"/>
          <w:sz w:val="24"/>
          <w:szCs w:val="24"/>
          <w:highlight w:val="none"/>
        </w:rPr>
        <w:t>重新提交投标文件继续开标程序。</w:t>
      </w:r>
    </w:p>
    <w:p w14:paraId="400C2A13">
      <w:pPr>
        <w:spacing w:before="114"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12.2.2  </w:t>
      </w:r>
      <w:r>
        <w:rPr>
          <w:rFonts w:hint="eastAsia" w:ascii="宋体" w:hAnsi="宋体" w:eastAsia="宋体" w:cs="宋体"/>
          <w:color w:val="auto"/>
          <w:spacing w:val="-1"/>
          <w:sz w:val="24"/>
          <w:szCs w:val="24"/>
          <w:highlight w:val="none"/>
        </w:rPr>
        <w:t>评标时突发情况的补救方案</w:t>
      </w:r>
    </w:p>
    <w:p w14:paraId="5C5AD13B">
      <w:pPr>
        <w:spacing w:before="114" w:line="360" w:lineRule="auto"/>
        <w:ind w:right="81" w:firstLine="476"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在评标过程中，因主场或副场网络故障、电子设备或者</w:t>
      </w:r>
      <w:r>
        <w:rPr>
          <w:rFonts w:hint="eastAsia" w:ascii="宋体" w:hAnsi="宋体" w:eastAsia="宋体" w:cs="宋体"/>
          <w:color w:val="auto"/>
          <w:spacing w:val="-2"/>
          <w:sz w:val="24"/>
          <w:szCs w:val="24"/>
          <w:highlight w:val="none"/>
        </w:rPr>
        <w:t>评标系统故障，以及其他</w:t>
      </w:r>
      <w:r>
        <w:rPr>
          <w:rFonts w:hint="eastAsia" w:ascii="宋体" w:hAnsi="宋体" w:eastAsia="宋体" w:cs="宋体"/>
          <w:color w:val="auto"/>
          <w:spacing w:val="-3"/>
          <w:sz w:val="24"/>
          <w:szCs w:val="24"/>
          <w:highlight w:val="none"/>
        </w:rPr>
        <w:t>原因导致无法继续进行评标时，在</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小时以内解除故障的可继续评标，超过</w:t>
      </w:r>
      <w:r>
        <w:rPr>
          <w:rFonts w:hint="eastAsia" w:ascii="宋体" w:hAnsi="宋体" w:eastAsia="宋体" w:cs="宋体"/>
          <w:color w:val="auto"/>
          <w:spacing w:val="-52"/>
          <w:sz w:val="24"/>
          <w:szCs w:val="24"/>
          <w:highlight w:val="none"/>
        </w:rPr>
        <w:t xml:space="preserve"> </w:t>
      </w:r>
      <w:r>
        <w:rPr>
          <w:rFonts w:hint="eastAsia" w:ascii="宋体" w:hAnsi="宋体" w:eastAsia="宋体" w:cs="宋体"/>
          <w:color w:val="auto"/>
          <w:spacing w:val="-3"/>
          <w:sz w:val="24"/>
          <w:szCs w:val="24"/>
          <w:highlight w:val="none"/>
        </w:rPr>
        <w:t>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3"/>
          <w:sz w:val="24"/>
          <w:szCs w:val="24"/>
          <w:highlight w:val="none"/>
        </w:rPr>
        <w:t>小时无</w:t>
      </w:r>
      <w:r>
        <w:rPr>
          <w:rFonts w:hint="eastAsia" w:ascii="宋体" w:hAnsi="宋体" w:eastAsia="宋体" w:cs="宋体"/>
          <w:color w:val="auto"/>
          <w:spacing w:val="-1"/>
          <w:sz w:val="24"/>
          <w:szCs w:val="24"/>
          <w:highlight w:val="none"/>
        </w:rPr>
        <w:t>法解除故障的，由招标人确定是否进行评标。如延期评标，</w:t>
      </w:r>
      <w:r>
        <w:rPr>
          <w:rFonts w:hint="eastAsia" w:ascii="宋体" w:hAnsi="宋体" w:eastAsia="宋体" w:cs="宋体"/>
          <w:color w:val="auto"/>
          <w:spacing w:val="-2"/>
          <w:sz w:val="24"/>
          <w:szCs w:val="24"/>
          <w:highlight w:val="none"/>
        </w:rPr>
        <w:t>招标人及参与评标活动的</w:t>
      </w:r>
      <w:r>
        <w:rPr>
          <w:rFonts w:hint="eastAsia" w:ascii="宋体" w:hAnsi="宋体" w:eastAsia="宋体" w:cs="宋体"/>
          <w:color w:val="auto"/>
          <w:spacing w:val="-1"/>
          <w:sz w:val="24"/>
          <w:szCs w:val="24"/>
          <w:highlight w:val="none"/>
        </w:rPr>
        <w:t>各方主体及其有关工作人员应当配合主场、副场做好招投标</w:t>
      </w:r>
      <w:r>
        <w:rPr>
          <w:rFonts w:hint="eastAsia" w:ascii="宋体" w:hAnsi="宋体" w:eastAsia="宋体" w:cs="宋体"/>
          <w:color w:val="auto"/>
          <w:spacing w:val="-2"/>
          <w:sz w:val="24"/>
          <w:szCs w:val="24"/>
          <w:highlight w:val="none"/>
        </w:rPr>
        <w:t>资料的封存和保密工作，</w:t>
      </w:r>
      <w:r>
        <w:rPr>
          <w:rFonts w:hint="eastAsia" w:ascii="宋体" w:hAnsi="宋体" w:eastAsia="宋体" w:cs="宋体"/>
          <w:color w:val="auto"/>
          <w:spacing w:val="-1"/>
          <w:sz w:val="24"/>
          <w:szCs w:val="24"/>
          <w:highlight w:val="none"/>
        </w:rPr>
        <w:t>另行组建评标委员会重新评标。原评标委员会成员应当对评</w:t>
      </w:r>
      <w:r>
        <w:rPr>
          <w:rFonts w:hint="eastAsia" w:ascii="宋体" w:hAnsi="宋体" w:eastAsia="宋体" w:cs="宋体"/>
          <w:color w:val="auto"/>
          <w:spacing w:val="-2"/>
          <w:sz w:val="24"/>
          <w:szCs w:val="24"/>
          <w:highlight w:val="none"/>
        </w:rPr>
        <w:t>标情况保密，不得对外透</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露与评标有关的任何信息与情况。</w:t>
      </w:r>
    </w:p>
    <w:p w14:paraId="13DA5277">
      <w:pPr>
        <w:spacing w:before="69" w:line="360" w:lineRule="auto"/>
        <w:ind w:left="11" w:right="81" w:firstLine="484"/>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12.2.3  </w:t>
      </w:r>
      <w:r>
        <w:rPr>
          <w:rFonts w:hint="eastAsia" w:ascii="宋体" w:hAnsi="宋体" w:eastAsia="宋体" w:cs="宋体"/>
          <w:color w:val="auto"/>
          <w:spacing w:val="-1"/>
          <w:sz w:val="24"/>
          <w:szCs w:val="24"/>
          <w:highlight w:val="none"/>
        </w:rPr>
        <w:t>除发生上述情况外，开标评标均以投标人（联合体投标的，由联合体牵头人）通过交易平台网上递交的电子投标文件为准。</w:t>
      </w:r>
    </w:p>
    <w:p w14:paraId="392F6788">
      <w:pPr>
        <w:spacing w:before="78" w:line="360" w:lineRule="auto"/>
        <w:ind w:left="496"/>
        <w:outlineLvl w:val="2"/>
        <w:rPr>
          <w:rFonts w:hint="eastAsia" w:ascii="宋体" w:hAnsi="宋体" w:eastAsia="宋体" w:cs="宋体"/>
          <w:color w:val="auto"/>
          <w:sz w:val="24"/>
          <w:szCs w:val="24"/>
          <w:highlight w:val="none"/>
        </w:rPr>
      </w:pPr>
      <w:bookmarkStart w:id="64" w:name="_Toc1005"/>
      <w:bookmarkStart w:id="65" w:name="_Toc20940"/>
      <w:r>
        <w:rPr>
          <w:rFonts w:hint="eastAsia" w:ascii="宋体" w:hAnsi="宋体" w:eastAsia="宋体" w:cs="宋体"/>
          <w:b/>
          <w:bCs/>
          <w:color w:val="auto"/>
          <w:spacing w:val="-7"/>
          <w:sz w:val="24"/>
          <w:szCs w:val="24"/>
          <w:highlight w:val="none"/>
        </w:rPr>
        <w:t>13</w:t>
      </w:r>
      <w:r>
        <w:rPr>
          <w:rFonts w:hint="eastAsia" w:ascii="宋体" w:hAnsi="宋体" w:eastAsia="宋体" w:cs="宋体"/>
          <w:b/>
          <w:bCs/>
          <w:color w:val="auto"/>
          <w:spacing w:val="-23"/>
          <w:sz w:val="24"/>
          <w:szCs w:val="24"/>
          <w:highlight w:val="none"/>
          <w:lang w:eastAsia="zh-CN"/>
        </w:rPr>
        <w:t>.</w:t>
      </w:r>
      <w:r>
        <w:rPr>
          <w:rFonts w:hint="eastAsia" w:ascii="宋体" w:hAnsi="宋体" w:eastAsia="宋体" w:cs="宋体"/>
          <w:b/>
          <w:bCs/>
          <w:color w:val="auto"/>
          <w:spacing w:val="-7"/>
          <w:sz w:val="24"/>
          <w:szCs w:val="24"/>
          <w:highlight w:val="none"/>
        </w:rPr>
        <w:t>投标文件的提交</w:t>
      </w:r>
      <w:bookmarkEnd w:id="64"/>
      <w:bookmarkEnd w:id="65"/>
    </w:p>
    <w:p w14:paraId="1C80FDFD">
      <w:pPr>
        <w:keepNext w:val="0"/>
        <w:keepLines w:val="0"/>
        <w:pageBreakBefore w:val="0"/>
        <w:widowControl w:val="0"/>
        <w:kinsoku w:val="0"/>
        <w:wordWrap/>
        <w:overflowPunct/>
        <w:topLinePunct w:val="0"/>
        <w:autoSpaceDE w:val="0"/>
        <w:autoSpaceDN w:val="0"/>
        <w:bidi w:val="0"/>
        <w:adjustRightInd w:val="0"/>
        <w:snapToGrid w:val="0"/>
        <w:spacing w:before="123" w:line="360" w:lineRule="auto"/>
        <w:ind w:left="13" w:right="81" w:firstLine="482"/>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 xml:space="preserve">13.1  </w:t>
      </w:r>
      <w:r>
        <w:rPr>
          <w:rFonts w:hint="eastAsia" w:ascii="宋体" w:hAnsi="宋体" w:eastAsia="宋体" w:cs="宋体"/>
          <w:color w:val="auto"/>
          <w:spacing w:val="-11"/>
          <w:sz w:val="24"/>
          <w:szCs w:val="24"/>
          <w:highlight w:val="none"/>
        </w:rPr>
        <w:t>在投标文件提交截止时间前，投标人通过全国公共资源交易平台（</w:t>
      </w:r>
      <w:r>
        <w:rPr>
          <w:rFonts w:hint="eastAsia" w:ascii="宋体" w:hAnsi="宋体" w:eastAsia="宋体" w:cs="宋体"/>
          <w:color w:val="auto"/>
          <w:spacing w:val="-12"/>
          <w:sz w:val="24"/>
          <w:szCs w:val="24"/>
          <w:highlight w:val="none"/>
        </w:rPr>
        <w:t>广东省·韶</w:t>
      </w:r>
      <w:r>
        <w:rPr>
          <w:rFonts w:hint="eastAsia" w:ascii="宋体" w:hAnsi="宋体" w:eastAsia="宋体" w:cs="宋体"/>
          <w:color w:val="auto"/>
          <w:spacing w:val="-1"/>
          <w:sz w:val="24"/>
          <w:szCs w:val="24"/>
          <w:highlight w:val="none"/>
        </w:rPr>
        <w:t>关市）提交已加密投标文件。逾期提交的电子投标文</w:t>
      </w:r>
      <w:r>
        <w:rPr>
          <w:rFonts w:hint="eastAsia" w:ascii="宋体" w:hAnsi="宋体" w:eastAsia="宋体" w:cs="宋体"/>
          <w:color w:val="auto"/>
          <w:spacing w:val="-2"/>
          <w:sz w:val="24"/>
          <w:szCs w:val="24"/>
          <w:highlight w:val="none"/>
        </w:rPr>
        <w:t>件，全国公共资源交易平台（广</w:t>
      </w:r>
      <w:r>
        <w:rPr>
          <w:rFonts w:hint="eastAsia" w:ascii="宋体" w:hAnsi="宋体" w:eastAsia="宋体" w:cs="宋体"/>
          <w:color w:val="auto"/>
          <w:spacing w:val="-9"/>
          <w:sz w:val="24"/>
          <w:szCs w:val="24"/>
          <w:highlight w:val="none"/>
        </w:rPr>
        <w:t>东省·韶关市）将予以拒收。</w:t>
      </w:r>
    </w:p>
    <w:p w14:paraId="3E632623">
      <w:pPr>
        <w:keepNext w:val="0"/>
        <w:keepLines w:val="0"/>
        <w:pageBreakBefore w:val="0"/>
        <w:widowControl w:val="0"/>
        <w:kinsoku w:val="0"/>
        <w:wordWrap/>
        <w:overflowPunct/>
        <w:topLinePunct w:val="0"/>
        <w:autoSpaceDE w:val="0"/>
        <w:autoSpaceDN w:val="0"/>
        <w:bidi w:val="0"/>
        <w:adjustRightInd w:val="0"/>
        <w:snapToGrid w:val="0"/>
        <w:spacing w:before="115"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13.2  </w:t>
      </w:r>
      <w:r>
        <w:rPr>
          <w:rFonts w:hint="eastAsia" w:ascii="宋体" w:hAnsi="宋体" w:eastAsia="宋体" w:cs="宋体"/>
          <w:color w:val="auto"/>
          <w:spacing w:val="2"/>
          <w:sz w:val="24"/>
          <w:szCs w:val="24"/>
          <w:highlight w:val="none"/>
        </w:rPr>
        <w:t>提交时间和地点：见本章第二节“重要事项时间地点一览表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w:t>
      </w:r>
    </w:p>
    <w:p w14:paraId="26334082">
      <w:pPr>
        <w:keepNext w:val="0"/>
        <w:keepLines w:val="0"/>
        <w:pageBreakBefore w:val="0"/>
        <w:widowControl w:val="0"/>
        <w:kinsoku w:val="0"/>
        <w:wordWrap/>
        <w:overflowPunct/>
        <w:topLinePunct w:val="0"/>
        <w:autoSpaceDE w:val="0"/>
        <w:autoSpaceDN w:val="0"/>
        <w:bidi w:val="0"/>
        <w:adjustRightInd w:val="0"/>
        <w:snapToGrid w:val="0"/>
        <w:spacing w:before="113" w:line="360" w:lineRule="auto"/>
        <w:ind w:left="9" w:right="24" w:firstLine="48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13.3  </w:t>
      </w:r>
      <w:r>
        <w:rPr>
          <w:rFonts w:hint="eastAsia" w:ascii="宋体" w:hAnsi="宋体" w:eastAsia="宋体" w:cs="宋体"/>
          <w:color w:val="auto"/>
          <w:spacing w:val="-1"/>
          <w:sz w:val="24"/>
          <w:szCs w:val="24"/>
          <w:highlight w:val="none"/>
        </w:rPr>
        <w:t>递交时间和地点：投标人如有招标</w:t>
      </w:r>
      <w:r>
        <w:rPr>
          <w:rFonts w:hint="eastAsia" w:ascii="宋体" w:hAnsi="宋体" w:eastAsia="宋体" w:cs="宋体"/>
          <w:color w:val="auto"/>
          <w:spacing w:val="-2"/>
          <w:sz w:val="24"/>
          <w:szCs w:val="24"/>
          <w:highlight w:val="none"/>
        </w:rPr>
        <w:t>文件要求提交的用于评审的证书、证件、证明原件（附一式两份清单</w:t>
      </w:r>
      <w:r>
        <w:rPr>
          <w:rFonts w:hint="eastAsia" w:ascii="宋体" w:hAnsi="宋体" w:eastAsia="宋体" w:cs="宋体"/>
          <w:color w:val="auto"/>
          <w:spacing w:val="11"/>
          <w:sz w:val="24"/>
          <w:szCs w:val="24"/>
          <w:highlight w:val="none"/>
        </w:rPr>
        <w:t>），</w:t>
      </w:r>
      <w:r>
        <w:rPr>
          <w:rFonts w:hint="eastAsia" w:ascii="宋体" w:hAnsi="宋体" w:eastAsia="宋体" w:cs="宋体"/>
          <w:color w:val="auto"/>
          <w:spacing w:val="-2"/>
          <w:sz w:val="24"/>
          <w:szCs w:val="24"/>
          <w:highlight w:val="none"/>
        </w:rPr>
        <w:t>由投标人法定代表人或其委托代理人在指定的时间和</w:t>
      </w:r>
      <w:r>
        <w:rPr>
          <w:rFonts w:hint="eastAsia" w:ascii="宋体" w:hAnsi="宋体" w:eastAsia="宋体" w:cs="宋体"/>
          <w:color w:val="auto"/>
          <w:spacing w:val="-1"/>
          <w:sz w:val="24"/>
          <w:szCs w:val="24"/>
          <w:highlight w:val="none"/>
        </w:rPr>
        <w:t>地点递交（见“重要事项时间地点一览表</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1"/>
          <w:sz w:val="24"/>
          <w:szCs w:val="24"/>
          <w:highlight w:val="none"/>
        </w:rPr>
        <w:t>”</w:t>
      </w:r>
      <w:r>
        <w:rPr>
          <w:rFonts w:hint="eastAsia" w:ascii="宋体" w:hAnsi="宋体" w:eastAsia="宋体" w:cs="宋体"/>
          <w:color w:val="auto"/>
          <w:spacing w:val="-2"/>
          <w:sz w:val="24"/>
          <w:szCs w:val="24"/>
          <w:highlight w:val="none"/>
        </w:rPr>
        <w:t>）。</w:t>
      </w:r>
    </w:p>
    <w:p w14:paraId="2BD6F997">
      <w:pPr>
        <w:keepNext w:val="0"/>
        <w:keepLines w:val="0"/>
        <w:pageBreakBefore w:val="0"/>
        <w:widowControl w:val="0"/>
        <w:kinsoku w:val="0"/>
        <w:wordWrap/>
        <w:overflowPunct/>
        <w:topLinePunct w:val="0"/>
        <w:autoSpaceDE w:val="0"/>
        <w:autoSpaceDN w:val="0"/>
        <w:bidi w:val="0"/>
        <w:adjustRightInd w:val="0"/>
        <w:snapToGrid w:val="0"/>
        <w:spacing w:before="112" w:line="360" w:lineRule="auto"/>
        <w:ind w:firstLine="478" w:firstLineChars="200"/>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13.4  </w:t>
      </w:r>
      <w:r>
        <w:rPr>
          <w:rFonts w:hint="eastAsia" w:ascii="宋体" w:hAnsi="宋体" w:eastAsia="宋体" w:cs="宋体"/>
          <w:color w:val="auto"/>
          <w:spacing w:val="-1"/>
          <w:sz w:val="24"/>
          <w:szCs w:val="24"/>
          <w:highlight w:val="none"/>
        </w:rPr>
        <w:t>代理机构对因不可抗力事件造成的投</w:t>
      </w:r>
      <w:r>
        <w:rPr>
          <w:rFonts w:hint="eastAsia" w:ascii="宋体" w:hAnsi="宋体" w:eastAsia="宋体" w:cs="宋体"/>
          <w:color w:val="auto"/>
          <w:spacing w:val="-2"/>
          <w:sz w:val="24"/>
          <w:szCs w:val="24"/>
          <w:highlight w:val="none"/>
        </w:rPr>
        <w:t>标文件的损坏、丢失的，不承担责任。</w:t>
      </w:r>
    </w:p>
    <w:p w14:paraId="68873B8F">
      <w:pPr>
        <w:keepNext w:val="0"/>
        <w:keepLines w:val="0"/>
        <w:pageBreakBefore w:val="0"/>
        <w:widowControl w:val="0"/>
        <w:kinsoku w:val="0"/>
        <w:wordWrap/>
        <w:overflowPunct/>
        <w:topLinePunct w:val="0"/>
        <w:autoSpaceDE w:val="0"/>
        <w:autoSpaceDN w:val="0"/>
        <w:bidi w:val="0"/>
        <w:adjustRightInd w:val="0"/>
        <w:snapToGrid w:val="0"/>
        <w:spacing w:before="116"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13.5</w:t>
      </w:r>
      <w:r>
        <w:rPr>
          <w:rFonts w:hint="eastAsia" w:ascii="宋体" w:hAnsi="宋体" w:eastAsia="宋体" w:cs="宋体"/>
          <w:b/>
          <w:bCs/>
          <w:color w:val="auto"/>
          <w:spacing w:val="15"/>
          <w:sz w:val="24"/>
          <w:szCs w:val="24"/>
          <w:highlight w:val="none"/>
        </w:rPr>
        <w:t xml:space="preserve">  </w:t>
      </w:r>
      <w:r>
        <w:rPr>
          <w:rFonts w:hint="eastAsia" w:ascii="宋体" w:hAnsi="宋体" w:eastAsia="宋体" w:cs="宋体"/>
          <w:color w:val="auto"/>
          <w:spacing w:val="-1"/>
          <w:sz w:val="24"/>
          <w:szCs w:val="24"/>
          <w:highlight w:val="none"/>
        </w:rPr>
        <w:t>出现下述情形之一，属于未成功提</w:t>
      </w:r>
      <w:r>
        <w:rPr>
          <w:rFonts w:hint="eastAsia" w:ascii="宋体" w:hAnsi="宋体" w:eastAsia="宋体" w:cs="宋体"/>
          <w:color w:val="auto"/>
          <w:spacing w:val="-2"/>
          <w:sz w:val="24"/>
          <w:szCs w:val="24"/>
          <w:highlight w:val="none"/>
        </w:rPr>
        <w:t>交投标文件，按无效投标处理：</w:t>
      </w:r>
    </w:p>
    <w:p w14:paraId="00777998">
      <w:pPr>
        <w:keepNext w:val="0"/>
        <w:keepLines w:val="0"/>
        <w:pageBreakBefore w:val="0"/>
        <w:widowControl w:val="0"/>
        <w:kinsoku w:val="0"/>
        <w:wordWrap/>
        <w:overflowPunct/>
        <w:topLinePunct w:val="0"/>
        <w:autoSpaceDE w:val="0"/>
        <w:autoSpaceDN w:val="0"/>
        <w:bidi w:val="0"/>
        <w:adjustRightInd w:val="0"/>
        <w:snapToGrid w:val="0"/>
        <w:spacing w:before="115" w:line="360" w:lineRule="auto"/>
        <w:ind w:left="74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（1）至提交投标文件截止时，投标文件未完整上传及提交标书；</w:t>
      </w:r>
    </w:p>
    <w:p w14:paraId="11E2C7ED">
      <w:pPr>
        <w:keepNext w:val="0"/>
        <w:keepLines w:val="0"/>
        <w:pageBreakBefore w:val="0"/>
        <w:widowControl w:val="0"/>
        <w:kinsoku w:val="0"/>
        <w:wordWrap/>
        <w:overflowPunct/>
        <w:topLinePunct w:val="0"/>
        <w:autoSpaceDE w:val="0"/>
        <w:autoSpaceDN w:val="0"/>
        <w:bidi w:val="0"/>
        <w:adjustRightInd w:val="0"/>
        <w:snapToGrid w:val="0"/>
        <w:spacing w:before="114" w:line="360" w:lineRule="auto"/>
        <w:ind w:left="74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（2）解密失败且在规定时间内未重新提交投标文件的；</w:t>
      </w:r>
    </w:p>
    <w:p w14:paraId="0092CD89">
      <w:pPr>
        <w:keepNext w:val="0"/>
        <w:keepLines w:val="0"/>
        <w:pageBreakBefore w:val="0"/>
        <w:widowControl w:val="0"/>
        <w:kinsoku w:val="0"/>
        <w:wordWrap/>
        <w:overflowPunct/>
        <w:topLinePunct w:val="0"/>
        <w:autoSpaceDE w:val="0"/>
        <w:autoSpaceDN w:val="0"/>
        <w:bidi w:val="0"/>
        <w:adjustRightInd w:val="0"/>
        <w:snapToGrid w:val="0"/>
        <w:spacing w:before="115" w:line="360" w:lineRule="auto"/>
        <w:ind w:left="74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（3）投标文件损坏或格式不正确的；</w:t>
      </w:r>
    </w:p>
    <w:p w14:paraId="41D97A6E">
      <w:pPr>
        <w:keepNext w:val="0"/>
        <w:keepLines w:val="0"/>
        <w:pageBreakBefore w:val="0"/>
        <w:widowControl w:val="0"/>
        <w:kinsoku w:val="0"/>
        <w:wordWrap/>
        <w:overflowPunct/>
        <w:topLinePunct w:val="0"/>
        <w:autoSpaceDE w:val="0"/>
        <w:autoSpaceDN w:val="0"/>
        <w:bidi w:val="0"/>
        <w:adjustRightInd w:val="0"/>
        <w:snapToGrid w:val="0"/>
        <w:spacing w:before="115"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13.6  </w:t>
      </w:r>
      <w:r>
        <w:rPr>
          <w:rFonts w:hint="eastAsia" w:ascii="宋体" w:hAnsi="宋体" w:eastAsia="宋体" w:cs="宋体"/>
          <w:color w:val="auto"/>
          <w:spacing w:val="-1"/>
          <w:sz w:val="24"/>
          <w:szCs w:val="24"/>
          <w:highlight w:val="none"/>
        </w:rPr>
        <w:t>联合体投标的，由联合体牵头人按以上要求递交相关资料。</w:t>
      </w:r>
    </w:p>
    <w:p w14:paraId="12BB32A9">
      <w:pPr>
        <w:keepNext w:val="0"/>
        <w:keepLines w:val="0"/>
        <w:pageBreakBefore w:val="0"/>
        <w:widowControl w:val="0"/>
        <w:kinsoku w:val="0"/>
        <w:wordWrap/>
        <w:overflowPunct/>
        <w:topLinePunct w:val="0"/>
        <w:autoSpaceDE w:val="0"/>
        <w:autoSpaceDN w:val="0"/>
        <w:bidi w:val="0"/>
        <w:adjustRightInd w:val="0"/>
        <w:snapToGrid w:val="0"/>
        <w:spacing w:before="113" w:line="360" w:lineRule="auto"/>
        <w:ind w:left="9" w:right="24" w:firstLine="486"/>
        <w:textAlignment w:val="baseline"/>
        <w:rPr>
          <w:rFonts w:hint="eastAsia" w:ascii="宋体" w:hAnsi="宋体" w:eastAsia="宋体" w:cs="宋体"/>
          <w:color w:val="auto"/>
          <w:spacing w:val="-2"/>
          <w:sz w:val="24"/>
          <w:szCs w:val="24"/>
          <w:highlight w:val="none"/>
        </w:rPr>
      </w:pPr>
      <w:r>
        <w:rPr>
          <w:rFonts w:hint="eastAsia" w:ascii="宋体" w:hAnsi="宋体" w:eastAsia="宋体" w:cs="宋体"/>
          <w:b/>
          <w:bCs/>
          <w:color w:val="auto"/>
          <w:spacing w:val="-2"/>
          <w:sz w:val="24"/>
          <w:szCs w:val="24"/>
          <w:highlight w:val="none"/>
        </w:rPr>
        <w:t xml:space="preserve">13.7  </w:t>
      </w:r>
      <w:r>
        <w:rPr>
          <w:rFonts w:hint="eastAsia" w:ascii="宋体" w:hAnsi="宋体" w:eastAsia="宋体" w:cs="宋体"/>
          <w:color w:val="auto"/>
          <w:spacing w:val="-2"/>
          <w:sz w:val="24"/>
          <w:szCs w:val="24"/>
          <w:highlight w:val="none"/>
        </w:rPr>
        <w:t>招标人或其授权的招标代理机构核对、接收投标人递交的投标相关资料后，</w:t>
      </w:r>
      <w:r>
        <w:rPr>
          <w:rFonts w:hint="eastAsia" w:ascii="宋体" w:hAnsi="宋体" w:eastAsia="宋体" w:cs="宋体"/>
          <w:color w:val="auto"/>
          <w:spacing w:val="-1"/>
          <w:sz w:val="24"/>
          <w:szCs w:val="24"/>
          <w:highlight w:val="none"/>
        </w:rPr>
        <w:t>应向投标人出具标明签收</w:t>
      </w:r>
      <w:r>
        <w:rPr>
          <w:rFonts w:hint="eastAsia" w:ascii="宋体" w:hAnsi="宋体" w:eastAsia="宋体" w:cs="宋体"/>
          <w:color w:val="auto"/>
          <w:spacing w:val="-2"/>
          <w:sz w:val="24"/>
          <w:szCs w:val="24"/>
          <w:highlight w:val="none"/>
        </w:rPr>
        <w:t>人和签收时间的凭证，并妥善保管。</w:t>
      </w:r>
    </w:p>
    <w:p w14:paraId="71293AB0">
      <w:pPr>
        <w:keepNext w:val="0"/>
        <w:keepLines w:val="0"/>
        <w:pageBreakBefore w:val="0"/>
        <w:widowControl w:val="0"/>
        <w:kinsoku w:val="0"/>
        <w:wordWrap/>
        <w:overflowPunct/>
        <w:topLinePunct w:val="0"/>
        <w:autoSpaceDE w:val="0"/>
        <w:autoSpaceDN w:val="0"/>
        <w:bidi w:val="0"/>
        <w:adjustRightInd w:val="0"/>
        <w:snapToGrid w:val="0"/>
        <w:spacing w:before="113" w:line="360" w:lineRule="auto"/>
        <w:ind w:left="9" w:right="24" w:firstLine="48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13.8 </w:t>
      </w:r>
      <w:r>
        <w:rPr>
          <w:rFonts w:hint="eastAsia" w:ascii="宋体" w:hAnsi="宋体" w:eastAsia="宋体" w:cs="宋体"/>
          <w:color w:val="auto"/>
          <w:spacing w:val="-2"/>
          <w:sz w:val="24"/>
          <w:szCs w:val="24"/>
          <w:highlight w:val="none"/>
        </w:rPr>
        <w:t xml:space="preserve"> 本次招标投标有效期为</w:t>
      </w:r>
      <w:r>
        <w:rPr>
          <w:rFonts w:hint="eastAsia" w:ascii="宋体" w:hAnsi="宋体" w:eastAsia="宋体" w:cs="宋体"/>
          <w:color w:val="auto"/>
          <w:spacing w:val="-2"/>
          <w:sz w:val="24"/>
          <w:szCs w:val="24"/>
          <w:highlight w:val="none"/>
          <w:lang w:eastAsia="zh-CN"/>
        </w:rPr>
        <w:t>90</w:t>
      </w:r>
      <w:r>
        <w:rPr>
          <w:rFonts w:hint="eastAsia" w:ascii="宋体" w:hAnsi="宋体" w:eastAsia="宋体" w:cs="宋体"/>
          <w:color w:val="auto"/>
          <w:spacing w:val="-2"/>
          <w:sz w:val="24"/>
          <w:szCs w:val="24"/>
          <w:highlight w:val="none"/>
        </w:rPr>
        <w:t>个日历天，投标有效期从提交投标文件的截止之日起计算。在此期间，投标人不得撤销或修改其</w:t>
      </w:r>
      <w:r>
        <w:rPr>
          <w:rFonts w:hint="eastAsia" w:ascii="宋体" w:hAnsi="宋体" w:eastAsia="宋体" w:cs="宋体"/>
          <w:color w:val="auto"/>
          <w:spacing w:val="-7"/>
          <w:sz w:val="24"/>
          <w:szCs w:val="24"/>
          <w:highlight w:val="none"/>
        </w:rPr>
        <w:t>投标文件，否则其投标保证不予退还。</w:t>
      </w:r>
    </w:p>
    <w:p w14:paraId="05BD3EFA">
      <w:pPr>
        <w:spacing w:before="145" w:line="360" w:lineRule="auto"/>
        <w:ind w:left="496"/>
        <w:outlineLvl w:val="2"/>
        <w:rPr>
          <w:rFonts w:hint="eastAsia" w:ascii="宋体" w:hAnsi="宋体" w:eastAsia="宋体" w:cs="宋体"/>
          <w:color w:val="auto"/>
          <w:sz w:val="24"/>
          <w:szCs w:val="24"/>
          <w:highlight w:val="none"/>
        </w:rPr>
      </w:pPr>
      <w:bookmarkStart w:id="66" w:name="_Toc7252"/>
      <w:bookmarkStart w:id="67" w:name="_Toc1693"/>
      <w:r>
        <w:rPr>
          <w:rFonts w:hint="eastAsia" w:ascii="宋体" w:hAnsi="宋体" w:eastAsia="宋体" w:cs="宋体"/>
          <w:b/>
          <w:bCs/>
          <w:color w:val="auto"/>
          <w:spacing w:val="-11"/>
          <w:sz w:val="24"/>
          <w:szCs w:val="24"/>
          <w:highlight w:val="none"/>
        </w:rPr>
        <w:t>14</w:t>
      </w:r>
      <w:r>
        <w:rPr>
          <w:rFonts w:hint="eastAsia" w:ascii="宋体" w:hAnsi="宋体" w:eastAsia="宋体" w:cs="宋体"/>
          <w:b/>
          <w:bCs/>
          <w:color w:val="auto"/>
          <w:spacing w:val="-28"/>
          <w:sz w:val="24"/>
          <w:szCs w:val="24"/>
          <w:highlight w:val="none"/>
          <w:lang w:eastAsia="zh-CN"/>
        </w:rPr>
        <w:t>.</w:t>
      </w:r>
      <w:r>
        <w:rPr>
          <w:rFonts w:hint="eastAsia" w:ascii="宋体" w:hAnsi="宋体" w:eastAsia="宋体" w:cs="宋体"/>
          <w:b/>
          <w:bCs/>
          <w:color w:val="auto"/>
          <w:spacing w:val="-11"/>
          <w:sz w:val="24"/>
          <w:szCs w:val="24"/>
          <w:highlight w:val="none"/>
        </w:rPr>
        <w:t>开标</w:t>
      </w:r>
      <w:bookmarkEnd w:id="66"/>
      <w:bookmarkEnd w:id="67"/>
    </w:p>
    <w:p w14:paraId="49780A9B">
      <w:pPr>
        <w:keepNext w:val="0"/>
        <w:keepLines w:val="0"/>
        <w:pageBreakBefore w:val="0"/>
        <w:widowControl w:val="0"/>
        <w:kinsoku w:val="0"/>
        <w:overflowPunct/>
        <w:topLinePunct w:val="0"/>
        <w:autoSpaceDE w:val="0"/>
        <w:autoSpaceDN w:val="0"/>
        <w:bidi w:val="0"/>
        <w:adjustRightInd w:val="0"/>
        <w:snapToGrid w:val="0"/>
        <w:spacing w:before="155" w:line="360" w:lineRule="auto"/>
        <w:ind w:left="10" w:right="81" w:firstLine="485"/>
        <w:jc w:val="both"/>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14.1  </w:t>
      </w:r>
      <w:r>
        <w:rPr>
          <w:rFonts w:hint="eastAsia" w:ascii="宋体" w:hAnsi="宋体" w:eastAsia="宋体" w:cs="宋体"/>
          <w:color w:val="auto"/>
          <w:spacing w:val="-3"/>
          <w:sz w:val="24"/>
          <w:szCs w:val="24"/>
          <w:highlight w:val="none"/>
        </w:rPr>
        <w:t>招标人邀请所有正确获取招标文件、电子投标、缴纳投标保证的投标人参加</w:t>
      </w:r>
      <w:r>
        <w:rPr>
          <w:rFonts w:hint="eastAsia" w:ascii="宋体" w:hAnsi="宋体" w:eastAsia="宋体" w:cs="宋体"/>
          <w:color w:val="auto"/>
          <w:spacing w:val="-1"/>
          <w:sz w:val="24"/>
          <w:szCs w:val="24"/>
          <w:highlight w:val="none"/>
        </w:rPr>
        <w:t>开标，投标人可自主决定是否参加。投标人可登陆交易平台</w:t>
      </w:r>
      <w:r>
        <w:rPr>
          <w:rFonts w:hint="eastAsia" w:ascii="宋体" w:hAnsi="宋体" w:eastAsia="宋体" w:cs="宋体"/>
          <w:color w:val="auto"/>
          <w:spacing w:val="-2"/>
          <w:sz w:val="24"/>
          <w:szCs w:val="24"/>
          <w:highlight w:val="none"/>
        </w:rPr>
        <w:t>观看开标实况、提出异议</w:t>
      </w:r>
      <w:r>
        <w:rPr>
          <w:rFonts w:hint="eastAsia" w:ascii="宋体" w:hAnsi="宋体" w:eastAsia="宋体" w:cs="宋体"/>
          <w:color w:val="auto"/>
          <w:spacing w:val="-1"/>
          <w:sz w:val="24"/>
          <w:szCs w:val="24"/>
          <w:highlight w:val="none"/>
        </w:rPr>
        <w:t>或进行澄清、确认等操作（具体按招标文件和系统操作手册</w:t>
      </w:r>
      <w:r>
        <w:rPr>
          <w:rFonts w:hint="eastAsia" w:ascii="宋体" w:hAnsi="宋体" w:eastAsia="宋体" w:cs="宋体"/>
          <w:color w:val="auto"/>
          <w:spacing w:val="-2"/>
          <w:sz w:val="24"/>
          <w:szCs w:val="24"/>
          <w:highlight w:val="none"/>
        </w:rPr>
        <w:t>为准）。投标人不参加开</w:t>
      </w:r>
      <w:bookmarkStart w:id="68" w:name="bookmark123"/>
      <w:bookmarkEnd w:id="68"/>
      <w:r>
        <w:rPr>
          <w:rFonts w:hint="eastAsia" w:ascii="宋体" w:hAnsi="宋体" w:eastAsia="宋体" w:cs="宋体"/>
          <w:color w:val="auto"/>
          <w:sz w:val="24"/>
          <w:szCs w:val="24"/>
          <w:highlight w:val="none"/>
        </w:rPr>
        <w:t>标的，视其默认开标结果，以及放弃在开标期间见证、</w:t>
      </w:r>
      <w:r>
        <w:rPr>
          <w:rFonts w:hint="eastAsia" w:ascii="宋体" w:hAnsi="宋体" w:eastAsia="宋体" w:cs="宋体"/>
          <w:color w:val="auto"/>
          <w:spacing w:val="-1"/>
          <w:sz w:val="24"/>
          <w:szCs w:val="24"/>
          <w:highlight w:val="none"/>
        </w:rPr>
        <w:t>监督、投诉、申辩的权利。</w:t>
      </w:r>
    </w:p>
    <w:p w14:paraId="3B04BEF9">
      <w:pPr>
        <w:keepNext w:val="0"/>
        <w:keepLines w:val="0"/>
        <w:pageBreakBefore w:val="0"/>
        <w:widowControl w:val="0"/>
        <w:kinsoku w:val="0"/>
        <w:overflowPunct/>
        <w:topLinePunct w:val="0"/>
        <w:autoSpaceDE w:val="0"/>
        <w:autoSpaceDN w:val="0"/>
        <w:bidi w:val="0"/>
        <w:adjustRightInd w:val="0"/>
        <w:snapToGrid w:val="0"/>
        <w:spacing w:before="156"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14.1.1  </w:t>
      </w:r>
      <w:r>
        <w:rPr>
          <w:rFonts w:hint="eastAsia" w:ascii="宋体" w:hAnsi="宋体" w:eastAsia="宋体" w:cs="宋体"/>
          <w:color w:val="auto"/>
          <w:sz w:val="24"/>
          <w:szCs w:val="24"/>
          <w:highlight w:val="none"/>
        </w:rPr>
        <w:t>开标时间和地点：见本章第</w:t>
      </w:r>
      <w:r>
        <w:rPr>
          <w:rFonts w:hint="eastAsia" w:ascii="宋体" w:hAnsi="宋体" w:eastAsia="宋体" w:cs="宋体"/>
          <w:color w:val="auto"/>
          <w:spacing w:val="-1"/>
          <w:sz w:val="24"/>
          <w:szCs w:val="24"/>
          <w:highlight w:val="none"/>
        </w:rPr>
        <w:t>二节“重要事项时间地点一览表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w:t>
      </w:r>
    </w:p>
    <w:p w14:paraId="45F6F777">
      <w:pPr>
        <w:keepNext w:val="0"/>
        <w:keepLines w:val="0"/>
        <w:pageBreakBefore w:val="0"/>
        <w:widowControl w:val="0"/>
        <w:kinsoku w:val="0"/>
        <w:wordWrap w:val="0"/>
        <w:overflowPunct/>
        <w:topLinePunct w:val="0"/>
        <w:autoSpaceDE w:val="0"/>
        <w:autoSpaceDN w:val="0"/>
        <w:bidi w:val="0"/>
        <w:adjustRightInd w:val="0"/>
        <w:snapToGrid w:val="0"/>
        <w:spacing w:before="153" w:line="360" w:lineRule="auto"/>
        <w:ind w:left="11" w:firstLine="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 xml:space="preserve">14.1.2 </w:t>
      </w:r>
      <w:r>
        <w:rPr>
          <w:rFonts w:hint="eastAsia" w:ascii="宋体" w:hAnsi="宋体" w:eastAsia="宋体" w:cs="宋体"/>
          <w:color w:val="auto"/>
          <w:spacing w:val="-7"/>
          <w:sz w:val="24"/>
          <w:szCs w:val="24"/>
          <w:highlight w:val="none"/>
        </w:rPr>
        <w:t>开标前</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7"/>
          <w:sz w:val="24"/>
          <w:szCs w:val="24"/>
          <w:highlight w:val="none"/>
        </w:rPr>
        <w:t>24</w:t>
      </w:r>
      <w:r>
        <w:rPr>
          <w:rFonts w:hint="eastAsia" w:ascii="宋体" w:hAnsi="宋体" w:eastAsia="宋体" w:cs="宋体"/>
          <w:color w:val="auto"/>
          <w:spacing w:val="-44"/>
          <w:sz w:val="24"/>
          <w:szCs w:val="24"/>
          <w:highlight w:val="none"/>
        </w:rPr>
        <w:t xml:space="preserve"> </w:t>
      </w:r>
      <w:r>
        <w:rPr>
          <w:rFonts w:hint="eastAsia" w:ascii="宋体" w:hAnsi="宋体" w:eastAsia="宋体" w:cs="宋体"/>
          <w:color w:val="auto"/>
          <w:spacing w:val="-7"/>
          <w:sz w:val="24"/>
          <w:szCs w:val="24"/>
          <w:highlight w:val="none"/>
        </w:rPr>
        <w:t>小时，若建设工程交易系统显示缴</w:t>
      </w:r>
      <w:r>
        <w:rPr>
          <w:rFonts w:hint="eastAsia" w:ascii="宋体" w:hAnsi="宋体" w:eastAsia="宋体" w:cs="宋体"/>
          <w:color w:val="auto"/>
          <w:spacing w:val="-8"/>
          <w:sz w:val="24"/>
          <w:szCs w:val="24"/>
          <w:highlight w:val="none"/>
        </w:rPr>
        <w:t>纳投标保证（包括投标保证金、</w:t>
      </w:r>
      <w:r>
        <w:rPr>
          <w:rFonts w:hint="eastAsia" w:ascii="宋体" w:hAnsi="宋体" w:eastAsia="宋体" w:cs="宋体"/>
          <w:color w:val="auto"/>
          <w:spacing w:val="-2"/>
          <w:sz w:val="24"/>
          <w:szCs w:val="24"/>
          <w:highlight w:val="none"/>
        </w:rPr>
        <w:t>投标保证担保、投标保证保险）的投标人数量不足</w:t>
      </w:r>
      <w:r>
        <w:rPr>
          <w:rFonts w:hint="eastAsia" w:ascii="宋体" w:hAnsi="宋体" w:eastAsia="宋体" w:cs="宋体"/>
          <w:color w:val="auto"/>
          <w:spacing w:val="-42"/>
          <w:sz w:val="24"/>
          <w:szCs w:val="24"/>
          <w:highlight w:val="none"/>
        </w:rPr>
        <w:t xml:space="preserve"> </w:t>
      </w:r>
      <w:r>
        <w:rPr>
          <w:rFonts w:hint="eastAsia" w:ascii="宋体" w:hAnsi="宋体" w:eastAsia="宋体" w:cs="宋体"/>
          <w:color w:val="auto"/>
          <w:spacing w:val="-2"/>
          <w:sz w:val="24"/>
          <w:szCs w:val="24"/>
          <w:highlight w:val="none"/>
        </w:rPr>
        <w:t>3</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个时，招标人将取消原定于次日</w:t>
      </w:r>
      <w:r>
        <w:rPr>
          <w:rFonts w:hint="eastAsia" w:ascii="宋体" w:hAnsi="宋体" w:eastAsia="宋体" w:cs="宋体"/>
          <w:color w:val="auto"/>
          <w:spacing w:val="-1"/>
          <w:sz w:val="24"/>
          <w:szCs w:val="24"/>
          <w:highlight w:val="none"/>
        </w:rPr>
        <w:t>召开的开标活动。投标人可在投标保证缴纳截止时间（见本章</w:t>
      </w:r>
      <w:r>
        <w:rPr>
          <w:rFonts w:hint="eastAsia" w:ascii="宋体" w:hAnsi="宋体" w:eastAsia="宋体" w:cs="宋体"/>
          <w:color w:val="auto"/>
          <w:spacing w:val="-2"/>
          <w:sz w:val="24"/>
          <w:szCs w:val="24"/>
          <w:highlight w:val="none"/>
        </w:rPr>
        <w:t>第二节“重要事项时间</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地点一览表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”）至电子投标截止时间（见本章第二节“重要事项时间地点一览</w:t>
      </w:r>
      <w:r>
        <w:rPr>
          <w:rFonts w:hint="eastAsia" w:ascii="宋体" w:hAnsi="宋体" w:eastAsia="宋体" w:cs="宋体"/>
          <w:color w:val="auto"/>
          <w:spacing w:val="-2"/>
          <w:sz w:val="24"/>
          <w:szCs w:val="24"/>
          <w:highlight w:val="none"/>
        </w:rPr>
        <w:t>表</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”）期间登录全国公共资源交易平台（广东省·韶关市</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2"/>
          <w:sz w:val="24"/>
          <w:szCs w:val="24"/>
          <w:highlight w:val="none"/>
        </w:rPr>
        <w:t>https://ygp.gdzwfw.gov.cn/</w:t>
      </w:r>
      <w:r>
        <w:rPr>
          <w:rFonts w:hint="eastAsia" w:ascii="宋体" w:hAnsi="宋体" w:eastAsia="宋体" w:cs="宋体"/>
          <w:color w:val="auto"/>
          <w:sz w:val="24"/>
          <w:szCs w:val="24"/>
          <w:highlight w:val="none"/>
        </w:rPr>
        <w:t>ggzy-portal/#/440200/index）查询是否发布了取</w:t>
      </w:r>
      <w:r>
        <w:rPr>
          <w:rFonts w:hint="eastAsia" w:ascii="宋体" w:hAnsi="宋体" w:eastAsia="宋体" w:cs="宋体"/>
          <w:color w:val="auto"/>
          <w:spacing w:val="-1"/>
          <w:sz w:val="24"/>
          <w:szCs w:val="24"/>
          <w:highlight w:val="none"/>
        </w:rPr>
        <w:t>消开标活动的相关信息。</w:t>
      </w:r>
    </w:p>
    <w:p w14:paraId="3FC91C7D">
      <w:pPr>
        <w:keepNext w:val="0"/>
        <w:keepLines w:val="0"/>
        <w:pageBreakBefore w:val="0"/>
        <w:widowControl w:val="0"/>
        <w:kinsoku w:val="0"/>
        <w:overflowPunct/>
        <w:topLinePunct w:val="0"/>
        <w:autoSpaceDE w:val="0"/>
        <w:autoSpaceDN w:val="0"/>
        <w:bidi w:val="0"/>
        <w:adjustRightInd w:val="0"/>
        <w:snapToGrid w:val="0"/>
        <w:spacing w:before="159" w:line="360" w:lineRule="auto"/>
        <w:ind w:left="10" w:right="80" w:firstLine="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14.1.3</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4"/>
          <w:sz w:val="24"/>
          <w:szCs w:val="24"/>
          <w:highlight w:val="none"/>
        </w:rPr>
        <w:t>本项目实行全流程电子化招标投标，投标人在交易平台按要求上传加盖电</w:t>
      </w:r>
      <w:r>
        <w:rPr>
          <w:rFonts w:hint="eastAsia" w:ascii="宋体" w:hAnsi="宋体" w:eastAsia="宋体" w:cs="宋体"/>
          <w:color w:val="auto"/>
          <w:spacing w:val="-1"/>
          <w:sz w:val="24"/>
          <w:szCs w:val="24"/>
          <w:highlight w:val="none"/>
        </w:rPr>
        <w:t>子印章并经加密的电子投标文件，并在交易平台录入准确的</w:t>
      </w:r>
      <w:r>
        <w:rPr>
          <w:rFonts w:hint="eastAsia" w:ascii="宋体" w:hAnsi="宋体" w:eastAsia="宋体" w:cs="宋体"/>
          <w:color w:val="auto"/>
          <w:spacing w:val="-2"/>
          <w:sz w:val="24"/>
          <w:szCs w:val="24"/>
          <w:highlight w:val="none"/>
        </w:rPr>
        <w:t>页码信息即可完成在线投</w:t>
      </w:r>
      <w:r>
        <w:rPr>
          <w:rFonts w:hint="eastAsia" w:ascii="宋体" w:hAnsi="宋体" w:eastAsia="宋体" w:cs="宋体"/>
          <w:color w:val="auto"/>
          <w:spacing w:val="-1"/>
          <w:sz w:val="24"/>
          <w:szCs w:val="24"/>
          <w:highlight w:val="none"/>
        </w:rPr>
        <w:t>标</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由于投标人原因导致未按投标截至时限上传完整投标文</w:t>
      </w:r>
      <w:r>
        <w:rPr>
          <w:rFonts w:hint="eastAsia" w:ascii="宋体" w:hAnsi="宋体" w:eastAsia="宋体" w:cs="宋体"/>
          <w:color w:val="auto"/>
          <w:spacing w:val="-2"/>
          <w:sz w:val="24"/>
          <w:szCs w:val="24"/>
          <w:highlight w:val="none"/>
        </w:rPr>
        <w:t>件、在交易平台中上传的</w:t>
      </w:r>
      <w:r>
        <w:rPr>
          <w:rFonts w:hint="eastAsia" w:ascii="宋体" w:hAnsi="宋体" w:eastAsia="宋体" w:cs="宋体"/>
          <w:color w:val="auto"/>
          <w:spacing w:val="-1"/>
          <w:sz w:val="24"/>
          <w:szCs w:val="24"/>
          <w:highlight w:val="none"/>
        </w:rPr>
        <w:t>投标文件无法解密、投标文件损坏或格式不正确、投标文件</w:t>
      </w:r>
      <w:r>
        <w:rPr>
          <w:rFonts w:hint="eastAsia" w:ascii="宋体" w:hAnsi="宋体" w:eastAsia="宋体" w:cs="宋体"/>
          <w:color w:val="auto"/>
          <w:spacing w:val="-2"/>
          <w:sz w:val="24"/>
          <w:szCs w:val="24"/>
          <w:highlight w:val="none"/>
        </w:rPr>
        <w:t>未按招标文件要求加盖电</w:t>
      </w:r>
      <w:r>
        <w:rPr>
          <w:rFonts w:hint="eastAsia" w:ascii="宋体" w:hAnsi="宋体" w:eastAsia="宋体" w:cs="宋体"/>
          <w:color w:val="auto"/>
          <w:spacing w:val="-1"/>
          <w:sz w:val="24"/>
          <w:szCs w:val="24"/>
          <w:highlight w:val="none"/>
        </w:rPr>
        <w:t>子印章或电子印章不完整、电子投标文件解密失败且未按要</w:t>
      </w:r>
      <w:r>
        <w:rPr>
          <w:rFonts w:hint="eastAsia" w:ascii="宋体" w:hAnsi="宋体" w:eastAsia="宋体" w:cs="宋体"/>
          <w:color w:val="auto"/>
          <w:spacing w:val="-2"/>
          <w:sz w:val="24"/>
          <w:szCs w:val="24"/>
          <w:highlight w:val="none"/>
        </w:rPr>
        <w:t>求上传备用投标文件等情</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形导致投标无效的，由投标人自行负责。</w:t>
      </w:r>
    </w:p>
    <w:p w14:paraId="0F9F51F4">
      <w:pPr>
        <w:keepNext w:val="0"/>
        <w:keepLines w:val="0"/>
        <w:pageBreakBefore w:val="0"/>
        <w:widowControl w:val="0"/>
        <w:kinsoku w:val="0"/>
        <w:overflowPunct/>
        <w:topLinePunct w:val="0"/>
        <w:autoSpaceDE w:val="0"/>
        <w:autoSpaceDN w:val="0"/>
        <w:bidi w:val="0"/>
        <w:adjustRightInd w:val="0"/>
        <w:snapToGrid w:val="0"/>
        <w:spacing w:before="152" w:line="360" w:lineRule="auto"/>
        <w:ind w:left="496"/>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14.2  </w:t>
      </w:r>
      <w:r>
        <w:rPr>
          <w:rFonts w:hint="eastAsia" w:ascii="宋体" w:hAnsi="宋体" w:eastAsia="宋体" w:cs="宋体"/>
          <w:color w:val="auto"/>
          <w:spacing w:val="-2"/>
          <w:sz w:val="24"/>
          <w:szCs w:val="24"/>
          <w:highlight w:val="none"/>
        </w:rPr>
        <w:t>开标程序</w:t>
      </w:r>
    </w:p>
    <w:p w14:paraId="20240125">
      <w:pPr>
        <w:keepNext w:val="0"/>
        <w:keepLines w:val="0"/>
        <w:pageBreakBefore w:val="0"/>
        <w:widowControl w:val="0"/>
        <w:kinsoku w:val="0"/>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bookmarkStart w:id="69" w:name="_Toc10685"/>
      <w:bookmarkStart w:id="70" w:name="_Toc7725"/>
      <w:bookmarkStart w:id="71" w:name="_Toc10291"/>
      <w:bookmarkStart w:id="72" w:name="_Toc15587"/>
      <w:r>
        <w:rPr>
          <w:rFonts w:hint="eastAsia" w:ascii="宋体" w:hAnsi="宋体" w:eastAsia="宋体" w:cs="宋体"/>
          <w:sz w:val="24"/>
          <w:szCs w:val="24"/>
        </w:rPr>
        <w:t>（1）主持人（招标人代表或招标人授权的招标代理机构人员）宣读开标纪律。</w:t>
      </w:r>
      <w:bookmarkEnd w:id="69"/>
      <w:bookmarkEnd w:id="70"/>
      <w:bookmarkEnd w:id="71"/>
      <w:bookmarkEnd w:id="72"/>
    </w:p>
    <w:p w14:paraId="42D5FB59">
      <w:pPr>
        <w:keepNext w:val="0"/>
        <w:keepLines w:val="0"/>
        <w:pageBreakBefore w:val="0"/>
        <w:widowControl w:val="0"/>
        <w:kinsoku w:val="0"/>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bookmarkStart w:id="73" w:name="_Toc16768"/>
      <w:bookmarkStart w:id="74" w:name="_Toc20238"/>
      <w:bookmarkStart w:id="75" w:name="_Toc2011"/>
      <w:bookmarkStart w:id="76" w:name="_Toc16292"/>
      <w:r>
        <w:rPr>
          <w:rFonts w:hint="eastAsia" w:ascii="宋体" w:hAnsi="宋体" w:eastAsia="宋体" w:cs="宋体"/>
          <w:sz w:val="24"/>
          <w:szCs w:val="24"/>
        </w:rPr>
        <w:t>（2）主持人宣布唱标人、记录人、见证人、监督人等有关人员姓名。</w:t>
      </w:r>
      <w:bookmarkEnd w:id="73"/>
      <w:bookmarkEnd w:id="74"/>
      <w:bookmarkEnd w:id="75"/>
      <w:bookmarkEnd w:id="76"/>
    </w:p>
    <w:p w14:paraId="26AA2E9E">
      <w:pPr>
        <w:keepNext w:val="0"/>
        <w:keepLines w:val="0"/>
        <w:pageBreakBefore w:val="0"/>
        <w:widowControl w:val="0"/>
        <w:kinsoku w:val="0"/>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bookmarkStart w:id="77" w:name="_Toc7714"/>
      <w:bookmarkStart w:id="78" w:name="_Toc17462"/>
      <w:bookmarkStart w:id="79" w:name="_Toc1974"/>
      <w:bookmarkStart w:id="80" w:name="_Toc31716"/>
      <w:r>
        <w:rPr>
          <w:rFonts w:hint="eastAsia" w:ascii="宋体" w:hAnsi="宋体" w:eastAsia="宋体" w:cs="宋体"/>
          <w:sz w:val="24"/>
          <w:szCs w:val="24"/>
        </w:rPr>
        <w:t>（3）唱标人公布在投标截止时间前进行投标文件的投标人数量和名称</w:t>
      </w:r>
      <w:bookmarkEnd w:id="77"/>
      <w:bookmarkEnd w:id="78"/>
      <w:bookmarkEnd w:id="79"/>
      <w:bookmarkEnd w:id="80"/>
    </w:p>
    <w:p w14:paraId="4A3BFA42">
      <w:pPr>
        <w:keepNext w:val="0"/>
        <w:keepLines w:val="0"/>
        <w:pageBreakBefore w:val="0"/>
        <w:widowControl w:val="0"/>
        <w:kinsoku w:val="0"/>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bookmarkStart w:id="81" w:name="_Toc27967"/>
      <w:bookmarkStart w:id="82" w:name="_Toc32728"/>
      <w:bookmarkStart w:id="83" w:name="_Toc15860"/>
      <w:bookmarkStart w:id="84" w:name="_Toc20559"/>
      <w:r>
        <w:rPr>
          <w:rFonts w:hint="eastAsia" w:ascii="宋体" w:hAnsi="宋体" w:eastAsia="宋体" w:cs="宋体"/>
          <w:sz w:val="24"/>
          <w:szCs w:val="24"/>
        </w:rPr>
        <w:t>（4）招标代理机构会同交易场所工作人员对投标人的电子投标信息进行解密，</w:t>
      </w:r>
      <w:bookmarkEnd w:id="81"/>
      <w:bookmarkEnd w:id="82"/>
      <w:bookmarkEnd w:id="83"/>
      <w:bookmarkEnd w:id="84"/>
    </w:p>
    <w:p w14:paraId="61CFADFE">
      <w:pPr>
        <w:keepNext w:val="0"/>
        <w:keepLines w:val="0"/>
        <w:pageBreakBefore w:val="0"/>
        <w:widowControl w:val="0"/>
        <w:kinsoku w:val="0"/>
        <w:overflowPunct/>
        <w:topLinePunct w:val="0"/>
        <w:autoSpaceDE w:val="0"/>
        <w:autoSpaceDN w:val="0"/>
        <w:bidi w:val="0"/>
        <w:adjustRightInd w:val="0"/>
        <w:snapToGrid w:val="0"/>
        <w:spacing w:line="360" w:lineRule="auto"/>
        <w:ind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建设工程交易系统自动生成《投标保证缴纳情况表》和《开标一览表》。</w:t>
      </w:r>
    </w:p>
    <w:p w14:paraId="34D54FFD">
      <w:pPr>
        <w:keepNext w:val="0"/>
        <w:keepLines w:val="0"/>
        <w:pageBreakBefore w:val="0"/>
        <w:widowControl w:val="0"/>
        <w:kinsoku w:val="0"/>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
          <w:bCs/>
          <w:sz w:val="24"/>
          <w:szCs w:val="24"/>
        </w:rPr>
      </w:pPr>
      <w:bookmarkStart w:id="85" w:name="_Toc28812"/>
      <w:bookmarkStart w:id="86" w:name="_Toc2199"/>
      <w:bookmarkStart w:id="87" w:name="_Toc28266"/>
      <w:bookmarkStart w:id="88" w:name="_Toc20884"/>
      <w:r>
        <w:rPr>
          <w:rFonts w:hint="eastAsia" w:ascii="宋体" w:hAnsi="宋体" w:eastAsia="宋体" w:cs="宋体"/>
          <w:b/>
          <w:bCs/>
          <w:sz w:val="24"/>
          <w:szCs w:val="24"/>
        </w:rPr>
        <w:t>温馨提示：因本项目实行全流程电子化招标投标，投标人无须进行现场签到，可</w:t>
      </w:r>
      <w:bookmarkEnd w:id="85"/>
      <w:bookmarkEnd w:id="86"/>
      <w:bookmarkEnd w:id="87"/>
      <w:r>
        <w:rPr>
          <w:rFonts w:hint="eastAsia" w:ascii="宋体" w:hAnsi="宋体" w:eastAsia="宋体" w:cs="宋体"/>
          <w:b/>
          <w:bCs/>
          <w:sz w:val="24"/>
          <w:szCs w:val="24"/>
        </w:rPr>
        <w:t>登录交易平台观看开标实况、提出异议或进行澄清、确认等操作，对开标事项的异议未在开标期间提出的，招标</w:t>
      </w:r>
      <w:r>
        <w:rPr>
          <w:rFonts w:hint="eastAsia" w:ascii="宋体" w:hAnsi="宋体" w:eastAsia="宋体" w:cs="宋体"/>
          <w:b/>
          <w:bCs/>
          <w:sz w:val="24"/>
          <w:szCs w:val="24"/>
          <w:lang w:eastAsia="zh-CN"/>
        </w:rPr>
        <w:t>人不</w:t>
      </w:r>
      <w:r>
        <w:rPr>
          <w:rFonts w:hint="eastAsia" w:ascii="宋体" w:hAnsi="宋体" w:eastAsia="宋体" w:cs="宋体"/>
          <w:b/>
          <w:bCs/>
          <w:sz w:val="24"/>
          <w:szCs w:val="24"/>
        </w:rPr>
        <w:t>予受理。具体按招标文件和系统操作手册为准。</w:t>
      </w:r>
      <w:bookmarkEnd w:id="88"/>
    </w:p>
    <w:p w14:paraId="71121C40">
      <w:pPr>
        <w:spacing w:before="143" w:line="360" w:lineRule="auto"/>
        <w:ind w:left="11" w:right="80"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14.3  </w:t>
      </w:r>
      <w:r>
        <w:rPr>
          <w:rFonts w:hint="eastAsia" w:ascii="宋体" w:hAnsi="宋体" w:eastAsia="宋体" w:cs="宋体"/>
          <w:color w:val="auto"/>
          <w:spacing w:val="-3"/>
          <w:sz w:val="24"/>
          <w:szCs w:val="24"/>
          <w:highlight w:val="none"/>
        </w:rPr>
        <w:t>投标人对开标相关事项（如开标程序等）有异议的，必须在开标期间和开标</w:t>
      </w:r>
      <w:r>
        <w:rPr>
          <w:rFonts w:hint="eastAsia" w:ascii="宋体" w:hAnsi="宋体" w:eastAsia="宋体" w:cs="宋体"/>
          <w:color w:val="auto"/>
          <w:spacing w:val="-1"/>
          <w:sz w:val="24"/>
          <w:szCs w:val="24"/>
          <w:highlight w:val="none"/>
        </w:rPr>
        <w:t>现场提出，招标人或其授权的招标代理机构应当场作出答</w:t>
      </w:r>
      <w:r>
        <w:rPr>
          <w:rFonts w:hint="eastAsia" w:ascii="宋体" w:hAnsi="宋体" w:eastAsia="宋体" w:cs="宋体"/>
          <w:color w:val="auto"/>
          <w:spacing w:val="-2"/>
          <w:sz w:val="24"/>
          <w:szCs w:val="24"/>
          <w:highlight w:val="none"/>
        </w:rPr>
        <w:t>复，并记录在案。对开标事</w:t>
      </w:r>
      <w:r>
        <w:rPr>
          <w:rFonts w:hint="eastAsia" w:ascii="宋体" w:hAnsi="宋体" w:eastAsia="宋体" w:cs="宋体"/>
          <w:color w:val="auto"/>
          <w:spacing w:val="-1"/>
          <w:sz w:val="24"/>
          <w:szCs w:val="24"/>
          <w:highlight w:val="none"/>
        </w:rPr>
        <w:t>项的异议未在开标期间和开标现场提出的，招标人不予受理。</w:t>
      </w:r>
    </w:p>
    <w:p w14:paraId="429DB52E">
      <w:pPr>
        <w:spacing w:before="155" w:line="360" w:lineRule="auto"/>
        <w:ind w:left="8" w:right="82" w:firstLine="48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14.4</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招标代理机构将资料原件（如有）</w:t>
      </w:r>
      <w:r>
        <w:rPr>
          <w:rFonts w:hint="eastAsia" w:ascii="宋体" w:hAnsi="宋体" w:eastAsia="宋体" w:cs="宋体"/>
          <w:color w:val="auto"/>
          <w:spacing w:val="-2"/>
          <w:sz w:val="24"/>
          <w:szCs w:val="24"/>
          <w:highlight w:val="none"/>
        </w:rPr>
        <w:t>、《开标一览表》以及其他有关资料移交评标委员会。</w:t>
      </w:r>
    </w:p>
    <w:p w14:paraId="332FDB46">
      <w:pPr>
        <w:spacing w:before="78" w:line="360" w:lineRule="auto"/>
        <w:ind w:left="496"/>
        <w:outlineLvl w:val="2"/>
        <w:rPr>
          <w:rFonts w:hint="eastAsia" w:ascii="宋体" w:hAnsi="宋体" w:eastAsia="宋体" w:cs="宋体"/>
          <w:color w:val="auto"/>
          <w:highlight w:val="none"/>
        </w:rPr>
      </w:pPr>
      <w:bookmarkStart w:id="89" w:name="_Toc31540"/>
      <w:bookmarkStart w:id="90" w:name="_Toc24574"/>
      <w:r>
        <w:rPr>
          <w:rFonts w:hint="eastAsia" w:ascii="宋体" w:hAnsi="宋体" w:eastAsia="宋体" w:cs="宋体"/>
          <w:b/>
          <w:bCs/>
          <w:color w:val="auto"/>
          <w:spacing w:val="-11"/>
          <w:sz w:val="24"/>
          <w:szCs w:val="24"/>
          <w:highlight w:val="none"/>
        </w:rPr>
        <w:t>15</w:t>
      </w:r>
      <w:r>
        <w:rPr>
          <w:rFonts w:hint="eastAsia" w:ascii="宋体" w:hAnsi="宋体" w:eastAsia="宋体" w:cs="宋体"/>
          <w:b/>
          <w:bCs/>
          <w:color w:val="auto"/>
          <w:spacing w:val="-11"/>
          <w:sz w:val="24"/>
          <w:szCs w:val="24"/>
          <w:highlight w:val="none"/>
          <w:lang w:val="en-US" w:eastAsia="zh-CN"/>
        </w:rPr>
        <w:t>.</w:t>
      </w:r>
      <w:r>
        <w:rPr>
          <w:rFonts w:hint="eastAsia" w:ascii="宋体" w:hAnsi="宋体" w:eastAsia="宋体" w:cs="宋体"/>
          <w:b/>
          <w:bCs/>
          <w:color w:val="auto"/>
          <w:spacing w:val="-11"/>
          <w:sz w:val="24"/>
          <w:szCs w:val="24"/>
          <w:highlight w:val="none"/>
        </w:rPr>
        <w:t>评标</w:t>
      </w:r>
      <w:bookmarkEnd w:id="89"/>
      <w:bookmarkEnd w:id="90"/>
    </w:p>
    <w:p w14:paraId="09BD37D5">
      <w:pPr>
        <w:spacing w:before="78" w:line="360" w:lineRule="auto"/>
        <w:ind w:left="8" w:right="65" w:firstLine="480"/>
        <w:rPr>
          <w:rFonts w:hint="eastAsia" w:ascii="宋体" w:hAnsi="宋体" w:eastAsia="宋体" w:cs="宋体"/>
          <w:color w:val="auto"/>
          <w:sz w:val="24"/>
          <w:szCs w:val="24"/>
          <w:highlight w:val="none"/>
        </w:rPr>
      </w:pPr>
      <w:bookmarkStart w:id="91" w:name="bookmark124"/>
      <w:bookmarkEnd w:id="91"/>
      <w:r>
        <w:rPr>
          <w:rFonts w:hint="eastAsia" w:ascii="宋体" w:hAnsi="宋体" w:eastAsia="宋体" w:cs="宋体"/>
          <w:color w:val="auto"/>
          <w:spacing w:val="-1"/>
          <w:sz w:val="24"/>
          <w:szCs w:val="24"/>
          <w:highlight w:val="none"/>
        </w:rPr>
        <w:t>评标分为初步评审和详细评审两个阶段，由评标委员会</w:t>
      </w:r>
      <w:r>
        <w:rPr>
          <w:rFonts w:hint="eastAsia" w:ascii="宋体" w:hAnsi="宋体" w:eastAsia="宋体" w:cs="宋体"/>
          <w:color w:val="auto"/>
          <w:spacing w:val="-2"/>
          <w:sz w:val="24"/>
          <w:szCs w:val="24"/>
          <w:highlight w:val="none"/>
        </w:rPr>
        <w:t>在有关部门的监督下，严</w:t>
      </w:r>
      <w:r>
        <w:rPr>
          <w:rFonts w:hint="eastAsia" w:ascii="宋体" w:hAnsi="宋体" w:eastAsia="宋体" w:cs="宋体"/>
          <w:color w:val="auto"/>
          <w:spacing w:val="-1"/>
          <w:sz w:val="24"/>
          <w:szCs w:val="24"/>
          <w:highlight w:val="none"/>
        </w:rPr>
        <w:t>格按照本招标文件指定的评标方法，对投标人的投标文件进行审</w:t>
      </w:r>
      <w:r>
        <w:rPr>
          <w:rFonts w:hint="eastAsia" w:ascii="宋体" w:hAnsi="宋体" w:eastAsia="宋体" w:cs="宋体"/>
          <w:color w:val="auto"/>
          <w:spacing w:val="-2"/>
          <w:sz w:val="24"/>
          <w:szCs w:val="24"/>
          <w:highlight w:val="none"/>
        </w:rPr>
        <w:t>查、评审。评标委员</w:t>
      </w:r>
      <w:r>
        <w:rPr>
          <w:rFonts w:hint="eastAsia" w:ascii="宋体" w:hAnsi="宋体" w:eastAsia="宋体" w:cs="宋体"/>
          <w:color w:val="auto"/>
          <w:spacing w:val="2"/>
          <w:sz w:val="24"/>
          <w:szCs w:val="24"/>
          <w:highlight w:val="none"/>
        </w:rPr>
        <w:t>会完成评标后，向招标人推荐</w:t>
      </w:r>
      <w:r>
        <w:rPr>
          <w:rFonts w:hint="eastAsia" w:ascii="宋体" w:hAnsi="宋体" w:eastAsia="宋体" w:cs="宋体"/>
          <w:color w:val="auto"/>
          <w:spacing w:val="2"/>
          <w:sz w:val="24"/>
          <w:szCs w:val="24"/>
          <w:highlight w:val="none"/>
          <w:u w:val="single"/>
        </w:rPr>
        <w:t xml:space="preserve"> 3 </w:t>
      </w:r>
      <w:r>
        <w:rPr>
          <w:rFonts w:hint="eastAsia" w:ascii="宋体" w:hAnsi="宋体" w:eastAsia="宋体" w:cs="宋体"/>
          <w:color w:val="auto"/>
          <w:spacing w:val="2"/>
          <w:sz w:val="24"/>
          <w:szCs w:val="24"/>
          <w:highlight w:val="none"/>
        </w:rPr>
        <w:t>个中标候选人，并向招标人提交由全</w:t>
      </w:r>
      <w:r>
        <w:rPr>
          <w:rFonts w:hint="eastAsia" w:ascii="宋体" w:hAnsi="宋体" w:eastAsia="宋体" w:cs="宋体"/>
          <w:color w:val="auto"/>
          <w:spacing w:val="1"/>
          <w:sz w:val="24"/>
          <w:szCs w:val="24"/>
          <w:highlight w:val="none"/>
        </w:rPr>
        <w:t>体评标委员会</w:t>
      </w:r>
      <w:r>
        <w:rPr>
          <w:rFonts w:hint="eastAsia" w:ascii="宋体" w:hAnsi="宋体" w:eastAsia="宋体" w:cs="宋体"/>
          <w:color w:val="auto"/>
          <w:spacing w:val="-1"/>
          <w:sz w:val="24"/>
          <w:szCs w:val="24"/>
          <w:highlight w:val="none"/>
        </w:rPr>
        <w:t>成员签字的评标报告。</w:t>
      </w:r>
    </w:p>
    <w:p w14:paraId="51680ABE">
      <w:pPr>
        <w:spacing w:before="38" w:line="360" w:lineRule="auto"/>
        <w:ind w:left="49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  </w:t>
      </w:r>
      <w:r>
        <w:rPr>
          <w:rFonts w:hint="eastAsia" w:ascii="宋体" w:hAnsi="宋体" w:eastAsia="宋体" w:cs="宋体"/>
          <w:color w:val="auto"/>
          <w:spacing w:val="-2"/>
          <w:sz w:val="24"/>
          <w:szCs w:val="24"/>
          <w:highlight w:val="none"/>
        </w:rPr>
        <w:t>评标委员会</w:t>
      </w:r>
    </w:p>
    <w:p w14:paraId="5F51F9F7">
      <w:pPr>
        <w:spacing w:before="155" w:line="360" w:lineRule="auto"/>
        <w:ind w:left="10" w:right="65" w:firstLine="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15.1.1 </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color w:val="auto"/>
          <w:sz w:val="24"/>
          <w:szCs w:val="24"/>
          <w:highlight w:val="none"/>
        </w:rPr>
        <w:t>评标委员会由</w:t>
      </w:r>
      <w:r>
        <w:rPr>
          <w:rFonts w:hint="eastAsia" w:ascii="宋体" w:hAnsi="宋体" w:eastAsia="宋体" w:cs="宋体"/>
          <w:color w:val="auto"/>
          <w:sz w:val="24"/>
          <w:szCs w:val="24"/>
          <w:highlight w:val="none"/>
          <w:u w:val="single"/>
        </w:rPr>
        <w:t>5</w:t>
      </w:r>
      <w:r>
        <w:rPr>
          <w:rFonts w:hint="eastAsia" w:ascii="宋体" w:hAnsi="宋体" w:eastAsia="宋体" w:cs="宋体"/>
          <w:color w:val="auto"/>
          <w:sz w:val="24"/>
          <w:szCs w:val="24"/>
          <w:highlight w:val="none"/>
        </w:rPr>
        <w:t>人组成，其中招标人代表</w:t>
      </w:r>
      <w:r>
        <w:rPr>
          <w:rFonts w:hint="eastAsia" w:ascii="宋体" w:hAnsi="宋体" w:eastAsia="宋体" w:cs="宋体"/>
          <w:color w:val="auto"/>
          <w:sz w:val="24"/>
          <w:szCs w:val="24"/>
          <w:highlight w:val="none"/>
          <w:u w:val="single"/>
        </w:rPr>
        <w:t>0</w:t>
      </w:r>
      <w:r>
        <w:rPr>
          <w:rFonts w:hint="eastAsia" w:ascii="宋体" w:hAnsi="宋体" w:eastAsia="宋体" w:cs="宋体"/>
          <w:color w:val="auto"/>
          <w:sz w:val="24"/>
          <w:szCs w:val="24"/>
          <w:highlight w:val="none"/>
        </w:rPr>
        <w:t>人，专家</w:t>
      </w:r>
      <w:r>
        <w:rPr>
          <w:rFonts w:hint="eastAsia" w:ascii="宋体" w:hAnsi="宋体" w:eastAsia="宋体" w:cs="宋体"/>
          <w:color w:val="auto"/>
          <w:sz w:val="24"/>
          <w:szCs w:val="24"/>
          <w:highlight w:val="none"/>
          <w:u w:val="single"/>
        </w:rPr>
        <w:t>5</w:t>
      </w:r>
      <w:r>
        <w:rPr>
          <w:rFonts w:hint="eastAsia" w:ascii="宋体" w:hAnsi="宋体" w:eastAsia="宋体" w:cs="宋体"/>
          <w:color w:val="auto"/>
          <w:sz w:val="24"/>
          <w:szCs w:val="24"/>
          <w:highlight w:val="none"/>
        </w:rPr>
        <w:t>人。专家从</w:t>
      </w:r>
      <w:r>
        <w:rPr>
          <w:rFonts w:hint="eastAsia" w:ascii="宋体" w:hAnsi="宋体" w:eastAsia="宋体" w:cs="宋体"/>
          <w:color w:val="auto"/>
          <w:sz w:val="24"/>
          <w:szCs w:val="24"/>
          <w:highlight w:val="none"/>
          <w:u w:val="single"/>
        </w:rPr>
        <w:t>广东省综合评标评审专家库-韶关区域</w:t>
      </w:r>
      <w:r>
        <w:rPr>
          <w:rFonts w:hint="eastAsia" w:ascii="宋体" w:hAnsi="宋体" w:eastAsia="宋体" w:cs="宋体"/>
          <w:color w:val="auto"/>
          <w:sz w:val="24"/>
          <w:szCs w:val="24"/>
          <w:highlight w:val="none"/>
        </w:rPr>
        <w:t>中随机抽取，其中技术类专家</w:t>
      </w:r>
      <w:r>
        <w:rPr>
          <w:rFonts w:hint="eastAsia" w:ascii="宋体" w:hAnsi="宋体" w:eastAsia="宋体" w:cs="宋体"/>
          <w:color w:val="auto"/>
          <w:sz w:val="24"/>
          <w:szCs w:val="24"/>
          <w:highlight w:val="none"/>
          <w:u w:val="single"/>
        </w:rPr>
        <w:t>3</w:t>
      </w:r>
      <w:r>
        <w:rPr>
          <w:rFonts w:hint="eastAsia" w:ascii="宋体" w:hAnsi="宋体" w:eastAsia="宋体" w:cs="宋体"/>
          <w:color w:val="auto"/>
          <w:sz w:val="24"/>
          <w:szCs w:val="24"/>
          <w:highlight w:val="none"/>
        </w:rPr>
        <w:t>人，经济类专家</w:t>
      </w:r>
      <w:r>
        <w:rPr>
          <w:rFonts w:hint="eastAsia" w:ascii="宋体" w:hAnsi="宋体" w:eastAsia="宋体" w:cs="宋体"/>
          <w:color w:val="auto"/>
          <w:sz w:val="24"/>
          <w:szCs w:val="24"/>
          <w:highlight w:val="none"/>
          <w:u w:val="single"/>
        </w:rPr>
        <w:t>2</w:t>
      </w:r>
      <w:r>
        <w:rPr>
          <w:rFonts w:hint="eastAsia" w:ascii="宋体" w:hAnsi="宋体" w:eastAsia="宋体" w:cs="宋体"/>
          <w:color w:val="auto"/>
          <w:sz w:val="24"/>
          <w:szCs w:val="24"/>
          <w:highlight w:val="none"/>
        </w:rPr>
        <w:t>人。</w:t>
      </w:r>
      <w:r>
        <w:rPr>
          <w:rFonts w:hint="eastAsia" w:ascii="宋体" w:hAnsi="宋体" w:eastAsia="宋体" w:cs="宋体"/>
          <w:color w:val="auto"/>
          <w:spacing w:val="-1"/>
          <w:sz w:val="24"/>
          <w:szCs w:val="24"/>
          <w:highlight w:val="none"/>
        </w:rPr>
        <w:t>评标委员会设负责人，由评标委员会成员推举产生</w:t>
      </w:r>
      <w:r>
        <w:rPr>
          <w:rFonts w:hint="eastAsia" w:ascii="宋体" w:hAnsi="宋体" w:eastAsia="宋体" w:cs="宋体"/>
          <w:color w:val="auto"/>
          <w:spacing w:val="-2"/>
          <w:sz w:val="24"/>
          <w:szCs w:val="24"/>
          <w:highlight w:val="none"/>
        </w:rPr>
        <w:t>。评标委员会负责人与评</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
          <w:sz w:val="24"/>
          <w:szCs w:val="24"/>
          <w:highlight w:val="none"/>
        </w:rPr>
        <w:t>标委员会的其他成员有同等的表决权。</w:t>
      </w:r>
    </w:p>
    <w:p w14:paraId="571A515E">
      <w:pPr>
        <w:spacing w:before="32" w:line="360" w:lineRule="auto"/>
        <w:ind w:left="13" w:right="7" w:firstLine="561"/>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15.1.2  </w:t>
      </w:r>
      <w:r>
        <w:rPr>
          <w:rFonts w:hint="eastAsia" w:ascii="宋体" w:hAnsi="宋体" w:eastAsia="宋体" w:cs="宋体"/>
          <w:color w:val="auto"/>
          <w:spacing w:val="-2"/>
          <w:sz w:val="24"/>
          <w:szCs w:val="24"/>
          <w:highlight w:val="none"/>
        </w:rPr>
        <w:t>评标委员会应认真、公正、诚实、廉洁地履行职责。有下列情形之一的，不得担任评标委员会成员：</w:t>
      </w:r>
    </w:p>
    <w:p w14:paraId="3843C5CE">
      <w:pPr>
        <w:spacing w:before="154" w:line="36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（1）投标人或投标人主要负责人的近亲属；</w:t>
      </w:r>
    </w:p>
    <w:p w14:paraId="059A4A5C">
      <w:pPr>
        <w:spacing w:before="153" w:line="36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（2）项目主管部门或者行政监督部门的人员；</w:t>
      </w:r>
    </w:p>
    <w:p w14:paraId="3E73D76B">
      <w:pPr>
        <w:spacing w:before="155" w:line="360" w:lineRule="auto"/>
        <w:ind w:left="58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（3）与投标人有经济利益关系，可能影响对投标公正评审的；</w:t>
      </w:r>
    </w:p>
    <w:p w14:paraId="1AD07FB9">
      <w:pPr>
        <w:spacing w:before="153" w:line="360" w:lineRule="auto"/>
        <w:ind w:left="8" w:right="65" w:firstLine="57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（4）曾因在招标、评标以及其他与招标投标有关活动中从事违法行为而受过行政处罚或刑事处罚的。</w:t>
      </w:r>
    </w:p>
    <w:p w14:paraId="64310F5B">
      <w:pPr>
        <w:spacing w:before="155" w:line="360" w:lineRule="auto"/>
        <w:ind w:left="488"/>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评标委员会成员有以上情形之一的，应主动提出回避。</w:t>
      </w:r>
    </w:p>
    <w:p w14:paraId="3598CEA3">
      <w:pPr>
        <w:spacing w:before="154" w:line="360" w:lineRule="auto"/>
        <w:ind w:left="8" w:right="65" w:firstLine="48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15.1.3  </w:t>
      </w:r>
      <w:r>
        <w:rPr>
          <w:rFonts w:hint="eastAsia" w:ascii="宋体" w:hAnsi="宋体" w:eastAsia="宋体" w:cs="宋体"/>
          <w:color w:val="auto"/>
          <w:spacing w:val="-1"/>
          <w:sz w:val="24"/>
          <w:szCs w:val="24"/>
          <w:highlight w:val="none"/>
        </w:rPr>
        <w:t>评标全过程实行封闭式管理，在中标结果公</w:t>
      </w:r>
      <w:r>
        <w:rPr>
          <w:rFonts w:hint="eastAsia" w:ascii="宋体" w:hAnsi="宋体" w:eastAsia="宋体" w:cs="宋体"/>
          <w:color w:val="auto"/>
          <w:spacing w:val="-2"/>
          <w:sz w:val="24"/>
          <w:szCs w:val="24"/>
          <w:highlight w:val="none"/>
        </w:rPr>
        <w:t>布前，禁止评标委员会成员以</w:t>
      </w:r>
      <w:r>
        <w:rPr>
          <w:rFonts w:hint="eastAsia" w:ascii="宋体" w:hAnsi="宋体" w:eastAsia="宋体" w:cs="宋体"/>
          <w:color w:val="auto"/>
          <w:spacing w:val="-1"/>
          <w:sz w:val="24"/>
          <w:szCs w:val="24"/>
          <w:highlight w:val="none"/>
        </w:rPr>
        <w:t>任何方式私下接触投标人。</w:t>
      </w:r>
    </w:p>
    <w:p w14:paraId="1F2818F3">
      <w:pPr>
        <w:spacing w:before="157" w:line="360" w:lineRule="auto"/>
        <w:ind w:left="11" w:right="65" w:firstLine="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15.1.4  </w:t>
      </w:r>
      <w:r>
        <w:rPr>
          <w:rFonts w:hint="eastAsia" w:ascii="宋体" w:hAnsi="宋体" w:eastAsia="宋体" w:cs="宋体"/>
          <w:color w:val="auto"/>
          <w:spacing w:val="-1"/>
          <w:sz w:val="24"/>
          <w:szCs w:val="24"/>
          <w:highlight w:val="none"/>
        </w:rPr>
        <w:t>在评标过程中，评标委员会可以书面形式要</w:t>
      </w:r>
      <w:r>
        <w:rPr>
          <w:rFonts w:hint="eastAsia" w:ascii="宋体" w:hAnsi="宋体" w:eastAsia="宋体" w:cs="宋体"/>
          <w:color w:val="auto"/>
          <w:spacing w:val="-2"/>
          <w:sz w:val="24"/>
          <w:szCs w:val="24"/>
          <w:highlight w:val="none"/>
        </w:rPr>
        <w:t>求投标人对所提交的投标文件</w:t>
      </w:r>
      <w:r>
        <w:rPr>
          <w:rFonts w:hint="eastAsia" w:ascii="宋体" w:hAnsi="宋体" w:eastAsia="宋体" w:cs="宋体"/>
          <w:color w:val="auto"/>
          <w:spacing w:val="-1"/>
          <w:sz w:val="24"/>
          <w:szCs w:val="24"/>
          <w:highlight w:val="none"/>
        </w:rPr>
        <w:t>中不明确的内容进行书面澄清或说明，但不接受投标人主</w:t>
      </w:r>
      <w:r>
        <w:rPr>
          <w:rFonts w:hint="eastAsia" w:ascii="宋体" w:hAnsi="宋体" w:eastAsia="宋体" w:cs="宋体"/>
          <w:color w:val="auto"/>
          <w:spacing w:val="-2"/>
          <w:sz w:val="24"/>
          <w:szCs w:val="24"/>
          <w:highlight w:val="none"/>
        </w:rPr>
        <w:t>动提出的澄清或说明。投标</w:t>
      </w:r>
      <w:r>
        <w:rPr>
          <w:rFonts w:hint="eastAsia" w:ascii="宋体" w:hAnsi="宋体" w:eastAsia="宋体" w:cs="宋体"/>
          <w:color w:val="auto"/>
          <w:spacing w:val="-1"/>
          <w:sz w:val="24"/>
          <w:szCs w:val="24"/>
          <w:highlight w:val="none"/>
        </w:rPr>
        <w:t>人的书面澄清或说明不得改变投标文件的实质性内容，并</w:t>
      </w:r>
      <w:r>
        <w:rPr>
          <w:rFonts w:hint="eastAsia" w:ascii="宋体" w:hAnsi="宋体" w:eastAsia="宋体" w:cs="宋体"/>
          <w:color w:val="auto"/>
          <w:spacing w:val="-2"/>
          <w:sz w:val="24"/>
          <w:szCs w:val="24"/>
          <w:highlight w:val="none"/>
        </w:rPr>
        <w:t>作为投标文件的组成部分。</w:t>
      </w:r>
    </w:p>
    <w:p w14:paraId="5AEA3030">
      <w:pPr>
        <w:spacing w:before="156" w:line="360" w:lineRule="auto"/>
        <w:ind w:left="8" w:right="65" w:firstLine="569"/>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15.1.5  </w:t>
      </w:r>
      <w:r>
        <w:rPr>
          <w:rFonts w:hint="eastAsia" w:ascii="宋体" w:hAnsi="宋体" w:eastAsia="宋体" w:cs="宋体"/>
          <w:color w:val="auto"/>
          <w:spacing w:val="-3"/>
          <w:sz w:val="24"/>
          <w:szCs w:val="24"/>
          <w:highlight w:val="none"/>
        </w:rPr>
        <w:t>在任何评标环节中，当评标委员会就某</w:t>
      </w:r>
      <w:r>
        <w:rPr>
          <w:rFonts w:hint="eastAsia" w:ascii="宋体" w:hAnsi="宋体" w:eastAsia="宋体" w:cs="宋体"/>
          <w:color w:val="auto"/>
          <w:spacing w:val="-4"/>
          <w:sz w:val="24"/>
          <w:szCs w:val="24"/>
          <w:highlight w:val="none"/>
        </w:rPr>
        <w:t>项定性的评审结论不统一、需要做</w:t>
      </w:r>
      <w:r>
        <w:rPr>
          <w:rFonts w:hint="eastAsia" w:ascii="宋体" w:hAnsi="宋体" w:eastAsia="宋体" w:cs="宋体"/>
          <w:color w:val="auto"/>
          <w:spacing w:val="-1"/>
          <w:sz w:val="24"/>
          <w:szCs w:val="24"/>
          <w:highlight w:val="none"/>
        </w:rPr>
        <w:t>出表决时，由评标委员会全体成员按照少数服从多数的原则，以</w:t>
      </w:r>
      <w:r>
        <w:rPr>
          <w:rFonts w:hint="eastAsia" w:ascii="宋体" w:hAnsi="宋体" w:eastAsia="宋体" w:cs="宋体"/>
          <w:color w:val="auto"/>
          <w:spacing w:val="-2"/>
          <w:sz w:val="24"/>
          <w:szCs w:val="24"/>
          <w:highlight w:val="none"/>
        </w:rPr>
        <w:t>记名投票方式表决。</w:t>
      </w:r>
      <w:r>
        <w:rPr>
          <w:rFonts w:hint="eastAsia" w:ascii="宋体" w:hAnsi="宋体" w:eastAsia="宋体" w:cs="宋体"/>
          <w:color w:val="auto"/>
          <w:spacing w:val="-1"/>
          <w:sz w:val="24"/>
          <w:szCs w:val="24"/>
          <w:highlight w:val="none"/>
        </w:rPr>
        <w:t>评标委员会全体成员应共同遵守和执行表决结果，严禁评标委员</w:t>
      </w:r>
      <w:r>
        <w:rPr>
          <w:rFonts w:hint="eastAsia" w:ascii="宋体" w:hAnsi="宋体" w:eastAsia="宋体" w:cs="宋体"/>
          <w:color w:val="auto"/>
          <w:spacing w:val="-2"/>
          <w:sz w:val="24"/>
          <w:szCs w:val="24"/>
          <w:highlight w:val="none"/>
        </w:rPr>
        <w:t>会任何成员将个人意</w:t>
      </w:r>
      <w:r>
        <w:rPr>
          <w:rFonts w:hint="eastAsia" w:ascii="宋体" w:hAnsi="宋体" w:eastAsia="宋体" w:cs="宋体"/>
          <w:color w:val="auto"/>
          <w:spacing w:val="-1"/>
          <w:sz w:val="24"/>
          <w:szCs w:val="24"/>
          <w:highlight w:val="none"/>
        </w:rPr>
        <w:t>见强加给他人、影响评标正常秩序和妨碍评审结论的公正性。</w:t>
      </w:r>
    </w:p>
    <w:p w14:paraId="707E1AFC">
      <w:pPr>
        <w:spacing w:before="79" w:line="360" w:lineRule="auto"/>
        <w:ind w:left="577"/>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15.2  </w:t>
      </w:r>
      <w:r>
        <w:rPr>
          <w:rFonts w:hint="eastAsia" w:ascii="宋体" w:hAnsi="宋体" w:eastAsia="宋体" w:cs="宋体"/>
          <w:color w:val="auto"/>
          <w:spacing w:val="-2"/>
          <w:sz w:val="24"/>
          <w:szCs w:val="24"/>
          <w:highlight w:val="none"/>
        </w:rPr>
        <w:t>评标方法</w:t>
      </w:r>
    </w:p>
    <w:p w14:paraId="5F03C3DF">
      <w:pPr>
        <w:spacing w:before="78" w:line="360" w:lineRule="auto"/>
        <w:ind w:left="231" w:right="181" w:firstLine="560"/>
        <w:rPr>
          <w:rFonts w:hint="eastAsia" w:ascii="宋体" w:hAnsi="宋体" w:eastAsia="宋体" w:cs="宋体"/>
          <w:color w:val="auto"/>
          <w:highlight w:val="none"/>
        </w:rPr>
      </w:pPr>
      <w:bookmarkStart w:id="92" w:name="bookmark125"/>
      <w:bookmarkEnd w:id="92"/>
      <w:r>
        <w:rPr>
          <w:rFonts w:hint="eastAsia" w:ascii="宋体" w:hAnsi="宋体" w:eastAsia="宋体" w:cs="宋体"/>
          <w:color w:val="auto"/>
          <w:spacing w:val="-4"/>
          <w:sz w:val="24"/>
          <w:szCs w:val="24"/>
          <w:highlight w:val="none"/>
        </w:rPr>
        <w:t>根据有关法律、法规的相关规定，结合本招标项目资金来源和规模特点，本次招</w:t>
      </w:r>
      <w:r>
        <w:rPr>
          <w:rFonts w:hint="eastAsia" w:ascii="宋体" w:hAnsi="宋体" w:eastAsia="宋体" w:cs="宋体"/>
          <w:color w:val="auto"/>
          <w:spacing w:val="-1"/>
          <w:sz w:val="24"/>
          <w:szCs w:val="24"/>
          <w:highlight w:val="none"/>
        </w:rPr>
        <w:t>标采用</w:t>
      </w:r>
      <w:r>
        <w:rPr>
          <w:rFonts w:hint="eastAsia" w:ascii="宋体" w:hAnsi="宋体" w:eastAsia="宋体" w:cs="宋体"/>
          <w:b/>
          <w:bCs/>
          <w:color w:val="auto"/>
          <w:spacing w:val="-4"/>
          <w:sz w:val="24"/>
          <w:szCs w:val="24"/>
          <w:highlight w:val="none"/>
          <w:u w:val="single"/>
        </w:rPr>
        <w:t>综合评估法</w:t>
      </w:r>
      <w:r>
        <w:rPr>
          <w:rFonts w:hint="eastAsia" w:ascii="宋体" w:hAnsi="宋体" w:eastAsia="宋体" w:cs="宋体"/>
          <w:color w:val="auto"/>
          <w:spacing w:val="-1"/>
          <w:sz w:val="24"/>
          <w:szCs w:val="24"/>
          <w:highlight w:val="none"/>
        </w:rPr>
        <w:t>进行评标。</w:t>
      </w:r>
    </w:p>
    <w:p w14:paraId="307CD212">
      <w:pPr>
        <w:spacing w:before="154" w:line="360" w:lineRule="auto"/>
        <w:ind w:left="220" w:right="33" w:firstLine="496"/>
        <w:rPr>
          <w:rFonts w:hint="eastAsia" w:ascii="宋体" w:hAnsi="宋体" w:eastAsia="宋体" w:cs="宋体"/>
          <w:color w:val="auto"/>
          <w:sz w:val="25"/>
          <w:szCs w:val="25"/>
          <w:highlight w:val="none"/>
        </w:rPr>
      </w:pPr>
      <w:r>
        <w:rPr>
          <w:rFonts w:hint="eastAsia" w:ascii="宋体" w:hAnsi="宋体" w:eastAsia="宋体" w:cs="宋体"/>
          <w:b/>
          <w:bCs/>
          <w:color w:val="auto"/>
          <w:spacing w:val="-3"/>
          <w:sz w:val="24"/>
          <w:szCs w:val="24"/>
          <w:highlight w:val="none"/>
        </w:rPr>
        <w:t xml:space="preserve">15.3  </w:t>
      </w:r>
      <w:r>
        <w:rPr>
          <w:rFonts w:hint="eastAsia" w:ascii="宋体" w:hAnsi="宋体" w:eastAsia="宋体" w:cs="宋体"/>
          <w:color w:val="auto"/>
          <w:spacing w:val="-3"/>
          <w:sz w:val="24"/>
          <w:szCs w:val="24"/>
          <w:highlight w:val="none"/>
        </w:rPr>
        <w:t>评审范围：评标委员会应对所有投标人的投标文件进行评审。</w:t>
      </w:r>
    </w:p>
    <w:p w14:paraId="37A0E03F">
      <w:pPr>
        <w:spacing w:before="153" w:line="360" w:lineRule="auto"/>
        <w:ind w:left="71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15.4  </w:t>
      </w:r>
      <w:r>
        <w:rPr>
          <w:rFonts w:hint="eastAsia" w:ascii="宋体" w:hAnsi="宋体" w:eastAsia="宋体" w:cs="宋体"/>
          <w:color w:val="auto"/>
          <w:spacing w:val="-2"/>
          <w:sz w:val="24"/>
          <w:szCs w:val="24"/>
          <w:highlight w:val="none"/>
        </w:rPr>
        <w:t>初步评审阶段</w:t>
      </w:r>
    </w:p>
    <w:p w14:paraId="081480D6">
      <w:pPr>
        <w:spacing w:before="153" w:line="360" w:lineRule="auto"/>
        <w:ind w:left="70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初步评审阶段分为资格评审、形式评审和响应性评审三个环节。</w:t>
      </w:r>
    </w:p>
    <w:p w14:paraId="3D9CFCBF">
      <w:pPr>
        <w:keepNext w:val="0"/>
        <w:keepLines w:val="0"/>
        <w:pageBreakBefore w:val="0"/>
        <w:widowControl w:val="0"/>
        <w:overflowPunct/>
        <w:topLinePunct w:val="0"/>
        <w:bidi w:val="0"/>
        <w:adjustRightInd w:val="0"/>
        <w:snapToGrid w:val="0"/>
        <w:spacing w:before="155" w:line="360" w:lineRule="auto"/>
        <w:ind w:left="719" w:right="6303" w:hanging="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15.4.1</w:t>
      </w:r>
      <w:r>
        <w:rPr>
          <w:rFonts w:hint="eastAsia" w:ascii="宋体" w:hAnsi="宋体" w:eastAsia="宋体" w:cs="宋体"/>
          <w:b/>
          <w:bCs/>
          <w:color w:val="auto"/>
          <w:spacing w:val="9"/>
          <w:sz w:val="24"/>
          <w:szCs w:val="24"/>
          <w:highlight w:val="none"/>
        </w:rPr>
        <w:t xml:space="preserve">  </w:t>
      </w:r>
      <w:r>
        <w:rPr>
          <w:rFonts w:hint="eastAsia" w:ascii="宋体" w:hAnsi="宋体" w:eastAsia="宋体" w:cs="宋体"/>
          <w:color w:val="auto"/>
          <w:spacing w:val="-3"/>
          <w:sz w:val="24"/>
          <w:szCs w:val="24"/>
          <w:highlight w:val="none"/>
        </w:rPr>
        <w:t>资格评审节资格评审事项包括</w:t>
      </w:r>
      <w:r>
        <w:rPr>
          <w:rFonts w:hint="eastAsia" w:ascii="宋体" w:hAnsi="宋体" w:eastAsia="宋体" w:cs="宋体"/>
          <w:color w:val="auto"/>
          <w:spacing w:val="-3"/>
          <w:sz w:val="24"/>
          <w:szCs w:val="24"/>
          <w:highlight w:val="none"/>
          <w:lang w:val="en-US" w:eastAsia="zh-CN"/>
        </w:rPr>
        <w:t>:</w:t>
      </w:r>
    </w:p>
    <w:p w14:paraId="713B8C6E">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（1）投标人不是本次招标禁止投标条款中的单位，没有本次招标禁止投标条款中规定的任何一种情形。</w:t>
      </w:r>
    </w:p>
    <w:p w14:paraId="354177D7">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（2）投标人名称是否与营业执照、资质证书、安全生产许可证一致。</w:t>
      </w:r>
    </w:p>
    <w:p w14:paraId="27BC0916">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（3）投标人的资质是否符合招标文件规定；其营业执照、资质证书、安全生产许可证</w:t>
      </w:r>
      <w:r>
        <w:rPr>
          <w:rFonts w:hint="eastAsia" w:ascii="宋体" w:hAnsi="宋体" w:eastAsia="宋体" w:cs="宋体"/>
          <w:snapToGrid w:val="0"/>
          <w:color w:val="auto"/>
          <w:kern w:val="0"/>
          <w:sz w:val="24"/>
          <w:szCs w:val="24"/>
          <w:highlight w:val="none"/>
          <w:lang w:val="en-US" w:eastAsia="zh-CN"/>
        </w:rPr>
        <w:t>（含实时网页查询页，可参考网址https://zlaq.mohurd.gov.cn/fwmh/bjxcjgl/fwh/pages/construction_safety/qyaqscxkz/qyaqscxkz）</w:t>
      </w:r>
      <w:r>
        <w:rPr>
          <w:rFonts w:hint="eastAsia" w:ascii="宋体" w:hAnsi="宋体" w:eastAsia="宋体" w:cs="宋体"/>
          <w:snapToGrid w:val="0"/>
          <w:color w:val="auto"/>
          <w:kern w:val="0"/>
          <w:sz w:val="24"/>
          <w:szCs w:val="24"/>
          <w:highlight w:val="none"/>
        </w:rPr>
        <w:t>是否合法、有效、准确。</w:t>
      </w:r>
    </w:p>
    <w:p w14:paraId="6323BE15">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（4）《项目经理简历表》中拟派项目经理是否与《开标一览表》一致。</w:t>
      </w:r>
    </w:p>
    <w:p w14:paraId="0A6C8D32">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r>
        <w:rPr>
          <w:rFonts w:hint="eastAsia" w:ascii="宋体" w:hAnsi="宋体" w:eastAsia="宋体" w:cs="宋体"/>
          <w:snapToGrid w:val="0"/>
          <w:color w:val="auto"/>
          <w:kern w:val="0"/>
          <w:sz w:val="24"/>
          <w:szCs w:val="24"/>
          <w:highlight w:val="none"/>
          <w:lang w:val="en-US" w:eastAsia="zh-CN"/>
        </w:rPr>
        <w:t>拟派项目经理、项目技术负责人、专职安全员的条件是否符合招标文件规定；拟派的项目经理是否在投标文件《项目经理简历表》中签字确认；项目技术负责人是否在投标文件《项目技术负责人简历表》中签字确认；项目管理机构组成人员的各类证书、证件、证明是否合法、有效、准确；是否擅自修改、遗漏《项目经理任职声明》的实质性内容。</w:t>
      </w:r>
    </w:p>
    <w:p w14:paraId="5E22324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Style w:val="48"/>
          <w:rFonts w:hint="eastAsia" w:ascii="宋体" w:hAnsi="宋体" w:eastAsia="宋体" w:cs="宋体"/>
          <w:color w:val="auto"/>
          <w:kern w:val="0"/>
          <w:sz w:val="24"/>
          <w:szCs w:val="24"/>
          <w:highlight w:val="none"/>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）投标人为外省建筑企业的，是否按规定在“进粤企业和人员诚信信息登记平台”录入企业及其拟派人员有关信息并通过数据规范检查。</w:t>
      </w:r>
    </w:p>
    <w:p w14:paraId="1902FFE4">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snapToGrid w:val="0"/>
          <w:color w:val="auto"/>
          <w:kern w:val="0"/>
          <w:sz w:val="24"/>
          <w:szCs w:val="24"/>
          <w:highlight w:val="none"/>
        </w:rPr>
      </w:pPr>
      <w:bookmarkStart w:id="93" w:name="_Toc15213"/>
      <w:r>
        <w:rPr>
          <w:rFonts w:hint="eastAsia" w:ascii="宋体" w:hAnsi="宋体" w:eastAsia="宋体" w:cs="宋体"/>
          <w:b/>
          <w:bCs/>
          <w:snapToGrid w:val="0"/>
          <w:color w:val="auto"/>
          <w:kern w:val="0"/>
          <w:sz w:val="24"/>
          <w:szCs w:val="24"/>
          <w:highlight w:val="none"/>
        </w:rPr>
        <w:t xml:space="preserve">15.4.2  </w:t>
      </w:r>
      <w:r>
        <w:rPr>
          <w:rFonts w:hint="eastAsia" w:ascii="宋体" w:hAnsi="宋体" w:eastAsia="宋体" w:cs="宋体"/>
          <w:snapToGrid w:val="0"/>
          <w:color w:val="auto"/>
          <w:kern w:val="0"/>
          <w:sz w:val="24"/>
          <w:szCs w:val="24"/>
          <w:highlight w:val="none"/>
        </w:rPr>
        <w:t>形式评审环节</w:t>
      </w:r>
    </w:p>
    <w:p w14:paraId="53B5F001">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baseline"/>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形式评审事</w:t>
      </w:r>
      <w:r>
        <w:rPr>
          <w:rFonts w:hint="eastAsia" w:ascii="宋体" w:hAnsi="宋体" w:eastAsia="宋体" w:cs="宋体"/>
          <w:snapToGrid w:val="0"/>
          <w:color w:val="auto"/>
          <w:kern w:val="0"/>
          <w:sz w:val="24"/>
          <w:szCs w:val="24"/>
          <w:highlight w:val="none"/>
          <w:lang w:eastAsia="zh-CN"/>
        </w:rPr>
        <w:t>项包括</w:t>
      </w:r>
      <w:bookmarkEnd w:id="93"/>
      <w:bookmarkStart w:id="94" w:name="_Toc19814"/>
      <w:bookmarkStart w:id="95" w:name="_Toc32114"/>
      <w:bookmarkStart w:id="96" w:name="_Toc18204"/>
      <w:r>
        <w:rPr>
          <w:rFonts w:hint="eastAsia" w:ascii="宋体" w:hAnsi="宋体" w:eastAsia="宋体" w:cs="宋体"/>
          <w:snapToGrid w:val="0"/>
          <w:color w:val="auto"/>
          <w:kern w:val="0"/>
          <w:sz w:val="24"/>
          <w:szCs w:val="24"/>
          <w:highlight w:val="none"/>
          <w:lang w:eastAsia="zh-CN"/>
        </w:rPr>
        <w:t>：</w:t>
      </w:r>
    </w:p>
    <w:p w14:paraId="0A446BAB">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bookmarkStart w:id="97" w:name="_Toc20481"/>
      <w:bookmarkStart w:id="98" w:name="_Toc23632"/>
      <w:bookmarkStart w:id="99" w:name="_Toc13304"/>
      <w:r>
        <w:rPr>
          <w:rFonts w:hint="eastAsia" w:ascii="宋体" w:hAnsi="宋体" w:eastAsia="宋体" w:cs="宋体"/>
          <w:snapToGrid w:val="0"/>
          <w:color w:val="auto"/>
          <w:kern w:val="0"/>
          <w:sz w:val="24"/>
          <w:szCs w:val="24"/>
          <w:highlight w:val="none"/>
          <w:lang w:val="en-US" w:eastAsia="en-US"/>
        </w:rPr>
        <w:t>（1）</w:t>
      </w:r>
      <w:r>
        <w:rPr>
          <w:rFonts w:hint="eastAsia" w:ascii="宋体" w:hAnsi="宋体" w:eastAsia="宋体" w:cs="宋体"/>
          <w:snapToGrid w:val="0"/>
          <w:color w:val="auto"/>
          <w:kern w:val="0"/>
          <w:sz w:val="24"/>
          <w:szCs w:val="24"/>
          <w:highlight w:val="none"/>
        </w:rPr>
        <w:t>各分册是否按招标文件规定加盖电子印章。</w:t>
      </w:r>
      <w:bookmarkEnd w:id="97"/>
      <w:bookmarkEnd w:id="98"/>
      <w:bookmarkEnd w:id="99"/>
      <w:bookmarkStart w:id="100" w:name="_Toc27432"/>
      <w:bookmarkStart w:id="101" w:name="_Toc28409"/>
      <w:bookmarkStart w:id="102" w:name="_Toc10806"/>
    </w:p>
    <w:p w14:paraId="68C4E8E4">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lang w:val="en-US" w:eastAsia="zh-CN"/>
        </w:rPr>
        <w:t>（2）</w:t>
      </w:r>
      <w:r>
        <w:rPr>
          <w:rFonts w:hint="eastAsia" w:ascii="宋体" w:hAnsi="宋体" w:eastAsia="宋体" w:cs="宋体"/>
          <w:snapToGrid w:val="0"/>
          <w:color w:val="auto"/>
          <w:kern w:val="0"/>
          <w:sz w:val="24"/>
          <w:szCs w:val="24"/>
          <w:highlight w:val="none"/>
        </w:rPr>
        <w:t>本节第 10.2.2  目、第 10.3.2  目、第 10.4.3  目中规定的“所有投标人均应提</w:t>
      </w:r>
      <w:bookmarkEnd w:id="100"/>
      <w:bookmarkEnd w:id="101"/>
      <w:bookmarkEnd w:id="102"/>
      <w:r>
        <w:rPr>
          <w:rFonts w:hint="eastAsia" w:ascii="宋体" w:hAnsi="宋体" w:eastAsia="宋体" w:cs="宋体"/>
          <w:snapToGrid w:val="0"/>
          <w:color w:val="auto"/>
          <w:kern w:val="0"/>
          <w:sz w:val="24"/>
          <w:szCs w:val="24"/>
          <w:highlight w:val="none"/>
        </w:rPr>
        <w:t>供 ”的组成内容（包括该组成内容的所附资料）是否完整、齐全</w:t>
      </w:r>
      <w:r>
        <w:rPr>
          <w:rFonts w:hint="eastAsia" w:ascii="宋体" w:hAnsi="宋体" w:eastAsia="宋体" w:cs="宋体"/>
          <w:snapToGrid w:val="0"/>
          <w:color w:val="auto"/>
          <w:kern w:val="0"/>
          <w:sz w:val="24"/>
          <w:szCs w:val="24"/>
          <w:highlight w:val="none"/>
          <w:lang w:eastAsia="zh-CN"/>
        </w:rPr>
        <w:t>。</w:t>
      </w:r>
      <w:bookmarkStart w:id="103" w:name="_Toc22691"/>
      <w:bookmarkStart w:id="104" w:name="_Toc9581"/>
      <w:bookmarkStart w:id="105" w:name="_Toc17918"/>
    </w:p>
    <w:p w14:paraId="1AB9EA07">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lang w:eastAsia="zh-CN"/>
        </w:rPr>
        <w:t>（3）</w:t>
      </w:r>
      <w:r>
        <w:rPr>
          <w:rFonts w:hint="eastAsia" w:ascii="宋体" w:hAnsi="宋体" w:eastAsia="宋体" w:cs="宋体"/>
          <w:snapToGrid w:val="0"/>
          <w:color w:val="auto"/>
          <w:kern w:val="0"/>
          <w:sz w:val="24"/>
          <w:szCs w:val="24"/>
          <w:highlight w:val="none"/>
        </w:rPr>
        <w:t>施工组织设计采用“暗标 ”方式进行评审的，施工组织设计的规格颜色、文字排版、正文篇幅（若有）是否符合规定；其任何部位是否出现手写以及涂改、行间插字或删除痕迹；其任何部位是否出现投标人的名称和其它可识别投标人身份的字符、徽标、人员名称以及其他特殊标记。</w:t>
      </w:r>
      <w:bookmarkEnd w:id="103"/>
      <w:bookmarkEnd w:id="104"/>
      <w:bookmarkEnd w:id="105"/>
    </w:p>
    <w:p w14:paraId="06446360">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15.4.3  </w:t>
      </w:r>
      <w:r>
        <w:rPr>
          <w:rFonts w:hint="eastAsia" w:ascii="宋体" w:hAnsi="宋体" w:eastAsia="宋体" w:cs="宋体"/>
          <w:snapToGrid w:val="0"/>
          <w:color w:val="auto"/>
          <w:kern w:val="0"/>
          <w:sz w:val="24"/>
          <w:szCs w:val="24"/>
          <w:highlight w:val="none"/>
        </w:rPr>
        <w:t>响应性评审环节</w:t>
      </w:r>
    </w:p>
    <w:p w14:paraId="5ACF1BBA">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响应性评审事项包括：</w:t>
      </w:r>
    </w:p>
    <w:p w14:paraId="725402C3">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（1）投标有效期、质量标准、工期等是否响应招标文件实质性要求；是否擅自修改、遗漏《投标函》《各项承诺一览表》的实质性内容。</w:t>
      </w:r>
    </w:p>
    <w:p w14:paraId="34EA9995">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（2）编制《投标总价》的造价工程师，其注册证书是否合法、有效。</w:t>
      </w:r>
    </w:p>
    <w:p w14:paraId="6A4EB75F">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lang w:val="en-US" w:eastAsia="zh-CN"/>
        </w:rPr>
      </w:pPr>
      <w:r>
        <w:rPr>
          <w:rFonts w:hint="eastAsia" w:ascii="宋体" w:hAnsi="宋体" w:eastAsia="宋体" w:cs="宋体"/>
          <w:snapToGrid w:val="0"/>
          <w:color w:val="auto"/>
          <w:kern w:val="0"/>
          <w:sz w:val="24"/>
          <w:szCs w:val="24"/>
          <w:highlight w:val="none"/>
        </w:rPr>
        <w:t>（3）投标人委托造价咨询单位编制《投标总价》的，是否在</w:t>
      </w:r>
      <w:r>
        <w:rPr>
          <w:rFonts w:hint="eastAsia" w:ascii="宋体" w:hAnsi="宋体" w:eastAsia="宋体" w:cs="宋体"/>
          <w:snapToGrid w:val="0"/>
          <w:color w:val="auto"/>
          <w:kern w:val="0"/>
          <w:sz w:val="24"/>
          <w:szCs w:val="24"/>
          <w:highlight w:val="none"/>
          <w:lang w:val="en-US" w:eastAsia="zh-CN"/>
        </w:rPr>
        <w:t>《投标总价扉页》（即扉—3）“投标人”栏目加盖造价咨询人公章；是否提供造价咨询人的营业执照副本彩色扫描件；</w:t>
      </w:r>
    </w:p>
    <w:p w14:paraId="203652E5">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（4）投标总价是否唯一；投标总价是否超出招标控制价；绿色施工安全防护措施费是否达到最低要求；暂列金额、暂估价是否按照招标工程量清单统一报价；投标人是否以低于成本的价格竞标。</w:t>
      </w:r>
    </w:p>
    <w:p w14:paraId="5276AED6">
      <w:pPr>
        <w:keepNext w:val="0"/>
        <w:keepLines w:val="0"/>
        <w:pageBreakBefore w:val="0"/>
        <w:kinsoku/>
        <w:wordWrap w:val="0"/>
        <w:overflowPunct/>
        <w:autoSpaceDE/>
        <w:autoSpaceDN/>
        <w:bidi w:val="0"/>
        <w:adjustRightInd w:val="0"/>
        <w:snapToGrid w:val="0"/>
        <w:spacing w:line="360" w:lineRule="auto"/>
        <w:ind w:firstLine="56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75995BAD">
      <w:pPr>
        <w:keepNext w:val="0"/>
        <w:keepLines w:val="0"/>
        <w:pageBreakBefore w:val="0"/>
        <w:kinsoku/>
        <w:wordWrap w:val="0"/>
        <w:overflowPunct/>
        <w:autoSpaceDE/>
        <w:autoSpaceDN/>
        <w:bidi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bookmarkStart w:id="106" w:name="_Toc14163"/>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rPr>
        <w:t>施工组织设计的质量、进度保障措施是否符合国家和省市现行有关规范、规定、标准，是否能实现工程质量、进度管理目标。</w:t>
      </w:r>
      <w:bookmarkEnd w:id="106"/>
    </w:p>
    <w:p w14:paraId="76DDDEAC">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b/>
          <w:bCs/>
          <w:snapToGrid w:val="0"/>
          <w:color w:val="auto"/>
          <w:kern w:val="0"/>
          <w:sz w:val="24"/>
          <w:szCs w:val="24"/>
          <w:highlight w:val="none"/>
        </w:rPr>
      </w:pPr>
      <w:bookmarkStart w:id="107" w:name="_Toc29261"/>
      <w:r>
        <w:rPr>
          <w:rFonts w:hint="eastAsia" w:ascii="宋体" w:hAnsi="宋体" w:eastAsia="宋体" w:cs="宋体"/>
          <w:b/>
          <w:bCs/>
          <w:snapToGrid w:val="0"/>
          <w:color w:val="auto"/>
          <w:kern w:val="0"/>
          <w:sz w:val="24"/>
          <w:szCs w:val="24"/>
          <w:highlight w:val="none"/>
        </w:rPr>
        <w:t xml:space="preserve">15.4.4  </w:t>
      </w:r>
      <w:r>
        <w:rPr>
          <w:rFonts w:hint="eastAsia" w:ascii="宋体" w:hAnsi="宋体" w:eastAsia="宋体" w:cs="宋体"/>
          <w:b w:val="0"/>
          <w:bCs w:val="0"/>
          <w:snapToGrid w:val="0"/>
          <w:color w:val="auto"/>
          <w:kern w:val="0"/>
          <w:sz w:val="24"/>
          <w:szCs w:val="24"/>
          <w:highlight w:val="none"/>
        </w:rPr>
        <w:t>否决投标说明</w:t>
      </w:r>
      <w:bookmarkEnd w:id="94"/>
      <w:bookmarkEnd w:id="95"/>
      <w:bookmarkEnd w:id="96"/>
      <w:bookmarkEnd w:id="107"/>
    </w:p>
    <w:p w14:paraId="23A70E99">
      <w:pPr>
        <w:keepNext w:val="0"/>
        <w:keepLines w:val="0"/>
        <w:pageBreakBefore w:val="0"/>
        <w:kinsoku/>
        <w:wordWrap w:val="0"/>
        <w:overflowPunct/>
        <w:autoSpaceDE/>
        <w:autoSpaceDN/>
        <w:bidi w:val="0"/>
        <w:adjustRightInd w:val="0"/>
        <w:snapToGrid w:val="0"/>
        <w:spacing w:line="360" w:lineRule="auto"/>
        <w:ind w:firstLine="562"/>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初步评审阶段各个环节否决投标的全部条件，在本章第四节“否决投标条件”第</w:t>
      </w:r>
      <w:r>
        <w:rPr>
          <w:rFonts w:hint="eastAsia" w:ascii="宋体" w:hAnsi="宋体" w:eastAsia="宋体" w:cs="宋体"/>
          <w:b/>
          <w:bCs/>
          <w:snapToGrid w:val="0"/>
          <w:color w:val="auto"/>
          <w:kern w:val="0"/>
          <w:sz w:val="24"/>
          <w:szCs w:val="24"/>
          <w:highlight w:val="none"/>
        </w:rPr>
        <w:t>1</w:t>
      </w:r>
      <w:r>
        <w:rPr>
          <w:rFonts w:hint="eastAsia" w:ascii="宋体" w:hAnsi="宋体" w:eastAsia="宋体" w:cs="宋体"/>
          <w:snapToGrid w:val="0"/>
          <w:color w:val="auto"/>
          <w:kern w:val="0"/>
          <w:sz w:val="24"/>
          <w:szCs w:val="24"/>
          <w:highlight w:val="none"/>
        </w:rPr>
        <w:t>条至第</w:t>
      </w:r>
      <w:r>
        <w:rPr>
          <w:rFonts w:hint="eastAsia" w:ascii="宋体" w:hAnsi="宋体" w:eastAsia="宋体" w:cs="宋体"/>
          <w:b/>
          <w:bCs/>
          <w:snapToGrid w:val="0"/>
          <w:color w:val="auto"/>
          <w:kern w:val="0"/>
          <w:sz w:val="24"/>
          <w:szCs w:val="24"/>
          <w:highlight w:val="none"/>
        </w:rPr>
        <w:t>4</w:t>
      </w:r>
      <w:r>
        <w:rPr>
          <w:rFonts w:hint="eastAsia" w:ascii="宋体" w:hAnsi="宋体" w:eastAsia="宋体" w:cs="宋体"/>
          <w:snapToGrid w:val="0"/>
          <w:color w:val="auto"/>
          <w:kern w:val="0"/>
          <w:sz w:val="24"/>
          <w:szCs w:val="24"/>
          <w:highlight w:val="none"/>
        </w:rPr>
        <w:t>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1AC88C47">
      <w:pPr>
        <w:pStyle w:val="12"/>
        <w:keepNext w:val="0"/>
        <w:keepLines w:val="0"/>
        <w:pageBreakBefore w:val="0"/>
        <w:kinsoku/>
        <w:overflowPunct/>
        <w:topLinePunct w:val="0"/>
        <w:autoSpaceDE/>
        <w:autoSpaceDN/>
        <w:bidi w:val="0"/>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温馨提示：依据2017年12月27日修改的《中华人民共和国招标投标法》“第四十二条评标委员会经评审，认为所有投标都不符合招标文件要求的，可以否决所有投标。依法必须进行招标的项目的所有投标被否决的，招标人应当依照本法重新招标。”及2018年11月29日修订的《广东省实施〈中华人民共和国招标投标法〉办法》取消“经评议有效投标的投标人少于三人”必须重新招标的限制。</w:t>
      </w:r>
    </w:p>
    <w:p w14:paraId="33BC85C8">
      <w:pPr>
        <w:spacing w:before="78" w:line="360" w:lineRule="auto"/>
        <w:ind w:left="577"/>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anchor distT="0" distB="0" distL="0" distR="0" simplePos="0" relativeHeight="251659264" behindDoc="1" locked="0" layoutInCell="1" allowOverlap="1">
            <wp:simplePos x="0" y="0"/>
            <wp:positionH relativeFrom="column">
              <wp:posOffset>4789170</wp:posOffset>
            </wp:positionH>
            <wp:positionV relativeFrom="paragraph">
              <wp:posOffset>236220</wp:posOffset>
            </wp:positionV>
            <wp:extent cx="6350" cy="279400"/>
            <wp:effectExtent l="0" t="0" r="0" b="0"/>
            <wp:wrapNone/>
            <wp:docPr id="1" name="IM 46"/>
            <wp:cNvGraphicFramePr/>
            <a:graphic xmlns:a="http://schemas.openxmlformats.org/drawingml/2006/main">
              <a:graphicData uri="http://schemas.openxmlformats.org/drawingml/2006/picture">
                <pic:pic xmlns:pic="http://schemas.openxmlformats.org/drawingml/2006/picture">
                  <pic:nvPicPr>
                    <pic:cNvPr id="1" name="IM 46"/>
                    <pic:cNvPicPr/>
                  </pic:nvPicPr>
                  <pic:blipFill>
                    <a:blip r:embed="rId7"/>
                    <a:stretch>
                      <a:fillRect/>
                    </a:stretch>
                  </pic:blipFill>
                  <pic:spPr>
                    <a:xfrm>
                      <a:off x="0" y="0"/>
                      <a:ext cx="6350" cy="279400"/>
                    </a:xfrm>
                    <a:prstGeom prst="rect">
                      <a:avLst/>
                    </a:prstGeom>
                    <a:noFill/>
                    <a:ln>
                      <a:noFill/>
                    </a:ln>
                  </pic:spPr>
                </pic:pic>
              </a:graphicData>
            </a:graphic>
          </wp:anchor>
        </w:drawing>
      </w:r>
      <w:bookmarkStart w:id="108" w:name="bookmark128"/>
      <w:bookmarkEnd w:id="108"/>
      <w:r>
        <w:rPr>
          <w:rFonts w:hint="eastAsia" w:ascii="宋体" w:hAnsi="宋体" w:eastAsia="宋体" w:cs="宋体"/>
          <w:b/>
          <w:bCs/>
          <w:color w:val="auto"/>
          <w:spacing w:val="-2"/>
          <w:sz w:val="24"/>
          <w:szCs w:val="24"/>
          <w:highlight w:val="none"/>
        </w:rPr>
        <w:t xml:space="preserve">15.5  </w:t>
      </w:r>
      <w:r>
        <w:rPr>
          <w:rFonts w:hint="eastAsia" w:ascii="宋体" w:hAnsi="宋体" w:eastAsia="宋体" w:cs="宋体"/>
          <w:color w:val="auto"/>
          <w:spacing w:val="-2"/>
          <w:sz w:val="24"/>
          <w:szCs w:val="24"/>
          <w:highlight w:val="none"/>
        </w:rPr>
        <w:t>详细评审阶段</w:t>
      </w:r>
    </w:p>
    <w:p w14:paraId="434E402C">
      <w:pPr>
        <w:keepNext w:val="0"/>
        <w:keepLines w:val="0"/>
        <w:pageBreakBefore w:val="0"/>
        <w:kinsoku/>
        <w:wordWrap w:val="0"/>
        <w:overflowPunct/>
        <w:autoSpaceDE/>
        <w:autoSpaceDN/>
        <w:bidi w:val="0"/>
        <w:adjustRightInd w:val="0"/>
        <w:snapToGrid w:val="0"/>
        <w:spacing w:line="360" w:lineRule="auto"/>
        <w:ind w:firstLine="482" w:firstLineChars="200"/>
        <w:rPr>
          <w:rFonts w:hint="eastAsia" w:ascii="宋体" w:hAnsi="宋体" w:eastAsia="宋体" w:cs="宋体"/>
          <w:b w:val="0"/>
          <w:bCs w:val="0"/>
          <w:snapToGrid w:val="0"/>
          <w:color w:val="auto"/>
          <w:kern w:val="0"/>
          <w:sz w:val="24"/>
          <w:szCs w:val="24"/>
          <w:highlight w:val="none"/>
        </w:rPr>
      </w:pPr>
      <w:bookmarkStart w:id="109" w:name="_Toc1868"/>
      <w:bookmarkStart w:id="110" w:name="_Toc10503"/>
      <w:bookmarkStart w:id="111" w:name="_Toc4119"/>
      <w:bookmarkStart w:id="112" w:name="_Toc28572"/>
      <w:r>
        <w:rPr>
          <w:rFonts w:hint="eastAsia" w:ascii="宋体" w:hAnsi="宋体" w:eastAsia="宋体" w:cs="宋体"/>
          <w:b/>
          <w:bCs/>
          <w:snapToGrid w:val="0"/>
          <w:color w:val="auto"/>
          <w:kern w:val="0"/>
          <w:sz w:val="24"/>
          <w:szCs w:val="24"/>
          <w:highlight w:val="none"/>
        </w:rPr>
        <w:t xml:space="preserve">15.5.1  </w:t>
      </w:r>
      <w:r>
        <w:rPr>
          <w:rFonts w:hint="eastAsia" w:ascii="宋体" w:hAnsi="宋体" w:eastAsia="宋体" w:cs="宋体"/>
          <w:b w:val="0"/>
          <w:bCs w:val="0"/>
          <w:snapToGrid w:val="0"/>
          <w:color w:val="auto"/>
          <w:kern w:val="0"/>
          <w:sz w:val="24"/>
          <w:szCs w:val="24"/>
          <w:highlight w:val="none"/>
        </w:rPr>
        <w:t>“综合评估法 ”评审程序</w:t>
      </w:r>
      <w:bookmarkEnd w:id="109"/>
      <w:bookmarkEnd w:id="110"/>
      <w:bookmarkEnd w:id="111"/>
      <w:bookmarkEnd w:id="112"/>
    </w:p>
    <w:p w14:paraId="67130DFF">
      <w:pPr>
        <w:spacing w:before="152" w:line="360" w:lineRule="auto"/>
        <w:ind w:left="14" w:right="81" w:firstLine="47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评审内容分为商务技术和投标报价两大部分。其中，商</w:t>
      </w:r>
      <w:r>
        <w:rPr>
          <w:rFonts w:hint="eastAsia" w:ascii="宋体" w:hAnsi="宋体" w:eastAsia="宋体" w:cs="宋体"/>
          <w:color w:val="auto"/>
          <w:spacing w:val="-2"/>
          <w:sz w:val="24"/>
          <w:szCs w:val="24"/>
          <w:highlight w:val="none"/>
        </w:rPr>
        <w:t>务技术合计满分</w:t>
      </w:r>
      <w:r>
        <w:rPr>
          <w:rFonts w:hint="eastAsia" w:ascii="宋体" w:hAnsi="宋体" w:eastAsia="宋体" w:cs="宋体"/>
          <w:color w:val="auto"/>
          <w:spacing w:val="-2"/>
          <w:sz w:val="24"/>
          <w:szCs w:val="24"/>
          <w:highlight w:val="none"/>
          <w:lang w:eastAsia="zh-CN"/>
        </w:rPr>
        <w:t>100</w:t>
      </w:r>
      <w:r>
        <w:rPr>
          <w:rFonts w:hint="eastAsia" w:ascii="宋体" w:hAnsi="宋体" w:eastAsia="宋体" w:cs="宋体"/>
          <w:color w:val="auto"/>
          <w:spacing w:val="-2"/>
          <w:sz w:val="24"/>
          <w:szCs w:val="24"/>
          <w:highlight w:val="none"/>
        </w:rPr>
        <w:t>分，权重</w:t>
      </w:r>
      <w:r>
        <w:rPr>
          <w:rFonts w:hint="eastAsia" w:ascii="宋体" w:hAnsi="宋体" w:eastAsia="宋体" w:cs="宋体"/>
          <w:color w:val="auto"/>
          <w:spacing w:val="-3"/>
          <w:sz w:val="24"/>
          <w:szCs w:val="24"/>
          <w:highlight w:val="none"/>
        </w:rPr>
        <w:t>为</w:t>
      </w:r>
      <w:r>
        <w:rPr>
          <w:rFonts w:hint="eastAsia" w:ascii="宋体" w:hAnsi="宋体" w:eastAsia="宋体" w:cs="宋体"/>
          <w:color w:val="auto"/>
          <w:spacing w:val="-3"/>
          <w:sz w:val="24"/>
          <w:szCs w:val="24"/>
          <w:highlight w:val="none"/>
          <w:lang w:eastAsia="zh-CN"/>
        </w:rPr>
        <w:t>40</w:t>
      </w:r>
      <w:r>
        <w:rPr>
          <w:rFonts w:hint="eastAsia" w:ascii="宋体" w:hAnsi="宋体" w:eastAsia="宋体" w:cs="宋体"/>
          <w:color w:val="auto"/>
          <w:spacing w:val="-3"/>
          <w:sz w:val="24"/>
          <w:szCs w:val="24"/>
          <w:highlight w:val="none"/>
        </w:rPr>
        <w:t>%；投标报价满分100分，权重为</w:t>
      </w:r>
      <w:r>
        <w:rPr>
          <w:rFonts w:hint="eastAsia" w:ascii="宋体" w:hAnsi="宋体" w:eastAsia="宋体" w:cs="宋体"/>
          <w:color w:val="auto"/>
          <w:spacing w:val="-3"/>
          <w:sz w:val="24"/>
          <w:szCs w:val="24"/>
          <w:highlight w:val="none"/>
          <w:lang w:eastAsia="zh-CN"/>
        </w:rPr>
        <w:t>60</w:t>
      </w:r>
      <w:r>
        <w:rPr>
          <w:rFonts w:hint="eastAsia" w:ascii="宋体" w:hAnsi="宋体" w:eastAsia="宋体" w:cs="宋体"/>
          <w:color w:val="auto"/>
          <w:spacing w:val="-3"/>
          <w:sz w:val="24"/>
          <w:szCs w:val="24"/>
          <w:highlight w:val="none"/>
        </w:rPr>
        <w:t>%</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3"/>
          <w:sz w:val="24"/>
          <w:szCs w:val="24"/>
          <w:highlight w:val="none"/>
        </w:rPr>
        <w:t>。两大部分权重之和应为100%。</w:t>
      </w:r>
    </w:p>
    <w:p w14:paraId="3867D301">
      <w:pPr>
        <w:spacing w:before="153" w:line="360" w:lineRule="auto"/>
        <w:ind w:left="14"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除特别注明外，综合得分以及商务技术得分、投标报价得分的中间过程计算值和</w:t>
      </w:r>
      <w:r>
        <w:rPr>
          <w:rFonts w:hint="eastAsia" w:ascii="宋体" w:hAnsi="宋体" w:eastAsia="宋体" w:cs="宋体"/>
          <w:color w:val="auto"/>
          <w:spacing w:val="-4"/>
          <w:sz w:val="24"/>
          <w:szCs w:val="24"/>
          <w:highlight w:val="none"/>
        </w:rPr>
        <w:t>最终值，均按“</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4"/>
          <w:sz w:val="24"/>
          <w:szCs w:val="24"/>
          <w:highlight w:val="none"/>
        </w:rPr>
        <w:t>四舍五入</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4"/>
          <w:sz w:val="24"/>
          <w:szCs w:val="24"/>
          <w:highlight w:val="none"/>
        </w:rPr>
        <w:t>”原则精确到两位小数。</w:t>
      </w:r>
    </w:p>
    <w:p w14:paraId="451EA660">
      <w:pPr>
        <w:spacing w:before="152" w:line="360" w:lineRule="auto"/>
        <w:ind w:left="14" w:right="81" w:firstLine="476"/>
        <w:rPr>
          <w:rFonts w:hint="eastAsia" w:ascii="宋体" w:hAnsi="宋体" w:eastAsia="宋体" w:cs="宋体"/>
          <w:color w:val="auto"/>
          <w:spacing w:val="-1"/>
          <w:sz w:val="24"/>
          <w:szCs w:val="24"/>
          <w:highlight w:val="none"/>
        </w:rPr>
      </w:pPr>
      <w:bookmarkStart w:id="113" w:name="_Toc22949"/>
      <w:bookmarkStart w:id="114" w:name="_Toc16570"/>
      <w:bookmarkStart w:id="115" w:name="_Toc18029"/>
      <w:bookmarkStart w:id="116" w:name="_Toc17510"/>
      <w:r>
        <w:rPr>
          <w:rFonts w:hint="eastAsia" w:ascii="宋体" w:hAnsi="宋体" w:eastAsia="宋体" w:cs="宋体"/>
          <w:color w:val="auto"/>
          <w:spacing w:val="-1"/>
          <w:sz w:val="24"/>
          <w:szCs w:val="24"/>
          <w:highlight w:val="none"/>
        </w:rPr>
        <w:t>（1）商务技术得分 M</w:t>
      </w:r>
      <w:bookmarkEnd w:id="113"/>
      <w:bookmarkEnd w:id="114"/>
      <w:bookmarkEnd w:id="115"/>
      <w:bookmarkEnd w:id="116"/>
    </w:p>
    <w:p w14:paraId="2876E1BE">
      <w:pPr>
        <w:spacing w:before="153" w:line="360" w:lineRule="auto"/>
        <w:ind w:left="15" w:right="81"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a</w:t>
      </w:r>
      <w:r>
        <w:rPr>
          <w:rFonts w:hint="eastAsia" w:ascii="宋体" w:hAnsi="宋体" w:eastAsia="宋体" w:cs="宋体"/>
          <w:b/>
          <w:bCs/>
          <w:color w:val="auto"/>
          <w:spacing w:val="-24"/>
          <w:sz w:val="24"/>
          <w:szCs w:val="24"/>
          <w:highlight w:val="none"/>
          <w:lang w:eastAsia="zh-CN"/>
        </w:rPr>
        <w:t>.</w:t>
      </w:r>
      <w:r>
        <w:rPr>
          <w:rFonts w:hint="eastAsia" w:ascii="宋体" w:hAnsi="宋体" w:eastAsia="宋体" w:cs="宋体"/>
          <w:color w:val="auto"/>
          <w:spacing w:val="1"/>
          <w:sz w:val="24"/>
          <w:szCs w:val="24"/>
          <w:highlight w:val="none"/>
        </w:rPr>
        <w:t>评标委员会按照《综合评分表》商务部分指定的评分标准对各评分因素进行</w:t>
      </w:r>
      <w:r>
        <w:rPr>
          <w:rFonts w:hint="eastAsia" w:ascii="宋体" w:hAnsi="宋体" w:eastAsia="宋体" w:cs="宋体"/>
          <w:color w:val="auto"/>
          <w:spacing w:val="-1"/>
          <w:sz w:val="24"/>
          <w:szCs w:val="24"/>
          <w:highlight w:val="none"/>
        </w:rPr>
        <w:t>打分。各评分因素得分之和即为某投标人的商务得分</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24"/>
          <w:szCs w:val="24"/>
          <w:highlight w:val="none"/>
        </w:rPr>
        <w:t>1</w:t>
      </w:r>
      <w:r>
        <w:rPr>
          <w:rFonts w:hint="eastAsia" w:ascii="宋体" w:hAnsi="宋体" w:eastAsia="宋体" w:cs="宋体"/>
          <w:color w:val="auto"/>
          <w:spacing w:val="-1"/>
          <w:sz w:val="24"/>
          <w:szCs w:val="24"/>
          <w:highlight w:val="none"/>
        </w:rPr>
        <w:t>。</w:t>
      </w:r>
    </w:p>
    <w:p w14:paraId="563951AA">
      <w:pPr>
        <w:spacing w:before="154" w:line="360" w:lineRule="auto"/>
        <w:ind w:left="12" w:right="8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b</w:t>
      </w:r>
      <w:r>
        <w:rPr>
          <w:rFonts w:hint="eastAsia" w:ascii="宋体" w:hAnsi="宋体" w:eastAsia="宋体" w:cs="宋体"/>
          <w:b/>
          <w:bCs/>
          <w:color w:val="auto"/>
          <w:spacing w:val="-27"/>
          <w:sz w:val="24"/>
          <w:szCs w:val="24"/>
          <w:highlight w:val="none"/>
          <w:lang w:eastAsia="zh-CN"/>
        </w:rPr>
        <w:t>.</w:t>
      </w:r>
      <w:r>
        <w:rPr>
          <w:rFonts w:hint="eastAsia" w:ascii="宋体" w:hAnsi="宋体" w:eastAsia="宋体" w:cs="宋体"/>
          <w:color w:val="auto"/>
          <w:spacing w:val="1"/>
          <w:sz w:val="24"/>
          <w:szCs w:val="24"/>
          <w:highlight w:val="none"/>
        </w:rPr>
        <w:t>评标委员会各成员独立按照《综合评分表》技术部分（施工组织设</w:t>
      </w:r>
      <w:r>
        <w:rPr>
          <w:rFonts w:hint="eastAsia" w:ascii="宋体" w:hAnsi="宋体" w:eastAsia="宋体" w:cs="宋体"/>
          <w:color w:val="auto"/>
          <w:sz w:val="24"/>
          <w:szCs w:val="24"/>
          <w:highlight w:val="none"/>
        </w:rPr>
        <w:t>计）指定</w:t>
      </w:r>
      <w:r>
        <w:rPr>
          <w:rFonts w:hint="eastAsia" w:ascii="宋体" w:hAnsi="宋体" w:eastAsia="宋体" w:cs="宋体"/>
          <w:color w:val="auto"/>
          <w:spacing w:val="-1"/>
          <w:sz w:val="24"/>
          <w:szCs w:val="24"/>
          <w:highlight w:val="none"/>
        </w:rPr>
        <w:t>的评分标准对各评分因素进行打分，累加后得出技术评分。</w:t>
      </w:r>
      <w:r>
        <w:rPr>
          <w:rFonts w:hint="eastAsia" w:ascii="宋体" w:hAnsi="宋体" w:eastAsia="宋体" w:cs="宋体"/>
          <w:color w:val="auto"/>
          <w:spacing w:val="-2"/>
          <w:sz w:val="24"/>
          <w:szCs w:val="24"/>
          <w:highlight w:val="none"/>
        </w:rPr>
        <w:t>将评标委员会所有成员的</w:t>
      </w:r>
      <w:r>
        <w:rPr>
          <w:rFonts w:hint="eastAsia" w:ascii="宋体" w:hAnsi="宋体" w:eastAsia="宋体" w:cs="宋体"/>
          <w:color w:val="auto"/>
          <w:sz w:val="24"/>
          <w:szCs w:val="24"/>
          <w:highlight w:val="none"/>
        </w:rPr>
        <w:t>技术评分去掉最高分和最低分后，取算术平均值，即</w:t>
      </w:r>
      <w:r>
        <w:rPr>
          <w:rFonts w:hint="eastAsia" w:ascii="宋体" w:hAnsi="宋体" w:eastAsia="宋体" w:cs="宋体"/>
          <w:color w:val="auto"/>
          <w:spacing w:val="-1"/>
          <w:sz w:val="24"/>
          <w:szCs w:val="24"/>
          <w:highlight w:val="none"/>
        </w:rPr>
        <w:t>为某投标人的技术得分</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1"/>
          <w:sz w:val="24"/>
          <w:szCs w:val="24"/>
          <w:highlight w:val="none"/>
        </w:rPr>
        <w:t>M</w:t>
      </w:r>
      <w:r>
        <w:rPr>
          <w:rFonts w:hint="eastAsia" w:ascii="宋体" w:hAnsi="宋体" w:eastAsia="宋体" w:cs="宋体"/>
          <w:color w:val="auto"/>
          <w:spacing w:val="-1"/>
          <w:position w:val="-1"/>
          <w:sz w:val="24"/>
          <w:szCs w:val="24"/>
          <w:highlight w:val="none"/>
        </w:rPr>
        <w:t>2</w:t>
      </w:r>
      <w:r>
        <w:rPr>
          <w:rFonts w:hint="eastAsia" w:ascii="宋体" w:hAnsi="宋体" w:eastAsia="宋体" w:cs="宋体"/>
          <w:color w:val="auto"/>
          <w:spacing w:val="-1"/>
          <w:sz w:val="24"/>
          <w:szCs w:val="24"/>
          <w:highlight w:val="none"/>
        </w:rPr>
        <w:t>。</w:t>
      </w:r>
    </w:p>
    <w:p w14:paraId="2053FBB2">
      <w:pPr>
        <w:spacing w:before="155" w:line="360" w:lineRule="auto"/>
        <w:ind w:left="491"/>
        <w:rPr>
          <w:rFonts w:hint="eastAsia" w:ascii="宋体" w:hAnsi="宋体" w:eastAsia="宋体" w:cs="宋体"/>
          <w:color w:val="auto"/>
          <w:sz w:val="24"/>
          <w:szCs w:val="24"/>
          <w:highlight w:val="none"/>
        </w:rPr>
      </w:pPr>
      <w:r>
        <w:rPr>
          <w:rFonts w:hint="eastAsia" w:ascii="宋体" w:hAnsi="宋体" w:eastAsia="宋体" w:cs="宋体"/>
          <w:b/>
          <w:bCs/>
          <w:color w:val="auto"/>
          <w:spacing w:val="-12"/>
          <w:sz w:val="24"/>
          <w:szCs w:val="24"/>
          <w:highlight w:val="none"/>
        </w:rPr>
        <w:t>c</w:t>
      </w:r>
      <w:r>
        <w:rPr>
          <w:rFonts w:hint="eastAsia" w:ascii="宋体" w:hAnsi="宋体" w:eastAsia="宋体" w:cs="宋体"/>
          <w:b/>
          <w:bCs/>
          <w:color w:val="auto"/>
          <w:spacing w:val="-27"/>
          <w:sz w:val="24"/>
          <w:szCs w:val="24"/>
          <w:highlight w:val="none"/>
          <w:lang w:eastAsia="zh-CN"/>
        </w:rPr>
        <w:t>.</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27"/>
          <w:sz w:val="24"/>
          <w:szCs w:val="24"/>
          <w:highlight w:val="none"/>
        </w:rPr>
        <w:t xml:space="preserve"> </w:t>
      </w:r>
      <w:r>
        <w:rPr>
          <w:rFonts w:hint="eastAsia" w:ascii="宋体" w:hAnsi="宋体" w:eastAsia="宋体" w:cs="宋体"/>
          <w:color w:val="auto"/>
          <w:spacing w:val="-12"/>
          <w:sz w:val="24"/>
          <w:szCs w:val="24"/>
          <w:highlight w:val="none"/>
        </w:rPr>
        <w:t>＝M</w:t>
      </w:r>
      <w:r>
        <w:rPr>
          <w:rFonts w:hint="eastAsia" w:ascii="宋体" w:hAnsi="宋体" w:eastAsia="宋体" w:cs="宋体"/>
          <w:color w:val="auto"/>
          <w:spacing w:val="-12"/>
          <w:position w:val="-1"/>
          <w:sz w:val="24"/>
          <w:szCs w:val="24"/>
          <w:highlight w:val="none"/>
        </w:rPr>
        <w:t>1</w:t>
      </w:r>
      <w:r>
        <w:rPr>
          <w:rFonts w:hint="eastAsia" w:ascii="宋体" w:hAnsi="宋体" w:eastAsia="宋体" w:cs="宋体"/>
          <w:color w:val="auto"/>
          <w:sz w:val="24"/>
          <w:szCs w:val="24"/>
          <w:highlight w:val="none"/>
        </w:rPr>
        <w:t>＋M</w:t>
      </w:r>
      <w:r>
        <w:rPr>
          <w:rFonts w:hint="eastAsia" w:ascii="宋体" w:hAnsi="宋体" w:eastAsia="宋体" w:cs="宋体"/>
          <w:color w:val="auto"/>
          <w:position w:val="-1"/>
          <w:sz w:val="24"/>
          <w:szCs w:val="24"/>
          <w:highlight w:val="none"/>
        </w:rPr>
        <w:t>2</w:t>
      </w:r>
    </w:p>
    <w:p w14:paraId="2874B8C1">
      <w:pPr>
        <w:spacing w:before="139" w:line="360" w:lineRule="auto"/>
        <w:ind w:left="496"/>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式中：M</w:t>
      </w:r>
      <w:r>
        <w:rPr>
          <w:rFonts w:hint="eastAsia" w:ascii="宋体" w:hAnsi="宋体" w:eastAsia="宋体" w:cs="宋体"/>
          <w:color w:val="auto"/>
          <w:spacing w:val="-1"/>
          <w:position w:val="-1"/>
          <w:sz w:val="24"/>
          <w:szCs w:val="24"/>
          <w:highlight w:val="none"/>
        </w:rPr>
        <w:t>1</w:t>
      </w:r>
      <w:r>
        <w:rPr>
          <w:rFonts w:hint="eastAsia" w:ascii="宋体" w:hAnsi="宋体" w:eastAsia="宋体" w:cs="宋体"/>
          <w:color w:val="auto"/>
          <w:spacing w:val="-1"/>
          <w:sz w:val="24"/>
          <w:szCs w:val="24"/>
          <w:highlight w:val="none"/>
        </w:rPr>
        <w:t>为某投标人的商务得分，M</w:t>
      </w:r>
      <w:r>
        <w:rPr>
          <w:rFonts w:hint="eastAsia" w:ascii="宋体" w:hAnsi="宋体" w:eastAsia="宋体" w:cs="宋体"/>
          <w:color w:val="auto"/>
          <w:spacing w:val="-1"/>
          <w:position w:val="-1"/>
          <w:sz w:val="24"/>
          <w:szCs w:val="24"/>
          <w:highlight w:val="none"/>
        </w:rPr>
        <w:t>2</w:t>
      </w:r>
      <w:r>
        <w:rPr>
          <w:rFonts w:hint="eastAsia" w:ascii="宋体" w:hAnsi="宋体" w:eastAsia="宋体" w:cs="宋体"/>
          <w:color w:val="auto"/>
          <w:spacing w:val="-1"/>
          <w:sz w:val="24"/>
          <w:szCs w:val="24"/>
          <w:highlight w:val="none"/>
        </w:rPr>
        <w:t>为某投标人的</w:t>
      </w:r>
      <w:r>
        <w:rPr>
          <w:rFonts w:hint="eastAsia" w:ascii="宋体" w:hAnsi="宋体" w:eastAsia="宋体" w:cs="宋体"/>
          <w:color w:val="auto"/>
          <w:spacing w:val="-2"/>
          <w:sz w:val="24"/>
          <w:szCs w:val="24"/>
          <w:highlight w:val="none"/>
        </w:rPr>
        <w:t>技术得分。</w:t>
      </w:r>
    </w:p>
    <w:p w14:paraId="2BE6EBBE">
      <w:pPr>
        <w:spacing w:before="106" w:line="360" w:lineRule="auto"/>
        <w:ind w:left="7" w:right="17" w:firstLine="489"/>
        <w:rPr>
          <w:rFonts w:hint="eastAsia" w:ascii="宋体" w:hAnsi="宋体" w:eastAsia="宋体" w:cs="宋体"/>
          <w:color w:val="auto"/>
          <w:spacing w:val="-9"/>
          <w:sz w:val="24"/>
          <w:szCs w:val="24"/>
          <w:highlight w:val="none"/>
        </w:rPr>
      </w:pPr>
      <w:bookmarkStart w:id="117" w:name="_Toc3958"/>
      <w:bookmarkStart w:id="118" w:name="_Toc3234"/>
      <w:bookmarkStart w:id="119" w:name="_Toc16136"/>
      <w:bookmarkStart w:id="120" w:name="_Toc27609"/>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lang w:val="en-US" w:eastAsia="zh-CN"/>
        </w:rPr>
        <w:t>2</w:t>
      </w:r>
      <w:r>
        <w:rPr>
          <w:rFonts w:hint="eastAsia" w:ascii="宋体" w:hAnsi="宋体" w:eastAsia="宋体" w:cs="宋体"/>
          <w:color w:val="auto"/>
          <w:spacing w:val="-9"/>
          <w:sz w:val="24"/>
          <w:szCs w:val="24"/>
          <w:highlight w:val="none"/>
          <w:lang w:eastAsia="zh-CN"/>
        </w:rPr>
        <w:t>）</w:t>
      </w:r>
      <w:r>
        <w:rPr>
          <w:rFonts w:hint="eastAsia" w:ascii="宋体" w:hAnsi="宋体" w:eastAsia="宋体" w:cs="宋体"/>
          <w:color w:val="auto"/>
          <w:spacing w:val="-9"/>
          <w:sz w:val="24"/>
          <w:szCs w:val="24"/>
          <w:highlight w:val="none"/>
        </w:rPr>
        <w:t>投标报价得分 N</w:t>
      </w:r>
      <w:bookmarkEnd w:id="117"/>
      <w:bookmarkEnd w:id="118"/>
      <w:bookmarkEnd w:id="119"/>
      <w:bookmarkEnd w:id="120"/>
    </w:p>
    <w:p w14:paraId="39B5AE92">
      <w:pPr>
        <w:spacing w:before="106" w:line="360" w:lineRule="auto"/>
        <w:ind w:left="7" w:right="17" w:firstLine="489"/>
        <w:rPr>
          <w:rFonts w:hint="eastAsia" w:ascii="宋体" w:hAnsi="宋体" w:eastAsia="宋体" w:cs="宋体"/>
          <w:color w:val="auto"/>
          <w:spacing w:val="-9"/>
          <w:sz w:val="24"/>
          <w:szCs w:val="24"/>
          <w:highlight w:val="none"/>
        </w:rPr>
      </w:pPr>
      <w:r>
        <w:rPr>
          <w:rFonts w:hint="eastAsia" w:ascii="宋体" w:hAnsi="宋体" w:eastAsia="宋体" w:cs="宋体"/>
          <w:b/>
          <w:bCs/>
          <w:color w:val="auto"/>
          <w:spacing w:val="-9"/>
          <w:sz w:val="24"/>
          <w:szCs w:val="24"/>
          <w:highlight w:val="none"/>
        </w:rPr>
        <w:t>a</w:t>
      </w:r>
      <w:r>
        <w:rPr>
          <w:rFonts w:hint="eastAsia" w:ascii="宋体" w:hAnsi="宋体" w:eastAsia="宋体" w:cs="宋体"/>
          <w:b/>
          <w:bCs/>
          <w:color w:val="auto"/>
          <w:spacing w:val="-9"/>
          <w:sz w:val="24"/>
          <w:szCs w:val="24"/>
          <w:highlight w:val="none"/>
          <w:lang w:eastAsia="zh-CN"/>
        </w:rPr>
        <w:t>.</w:t>
      </w:r>
      <w:r>
        <w:rPr>
          <w:rFonts w:hint="eastAsia" w:ascii="宋体" w:hAnsi="宋体" w:eastAsia="宋体" w:cs="宋体"/>
          <w:color w:val="auto"/>
          <w:spacing w:val="-9"/>
          <w:sz w:val="24"/>
          <w:szCs w:val="24"/>
          <w:highlight w:val="none"/>
        </w:rPr>
        <w:t>评标委员会按照《综合评分表》投标报价部分指定的方法计算评标基准价D。</w:t>
      </w:r>
    </w:p>
    <w:p w14:paraId="67AD0E8C">
      <w:pPr>
        <w:spacing w:before="155" w:line="360" w:lineRule="auto"/>
        <w:ind w:left="12" w:right="83"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b</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color w:val="auto"/>
          <w:sz w:val="24"/>
          <w:szCs w:val="24"/>
          <w:highlight w:val="none"/>
        </w:rPr>
        <w:t>采用内插法计算某投标人的投标报价得分</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z w:val="24"/>
          <w:szCs w:val="24"/>
          <w:highlight w:val="none"/>
        </w:rPr>
        <w:t>N</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z w:val="24"/>
          <w:szCs w:val="24"/>
          <w:highlight w:val="none"/>
        </w:rPr>
        <w:t>，即当投标人的投标总价等于评</w:t>
      </w:r>
      <w:r>
        <w:rPr>
          <w:rFonts w:hint="eastAsia" w:ascii="宋体" w:hAnsi="宋体" w:eastAsia="宋体" w:cs="宋体"/>
          <w:color w:val="auto"/>
          <w:spacing w:val="-1"/>
          <w:sz w:val="24"/>
          <w:szCs w:val="24"/>
          <w:highlight w:val="none"/>
        </w:rPr>
        <w:t>标基准价时得100分，每高于评标基准价一个百分点扣</w:t>
      </w:r>
      <w:r>
        <w:rPr>
          <w:rFonts w:hint="eastAsia" w:ascii="宋体" w:hAnsi="宋体" w:eastAsia="宋体" w:cs="宋体"/>
          <w:color w:val="auto"/>
          <w:spacing w:val="-44"/>
          <w:sz w:val="24"/>
          <w:szCs w:val="24"/>
          <w:highlight w:val="none"/>
        </w:rPr>
        <w:t xml:space="preserve"> </w:t>
      </w:r>
      <w:r>
        <w:rPr>
          <w:rFonts w:hint="eastAsia" w:ascii="宋体" w:hAnsi="宋体" w:eastAsia="宋体" w:cs="宋体"/>
          <w:b/>
          <w:bCs/>
          <w:color w:val="auto"/>
          <w:spacing w:val="-1"/>
          <w:sz w:val="24"/>
          <w:szCs w:val="24"/>
          <w:highlight w:val="none"/>
        </w:rPr>
        <w:t xml:space="preserve">1 分,  </w:t>
      </w:r>
      <w:r>
        <w:rPr>
          <w:rFonts w:hint="eastAsia" w:ascii="宋体" w:hAnsi="宋体" w:eastAsia="宋体" w:cs="宋体"/>
          <w:color w:val="auto"/>
          <w:spacing w:val="-2"/>
          <w:sz w:val="24"/>
          <w:szCs w:val="24"/>
          <w:highlight w:val="none"/>
        </w:rPr>
        <w:t>每低于评标基准价一个百分点扣</w:t>
      </w:r>
      <w:r>
        <w:rPr>
          <w:rFonts w:hint="eastAsia" w:ascii="宋体" w:hAnsi="宋体" w:eastAsia="宋体" w:cs="宋体"/>
          <w:b/>
          <w:bCs/>
          <w:color w:val="auto"/>
          <w:spacing w:val="-2"/>
          <w:sz w:val="24"/>
          <w:szCs w:val="24"/>
          <w:highlight w:val="none"/>
        </w:rPr>
        <w:t>0.5 分</w:t>
      </w:r>
      <w:r>
        <w:rPr>
          <w:rFonts w:hint="eastAsia" w:ascii="宋体" w:hAnsi="宋体" w:eastAsia="宋体" w:cs="宋体"/>
          <w:color w:val="auto"/>
          <w:spacing w:val="-2"/>
          <w:sz w:val="24"/>
          <w:szCs w:val="24"/>
          <w:highlight w:val="none"/>
        </w:rPr>
        <w:t>，扣完为止。公式如下：</w:t>
      </w:r>
    </w:p>
    <w:p w14:paraId="1A1D4778">
      <w:pPr>
        <w:spacing w:before="118" w:line="360" w:lineRule="auto"/>
        <w:ind w:left="2418"/>
        <w:rPr>
          <w:rFonts w:hint="eastAsia" w:ascii="宋体" w:hAnsi="宋体" w:eastAsia="宋体" w:cs="宋体"/>
          <w:color w:val="auto"/>
          <w:sz w:val="24"/>
          <w:szCs w:val="24"/>
          <w:highlight w:val="none"/>
        </w:rPr>
      </w:pPr>
      <w:r>
        <w:rPr>
          <w:rFonts w:hint="eastAsia" w:ascii="宋体" w:hAnsi="宋体" w:eastAsia="宋体" w:cs="宋体"/>
          <w:color w:val="auto"/>
          <w:spacing w:val="-6"/>
          <w:position w:val="3"/>
          <w:sz w:val="24"/>
          <w:szCs w:val="24"/>
          <w:highlight w:val="none"/>
        </w:rPr>
        <w:t>N</w:t>
      </w:r>
      <w:r>
        <w:rPr>
          <w:rFonts w:hint="eastAsia" w:ascii="宋体" w:hAnsi="宋体" w:eastAsia="宋体" w:cs="宋体"/>
          <w:color w:val="auto"/>
          <w:spacing w:val="-27"/>
          <w:position w:val="3"/>
          <w:sz w:val="24"/>
          <w:szCs w:val="24"/>
          <w:highlight w:val="none"/>
        </w:rPr>
        <w:t xml:space="preserve"> </w:t>
      </w:r>
      <w:r>
        <w:rPr>
          <w:rFonts w:hint="eastAsia" w:ascii="宋体" w:hAnsi="宋体" w:eastAsia="宋体" w:cs="宋体"/>
          <w:color w:val="auto"/>
          <w:spacing w:val="-6"/>
          <w:position w:val="3"/>
          <w:sz w:val="24"/>
          <w:szCs w:val="24"/>
          <w:highlight w:val="none"/>
        </w:rPr>
        <w:t>＝100</w:t>
      </w:r>
      <w:r>
        <w:rPr>
          <w:rFonts w:hint="eastAsia" w:ascii="宋体" w:hAnsi="宋体" w:eastAsia="宋体" w:cs="宋体"/>
          <w:color w:val="auto"/>
          <w:spacing w:val="-12"/>
          <w:position w:val="3"/>
          <w:sz w:val="24"/>
          <w:szCs w:val="24"/>
          <w:highlight w:val="none"/>
        </w:rPr>
        <w:t>－（</w:t>
      </w:r>
      <w:r>
        <w:rPr>
          <w:rFonts w:hint="eastAsia" w:ascii="宋体" w:hAnsi="宋体" w:eastAsia="宋体" w:cs="宋体"/>
          <w:color w:val="auto"/>
          <w:spacing w:val="-6"/>
          <w:position w:val="3"/>
          <w:sz w:val="24"/>
          <w:szCs w:val="24"/>
          <w:highlight w:val="none"/>
        </w:rPr>
        <w:t>|  Di－D</w:t>
      </w:r>
      <w:r>
        <w:rPr>
          <w:rFonts w:hint="eastAsia" w:ascii="宋体" w:hAnsi="宋体" w:eastAsia="宋体" w:cs="宋体"/>
          <w:color w:val="auto"/>
          <w:spacing w:val="9"/>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17"/>
          <w:position w:val="3"/>
          <w:sz w:val="24"/>
          <w:szCs w:val="24"/>
          <w:highlight w:val="none"/>
        </w:rPr>
        <w:t xml:space="preserve">  </w:t>
      </w:r>
      <w:r>
        <w:rPr>
          <w:rFonts w:hint="eastAsia" w:ascii="宋体" w:hAnsi="宋体" w:eastAsia="宋体" w:cs="宋体"/>
          <w:color w:val="auto"/>
          <w:spacing w:val="-6"/>
          <w:position w:val="3"/>
          <w:sz w:val="24"/>
          <w:szCs w:val="24"/>
          <w:highlight w:val="none"/>
        </w:rPr>
        <w:t>÷D）</w:t>
      </w:r>
      <w:r>
        <w:rPr>
          <w:rFonts w:hint="eastAsia" w:ascii="宋体" w:hAnsi="宋体" w:eastAsia="宋体" w:cs="宋体"/>
          <w:color w:val="auto"/>
          <w:spacing w:val="-75"/>
          <w:position w:val="3"/>
          <w:sz w:val="24"/>
          <w:szCs w:val="24"/>
          <w:highlight w:val="none"/>
        </w:rPr>
        <w:t xml:space="preserve"> </w:t>
      </w:r>
      <w:r>
        <w:rPr>
          <w:rFonts w:hint="eastAsia" w:ascii="宋体" w:hAnsi="宋体" w:eastAsia="宋体" w:cs="宋体"/>
          <w:color w:val="auto"/>
          <w:spacing w:val="-6"/>
          <w:position w:val="3"/>
          <w:sz w:val="24"/>
          <w:szCs w:val="24"/>
          <w:highlight w:val="none"/>
        </w:rPr>
        <w:t>×</w:t>
      </w:r>
      <w:r>
        <w:rPr>
          <w:rFonts w:hint="eastAsia" w:ascii="宋体" w:hAnsi="宋体" w:eastAsia="宋体" w:cs="宋体"/>
          <w:color w:val="auto"/>
          <w:spacing w:val="-92"/>
          <w:position w:val="3"/>
          <w:sz w:val="24"/>
          <w:szCs w:val="24"/>
          <w:highlight w:val="none"/>
        </w:rPr>
        <w:t xml:space="preserve"> </w:t>
      </w:r>
      <w:r>
        <w:rPr>
          <w:rFonts w:hint="eastAsia" w:ascii="宋体" w:hAnsi="宋体" w:eastAsia="宋体" w:cs="宋体"/>
          <w:color w:val="auto"/>
          <w:spacing w:val="-6"/>
          <w:position w:val="3"/>
          <w:sz w:val="24"/>
          <w:szCs w:val="24"/>
          <w:highlight w:val="none"/>
        </w:rPr>
        <w:t>100×E</w:t>
      </w:r>
    </w:p>
    <w:p w14:paraId="30B0BB24">
      <w:pPr>
        <w:spacing w:before="106" w:line="360" w:lineRule="auto"/>
        <w:ind w:left="7" w:right="17" w:firstLine="489"/>
        <w:rPr>
          <w:rFonts w:hint="eastAsia" w:ascii="宋体" w:hAnsi="宋体" w:eastAsia="宋体" w:cs="宋体"/>
          <w:color w:val="auto"/>
          <w:sz w:val="24"/>
          <w:szCs w:val="24"/>
          <w:highlight w:val="none"/>
        </w:rPr>
      </w:pPr>
      <w:r>
        <w:rPr>
          <w:rFonts w:hint="eastAsia" w:ascii="宋体" w:hAnsi="宋体" w:eastAsia="宋体" w:cs="宋体"/>
          <w:color w:val="auto"/>
          <w:spacing w:val="-9"/>
          <w:sz w:val="24"/>
          <w:szCs w:val="24"/>
          <w:highlight w:val="none"/>
        </w:rPr>
        <w:t>式中：D 为评标基准价；Di为某投标人的投标总价；E</w:t>
      </w:r>
      <w:r>
        <w:rPr>
          <w:rFonts w:hint="eastAsia" w:ascii="宋体" w:hAnsi="宋体" w:eastAsia="宋体" w:cs="宋体"/>
          <w:color w:val="auto"/>
          <w:spacing w:val="12"/>
          <w:sz w:val="24"/>
          <w:szCs w:val="24"/>
          <w:highlight w:val="none"/>
        </w:rPr>
        <w:t xml:space="preserve"> </w:t>
      </w:r>
      <w:r>
        <w:rPr>
          <w:rFonts w:hint="eastAsia" w:ascii="宋体" w:hAnsi="宋体" w:eastAsia="宋体" w:cs="宋体"/>
          <w:color w:val="auto"/>
          <w:spacing w:val="-9"/>
          <w:sz w:val="24"/>
          <w:szCs w:val="24"/>
          <w:highlight w:val="none"/>
        </w:rPr>
        <w:t>为扣分因子，当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9"/>
          <w:sz w:val="24"/>
          <w:szCs w:val="24"/>
          <w:highlight w:val="none"/>
        </w:rPr>
        <w:t>Di＞D</w:t>
      </w:r>
      <w:r>
        <w:rPr>
          <w:rFonts w:hint="eastAsia" w:ascii="宋体" w:hAnsi="宋体" w:eastAsia="宋体" w:cs="宋体"/>
          <w:color w:val="auto"/>
          <w:spacing w:val="-10"/>
          <w:sz w:val="24"/>
          <w:szCs w:val="24"/>
          <w:highlight w:val="none"/>
        </w:rPr>
        <w:t>时，</w:t>
      </w:r>
      <w:r>
        <w:rPr>
          <w:rFonts w:hint="eastAsia" w:ascii="宋体" w:hAnsi="宋体" w:eastAsia="宋体" w:cs="宋体"/>
          <w:color w:val="auto"/>
          <w:spacing w:val="-8"/>
          <w:sz w:val="24"/>
          <w:szCs w:val="24"/>
          <w:highlight w:val="none"/>
        </w:rPr>
        <w:t>E＝</w:t>
      </w:r>
      <w:r>
        <w:rPr>
          <w:rFonts w:hint="eastAsia" w:ascii="宋体" w:hAnsi="宋体" w:eastAsia="宋体" w:cs="宋体"/>
          <w:b w:val="0"/>
          <w:bCs w:val="0"/>
          <w:color w:val="auto"/>
          <w:spacing w:val="-8"/>
          <w:sz w:val="24"/>
          <w:szCs w:val="24"/>
          <w:highlight w:val="none"/>
        </w:rPr>
        <w:t>1</w:t>
      </w:r>
      <w:r>
        <w:rPr>
          <w:rFonts w:hint="eastAsia" w:ascii="宋体" w:hAnsi="宋体" w:eastAsia="宋体" w:cs="宋体"/>
          <w:b w:val="0"/>
          <w:bCs w:val="0"/>
          <w:color w:val="auto"/>
          <w:spacing w:val="-30"/>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color w:val="auto"/>
          <w:spacing w:val="-8"/>
          <w:sz w:val="24"/>
          <w:szCs w:val="24"/>
          <w:highlight w:val="none"/>
        </w:rPr>
        <w:t>当</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8"/>
          <w:sz w:val="24"/>
          <w:szCs w:val="24"/>
          <w:highlight w:val="none"/>
        </w:rPr>
        <w:t>Di＜D</w:t>
      </w:r>
      <w:r>
        <w:rPr>
          <w:rFonts w:hint="eastAsia" w:ascii="宋体" w:hAnsi="宋体" w:eastAsia="宋体" w:cs="宋体"/>
          <w:color w:val="auto"/>
          <w:spacing w:val="20"/>
          <w:w w:val="101"/>
          <w:sz w:val="24"/>
          <w:szCs w:val="24"/>
          <w:highlight w:val="none"/>
        </w:rPr>
        <w:t xml:space="preserve"> </w:t>
      </w:r>
      <w:r>
        <w:rPr>
          <w:rFonts w:hint="eastAsia" w:ascii="宋体" w:hAnsi="宋体" w:eastAsia="宋体" w:cs="宋体"/>
          <w:color w:val="auto"/>
          <w:spacing w:val="-8"/>
          <w:sz w:val="24"/>
          <w:szCs w:val="24"/>
          <w:highlight w:val="none"/>
        </w:rPr>
        <w:t>时，E</w:t>
      </w:r>
      <w:r>
        <w:rPr>
          <w:rFonts w:hint="eastAsia" w:ascii="宋体" w:hAnsi="宋体" w:eastAsia="宋体" w:cs="宋体"/>
          <w:color w:val="auto"/>
          <w:spacing w:val="-27"/>
          <w:sz w:val="24"/>
          <w:szCs w:val="24"/>
          <w:highlight w:val="none"/>
        </w:rPr>
        <w:t xml:space="preserve"> </w:t>
      </w:r>
      <w:r>
        <w:rPr>
          <w:rFonts w:hint="eastAsia" w:ascii="宋体" w:hAnsi="宋体" w:eastAsia="宋体" w:cs="宋体"/>
          <w:b/>
          <w:bCs/>
          <w:color w:val="auto"/>
          <w:spacing w:val="-8"/>
          <w:sz w:val="24"/>
          <w:szCs w:val="24"/>
          <w:highlight w:val="none"/>
        </w:rPr>
        <w:t>＝</w:t>
      </w:r>
      <w:r>
        <w:rPr>
          <w:rFonts w:hint="eastAsia" w:ascii="宋体" w:hAnsi="宋体" w:eastAsia="宋体" w:cs="宋体"/>
          <w:b w:val="0"/>
          <w:bCs w:val="0"/>
          <w:color w:val="auto"/>
          <w:spacing w:val="-8"/>
          <w:sz w:val="24"/>
          <w:szCs w:val="24"/>
          <w:highlight w:val="none"/>
        </w:rPr>
        <w:t>0.5</w:t>
      </w:r>
      <w:r>
        <w:rPr>
          <w:rFonts w:hint="eastAsia" w:ascii="宋体" w:hAnsi="宋体" w:eastAsia="宋体" w:cs="宋体"/>
          <w:b/>
          <w:bCs/>
          <w:color w:val="auto"/>
          <w:spacing w:val="-8"/>
          <w:sz w:val="24"/>
          <w:szCs w:val="24"/>
          <w:highlight w:val="none"/>
        </w:rPr>
        <w:t>。</w:t>
      </w:r>
    </w:p>
    <w:p w14:paraId="3235F073">
      <w:pPr>
        <w:spacing w:before="152" w:line="360" w:lineRule="auto"/>
        <w:ind w:left="14" w:right="81" w:firstLine="476"/>
        <w:rPr>
          <w:rFonts w:hint="eastAsia" w:ascii="宋体" w:hAnsi="宋体" w:eastAsia="宋体" w:cs="宋体"/>
          <w:color w:val="auto"/>
          <w:spacing w:val="-1"/>
          <w:sz w:val="24"/>
          <w:szCs w:val="24"/>
          <w:highlight w:val="none"/>
          <w:lang w:eastAsia="zh-CN"/>
        </w:rPr>
      </w:pPr>
      <w:bookmarkStart w:id="121" w:name="_Toc3861"/>
      <w:bookmarkStart w:id="122" w:name="_Toc7915"/>
      <w:bookmarkStart w:id="123" w:name="_Toc23551"/>
      <w:bookmarkStart w:id="124" w:name="_Toc4990"/>
      <w:r>
        <w:rPr>
          <w:rFonts w:hint="eastAsia" w:ascii="宋体" w:hAnsi="宋体" w:eastAsia="宋体" w:cs="宋体"/>
          <w:color w:val="auto"/>
          <w:spacing w:val="-1"/>
          <w:sz w:val="24"/>
          <w:szCs w:val="24"/>
          <w:highlight w:val="none"/>
          <w:lang w:eastAsia="zh-CN"/>
        </w:rPr>
        <w:t>（3）综合得分</w:t>
      </w:r>
      <w:bookmarkEnd w:id="121"/>
      <w:bookmarkEnd w:id="122"/>
      <w:bookmarkEnd w:id="123"/>
      <w:bookmarkEnd w:id="124"/>
    </w:p>
    <w:p w14:paraId="1249D688">
      <w:pPr>
        <w:spacing w:before="153" w:line="360" w:lineRule="auto"/>
        <w:ind w:left="49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综合得分换算为百分制，满分</w:t>
      </w:r>
      <w:r>
        <w:rPr>
          <w:rFonts w:hint="eastAsia" w:ascii="宋体" w:hAnsi="宋体" w:eastAsia="宋体" w:cs="宋体"/>
          <w:color w:val="auto"/>
          <w:spacing w:val="-26"/>
          <w:sz w:val="24"/>
          <w:szCs w:val="24"/>
          <w:highlight w:val="none"/>
        </w:rPr>
        <w:t xml:space="preserve"> </w:t>
      </w:r>
      <w:r>
        <w:rPr>
          <w:rFonts w:hint="eastAsia" w:ascii="宋体" w:hAnsi="宋体" w:eastAsia="宋体" w:cs="宋体"/>
          <w:color w:val="auto"/>
          <w:spacing w:val="-2"/>
          <w:sz w:val="24"/>
          <w:szCs w:val="24"/>
          <w:highlight w:val="none"/>
        </w:rPr>
        <w:t>100 分，公式如下：</w:t>
      </w:r>
    </w:p>
    <w:p w14:paraId="08A23B7A">
      <w:pPr>
        <w:spacing w:before="155" w:line="360" w:lineRule="auto"/>
        <w:ind w:left="496" w:right="532" w:hanging="33"/>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综合得分＝M÷商务技术合计满分×100</w:t>
      </w:r>
      <w:r>
        <w:rPr>
          <w:rFonts w:hint="eastAsia" w:ascii="宋体" w:hAnsi="宋体" w:eastAsia="宋体" w:cs="宋体"/>
          <w:color w:val="auto"/>
          <w:spacing w:val="-1"/>
          <w:sz w:val="24"/>
          <w:szCs w:val="24"/>
          <w:highlight w:val="none"/>
        </w:rPr>
        <w:t xml:space="preserve">×商务技术权重＋N×投标报价权重式中：M </w:t>
      </w:r>
      <w:r>
        <w:rPr>
          <w:rFonts w:hint="eastAsia" w:ascii="宋体" w:hAnsi="宋体" w:eastAsia="宋体" w:cs="宋体"/>
          <w:color w:val="auto"/>
          <w:sz w:val="24"/>
          <w:szCs w:val="24"/>
          <w:highlight w:val="none"/>
        </w:rPr>
        <w:t>为商务技术得分，N 为投标报价得分。</w:t>
      </w:r>
    </w:p>
    <w:p w14:paraId="7F055B59">
      <w:pPr>
        <w:spacing w:line="360" w:lineRule="auto"/>
        <w:ind w:firstLine="480" w:firstLineChars="200"/>
        <w:rPr>
          <w:rFonts w:hint="eastAsia" w:ascii="宋体" w:hAnsi="宋体" w:eastAsia="宋体" w:cs="宋体"/>
          <w:sz w:val="24"/>
          <w:szCs w:val="24"/>
        </w:rPr>
      </w:pPr>
      <w:bookmarkStart w:id="125" w:name="_Toc25214"/>
      <w:bookmarkStart w:id="126" w:name="_Toc16789"/>
      <w:bookmarkStart w:id="127" w:name="_Toc30671"/>
      <w:bookmarkStart w:id="128" w:name="_Toc2885"/>
      <w:r>
        <w:rPr>
          <w:rFonts w:hint="eastAsia" w:ascii="宋体" w:hAnsi="宋体" w:eastAsia="宋体" w:cs="宋体"/>
          <w:sz w:val="24"/>
          <w:szCs w:val="24"/>
        </w:rPr>
        <w:t>（4）评标委员会汇总、比较所有投标人的综合得分后，取综合得分最高的投标</w:t>
      </w:r>
      <w:bookmarkEnd w:id="125"/>
      <w:bookmarkEnd w:id="126"/>
      <w:bookmarkEnd w:id="127"/>
      <w:bookmarkEnd w:id="128"/>
      <w:r>
        <w:rPr>
          <w:rFonts w:hint="eastAsia" w:ascii="宋体" w:hAnsi="宋体" w:eastAsia="宋体" w:cs="宋体"/>
          <w:sz w:val="24"/>
          <w:szCs w:val="24"/>
        </w:rPr>
        <w:t>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p w14:paraId="7B2696B7">
      <w:pPr>
        <w:rPr>
          <w:rFonts w:hint="eastAsia" w:ascii="宋体" w:hAnsi="宋体" w:eastAsia="宋体" w:cs="宋体"/>
        </w:rPr>
      </w:pPr>
    </w:p>
    <w:p w14:paraId="2DDFF6F0">
      <w:pPr>
        <w:rPr>
          <w:rFonts w:hint="eastAsia" w:ascii="宋体" w:hAnsi="宋体" w:eastAsia="宋体" w:cs="宋体"/>
        </w:rPr>
      </w:pPr>
    </w:p>
    <w:p w14:paraId="3F251AEE">
      <w:pPr>
        <w:rPr>
          <w:rFonts w:hint="eastAsia" w:ascii="宋体" w:hAnsi="宋体" w:eastAsia="宋体" w:cs="宋体"/>
        </w:rPr>
      </w:pPr>
    </w:p>
    <w:p w14:paraId="24B071AD">
      <w:pPr>
        <w:rPr>
          <w:rFonts w:hint="eastAsia" w:ascii="宋体" w:hAnsi="宋体" w:eastAsia="宋体" w:cs="宋体"/>
        </w:rPr>
      </w:pPr>
    </w:p>
    <w:p w14:paraId="5C5F14BB">
      <w:pPr>
        <w:rPr>
          <w:rFonts w:hint="eastAsia" w:ascii="宋体" w:hAnsi="宋体" w:eastAsia="宋体" w:cs="宋体"/>
        </w:rPr>
      </w:pPr>
    </w:p>
    <w:p w14:paraId="28D6ABEB">
      <w:pPr>
        <w:rPr>
          <w:rFonts w:hint="eastAsia" w:ascii="宋体" w:hAnsi="宋体" w:eastAsia="宋体" w:cs="宋体"/>
        </w:rPr>
      </w:pPr>
    </w:p>
    <w:p w14:paraId="47C0F882">
      <w:pPr>
        <w:rPr>
          <w:rFonts w:hint="eastAsia" w:ascii="宋体" w:hAnsi="宋体" w:eastAsia="宋体" w:cs="宋体"/>
        </w:rPr>
      </w:pPr>
    </w:p>
    <w:p w14:paraId="6710EB83">
      <w:pPr>
        <w:rPr>
          <w:rFonts w:hint="eastAsia" w:ascii="宋体" w:hAnsi="宋体" w:eastAsia="宋体" w:cs="宋体"/>
        </w:rPr>
      </w:pPr>
    </w:p>
    <w:p w14:paraId="7D0F7DDC">
      <w:pPr>
        <w:rPr>
          <w:rFonts w:hint="eastAsia" w:ascii="宋体" w:hAnsi="宋体" w:eastAsia="宋体" w:cs="宋体"/>
        </w:rPr>
      </w:pPr>
    </w:p>
    <w:p w14:paraId="02693387">
      <w:pPr>
        <w:rPr>
          <w:rFonts w:hint="eastAsia" w:ascii="宋体" w:hAnsi="宋体" w:eastAsia="宋体" w:cs="宋体"/>
        </w:rPr>
      </w:pPr>
    </w:p>
    <w:p w14:paraId="19E281BA">
      <w:pPr>
        <w:rPr>
          <w:rFonts w:hint="eastAsia" w:ascii="宋体" w:hAnsi="宋体" w:eastAsia="宋体" w:cs="宋体"/>
        </w:rPr>
      </w:pPr>
    </w:p>
    <w:p w14:paraId="02FE3D1C">
      <w:pPr>
        <w:rPr>
          <w:rFonts w:hint="eastAsia" w:ascii="宋体" w:hAnsi="宋体" w:eastAsia="宋体" w:cs="宋体"/>
        </w:rPr>
      </w:pPr>
    </w:p>
    <w:p w14:paraId="4FFAC1F8">
      <w:pPr>
        <w:rPr>
          <w:rFonts w:hint="eastAsia" w:ascii="宋体" w:hAnsi="宋体" w:eastAsia="宋体" w:cs="宋体"/>
        </w:rPr>
      </w:pPr>
    </w:p>
    <w:p w14:paraId="4FE20EB0">
      <w:pPr>
        <w:rPr>
          <w:rFonts w:hint="eastAsia" w:ascii="宋体" w:hAnsi="宋体" w:eastAsia="宋体" w:cs="宋体"/>
        </w:rPr>
      </w:pPr>
    </w:p>
    <w:p w14:paraId="0C3033A6">
      <w:pPr>
        <w:rPr>
          <w:rFonts w:hint="eastAsia" w:ascii="宋体" w:hAnsi="宋体" w:eastAsia="宋体" w:cs="宋体"/>
        </w:rPr>
      </w:pPr>
    </w:p>
    <w:p w14:paraId="3CB730AD">
      <w:pPr>
        <w:rPr>
          <w:rFonts w:hint="eastAsia" w:ascii="宋体" w:hAnsi="宋体" w:eastAsia="宋体" w:cs="宋体"/>
        </w:rPr>
      </w:pPr>
    </w:p>
    <w:p w14:paraId="083C9085">
      <w:pPr>
        <w:rPr>
          <w:rFonts w:hint="eastAsia" w:ascii="宋体" w:hAnsi="宋体" w:eastAsia="宋体" w:cs="宋体"/>
        </w:rPr>
      </w:pPr>
    </w:p>
    <w:p w14:paraId="57CFBC69">
      <w:pPr>
        <w:rPr>
          <w:rFonts w:hint="eastAsia" w:ascii="宋体" w:hAnsi="宋体" w:eastAsia="宋体" w:cs="宋体"/>
        </w:rPr>
      </w:pPr>
    </w:p>
    <w:p w14:paraId="6500CD87">
      <w:pPr>
        <w:rPr>
          <w:rFonts w:hint="eastAsia" w:ascii="宋体" w:hAnsi="宋体" w:eastAsia="宋体" w:cs="宋体"/>
        </w:rPr>
      </w:pPr>
    </w:p>
    <w:p w14:paraId="0209616B">
      <w:pPr>
        <w:rPr>
          <w:rFonts w:hint="eastAsia" w:ascii="宋体" w:hAnsi="宋体" w:eastAsia="宋体" w:cs="宋体"/>
        </w:rPr>
      </w:pPr>
    </w:p>
    <w:p w14:paraId="26FEE077">
      <w:pPr>
        <w:spacing w:before="152" w:line="360" w:lineRule="auto"/>
        <w:ind w:left="14" w:right="81" w:firstLine="476"/>
        <w:jc w:val="center"/>
        <w:rPr>
          <w:rFonts w:hint="eastAsia" w:ascii="宋体" w:hAnsi="宋体" w:eastAsia="宋体" w:cs="宋体"/>
          <w:b/>
          <w:bCs/>
          <w:color w:val="auto"/>
          <w:spacing w:val="-1"/>
          <w:sz w:val="28"/>
          <w:szCs w:val="28"/>
          <w:highlight w:val="none"/>
        </w:rPr>
      </w:pPr>
      <w:bookmarkStart w:id="129" w:name="_Toc17375"/>
      <w:bookmarkStart w:id="130" w:name="_Toc16801"/>
      <w:bookmarkStart w:id="131" w:name="_Toc3020"/>
      <w:bookmarkStart w:id="132" w:name="_Toc3839"/>
      <w:r>
        <w:rPr>
          <w:rFonts w:hint="eastAsia" w:ascii="宋体" w:hAnsi="宋体" w:eastAsia="宋体" w:cs="宋体"/>
          <w:b/>
          <w:bCs/>
          <w:color w:val="auto"/>
          <w:spacing w:val="-1"/>
          <w:sz w:val="28"/>
          <w:szCs w:val="28"/>
          <w:highlight w:val="none"/>
        </w:rPr>
        <w:t>综合评分表</w:t>
      </w:r>
      <w:bookmarkEnd w:id="129"/>
      <w:bookmarkEnd w:id="130"/>
      <w:bookmarkEnd w:id="131"/>
      <w:bookmarkEnd w:id="132"/>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3933"/>
        <w:gridCol w:w="4707"/>
      </w:tblGrid>
      <w:tr w14:paraId="2EAD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3"/>
          </w:tcPr>
          <w:p w14:paraId="527DB60E">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商务部分，满分：80分。</w:t>
            </w:r>
          </w:p>
        </w:tc>
      </w:tr>
      <w:tr w14:paraId="5F767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16E3991F">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评分因素</w:t>
            </w:r>
          </w:p>
        </w:tc>
        <w:tc>
          <w:tcPr>
            <w:tcW w:w="3933" w:type="dxa"/>
            <w:vAlign w:val="center"/>
          </w:tcPr>
          <w:p w14:paraId="11F87719">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评分标准</w:t>
            </w:r>
          </w:p>
        </w:tc>
        <w:tc>
          <w:tcPr>
            <w:tcW w:w="4707" w:type="dxa"/>
            <w:vAlign w:val="center"/>
          </w:tcPr>
          <w:p w14:paraId="51D2098D">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备注</w:t>
            </w:r>
          </w:p>
        </w:tc>
      </w:tr>
      <w:tr w14:paraId="44968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1836D927">
            <w:pPr>
              <w:widowControl w:val="0"/>
              <w:spacing w:line="360" w:lineRule="auto"/>
              <w:jc w:val="both"/>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企业奖项</w:t>
            </w:r>
          </w:p>
          <w:p w14:paraId="3C376B04">
            <w:pPr>
              <w:widowControl w:val="0"/>
              <w:spacing w:line="360" w:lineRule="auto"/>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w:t>
            </w:r>
            <w:r>
              <w:rPr>
                <w:rFonts w:hint="eastAsia" w:ascii="宋体" w:hAnsi="宋体" w:eastAsia="宋体" w:cs="宋体"/>
                <w:color w:val="auto"/>
                <w:sz w:val="24"/>
                <w:szCs w:val="24"/>
                <w:lang w:eastAsia="zh-CN"/>
              </w:rPr>
              <w:t>）</w:t>
            </w:r>
          </w:p>
        </w:tc>
        <w:tc>
          <w:tcPr>
            <w:tcW w:w="3933" w:type="dxa"/>
            <w:shd w:val="clear" w:color="auto" w:fill="auto"/>
            <w:vAlign w:val="center"/>
          </w:tcPr>
          <w:p w14:paraId="433A77DB">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企业近5年来（2020年1月1日至今）获得市政工程类奖项情况：</w:t>
            </w:r>
          </w:p>
          <w:p w14:paraId="17B9B45B">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1.获得国家级奖项的，每个得8分。</w:t>
            </w:r>
          </w:p>
          <w:p w14:paraId="78D1A0ED">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2.获得省级奖项的，每个得4分。</w:t>
            </w:r>
          </w:p>
          <w:p w14:paraId="737DD597">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3.获得地市级奖项的，每个得2分。</w:t>
            </w:r>
          </w:p>
          <w:p w14:paraId="21AED2B6">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4.以上奖项均未获得的，不予计分。</w:t>
            </w:r>
          </w:p>
          <w:p w14:paraId="67796AA4">
            <w:pPr>
              <w:widowControl w:val="0"/>
              <w:spacing w:line="360" w:lineRule="auto"/>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5.本项最高得10分。</w:t>
            </w:r>
          </w:p>
        </w:tc>
        <w:tc>
          <w:tcPr>
            <w:tcW w:w="4707" w:type="dxa"/>
            <w:shd w:val="clear" w:color="auto" w:fill="auto"/>
            <w:vAlign w:val="center"/>
          </w:tcPr>
          <w:p w14:paraId="65373726">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1.允许投标人提交多个业绩，但同一业绩只按最高级别奖项计分一次。</w:t>
            </w:r>
          </w:p>
          <w:p w14:paraId="597BB599">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2.需附有关奖项证明彩色扫描件，同时提供原件供核对。（奖项如电子证书的除外）</w:t>
            </w:r>
          </w:p>
          <w:p w14:paraId="047D1F8E">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3.颁发机构限定以下范围：</w:t>
            </w:r>
          </w:p>
          <w:p w14:paraId="46344227">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①国家级奖项：国务院、住建部、中国市政行业协会；（相关协会需经民政部门备案）</w:t>
            </w:r>
          </w:p>
          <w:p w14:paraId="03AD4BD1">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②省级奖项：省级人民政府、省级住建部门、省级市政行业协会；（相关协会需经民政部门备案）</w:t>
            </w:r>
          </w:p>
          <w:p w14:paraId="4E298511">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③地市级奖项：地市级人民政府、地市级住建部门、地市级市政行业协会。（相关协会需经民政部门备案）</w:t>
            </w:r>
          </w:p>
          <w:p w14:paraId="0BE9416D">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4.获奖时间以奖项证明的落款日期为准。</w:t>
            </w:r>
          </w:p>
          <w:p w14:paraId="77C88FFF">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5.任一奖项有以下情形之一的，该奖项视为无效，不予计分：</w:t>
            </w:r>
          </w:p>
          <w:p w14:paraId="2C09F7EC">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①未提供奖项原件的；</w:t>
            </w:r>
          </w:p>
          <w:p w14:paraId="45D45965">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②奖项不属于指定类别的；</w:t>
            </w:r>
          </w:p>
          <w:p w14:paraId="377F873B">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③颁发机构不符合要求的；</w:t>
            </w:r>
          </w:p>
          <w:p w14:paraId="11CD1A4F">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④获奖时间不符合要求的。</w:t>
            </w:r>
          </w:p>
          <w:p w14:paraId="36FF3CC4">
            <w:pPr>
              <w:widowControl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lang w:val="en-US" w:eastAsia="zh-CN"/>
              </w:rPr>
              <w:t>说明：以上所称“要求”均指本表评分标准及备注的要求，下同。</w:t>
            </w:r>
          </w:p>
        </w:tc>
      </w:tr>
      <w:tr w14:paraId="44932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02785F37">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项目经理</w:t>
            </w:r>
          </w:p>
          <w:p w14:paraId="66F66FDE">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综合素质</w:t>
            </w:r>
          </w:p>
          <w:p w14:paraId="71FAB952">
            <w:pPr>
              <w:widowControl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10</w:t>
            </w:r>
            <w:r>
              <w:rPr>
                <w:rFonts w:hint="eastAsia" w:ascii="宋体" w:hAnsi="宋体" w:eastAsia="宋体" w:cs="宋体"/>
                <w:color w:val="auto"/>
                <w:sz w:val="24"/>
                <w:szCs w:val="24"/>
              </w:rPr>
              <w:t>分）</w:t>
            </w:r>
          </w:p>
        </w:tc>
        <w:tc>
          <w:tcPr>
            <w:tcW w:w="3933" w:type="dxa"/>
            <w:shd w:val="clear" w:color="auto" w:fill="auto"/>
            <w:vAlign w:val="center"/>
          </w:tcPr>
          <w:p w14:paraId="754ABD65">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项目经理工程类技术职称情况：</w:t>
            </w:r>
          </w:p>
          <w:p w14:paraId="0F6F231E">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1.具备工程师或以上职称的，得10分。</w:t>
            </w:r>
          </w:p>
          <w:p w14:paraId="146BA5D6">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2.具备助理工程师职称的，得5分。</w:t>
            </w:r>
          </w:p>
          <w:p w14:paraId="52D82C0D">
            <w:pPr>
              <w:widowControl w:val="0"/>
              <w:spacing w:line="360" w:lineRule="auto"/>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lang w:val="en-US" w:eastAsia="zh-CN"/>
              </w:rPr>
              <w:t>3.不具备以上职称的，或未提供职称证原件的，不予计分。</w:t>
            </w:r>
          </w:p>
        </w:tc>
        <w:tc>
          <w:tcPr>
            <w:tcW w:w="4707" w:type="dxa"/>
            <w:shd w:val="clear" w:color="auto" w:fill="auto"/>
            <w:vAlign w:val="center"/>
          </w:tcPr>
          <w:p w14:paraId="75217141">
            <w:pPr>
              <w:widowControl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lang w:val="en-US" w:eastAsia="zh-CN"/>
              </w:rPr>
              <w:t>需附职称证复印件（具备职称评审公告网址可查条件的，需提供职称评审公告网址与打印件），一经发生职称相关异议时需提供原件供核对（职称证为电子证书打印件的除外）。</w:t>
            </w:r>
          </w:p>
        </w:tc>
      </w:tr>
      <w:tr w14:paraId="4CFB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0832B366">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企业业绩</w:t>
            </w:r>
          </w:p>
          <w:p w14:paraId="44F7A3E0">
            <w:pPr>
              <w:widowControl w:val="0"/>
              <w:spacing w:line="360" w:lineRule="auto"/>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（10分）</w:t>
            </w:r>
          </w:p>
        </w:tc>
        <w:tc>
          <w:tcPr>
            <w:tcW w:w="3933" w:type="dxa"/>
            <w:shd w:val="clear" w:color="auto" w:fill="auto"/>
            <w:vAlign w:val="center"/>
          </w:tcPr>
          <w:p w14:paraId="6D7ED99C">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企业近5年来（</w:t>
            </w:r>
            <w:r>
              <w:rPr>
                <w:rFonts w:hint="eastAsia" w:ascii="宋体" w:hAnsi="宋体" w:eastAsia="宋体" w:cs="宋体"/>
                <w:color w:val="auto"/>
                <w:sz w:val="24"/>
                <w:szCs w:val="24"/>
                <w:lang w:val="en-US" w:eastAsia="zh-CN"/>
              </w:rPr>
              <w:t>2020</w:t>
            </w:r>
            <w:r>
              <w:rPr>
                <w:rFonts w:hint="eastAsia" w:ascii="宋体" w:hAnsi="宋体" w:eastAsia="宋体" w:cs="宋体"/>
                <w:color w:val="auto"/>
                <w:sz w:val="24"/>
                <w:szCs w:val="24"/>
              </w:rPr>
              <w:t>年1月</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日至</w:t>
            </w:r>
            <w:r>
              <w:rPr>
                <w:rFonts w:hint="eastAsia" w:ascii="宋体" w:hAnsi="宋体" w:eastAsia="宋体" w:cs="宋体"/>
                <w:color w:val="auto"/>
                <w:sz w:val="24"/>
                <w:szCs w:val="24"/>
                <w:lang w:val="en-US" w:eastAsia="zh-CN"/>
              </w:rPr>
              <w:t>今</w:t>
            </w:r>
            <w:r>
              <w:rPr>
                <w:rFonts w:hint="eastAsia" w:ascii="宋体" w:hAnsi="宋体" w:eastAsia="宋体" w:cs="宋体"/>
                <w:color w:val="auto"/>
                <w:sz w:val="24"/>
                <w:szCs w:val="24"/>
              </w:rPr>
              <w:t>）业绩情况：</w:t>
            </w:r>
          </w:p>
          <w:p w14:paraId="43E9A573">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rPr>
              <w:t>承接过类似工程的，每个得5分。</w:t>
            </w:r>
          </w:p>
          <w:p w14:paraId="0410E7B2">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2.未承接过类似工程的，不予计分。</w:t>
            </w:r>
          </w:p>
          <w:p w14:paraId="6027FEDF">
            <w:pPr>
              <w:widowControl w:val="0"/>
              <w:spacing w:line="360" w:lineRule="auto"/>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rPr>
              <w:t>3.本项最高得10分。</w:t>
            </w:r>
          </w:p>
        </w:tc>
        <w:tc>
          <w:tcPr>
            <w:tcW w:w="4707" w:type="dxa"/>
            <w:shd w:val="clear" w:color="auto" w:fill="auto"/>
            <w:vAlign w:val="center"/>
          </w:tcPr>
          <w:p w14:paraId="04A2226D">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1.类似工程指：</w:t>
            </w:r>
            <w:r>
              <w:rPr>
                <w:rFonts w:hint="eastAsia" w:ascii="宋体" w:hAnsi="宋体" w:eastAsia="宋体" w:cs="宋体"/>
                <w:color w:val="auto"/>
                <w:sz w:val="24"/>
                <w:szCs w:val="24"/>
                <w:lang w:eastAsia="zh-CN"/>
              </w:rPr>
              <w:t>单项</w:t>
            </w:r>
            <w:r>
              <w:rPr>
                <w:rFonts w:hint="eastAsia" w:ascii="宋体" w:hAnsi="宋体" w:eastAsia="宋体" w:cs="宋体"/>
                <w:color w:val="auto"/>
                <w:sz w:val="24"/>
                <w:szCs w:val="24"/>
              </w:rPr>
              <w:t>合同金额≥</w:t>
            </w:r>
            <w:r>
              <w:rPr>
                <w:rFonts w:hint="eastAsia" w:ascii="宋体" w:hAnsi="宋体" w:eastAsia="宋体" w:cs="宋体"/>
                <w:color w:val="auto"/>
                <w:sz w:val="24"/>
                <w:szCs w:val="24"/>
                <w:lang w:val="en-US" w:eastAsia="zh-CN"/>
              </w:rPr>
              <w:t>2000</w:t>
            </w:r>
            <w:r>
              <w:rPr>
                <w:rFonts w:hint="eastAsia" w:ascii="宋体" w:hAnsi="宋体" w:eastAsia="宋体" w:cs="宋体"/>
                <w:color w:val="auto"/>
                <w:sz w:val="24"/>
                <w:szCs w:val="24"/>
              </w:rPr>
              <w:t>万元的</w:t>
            </w:r>
            <w:r>
              <w:rPr>
                <w:rFonts w:hint="eastAsia" w:ascii="宋体" w:hAnsi="宋体" w:eastAsia="宋体" w:cs="宋体"/>
                <w:color w:val="auto"/>
                <w:sz w:val="24"/>
                <w:szCs w:val="24"/>
                <w:lang w:eastAsia="zh-CN"/>
              </w:rPr>
              <w:t>市政类</w:t>
            </w:r>
            <w:r>
              <w:rPr>
                <w:rFonts w:hint="eastAsia" w:ascii="宋体" w:hAnsi="宋体" w:eastAsia="宋体" w:cs="宋体"/>
                <w:color w:val="auto"/>
                <w:sz w:val="24"/>
                <w:szCs w:val="24"/>
              </w:rPr>
              <w:t>工程。</w:t>
            </w:r>
          </w:p>
          <w:p w14:paraId="296A30CC">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2.</w:t>
            </w:r>
            <w:r>
              <w:rPr>
                <w:rFonts w:hint="eastAsia" w:ascii="宋体" w:hAnsi="宋体" w:eastAsia="宋体" w:cs="宋体"/>
                <w:color w:val="auto"/>
                <w:sz w:val="24"/>
                <w:szCs w:val="24"/>
                <w:lang w:val="en-US" w:eastAsia="zh-CN"/>
              </w:rPr>
              <w:t>需附有关业绩（仅限于以施工总承包单位/专业承包单位身份参建的项目）合同协议书彩色扫描件，同时提供原件供核对。</w:t>
            </w:r>
          </w:p>
          <w:p w14:paraId="3DD987BE">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.业绩时间以合同协议书日期为准。</w:t>
            </w:r>
          </w:p>
          <w:p w14:paraId="58394350">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4</w:t>
            </w:r>
            <w:r>
              <w:rPr>
                <w:rFonts w:hint="eastAsia" w:ascii="宋体" w:hAnsi="宋体" w:eastAsia="宋体" w:cs="宋体"/>
                <w:color w:val="auto"/>
                <w:sz w:val="24"/>
                <w:szCs w:val="24"/>
              </w:rPr>
              <w:t>.任一业绩有以下情形之一的，该业绩视为无效，不予计分：</w:t>
            </w:r>
          </w:p>
          <w:p w14:paraId="6B5BD4DF">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①未提供业绩证明材料原件的；</w:t>
            </w:r>
          </w:p>
          <w:p w14:paraId="631CBFC4">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②业绩不属于类似工程的；</w:t>
            </w:r>
          </w:p>
          <w:p w14:paraId="2B64CD8C">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③不是以指定身份参建的；</w:t>
            </w:r>
          </w:p>
          <w:p w14:paraId="6FAEE4FF">
            <w:pPr>
              <w:widowControl w:val="0"/>
              <w:spacing w:line="360" w:lineRule="auto"/>
              <w:jc w:val="both"/>
              <w:rPr>
                <w:rFonts w:hint="eastAsia" w:ascii="宋体" w:hAnsi="宋体" w:eastAsia="宋体" w:cs="宋体"/>
                <w:i/>
                <w:iCs/>
                <w:snapToGrid w:val="0"/>
                <w:color w:val="auto"/>
                <w:kern w:val="0"/>
                <w:sz w:val="24"/>
                <w:szCs w:val="24"/>
                <w:highlight w:val="none"/>
                <w:lang w:val="en-US" w:eastAsia="zh-CN" w:bidi="ar-SA"/>
              </w:rPr>
            </w:pPr>
            <w:r>
              <w:rPr>
                <w:rFonts w:hint="eastAsia" w:ascii="宋体" w:hAnsi="宋体" w:eastAsia="宋体" w:cs="宋体"/>
                <w:color w:val="auto"/>
                <w:sz w:val="24"/>
                <w:szCs w:val="24"/>
              </w:rPr>
              <w:t>④业绩时间不符合要求的。</w:t>
            </w:r>
          </w:p>
        </w:tc>
      </w:tr>
      <w:tr w14:paraId="27287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0D0C1D1A">
            <w:pPr>
              <w:widowControl w:val="0"/>
              <w:spacing w:line="360" w:lineRule="auto"/>
              <w:jc w:val="both"/>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企业银行资信评级</w:t>
            </w:r>
          </w:p>
          <w:p w14:paraId="26991B82">
            <w:pPr>
              <w:widowControl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lang w:val="en-US" w:eastAsia="zh-CN"/>
              </w:rPr>
              <w:t>(5分）</w:t>
            </w:r>
          </w:p>
        </w:tc>
        <w:tc>
          <w:tcPr>
            <w:tcW w:w="3933" w:type="dxa"/>
            <w:shd w:val="clear" w:color="auto" w:fill="auto"/>
            <w:vAlign w:val="center"/>
          </w:tcPr>
          <w:p w14:paraId="3037F25E">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1.银行资信评级AAA的，得5分；</w:t>
            </w:r>
          </w:p>
          <w:p w14:paraId="3E4EC4F3">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2.银行资信评级AA（含AA＋、AA－）的，得3分。</w:t>
            </w:r>
          </w:p>
          <w:p w14:paraId="65BB7B2E">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3.银行资信评级A（含A＋、A－）的，得1分。</w:t>
            </w:r>
          </w:p>
          <w:p w14:paraId="1D6870E3">
            <w:pPr>
              <w:widowControl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rPr>
              <w:t>4.未获得过以上评级的，或评级证书无效的，不予计分。</w:t>
            </w:r>
          </w:p>
        </w:tc>
        <w:tc>
          <w:tcPr>
            <w:tcW w:w="4707" w:type="dxa"/>
            <w:shd w:val="clear" w:color="auto" w:fill="auto"/>
            <w:vAlign w:val="center"/>
          </w:tcPr>
          <w:p w14:paraId="3009909B">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1.需附在有效期内的资信评级证书（证明）彩色扫描件，同时提供原件供核对。</w:t>
            </w:r>
          </w:p>
          <w:p w14:paraId="2F4498C5">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2.评级证书（证明）须由企业基本账户开户银行机构出具。</w:t>
            </w:r>
          </w:p>
          <w:p w14:paraId="2252F66F">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3.评级证书（证明）有以下情形之一的，视为无效：</w:t>
            </w:r>
          </w:p>
          <w:p w14:paraId="446D2C32">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①未提供评级证书（证明）原件的；</w:t>
            </w:r>
          </w:p>
          <w:p w14:paraId="10B823F8">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②评级证书（证明）不在有效期内的；</w:t>
            </w:r>
          </w:p>
          <w:p w14:paraId="505C6E66">
            <w:pPr>
              <w:widowControl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lang w:val="en-US" w:eastAsia="zh-CN"/>
              </w:rPr>
              <w:t>③出具机构不符合要求的。</w:t>
            </w:r>
          </w:p>
        </w:tc>
      </w:tr>
      <w:tr w14:paraId="38EA2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2954DE7F">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企业管理</w:t>
            </w:r>
          </w:p>
          <w:p w14:paraId="34C41CA2">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体系认证</w:t>
            </w:r>
          </w:p>
          <w:p w14:paraId="0B90D8B4">
            <w:pPr>
              <w:widowControl w:val="0"/>
              <w:spacing w:line="360" w:lineRule="auto"/>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rPr>
              <w:t>（6分）</w:t>
            </w:r>
          </w:p>
        </w:tc>
        <w:tc>
          <w:tcPr>
            <w:tcW w:w="3933" w:type="dxa"/>
            <w:shd w:val="clear" w:color="auto" w:fill="auto"/>
            <w:vAlign w:val="center"/>
          </w:tcPr>
          <w:p w14:paraId="3711F420">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1.质量管理体系认证、职业健康安全管理体系认证、环境管理体系认证中，每获得1项认证得2分，最高得6分。</w:t>
            </w:r>
          </w:p>
          <w:p w14:paraId="2D963B7B">
            <w:pPr>
              <w:widowControl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lang w:val="en-US" w:eastAsia="zh-CN"/>
              </w:rPr>
              <w:t>2.未获得以上认证的，不予计分。</w:t>
            </w:r>
          </w:p>
        </w:tc>
        <w:tc>
          <w:tcPr>
            <w:tcW w:w="4707" w:type="dxa"/>
            <w:shd w:val="clear" w:color="auto" w:fill="auto"/>
            <w:vAlign w:val="center"/>
          </w:tcPr>
          <w:p w14:paraId="778AFC10">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1.需附在有效期内的认证证书彩色扫描件，同时提供原件供核对（证书为电子证书的除外）。</w:t>
            </w:r>
          </w:p>
          <w:p w14:paraId="5CCBE800">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2.任一认证证书有以下情形之一的，该认证证书视为无效，不予计分：</w:t>
            </w:r>
          </w:p>
          <w:p w14:paraId="5FD9BC9D">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①未提供认证证书原件的；</w:t>
            </w:r>
          </w:p>
          <w:p w14:paraId="2DA527F0">
            <w:pPr>
              <w:widowControl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lang w:val="en-US" w:eastAsia="zh-CN"/>
              </w:rPr>
              <w:t>②认证证书不在有效期内的。</w:t>
            </w:r>
          </w:p>
        </w:tc>
      </w:tr>
      <w:tr w14:paraId="6E693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30F81C8A">
            <w:pPr>
              <w:widowControl w:val="0"/>
              <w:spacing w:line="36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企业财务状况</w:t>
            </w:r>
          </w:p>
          <w:p w14:paraId="773CDB44">
            <w:pPr>
              <w:widowControl w:val="0"/>
              <w:spacing w:line="360" w:lineRule="auto"/>
              <w:jc w:val="center"/>
              <w:rPr>
                <w:rFonts w:hint="eastAsia" w:ascii="宋体" w:hAnsi="宋体" w:eastAsia="宋体" w:cs="宋体"/>
                <w:b w:val="0"/>
                <w:bCs w:val="0"/>
                <w:caps w:val="0"/>
                <w:smallCaps w:val="0"/>
                <w:snapToGrid w:val="0"/>
                <w:color w:val="auto"/>
                <w:spacing w:val="0"/>
                <w:kern w:val="0"/>
                <w:sz w:val="24"/>
                <w:szCs w:val="24"/>
                <w:highlight w:val="none"/>
                <w:lang w:val="en-US" w:eastAsia="zh-CN" w:bidi="ar"/>
              </w:rPr>
            </w:pPr>
            <w:r>
              <w:rPr>
                <w:rFonts w:hint="eastAsia" w:ascii="宋体" w:hAnsi="宋体" w:eastAsia="宋体" w:cs="宋体"/>
                <w:color w:val="auto"/>
                <w:sz w:val="24"/>
                <w:szCs w:val="24"/>
              </w:rPr>
              <w:t>（9分）</w:t>
            </w:r>
          </w:p>
        </w:tc>
        <w:tc>
          <w:tcPr>
            <w:tcW w:w="3933" w:type="dxa"/>
            <w:shd w:val="clear" w:color="auto" w:fill="auto"/>
            <w:vAlign w:val="center"/>
          </w:tcPr>
          <w:p w14:paraId="0AB82899">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1.提供不少于</w:t>
            </w:r>
            <w:r>
              <w:rPr>
                <w:rFonts w:hint="eastAsia" w:ascii="宋体" w:hAnsi="宋体" w:eastAsia="宋体" w:cs="宋体"/>
                <w:color w:val="auto"/>
                <w:sz w:val="24"/>
                <w:szCs w:val="24"/>
                <w:lang w:val="en-US" w:eastAsia="zh-CN"/>
              </w:rPr>
              <w:t>300</w:t>
            </w:r>
            <w:r>
              <w:rPr>
                <w:rFonts w:hint="eastAsia" w:ascii="宋体" w:hAnsi="宋体" w:eastAsia="宋体" w:cs="宋体"/>
                <w:color w:val="auto"/>
                <w:sz w:val="24"/>
                <w:szCs w:val="24"/>
              </w:rPr>
              <w:t>万元银行授信证明的，得4分。</w:t>
            </w:r>
          </w:p>
          <w:p w14:paraId="5BD7B9DE">
            <w:pPr>
              <w:widowControl w:val="0"/>
              <w:spacing w:line="360" w:lineRule="auto"/>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rPr>
              <w:t>2.提供投标人基本账户在本项目招标公告发布之日起至投标截止时间期间出现过至少连续3日不少于</w:t>
            </w:r>
            <w:r>
              <w:rPr>
                <w:rFonts w:hint="eastAsia" w:ascii="宋体" w:hAnsi="宋体" w:eastAsia="宋体" w:cs="宋体"/>
                <w:color w:val="auto"/>
                <w:sz w:val="24"/>
                <w:szCs w:val="24"/>
                <w:lang w:val="en-US" w:eastAsia="zh-CN"/>
              </w:rPr>
              <w:t>300</w:t>
            </w:r>
            <w:r>
              <w:rPr>
                <w:rFonts w:hint="eastAsia" w:ascii="宋体" w:hAnsi="宋体" w:eastAsia="宋体" w:cs="宋体"/>
                <w:color w:val="auto"/>
                <w:sz w:val="24"/>
                <w:szCs w:val="24"/>
              </w:rPr>
              <w:t>万元存款余额资金流水证明的，得5分。</w:t>
            </w:r>
          </w:p>
        </w:tc>
        <w:tc>
          <w:tcPr>
            <w:tcW w:w="4707" w:type="dxa"/>
            <w:shd w:val="clear" w:color="auto" w:fill="auto"/>
            <w:vAlign w:val="center"/>
          </w:tcPr>
          <w:p w14:paraId="282FE928">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1.需附在有效期内的有关证明电子扫描件。</w:t>
            </w:r>
          </w:p>
          <w:p w14:paraId="72C183A2">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2.银行授信证明有以下情形之一的，视为无效，不予计分：</w:t>
            </w:r>
          </w:p>
          <w:p w14:paraId="5040DDC2">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①授信证明不在有效期内的；</w:t>
            </w:r>
          </w:p>
          <w:p w14:paraId="3BA91878">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②授信额度不符合要求的；</w:t>
            </w:r>
          </w:p>
          <w:p w14:paraId="30B1345E">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3.存款余额资金流水证明有以下情形之一的，视为无效，不予计分：</w:t>
            </w:r>
          </w:p>
          <w:p w14:paraId="7B326AD9">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①存款账户不是基本账户的；</w:t>
            </w:r>
          </w:p>
          <w:p w14:paraId="267CA359">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②存款时间不符合要求的；</w:t>
            </w:r>
          </w:p>
          <w:p w14:paraId="6C8A58B3">
            <w:pPr>
              <w:widowControl w:val="0"/>
              <w:spacing w:line="360" w:lineRule="auto"/>
              <w:jc w:val="both"/>
              <w:rPr>
                <w:rFonts w:hint="eastAsia" w:ascii="宋体" w:hAnsi="宋体" w:eastAsia="宋体" w:cs="宋体"/>
                <w:caps w:val="0"/>
                <w:smallCaps w:val="0"/>
                <w:snapToGrid w:val="0"/>
                <w:color w:val="auto"/>
                <w:spacing w:val="0"/>
                <w:kern w:val="0"/>
                <w:sz w:val="24"/>
                <w:szCs w:val="24"/>
                <w:highlight w:val="none"/>
                <w:lang w:val="en-US" w:eastAsia="zh-CN" w:bidi="ar-SA"/>
              </w:rPr>
            </w:pPr>
            <w:r>
              <w:rPr>
                <w:rFonts w:hint="eastAsia" w:ascii="宋体" w:hAnsi="宋体" w:eastAsia="宋体" w:cs="宋体"/>
                <w:color w:val="auto"/>
                <w:sz w:val="24"/>
                <w:szCs w:val="24"/>
                <w:lang w:val="en-US" w:eastAsia="zh-CN"/>
              </w:rPr>
              <w:t>③存款额度不符合要求的。</w:t>
            </w:r>
          </w:p>
        </w:tc>
      </w:tr>
      <w:tr w14:paraId="7475F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restart"/>
            <w:vAlign w:val="center"/>
          </w:tcPr>
          <w:p w14:paraId="5444FD5C">
            <w:pPr>
              <w:widowControl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招标人</w:t>
            </w:r>
          </w:p>
          <w:p w14:paraId="017C723A">
            <w:pPr>
              <w:widowControl w:val="0"/>
              <w:spacing w:line="360" w:lineRule="auto"/>
              <w:jc w:val="center"/>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自选</w:t>
            </w:r>
          </w:p>
          <w:p w14:paraId="7B373C69">
            <w:pPr>
              <w:pStyle w:val="21"/>
              <w:keepNext w:val="0"/>
              <w:keepLines w:val="0"/>
              <w:widowControl w:val="0"/>
              <w:suppressLineNumbers w:val="0"/>
              <w:pBdr>
                <w:top w:val="none" w:color="auto" w:sz="0" w:space="0"/>
                <w:left w:val="none" w:color="auto" w:sz="0" w:space="0"/>
                <w:bottom w:val="none" w:color="auto" w:sz="0" w:space="0"/>
                <w:right w:val="none" w:color="auto" w:sz="0" w:space="0"/>
                <w:between w:val="none" w:color="auto" w:sz="0" w:space="0"/>
              </w:pBdr>
              <w:spacing w:before="0" w:beforeAutospacing="0" w:after="0" w:afterAutospacing="0" w:line="360" w:lineRule="auto"/>
              <w:jc w:val="center"/>
              <w:rPr>
                <w:rFonts w:hint="eastAsia" w:ascii="宋体" w:hAnsi="宋体" w:eastAsia="宋体" w:cs="宋体"/>
                <w:sz w:val="24"/>
                <w:szCs w:val="24"/>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30分</w:t>
            </w:r>
            <w:r>
              <w:rPr>
                <w:rFonts w:hint="eastAsia" w:ascii="宋体" w:hAnsi="宋体" w:eastAsia="宋体" w:cs="宋体"/>
                <w:color w:val="auto"/>
                <w:sz w:val="24"/>
                <w:szCs w:val="24"/>
                <w:lang w:eastAsia="zh-CN"/>
              </w:rPr>
              <w:t>）</w:t>
            </w:r>
          </w:p>
        </w:tc>
        <w:tc>
          <w:tcPr>
            <w:tcW w:w="3933" w:type="dxa"/>
            <w:shd w:val="clear" w:color="auto" w:fill="auto"/>
            <w:vAlign w:val="center"/>
          </w:tcPr>
          <w:p w14:paraId="43486DA7">
            <w:pPr>
              <w:widowControl w:val="0"/>
              <w:spacing w:line="360" w:lineRule="auto"/>
              <w:jc w:val="both"/>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sz w:val="24"/>
                <w:szCs w:val="24"/>
                <w:lang w:val="en-US" w:eastAsia="zh-CN"/>
              </w:rPr>
              <w:t>投标人（2020年～2024年）获得过“中国施工企业管理协会”颁发的AAA级信用等级证书的得5分。</w:t>
            </w:r>
          </w:p>
        </w:tc>
        <w:tc>
          <w:tcPr>
            <w:tcW w:w="4707" w:type="dxa"/>
            <w:shd w:val="clear" w:color="auto" w:fill="auto"/>
            <w:vAlign w:val="center"/>
          </w:tcPr>
          <w:p w14:paraId="37484847">
            <w:pPr>
              <w:widowControl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lang w:val="en-US" w:eastAsia="zh-CN"/>
              </w:rPr>
              <w:t>1.获得“中国施工企业管理协会”认定，且在有效期内须提供有关证书彩色扫描件或者需要提供“中国施工企业管理协会”官网“评价年度”截图的彩色扫描件，同时提供原件供核对。</w:t>
            </w:r>
          </w:p>
        </w:tc>
      </w:tr>
      <w:tr w14:paraId="642A3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1E917250">
            <w:pPr>
              <w:widowControl w:val="0"/>
              <w:spacing w:line="360" w:lineRule="auto"/>
              <w:jc w:val="both"/>
              <w:rPr>
                <w:rFonts w:hint="eastAsia" w:ascii="宋体" w:hAnsi="宋体" w:eastAsia="宋体" w:cs="宋体"/>
                <w:sz w:val="24"/>
                <w:szCs w:val="24"/>
              </w:rPr>
            </w:pPr>
          </w:p>
        </w:tc>
        <w:tc>
          <w:tcPr>
            <w:tcW w:w="3933" w:type="dxa"/>
            <w:shd w:val="clear" w:color="auto" w:fill="auto"/>
            <w:vAlign w:val="center"/>
          </w:tcPr>
          <w:p w14:paraId="3A5BDB81">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1.投标人（2020年～2024年）获得过“中国建筑业协会”颁发的企业信用等级AAA级证书的得5分；</w:t>
            </w:r>
          </w:p>
          <w:p w14:paraId="2BA55FD4">
            <w:pPr>
              <w:widowControl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lang w:val="en-US" w:eastAsia="zh-CN"/>
              </w:rPr>
              <w:t>2.其他情形的，不予计分。</w:t>
            </w:r>
          </w:p>
        </w:tc>
        <w:tc>
          <w:tcPr>
            <w:tcW w:w="4707" w:type="dxa"/>
            <w:shd w:val="clear" w:color="auto" w:fill="auto"/>
            <w:vAlign w:val="center"/>
          </w:tcPr>
          <w:p w14:paraId="3356391D">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1.证书由“中国建筑业协会”颁发，须提供有关证书彩色扫描件，同时提供原件核对。</w:t>
            </w:r>
          </w:p>
          <w:p w14:paraId="48A6A668">
            <w:pPr>
              <w:widowControl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lang w:val="en-US" w:eastAsia="zh-CN"/>
              </w:rPr>
              <w:t>2.未提供原件的，颁发机构不符合要求的，不予计分。</w:t>
            </w:r>
          </w:p>
        </w:tc>
      </w:tr>
      <w:tr w14:paraId="29484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11E2C080">
            <w:pPr>
              <w:widowControl w:val="0"/>
              <w:spacing w:line="360" w:lineRule="auto"/>
              <w:jc w:val="both"/>
              <w:rPr>
                <w:rFonts w:hint="eastAsia" w:ascii="宋体" w:hAnsi="宋体" w:eastAsia="宋体" w:cs="宋体"/>
                <w:sz w:val="24"/>
                <w:szCs w:val="24"/>
              </w:rPr>
            </w:pPr>
          </w:p>
        </w:tc>
        <w:tc>
          <w:tcPr>
            <w:tcW w:w="3933" w:type="dxa"/>
            <w:shd w:val="clear" w:color="auto" w:fill="auto"/>
            <w:vAlign w:val="center"/>
          </w:tcPr>
          <w:p w14:paraId="1B8A602F">
            <w:pPr>
              <w:widowControl w:val="0"/>
              <w:spacing w:line="360" w:lineRule="auto"/>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 w:val="24"/>
                <w:szCs w:val="24"/>
                <w:lang w:val="en-US" w:eastAsia="zh-CN"/>
              </w:rPr>
              <w:t>投标人（2020年～2024年）获得过国级“AAA级信用企业”称号的得3分，每满一年加1分，满分得5分。</w:t>
            </w:r>
          </w:p>
        </w:tc>
        <w:tc>
          <w:tcPr>
            <w:tcW w:w="4707" w:type="dxa"/>
            <w:shd w:val="clear" w:color="auto" w:fill="auto"/>
            <w:vAlign w:val="center"/>
          </w:tcPr>
          <w:p w14:paraId="0658DCD4">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1.需附相关证书彩色扫描件，同时提供原件供核对。</w:t>
            </w:r>
          </w:p>
          <w:p w14:paraId="54004DB8">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2.证书须由国级企业联合会和企业家协会（需经民政局备案）同时颁发。</w:t>
            </w:r>
          </w:p>
          <w:p w14:paraId="1F144AD9">
            <w:pPr>
              <w:widowControl w:val="0"/>
              <w:spacing w:line="360" w:lineRule="auto"/>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 w:val="24"/>
                <w:szCs w:val="24"/>
                <w:lang w:val="en-US" w:eastAsia="zh-CN"/>
              </w:rPr>
              <w:t>3.未提供原件的；颁发机构、获奖时间不符合评分标准和备注规定的，不予得分。</w:t>
            </w:r>
          </w:p>
        </w:tc>
      </w:tr>
      <w:tr w14:paraId="6CF16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1C5CED3B">
            <w:pPr>
              <w:widowControl w:val="0"/>
              <w:spacing w:line="360" w:lineRule="auto"/>
              <w:jc w:val="both"/>
              <w:rPr>
                <w:rFonts w:hint="eastAsia" w:ascii="宋体" w:hAnsi="宋体" w:eastAsia="宋体" w:cs="宋体"/>
                <w:sz w:val="24"/>
                <w:szCs w:val="24"/>
              </w:rPr>
            </w:pPr>
          </w:p>
        </w:tc>
        <w:tc>
          <w:tcPr>
            <w:tcW w:w="3933" w:type="dxa"/>
            <w:shd w:val="clear" w:color="auto" w:fill="auto"/>
            <w:vAlign w:val="center"/>
          </w:tcPr>
          <w:p w14:paraId="04220397">
            <w:pPr>
              <w:widowControl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lang w:val="en-US" w:eastAsia="zh-CN"/>
              </w:rPr>
              <w:t>投标人（2020年～2024年）</w:t>
            </w:r>
            <w:r>
              <w:rPr>
                <w:rFonts w:hint="eastAsia" w:ascii="宋体" w:hAnsi="宋体" w:eastAsia="宋体" w:cs="宋体"/>
                <w:color w:val="auto"/>
                <w:sz w:val="24"/>
                <w:szCs w:val="24"/>
              </w:rPr>
              <w:t>均</w:t>
            </w:r>
            <w:r>
              <w:rPr>
                <w:rFonts w:hint="eastAsia" w:ascii="宋体" w:hAnsi="宋体" w:eastAsia="宋体" w:cs="宋体"/>
                <w:color w:val="auto"/>
                <w:sz w:val="24"/>
                <w:szCs w:val="24"/>
                <w:lang w:eastAsia="zh-CN"/>
              </w:rPr>
              <w:t>为</w:t>
            </w:r>
            <w:r>
              <w:rPr>
                <w:rFonts w:hint="eastAsia" w:ascii="宋体" w:hAnsi="宋体" w:eastAsia="宋体" w:cs="宋体"/>
                <w:color w:val="auto"/>
                <w:sz w:val="24"/>
                <w:szCs w:val="24"/>
                <w:lang w:val="en-US" w:eastAsia="zh-CN"/>
              </w:rPr>
              <w:t>纳税信用A级纳税人的，得5分。</w:t>
            </w:r>
          </w:p>
        </w:tc>
        <w:tc>
          <w:tcPr>
            <w:tcW w:w="4707" w:type="dxa"/>
            <w:shd w:val="clear" w:color="auto" w:fill="auto"/>
            <w:vAlign w:val="center"/>
          </w:tcPr>
          <w:p w14:paraId="702DDBF0">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1.必须提供企业纳税信用A级纳税人证明材料（或证书）彩色扫描件及国家税务总局（或省级电子税务局）网上查询截图打印件，否则不得分。</w:t>
            </w:r>
          </w:p>
          <w:p w14:paraId="23722B61">
            <w:pPr>
              <w:widowControl w:val="0"/>
              <w:spacing w:line="360" w:lineRule="auto"/>
              <w:jc w:val="both"/>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lang w:val="en-US" w:eastAsia="zh-CN"/>
              </w:rPr>
              <w:t>2.只计算投标人自身（不计算投标人的分公司、子公司及分支机构）</w:t>
            </w:r>
          </w:p>
        </w:tc>
      </w:tr>
      <w:tr w14:paraId="0B655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7FCA3147">
            <w:pPr>
              <w:widowControl w:val="0"/>
              <w:spacing w:line="360" w:lineRule="auto"/>
              <w:jc w:val="both"/>
              <w:rPr>
                <w:rFonts w:hint="eastAsia" w:ascii="宋体" w:hAnsi="宋体" w:eastAsia="宋体" w:cs="宋体"/>
                <w:sz w:val="24"/>
                <w:szCs w:val="24"/>
              </w:rPr>
            </w:pPr>
          </w:p>
        </w:tc>
        <w:tc>
          <w:tcPr>
            <w:tcW w:w="3933" w:type="dxa"/>
            <w:shd w:val="clear" w:color="auto" w:fill="auto"/>
            <w:vAlign w:val="center"/>
          </w:tcPr>
          <w:p w14:paraId="1E675DCF">
            <w:pPr>
              <w:widowControl w:val="0"/>
              <w:spacing w:line="360" w:lineRule="auto"/>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 w:val="24"/>
                <w:szCs w:val="24"/>
                <w:lang w:val="en-US" w:eastAsia="zh-CN"/>
              </w:rPr>
              <w:t>投标人</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2020</w:t>
            </w:r>
            <w:r>
              <w:rPr>
                <w:rFonts w:hint="eastAsia" w:ascii="宋体" w:hAnsi="宋体" w:eastAsia="宋体" w:cs="宋体"/>
                <w:color w:val="auto"/>
                <w:sz w:val="24"/>
                <w:szCs w:val="24"/>
              </w:rPr>
              <w:t>年</w:t>
            </w:r>
            <w:r>
              <w:rPr>
                <w:rFonts w:hint="eastAsia" w:ascii="宋体" w:hAnsi="宋体" w:eastAsia="宋体" w:cs="宋体"/>
                <w:color w:val="auto"/>
                <w:sz w:val="24"/>
                <w:szCs w:val="24"/>
                <w:lang w:val="en-US" w:eastAsia="zh-CN"/>
              </w:rPr>
              <w:t>～2024年）</w:t>
            </w:r>
            <w:r>
              <w:rPr>
                <w:rFonts w:hint="eastAsia" w:ascii="宋体" w:hAnsi="宋体" w:eastAsia="宋体" w:cs="宋体"/>
                <w:color w:val="auto"/>
                <w:sz w:val="24"/>
                <w:szCs w:val="24"/>
              </w:rPr>
              <w:t>均</w:t>
            </w:r>
            <w:r>
              <w:rPr>
                <w:rFonts w:hint="eastAsia" w:ascii="宋体" w:hAnsi="宋体" w:eastAsia="宋体" w:cs="宋体"/>
                <w:color w:val="auto"/>
                <w:sz w:val="24"/>
                <w:szCs w:val="24"/>
                <w:lang w:eastAsia="zh-CN"/>
              </w:rPr>
              <w:t>为</w:t>
            </w:r>
            <w:r>
              <w:rPr>
                <w:rFonts w:hint="eastAsia" w:ascii="宋体" w:hAnsi="宋体" w:eastAsia="宋体" w:cs="宋体"/>
                <w:color w:val="auto"/>
                <w:sz w:val="24"/>
                <w:szCs w:val="24"/>
              </w:rPr>
              <w:t>高新技术企业的得</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分。</w:t>
            </w:r>
          </w:p>
        </w:tc>
        <w:tc>
          <w:tcPr>
            <w:tcW w:w="4707" w:type="dxa"/>
            <w:shd w:val="clear" w:color="auto" w:fill="auto"/>
            <w:vAlign w:val="center"/>
          </w:tcPr>
          <w:p w14:paraId="363B2DB7">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提供高新技术企业证书彩色扫描件，原件供核对；提供网上查询截图。（证书为电子证书的除外）</w:t>
            </w:r>
          </w:p>
          <w:p w14:paraId="7D7E4C73">
            <w:pPr>
              <w:widowControl w:val="0"/>
              <w:spacing w:line="360" w:lineRule="auto"/>
              <w:jc w:val="both"/>
              <w:rPr>
                <w:rFonts w:hint="eastAsia" w:ascii="宋体" w:hAnsi="宋体" w:eastAsia="宋体" w:cs="宋体"/>
                <w:color w:val="auto"/>
                <w:kern w:val="0"/>
                <w:sz w:val="24"/>
                <w:szCs w:val="24"/>
                <w:lang w:val="en-US" w:eastAsia="zh-CN" w:bidi="ar"/>
              </w:rPr>
            </w:pPr>
            <w:r>
              <w:rPr>
                <w:rFonts w:hint="eastAsia" w:ascii="宋体" w:hAnsi="宋体" w:eastAsia="宋体" w:cs="宋体"/>
                <w:color w:val="auto"/>
                <w:sz w:val="24"/>
                <w:szCs w:val="24"/>
                <w:lang w:val="en-US" w:eastAsia="zh-CN"/>
              </w:rPr>
              <w:t>备注：高新企业证书3年有效，非有效期内证书经查询会显示失效。</w:t>
            </w:r>
          </w:p>
        </w:tc>
      </w:tr>
      <w:tr w14:paraId="69FE7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Merge w:val="continue"/>
          </w:tcPr>
          <w:p w14:paraId="41B2D747">
            <w:pPr>
              <w:widowControl w:val="0"/>
              <w:spacing w:line="360" w:lineRule="auto"/>
              <w:jc w:val="both"/>
              <w:rPr>
                <w:rFonts w:hint="eastAsia" w:ascii="宋体" w:hAnsi="宋体" w:eastAsia="宋体" w:cs="宋体"/>
                <w:sz w:val="24"/>
                <w:szCs w:val="24"/>
              </w:rPr>
            </w:pPr>
          </w:p>
        </w:tc>
        <w:tc>
          <w:tcPr>
            <w:tcW w:w="3933" w:type="dxa"/>
            <w:shd w:val="clear" w:color="auto" w:fill="auto"/>
            <w:vAlign w:val="center"/>
          </w:tcPr>
          <w:p w14:paraId="46DAE7E2">
            <w:pPr>
              <w:pStyle w:val="42"/>
              <w:wordWrap w:val="0"/>
              <w:adjustRightInd w:val="0"/>
              <w:snapToGrid w:val="0"/>
              <w:spacing w:line="400" w:lineRule="exact"/>
              <w:jc w:val="left"/>
              <w:rPr>
                <w:rFonts w:hint="eastAsia" w:ascii="宋体" w:hAnsi="宋体" w:eastAsia="宋体" w:cs="宋体"/>
                <w:color w:val="auto"/>
                <w:kern w:val="2"/>
                <w:sz w:val="24"/>
                <w:szCs w:val="24"/>
                <w:lang w:val="en-US" w:eastAsia="zh-CN" w:bidi="ar-SA"/>
              </w:rPr>
            </w:pPr>
            <w:r>
              <w:rPr>
                <w:rFonts w:hint="eastAsia" w:ascii="宋体" w:hAnsi="宋体" w:eastAsia="宋体" w:cs="宋体"/>
                <w:snapToGrid w:val="0"/>
                <w:color w:val="auto"/>
                <w:kern w:val="0"/>
                <w:sz w:val="24"/>
                <w:szCs w:val="24"/>
                <w:lang w:val="en-US" w:eastAsia="zh-CN" w:bidi="ar-SA"/>
              </w:rPr>
              <w:t>投标人（2020年至今）连续2年或以上企业获得过地级市或以上建筑协会颁发的“优秀典型施工企业”得5分。</w:t>
            </w:r>
          </w:p>
        </w:tc>
        <w:tc>
          <w:tcPr>
            <w:tcW w:w="4707" w:type="dxa"/>
            <w:shd w:val="clear" w:color="auto" w:fill="auto"/>
            <w:vAlign w:val="center"/>
          </w:tcPr>
          <w:p w14:paraId="5F96330D">
            <w:pPr>
              <w:widowControl w:val="0"/>
              <w:spacing w:line="360" w:lineRule="auto"/>
              <w:jc w:val="both"/>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1.需提供证书彩色扫描件，同时提供证书原件供核对（证书为电子证书的除外）,否则不得分。</w:t>
            </w:r>
          </w:p>
          <w:p w14:paraId="2C36D2EE">
            <w:pPr>
              <w:widowControl w:val="0"/>
              <w:spacing w:line="360" w:lineRule="auto"/>
              <w:jc w:val="both"/>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snapToGrid w:val="0"/>
                <w:color w:val="auto"/>
                <w:kern w:val="0"/>
                <w:sz w:val="24"/>
                <w:szCs w:val="24"/>
                <w:lang w:val="en-US" w:eastAsia="zh-CN" w:bidi="ar-SA"/>
              </w:rPr>
              <w:t>2.需提供地级市及以上建设行政主管部门或地级市及以上建筑协会网站截图打印页,否则不得分。</w:t>
            </w:r>
          </w:p>
          <w:p w14:paraId="7DF15F38">
            <w:pPr>
              <w:widowControl w:val="0"/>
              <w:spacing w:line="360" w:lineRule="auto"/>
              <w:jc w:val="both"/>
              <w:rPr>
                <w:rFonts w:hint="eastAsia" w:ascii="宋体" w:hAnsi="宋体" w:eastAsia="宋体" w:cs="宋体"/>
                <w:color w:val="auto"/>
                <w:kern w:val="2"/>
                <w:sz w:val="24"/>
                <w:szCs w:val="24"/>
                <w:lang w:val="en-US" w:eastAsia="zh-CN" w:bidi="ar-SA"/>
              </w:rPr>
            </w:pPr>
            <w:r>
              <w:rPr>
                <w:rFonts w:hint="eastAsia" w:ascii="宋体" w:hAnsi="宋体" w:eastAsia="宋体" w:cs="宋体"/>
                <w:snapToGrid w:val="0"/>
                <w:color w:val="auto"/>
                <w:kern w:val="0"/>
                <w:sz w:val="24"/>
                <w:szCs w:val="24"/>
                <w:lang w:val="en-US" w:eastAsia="zh-CN" w:bidi="ar-SA"/>
              </w:rPr>
              <w:t>（相关协会需经民政部门备案）</w:t>
            </w:r>
          </w:p>
        </w:tc>
      </w:tr>
      <w:tr w14:paraId="7288F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3"/>
          </w:tcPr>
          <w:p w14:paraId="3D0F1BCE">
            <w:pPr>
              <w:widowControl w:val="0"/>
              <w:spacing w:line="360" w:lineRule="auto"/>
              <w:jc w:val="both"/>
              <w:rPr>
                <w:rFonts w:hint="eastAsia" w:ascii="宋体" w:hAnsi="宋体" w:eastAsia="宋体" w:cs="宋体"/>
                <w:sz w:val="24"/>
                <w:szCs w:val="24"/>
              </w:rPr>
            </w:pPr>
            <w:r>
              <w:rPr>
                <w:rFonts w:hint="eastAsia" w:ascii="宋体" w:hAnsi="宋体" w:eastAsia="宋体" w:cs="宋体"/>
                <w:sz w:val="24"/>
                <w:szCs w:val="24"/>
              </w:rPr>
              <w:t>技术部分（施工组织设计），满分：20分。</w:t>
            </w:r>
          </w:p>
        </w:tc>
      </w:tr>
      <w:tr w14:paraId="56BCE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0395427D">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评分因素</w:t>
            </w:r>
          </w:p>
        </w:tc>
        <w:tc>
          <w:tcPr>
            <w:tcW w:w="3933" w:type="dxa"/>
            <w:vAlign w:val="center"/>
          </w:tcPr>
          <w:p w14:paraId="084F94A1">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评分标准</w:t>
            </w:r>
          </w:p>
        </w:tc>
        <w:tc>
          <w:tcPr>
            <w:tcW w:w="4707" w:type="dxa"/>
            <w:vAlign w:val="center"/>
          </w:tcPr>
          <w:p w14:paraId="0F8E97B5">
            <w:pPr>
              <w:widowControl w:val="0"/>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rPr>
              <w:t>备注</w:t>
            </w:r>
          </w:p>
        </w:tc>
      </w:tr>
      <w:tr w14:paraId="5D17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63A57639">
            <w:pPr>
              <w:pStyle w:val="64"/>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总体概述</w:t>
            </w:r>
          </w:p>
          <w:p w14:paraId="1122125F">
            <w:pPr>
              <w:pStyle w:val="8"/>
              <w:widowControl w:val="0"/>
              <w:wordWrap w:val="0"/>
              <w:adjustRightInd w:val="0"/>
              <w:snapToGrid w:val="0"/>
              <w:spacing w:after="0" w:line="40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分）</w:t>
            </w:r>
          </w:p>
        </w:tc>
        <w:tc>
          <w:tcPr>
            <w:tcW w:w="3933" w:type="dxa"/>
            <w:shd w:val="clear" w:color="auto" w:fill="auto"/>
            <w:vAlign w:val="center"/>
          </w:tcPr>
          <w:p w14:paraId="2581D94D">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【优】得该项因素分的90%～100%（含90%）；</w:t>
            </w:r>
          </w:p>
          <w:p w14:paraId="5DA0B048">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508721B4">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6AF6B182">
            <w:pPr>
              <w:pStyle w:val="8"/>
              <w:widowControl w:val="0"/>
              <w:wordWrap w:val="0"/>
              <w:adjustRightInd w:val="0"/>
              <w:snapToGrid w:val="0"/>
              <w:spacing w:after="0" w:line="400" w:lineRule="exact"/>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707" w:type="dxa"/>
            <w:shd w:val="clear" w:color="auto" w:fill="auto"/>
            <w:vAlign w:val="center"/>
          </w:tcPr>
          <w:p w14:paraId="229955E8">
            <w:pPr>
              <w:pStyle w:val="8"/>
              <w:widowControl w:val="0"/>
              <w:wordWrap w:val="0"/>
              <w:adjustRightInd w:val="0"/>
              <w:snapToGrid w:val="0"/>
              <w:spacing w:after="0"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【优】对项目总体有深刻认识，表述清晰、完整、严谨、合理，措施先进、具体、有效、成熟，采用了新技术、新工艺、新材料、新设备；施工段划分呼应总体表述，划分清晰、合理，符合规范要求。</w:t>
            </w:r>
          </w:p>
          <w:p w14:paraId="13B228A1">
            <w:pPr>
              <w:pStyle w:val="8"/>
              <w:widowControl w:val="0"/>
              <w:wordWrap w:val="0"/>
              <w:adjustRightInd w:val="0"/>
              <w:snapToGrid w:val="0"/>
              <w:spacing w:after="0"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【良】对项目总体有一定认识，表述清晰、完整，措施具体有效；施工段划分呼应总体表述，划分清晰，符合规范要求。</w:t>
            </w:r>
          </w:p>
          <w:p w14:paraId="541A77FB">
            <w:pPr>
              <w:pStyle w:val="8"/>
              <w:widowControl w:val="0"/>
              <w:wordWrap w:val="0"/>
              <w:adjustRightInd w:val="0"/>
              <w:snapToGrid w:val="0"/>
              <w:spacing w:after="0" w:line="400" w:lineRule="exact"/>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【中】对项目总体有认识，有一定的措施但部分不具体；施工段划分较合理，符合规范要求。</w:t>
            </w:r>
          </w:p>
          <w:p w14:paraId="7B326BF1">
            <w:pPr>
              <w:pStyle w:val="8"/>
              <w:widowControl w:val="0"/>
              <w:wordWrap w:val="0"/>
              <w:adjustRightInd w:val="0"/>
              <w:snapToGrid w:val="0"/>
              <w:spacing w:after="0" w:line="400" w:lineRule="exact"/>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【差】对项目认识不足，表述不清晰，措施不具体；施工段划分不合理。</w:t>
            </w:r>
          </w:p>
        </w:tc>
      </w:tr>
      <w:tr w14:paraId="28957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153CB019">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施工总进</w:t>
            </w:r>
          </w:p>
          <w:p w14:paraId="1ACF35C5">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度计划及</w:t>
            </w:r>
          </w:p>
          <w:p w14:paraId="304EFF44">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保证措施</w:t>
            </w:r>
          </w:p>
          <w:p w14:paraId="7782AB7E">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分）</w:t>
            </w:r>
          </w:p>
        </w:tc>
        <w:tc>
          <w:tcPr>
            <w:tcW w:w="3933" w:type="dxa"/>
            <w:shd w:val="clear" w:color="auto" w:fill="auto"/>
            <w:vAlign w:val="center"/>
          </w:tcPr>
          <w:p w14:paraId="3A4D6CE7">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【优】得该项因素分的90%～100%（含90%）；</w:t>
            </w:r>
          </w:p>
          <w:p w14:paraId="03CB86CE">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110744EC">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47C94877">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707" w:type="dxa"/>
            <w:shd w:val="clear" w:color="auto" w:fill="auto"/>
            <w:vAlign w:val="center"/>
          </w:tcPr>
          <w:p w14:paraId="4FA340EA">
            <w:pPr>
              <w:pStyle w:val="44"/>
              <w:wordWrap w:val="0"/>
              <w:adjustRightInd w:val="0"/>
              <w:snapToGrid w:val="0"/>
              <w:spacing w:line="400" w:lineRule="exac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关键线路清晰、准确、完整，计划编制合理、可行。关键节点的控制措施有力、合理、可行。人、材、机需求和进场计划与进度计划相呼应，较好满足施工需要，调配投入计划合理、准确。进度违约责任承诺具体，</w:t>
            </w:r>
            <w:r>
              <w:rPr>
                <w:rFonts w:hint="eastAsia" w:ascii="宋体" w:hAnsi="宋体" w:eastAsia="宋体" w:cs="宋体"/>
                <w:b/>
                <w:bCs/>
                <w:snapToGrid w:val="0"/>
                <w:color w:val="auto"/>
                <w:kern w:val="0"/>
                <w:sz w:val="24"/>
                <w:szCs w:val="24"/>
                <w:highlight w:val="none"/>
              </w:rPr>
              <w:t>经济赔偿合理。</w:t>
            </w:r>
          </w:p>
          <w:p w14:paraId="297214D7">
            <w:pPr>
              <w:pStyle w:val="44"/>
              <w:wordWrap w:val="0"/>
              <w:adjustRightInd w:val="0"/>
              <w:snapToGrid w:val="0"/>
              <w:spacing w:line="400" w:lineRule="exac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【良】关键线路清晰、准确、完整，计划编制可行。关键节点的控制措施合理、可行。人、材、机需求和进场计划与进度计划相呼应，基本满足施工需要，调配投入计划基本合理、准确。进度违约责任承诺具体，</w:t>
            </w:r>
            <w:r>
              <w:rPr>
                <w:rFonts w:hint="eastAsia" w:ascii="宋体" w:hAnsi="宋体" w:eastAsia="宋体" w:cs="宋体"/>
                <w:b/>
                <w:bCs/>
                <w:snapToGrid w:val="0"/>
                <w:color w:val="auto"/>
                <w:kern w:val="0"/>
                <w:sz w:val="24"/>
                <w:szCs w:val="24"/>
                <w:highlight w:val="none"/>
              </w:rPr>
              <w:t>经济赔偿较合理。</w:t>
            </w:r>
          </w:p>
          <w:p w14:paraId="791ABD7E">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【中】关键线路基本准确，计划编制基本合理。关键节点的控制措施基本可行。人、材、机需求和进场计划与进度计划相呼应，基本满足施工需要，调配投入计划基本合理。进度违约责任承诺具体。</w:t>
            </w:r>
          </w:p>
          <w:p w14:paraId="6206FD23">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【差】关键线路不准确，计划编制不合理。关键节点的控制不可行。人、材、机需求和进场计划与进度计划不相呼应，不能满足施工需要。没有违约责任承诺。</w:t>
            </w:r>
          </w:p>
        </w:tc>
      </w:tr>
      <w:tr w14:paraId="1AF0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09AF64A2">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质量</w:t>
            </w:r>
          </w:p>
          <w:p w14:paraId="505573C9">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保证措施</w:t>
            </w:r>
          </w:p>
          <w:p w14:paraId="15910056">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4</w:t>
            </w:r>
            <w:r>
              <w:rPr>
                <w:rFonts w:hint="eastAsia" w:ascii="宋体" w:hAnsi="宋体" w:eastAsia="宋体" w:cs="宋体"/>
                <w:snapToGrid w:val="0"/>
                <w:color w:val="auto"/>
                <w:kern w:val="0"/>
                <w:sz w:val="24"/>
                <w:szCs w:val="24"/>
                <w:highlight w:val="none"/>
              </w:rPr>
              <w:t>分）</w:t>
            </w:r>
          </w:p>
        </w:tc>
        <w:tc>
          <w:tcPr>
            <w:tcW w:w="3933" w:type="dxa"/>
            <w:shd w:val="clear" w:color="auto" w:fill="auto"/>
            <w:vAlign w:val="center"/>
          </w:tcPr>
          <w:p w14:paraId="572AE768">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【优】得该项因素分的90%～100%（含90%）；</w:t>
            </w:r>
          </w:p>
          <w:p w14:paraId="767B049E">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10C1A288">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66DA90B4">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707" w:type="dxa"/>
            <w:shd w:val="clear" w:color="auto" w:fill="auto"/>
            <w:vAlign w:val="center"/>
          </w:tcPr>
          <w:p w14:paraId="5CE773C2">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优】应用新技术、新工艺、新材料、新设备，针对项目实际提出先进、可行、具体的保证措施。超过招标文件的质量要求。投标人企业注册地或分支机构所在地与项目所在地的距离或全资子公司与项目所在地距离100公里内、投标人在相同地质条件业绩情况等相关证明资料。</w:t>
            </w:r>
          </w:p>
          <w:p w14:paraId="0188BB35">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良】针对项目实际提出先进、可行、具体的保证措施。满足招标文件的质量要求。投标人企业注册地或分支机构所在地与项目所在地的距离或全资子公司与项目所在地距离200公里内、投标人在相同地质条件业绩情况等相关证明资料。</w:t>
            </w:r>
          </w:p>
          <w:p w14:paraId="34923550">
            <w:pPr>
              <w:widowControl w:val="0"/>
              <w:spacing w:line="360" w:lineRule="auto"/>
              <w:jc w:val="both"/>
              <w:rPr>
                <w:rFonts w:hint="eastAsia" w:ascii="宋体" w:hAnsi="宋体" w:eastAsia="宋体" w:cs="宋体"/>
                <w:color w:val="auto"/>
                <w:sz w:val="24"/>
                <w:szCs w:val="24"/>
              </w:rPr>
            </w:pPr>
            <w:r>
              <w:rPr>
                <w:rFonts w:hint="eastAsia" w:ascii="宋体" w:hAnsi="宋体" w:eastAsia="宋体" w:cs="宋体"/>
                <w:color w:val="auto"/>
                <w:sz w:val="24"/>
                <w:szCs w:val="24"/>
              </w:rPr>
              <w:t>【中】具体措施可行。满足招标文件的质量</w:t>
            </w:r>
            <w:r>
              <w:rPr>
                <w:rFonts w:hint="eastAsia" w:ascii="宋体" w:hAnsi="宋体" w:eastAsia="宋体" w:cs="宋体"/>
                <w:color w:val="auto"/>
                <w:sz w:val="24"/>
                <w:szCs w:val="24"/>
                <w:lang w:eastAsia="zh-CN"/>
              </w:rPr>
              <w:t>要</w:t>
            </w:r>
            <w:r>
              <w:rPr>
                <w:rFonts w:hint="eastAsia" w:ascii="宋体" w:hAnsi="宋体" w:eastAsia="宋体" w:cs="宋体"/>
                <w:color w:val="auto"/>
                <w:sz w:val="24"/>
                <w:szCs w:val="24"/>
              </w:rPr>
              <w:t>求。投标人企业注册地或分支机构所在地与项目所在地的距离或全资子公司与项目所在地距离300公里内、投标人在相同地质条件业绩情况等相关证明资料。</w:t>
            </w:r>
          </w:p>
          <w:p w14:paraId="44FD57C5">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rPr>
              <w:t>【差】措施不可行，没有质量违约责任承诺。</w:t>
            </w:r>
          </w:p>
        </w:tc>
      </w:tr>
      <w:tr w14:paraId="699AE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7E0C03A2">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w:t>
            </w:r>
          </w:p>
          <w:p w14:paraId="5201D1D0">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技术措施</w:t>
            </w:r>
          </w:p>
          <w:p w14:paraId="69CED7BA">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2</w:t>
            </w:r>
            <w:r>
              <w:rPr>
                <w:rFonts w:hint="eastAsia" w:ascii="宋体" w:hAnsi="宋体" w:eastAsia="宋体" w:cs="宋体"/>
                <w:snapToGrid w:val="0"/>
                <w:color w:val="auto"/>
                <w:kern w:val="0"/>
                <w:sz w:val="24"/>
                <w:szCs w:val="24"/>
                <w:highlight w:val="none"/>
              </w:rPr>
              <w:t>分）</w:t>
            </w:r>
          </w:p>
        </w:tc>
        <w:tc>
          <w:tcPr>
            <w:tcW w:w="3933" w:type="dxa"/>
            <w:shd w:val="clear" w:color="auto" w:fill="auto"/>
            <w:vAlign w:val="center"/>
          </w:tcPr>
          <w:p w14:paraId="62F49E93">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【优】得该项因素分的90%～100%（含90%）；</w:t>
            </w:r>
          </w:p>
          <w:p w14:paraId="4B868761">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4997568B">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33625EA6">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707" w:type="dxa"/>
            <w:shd w:val="clear" w:color="auto" w:fill="auto"/>
            <w:vAlign w:val="center"/>
          </w:tcPr>
          <w:p w14:paraId="6679B4BC">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对项目关键技术、工艺有深入的表述，对重点、难点有先进、合理的建议，解决方案完整、经济、安全、切实可行，措施得力。针对项目实际，提出采用新技术的具体措施。新技术的验证材料可靠，对节约投资和工期的保证措施得力、具体、严谨。对采用新技术可能产生的风险有充分的预见，违约承诺具体，</w:t>
            </w:r>
            <w:r>
              <w:rPr>
                <w:rFonts w:hint="eastAsia" w:ascii="宋体" w:hAnsi="宋体" w:eastAsia="宋体" w:cs="宋体"/>
                <w:b/>
                <w:bCs/>
                <w:snapToGrid w:val="0"/>
                <w:color w:val="auto"/>
                <w:kern w:val="0"/>
                <w:sz w:val="24"/>
                <w:szCs w:val="24"/>
                <w:highlight w:val="none"/>
              </w:rPr>
              <w:t>经济赔偿合理。</w:t>
            </w:r>
          </w:p>
          <w:p w14:paraId="731A6902">
            <w:pPr>
              <w:pStyle w:val="44"/>
              <w:wordWrap w:val="0"/>
              <w:adjustRightInd w:val="0"/>
              <w:snapToGrid w:val="0"/>
              <w:spacing w:line="400" w:lineRule="exac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对项目关键技术、工艺有深入的表述，对重点、难点有合理的建议，解决方案经济、安全、基本可行。针对项目实际，提出采用新技术的具体措施。新技术的验证材料可靠，对节约投资和工期有保证措施。对采用新技术可能产生的风险有一定的预见，违约责任承诺具体，</w:t>
            </w:r>
            <w:r>
              <w:rPr>
                <w:rFonts w:hint="eastAsia" w:ascii="宋体" w:hAnsi="宋体" w:eastAsia="宋体" w:cs="宋体"/>
                <w:b/>
                <w:bCs/>
                <w:snapToGrid w:val="0"/>
                <w:color w:val="auto"/>
                <w:kern w:val="0"/>
                <w:sz w:val="24"/>
                <w:szCs w:val="24"/>
                <w:highlight w:val="none"/>
              </w:rPr>
              <w:t>经济赔偿较合理。</w:t>
            </w:r>
          </w:p>
          <w:p w14:paraId="31E1134E">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对项目关键技术有一定了解，对重点、难点有建议，解决方案基本可行。有新技术措施，但验证材料不充分，对节约投资和工期可能有一定收益，但对采用的新技术可能产生的风险预见不足。有违约责任承诺。</w:t>
            </w:r>
          </w:p>
          <w:p w14:paraId="0ECF0326">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【差】对项目关键技术有表述，对重点、难点有建议，解决方案不可行。采用的新技术针对性不强或验证材料不可靠，对节约投资、工期没有具体收益。无违约责任承诺。</w:t>
            </w:r>
          </w:p>
        </w:tc>
      </w:tr>
      <w:tr w14:paraId="7803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57A175FE">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绿色施工、</w:t>
            </w:r>
          </w:p>
          <w:p w14:paraId="2A884B33">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安全防护、</w:t>
            </w:r>
          </w:p>
          <w:p w14:paraId="3C8A20D9">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文明施工</w:t>
            </w:r>
          </w:p>
          <w:p w14:paraId="5894DFD1">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措施计划</w:t>
            </w:r>
          </w:p>
          <w:p w14:paraId="2D91A4B6">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分）</w:t>
            </w:r>
          </w:p>
        </w:tc>
        <w:tc>
          <w:tcPr>
            <w:tcW w:w="3933" w:type="dxa"/>
            <w:shd w:val="clear" w:color="auto" w:fill="auto"/>
            <w:vAlign w:val="center"/>
          </w:tcPr>
          <w:p w14:paraId="59D36C0A">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【优】得该项因素分的90%～100%（含90%）；</w:t>
            </w:r>
          </w:p>
          <w:p w14:paraId="3FBFACBB">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2BFD07C4">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4393A1DD">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707" w:type="dxa"/>
            <w:shd w:val="clear" w:color="auto" w:fill="auto"/>
            <w:vAlign w:val="center"/>
          </w:tcPr>
          <w:p w14:paraId="17C01D19">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【优】针对项目实际情况，有先进、具体、完整、可行的措施，采用规范准确、清晰。</w:t>
            </w:r>
          </w:p>
          <w:p w14:paraId="43A42947">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【良】针对项目实际情况，有合理的措施且具体、完整，采用规范准确。</w:t>
            </w:r>
          </w:p>
          <w:p w14:paraId="46AAF557">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【中】有基本合理的措施，采用规范准确。</w:t>
            </w:r>
          </w:p>
          <w:p w14:paraId="2D0E7D5F">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【差】措施不力，采用规范不正确。</w:t>
            </w:r>
          </w:p>
        </w:tc>
      </w:tr>
      <w:tr w14:paraId="7B0CB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1C79CB1C">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施工平面</w:t>
            </w:r>
          </w:p>
          <w:p w14:paraId="5D974646">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布置和临时设施布置</w:t>
            </w:r>
          </w:p>
          <w:p w14:paraId="70F1AD70">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2</w:t>
            </w:r>
            <w:r>
              <w:rPr>
                <w:rFonts w:hint="eastAsia" w:ascii="宋体" w:hAnsi="宋体" w:eastAsia="宋体" w:cs="宋体"/>
                <w:snapToGrid w:val="0"/>
                <w:color w:val="auto"/>
                <w:kern w:val="0"/>
                <w:sz w:val="24"/>
                <w:szCs w:val="24"/>
                <w:highlight w:val="none"/>
              </w:rPr>
              <w:t>分）</w:t>
            </w:r>
          </w:p>
        </w:tc>
        <w:tc>
          <w:tcPr>
            <w:tcW w:w="3933" w:type="dxa"/>
            <w:shd w:val="clear" w:color="auto" w:fill="auto"/>
            <w:vAlign w:val="center"/>
          </w:tcPr>
          <w:p w14:paraId="6AB0554E">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【优】得该项因素分的90%～100%（含90%）；</w:t>
            </w:r>
          </w:p>
          <w:p w14:paraId="0F8ABB48">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68D43D3A">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50BA640A">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707" w:type="dxa"/>
            <w:shd w:val="clear" w:color="auto" w:fill="auto"/>
            <w:vAlign w:val="center"/>
          </w:tcPr>
          <w:p w14:paraId="36A894E8">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【优】总体布置有针对性、合理，较好满足施工需要，符合绿色施工、安全防护、文明施工要求。</w:t>
            </w:r>
          </w:p>
          <w:p w14:paraId="0FBDC27C">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【良】总体布置合理，能满足施工需要，基本符合绿色施工、安全防护、文明施工要求。</w:t>
            </w:r>
          </w:p>
          <w:p w14:paraId="1256F751">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【中】总体布置基本合理，基本满足施工需要。</w:t>
            </w:r>
          </w:p>
          <w:p w14:paraId="63CBDBD1">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【差】总体布置不合理，不符合绿色施工、安全防护、文明施工要求。</w:t>
            </w:r>
          </w:p>
        </w:tc>
      </w:tr>
      <w:tr w14:paraId="1A3C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7FC4D738">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项目</w:t>
            </w:r>
          </w:p>
          <w:p w14:paraId="14E28005">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管理机构</w:t>
            </w:r>
          </w:p>
          <w:p w14:paraId="5ACB4C6B">
            <w:pPr>
              <w:pStyle w:val="35"/>
              <w:wordWrap w:val="0"/>
              <w:adjustRightInd w:val="0"/>
              <w:snapToGrid w:val="0"/>
              <w:spacing w:line="40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u w:val="single"/>
              </w:rPr>
              <w:t>3</w:t>
            </w:r>
            <w:r>
              <w:rPr>
                <w:rFonts w:hint="eastAsia" w:ascii="宋体" w:hAnsi="宋体" w:eastAsia="宋体" w:cs="宋体"/>
                <w:snapToGrid w:val="0"/>
                <w:color w:val="auto"/>
                <w:kern w:val="0"/>
                <w:sz w:val="24"/>
                <w:szCs w:val="24"/>
                <w:highlight w:val="none"/>
              </w:rPr>
              <w:t>分）</w:t>
            </w:r>
          </w:p>
        </w:tc>
        <w:tc>
          <w:tcPr>
            <w:tcW w:w="3933" w:type="dxa"/>
            <w:shd w:val="clear" w:color="auto" w:fill="auto"/>
            <w:vAlign w:val="center"/>
          </w:tcPr>
          <w:p w14:paraId="190990A0">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【优】得该项因素分的90%～100%（含90%）；</w:t>
            </w:r>
          </w:p>
          <w:p w14:paraId="31925A76">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【良】得该项因素分的80%～90%（含80%）；</w:t>
            </w:r>
          </w:p>
          <w:p w14:paraId="7980F0FF">
            <w:pPr>
              <w:pStyle w:val="43"/>
              <w:wordWrap w:val="0"/>
              <w:adjustRightInd w:val="0"/>
              <w:snapToGrid w:val="0"/>
              <w:spacing w:line="360" w:lineRule="auto"/>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【中】得该项因素分的70%～80%（含70%）；</w:t>
            </w:r>
          </w:p>
          <w:p w14:paraId="4A085E56">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【差】得该项因素分的60%～70%（含60%）。</w:t>
            </w:r>
          </w:p>
        </w:tc>
        <w:tc>
          <w:tcPr>
            <w:tcW w:w="4707" w:type="dxa"/>
            <w:shd w:val="clear" w:color="auto" w:fill="auto"/>
            <w:vAlign w:val="center"/>
          </w:tcPr>
          <w:p w14:paraId="71575887">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【优】组织机构形式合理，有完善的指挥系统，生产及质量、绿色施工、安全、文明施工、创优达标监控系统、联络协调系统，项目管理人员内高级职称人员</w:t>
            </w:r>
            <w:r>
              <w:rPr>
                <w:rFonts w:hint="eastAsia" w:ascii="宋体" w:hAnsi="宋体" w:eastAsia="宋体" w:cs="宋体"/>
                <w:snapToGrid w:val="0"/>
                <w:color w:val="auto"/>
                <w:kern w:val="0"/>
                <w:sz w:val="24"/>
                <w:szCs w:val="24"/>
                <w:highlight w:val="none"/>
                <w:lang w:val="en-US" w:eastAsia="zh-CN"/>
              </w:rPr>
              <w:t>15</w:t>
            </w:r>
            <w:r>
              <w:rPr>
                <w:rFonts w:hint="eastAsia" w:ascii="宋体" w:hAnsi="宋体" w:eastAsia="宋体" w:cs="宋体"/>
                <w:snapToGrid w:val="0"/>
                <w:color w:val="auto"/>
                <w:kern w:val="0"/>
                <w:sz w:val="24"/>
                <w:szCs w:val="24"/>
                <w:highlight w:val="none"/>
              </w:rPr>
              <w:t>%（含</w:t>
            </w:r>
            <w:r>
              <w:rPr>
                <w:rFonts w:hint="eastAsia" w:ascii="宋体" w:hAnsi="宋体" w:eastAsia="宋体" w:cs="宋体"/>
                <w:snapToGrid w:val="0"/>
                <w:color w:val="auto"/>
                <w:kern w:val="0"/>
                <w:sz w:val="24"/>
                <w:szCs w:val="24"/>
                <w:highlight w:val="none"/>
                <w:lang w:val="en-US" w:eastAsia="zh-CN"/>
              </w:rPr>
              <w:t>15</w:t>
            </w:r>
            <w:r>
              <w:rPr>
                <w:rFonts w:hint="eastAsia" w:ascii="宋体" w:hAnsi="宋体" w:eastAsia="宋体" w:cs="宋体"/>
                <w:snapToGrid w:val="0"/>
                <w:color w:val="auto"/>
                <w:kern w:val="0"/>
                <w:sz w:val="24"/>
                <w:szCs w:val="24"/>
                <w:highlight w:val="none"/>
              </w:rPr>
              <w:t>%）以上、中级职称人员</w:t>
            </w:r>
            <w:r>
              <w:rPr>
                <w:rFonts w:hint="eastAsia" w:ascii="宋体" w:hAnsi="宋体" w:eastAsia="宋体" w:cs="宋体"/>
                <w:b/>
                <w:bCs/>
                <w:snapToGrid w:val="0"/>
                <w:color w:val="auto"/>
                <w:kern w:val="0"/>
                <w:sz w:val="24"/>
                <w:szCs w:val="24"/>
                <w:highlight w:val="none"/>
              </w:rPr>
              <w:t>及以上职称</w:t>
            </w:r>
            <w:r>
              <w:rPr>
                <w:rFonts w:hint="eastAsia" w:ascii="宋体" w:hAnsi="宋体" w:eastAsia="宋体" w:cs="宋体"/>
                <w:snapToGrid w:val="0"/>
                <w:color w:val="auto"/>
                <w:kern w:val="0"/>
                <w:sz w:val="24"/>
                <w:szCs w:val="24"/>
                <w:highlight w:val="none"/>
              </w:rPr>
              <w:t>60%（含60%）以上。</w:t>
            </w:r>
          </w:p>
          <w:p w14:paraId="1945A2A9">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【良】组织机构形式合理，指挥系统，生产及质量、绿色施工、安全、文明施工、创优达标监控系统、联络协调系统齐全，项目管理人员内高级职称人员</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15</w:t>
            </w:r>
            <w:r>
              <w:rPr>
                <w:rFonts w:hint="eastAsia" w:ascii="宋体" w:hAnsi="宋体" w:eastAsia="宋体" w:cs="宋体"/>
                <w:snapToGrid w:val="0"/>
                <w:color w:val="auto"/>
                <w:kern w:val="0"/>
                <w:sz w:val="24"/>
                <w:szCs w:val="24"/>
                <w:highlight w:val="none"/>
              </w:rPr>
              <w:t>%（含</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%）、中级职称</w:t>
            </w:r>
            <w:r>
              <w:rPr>
                <w:rFonts w:hint="eastAsia" w:ascii="宋体" w:hAnsi="宋体" w:eastAsia="宋体" w:cs="宋体"/>
                <w:b/>
                <w:bCs/>
                <w:snapToGrid w:val="0"/>
                <w:color w:val="auto"/>
                <w:kern w:val="0"/>
                <w:sz w:val="24"/>
                <w:szCs w:val="24"/>
                <w:highlight w:val="none"/>
              </w:rPr>
              <w:t>及以上职称</w:t>
            </w:r>
            <w:r>
              <w:rPr>
                <w:rFonts w:hint="eastAsia" w:ascii="宋体" w:hAnsi="宋体" w:eastAsia="宋体" w:cs="宋体"/>
                <w:snapToGrid w:val="0"/>
                <w:color w:val="auto"/>
                <w:kern w:val="0"/>
                <w:sz w:val="24"/>
                <w:szCs w:val="24"/>
                <w:highlight w:val="none"/>
              </w:rPr>
              <w:t>人员50%～60%（含50%）。</w:t>
            </w:r>
          </w:p>
          <w:p w14:paraId="0BEA0482">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【中】组织机构形式基本合理，有指挥系统，生产及质量、绿色施工、安全、文明施工、创优达标监控系统、联络协调系统，项目管理人员内高级职称人员</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w:t>
            </w:r>
            <w:r>
              <w:rPr>
                <w:rFonts w:hint="eastAsia" w:ascii="宋体" w:hAnsi="宋体" w:eastAsia="宋体" w:cs="宋体"/>
                <w:snapToGrid w:val="0"/>
                <w:color w:val="auto"/>
                <w:kern w:val="0"/>
                <w:sz w:val="24"/>
                <w:szCs w:val="24"/>
                <w:highlight w:val="none"/>
                <w:lang w:val="en-US" w:eastAsia="zh-CN"/>
              </w:rPr>
              <w:t>10</w:t>
            </w:r>
            <w:r>
              <w:rPr>
                <w:rFonts w:hint="eastAsia" w:ascii="宋体" w:hAnsi="宋体" w:eastAsia="宋体" w:cs="宋体"/>
                <w:snapToGrid w:val="0"/>
                <w:color w:val="auto"/>
                <w:kern w:val="0"/>
                <w:sz w:val="24"/>
                <w:szCs w:val="24"/>
                <w:highlight w:val="none"/>
              </w:rPr>
              <w:t>%（含</w:t>
            </w:r>
            <w:r>
              <w:rPr>
                <w:rFonts w:hint="eastAsia" w:ascii="宋体" w:hAnsi="宋体" w:eastAsia="宋体" w:cs="宋体"/>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%）、中级职称人员</w:t>
            </w:r>
            <w:r>
              <w:rPr>
                <w:rFonts w:hint="eastAsia" w:ascii="宋体" w:hAnsi="宋体" w:eastAsia="宋体" w:cs="宋体"/>
                <w:b/>
                <w:bCs/>
                <w:snapToGrid w:val="0"/>
                <w:color w:val="auto"/>
                <w:kern w:val="0"/>
                <w:sz w:val="24"/>
                <w:szCs w:val="24"/>
                <w:highlight w:val="none"/>
              </w:rPr>
              <w:t>及以上职称</w:t>
            </w:r>
            <w:r>
              <w:rPr>
                <w:rFonts w:hint="eastAsia" w:ascii="宋体" w:hAnsi="宋体" w:eastAsia="宋体" w:cs="宋体"/>
                <w:snapToGrid w:val="0"/>
                <w:color w:val="auto"/>
                <w:kern w:val="0"/>
                <w:sz w:val="24"/>
                <w:szCs w:val="24"/>
                <w:highlight w:val="none"/>
              </w:rPr>
              <w:t>40%～50%（含40%）。</w:t>
            </w:r>
          </w:p>
          <w:p w14:paraId="5AFFFA65">
            <w:pPr>
              <w:pStyle w:val="44"/>
              <w:wordWrap w:val="0"/>
              <w:adjustRightInd w:val="0"/>
              <w:snapToGrid w:val="0"/>
              <w:spacing w:line="400" w:lineRule="exac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【差】组织机构形式合理，指挥系统，生产及质量、绿色施工、安全、文明施工、创优达标监控系统、联络协调系统不齐全，项目管理人员内高级职称人员10%以下、中级职称人员</w:t>
            </w:r>
            <w:r>
              <w:rPr>
                <w:rFonts w:hint="eastAsia" w:ascii="宋体" w:hAnsi="宋体" w:eastAsia="宋体" w:cs="宋体"/>
                <w:b/>
                <w:bCs/>
                <w:snapToGrid w:val="0"/>
                <w:color w:val="auto"/>
                <w:kern w:val="0"/>
                <w:sz w:val="24"/>
                <w:szCs w:val="24"/>
                <w:highlight w:val="none"/>
              </w:rPr>
              <w:t>及以上职称</w:t>
            </w:r>
            <w:r>
              <w:rPr>
                <w:rFonts w:hint="eastAsia" w:ascii="宋体" w:hAnsi="宋体" w:eastAsia="宋体" w:cs="宋体"/>
                <w:snapToGrid w:val="0"/>
                <w:color w:val="auto"/>
                <w:kern w:val="0"/>
                <w:sz w:val="24"/>
                <w:szCs w:val="24"/>
                <w:highlight w:val="none"/>
              </w:rPr>
              <w:t>40%以下。</w:t>
            </w:r>
          </w:p>
        </w:tc>
      </w:tr>
      <w:tr w14:paraId="23CBB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854" w:type="dxa"/>
            <w:gridSpan w:val="3"/>
          </w:tcPr>
          <w:p w14:paraId="30D9DD1E">
            <w:pPr>
              <w:widowControl w:val="0"/>
              <w:spacing w:line="360" w:lineRule="auto"/>
              <w:jc w:val="both"/>
              <w:rPr>
                <w:rFonts w:hint="eastAsia" w:ascii="宋体" w:hAnsi="宋体" w:eastAsia="宋体" w:cs="宋体"/>
                <w:sz w:val="24"/>
                <w:szCs w:val="24"/>
                <w:vertAlign w:val="baseline"/>
              </w:rPr>
            </w:pPr>
            <w:r>
              <w:rPr>
                <w:rFonts w:hint="eastAsia" w:ascii="宋体" w:hAnsi="宋体" w:eastAsia="宋体" w:cs="宋体"/>
                <w:snapToGrid w:val="0"/>
                <w:color w:val="000000"/>
                <w:kern w:val="0"/>
                <w:sz w:val="24"/>
                <w:szCs w:val="24"/>
              </w:rPr>
              <w:t>投标报价部分，满分：100分。</w:t>
            </w:r>
          </w:p>
        </w:tc>
      </w:tr>
      <w:tr w14:paraId="14ADA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vAlign w:val="center"/>
          </w:tcPr>
          <w:p w14:paraId="17A2E7A9">
            <w:pPr>
              <w:widowControl w:val="0"/>
              <w:wordWrap w:val="0"/>
              <w:adjustRightInd w:val="0"/>
              <w:snapToGrid w:val="0"/>
              <w:spacing w:line="360" w:lineRule="auto"/>
              <w:jc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rPr>
              <w:t>评分事项</w:t>
            </w:r>
          </w:p>
        </w:tc>
        <w:tc>
          <w:tcPr>
            <w:tcW w:w="8640" w:type="dxa"/>
            <w:gridSpan w:val="2"/>
            <w:vAlign w:val="center"/>
          </w:tcPr>
          <w:p w14:paraId="0C822854">
            <w:pPr>
              <w:widowControl w:val="0"/>
              <w:wordWrap w:val="0"/>
              <w:adjustRightInd w:val="0"/>
              <w:snapToGrid w:val="0"/>
              <w:spacing w:line="360" w:lineRule="auto"/>
              <w:jc w:val="center"/>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rPr>
              <w:t>评分方法</w:t>
            </w:r>
          </w:p>
        </w:tc>
      </w:tr>
      <w:tr w14:paraId="06F0D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7C2C4CAE">
            <w:pPr>
              <w:pStyle w:val="35"/>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评标基准价D</w:t>
            </w:r>
          </w:p>
        </w:tc>
        <w:tc>
          <w:tcPr>
            <w:tcW w:w="8640" w:type="dxa"/>
            <w:gridSpan w:val="2"/>
            <w:shd w:val="clear" w:color="auto" w:fill="auto"/>
            <w:vAlign w:val="center"/>
          </w:tcPr>
          <w:p w14:paraId="612E9196">
            <w:pPr>
              <w:widowControl w:val="0"/>
              <w:wordWrap w:val="0"/>
              <w:adjustRightInd w:val="0"/>
              <w:snapToGrid w:val="0"/>
              <w:spacing w:line="36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（1）确定招标控制价下浮系数n：用1～21号球分别代表一个下浮系数，由评委代表从这21个号码中随机抽取</w:t>
            </w:r>
            <w:r>
              <w:rPr>
                <w:rFonts w:hint="eastAsia" w:ascii="宋体" w:hAnsi="宋体" w:eastAsia="宋体" w:cs="宋体"/>
                <w:snapToGrid w:val="0"/>
                <w:color w:val="auto"/>
                <w:kern w:val="0"/>
                <w:sz w:val="24"/>
                <w:szCs w:val="24"/>
                <w:highlight w:val="none"/>
                <w:u w:val="single"/>
              </w:rPr>
              <w:t xml:space="preserve"> 3 </w:t>
            </w:r>
            <w:r>
              <w:rPr>
                <w:rFonts w:hint="eastAsia" w:ascii="宋体" w:hAnsi="宋体" w:eastAsia="宋体" w:cs="宋体"/>
                <w:snapToGrid w:val="0"/>
                <w:color w:val="auto"/>
                <w:kern w:val="0"/>
                <w:sz w:val="24"/>
                <w:szCs w:val="24"/>
                <w:highlight w:val="none"/>
              </w:rPr>
              <w:t>次，每次抽取1个号码，抽出的号球不参与下次抽取。所抽取的3个号码对应下浮系数的算术平均值作为招标控制价下浮系数n。具体号码对应的下浮系数可参考下表。</w:t>
            </w:r>
          </w:p>
          <w:tbl>
            <w:tblPr>
              <w:tblStyle w:val="24"/>
              <w:tblW w:w="0" w:type="auto"/>
              <w:jc w:val="center"/>
              <w:tblLayout w:type="autofit"/>
              <w:tblCellMar>
                <w:top w:w="0" w:type="dxa"/>
                <w:left w:w="108" w:type="dxa"/>
                <w:bottom w:w="0" w:type="dxa"/>
                <w:right w:w="108" w:type="dxa"/>
              </w:tblCellMar>
            </w:tblPr>
            <w:tblGrid>
              <w:gridCol w:w="1818"/>
              <w:gridCol w:w="828"/>
              <w:gridCol w:w="865"/>
              <w:gridCol w:w="901"/>
              <w:gridCol w:w="885"/>
              <w:gridCol w:w="921"/>
              <w:gridCol w:w="864"/>
              <w:gridCol w:w="854"/>
            </w:tblGrid>
            <w:tr w14:paraId="1908EE79">
              <w:tblPrEx>
                <w:tblCellMar>
                  <w:top w:w="0" w:type="dxa"/>
                  <w:left w:w="108" w:type="dxa"/>
                  <w:bottom w:w="0" w:type="dxa"/>
                  <w:right w:w="108" w:type="dxa"/>
                </w:tblCellMar>
              </w:tblPrEx>
              <w:trPr>
                <w:trHeight w:val="340" w:hRule="exact"/>
                <w:jc w:val="center"/>
              </w:trPr>
              <w:tc>
                <w:tcPr>
                  <w:tcW w:w="1818"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3BD9191">
                  <w:pPr>
                    <w:wordWrap w:val="0"/>
                    <w:adjustRightInd w:val="0"/>
                    <w:snapToGrid w:val="0"/>
                    <w:spacing w:line="360" w:lineRule="exact"/>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828"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3B5309A1">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w:t>
                  </w:r>
                </w:p>
              </w:tc>
              <w:tc>
                <w:tcPr>
                  <w:tcW w:w="865"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191C602">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w:t>
                  </w:r>
                </w:p>
              </w:tc>
              <w:tc>
                <w:tcPr>
                  <w:tcW w:w="90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02A3737">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w:t>
                  </w:r>
                </w:p>
              </w:tc>
              <w:tc>
                <w:tcPr>
                  <w:tcW w:w="885"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540176A">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w:t>
                  </w:r>
                </w:p>
              </w:tc>
              <w:tc>
                <w:tcPr>
                  <w:tcW w:w="92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3B000509">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w:t>
                  </w:r>
                </w:p>
              </w:tc>
              <w:tc>
                <w:tcPr>
                  <w:tcW w:w="86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EAEB6EB">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w:t>
                  </w:r>
                </w:p>
              </w:tc>
              <w:tc>
                <w:tcPr>
                  <w:tcW w:w="85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BAB25B8">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w:t>
                  </w:r>
                </w:p>
              </w:tc>
            </w:tr>
            <w:tr w14:paraId="6A05BF4E">
              <w:tblPrEx>
                <w:tblCellMar>
                  <w:top w:w="0" w:type="dxa"/>
                  <w:left w:w="108" w:type="dxa"/>
                  <w:bottom w:w="0" w:type="dxa"/>
                  <w:right w:w="108" w:type="dxa"/>
                </w:tblCellMar>
              </w:tblPrEx>
              <w:trPr>
                <w:trHeight w:val="340" w:hRule="exact"/>
                <w:jc w:val="center"/>
              </w:trPr>
              <w:tc>
                <w:tcPr>
                  <w:tcW w:w="1818" w:type="dxa"/>
                  <w:tcBorders>
                    <w:top w:val="single" w:color="000000" w:sz="4" w:space="0"/>
                    <w:left w:val="single" w:color="000000" w:sz="4" w:space="0"/>
                    <w:bottom w:val="single" w:color="000000" w:sz="4" w:space="0"/>
                    <w:right w:val="single" w:color="000000" w:sz="4" w:space="0"/>
                  </w:tcBorders>
                  <w:noWrap w:val="0"/>
                  <w:vAlign w:val="center"/>
                </w:tcPr>
                <w:p w14:paraId="0C9A36B2">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7B79F345">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75DF5B62">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14:paraId="7B8CB394">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6806469B">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3F90636">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13CDF38">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69404FFC">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r>
            <w:tr w14:paraId="74EDACA4">
              <w:tblPrEx>
                <w:tblCellMar>
                  <w:top w:w="0" w:type="dxa"/>
                  <w:left w:w="108" w:type="dxa"/>
                  <w:bottom w:w="0" w:type="dxa"/>
                  <w:right w:w="108" w:type="dxa"/>
                </w:tblCellMar>
              </w:tblPrEx>
              <w:trPr>
                <w:trHeight w:val="340" w:hRule="exact"/>
                <w:jc w:val="center"/>
              </w:trPr>
              <w:tc>
                <w:tcPr>
                  <w:tcW w:w="1818"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79C02E81">
                  <w:pPr>
                    <w:wordWrap w:val="0"/>
                    <w:adjustRightInd w:val="0"/>
                    <w:snapToGrid w:val="0"/>
                    <w:spacing w:line="360" w:lineRule="exact"/>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828"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CE464F2">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w:t>
                  </w:r>
                </w:p>
              </w:tc>
              <w:tc>
                <w:tcPr>
                  <w:tcW w:w="865"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415BCBD8">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9</w:t>
                  </w:r>
                </w:p>
              </w:tc>
              <w:tc>
                <w:tcPr>
                  <w:tcW w:w="90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51CEE95">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10</w:t>
                  </w:r>
                </w:p>
              </w:tc>
              <w:tc>
                <w:tcPr>
                  <w:tcW w:w="885"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79127EC">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11</w:t>
                  </w:r>
                </w:p>
              </w:tc>
              <w:tc>
                <w:tcPr>
                  <w:tcW w:w="92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51E6C6F8">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12</w:t>
                  </w:r>
                </w:p>
              </w:tc>
              <w:tc>
                <w:tcPr>
                  <w:tcW w:w="86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02D7C5C">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13</w:t>
                  </w:r>
                </w:p>
              </w:tc>
              <w:tc>
                <w:tcPr>
                  <w:tcW w:w="85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38DF2247">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14</w:t>
                  </w:r>
                </w:p>
              </w:tc>
            </w:tr>
            <w:tr w14:paraId="6E0B29C5">
              <w:tblPrEx>
                <w:tblCellMar>
                  <w:top w:w="0" w:type="dxa"/>
                  <w:left w:w="108" w:type="dxa"/>
                  <w:bottom w:w="0" w:type="dxa"/>
                  <w:right w:w="108" w:type="dxa"/>
                </w:tblCellMar>
              </w:tblPrEx>
              <w:trPr>
                <w:trHeight w:val="340" w:hRule="exact"/>
                <w:jc w:val="center"/>
              </w:trPr>
              <w:tc>
                <w:tcPr>
                  <w:tcW w:w="1818" w:type="dxa"/>
                  <w:tcBorders>
                    <w:top w:val="single" w:color="000000" w:sz="4" w:space="0"/>
                    <w:left w:val="single" w:color="000000" w:sz="4" w:space="0"/>
                    <w:bottom w:val="single" w:color="000000" w:sz="4" w:space="0"/>
                    <w:right w:val="single" w:color="000000" w:sz="4" w:space="0"/>
                  </w:tcBorders>
                  <w:noWrap w:val="0"/>
                  <w:vAlign w:val="center"/>
                </w:tcPr>
                <w:p w14:paraId="2E4AE75F">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1AC46DD3">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3A11ABB6">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14:paraId="32B11ACA">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37672745">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579A810D">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437E428">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2.2</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16C05319">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2.3</w:t>
                  </w:r>
                </w:p>
              </w:tc>
            </w:tr>
            <w:tr w14:paraId="243661CE">
              <w:tblPrEx>
                <w:tblCellMar>
                  <w:top w:w="0" w:type="dxa"/>
                  <w:left w:w="108" w:type="dxa"/>
                  <w:bottom w:w="0" w:type="dxa"/>
                  <w:right w:w="108" w:type="dxa"/>
                </w:tblCellMar>
              </w:tblPrEx>
              <w:trPr>
                <w:trHeight w:val="340" w:hRule="exact"/>
                <w:jc w:val="center"/>
              </w:trPr>
              <w:tc>
                <w:tcPr>
                  <w:tcW w:w="1818"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37344409">
                  <w:pPr>
                    <w:wordWrap w:val="0"/>
                    <w:adjustRightInd w:val="0"/>
                    <w:snapToGrid w:val="0"/>
                    <w:spacing w:line="360" w:lineRule="exact"/>
                    <w:jc w:val="center"/>
                    <w:rPr>
                      <w:rFonts w:hint="eastAsia" w:ascii="宋体" w:hAnsi="宋体" w:eastAsia="宋体" w:cs="宋体"/>
                      <w:b/>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号球</w:t>
                  </w:r>
                </w:p>
              </w:tc>
              <w:tc>
                <w:tcPr>
                  <w:tcW w:w="828"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C201424">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15</w:t>
                  </w:r>
                </w:p>
              </w:tc>
              <w:tc>
                <w:tcPr>
                  <w:tcW w:w="865"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702C813E">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16</w:t>
                  </w:r>
                </w:p>
              </w:tc>
              <w:tc>
                <w:tcPr>
                  <w:tcW w:w="90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0C310CE0">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17</w:t>
                  </w:r>
                </w:p>
              </w:tc>
              <w:tc>
                <w:tcPr>
                  <w:tcW w:w="885"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9E716D5">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18</w:t>
                  </w:r>
                </w:p>
              </w:tc>
              <w:tc>
                <w:tcPr>
                  <w:tcW w:w="921"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6CFF2867">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19</w:t>
                  </w:r>
                </w:p>
              </w:tc>
              <w:tc>
                <w:tcPr>
                  <w:tcW w:w="86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3DE5E9BE">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20</w:t>
                  </w:r>
                </w:p>
              </w:tc>
              <w:tc>
                <w:tcPr>
                  <w:tcW w:w="854" w:type="dxa"/>
                  <w:tcBorders>
                    <w:top w:val="single" w:color="000000" w:sz="4" w:space="0"/>
                    <w:left w:val="single" w:color="000000" w:sz="4" w:space="0"/>
                    <w:bottom w:val="single" w:color="000000" w:sz="4" w:space="0"/>
                    <w:right w:val="single" w:color="000000" w:sz="4" w:space="0"/>
                  </w:tcBorders>
                  <w:shd w:val="clear" w:color="auto" w:fill="D7D7D7"/>
                  <w:noWrap w:val="0"/>
                  <w:vAlign w:val="center"/>
                </w:tcPr>
                <w:p w14:paraId="1D9F4120">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21</w:t>
                  </w:r>
                </w:p>
              </w:tc>
            </w:tr>
            <w:tr w14:paraId="02029A12">
              <w:tblPrEx>
                <w:tblCellMar>
                  <w:top w:w="0" w:type="dxa"/>
                  <w:left w:w="108" w:type="dxa"/>
                  <w:bottom w:w="0" w:type="dxa"/>
                  <w:right w:w="108" w:type="dxa"/>
                </w:tblCellMar>
              </w:tblPrEx>
              <w:trPr>
                <w:trHeight w:val="340" w:hRule="exact"/>
                <w:jc w:val="center"/>
              </w:trPr>
              <w:tc>
                <w:tcPr>
                  <w:tcW w:w="1818" w:type="dxa"/>
                  <w:tcBorders>
                    <w:top w:val="single" w:color="000000" w:sz="4" w:space="0"/>
                    <w:left w:val="single" w:color="000000" w:sz="4" w:space="0"/>
                    <w:bottom w:val="single" w:color="000000" w:sz="4" w:space="0"/>
                    <w:right w:val="single" w:color="000000" w:sz="4" w:space="0"/>
                  </w:tcBorders>
                  <w:noWrap w:val="0"/>
                  <w:vAlign w:val="center"/>
                </w:tcPr>
                <w:p w14:paraId="7CFEE0DC">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下浮系数（%）</w:t>
                  </w:r>
                </w:p>
              </w:tc>
              <w:tc>
                <w:tcPr>
                  <w:tcW w:w="828" w:type="dxa"/>
                  <w:tcBorders>
                    <w:top w:val="single" w:color="000000" w:sz="4" w:space="0"/>
                    <w:left w:val="single" w:color="000000" w:sz="4" w:space="0"/>
                    <w:bottom w:val="single" w:color="000000" w:sz="4" w:space="0"/>
                    <w:right w:val="single" w:color="000000" w:sz="4" w:space="0"/>
                  </w:tcBorders>
                  <w:noWrap w:val="0"/>
                  <w:vAlign w:val="center"/>
                </w:tcPr>
                <w:p w14:paraId="377BCE3E">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2.4</w:t>
                  </w:r>
                </w:p>
              </w:tc>
              <w:tc>
                <w:tcPr>
                  <w:tcW w:w="865" w:type="dxa"/>
                  <w:tcBorders>
                    <w:top w:val="single" w:color="000000" w:sz="4" w:space="0"/>
                    <w:left w:val="single" w:color="000000" w:sz="4" w:space="0"/>
                    <w:bottom w:val="single" w:color="000000" w:sz="4" w:space="0"/>
                    <w:right w:val="single" w:color="000000" w:sz="4" w:space="0"/>
                  </w:tcBorders>
                  <w:noWrap w:val="0"/>
                  <w:vAlign w:val="center"/>
                </w:tcPr>
                <w:p w14:paraId="1F593121">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2.5</w:t>
                  </w:r>
                </w:p>
              </w:tc>
              <w:tc>
                <w:tcPr>
                  <w:tcW w:w="901" w:type="dxa"/>
                  <w:tcBorders>
                    <w:top w:val="single" w:color="000000" w:sz="4" w:space="0"/>
                    <w:left w:val="single" w:color="000000" w:sz="4" w:space="0"/>
                    <w:bottom w:val="single" w:color="000000" w:sz="4" w:space="0"/>
                    <w:right w:val="single" w:color="000000" w:sz="4" w:space="0"/>
                  </w:tcBorders>
                  <w:noWrap w:val="0"/>
                  <w:vAlign w:val="center"/>
                </w:tcPr>
                <w:p w14:paraId="070B76A2">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2.6</w:t>
                  </w:r>
                </w:p>
              </w:tc>
              <w:tc>
                <w:tcPr>
                  <w:tcW w:w="885" w:type="dxa"/>
                  <w:tcBorders>
                    <w:top w:val="single" w:color="000000" w:sz="4" w:space="0"/>
                    <w:left w:val="single" w:color="000000" w:sz="4" w:space="0"/>
                    <w:bottom w:val="single" w:color="000000" w:sz="4" w:space="0"/>
                    <w:right w:val="single" w:color="000000" w:sz="4" w:space="0"/>
                  </w:tcBorders>
                  <w:noWrap w:val="0"/>
                  <w:vAlign w:val="center"/>
                </w:tcPr>
                <w:p w14:paraId="33457362">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2.7</w:t>
                  </w:r>
                </w:p>
              </w:tc>
              <w:tc>
                <w:tcPr>
                  <w:tcW w:w="921" w:type="dxa"/>
                  <w:tcBorders>
                    <w:top w:val="single" w:color="000000" w:sz="4" w:space="0"/>
                    <w:left w:val="single" w:color="000000" w:sz="4" w:space="0"/>
                    <w:bottom w:val="single" w:color="000000" w:sz="4" w:space="0"/>
                    <w:right w:val="single" w:color="000000" w:sz="4" w:space="0"/>
                  </w:tcBorders>
                  <w:noWrap w:val="0"/>
                  <w:vAlign w:val="center"/>
                </w:tcPr>
                <w:p w14:paraId="0E8D7128">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5B498BE">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2.9</w:t>
                  </w:r>
                </w:p>
              </w:tc>
              <w:tc>
                <w:tcPr>
                  <w:tcW w:w="854" w:type="dxa"/>
                  <w:tcBorders>
                    <w:top w:val="single" w:color="000000" w:sz="4" w:space="0"/>
                    <w:left w:val="single" w:color="000000" w:sz="4" w:space="0"/>
                    <w:bottom w:val="single" w:color="000000" w:sz="4" w:space="0"/>
                    <w:right w:val="single" w:color="000000" w:sz="4" w:space="0"/>
                  </w:tcBorders>
                  <w:noWrap w:val="0"/>
                  <w:vAlign w:val="center"/>
                </w:tcPr>
                <w:p w14:paraId="741E8E76">
                  <w:pPr>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3.0</w:t>
                  </w:r>
                </w:p>
              </w:tc>
            </w:tr>
          </w:tbl>
          <w:p w14:paraId="2BB8D307">
            <w:pPr>
              <w:widowControl w:val="0"/>
              <w:wordWrap w:val="0"/>
              <w:adjustRightInd w:val="0"/>
              <w:snapToGrid w:val="0"/>
              <w:spacing w:line="360" w:lineRule="exact"/>
              <w:ind w:firstLine="480" w:firstLineChars="2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（2）评标基准价D＝招标控制价×（1－n）</w:t>
            </w:r>
          </w:p>
        </w:tc>
      </w:tr>
      <w:tr w14:paraId="538B2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14" w:type="dxa"/>
            <w:shd w:val="clear" w:color="auto" w:fill="auto"/>
            <w:vAlign w:val="center"/>
          </w:tcPr>
          <w:p w14:paraId="67E23FD4">
            <w:pPr>
              <w:pStyle w:val="35"/>
              <w:wordWrap w:val="0"/>
              <w:adjustRightInd w:val="0"/>
              <w:snapToGrid w:val="0"/>
              <w:spacing w:line="360" w:lineRule="exact"/>
              <w:jc w:val="center"/>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投标报价</w:t>
            </w:r>
          </w:p>
          <w:p w14:paraId="5215C3F5">
            <w:pPr>
              <w:pStyle w:val="35"/>
              <w:wordWrap w:val="0"/>
              <w:adjustRightInd w:val="0"/>
              <w:snapToGrid w:val="0"/>
              <w:spacing w:line="360" w:lineRule="exact"/>
              <w:jc w:val="center"/>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得分N</w:t>
            </w:r>
          </w:p>
        </w:tc>
        <w:tc>
          <w:tcPr>
            <w:tcW w:w="8640" w:type="dxa"/>
            <w:gridSpan w:val="2"/>
            <w:shd w:val="clear" w:color="auto" w:fill="auto"/>
            <w:vAlign w:val="center"/>
          </w:tcPr>
          <w:p w14:paraId="0922947F">
            <w:pPr>
              <w:widowControl w:val="0"/>
              <w:wordWrap w:val="0"/>
              <w:adjustRightInd w:val="0"/>
              <w:snapToGrid w:val="0"/>
              <w:spacing w:line="36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采用内插法计算某投标人的投标报价得分N，即当投标人的投标总价等于评标基准价时得100分，每高于评标基准价一个百分点扣1分，每低于评标基准价一个百分点扣0.5分，扣完为止。公式如下：</w:t>
            </w:r>
          </w:p>
          <w:p w14:paraId="027C8612">
            <w:pPr>
              <w:widowControl w:val="0"/>
              <w:wordWrap w:val="0"/>
              <w:adjustRightInd w:val="0"/>
              <w:snapToGrid w:val="0"/>
              <w:spacing w:line="36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N＝100－（| Di－D | ÷D）×100×E</w:t>
            </w:r>
          </w:p>
          <w:p w14:paraId="1AC37A3D">
            <w:pPr>
              <w:widowControl w:val="0"/>
              <w:wordWrap w:val="0"/>
              <w:adjustRightInd w:val="0"/>
              <w:snapToGrid w:val="0"/>
              <w:spacing w:line="360" w:lineRule="exact"/>
              <w:ind w:firstLine="480" w:firstLineChars="20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snapToGrid w:val="0"/>
                <w:color w:val="auto"/>
                <w:kern w:val="0"/>
                <w:sz w:val="24"/>
                <w:szCs w:val="24"/>
                <w:highlight w:val="none"/>
              </w:rPr>
              <w:t>式中：D为评标基准价；Di为某投标人的投标总价；E为扣分因子，当Di＞D时，E＝1；当Di＜D时，E＝0.5。</w:t>
            </w:r>
          </w:p>
        </w:tc>
      </w:tr>
    </w:tbl>
    <w:p w14:paraId="418D5172">
      <w:pPr>
        <w:spacing w:before="38" w:line="360" w:lineRule="auto"/>
        <w:rPr>
          <w:rFonts w:hint="eastAsia" w:ascii="宋体" w:hAnsi="宋体" w:eastAsia="宋体" w:cs="宋体"/>
          <w:b w:val="0"/>
          <w:bCs w:val="0"/>
          <w:color w:val="auto"/>
          <w:spacing w:val="-2"/>
          <w:sz w:val="24"/>
          <w:szCs w:val="24"/>
          <w:highlight w:val="none"/>
        </w:rPr>
      </w:pPr>
      <w:bookmarkStart w:id="133" w:name="_Toc178"/>
      <w:bookmarkStart w:id="134" w:name="_Toc9725"/>
      <w:bookmarkStart w:id="135" w:name="_Toc31744"/>
      <w:bookmarkStart w:id="136" w:name="_Toc5769"/>
      <w:r>
        <w:rPr>
          <w:rFonts w:hint="eastAsia" w:ascii="宋体" w:hAnsi="宋体" w:eastAsia="宋体" w:cs="宋体"/>
          <w:b/>
          <w:bCs/>
          <w:color w:val="auto"/>
          <w:spacing w:val="-2"/>
          <w:sz w:val="24"/>
          <w:szCs w:val="24"/>
          <w:highlight w:val="none"/>
        </w:rPr>
        <w:t xml:space="preserve">15.5.2  </w:t>
      </w:r>
      <w:r>
        <w:rPr>
          <w:rFonts w:hint="eastAsia" w:ascii="宋体" w:hAnsi="宋体" w:eastAsia="宋体" w:cs="宋体"/>
          <w:b w:val="0"/>
          <w:bCs w:val="0"/>
          <w:color w:val="auto"/>
          <w:spacing w:val="-2"/>
          <w:sz w:val="24"/>
          <w:szCs w:val="24"/>
          <w:highlight w:val="none"/>
        </w:rPr>
        <w:t>否决投标说明</w:t>
      </w:r>
      <w:bookmarkEnd w:id="133"/>
      <w:bookmarkEnd w:id="134"/>
      <w:bookmarkEnd w:id="135"/>
      <w:bookmarkEnd w:id="136"/>
    </w:p>
    <w:p w14:paraId="4FE43509">
      <w:pPr>
        <w:spacing w:before="150" w:line="360" w:lineRule="auto"/>
        <w:ind w:right="195" w:firstLine="460" w:firstLineChars="200"/>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详细评审阶段否决投标的全部条件，在本章第四节“否决投标条件</w:t>
      </w:r>
      <w:r>
        <w:rPr>
          <w:rFonts w:hint="eastAsia" w:ascii="宋体" w:hAnsi="宋体" w:eastAsia="宋体" w:cs="宋体"/>
          <w:color w:val="auto"/>
          <w:spacing w:val="-77"/>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5"/>
          <w:sz w:val="24"/>
          <w:szCs w:val="24"/>
          <w:highlight w:val="none"/>
        </w:rPr>
        <w:t xml:space="preserve">4 </w:t>
      </w:r>
      <w:r>
        <w:rPr>
          <w:rFonts w:hint="eastAsia" w:ascii="宋体" w:hAnsi="宋体" w:eastAsia="宋体" w:cs="宋体"/>
          <w:color w:val="auto"/>
          <w:spacing w:val="-5"/>
          <w:sz w:val="24"/>
          <w:szCs w:val="24"/>
          <w:highlight w:val="none"/>
        </w:rPr>
        <w:t>条中集</w:t>
      </w:r>
      <w:r>
        <w:rPr>
          <w:rFonts w:hint="eastAsia" w:ascii="宋体" w:hAnsi="宋体" w:eastAsia="宋体" w:cs="宋体"/>
          <w:color w:val="auto"/>
          <w:spacing w:val="-1"/>
          <w:sz w:val="24"/>
          <w:szCs w:val="24"/>
          <w:highlight w:val="none"/>
        </w:rPr>
        <w:t>中列示。投标人有其中所列任何一种情形的，由评标委员会</w:t>
      </w:r>
      <w:r>
        <w:rPr>
          <w:rFonts w:hint="eastAsia" w:ascii="宋体" w:hAnsi="宋体" w:eastAsia="宋体" w:cs="宋体"/>
          <w:color w:val="auto"/>
          <w:spacing w:val="-5"/>
          <w:sz w:val="24"/>
          <w:szCs w:val="24"/>
          <w:highlight w:val="none"/>
        </w:rPr>
        <w:t>否决其投标。评标委员会经评审，认为所有投标都不符合招标文件要求的，可否决所有投标，项目的所有投标被否决的，招标人应依法重新组织招标。</w:t>
      </w:r>
    </w:p>
    <w:p w14:paraId="2B7FCCB7">
      <w:pPr>
        <w:spacing w:before="59" w:line="360" w:lineRule="auto"/>
        <w:ind w:left="10" w:right="195" w:firstLine="48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注：投标人在详细评审阶段根据评分方法提供的佐证材料，其合法性、有效性和准确性不符合要求的，有关量化因素（或评分因素）的折算、调整（或评分）按相应</w:t>
      </w:r>
      <w:r>
        <w:rPr>
          <w:rFonts w:hint="eastAsia" w:ascii="宋体" w:hAnsi="宋体" w:eastAsia="宋体" w:cs="宋体"/>
          <w:b/>
          <w:bCs/>
          <w:color w:val="auto"/>
          <w:spacing w:val="-3"/>
          <w:sz w:val="24"/>
          <w:szCs w:val="24"/>
          <w:highlight w:val="none"/>
        </w:rPr>
        <w:t>量化标准（或评分标准）处理，但不否决投标。</w:t>
      </w:r>
    </w:p>
    <w:p w14:paraId="2A888BCA">
      <w:pPr>
        <w:spacing w:before="78" w:line="360" w:lineRule="auto"/>
        <w:ind w:left="496"/>
        <w:outlineLvl w:val="2"/>
        <w:rPr>
          <w:rFonts w:hint="eastAsia" w:ascii="宋体" w:hAnsi="宋体" w:eastAsia="宋体" w:cs="宋体"/>
          <w:color w:val="auto"/>
          <w:sz w:val="24"/>
          <w:szCs w:val="24"/>
          <w:highlight w:val="none"/>
        </w:rPr>
      </w:pPr>
      <w:bookmarkStart w:id="137" w:name="bookmark137"/>
      <w:bookmarkEnd w:id="137"/>
      <w:bookmarkStart w:id="138" w:name="_Toc269"/>
      <w:bookmarkStart w:id="139" w:name="_Toc29518"/>
      <w:r>
        <w:rPr>
          <w:rFonts w:hint="eastAsia" w:ascii="宋体" w:hAnsi="宋体" w:eastAsia="宋体" w:cs="宋体"/>
          <w:b/>
          <w:bCs/>
          <w:color w:val="auto"/>
          <w:spacing w:val="-7"/>
          <w:sz w:val="24"/>
          <w:szCs w:val="24"/>
          <w:highlight w:val="none"/>
        </w:rPr>
        <w:t>16</w:t>
      </w:r>
      <w:r>
        <w:rPr>
          <w:rFonts w:hint="eastAsia" w:ascii="宋体" w:hAnsi="宋体" w:eastAsia="宋体" w:cs="宋体"/>
          <w:b/>
          <w:bCs/>
          <w:color w:val="auto"/>
          <w:spacing w:val="-20"/>
          <w:sz w:val="24"/>
          <w:szCs w:val="24"/>
          <w:highlight w:val="none"/>
          <w:lang w:eastAsia="zh-CN"/>
        </w:rPr>
        <w:t>.</w:t>
      </w:r>
      <w:r>
        <w:rPr>
          <w:rFonts w:hint="eastAsia" w:ascii="宋体" w:hAnsi="宋体" w:eastAsia="宋体" w:cs="宋体"/>
          <w:b/>
          <w:bCs/>
          <w:color w:val="auto"/>
          <w:spacing w:val="-7"/>
          <w:sz w:val="24"/>
          <w:szCs w:val="24"/>
          <w:highlight w:val="none"/>
        </w:rPr>
        <w:t>中标候选人公示</w:t>
      </w:r>
      <w:bookmarkEnd w:id="138"/>
      <w:bookmarkEnd w:id="139"/>
    </w:p>
    <w:p w14:paraId="14D4EA81">
      <w:pPr>
        <w:spacing w:before="135" w:line="360" w:lineRule="auto"/>
        <w:ind w:left="2" w:right="105" w:firstLine="494"/>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16.1  </w:t>
      </w:r>
      <w:r>
        <w:rPr>
          <w:rFonts w:hint="eastAsia" w:ascii="宋体" w:hAnsi="宋体" w:eastAsia="宋体" w:cs="宋体"/>
          <w:color w:val="auto"/>
          <w:spacing w:val="1"/>
          <w:sz w:val="24"/>
          <w:szCs w:val="24"/>
          <w:highlight w:val="none"/>
        </w:rPr>
        <w:t>招标人自收到评标委员会提交的书面评标报告和中标候选人名单之日起3日</w:t>
      </w:r>
      <w:r>
        <w:rPr>
          <w:rFonts w:hint="eastAsia" w:ascii="宋体" w:hAnsi="宋体" w:eastAsia="宋体" w:cs="宋体"/>
          <w:color w:val="auto"/>
          <w:spacing w:val="-1"/>
          <w:sz w:val="24"/>
          <w:szCs w:val="24"/>
          <w:highlight w:val="none"/>
        </w:rPr>
        <w:t>内，将评标结果（即中标候选人名单）、中标候选人投标</w:t>
      </w:r>
      <w:r>
        <w:rPr>
          <w:rFonts w:hint="eastAsia" w:ascii="宋体" w:hAnsi="宋体" w:eastAsia="宋体" w:cs="宋体"/>
          <w:color w:val="auto"/>
          <w:spacing w:val="-2"/>
          <w:sz w:val="24"/>
          <w:szCs w:val="24"/>
          <w:highlight w:val="none"/>
        </w:rPr>
        <w:t>文件（指商务标书分册）、评</w:t>
      </w:r>
      <w:r>
        <w:rPr>
          <w:rFonts w:hint="eastAsia" w:ascii="宋体" w:hAnsi="宋体" w:eastAsia="宋体" w:cs="宋体"/>
          <w:color w:val="auto"/>
          <w:sz w:val="24"/>
          <w:szCs w:val="24"/>
          <w:highlight w:val="none"/>
        </w:rPr>
        <w:t>标过程（评标专家姓名用代码标记）一并在广东省招标投标监管网（http://zbtb.gd</w:t>
      </w:r>
      <w:r>
        <w:rPr>
          <w:rFonts w:hint="eastAsia" w:ascii="宋体" w:hAnsi="宋体" w:eastAsia="宋体" w:cs="宋体"/>
          <w:color w:val="auto"/>
          <w:spacing w:val="-1"/>
          <w:sz w:val="24"/>
          <w:szCs w:val="24"/>
          <w:highlight w:val="none"/>
        </w:rPr>
        <w:t>.gov.cn）、全国公共资源交易平台（广东省·韶关市</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https://ygp.gdzwfw.gov.cn/ggzy-po</w:t>
      </w:r>
      <w:r>
        <w:rPr>
          <w:rFonts w:hint="eastAsia" w:ascii="宋体" w:hAnsi="宋体" w:eastAsia="宋体" w:cs="宋体"/>
          <w:color w:val="auto"/>
          <w:spacing w:val="-2"/>
          <w:sz w:val="24"/>
          <w:szCs w:val="24"/>
          <w:highlight w:val="none"/>
        </w:rPr>
        <w:t>rta</w:t>
      </w:r>
      <w:r>
        <w:rPr>
          <w:rFonts w:hint="eastAsia" w:ascii="宋体" w:hAnsi="宋体" w:eastAsia="宋体" w:cs="宋体"/>
          <w:color w:val="auto"/>
          <w:sz w:val="24"/>
          <w:szCs w:val="24"/>
          <w:highlight w:val="none"/>
        </w:rPr>
        <w:t>l/#/440200/index）进行</w:t>
      </w:r>
      <w:r>
        <w:rPr>
          <w:rFonts w:hint="eastAsia" w:ascii="宋体" w:hAnsi="宋体" w:eastAsia="宋体" w:cs="宋体"/>
          <w:color w:val="auto"/>
          <w:spacing w:val="-1"/>
          <w:sz w:val="24"/>
          <w:szCs w:val="24"/>
          <w:highlight w:val="none"/>
        </w:rPr>
        <w:t>公示，公示期不得少于3天。</w:t>
      </w:r>
    </w:p>
    <w:p w14:paraId="32B26EFF">
      <w:pPr>
        <w:spacing w:before="78" w:line="360" w:lineRule="auto"/>
        <w:ind w:left="11" w:firstLine="485"/>
        <w:rPr>
          <w:rFonts w:hint="eastAsia" w:ascii="宋体" w:hAnsi="宋体" w:eastAsia="宋体" w:cs="宋体"/>
          <w:color w:val="auto"/>
          <w:highlight w:val="none"/>
        </w:rPr>
      </w:pPr>
      <w:r>
        <w:rPr>
          <w:rFonts w:hint="eastAsia" w:ascii="宋体" w:hAnsi="宋体" w:eastAsia="宋体" w:cs="宋体"/>
          <w:b/>
          <w:bCs/>
          <w:color w:val="auto"/>
          <w:spacing w:val="-2"/>
          <w:sz w:val="24"/>
          <w:szCs w:val="24"/>
          <w:highlight w:val="none"/>
        </w:rPr>
        <w:t xml:space="preserve">16.2 </w:t>
      </w:r>
      <w:r>
        <w:rPr>
          <w:rFonts w:hint="eastAsia" w:ascii="宋体" w:hAnsi="宋体" w:eastAsia="宋体" w:cs="宋体"/>
          <w:color w:val="auto"/>
          <w:spacing w:val="-2"/>
          <w:sz w:val="24"/>
          <w:szCs w:val="24"/>
          <w:highlight w:val="none"/>
        </w:rPr>
        <w:t>投标人对评标结果、中标候选人投标文件、评标过程有异议的，必须在以上内容公示期间向招标人提出</w:t>
      </w:r>
      <w:r>
        <w:rPr>
          <w:rFonts w:hint="eastAsia" w:ascii="宋体" w:hAnsi="宋体" w:eastAsia="宋体" w:cs="宋体"/>
          <w:b/>
          <w:bCs/>
          <w:color w:val="auto"/>
          <w:spacing w:val="-2"/>
          <w:sz w:val="24"/>
          <w:szCs w:val="24"/>
          <w:highlight w:val="none"/>
        </w:rPr>
        <w:t>书面异议</w:t>
      </w:r>
      <w:r>
        <w:rPr>
          <w:rFonts w:hint="eastAsia" w:ascii="宋体" w:hAnsi="宋体" w:eastAsia="宋体" w:cs="宋体"/>
          <w:color w:val="auto"/>
          <w:spacing w:val="-2"/>
          <w:sz w:val="24"/>
          <w:szCs w:val="24"/>
          <w:highlight w:val="none"/>
        </w:rPr>
        <w:t>，否则招标人不予受理。经招标人书面答复，异议人仍不满意的，可在法律规定的时限内向行政监督部门提出书面投诉。异议（投诉）提出、处理的具体办法和要求，按照</w:t>
      </w:r>
      <w:r>
        <w:rPr>
          <w:rFonts w:hint="eastAsia" w:ascii="宋体" w:hAnsi="宋体" w:eastAsia="宋体" w:cs="宋体"/>
          <w:color w:val="auto"/>
          <w:spacing w:val="-2"/>
          <w:sz w:val="24"/>
          <w:szCs w:val="24"/>
          <w:highlight w:val="none"/>
          <w:lang w:val="en-US" w:eastAsia="zh-CN"/>
        </w:rPr>
        <w:t>韶关市发展和改革局关于发布《韶关市工程建设项目招标投标活动异议和投诉处理办法》的通告（韶发改〔2021〕44号）</w:t>
      </w:r>
      <w:r>
        <w:rPr>
          <w:rFonts w:hint="eastAsia" w:ascii="宋体" w:hAnsi="宋体" w:eastAsia="宋体" w:cs="宋体"/>
          <w:color w:val="auto"/>
          <w:spacing w:val="-2"/>
          <w:sz w:val="24"/>
          <w:szCs w:val="24"/>
          <w:highlight w:val="none"/>
        </w:rPr>
        <w:t>执行。</w:t>
      </w:r>
    </w:p>
    <w:p w14:paraId="15623CD0">
      <w:pPr>
        <w:spacing w:before="79" w:line="360" w:lineRule="auto"/>
        <w:ind w:left="12" w:right="42" w:firstLine="483"/>
        <w:rPr>
          <w:rFonts w:hint="eastAsia" w:ascii="宋体" w:hAnsi="宋体" w:eastAsia="宋体" w:cs="宋体"/>
          <w:color w:val="auto"/>
          <w:spacing w:val="-4"/>
          <w:sz w:val="24"/>
          <w:szCs w:val="24"/>
          <w:highlight w:val="none"/>
        </w:rPr>
      </w:pPr>
      <w:r>
        <w:rPr>
          <w:rFonts w:hint="eastAsia" w:ascii="宋体" w:hAnsi="宋体" w:eastAsia="宋体" w:cs="宋体"/>
          <w:b/>
          <w:bCs/>
          <w:color w:val="auto"/>
          <w:spacing w:val="-9"/>
          <w:sz w:val="24"/>
          <w:szCs w:val="24"/>
          <w:highlight w:val="none"/>
        </w:rPr>
        <w:t>16.3</w:t>
      </w:r>
      <w:r>
        <w:rPr>
          <w:rFonts w:hint="eastAsia" w:ascii="宋体" w:hAnsi="宋体" w:eastAsia="宋体" w:cs="宋体"/>
          <w:b/>
          <w:bCs/>
          <w:color w:val="auto"/>
          <w:spacing w:val="24"/>
          <w:w w:val="101"/>
          <w:sz w:val="24"/>
          <w:szCs w:val="24"/>
          <w:highlight w:val="none"/>
        </w:rPr>
        <w:t xml:space="preserve">  </w:t>
      </w:r>
      <w:r>
        <w:rPr>
          <w:rFonts w:hint="eastAsia" w:ascii="宋体" w:hAnsi="宋体" w:eastAsia="宋体" w:cs="宋体"/>
          <w:color w:val="auto"/>
          <w:spacing w:val="-9"/>
          <w:sz w:val="24"/>
          <w:szCs w:val="24"/>
          <w:highlight w:val="none"/>
        </w:rPr>
        <w:t>中标候选人公示期满无异议（投诉）后，招标人确定第一中标候选人为中标人，</w:t>
      </w:r>
      <w:r>
        <w:rPr>
          <w:rFonts w:hint="eastAsia" w:ascii="宋体" w:hAnsi="宋体" w:eastAsia="宋体" w:cs="宋体"/>
          <w:color w:val="auto"/>
          <w:spacing w:val="-2"/>
          <w:sz w:val="24"/>
          <w:szCs w:val="24"/>
          <w:highlight w:val="none"/>
        </w:rPr>
        <w:t>并在中标人确定之日起7日内向中标人发出中标通知书。在中标通知书发出后5个工作日内，韶关市公共资源交易中心将投标保证金（或银行保函）退还给中标候选人以外的</w:t>
      </w:r>
      <w:r>
        <w:rPr>
          <w:rFonts w:hint="eastAsia" w:ascii="宋体" w:hAnsi="宋体" w:eastAsia="宋体" w:cs="宋体"/>
          <w:color w:val="auto"/>
          <w:spacing w:val="-4"/>
          <w:sz w:val="24"/>
          <w:szCs w:val="24"/>
          <w:highlight w:val="none"/>
        </w:rPr>
        <w:t>投标人。</w:t>
      </w:r>
    </w:p>
    <w:p w14:paraId="6D2AF74B">
      <w:pPr>
        <w:rPr>
          <w:rFonts w:hint="eastAsia" w:ascii="宋体" w:hAnsi="宋体" w:eastAsia="宋体" w:cs="宋体"/>
        </w:rPr>
      </w:pPr>
    </w:p>
    <w:p w14:paraId="1DDF265E">
      <w:pPr>
        <w:rPr>
          <w:rFonts w:hint="eastAsia" w:ascii="宋体" w:hAnsi="宋体" w:eastAsia="宋体" w:cs="宋体"/>
        </w:rPr>
      </w:pPr>
    </w:p>
    <w:p w14:paraId="7DF90950">
      <w:pPr>
        <w:rPr>
          <w:rFonts w:hint="eastAsia" w:ascii="宋体" w:hAnsi="宋体" w:eastAsia="宋体" w:cs="宋体"/>
        </w:rPr>
      </w:pPr>
    </w:p>
    <w:p w14:paraId="35E9739C">
      <w:pPr>
        <w:rPr>
          <w:rFonts w:hint="eastAsia" w:ascii="宋体" w:hAnsi="宋体" w:eastAsia="宋体" w:cs="宋体"/>
        </w:rPr>
      </w:pPr>
    </w:p>
    <w:p w14:paraId="4FCD4E13">
      <w:pPr>
        <w:rPr>
          <w:rFonts w:hint="eastAsia" w:ascii="宋体" w:hAnsi="宋体" w:eastAsia="宋体" w:cs="宋体"/>
        </w:rPr>
      </w:pPr>
    </w:p>
    <w:p w14:paraId="2F85B030">
      <w:pPr>
        <w:rPr>
          <w:rFonts w:hint="eastAsia" w:ascii="宋体" w:hAnsi="宋体" w:eastAsia="宋体" w:cs="宋体"/>
        </w:rPr>
      </w:pPr>
    </w:p>
    <w:p w14:paraId="6F6EFB76">
      <w:pPr>
        <w:rPr>
          <w:rFonts w:hint="eastAsia" w:ascii="宋体" w:hAnsi="宋体" w:eastAsia="宋体" w:cs="宋体"/>
        </w:rPr>
      </w:pPr>
    </w:p>
    <w:p w14:paraId="60460445">
      <w:pPr>
        <w:rPr>
          <w:rFonts w:hint="eastAsia" w:ascii="宋体" w:hAnsi="宋体" w:eastAsia="宋体" w:cs="宋体"/>
        </w:rPr>
      </w:pPr>
    </w:p>
    <w:p w14:paraId="3735C937">
      <w:pPr>
        <w:rPr>
          <w:rFonts w:hint="eastAsia" w:ascii="宋体" w:hAnsi="宋体" w:eastAsia="宋体" w:cs="宋体"/>
        </w:rPr>
      </w:pPr>
    </w:p>
    <w:p w14:paraId="59C70264">
      <w:pPr>
        <w:rPr>
          <w:rFonts w:hint="eastAsia" w:ascii="宋体" w:hAnsi="宋体" w:eastAsia="宋体" w:cs="宋体"/>
        </w:rPr>
      </w:pPr>
    </w:p>
    <w:p w14:paraId="47493DA1">
      <w:pPr>
        <w:rPr>
          <w:rFonts w:hint="eastAsia" w:ascii="宋体" w:hAnsi="宋体" w:eastAsia="宋体" w:cs="宋体"/>
        </w:rPr>
      </w:pPr>
    </w:p>
    <w:p w14:paraId="5E7803E0">
      <w:pPr>
        <w:rPr>
          <w:rFonts w:hint="eastAsia" w:ascii="宋体" w:hAnsi="宋体" w:eastAsia="宋体" w:cs="宋体"/>
        </w:rPr>
      </w:pPr>
    </w:p>
    <w:p w14:paraId="3EDE07BD">
      <w:pPr>
        <w:rPr>
          <w:rFonts w:hint="eastAsia" w:ascii="宋体" w:hAnsi="宋体" w:eastAsia="宋体" w:cs="宋体"/>
        </w:rPr>
      </w:pPr>
    </w:p>
    <w:p w14:paraId="65F43BC3">
      <w:pPr>
        <w:rPr>
          <w:rFonts w:hint="eastAsia" w:ascii="宋体" w:hAnsi="宋体" w:eastAsia="宋体" w:cs="宋体"/>
        </w:rPr>
      </w:pPr>
    </w:p>
    <w:p w14:paraId="35E179A8">
      <w:pPr>
        <w:rPr>
          <w:rFonts w:hint="eastAsia" w:ascii="宋体" w:hAnsi="宋体" w:eastAsia="宋体" w:cs="宋体"/>
        </w:rPr>
      </w:pPr>
    </w:p>
    <w:p w14:paraId="73B4FC59">
      <w:pPr>
        <w:rPr>
          <w:rFonts w:hint="eastAsia" w:ascii="宋体" w:hAnsi="宋体" w:eastAsia="宋体" w:cs="宋体"/>
        </w:rPr>
      </w:pPr>
    </w:p>
    <w:p w14:paraId="728198A3">
      <w:pPr>
        <w:rPr>
          <w:rFonts w:hint="eastAsia" w:ascii="宋体" w:hAnsi="宋体" w:eastAsia="宋体" w:cs="宋体"/>
        </w:rPr>
      </w:pPr>
    </w:p>
    <w:p w14:paraId="2CDC995F">
      <w:pPr>
        <w:rPr>
          <w:rFonts w:hint="eastAsia" w:ascii="宋体" w:hAnsi="宋体" w:eastAsia="宋体" w:cs="宋体"/>
        </w:rPr>
      </w:pPr>
    </w:p>
    <w:p w14:paraId="67AAE744">
      <w:pPr>
        <w:rPr>
          <w:rFonts w:hint="eastAsia" w:ascii="宋体" w:hAnsi="宋体" w:eastAsia="宋体" w:cs="宋体"/>
        </w:rPr>
      </w:pPr>
    </w:p>
    <w:p w14:paraId="5E411D36">
      <w:pPr>
        <w:rPr>
          <w:rFonts w:hint="eastAsia" w:ascii="宋体" w:hAnsi="宋体" w:eastAsia="宋体" w:cs="宋体"/>
        </w:rPr>
      </w:pPr>
    </w:p>
    <w:p w14:paraId="2CD81E92">
      <w:pPr>
        <w:rPr>
          <w:rFonts w:hint="eastAsia" w:ascii="宋体" w:hAnsi="宋体" w:eastAsia="宋体" w:cs="宋体"/>
        </w:rPr>
      </w:pPr>
    </w:p>
    <w:p w14:paraId="1DC5A374">
      <w:pPr>
        <w:rPr>
          <w:rFonts w:hint="eastAsia" w:ascii="宋体" w:hAnsi="宋体" w:eastAsia="宋体" w:cs="宋体"/>
        </w:rPr>
      </w:pPr>
    </w:p>
    <w:p w14:paraId="5116AFD2">
      <w:pPr>
        <w:rPr>
          <w:rFonts w:hint="eastAsia" w:ascii="宋体" w:hAnsi="宋体" w:eastAsia="宋体" w:cs="宋体"/>
        </w:rPr>
      </w:pPr>
    </w:p>
    <w:p w14:paraId="2DBD3B09">
      <w:pPr>
        <w:rPr>
          <w:rFonts w:hint="eastAsia" w:ascii="宋体" w:hAnsi="宋体" w:eastAsia="宋体" w:cs="宋体"/>
        </w:rPr>
      </w:pPr>
    </w:p>
    <w:p w14:paraId="21117F30">
      <w:pPr>
        <w:rPr>
          <w:rFonts w:hint="eastAsia" w:ascii="宋体" w:hAnsi="宋体" w:eastAsia="宋体" w:cs="宋体"/>
        </w:rPr>
      </w:pPr>
    </w:p>
    <w:p w14:paraId="52453924">
      <w:pPr>
        <w:rPr>
          <w:rFonts w:hint="eastAsia" w:ascii="宋体" w:hAnsi="宋体" w:eastAsia="宋体" w:cs="宋体"/>
        </w:rPr>
      </w:pPr>
    </w:p>
    <w:p w14:paraId="42DD6503">
      <w:pPr>
        <w:rPr>
          <w:rFonts w:hint="eastAsia" w:ascii="宋体" w:hAnsi="宋体" w:eastAsia="宋体" w:cs="宋体"/>
        </w:rPr>
      </w:pPr>
    </w:p>
    <w:p w14:paraId="0FAB8E68">
      <w:pPr>
        <w:rPr>
          <w:rFonts w:hint="eastAsia" w:ascii="宋体" w:hAnsi="宋体" w:eastAsia="宋体" w:cs="宋体"/>
        </w:rPr>
      </w:pPr>
    </w:p>
    <w:p w14:paraId="767504E4">
      <w:pPr>
        <w:rPr>
          <w:rFonts w:hint="eastAsia" w:ascii="宋体" w:hAnsi="宋体" w:eastAsia="宋体" w:cs="宋体"/>
        </w:rPr>
      </w:pPr>
    </w:p>
    <w:p w14:paraId="6F591DEE">
      <w:pPr>
        <w:rPr>
          <w:rFonts w:hint="eastAsia" w:ascii="宋体" w:hAnsi="宋体" w:eastAsia="宋体" w:cs="宋体"/>
        </w:rPr>
      </w:pPr>
    </w:p>
    <w:p w14:paraId="40CD14FA">
      <w:pPr>
        <w:rPr>
          <w:rFonts w:hint="eastAsia" w:ascii="宋体" w:hAnsi="宋体" w:eastAsia="宋体" w:cs="宋体"/>
        </w:rPr>
      </w:pPr>
    </w:p>
    <w:p w14:paraId="6FF2EAFE">
      <w:pPr>
        <w:rPr>
          <w:rFonts w:hint="eastAsia" w:ascii="宋体" w:hAnsi="宋体" w:eastAsia="宋体" w:cs="宋体"/>
        </w:rPr>
      </w:pPr>
    </w:p>
    <w:p w14:paraId="3BBD3288">
      <w:pPr>
        <w:rPr>
          <w:rFonts w:hint="eastAsia" w:ascii="宋体" w:hAnsi="宋体" w:eastAsia="宋体" w:cs="宋体"/>
        </w:rPr>
      </w:pPr>
    </w:p>
    <w:p w14:paraId="5D036727">
      <w:pPr>
        <w:rPr>
          <w:rFonts w:hint="eastAsia" w:ascii="宋体" w:hAnsi="宋体" w:eastAsia="宋体" w:cs="宋体"/>
        </w:rPr>
      </w:pPr>
    </w:p>
    <w:p w14:paraId="5B0B103C">
      <w:pPr>
        <w:rPr>
          <w:rFonts w:hint="eastAsia" w:ascii="宋体" w:hAnsi="宋体" w:eastAsia="宋体" w:cs="宋体"/>
        </w:rPr>
      </w:pPr>
    </w:p>
    <w:p w14:paraId="79EED929">
      <w:pPr>
        <w:spacing w:before="156" w:line="360" w:lineRule="auto"/>
        <w:outlineLvl w:val="1"/>
        <w:rPr>
          <w:rFonts w:hint="eastAsia" w:ascii="宋体" w:hAnsi="宋体" w:eastAsia="宋体" w:cs="宋体"/>
          <w:b/>
          <w:bCs/>
          <w:color w:val="auto"/>
          <w:spacing w:val="-3"/>
          <w:sz w:val="24"/>
          <w:szCs w:val="24"/>
          <w:highlight w:val="none"/>
        </w:rPr>
      </w:pPr>
      <w:bookmarkStart w:id="140" w:name="bookmark138"/>
      <w:bookmarkEnd w:id="140"/>
      <w:bookmarkStart w:id="141" w:name="_Toc28455"/>
      <w:bookmarkStart w:id="142" w:name="_Toc1593"/>
      <w:r>
        <w:rPr>
          <w:rFonts w:hint="eastAsia" w:ascii="宋体" w:hAnsi="宋体" w:eastAsia="宋体" w:cs="宋体"/>
          <w:b/>
          <w:bCs/>
          <w:color w:val="auto"/>
          <w:spacing w:val="-3"/>
          <w:sz w:val="24"/>
          <w:szCs w:val="24"/>
          <w:highlight w:val="none"/>
        </w:rPr>
        <w:t>第四节</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否决投标条件</w:t>
      </w:r>
      <w:bookmarkEnd w:id="141"/>
      <w:bookmarkEnd w:id="142"/>
    </w:p>
    <w:p w14:paraId="02741B16">
      <w:pPr>
        <w:spacing w:before="78" w:line="360" w:lineRule="auto"/>
        <w:ind w:left="10" w:right="65" w:firstLine="480"/>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本节所集中列示的否决投标条件，是本章第三节“投标人须知正文</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3"/>
          <w:sz w:val="24"/>
          <w:szCs w:val="24"/>
          <w:highlight w:val="none"/>
        </w:rPr>
        <w:t>”的组成部分，</w:t>
      </w:r>
      <w:r>
        <w:rPr>
          <w:rFonts w:hint="eastAsia" w:ascii="宋体" w:hAnsi="宋体" w:eastAsia="宋体" w:cs="宋体"/>
          <w:color w:val="auto"/>
          <w:spacing w:val="-2"/>
          <w:sz w:val="24"/>
          <w:szCs w:val="24"/>
          <w:highlight w:val="none"/>
        </w:rPr>
        <w:t>是对本章第三节所规定的否决投标条件的总</w:t>
      </w:r>
      <w:r>
        <w:rPr>
          <w:rFonts w:hint="eastAsia" w:ascii="宋体" w:hAnsi="宋体" w:eastAsia="宋体" w:cs="宋体"/>
          <w:color w:val="auto"/>
          <w:spacing w:val="-3"/>
          <w:sz w:val="24"/>
          <w:szCs w:val="24"/>
          <w:highlight w:val="none"/>
        </w:rPr>
        <w:t>结和补充。</w:t>
      </w:r>
      <w:r>
        <w:rPr>
          <w:rFonts w:hint="eastAsia" w:ascii="宋体" w:hAnsi="宋体" w:eastAsia="宋体" w:cs="宋体"/>
          <w:b/>
          <w:bCs/>
          <w:color w:val="auto"/>
          <w:spacing w:val="-3"/>
          <w:sz w:val="24"/>
          <w:szCs w:val="24"/>
          <w:highlight w:val="none"/>
        </w:rPr>
        <w:t>投标人未有列入本节情形的，评</w:t>
      </w:r>
      <w:r>
        <w:rPr>
          <w:rFonts w:hint="eastAsia" w:ascii="宋体" w:hAnsi="宋体" w:eastAsia="宋体" w:cs="宋体"/>
          <w:b/>
          <w:bCs/>
          <w:color w:val="auto"/>
          <w:spacing w:val="-2"/>
          <w:sz w:val="24"/>
          <w:szCs w:val="24"/>
          <w:highlight w:val="none"/>
        </w:rPr>
        <w:t>标时一律不得否决其投标。</w:t>
      </w:r>
      <w:r>
        <w:rPr>
          <w:rFonts w:hint="eastAsia" w:ascii="宋体" w:hAnsi="宋体" w:eastAsia="宋体" w:cs="宋体"/>
          <w:color w:val="auto"/>
          <w:spacing w:val="-2"/>
          <w:sz w:val="24"/>
          <w:szCs w:val="24"/>
          <w:highlight w:val="none"/>
        </w:rPr>
        <w:t>本节所称“规定</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”均指招标文件的规</w:t>
      </w:r>
      <w:r>
        <w:rPr>
          <w:rFonts w:hint="eastAsia" w:ascii="宋体" w:hAnsi="宋体" w:eastAsia="宋体" w:cs="宋体"/>
          <w:color w:val="auto"/>
          <w:spacing w:val="-3"/>
          <w:sz w:val="24"/>
          <w:szCs w:val="24"/>
          <w:highlight w:val="none"/>
        </w:rPr>
        <w:t>定。</w:t>
      </w:r>
    </w:p>
    <w:p w14:paraId="5898CA3C">
      <w:pPr>
        <w:spacing w:before="34" w:line="360" w:lineRule="auto"/>
        <w:ind w:left="495"/>
        <w:outlineLvl w:val="2"/>
        <w:rPr>
          <w:rFonts w:hint="eastAsia" w:ascii="宋体" w:hAnsi="宋体" w:eastAsia="宋体" w:cs="宋体"/>
          <w:color w:val="auto"/>
          <w:sz w:val="24"/>
          <w:szCs w:val="24"/>
          <w:highlight w:val="none"/>
        </w:rPr>
      </w:pPr>
      <w:bookmarkStart w:id="143" w:name="_Toc14475"/>
      <w:bookmarkStart w:id="144" w:name="_Toc8173"/>
      <w:bookmarkStart w:id="145" w:name="_Toc9553"/>
      <w:r>
        <w:rPr>
          <w:rFonts w:hint="eastAsia" w:ascii="宋体" w:hAnsi="宋体" w:eastAsia="宋体" w:cs="宋体"/>
          <w:b/>
          <w:bCs/>
          <w:color w:val="auto"/>
          <w:spacing w:val="-8"/>
          <w:sz w:val="24"/>
          <w:szCs w:val="24"/>
          <w:highlight w:val="none"/>
        </w:rPr>
        <w:t>1</w:t>
      </w:r>
      <w:r>
        <w:rPr>
          <w:rFonts w:hint="eastAsia" w:ascii="宋体" w:hAnsi="宋体" w:eastAsia="宋体" w:cs="宋体"/>
          <w:b/>
          <w:bCs/>
          <w:color w:val="auto"/>
          <w:spacing w:val="-26"/>
          <w:sz w:val="24"/>
          <w:szCs w:val="24"/>
          <w:highlight w:val="none"/>
          <w:lang w:eastAsia="zh-CN"/>
        </w:rPr>
        <w:t>.</w:t>
      </w:r>
      <w:r>
        <w:rPr>
          <w:rFonts w:hint="eastAsia" w:ascii="宋体" w:hAnsi="宋体" w:eastAsia="宋体" w:cs="宋体"/>
          <w:b/>
          <w:bCs/>
          <w:color w:val="auto"/>
          <w:spacing w:val="-8"/>
          <w:sz w:val="24"/>
          <w:szCs w:val="24"/>
          <w:highlight w:val="none"/>
        </w:rPr>
        <w:t>资格评审环节</w:t>
      </w:r>
      <w:bookmarkEnd w:id="143"/>
      <w:bookmarkEnd w:id="144"/>
      <w:bookmarkEnd w:id="145"/>
    </w:p>
    <w:p w14:paraId="2CDF8C7C">
      <w:pPr>
        <w:spacing w:before="152" w:line="360" w:lineRule="auto"/>
        <w:ind w:left="13" w:right="65" w:firstLine="478"/>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投标人有下列情形之一的，评标委员会应否决其投标。被否决的投标人，不进入形</w:t>
      </w:r>
      <w:r>
        <w:rPr>
          <w:rFonts w:hint="eastAsia" w:ascii="宋体" w:hAnsi="宋体" w:eastAsia="宋体" w:cs="宋体"/>
          <w:color w:val="auto"/>
          <w:spacing w:val="-3"/>
          <w:sz w:val="24"/>
          <w:szCs w:val="24"/>
          <w:highlight w:val="none"/>
        </w:rPr>
        <w:t>式评审环节。</w:t>
      </w:r>
    </w:p>
    <w:p w14:paraId="5B415A91">
      <w:pPr>
        <w:spacing w:before="32" w:line="360" w:lineRule="auto"/>
        <w:ind w:left="5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（1）有本章第三节第</w:t>
      </w:r>
      <w:r>
        <w:rPr>
          <w:rFonts w:hint="eastAsia" w:ascii="宋体" w:hAnsi="宋体" w:eastAsia="宋体" w:cs="宋体"/>
          <w:color w:val="auto"/>
          <w:spacing w:val="-48"/>
          <w:sz w:val="24"/>
          <w:szCs w:val="24"/>
          <w:highlight w:val="none"/>
        </w:rPr>
        <w:t xml:space="preserve"> </w:t>
      </w:r>
      <w:r>
        <w:rPr>
          <w:rFonts w:hint="eastAsia" w:ascii="宋体" w:hAnsi="宋体" w:eastAsia="宋体" w:cs="宋体"/>
          <w:b/>
          <w:bCs/>
          <w:color w:val="auto"/>
          <w:spacing w:val="-2"/>
          <w:sz w:val="24"/>
          <w:szCs w:val="24"/>
          <w:highlight w:val="none"/>
        </w:rPr>
        <w:t xml:space="preserve">2.4 </w:t>
      </w:r>
      <w:r>
        <w:rPr>
          <w:rFonts w:hint="eastAsia" w:ascii="宋体" w:hAnsi="宋体" w:eastAsia="宋体" w:cs="宋体"/>
          <w:color w:val="auto"/>
          <w:spacing w:val="-2"/>
          <w:sz w:val="24"/>
          <w:szCs w:val="24"/>
          <w:highlight w:val="none"/>
        </w:rPr>
        <w:t>条“禁止投标条款</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”规定的任何一种情形；</w:t>
      </w:r>
    </w:p>
    <w:p w14:paraId="6E8AB7C8">
      <w:pPr>
        <w:spacing w:before="154" w:line="360" w:lineRule="auto"/>
        <w:ind w:left="50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（2）投标人资质不符合规定的；</w:t>
      </w:r>
    </w:p>
    <w:p w14:paraId="2E25D147">
      <w:pPr>
        <w:keepNext w:val="0"/>
        <w:keepLines w:val="0"/>
        <w:pageBreakBefore w:val="0"/>
        <w:widowControl/>
        <w:kinsoku w:val="0"/>
        <w:wordWrap w:val="0"/>
        <w:overflowPunct/>
        <w:topLinePunct w:val="0"/>
        <w:autoSpaceDE w:val="0"/>
        <w:autoSpaceDN w:val="0"/>
        <w:bidi w:val="0"/>
        <w:adjustRightInd w:val="0"/>
        <w:snapToGrid w:val="0"/>
        <w:spacing w:before="153" w:line="360" w:lineRule="auto"/>
        <w:ind w:right="57" w:firstLine="49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（3）投标人名称与营业执照、资质证书、安全生产许可证上的企业名称相互不一</w:t>
      </w:r>
      <w:r>
        <w:rPr>
          <w:rFonts w:hint="eastAsia" w:ascii="宋体" w:hAnsi="宋体" w:eastAsia="宋体" w:cs="宋体"/>
          <w:color w:val="auto"/>
          <w:spacing w:val="-1"/>
          <w:sz w:val="24"/>
          <w:szCs w:val="24"/>
          <w:highlight w:val="none"/>
        </w:rPr>
        <w:t>致的；其资质证书、安全生产许可证不是由住房城乡建设主管部门颁发的；营业执照、资质证书、安全生产许可证（含实时网页查询页，可参考网址https://zlaq.mohurd.gov.cnfwmh/bjxcjgl/fwmh/pages/construction_safety/qyaqscxkz/qyaqscxk）被吊销、暂扣或不在有效期内的；</w:t>
      </w:r>
    </w:p>
    <w:p w14:paraId="4D64198E">
      <w:pPr>
        <w:spacing w:before="153" w:line="360" w:lineRule="auto"/>
        <w:ind w:left="9" w:right="66" w:firstLine="480"/>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注：投标人已经工商变更，但其企业资质证书、安全生产许可证</w:t>
      </w:r>
      <w:r>
        <w:rPr>
          <w:rFonts w:hint="eastAsia" w:ascii="宋体" w:hAnsi="宋体" w:eastAsia="宋体" w:cs="宋体"/>
          <w:b/>
          <w:bCs/>
          <w:color w:val="auto"/>
          <w:spacing w:val="-5"/>
          <w:sz w:val="24"/>
          <w:szCs w:val="24"/>
          <w:highlight w:val="none"/>
        </w:rPr>
        <w:t>的企业名称未完成</w:t>
      </w:r>
      <w:r>
        <w:rPr>
          <w:rFonts w:hint="eastAsia" w:ascii="宋体" w:hAnsi="宋体" w:eastAsia="宋体" w:cs="宋体"/>
          <w:b/>
          <w:bCs/>
          <w:color w:val="auto"/>
          <w:spacing w:val="-4"/>
          <w:sz w:val="24"/>
          <w:szCs w:val="24"/>
          <w:highlight w:val="none"/>
        </w:rPr>
        <w:t>变更的，不得否决其投标；投标人营业执照、资质证书、安全生产许可证之间登</w:t>
      </w:r>
      <w:r>
        <w:rPr>
          <w:rFonts w:hint="eastAsia" w:ascii="宋体" w:hAnsi="宋体" w:eastAsia="宋体" w:cs="宋体"/>
          <w:b/>
          <w:bCs/>
          <w:color w:val="auto"/>
          <w:spacing w:val="-5"/>
          <w:sz w:val="24"/>
          <w:szCs w:val="24"/>
          <w:highlight w:val="none"/>
        </w:rPr>
        <w:t>记的信</w:t>
      </w:r>
      <w:r>
        <w:rPr>
          <w:rFonts w:hint="eastAsia" w:ascii="宋体" w:hAnsi="宋体" w:eastAsia="宋体" w:cs="宋体"/>
          <w:b/>
          <w:bCs/>
          <w:color w:val="auto"/>
          <w:spacing w:val="-2"/>
          <w:sz w:val="24"/>
          <w:szCs w:val="24"/>
          <w:highlight w:val="none"/>
        </w:rPr>
        <w:t>息不一致，应当允许投标人澄清，不得直接否决其投</w:t>
      </w:r>
      <w:r>
        <w:rPr>
          <w:rFonts w:hint="eastAsia" w:ascii="宋体" w:hAnsi="宋体" w:eastAsia="宋体" w:cs="宋体"/>
          <w:b/>
          <w:bCs/>
          <w:color w:val="auto"/>
          <w:spacing w:val="-3"/>
          <w:sz w:val="24"/>
          <w:szCs w:val="24"/>
          <w:highlight w:val="none"/>
        </w:rPr>
        <w:t>标。</w:t>
      </w:r>
    </w:p>
    <w:p w14:paraId="1E0C4F2F">
      <w:pPr>
        <w:spacing w:before="32" w:line="360" w:lineRule="auto"/>
        <w:ind w:left="10" w:right="65" w:firstLine="490"/>
        <w:rPr>
          <w:rFonts w:hint="eastAsia" w:ascii="宋体" w:hAnsi="宋体" w:eastAsia="宋体" w:cs="宋体"/>
          <w:color w:val="auto"/>
          <w:spacing w:val="1"/>
          <w:sz w:val="24"/>
          <w:szCs w:val="24"/>
          <w:highlight w:val="none"/>
          <w:lang w:eastAsia="zh-CN"/>
        </w:rPr>
      </w:pPr>
      <w:r>
        <w:rPr>
          <w:rFonts w:hint="eastAsia" w:ascii="宋体" w:hAnsi="宋体" w:eastAsia="宋体" w:cs="宋体"/>
          <w:color w:val="auto"/>
          <w:spacing w:val="1"/>
          <w:sz w:val="24"/>
          <w:szCs w:val="24"/>
          <w:highlight w:val="none"/>
        </w:rPr>
        <w:t>（4）拟派项目经理、项目技术负责人、专职安全员的条件不符合规定的；拟派专</w:t>
      </w:r>
      <w:r>
        <w:rPr>
          <w:rFonts w:hint="eastAsia" w:ascii="宋体" w:hAnsi="宋体" w:eastAsia="宋体" w:cs="宋体"/>
          <w:color w:val="auto"/>
          <w:spacing w:val="-2"/>
          <w:sz w:val="24"/>
          <w:szCs w:val="24"/>
          <w:highlight w:val="none"/>
        </w:rPr>
        <w:t>职安全员数量不符合规</w:t>
      </w:r>
      <w:r>
        <w:rPr>
          <w:rFonts w:hint="eastAsia" w:ascii="宋体" w:hAnsi="宋体" w:eastAsia="宋体" w:cs="宋体"/>
          <w:color w:val="auto"/>
          <w:spacing w:val="1"/>
          <w:sz w:val="24"/>
          <w:szCs w:val="24"/>
          <w:highlight w:val="none"/>
        </w:rPr>
        <w:t>定的；技术负责人未在投标文件《项目技术负责人简历表》中签</w:t>
      </w:r>
      <w:r>
        <w:rPr>
          <w:rFonts w:hint="eastAsia" w:ascii="宋体" w:hAnsi="宋体" w:eastAsia="宋体" w:cs="宋体"/>
          <w:color w:val="auto"/>
          <w:spacing w:val="1"/>
          <w:sz w:val="24"/>
          <w:szCs w:val="24"/>
          <w:highlight w:val="none"/>
          <w:lang w:eastAsia="zh-CN"/>
        </w:rPr>
        <w:t>字确认。</w:t>
      </w:r>
    </w:p>
    <w:p w14:paraId="0EC64185">
      <w:pPr>
        <w:spacing w:before="34" w:line="360" w:lineRule="auto"/>
        <w:ind w:left="8" w:right="65" w:firstLine="492"/>
        <w:jc w:val="both"/>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（5）《项目经理简历表》中拟派项目经理与</w:t>
      </w:r>
      <w:r>
        <w:rPr>
          <w:rFonts w:hint="eastAsia" w:ascii="宋体" w:hAnsi="宋体" w:eastAsia="宋体" w:cs="宋体"/>
          <w:color w:val="auto"/>
          <w:spacing w:val="-2"/>
          <w:sz w:val="24"/>
          <w:szCs w:val="24"/>
          <w:highlight w:val="none"/>
        </w:rPr>
        <w:t>《开标一览表》不一致的；拟派的项目经理未在投标文件《项目经理简历表》中签字确认；一级建造师的注册证书不是国家住建部颁发的；二级建造师的电子注册证书不是省级住建厅颁发的；建造师的注册单位</w:t>
      </w:r>
      <w:r>
        <w:rPr>
          <w:rFonts w:hint="eastAsia" w:ascii="宋体" w:hAnsi="宋体" w:eastAsia="宋体" w:cs="宋体"/>
          <w:color w:val="auto"/>
          <w:spacing w:val="-8"/>
          <w:sz w:val="24"/>
          <w:szCs w:val="24"/>
          <w:highlight w:val="none"/>
        </w:rPr>
        <w:t>与投标人不一致的；项目管理班子组成人员的各类证书、证件、证明不在有效期内的（建造师注册证书不在使用有效期内的）；擅</w:t>
      </w:r>
      <w:r>
        <w:rPr>
          <w:rFonts w:hint="eastAsia" w:ascii="宋体" w:hAnsi="宋体" w:eastAsia="宋体" w:cs="宋体"/>
          <w:color w:val="auto"/>
          <w:spacing w:val="-2"/>
          <w:sz w:val="24"/>
          <w:szCs w:val="24"/>
          <w:highlight w:val="none"/>
        </w:rPr>
        <w:t>自修改、遗漏《项</w:t>
      </w:r>
      <w:r>
        <w:rPr>
          <w:rFonts w:hint="eastAsia" w:ascii="宋体" w:hAnsi="宋体" w:eastAsia="宋体" w:cs="宋体"/>
          <w:color w:val="auto"/>
          <w:spacing w:val="-3"/>
          <w:sz w:val="24"/>
          <w:szCs w:val="24"/>
          <w:highlight w:val="none"/>
        </w:rPr>
        <w:t>目经理任职声明》实质性内容的；</w:t>
      </w:r>
    </w:p>
    <w:p w14:paraId="5184D12E">
      <w:pPr>
        <w:spacing w:before="1" w:line="360" w:lineRule="auto"/>
        <w:ind w:left="28" w:right="66" w:firstLine="462"/>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注：投标人已经工商变更，但其员工执业资格注册证书的注册单</w:t>
      </w:r>
      <w:r>
        <w:rPr>
          <w:rFonts w:hint="eastAsia" w:ascii="宋体" w:hAnsi="宋体" w:eastAsia="宋体" w:cs="宋体"/>
          <w:b/>
          <w:bCs/>
          <w:color w:val="auto"/>
          <w:spacing w:val="-5"/>
          <w:sz w:val="24"/>
          <w:szCs w:val="24"/>
          <w:highlight w:val="none"/>
        </w:rPr>
        <w:t>位名称未完成变更的，不得否决其投标。</w:t>
      </w:r>
    </w:p>
    <w:p w14:paraId="3ED90A44">
      <w:pPr>
        <w:spacing w:before="1" w:line="360" w:lineRule="auto"/>
        <w:ind w:left="28" w:right="66" w:firstLine="462"/>
        <w:rPr>
          <w:rFonts w:hint="eastAsia" w:ascii="宋体" w:hAnsi="宋体" w:eastAsia="宋体" w:cs="宋体"/>
          <w:b/>
          <w:bCs/>
          <w:color w:val="auto"/>
          <w:spacing w:val="-4"/>
          <w:sz w:val="24"/>
          <w:szCs w:val="24"/>
          <w:highlight w:val="none"/>
        </w:rPr>
      </w:pPr>
      <w:r>
        <w:rPr>
          <w:rFonts w:hint="eastAsia" w:ascii="宋体" w:hAnsi="宋体" w:eastAsia="宋体" w:cs="宋体"/>
          <w:b/>
          <w:bCs/>
          <w:color w:val="auto"/>
          <w:spacing w:val="-4"/>
          <w:sz w:val="24"/>
          <w:szCs w:val="24"/>
          <w:highlight w:val="none"/>
        </w:rPr>
        <w:t>鉴于目前继续教育开展的实际情况，建筑和市政工程施工现场专业人员（例如：施</w:t>
      </w:r>
      <w:bookmarkStart w:id="146" w:name="bookmark139"/>
      <w:bookmarkEnd w:id="146"/>
      <w:r>
        <w:rPr>
          <w:rFonts w:hint="eastAsia" w:ascii="宋体" w:hAnsi="宋体" w:eastAsia="宋体" w:cs="宋体"/>
          <w:b/>
          <w:bCs/>
          <w:color w:val="auto"/>
          <w:spacing w:val="-4"/>
          <w:sz w:val="24"/>
          <w:szCs w:val="24"/>
          <w:highlight w:val="none"/>
        </w:rPr>
        <w:t>工员、质量员、材料员、资料员）的岗位证书或培训证书不审查其证书的有效期。</w:t>
      </w:r>
    </w:p>
    <w:p w14:paraId="2B29F3F6">
      <w:pPr>
        <w:spacing w:before="146" w:line="360" w:lineRule="auto"/>
        <w:ind w:left="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（6）招标文件规定不接受联合体投标，但以联合体投标的；</w:t>
      </w:r>
    </w:p>
    <w:p w14:paraId="3741F56B">
      <w:pPr>
        <w:spacing w:before="154" w:line="360" w:lineRule="auto"/>
        <w:ind w:right="94" w:firstLine="491"/>
        <w:rPr>
          <w:rFonts w:hint="eastAsia" w:ascii="宋体" w:hAnsi="宋体" w:eastAsia="宋体" w:cs="宋体"/>
          <w:color w:val="auto"/>
          <w:sz w:val="24"/>
          <w:szCs w:val="24"/>
          <w:highlight w:val="none"/>
          <w:lang w:val="en-US" w:eastAsia="zh-CN"/>
        </w:rPr>
      </w:pPr>
      <w:r>
        <w:rPr>
          <w:rFonts w:hint="eastAsia" w:ascii="宋体" w:hAnsi="宋体" w:eastAsia="宋体" w:cs="宋体"/>
          <w:color w:val="auto"/>
          <w:spacing w:val="-2"/>
          <w:sz w:val="24"/>
          <w:szCs w:val="24"/>
          <w:highlight w:val="none"/>
        </w:rPr>
        <w:t>（7）联合体投标，未提交《联合体协议书》的；擅自修改</w:t>
      </w:r>
      <w:r>
        <w:rPr>
          <w:rFonts w:hint="eastAsia" w:ascii="宋体" w:hAnsi="宋体" w:eastAsia="宋体" w:cs="宋体"/>
          <w:color w:val="auto"/>
          <w:spacing w:val="-3"/>
          <w:sz w:val="24"/>
          <w:szCs w:val="24"/>
          <w:highlight w:val="none"/>
        </w:rPr>
        <w:t>、遗漏《联合体协议书》</w:t>
      </w:r>
      <w:r>
        <w:rPr>
          <w:rFonts w:hint="eastAsia" w:ascii="宋体" w:hAnsi="宋体" w:eastAsia="宋体" w:cs="宋体"/>
          <w:color w:val="auto"/>
          <w:spacing w:val="-2"/>
          <w:sz w:val="24"/>
          <w:szCs w:val="24"/>
          <w:highlight w:val="none"/>
        </w:rPr>
        <w:t>实质性内容的；联合体成员的数量、资质不符合规定的；联合体成员同时以自己名义单</w:t>
      </w:r>
      <w:r>
        <w:rPr>
          <w:rFonts w:hint="eastAsia" w:ascii="宋体" w:hAnsi="宋体" w:eastAsia="宋体" w:cs="宋体"/>
          <w:color w:val="auto"/>
          <w:spacing w:val="-1"/>
          <w:sz w:val="24"/>
          <w:szCs w:val="24"/>
          <w:highlight w:val="none"/>
        </w:rPr>
        <w:t>独投标或者参加其他联合体投标的</w:t>
      </w:r>
      <w:r>
        <w:rPr>
          <w:rFonts w:hint="eastAsia" w:ascii="宋体" w:hAnsi="宋体" w:eastAsia="宋体" w:cs="宋体"/>
          <w:color w:val="auto"/>
          <w:spacing w:val="-1"/>
          <w:sz w:val="24"/>
          <w:szCs w:val="24"/>
          <w:highlight w:val="none"/>
          <w:lang w:eastAsia="zh-CN"/>
        </w:rPr>
        <w:t>。</w:t>
      </w:r>
    </w:p>
    <w:p w14:paraId="16A42CB0">
      <w:pPr>
        <w:spacing w:before="150" w:line="360" w:lineRule="auto"/>
        <w:ind w:right="200" w:firstLine="4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（8）投标人为外省建筑企业，但未提供“进粤企业和人员诚信信息登记平台</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z w:val="24"/>
          <w:szCs w:val="24"/>
          <w:highlight w:val="none"/>
        </w:rPr>
        <w:t>”企</w:t>
      </w:r>
      <w:r>
        <w:rPr>
          <w:rFonts w:hint="eastAsia" w:ascii="宋体" w:hAnsi="宋体" w:eastAsia="宋体" w:cs="宋体"/>
          <w:color w:val="auto"/>
          <w:spacing w:val="-1"/>
          <w:sz w:val="24"/>
          <w:szCs w:val="24"/>
          <w:highlight w:val="none"/>
        </w:rPr>
        <w:t>业和拟派人员信息情况打印页或网页截图的。</w:t>
      </w:r>
    </w:p>
    <w:p w14:paraId="46F2E778">
      <w:pPr>
        <w:spacing w:before="154" w:line="360" w:lineRule="auto"/>
        <w:ind w:left="477"/>
        <w:outlineLvl w:val="2"/>
        <w:rPr>
          <w:rFonts w:hint="eastAsia" w:ascii="宋体" w:hAnsi="宋体" w:eastAsia="宋体" w:cs="宋体"/>
          <w:color w:val="auto"/>
          <w:sz w:val="24"/>
          <w:szCs w:val="24"/>
          <w:highlight w:val="none"/>
        </w:rPr>
      </w:pPr>
      <w:bookmarkStart w:id="147" w:name="_Toc29071"/>
      <w:bookmarkStart w:id="148" w:name="_Toc12644"/>
      <w:bookmarkStart w:id="149" w:name="_Toc17711"/>
      <w:r>
        <w:rPr>
          <w:rFonts w:hint="eastAsia" w:ascii="宋体" w:hAnsi="宋体" w:eastAsia="宋体" w:cs="宋体"/>
          <w:b/>
          <w:bCs/>
          <w:color w:val="auto"/>
          <w:spacing w:val="-7"/>
          <w:sz w:val="24"/>
          <w:szCs w:val="24"/>
          <w:highlight w:val="none"/>
        </w:rPr>
        <w:t>2</w:t>
      </w:r>
      <w:r>
        <w:rPr>
          <w:rFonts w:hint="eastAsia" w:ascii="宋体" w:hAnsi="宋体" w:eastAsia="宋体" w:cs="宋体"/>
          <w:b/>
          <w:bCs/>
          <w:color w:val="auto"/>
          <w:spacing w:val="-24"/>
          <w:sz w:val="24"/>
          <w:szCs w:val="24"/>
          <w:highlight w:val="none"/>
          <w:lang w:eastAsia="zh-CN"/>
        </w:rPr>
        <w:t>.</w:t>
      </w:r>
      <w:r>
        <w:rPr>
          <w:rFonts w:hint="eastAsia" w:ascii="宋体" w:hAnsi="宋体" w:eastAsia="宋体" w:cs="宋体"/>
          <w:b/>
          <w:bCs/>
          <w:color w:val="auto"/>
          <w:spacing w:val="-7"/>
          <w:sz w:val="24"/>
          <w:szCs w:val="24"/>
          <w:highlight w:val="none"/>
        </w:rPr>
        <w:t>形式评审环节</w:t>
      </w:r>
      <w:bookmarkEnd w:id="147"/>
      <w:bookmarkEnd w:id="148"/>
      <w:bookmarkEnd w:id="149"/>
    </w:p>
    <w:p w14:paraId="17FA0E7B">
      <w:pPr>
        <w:spacing w:before="151" w:line="360" w:lineRule="auto"/>
        <w:ind w:right="200" w:firstLine="482"/>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投标人有下列情形之一的，评标委员会应否决其投标。被否决的投标人，不进入响应性评审环节。</w:t>
      </w:r>
    </w:p>
    <w:p w14:paraId="1488D5B8">
      <w:pPr>
        <w:spacing w:before="32" w:line="360" w:lineRule="auto"/>
        <w:ind w:left="492"/>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（1）各分册没按招标文件规定加盖电子印章；</w:t>
      </w:r>
    </w:p>
    <w:p w14:paraId="01C21B1D">
      <w:pPr>
        <w:spacing w:before="153" w:line="360" w:lineRule="auto"/>
        <w:ind w:left="1" w:right="200" w:firstLine="490"/>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（2）本章第三节第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10.2.2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b/>
          <w:bCs/>
          <w:color w:val="auto"/>
          <w:spacing w:val="-8"/>
          <w:sz w:val="24"/>
          <w:szCs w:val="24"/>
          <w:highlight w:val="none"/>
        </w:rPr>
        <w:t>10.3.2</w:t>
      </w:r>
      <w:r>
        <w:rPr>
          <w:rFonts w:hint="eastAsia" w:ascii="宋体" w:hAnsi="宋体" w:eastAsia="宋体" w:cs="宋体"/>
          <w:color w:val="auto"/>
          <w:spacing w:val="-8"/>
          <w:sz w:val="24"/>
          <w:szCs w:val="24"/>
          <w:highlight w:val="none"/>
        </w:rPr>
        <w:t xml:space="preserve"> 目、第</w:t>
      </w:r>
      <w:r>
        <w:rPr>
          <w:rFonts w:hint="eastAsia" w:ascii="宋体" w:hAnsi="宋体" w:eastAsia="宋体" w:cs="宋体"/>
          <w:color w:val="auto"/>
          <w:spacing w:val="-33"/>
          <w:sz w:val="24"/>
          <w:szCs w:val="24"/>
          <w:highlight w:val="none"/>
        </w:rPr>
        <w:t xml:space="preserve"> </w:t>
      </w:r>
      <w:r>
        <w:rPr>
          <w:rFonts w:hint="eastAsia" w:ascii="宋体" w:hAnsi="宋体" w:eastAsia="宋体" w:cs="宋体"/>
          <w:b/>
          <w:bCs/>
          <w:color w:val="auto"/>
          <w:spacing w:val="-8"/>
          <w:sz w:val="24"/>
          <w:szCs w:val="24"/>
          <w:highlight w:val="none"/>
        </w:rPr>
        <w:t>10.4.3</w:t>
      </w:r>
      <w:r>
        <w:rPr>
          <w:rFonts w:hint="eastAsia" w:ascii="宋体" w:hAnsi="宋体" w:eastAsia="宋体" w:cs="宋体"/>
          <w:color w:val="auto"/>
          <w:spacing w:val="-8"/>
          <w:sz w:val="24"/>
          <w:szCs w:val="24"/>
          <w:highlight w:val="none"/>
        </w:rPr>
        <w:t xml:space="preserve"> 目中规定的“所有投标人</w:t>
      </w:r>
      <w:r>
        <w:rPr>
          <w:rFonts w:hint="eastAsia" w:ascii="宋体" w:hAnsi="宋体" w:eastAsia="宋体" w:cs="宋体"/>
          <w:color w:val="auto"/>
          <w:spacing w:val="-1"/>
          <w:sz w:val="24"/>
          <w:szCs w:val="24"/>
          <w:highlight w:val="none"/>
        </w:rPr>
        <w:t>均应提供</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1"/>
          <w:sz w:val="24"/>
          <w:szCs w:val="24"/>
          <w:highlight w:val="none"/>
        </w:rPr>
        <w:t>”的组成内容（包括该组成内容的所附资料）中，</w:t>
      </w:r>
      <w:r>
        <w:rPr>
          <w:rFonts w:hint="eastAsia" w:ascii="宋体" w:hAnsi="宋体" w:eastAsia="宋体" w:cs="宋体"/>
          <w:color w:val="auto"/>
          <w:spacing w:val="-2"/>
          <w:sz w:val="24"/>
          <w:szCs w:val="24"/>
          <w:highlight w:val="none"/>
        </w:rPr>
        <w:t>任何一项有缺漏的；</w:t>
      </w:r>
    </w:p>
    <w:p w14:paraId="7C87715B">
      <w:pPr>
        <w:spacing w:before="136" w:line="360" w:lineRule="auto"/>
        <w:ind w:left="8" w:right="200" w:firstLine="426"/>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（3）关键字迹模糊、无法辨认，且该种过错将导致评标委员会无法判断投标文件是</w:t>
      </w:r>
      <w:r>
        <w:rPr>
          <w:rFonts w:hint="eastAsia" w:ascii="宋体" w:hAnsi="宋体" w:eastAsia="宋体" w:cs="宋体"/>
          <w:color w:val="auto"/>
          <w:spacing w:val="-2"/>
          <w:sz w:val="24"/>
          <w:szCs w:val="24"/>
          <w:highlight w:val="none"/>
        </w:rPr>
        <w:t>否响应招标文件实质性要求的；有涂改、行间插字或删除，但未加盖单位章或由投标人</w:t>
      </w:r>
      <w:r>
        <w:rPr>
          <w:rFonts w:hint="eastAsia" w:ascii="宋体" w:hAnsi="宋体" w:eastAsia="宋体" w:cs="宋体"/>
          <w:color w:val="auto"/>
          <w:spacing w:val="-1"/>
          <w:sz w:val="24"/>
          <w:szCs w:val="24"/>
          <w:highlight w:val="none"/>
        </w:rPr>
        <w:t>的法定代表人或其委托代理人签字确认的；</w:t>
      </w:r>
    </w:p>
    <w:p w14:paraId="64A608C1">
      <w:pPr>
        <w:spacing w:before="209" w:line="360" w:lineRule="auto"/>
        <w:ind w:left="434"/>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（4）投标文件未按规定签字、盖章的。</w:t>
      </w:r>
    </w:p>
    <w:p w14:paraId="5001A17B">
      <w:pPr>
        <w:spacing w:before="206" w:line="360" w:lineRule="auto"/>
        <w:ind w:left="1" w:firstLine="49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（5）招标文件规定施工组织设计采用“暗标</w:t>
      </w:r>
      <w:r>
        <w:rPr>
          <w:rFonts w:hint="eastAsia" w:ascii="宋体" w:hAnsi="宋体" w:eastAsia="宋体" w:cs="宋体"/>
          <w:color w:val="auto"/>
          <w:spacing w:val="-70"/>
          <w:sz w:val="24"/>
          <w:szCs w:val="24"/>
          <w:highlight w:val="none"/>
        </w:rPr>
        <w:t xml:space="preserve"> </w:t>
      </w:r>
      <w:r>
        <w:rPr>
          <w:rFonts w:hint="eastAsia" w:ascii="宋体" w:hAnsi="宋体" w:eastAsia="宋体" w:cs="宋体"/>
          <w:color w:val="auto"/>
          <w:sz w:val="24"/>
          <w:szCs w:val="24"/>
          <w:highlight w:val="none"/>
        </w:rPr>
        <w:t>”方式进行评审，但施工组织设计的</w:t>
      </w:r>
      <w:r>
        <w:rPr>
          <w:rFonts w:hint="eastAsia" w:ascii="宋体" w:hAnsi="宋体" w:eastAsia="宋体" w:cs="宋体"/>
          <w:color w:val="auto"/>
          <w:spacing w:val="-4"/>
          <w:sz w:val="24"/>
          <w:szCs w:val="24"/>
          <w:highlight w:val="none"/>
        </w:rPr>
        <w:t>规格颜色、文字排版、正文篇幅（若有）不符合规定的；其任何部位出现手写以及涂改、</w:t>
      </w:r>
      <w:r>
        <w:rPr>
          <w:rFonts w:hint="eastAsia" w:ascii="宋体" w:hAnsi="宋体" w:eastAsia="宋体" w:cs="宋体"/>
          <w:color w:val="auto"/>
          <w:spacing w:val="-3"/>
          <w:sz w:val="24"/>
          <w:szCs w:val="24"/>
          <w:highlight w:val="none"/>
        </w:rPr>
        <w:t>行间插字或删除痕迹的；其任何部位出现投标人的名称和其它可识别投标人身份的字符、</w:t>
      </w:r>
      <w:r>
        <w:rPr>
          <w:rFonts w:hint="eastAsia" w:ascii="宋体" w:hAnsi="宋体" w:eastAsia="宋体" w:cs="宋体"/>
          <w:color w:val="auto"/>
          <w:spacing w:val="-1"/>
          <w:sz w:val="24"/>
          <w:szCs w:val="24"/>
          <w:highlight w:val="none"/>
        </w:rPr>
        <w:t>徽标、人员名称以及其他特殊标记的。</w:t>
      </w:r>
    </w:p>
    <w:p w14:paraId="7F1D1627">
      <w:pPr>
        <w:spacing w:before="227" w:line="360" w:lineRule="auto"/>
        <w:ind w:left="475"/>
        <w:outlineLvl w:val="2"/>
        <w:rPr>
          <w:rFonts w:hint="eastAsia" w:ascii="宋体" w:hAnsi="宋体" w:eastAsia="宋体" w:cs="宋体"/>
          <w:color w:val="auto"/>
          <w:sz w:val="24"/>
          <w:szCs w:val="24"/>
          <w:highlight w:val="none"/>
        </w:rPr>
      </w:pPr>
      <w:bookmarkStart w:id="150" w:name="_Toc26522"/>
      <w:bookmarkStart w:id="151" w:name="_Toc4409"/>
      <w:bookmarkStart w:id="152" w:name="_Toc8217"/>
      <w:r>
        <w:rPr>
          <w:rFonts w:hint="eastAsia" w:ascii="宋体" w:hAnsi="宋体" w:eastAsia="宋体" w:cs="宋体"/>
          <w:b/>
          <w:bCs/>
          <w:color w:val="auto"/>
          <w:spacing w:val="-6"/>
          <w:sz w:val="24"/>
          <w:szCs w:val="24"/>
          <w:highlight w:val="none"/>
        </w:rPr>
        <w:t>3</w:t>
      </w:r>
      <w:r>
        <w:rPr>
          <w:rFonts w:hint="eastAsia" w:ascii="宋体" w:hAnsi="宋体" w:eastAsia="宋体" w:cs="宋体"/>
          <w:b/>
          <w:bCs/>
          <w:color w:val="auto"/>
          <w:spacing w:val="-24"/>
          <w:sz w:val="24"/>
          <w:szCs w:val="24"/>
          <w:highlight w:val="none"/>
          <w:lang w:eastAsia="zh-CN"/>
        </w:rPr>
        <w:t>.</w:t>
      </w:r>
      <w:r>
        <w:rPr>
          <w:rFonts w:hint="eastAsia" w:ascii="宋体" w:hAnsi="宋体" w:eastAsia="宋体" w:cs="宋体"/>
          <w:b/>
          <w:bCs/>
          <w:color w:val="auto"/>
          <w:spacing w:val="-6"/>
          <w:sz w:val="24"/>
          <w:szCs w:val="24"/>
          <w:highlight w:val="none"/>
        </w:rPr>
        <w:t>响应性评审环节</w:t>
      </w:r>
      <w:bookmarkEnd w:id="150"/>
      <w:bookmarkEnd w:id="151"/>
      <w:bookmarkEnd w:id="152"/>
    </w:p>
    <w:p w14:paraId="54C4FB24">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1" w:right="198" w:firstLine="481"/>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投标人有下列情形之一的，评标委员会应否决其投标。被否决的投标人，不进入详细评审阶段。</w:t>
      </w:r>
    </w:p>
    <w:p w14:paraId="2E235325">
      <w:pPr>
        <w:keepNext w:val="0"/>
        <w:keepLines w:val="0"/>
        <w:pageBreakBefore w:val="0"/>
        <w:widowControl w:val="0"/>
        <w:kinsoku w:val="0"/>
        <w:wordWrap/>
        <w:overflowPunct/>
        <w:topLinePunct w:val="0"/>
        <w:autoSpaceDE w:val="0"/>
        <w:autoSpaceDN w:val="0"/>
        <w:bidi w:val="0"/>
        <w:adjustRightInd w:val="0"/>
        <w:snapToGrid w:val="0"/>
        <w:spacing w:before="31" w:line="360" w:lineRule="auto"/>
        <w:ind w:left="40" w:right="198" w:firstLine="452"/>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（1）承诺的投标有效期短于规定的；质量标准低于规定的；工期超出规定的；擅</w:t>
      </w:r>
      <w:r>
        <w:rPr>
          <w:rFonts w:hint="eastAsia" w:ascii="宋体" w:hAnsi="宋体" w:eastAsia="宋体" w:cs="宋体"/>
          <w:color w:val="auto"/>
          <w:spacing w:val="-2"/>
          <w:sz w:val="24"/>
          <w:szCs w:val="24"/>
          <w:highlight w:val="none"/>
        </w:rPr>
        <w:t>自修改、遗漏《投标函》《各项承诺一览表》实质性内容的；</w:t>
      </w:r>
    </w:p>
    <w:p w14:paraId="4086BFDC">
      <w:pPr>
        <w:keepNext w:val="0"/>
        <w:keepLines w:val="0"/>
        <w:pageBreakBefore w:val="0"/>
        <w:widowControl w:val="0"/>
        <w:kinsoku w:val="0"/>
        <w:wordWrap/>
        <w:overflowPunct/>
        <w:topLinePunct w:val="0"/>
        <w:autoSpaceDE w:val="0"/>
        <w:autoSpaceDN w:val="0"/>
        <w:bidi w:val="0"/>
        <w:adjustRightInd w:val="0"/>
        <w:snapToGrid w:val="0"/>
        <w:spacing w:before="157" w:line="360" w:lineRule="auto"/>
        <w:ind w:left="2" w:right="198" w:firstLine="489"/>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（2）编制《投标总价》的造价工程师，其注册证书不是住建部门颁发的；其注册</w:t>
      </w:r>
      <w:r>
        <w:rPr>
          <w:rFonts w:hint="eastAsia" w:ascii="宋体" w:hAnsi="宋体" w:eastAsia="宋体" w:cs="宋体"/>
          <w:color w:val="auto"/>
          <w:sz w:val="24"/>
          <w:szCs w:val="24"/>
          <w:highlight w:val="none"/>
        </w:rPr>
        <w:t>单位与投标人（或造价咨询人）不一致的；</w:t>
      </w:r>
      <w:r>
        <w:rPr>
          <w:rFonts w:hint="eastAsia" w:ascii="宋体" w:hAnsi="宋体" w:eastAsia="宋体" w:cs="宋体"/>
          <w:color w:val="auto"/>
          <w:spacing w:val="-1"/>
          <w:sz w:val="24"/>
          <w:szCs w:val="24"/>
          <w:highlight w:val="none"/>
        </w:rPr>
        <w:t>其注册证书不在有效期内的。</w:t>
      </w:r>
    </w:p>
    <w:p w14:paraId="2434B2FC">
      <w:pPr>
        <w:keepNext w:val="0"/>
        <w:keepLines w:val="0"/>
        <w:pageBreakBefore w:val="0"/>
        <w:widowControl w:val="0"/>
        <w:kinsoku w:val="0"/>
        <w:wordWrap/>
        <w:overflowPunct/>
        <w:topLinePunct w:val="0"/>
        <w:autoSpaceDE w:val="0"/>
        <w:autoSpaceDN w:val="0"/>
        <w:bidi w:val="0"/>
        <w:adjustRightInd w:val="0"/>
        <w:snapToGrid w:val="0"/>
        <w:spacing w:before="156" w:line="360" w:lineRule="auto"/>
        <w:ind w:right="200" w:firstLine="480"/>
        <w:jc w:val="both"/>
        <w:textAlignment w:val="baseline"/>
        <w:rPr>
          <w:rFonts w:hint="eastAsia" w:ascii="宋体" w:hAnsi="宋体" w:eastAsia="宋体" w:cs="宋体"/>
          <w:color w:val="auto"/>
          <w:highlight w:val="none"/>
        </w:rPr>
      </w:pPr>
      <w:r>
        <w:rPr>
          <w:rFonts w:hint="eastAsia" w:ascii="宋体" w:hAnsi="宋体" w:eastAsia="宋体" w:cs="宋体"/>
          <w:b/>
          <w:bCs/>
          <w:color w:val="auto"/>
          <w:spacing w:val="-4"/>
          <w:sz w:val="24"/>
          <w:szCs w:val="24"/>
          <w:highlight w:val="none"/>
        </w:rPr>
        <w:t>注：投标人（或造价咨询人）已经工商变更，但其员工的执业资格注</w:t>
      </w:r>
      <w:r>
        <w:rPr>
          <w:rFonts w:hint="eastAsia" w:ascii="宋体" w:hAnsi="宋体" w:eastAsia="宋体" w:cs="宋体"/>
          <w:b/>
          <w:bCs/>
          <w:color w:val="auto"/>
          <w:spacing w:val="-5"/>
          <w:sz w:val="24"/>
          <w:szCs w:val="24"/>
          <w:highlight w:val="none"/>
        </w:rPr>
        <w:t>册证书的注册单位名称未完成变更的，不得否决其投标。此条与 10.3.1 中的造价工程师执业（含二级造价工程师）指引相一致。</w:t>
      </w:r>
    </w:p>
    <w:p w14:paraId="10D18E62">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2" w:right="81" w:firstLine="488"/>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（3）投标人委托造价咨询单位编制《投标总价》，但未在《投标总价扉页》（即扉—3）“投标人</w:t>
      </w:r>
      <w:r>
        <w:rPr>
          <w:rFonts w:hint="eastAsia" w:ascii="宋体" w:hAnsi="宋体" w:eastAsia="宋体" w:cs="宋体"/>
          <w:color w:val="auto"/>
          <w:spacing w:val="-86"/>
          <w:sz w:val="24"/>
          <w:szCs w:val="24"/>
          <w:highlight w:val="none"/>
        </w:rPr>
        <w:t xml:space="preserve"> </w:t>
      </w:r>
      <w:r>
        <w:rPr>
          <w:rFonts w:hint="eastAsia" w:ascii="宋体" w:hAnsi="宋体" w:eastAsia="宋体" w:cs="宋体"/>
          <w:color w:val="auto"/>
          <w:spacing w:val="1"/>
          <w:sz w:val="24"/>
          <w:szCs w:val="24"/>
          <w:highlight w:val="none"/>
        </w:rPr>
        <w:t>”栏目加盖造价咨询人公章的；未提</w:t>
      </w:r>
      <w:r>
        <w:rPr>
          <w:rFonts w:hint="eastAsia" w:ascii="宋体" w:hAnsi="宋体" w:eastAsia="宋体" w:cs="宋体"/>
          <w:color w:val="auto"/>
          <w:sz w:val="24"/>
          <w:szCs w:val="24"/>
          <w:highlight w:val="none"/>
        </w:rPr>
        <w:t>供造价咨询人的营业执照副本彩</w:t>
      </w:r>
      <w:r>
        <w:rPr>
          <w:rFonts w:hint="eastAsia" w:ascii="宋体" w:hAnsi="宋体" w:eastAsia="宋体" w:cs="宋体"/>
          <w:color w:val="auto"/>
          <w:spacing w:val="-3"/>
          <w:sz w:val="24"/>
          <w:szCs w:val="24"/>
          <w:highlight w:val="none"/>
        </w:rPr>
        <w:t>色扫描件；</w:t>
      </w:r>
    </w:p>
    <w:p w14:paraId="63FE82E3">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right="21"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（4）出现两个或两个以上投标总价的（同一个投标总价大、小写不一致的除外</w:t>
      </w:r>
      <w:r>
        <w:rPr>
          <w:rFonts w:hint="eastAsia" w:ascii="宋体" w:hAnsi="宋体" w:eastAsia="宋体" w:cs="宋体"/>
          <w:color w:val="auto"/>
          <w:spacing w:val="-31"/>
          <w:sz w:val="24"/>
          <w:szCs w:val="24"/>
          <w:highlight w:val="none"/>
        </w:rPr>
        <w:t>）；</w:t>
      </w:r>
      <w:r>
        <w:rPr>
          <w:rFonts w:hint="eastAsia" w:ascii="宋体" w:hAnsi="宋体" w:eastAsia="宋体" w:cs="宋体"/>
          <w:color w:val="auto"/>
          <w:spacing w:val="-2"/>
          <w:sz w:val="24"/>
          <w:szCs w:val="24"/>
          <w:highlight w:val="none"/>
        </w:rPr>
        <w:t>投标总价超出</w:t>
      </w:r>
      <w:r>
        <w:rPr>
          <w:rFonts w:hint="eastAsia" w:ascii="宋体" w:hAnsi="宋体" w:eastAsia="宋体" w:cs="宋体"/>
          <w:b/>
          <w:bCs/>
          <w:color w:val="auto"/>
          <w:spacing w:val="-2"/>
          <w:sz w:val="24"/>
          <w:szCs w:val="24"/>
          <w:highlight w:val="none"/>
        </w:rPr>
        <w:t>最高投标限价</w:t>
      </w:r>
      <w:r>
        <w:rPr>
          <w:rFonts w:hint="eastAsia" w:ascii="宋体" w:hAnsi="宋体" w:eastAsia="宋体" w:cs="宋体"/>
          <w:color w:val="auto"/>
          <w:spacing w:val="-2"/>
          <w:sz w:val="24"/>
          <w:szCs w:val="24"/>
          <w:highlight w:val="none"/>
        </w:rPr>
        <w:t>的；绿色施工安全防护措施费少于规定的；暂列金额、暂估</w:t>
      </w:r>
      <w:r>
        <w:rPr>
          <w:rFonts w:hint="eastAsia" w:ascii="宋体" w:hAnsi="宋体" w:eastAsia="宋体" w:cs="宋体"/>
          <w:color w:val="auto"/>
          <w:spacing w:val="-3"/>
          <w:sz w:val="24"/>
          <w:szCs w:val="24"/>
          <w:highlight w:val="none"/>
        </w:rPr>
        <w:t>价未按照招标工程量清单统一报价的；投标总价下浮率超过15%，又未提供相应书面说</w:t>
      </w:r>
      <w:r>
        <w:rPr>
          <w:rFonts w:hint="eastAsia" w:ascii="宋体" w:hAnsi="宋体" w:eastAsia="宋体" w:cs="宋体"/>
          <w:color w:val="auto"/>
          <w:spacing w:val="-2"/>
          <w:sz w:val="24"/>
          <w:szCs w:val="24"/>
          <w:highlight w:val="none"/>
        </w:rPr>
        <w:t>明和佐证材料或提供的书面说明和佐证材料不能令人信服，被评标委员会认定以低于成</w:t>
      </w:r>
      <w:r>
        <w:rPr>
          <w:rFonts w:hint="eastAsia" w:ascii="宋体" w:hAnsi="宋体" w:eastAsia="宋体" w:cs="宋体"/>
          <w:color w:val="auto"/>
          <w:sz w:val="24"/>
          <w:szCs w:val="24"/>
          <w:highlight w:val="none"/>
        </w:rPr>
        <w:t>本报价竞标的；擅自修改、增减招标工程量清单</w:t>
      </w:r>
      <w:r>
        <w:rPr>
          <w:rFonts w:hint="eastAsia" w:ascii="宋体" w:hAnsi="宋体" w:eastAsia="宋体" w:cs="宋体"/>
          <w:color w:val="auto"/>
          <w:spacing w:val="-1"/>
          <w:sz w:val="24"/>
          <w:szCs w:val="24"/>
          <w:highlight w:val="none"/>
        </w:rPr>
        <w:t>项目（包括措施项目）的；</w:t>
      </w:r>
    </w:p>
    <w:p w14:paraId="7A4B5CD1">
      <w:pPr>
        <w:keepNext w:val="0"/>
        <w:keepLines w:val="0"/>
        <w:pageBreakBefore w:val="0"/>
        <w:widowControl w:val="0"/>
        <w:kinsoku w:val="0"/>
        <w:wordWrap/>
        <w:overflowPunct/>
        <w:topLinePunct w:val="0"/>
        <w:autoSpaceDE w:val="0"/>
        <w:autoSpaceDN w:val="0"/>
        <w:bidi w:val="0"/>
        <w:adjustRightInd w:val="0"/>
        <w:snapToGrid w:val="0"/>
        <w:spacing w:before="156" w:line="360" w:lineRule="auto"/>
        <w:ind w:right="81" w:firstLine="490"/>
        <w:textAlignment w:val="baseline"/>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（5）在施工组织设计评审中，评标委员会认定质量、进度保障措施与国家和省市</w:t>
      </w:r>
      <w:r>
        <w:rPr>
          <w:rFonts w:hint="eastAsia" w:ascii="宋体" w:hAnsi="宋体" w:eastAsia="宋体" w:cs="宋体"/>
          <w:color w:val="auto"/>
          <w:spacing w:val="-3"/>
          <w:sz w:val="24"/>
          <w:szCs w:val="24"/>
          <w:highlight w:val="none"/>
        </w:rPr>
        <w:t>现行有关规范、规定、标准有重大偏差，</w:t>
      </w:r>
      <w:r>
        <w:rPr>
          <w:rFonts w:hint="eastAsia" w:ascii="宋体" w:hAnsi="宋体" w:eastAsia="宋体" w:cs="宋体"/>
          <w:b/>
          <w:bCs/>
          <w:color w:val="auto"/>
          <w:spacing w:val="-3"/>
          <w:sz w:val="24"/>
          <w:szCs w:val="24"/>
          <w:highlight w:val="none"/>
        </w:rPr>
        <w:t>且该种过错将导致工程质量、进度管理目标无</w:t>
      </w:r>
      <w:r>
        <w:rPr>
          <w:rFonts w:hint="eastAsia" w:ascii="宋体" w:hAnsi="宋体" w:eastAsia="宋体" w:cs="宋体"/>
          <w:b/>
          <w:bCs/>
          <w:color w:val="auto"/>
          <w:spacing w:val="-4"/>
          <w:sz w:val="24"/>
          <w:szCs w:val="24"/>
          <w:highlight w:val="none"/>
        </w:rPr>
        <w:t>法实现的</w:t>
      </w:r>
      <w:r>
        <w:rPr>
          <w:rFonts w:hint="eastAsia" w:ascii="宋体" w:hAnsi="宋体" w:eastAsia="宋体" w:cs="宋体"/>
          <w:color w:val="auto"/>
          <w:spacing w:val="-4"/>
          <w:sz w:val="24"/>
          <w:szCs w:val="24"/>
          <w:highlight w:val="none"/>
        </w:rPr>
        <w:t>。</w:t>
      </w:r>
    </w:p>
    <w:p w14:paraId="11590734">
      <w:pPr>
        <w:spacing w:before="151" w:line="360" w:lineRule="auto"/>
        <w:ind w:left="476"/>
        <w:outlineLvl w:val="2"/>
        <w:rPr>
          <w:rFonts w:hint="eastAsia" w:ascii="宋体" w:hAnsi="宋体" w:eastAsia="宋体" w:cs="宋体"/>
          <w:color w:val="auto"/>
          <w:sz w:val="24"/>
          <w:szCs w:val="24"/>
          <w:highlight w:val="none"/>
        </w:rPr>
      </w:pPr>
      <w:bookmarkStart w:id="153" w:name="_Toc29500"/>
      <w:bookmarkStart w:id="154" w:name="_Toc21929"/>
      <w:bookmarkStart w:id="155" w:name="_Toc2557"/>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29"/>
          <w:sz w:val="24"/>
          <w:szCs w:val="24"/>
          <w:highlight w:val="none"/>
          <w:lang w:eastAsia="zh-CN"/>
        </w:rPr>
        <w:t>.</w:t>
      </w:r>
      <w:r>
        <w:rPr>
          <w:rFonts w:hint="eastAsia" w:ascii="宋体" w:hAnsi="宋体" w:eastAsia="宋体" w:cs="宋体"/>
          <w:b/>
          <w:bCs/>
          <w:color w:val="auto"/>
          <w:spacing w:val="-11"/>
          <w:sz w:val="24"/>
          <w:szCs w:val="24"/>
          <w:highlight w:val="none"/>
        </w:rPr>
        <w:t>其他</w:t>
      </w:r>
      <w:bookmarkEnd w:id="153"/>
      <w:bookmarkEnd w:id="154"/>
      <w:bookmarkEnd w:id="155"/>
    </w:p>
    <w:p w14:paraId="46C8107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在任何评标环节（或阶段），投标人有下列情形之一的，评标委员会应否决其投标。被否决的投标人，不进入下一环节（或阶段）。</w:t>
      </w:r>
    </w:p>
    <w:p w14:paraId="6A70F2F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（1）不按评标委员会要求澄清、说明或补正的；</w:t>
      </w:r>
    </w:p>
    <w:p w14:paraId="4CBBCC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（2）有下列情形之一，被评标委员会认定属于串通投标的：</w:t>
      </w:r>
    </w:p>
    <w:p w14:paraId="271141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①不同投标人的投标文件两处以上（含两处）错、漏一致；</w:t>
      </w:r>
    </w:p>
    <w:p w14:paraId="55C46FE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②不同投标人的投标总价相近且各分项报价、综合单价分析表内容混乱不能相互对应、乱调乱压或乱抬的，而在询标时没有合理的解释或者不能提供计算依据和报价依据；</w:t>
      </w:r>
    </w:p>
    <w:p w14:paraId="087B172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③不同投标人的投标各项报价存在异常一致或者呈规律性变化；</w:t>
      </w:r>
    </w:p>
    <w:p w14:paraId="2919038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④不同投标人的投标文件由同一单位或者同一个人编制；</w:t>
      </w:r>
    </w:p>
    <w:p w14:paraId="724112B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⑤不同投标人的投标文件中投标资料（包括电子资料）相互混装或项目班子成员出现同一人；</w:t>
      </w:r>
    </w:p>
    <w:p w14:paraId="2E9AD51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⑥不同投标人的投标文件由同一电脑编制或同一台附属设备打印，或投标报价用同一个预算编制软件密码锁制作或出自同一电子文档；</w:t>
      </w:r>
    </w:p>
    <w:p w14:paraId="6E160A6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⑦不同投标人的投标保证由同一企业或同一账户资金缴纳；</w:t>
      </w:r>
    </w:p>
    <w:p w14:paraId="60106A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⑧不同投标人委托同一个人或注册在同一家企业的注册人员或同一家企业为其投标提供投标咨询、商务报价、技术咨询（招标项目本身要求采用专有技术的除外）等服务。</w:t>
      </w:r>
    </w:p>
    <w:p w14:paraId="53EB2D8B">
      <w:pPr>
        <w:spacing w:before="78" w:line="360" w:lineRule="auto"/>
        <w:jc w:val="center"/>
        <w:outlineLvl w:val="0"/>
        <w:rPr>
          <w:rFonts w:hint="eastAsia" w:ascii="宋体" w:hAnsi="宋体" w:eastAsia="宋体" w:cs="宋体"/>
          <w:b/>
          <w:bCs/>
          <w:color w:val="auto"/>
          <w:spacing w:val="-3"/>
          <w:sz w:val="24"/>
          <w:szCs w:val="24"/>
          <w:highlight w:val="none"/>
        </w:rPr>
      </w:pPr>
      <w:bookmarkStart w:id="156" w:name="bookmark57"/>
      <w:bookmarkEnd w:id="156"/>
      <w:bookmarkStart w:id="157" w:name="_Toc20000"/>
      <w:bookmarkStart w:id="158" w:name="_Toc7642"/>
      <w:r>
        <w:rPr>
          <w:rFonts w:hint="eastAsia" w:ascii="宋体" w:hAnsi="宋体" w:eastAsia="宋体" w:cs="宋体"/>
          <w:b/>
          <w:bCs/>
          <w:color w:val="auto"/>
          <w:spacing w:val="-3"/>
          <w:sz w:val="24"/>
          <w:szCs w:val="24"/>
          <w:highlight w:val="none"/>
        </w:rPr>
        <w:t>第二章</w:t>
      </w:r>
      <w:r>
        <w:rPr>
          <w:rFonts w:hint="eastAsia" w:ascii="宋体" w:hAnsi="宋体" w:eastAsia="宋体" w:cs="宋体"/>
          <w:b/>
          <w:bCs/>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中标人须知</w:t>
      </w:r>
      <w:bookmarkEnd w:id="157"/>
      <w:bookmarkEnd w:id="158"/>
    </w:p>
    <w:p w14:paraId="33D1480D">
      <w:pPr>
        <w:spacing w:before="151" w:line="360" w:lineRule="auto"/>
        <w:ind w:left="476"/>
        <w:outlineLvl w:val="2"/>
        <w:rPr>
          <w:rFonts w:hint="eastAsia" w:ascii="宋体" w:hAnsi="宋体" w:eastAsia="宋体" w:cs="宋体"/>
          <w:b/>
          <w:bCs/>
          <w:color w:val="auto"/>
          <w:spacing w:val="-11"/>
          <w:sz w:val="24"/>
          <w:szCs w:val="24"/>
          <w:highlight w:val="none"/>
        </w:rPr>
      </w:pPr>
      <w:bookmarkStart w:id="159" w:name="_Toc11992"/>
      <w:bookmarkStart w:id="160" w:name="_Toc26962"/>
      <w:r>
        <w:rPr>
          <w:rFonts w:hint="eastAsia" w:ascii="宋体" w:hAnsi="宋体" w:eastAsia="宋体" w:cs="宋体"/>
          <w:b/>
          <w:bCs/>
          <w:color w:val="auto"/>
          <w:spacing w:val="-11"/>
          <w:sz w:val="24"/>
          <w:szCs w:val="24"/>
          <w:highlight w:val="none"/>
        </w:rPr>
        <w:t>1</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中标通知书</w:t>
      </w:r>
      <w:bookmarkEnd w:id="159"/>
      <w:bookmarkEnd w:id="160"/>
    </w:p>
    <w:p w14:paraId="51329CD9">
      <w:pPr>
        <w:spacing w:before="152" w:line="360" w:lineRule="auto"/>
        <w:ind w:left="17" w:firstLine="559"/>
        <w:jc w:val="both"/>
        <w:rPr>
          <w:rFonts w:hint="eastAsia" w:ascii="宋体" w:hAnsi="宋体" w:eastAsia="宋体" w:cs="宋体"/>
          <w:color w:val="auto"/>
          <w:highlight w:val="none"/>
        </w:rPr>
      </w:pPr>
      <w:r>
        <w:rPr>
          <w:rFonts w:hint="eastAsia" w:ascii="宋体" w:hAnsi="宋体" w:eastAsia="宋体" w:cs="宋体"/>
          <w:color w:val="auto"/>
          <w:spacing w:val="1"/>
          <w:sz w:val="24"/>
          <w:szCs w:val="24"/>
          <w:highlight w:val="none"/>
        </w:rPr>
        <w:t>招标人确定第一中标候选人为中标人，并在中标人确定之日起7日内向中</w:t>
      </w:r>
      <w:r>
        <w:rPr>
          <w:rFonts w:hint="eastAsia" w:ascii="宋体" w:hAnsi="宋体" w:eastAsia="宋体" w:cs="宋体"/>
          <w:color w:val="auto"/>
          <w:sz w:val="24"/>
          <w:szCs w:val="24"/>
          <w:highlight w:val="none"/>
        </w:rPr>
        <w:t>标人发</w:t>
      </w:r>
      <w:r>
        <w:rPr>
          <w:rFonts w:hint="eastAsia" w:ascii="宋体" w:hAnsi="宋体" w:eastAsia="宋体" w:cs="宋体"/>
          <w:color w:val="auto"/>
          <w:spacing w:val="-3"/>
          <w:sz w:val="24"/>
          <w:szCs w:val="24"/>
          <w:highlight w:val="none"/>
        </w:rPr>
        <w:t>出中标通知书，中标人必须按韶关市公共资源交易中心的规定办理相关手续后方可领取。</w:t>
      </w:r>
      <w:r>
        <w:rPr>
          <w:rFonts w:hint="eastAsia" w:ascii="宋体" w:hAnsi="宋体" w:eastAsia="宋体" w:cs="宋体"/>
          <w:color w:val="auto"/>
          <w:spacing w:val="-2"/>
          <w:sz w:val="24"/>
          <w:szCs w:val="24"/>
          <w:highlight w:val="none"/>
        </w:rPr>
        <w:t>中标通知书对招标人和中标人均具有法律约束力。中标通知书发出后，招标人改变中标</w:t>
      </w:r>
      <w:r>
        <w:rPr>
          <w:rFonts w:hint="eastAsia" w:ascii="宋体" w:hAnsi="宋体" w:eastAsia="宋体" w:cs="宋体"/>
          <w:color w:val="auto"/>
          <w:spacing w:val="-1"/>
          <w:sz w:val="24"/>
          <w:szCs w:val="24"/>
          <w:highlight w:val="none"/>
        </w:rPr>
        <w:t>结果和中标人放弃中标的，应当承担法律责任。</w:t>
      </w:r>
    </w:p>
    <w:p w14:paraId="6832A809">
      <w:pPr>
        <w:spacing w:before="151" w:line="360" w:lineRule="auto"/>
        <w:ind w:left="476"/>
        <w:outlineLvl w:val="2"/>
        <w:rPr>
          <w:rFonts w:hint="eastAsia" w:ascii="宋体" w:hAnsi="宋体" w:eastAsia="宋体" w:cs="宋体"/>
          <w:b/>
          <w:bCs/>
          <w:color w:val="auto"/>
          <w:spacing w:val="-11"/>
          <w:sz w:val="24"/>
          <w:szCs w:val="24"/>
          <w:highlight w:val="none"/>
        </w:rPr>
      </w:pPr>
      <w:bookmarkStart w:id="161" w:name="_Toc7161"/>
      <w:bookmarkStart w:id="162" w:name="_Toc16049"/>
      <w:r>
        <w:rPr>
          <w:rFonts w:hint="eastAsia" w:ascii="宋体" w:hAnsi="宋体" w:eastAsia="宋体" w:cs="宋体"/>
          <w:b/>
          <w:bCs/>
          <w:color w:val="auto"/>
          <w:spacing w:val="-11"/>
          <w:sz w:val="24"/>
          <w:szCs w:val="24"/>
          <w:highlight w:val="none"/>
        </w:rPr>
        <w:t>2</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中标结果公示</w:t>
      </w:r>
      <w:bookmarkEnd w:id="161"/>
      <w:bookmarkEnd w:id="162"/>
    </w:p>
    <w:p w14:paraId="5173095A">
      <w:pPr>
        <w:spacing w:before="115" w:line="360" w:lineRule="auto"/>
        <w:ind w:left="2" w:right="203" w:firstLine="595"/>
        <w:jc w:val="both"/>
        <w:rPr>
          <w:rFonts w:hint="eastAsia" w:ascii="宋体" w:hAnsi="宋体" w:eastAsia="宋体" w:cs="宋体"/>
          <w:color w:val="auto"/>
          <w:highlight w:val="none"/>
        </w:rPr>
      </w:pPr>
      <w:r>
        <w:rPr>
          <w:rFonts w:hint="eastAsia" w:ascii="宋体" w:hAnsi="宋体" w:eastAsia="宋体" w:cs="宋体"/>
          <w:color w:val="auto"/>
          <w:spacing w:val="-2"/>
          <w:sz w:val="24"/>
          <w:szCs w:val="24"/>
          <w:highlight w:val="none"/>
        </w:rPr>
        <w:t>中标通知书发出后</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2"/>
          <w:sz w:val="24"/>
          <w:szCs w:val="24"/>
          <w:highlight w:val="none"/>
        </w:rPr>
        <w:t>15</w:t>
      </w:r>
      <w:r>
        <w:rPr>
          <w:rFonts w:hint="eastAsia" w:ascii="宋体" w:hAnsi="宋体" w:eastAsia="宋体" w:cs="宋体"/>
          <w:color w:val="auto"/>
          <w:spacing w:val="50"/>
          <w:w w:val="101"/>
          <w:sz w:val="24"/>
          <w:szCs w:val="24"/>
          <w:highlight w:val="none"/>
        </w:rPr>
        <w:t xml:space="preserve"> </w:t>
      </w:r>
      <w:r>
        <w:rPr>
          <w:rFonts w:hint="eastAsia" w:ascii="宋体" w:hAnsi="宋体" w:eastAsia="宋体" w:cs="宋体"/>
          <w:color w:val="auto"/>
          <w:spacing w:val="-2"/>
          <w:sz w:val="24"/>
          <w:szCs w:val="24"/>
          <w:highlight w:val="none"/>
        </w:rPr>
        <w:t>日内，招标人应将中标结果在广东省招标投标</w:t>
      </w:r>
      <w:r>
        <w:rPr>
          <w:rFonts w:hint="eastAsia" w:ascii="宋体" w:hAnsi="宋体" w:eastAsia="宋体" w:cs="宋体"/>
          <w:color w:val="auto"/>
          <w:spacing w:val="-3"/>
          <w:sz w:val="24"/>
          <w:szCs w:val="24"/>
          <w:highlight w:val="none"/>
        </w:rPr>
        <w:t>监管网（http:</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//zbtb.gd.gov.cn）、全国公共资源交易平台（广东省</w:t>
      </w:r>
      <w:r>
        <w:rPr>
          <w:rFonts w:hint="eastAsia" w:ascii="宋体" w:hAnsi="宋体" w:eastAsia="宋体" w:cs="宋体"/>
          <w:color w:val="auto"/>
          <w:spacing w:val="-28"/>
          <w:sz w:val="24"/>
          <w:szCs w:val="24"/>
          <w:highlight w:val="none"/>
        </w:rPr>
        <w:t xml:space="preserve"> </w:t>
      </w:r>
      <w:r>
        <w:rPr>
          <w:rFonts w:hint="eastAsia" w:ascii="宋体" w:hAnsi="宋体" w:eastAsia="宋体" w:cs="宋体"/>
          <w:color w:val="auto"/>
          <w:spacing w:val="-2"/>
          <w:sz w:val="24"/>
          <w:szCs w:val="24"/>
          <w:highlight w:val="none"/>
        </w:rPr>
        <w:t>·韶关市</w:t>
      </w:r>
      <w:r>
        <w:rPr>
          <w:rFonts w:hint="eastAsia" w:ascii="宋体" w:hAnsi="宋体" w:eastAsia="宋体" w:cs="宋体"/>
          <w:color w:val="auto"/>
          <w:spacing w:val="-34"/>
          <w:sz w:val="24"/>
          <w:szCs w:val="24"/>
          <w:highlight w:val="none"/>
        </w:rPr>
        <w:t>）（</w:t>
      </w:r>
      <w:r>
        <w:rPr>
          <w:rFonts w:hint="eastAsia" w:ascii="宋体" w:hAnsi="宋体" w:eastAsia="宋体" w:cs="宋体"/>
          <w:color w:val="auto"/>
          <w:spacing w:val="-2"/>
          <w:sz w:val="24"/>
          <w:szCs w:val="24"/>
          <w:highlight w:val="none"/>
        </w:rPr>
        <w:t>https://ygp.</w:t>
      </w:r>
      <w:r>
        <w:rPr>
          <w:rFonts w:hint="eastAsia" w:ascii="宋体" w:hAnsi="宋体" w:eastAsia="宋体" w:cs="宋体"/>
          <w:color w:val="auto"/>
          <w:spacing w:val="-3"/>
          <w:sz w:val="24"/>
          <w:szCs w:val="24"/>
          <w:highlight w:val="none"/>
        </w:rPr>
        <w:t>gdzwfw.gov.</w:t>
      </w:r>
      <w:r>
        <w:rPr>
          <w:rFonts w:hint="eastAsia" w:ascii="宋体" w:hAnsi="宋体" w:eastAsia="宋体" w:cs="宋体"/>
          <w:color w:val="auto"/>
          <w:sz w:val="24"/>
          <w:szCs w:val="24"/>
          <w:highlight w:val="none"/>
        </w:rPr>
        <w:t xml:space="preserve"> cn/ggzy-portal/#/440200/index）进行公示。</w:t>
      </w:r>
    </w:p>
    <w:p w14:paraId="4AC0E276">
      <w:pPr>
        <w:spacing w:before="151" w:line="360" w:lineRule="auto"/>
        <w:ind w:left="476"/>
        <w:outlineLvl w:val="2"/>
        <w:rPr>
          <w:rFonts w:hint="eastAsia" w:ascii="宋体" w:hAnsi="宋体" w:eastAsia="宋体" w:cs="宋体"/>
          <w:b/>
          <w:bCs/>
          <w:color w:val="auto"/>
          <w:spacing w:val="-11"/>
          <w:sz w:val="24"/>
          <w:szCs w:val="24"/>
          <w:highlight w:val="none"/>
        </w:rPr>
      </w:pPr>
      <w:bookmarkStart w:id="163" w:name="_Toc15464"/>
      <w:bookmarkStart w:id="164" w:name="_Toc28790"/>
      <w:r>
        <w:rPr>
          <w:rFonts w:hint="eastAsia" w:ascii="宋体" w:hAnsi="宋体" w:eastAsia="宋体" w:cs="宋体"/>
          <w:b/>
          <w:bCs/>
          <w:color w:val="auto"/>
          <w:spacing w:val="-11"/>
          <w:sz w:val="24"/>
          <w:szCs w:val="24"/>
          <w:highlight w:val="none"/>
        </w:rPr>
        <w:t>3</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履约保证</w:t>
      </w:r>
      <w:bookmarkEnd w:id="163"/>
      <w:bookmarkEnd w:id="164"/>
    </w:p>
    <w:p w14:paraId="6B965CAC">
      <w:pPr>
        <w:keepNext w:val="0"/>
        <w:keepLines w:val="0"/>
        <w:pageBreakBefore w:val="0"/>
        <w:widowControl/>
        <w:kinsoku w:val="0"/>
        <w:wordWrap/>
        <w:overflowPunct/>
        <w:topLinePunct w:val="0"/>
        <w:autoSpaceDE w:val="0"/>
        <w:autoSpaceDN w:val="0"/>
        <w:bidi w:val="0"/>
        <w:adjustRightInd w:val="0"/>
        <w:snapToGrid w:val="0"/>
        <w:spacing w:before="153" w:line="360" w:lineRule="auto"/>
        <w:ind w:firstLine="470"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3.1</w:t>
      </w:r>
      <w:r>
        <w:rPr>
          <w:rFonts w:hint="eastAsia" w:ascii="宋体" w:hAnsi="宋体" w:eastAsia="宋体" w:cs="宋体"/>
          <w:b/>
          <w:bCs/>
          <w:color w:val="auto"/>
          <w:spacing w:val="17"/>
          <w:sz w:val="24"/>
          <w:szCs w:val="24"/>
          <w:highlight w:val="none"/>
        </w:rPr>
        <w:t xml:space="preserve">  </w:t>
      </w:r>
      <w:r>
        <w:rPr>
          <w:rFonts w:hint="eastAsia" w:ascii="宋体" w:hAnsi="宋体" w:eastAsia="宋体" w:cs="宋体"/>
          <w:color w:val="auto"/>
          <w:spacing w:val="-3"/>
          <w:sz w:val="24"/>
          <w:szCs w:val="24"/>
          <w:highlight w:val="none"/>
        </w:rPr>
        <w:t>中标人须在领取中标通知书之日起</w:t>
      </w:r>
      <w:r>
        <w:rPr>
          <w:rFonts w:hint="eastAsia" w:ascii="宋体" w:hAnsi="宋体" w:eastAsia="宋体" w:cs="宋体"/>
          <w:color w:val="auto"/>
          <w:spacing w:val="-3"/>
          <w:sz w:val="24"/>
          <w:szCs w:val="24"/>
          <w:highlight w:val="none"/>
          <w:u w:val="single"/>
          <w:lang w:val="en-US" w:eastAsia="zh-CN"/>
        </w:rPr>
        <w:t>10</w:t>
      </w:r>
      <w:r>
        <w:rPr>
          <w:rFonts w:hint="eastAsia" w:ascii="宋体" w:hAnsi="宋体" w:eastAsia="宋体" w:cs="宋体"/>
          <w:color w:val="auto"/>
          <w:spacing w:val="-3"/>
          <w:sz w:val="24"/>
          <w:szCs w:val="24"/>
          <w:highlight w:val="none"/>
        </w:rPr>
        <w:t>个工作日内、签订合同前向招标人提交金额</w:t>
      </w:r>
      <w:r>
        <w:rPr>
          <w:rFonts w:hint="eastAsia" w:ascii="宋体" w:hAnsi="宋体" w:eastAsia="宋体" w:cs="宋体"/>
          <w:color w:val="auto"/>
          <w:spacing w:val="-1"/>
          <w:position w:val="2"/>
          <w:sz w:val="24"/>
          <w:szCs w:val="24"/>
          <w:highlight w:val="none"/>
        </w:rPr>
        <w:t>为中标价</w:t>
      </w:r>
      <w:r>
        <w:rPr>
          <w:rFonts w:hint="eastAsia" w:ascii="宋体" w:hAnsi="宋体" w:eastAsia="宋体" w:cs="宋体"/>
          <w:color w:val="auto"/>
          <w:spacing w:val="-1"/>
          <w:position w:val="2"/>
          <w:sz w:val="24"/>
          <w:szCs w:val="24"/>
          <w:highlight w:val="none"/>
          <w:u w:val="single"/>
          <w:lang w:val="en-US" w:eastAsia="zh-CN"/>
        </w:rPr>
        <w:t>5</w:t>
      </w:r>
      <w:r>
        <w:rPr>
          <w:rFonts w:hint="eastAsia" w:ascii="宋体" w:hAnsi="宋体" w:eastAsia="宋体" w:cs="宋体"/>
          <w:color w:val="auto"/>
          <w:spacing w:val="-1"/>
          <w:position w:val="2"/>
          <w:sz w:val="24"/>
          <w:szCs w:val="24"/>
          <w:highlight w:val="none"/>
          <w:u w:val="single"/>
        </w:rPr>
        <w:t>%</w:t>
      </w:r>
      <w:r>
        <w:rPr>
          <w:rFonts w:hint="eastAsia" w:ascii="宋体" w:hAnsi="宋体" w:eastAsia="宋体" w:cs="宋体"/>
          <w:color w:val="auto"/>
          <w:spacing w:val="-1"/>
          <w:position w:val="2"/>
          <w:sz w:val="24"/>
          <w:szCs w:val="24"/>
          <w:highlight w:val="none"/>
        </w:rPr>
        <w:t>的履约保证。联合体中标的，由联合体牵头人提交。</w:t>
      </w:r>
    </w:p>
    <w:p w14:paraId="419293D0">
      <w:pPr>
        <w:keepNext w:val="0"/>
        <w:keepLines w:val="0"/>
        <w:pageBreakBefore w:val="0"/>
        <w:widowControl w:val="0"/>
        <w:kinsoku w:val="0"/>
        <w:overflowPunct/>
        <w:topLinePunct w:val="0"/>
        <w:autoSpaceDE w:val="0"/>
        <w:autoSpaceDN w:val="0"/>
        <w:bidi w:val="0"/>
        <w:adjustRightInd w:val="0"/>
        <w:snapToGrid w:val="0"/>
        <w:spacing w:before="89" w:line="360" w:lineRule="auto"/>
        <w:ind w:left="12" w:right="108" w:firstLine="473"/>
        <w:textAlignment w:val="baseline"/>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3.2</w:t>
      </w:r>
      <w:r>
        <w:rPr>
          <w:rFonts w:hint="eastAsia" w:ascii="宋体" w:hAnsi="宋体" w:eastAsia="宋体" w:cs="宋体"/>
          <w:b/>
          <w:bCs/>
          <w:color w:val="auto"/>
          <w:spacing w:val="1"/>
          <w:sz w:val="24"/>
          <w:szCs w:val="24"/>
          <w:highlight w:val="none"/>
          <w:lang w:val="en-US" w:eastAsia="zh-CN"/>
        </w:rPr>
        <w:t xml:space="preserve"> </w:t>
      </w:r>
      <w:r>
        <w:rPr>
          <w:rFonts w:hint="eastAsia" w:ascii="宋体" w:hAnsi="宋体" w:eastAsia="宋体" w:cs="宋体"/>
          <w:b/>
          <w:bCs/>
          <w:color w:val="auto"/>
          <w:spacing w:val="34"/>
          <w:w w:val="101"/>
          <w:sz w:val="24"/>
          <w:szCs w:val="24"/>
          <w:highlight w:val="none"/>
        </w:rPr>
        <w:t xml:space="preserve"> </w:t>
      </w:r>
      <w:r>
        <w:rPr>
          <w:rFonts w:hint="eastAsia" w:ascii="宋体" w:hAnsi="宋体" w:eastAsia="宋体" w:cs="宋体"/>
          <w:color w:val="auto"/>
          <w:spacing w:val="-1"/>
          <w:position w:val="2"/>
          <w:sz w:val="24"/>
          <w:szCs w:val="24"/>
          <w:highlight w:val="none"/>
        </w:rPr>
        <w:t>中标人根据《关于统一在市公共资源交易一体化服务平台缴退工程建设项目履约保证金的通知》办理相关手续，履约保证的形式包括履约保证金、履约保证担保、履约保证保险三种，由中标人自主选择</w:t>
      </w:r>
      <w:r>
        <w:rPr>
          <w:rFonts w:hint="eastAsia" w:ascii="宋体" w:hAnsi="宋体" w:eastAsia="宋体" w:cs="宋体"/>
          <w:color w:val="auto"/>
          <w:spacing w:val="-2"/>
          <w:sz w:val="24"/>
          <w:szCs w:val="24"/>
          <w:highlight w:val="none"/>
        </w:rPr>
        <w:t>。商业保函、银行保函或保险合同（或保险单）的</w:t>
      </w:r>
      <w:r>
        <w:rPr>
          <w:rFonts w:hint="eastAsia" w:ascii="宋体" w:hAnsi="宋体" w:eastAsia="宋体" w:cs="宋体"/>
          <w:color w:val="auto"/>
          <w:spacing w:val="-1"/>
          <w:sz w:val="24"/>
          <w:szCs w:val="24"/>
          <w:highlight w:val="none"/>
        </w:rPr>
        <w:t>有效期应当自合同生效之日起至项目通过竣工验收之日后</w:t>
      </w:r>
      <w:r>
        <w:rPr>
          <w:rFonts w:hint="eastAsia" w:ascii="宋体" w:hAnsi="宋体" w:eastAsia="宋体" w:cs="宋体"/>
          <w:color w:val="auto"/>
          <w:spacing w:val="-41"/>
          <w:sz w:val="24"/>
          <w:szCs w:val="24"/>
          <w:highlight w:val="none"/>
        </w:rPr>
        <w:t xml:space="preserve"> </w:t>
      </w:r>
      <w:r>
        <w:rPr>
          <w:rFonts w:hint="eastAsia" w:ascii="宋体" w:hAnsi="宋体" w:eastAsia="宋体" w:cs="宋体"/>
          <w:color w:val="auto"/>
          <w:spacing w:val="-1"/>
          <w:sz w:val="24"/>
          <w:szCs w:val="24"/>
          <w:highlight w:val="none"/>
        </w:rPr>
        <w:t>28 天止。</w:t>
      </w:r>
    </w:p>
    <w:p w14:paraId="29CA7BCE">
      <w:pPr>
        <w:keepNext w:val="0"/>
        <w:keepLines w:val="0"/>
        <w:pageBreakBefore w:val="0"/>
        <w:widowControl w:val="0"/>
        <w:kinsoku w:val="0"/>
        <w:wordWrap w:val="0"/>
        <w:overflowPunct/>
        <w:topLinePunct w:val="0"/>
        <w:autoSpaceDE w:val="0"/>
        <w:autoSpaceDN w:val="0"/>
        <w:bidi w:val="0"/>
        <w:adjustRightInd w:val="0"/>
        <w:snapToGrid w:val="0"/>
        <w:spacing w:line="360" w:lineRule="auto"/>
        <w:ind w:firstLine="562"/>
        <w:textAlignment w:val="baseline"/>
        <w:rPr>
          <w:rFonts w:hint="eastAsia" w:ascii="宋体" w:hAnsi="宋体" w:eastAsia="宋体" w:cs="宋体"/>
          <w:color w:val="auto"/>
          <w:highlight w:val="none"/>
          <w:lang w:eastAsia="zh-CN"/>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position w:val="2"/>
          <w:sz w:val="24"/>
          <w:szCs w:val="24"/>
          <w:highlight w:val="none"/>
          <w:lang w:eastAsia="zh-CN"/>
        </w:rPr>
        <w:t>注：中标通知书发出时，招标人发起收缴履约保证金并填写保证金金额、缴交时限和项目工期；由中标人在建设工程交易系统中自主选择一种进行缴交。项目竣工后，由招标人发起退保。）</w:t>
      </w:r>
    </w:p>
    <w:p w14:paraId="0C149FC0">
      <w:pPr>
        <w:keepNext w:val="0"/>
        <w:keepLines w:val="0"/>
        <w:pageBreakBefore w:val="0"/>
        <w:widowControl w:val="0"/>
        <w:kinsoku w:val="0"/>
        <w:overflowPunct/>
        <w:topLinePunct w:val="0"/>
        <w:autoSpaceDE w:val="0"/>
        <w:autoSpaceDN w:val="0"/>
        <w:bidi w:val="0"/>
        <w:adjustRightInd w:val="0"/>
        <w:snapToGrid w:val="0"/>
        <w:spacing w:before="145" w:line="360" w:lineRule="auto"/>
        <w:ind w:left="12" w:right="108" w:firstLine="47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3.3</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4"/>
          <w:sz w:val="24"/>
          <w:szCs w:val="24"/>
          <w:highlight w:val="none"/>
        </w:rPr>
        <w:t>中标人在领取中标通知书之日起10个工</w:t>
      </w:r>
      <w:r>
        <w:rPr>
          <w:rFonts w:hint="eastAsia" w:ascii="宋体" w:hAnsi="宋体" w:eastAsia="宋体" w:cs="宋体"/>
          <w:color w:val="auto"/>
          <w:spacing w:val="-5"/>
          <w:sz w:val="24"/>
          <w:szCs w:val="24"/>
          <w:highlight w:val="none"/>
        </w:rPr>
        <w:t>作日内仍未提交履约保证的，招标人发</w:t>
      </w:r>
      <w:r>
        <w:rPr>
          <w:rFonts w:hint="eastAsia" w:ascii="宋体" w:hAnsi="宋体" w:eastAsia="宋体" w:cs="宋体"/>
          <w:color w:val="auto"/>
          <w:spacing w:val="1"/>
          <w:sz w:val="24"/>
          <w:szCs w:val="24"/>
          <w:highlight w:val="none"/>
        </w:rPr>
        <w:t>出第一次提醒函；在领取中标通知书之日起15个工作日内仍未提交的</w:t>
      </w:r>
      <w:r>
        <w:rPr>
          <w:rFonts w:hint="eastAsia" w:ascii="宋体" w:hAnsi="宋体" w:eastAsia="宋体" w:cs="宋体"/>
          <w:color w:val="auto"/>
          <w:sz w:val="24"/>
          <w:szCs w:val="24"/>
          <w:highlight w:val="none"/>
        </w:rPr>
        <w:t>，招标人发出第</w:t>
      </w:r>
      <w:r>
        <w:rPr>
          <w:rFonts w:hint="eastAsia" w:ascii="宋体" w:hAnsi="宋体" w:eastAsia="宋体" w:cs="宋体"/>
          <w:color w:val="auto"/>
          <w:spacing w:val="1"/>
          <w:sz w:val="24"/>
          <w:szCs w:val="24"/>
          <w:highlight w:val="none"/>
        </w:rPr>
        <w:t>二次提醒函；在领取中标通知书之日起20个工作日内仍未提交的，视其放弃中标。并</w:t>
      </w:r>
      <w:r>
        <w:rPr>
          <w:rFonts w:hint="eastAsia" w:ascii="宋体" w:hAnsi="宋体" w:eastAsia="宋体" w:cs="宋体"/>
          <w:color w:val="auto"/>
          <w:spacing w:val="-2"/>
          <w:sz w:val="24"/>
          <w:szCs w:val="24"/>
          <w:highlight w:val="none"/>
        </w:rPr>
        <w:t>由招标人通报建设行政管理部门。如采用商业保函、银行保函或保险合同方式缴纳履约保证金，在保函或保险合同到期前一个月，中标人须主动办理续期手续或提交新的商业</w:t>
      </w:r>
      <w:r>
        <w:rPr>
          <w:rFonts w:hint="eastAsia" w:ascii="宋体" w:hAnsi="宋体" w:eastAsia="宋体" w:cs="宋体"/>
          <w:color w:val="auto"/>
          <w:spacing w:val="-1"/>
          <w:sz w:val="24"/>
          <w:szCs w:val="24"/>
          <w:highlight w:val="none"/>
        </w:rPr>
        <w:t>保函、银行保函或保险合同。</w:t>
      </w:r>
    </w:p>
    <w:p w14:paraId="03CC3AE0">
      <w:pPr>
        <w:keepNext w:val="0"/>
        <w:keepLines w:val="0"/>
        <w:pageBreakBefore w:val="0"/>
        <w:widowControl w:val="0"/>
        <w:kinsoku w:val="0"/>
        <w:overflowPunct/>
        <w:topLinePunct w:val="0"/>
        <w:autoSpaceDE w:val="0"/>
        <w:autoSpaceDN w:val="0"/>
        <w:bidi w:val="0"/>
        <w:adjustRightInd w:val="0"/>
        <w:snapToGrid w:val="0"/>
        <w:spacing w:before="152" w:line="360" w:lineRule="auto"/>
        <w:ind w:left="12" w:right="108" w:firstLine="474"/>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3.4  </w:t>
      </w:r>
      <w:r>
        <w:rPr>
          <w:rFonts w:hint="eastAsia" w:ascii="宋体" w:hAnsi="宋体" w:eastAsia="宋体" w:cs="宋体"/>
          <w:color w:val="auto"/>
          <w:sz w:val="24"/>
          <w:szCs w:val="24"/>
          <w:highlight w:val="none"/>
        </w:rPr>
        <w:t>在工程实施过程中，如果承包人（即招标阶段的中标人，下同）由于自身的资</w:t>
      </w:r>
      <w:r>
        <w:rPr>
          <w:rFonts w:hint="eastAsia" w:ascii="宋体" w:hAnsi="宋体" w:eastAsia="宋体" w:cs="宋体"/>
          <w:color w:val="auto"/>
          <w:spacing w:val="-2"/>
          <w:sz w:val="24"/>
          <w:szCs w:val="24"/>
          <w:highlight w:val="none"/>
        </w:rPr>
        <w:t>金、技术、质量、非不可抗力等原因给发包人（即招标阶段的招标人，下同）造成经济</w:t>
      </w:r>
      <w:r>
        <w:rPr>
          <w:rFonts w:hint="eastAsia" w:ascii="宋体" w:hAnsi="宋体" w:eastAsia="宋体" w:cs="宋体"/>
          <w:color w:val="auto"/>
          <w:spacing w:val="-1"/>
          <w:sz w:val="24"/>
          <w:szCs w:val="24"/>
          <w:highlight w:val="none"/>
        </w:rPr>
        <w:t>损失，发包人有权扣划相应金额的履约保证。</w:t>
      </w:r>
    </w:p>
    <w:p w14:paraId="3E738746">
      <w:pPr>
        <w:keepNext w:val="0"/>
        <w:keepLines w:val="0"/>
        <w:pageBreakBefore w:val="0"/>
        <w:widowControl w:val="0"/>
        <w:kinsoku w:val="0"/>
        <w:overflowPunct/>
        <w:topLinePunct w:val="0"/>
        <w:autoSpaceDE w:val="0"/>
        <w:autoSpaceDN w:val="0"/>
        <w:bidi w:val="0"/>
        <w:adjustRightInd w:val="0"/>
        <w:snapToGrid w:val="0"/>
        <w:spacing w:before="154" w:line="360" w:lineRule="auto"/>
        <w:ind w:left="486"/>
        <w:textAlignment w:val="baseline"/>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3.5  </w:t>
      </w:r>
      <w:r>
        <w:rPr>
          <w:rFonts w:hint="eastAsia" w:ascii="宋体" w:hAnsi="宋体" w:eastAsia="宋体" w:cs="宋体"/>
          <w:color w:val="auto"/>
          <w:sz w:val="24"/>
          <w:szCs w:val="24"/>
          <w:highlight w:val="none"/>
        </w:rPr>
        <w:t>项目通过竣工验收之日后</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z w:val="24"/>
          <w:szCs w:val="24"/>
          <w:highlight w:val="none"/>
        </w:rPr>
        <w:t>28 天内，发包人将履</w:t>
      </w:r>
      <w:r>
        <w:rPr>
          <w:rFonts w:hint="eastAsia" w:ascii="宋体" w:hAnsi="宋体" w:eastAsia="宋体" w:cs="宋体"/>
          <w:color w:val="auto"/>
          <w:spacing w:val="-1"/>
          <w:sz w:val="24"/>
          <w:szCs w:val="24"/>
          <w:highlight w:val="none"/>
        </w:rPr>
        <w:t>约保证退还给承包人。</w:t>
      </w:r>
    </w:p>
    <w:p w14:paraId="2AC22F1D">
      <w:pPr>
        <w:spacing w:before="151" w:line="360" w:lineRule="auto"/>
        <w:ind w:left="476"/>
        <w:outlineLvl w:val="2"/>
        <w:rPr>
          <w:rFonts w:hint="eastAsia" w:ascii="宋体" w:hAnsi="宋体" w:eastAsia="宋体" w:cs="宋体"/>
          <w:b/>
          <w:bCs/>
          <w:color w:val="auto"/>
          <w:spacing w:val="-11"/>
          <w:sz w:val="24"/>
          <w:szCs w:val="24"/>
          <w:highlight w:val="none"/>
        </w:rPr>
      </w:pPr>
      <w:bookmarkStart w:id="165" w:name="_Toc8851"/>
      <w:bookmarkStart w:id="166" w:name="_Toc31215"/>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合同订立</w:t>
      </w:r>
      <w:bookmarkEnd w:id="165"/>
      <w:bookmarkEnd w:id="166"/>
    </w:p>
    <w:p w14:paraId="7ECD82C0">
      <w:pPr>
        <w:spacing w:before="150" w:line="360" w:lineRule="auto"/>
        <w:ind w:left="13" w:right="108"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4.1  </w:t>
      </w:r>
      <w:r>
        <w:rPr>
          <w:rFonts w:hint="eastAsia" w:ascii="宋体" w:hAnsi="宋体" w:eastAsia="宋体" w:cs="宋体"/>
          <w:color w:val="auto"/>
          <w:sz w:val="24"/>
          <w:szCs w:val="24"/>
          <w:highlight w:val="none"/>
        </w:rPr>
        <w:t>招标人应当自中标通知书发出之日起</w:t>
      </w:r>
      <w:r>
        <w:rPr>
          <w:rFonts w:hint="eastAsia" w:ascii="宋体" w:hAnsi="宋体" w:eastAsia="宋体" w:cs="宋体"/>
          <w:color w:val="auto"/>
          <w:sz w:val="24"/>
          <w:szCs w:val="24"/>
          <w:highlight w:val="none"/>
          <w:u w:val="single"/>
          <w:lang w:val="en-US" w:eastAsia="zh-CN"/>
        </w:rPr>
        <w:t>30</w:t>
      </w:r>
      <w:r>
        <w:rPr>
          <w:rFonts w:hint="eastAsia" w:ascii="宋体" w:hAnsi="宋体" w:eastAsia="宋体" w:cs="宋体"/>
          <w:color w:val="auto"/>
          <w:sz w:val="24"/>
          <w:szCs w:val="24"/>
          <w:highlight w:val="none"/>
        </w:rPr>
        <w:t>日内，按照招标文件、中标人的投标</w:t>
      </w:r>
      <w:r>
        <w:rPr>
          <w:rFonts w:hint="eastAsia" w:ascii="宋体" w:hAnsi="宋体" w:eastAsia="宋体" w:cs="宋体"/>
          <w:color w:val="auto"/>
          <w:spacing w:val="-1"/>
          <w:sz w:val="24"/>
          <w:szCs w:val="24"/>
          <w:highlight w:val="none"/>
        </w:rPr>
        <w:t>文件与中标人订立书面合同。</w:t>
      </w:r>
    </w:p>
    <w:p w14:paraId="6CC66F44">
      <w:pPr>
        <w:spacing w:before="150" w:line="360" w:lineRule="auto"/>
        <w:ind w:left="13" w:right="108" w:firstLine="474"/>
        <w:rPr>
          <w:rFonts w:hint="eastAsia" w:ascii="宋体" w:hAnsi="宋体" w:eastAsia="宋体" w:cs="宋体"/>
          <w:b w:val="0"/>
          <w:bCs w:val="0"/>
          <w:color w:val="auto"/>
          <w:sz w:val="24"/>
          <w:szCs w:val="24"/>
          <w:highlight w:val="none"/>
        </w:rPr>
      </w:pPr>
      <w:bookmarkStart w:id="167" w:name="_Toc24043"/>
      <w:r>
        <w:rPr>
          <w:rFonts w:hint="eastAsia" w:ascii="宋体" w:hAnsi="宋体" w:eastAsia="宋体" w:cs="宋体"/>
          <w:b/>
          <w:bCs/>
          <w:color w:val="auto"/>
          <w:sz w:val="24"/>
          <w:szCs w:val="24"/>
          <w:highlight w:val="none"/>
        </w:rPr>
        <w:t xml:space="preserve">4.2  </w:t>
      </w:r>
      <w:r>
        <w:rPr>
          <w:rFonts w:hint="eastAsia" w:ascii="宋体" w:hAnsi="宋体" w:eastAsia="宋体" w:cs="宋体"/>
          <w:b w:val="0"/>
          <w:bCs w:val="0"/>
          <w:color w:val="auto"/>
          <w:sz w:val="24"/>
          <w:szCs w:val="24"/>
          <w:highlight w:val="none"/>
        </w:rPr>
        <w:t>不正常报价的梳理和确认</w:t>
      </w:r>
      <w:bookmarkEnd w:id="167"/>
    </w:p>
    <w:p w14:paraId="0F0E66BC">
      <w:pPr>
        <w:spacing w:before="154" w:line="360" w:lineRule="auto"/>
        <w:ind w:left="14" w:right="64"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4.2.1 合同订立期间，在不改变中标人的投标总价的前提下，招标人应对中标人的</w:t>
      </w:r>
      <w:r>
        <w:rPr>
          <w:rFonts w:hint="eastAsia" w:ascii="宋体" w:hAnsi="宋体" w:eastAsia="宋体" w:cs="宋体"/>
          <w:b/>
          <w:bCs/>
          <w:color w:val="auto"/>
          <w:spacing w:val="-3"/>
          <w:sz w:val="24"/>
          <w:szCs w:val="24"/>
          <w:highlight w:val="none"/>
        </w:rPr>
        <w:t>投标报价进行全面分析和整理，从而发现并提取其中可能存在的算术性错误、错漏项、不平衡报价等不正常报价，并修正其中的算术性错误。</w:t>
      </w:r>
      <w:r>
        <w:rPr>
          <w:rFonts w:hint="eastAsia" w:ascii="宋体" w:hAnsi="宋体" w:eastAsia="宋体" w:cs="宋体"/>
          <w:color w:val="auto"/>
          <w:spacing w:val="-3"/>
          <w:sz w:val="24"/>
          <w:szCs w:val="24"/>
          <w:highlight w:val="none"/>
        </w:rPr>
        <w:t>招标人不具备</w:t>
      </w:r>
      <w:r>
        <w:rPr>
          <w:rFonts w:hint="eastAsia" w:ascii="宋体" w:hAnsi="宋体" w:eastAsia="宋体" w:cs="宋体"/>
          <w:color w:val="auto"/>
          <w:spacing w:val="-4"/>
          <w:sz w:val="24"/>
          <w:szCs w:val="24"/>
          <w:highlight w:val="none"/>
        </w:rPr>
        <w:t>以上能力的，可授</w:t>
      </w:r>
      <w:r>
        <w:rPr>
          <w:rFonts w:hint="eastAsia" w:ascii="宋体" w:hAnsi="宋体" w:eastAsia="宋体" w:cs="宋体"/>
          <w:color w:val="auto"/>
          <w:spacing w:val="-1"/>
          <w:sz w:val="24"/>
          <w:szCs w:val="24"/>
          <w:highlight w:val="none"/>
        </w:rPr>
        <w:t>权编制本项目招标控制价的造价咨询单位实施。</w:t>
      </w:r>
    </w:p>
    <w:p w14:paraId="60493062">
      <w:pPr>
        <w:spacing w:before="121" w:line="360" w:lineRule="auto"/>
        <w:ind w:left="14" w:right="65" w:firstLine="473"/>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4.2.2  </w:t>
      </w:r>
      <w:r>
        <w:rPr>
          <w:rFonts w:hint="eastAsia" w:ascii="宋体" w:hAnsi="宋体" w:eastAsia="宋体" w:cs="宋体"/>
          <w:color w:val="auto"/>
          <w:spacing w:val="2"/>
          <w:sz w:val="24"/>
          <w:szCs w:val="24"/>
          <w:highlight w:val="none"/>
        </w:rPr>
        <w:t>算术性错误的分析和修正。投标报价汇</w:t>
      </w:r>
      <w:r>
        <w:rPr>
          <w:rFonts w:hint="eastAsia" w:ascii="宋体" w:hAnsi="宋体" w:eastAsia="宋体" w:cs="宋体"/>
          <w:color w:val="auto"/>
          <w:spacing w:val="1"/>
          <w:sz w:val="24"/>
          <w:szCs w:val="24"/>
          <w:highlight w:val="none"/>
        </w:rPr>
        <w:t>总表中，投标总价与各分项费用之和</w:t>
      </w:r>
      <w:r>
        <w:rPr>
          <w:rFonts w:hint="eastAsia" w:ascii="宋体" w:hAnsi="宋体" w:eastAsia="宋体" w:cs="宋体"/>
          <w:color w:val="auto"/>
          <w:spacing w:val="-2"/>
          <w:sz w:val="24"/>
          <w:szCs w:val="24"/>
          <w:highlight w:val="none"/>
        </w:rPr>
        <w:t>不一致的，以投标总价为准修正分项费用；投标报价汇总表的各分项费用与对应分项表中的费用不一致的，以投标报价汇总表中的分项费用为准修正对应分项表中的费用；各</w:t>
      </w:r>
      <w:r>
        <w:rPr>
          <w:rFonts w:hint="eastAsia" w:ascii="宋体" w:hAnsi="宋体" w:eastAsia="宋体" w:cs="宋体"/>
          <w:color w:val="auto"/>
          <w:sz w:val="24"/>
          <w:szCs w:val="24"/>
          <w:highlight w:val="none"/>
        </w:rPr>
        <w:t>分项表中总价金额与依据单价计算出的结果不</w:t>
      </w:r>
      <w:r>
        <w:rPr>
          <w:rFonts w:hint="eastAsia" w:ascii="宋体" w:hAnsi="宋体" w:eastAsia="宋体" w:cs="宋体"/>
          <w:color w:val="auto"/>
          <w:spacing w:val="-1"/>
          <w:sz w:val="24"/>
          <w:szCs w:val="24"/>
          <w:highlight w:val="none"/>
        </w:rPr>
        <w:t>一致的，以总价为准修正单价。</w:t>
      </w:r>
    </w:p>
    <w:p w14:paraId="7BB0AF98">
      <w:pPr>
        <w:spacing w:before="157" w:line="360" w:lineRule="auto"/>
        <w:ind w:left="12" w:right="66"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4.2.3  </w:t>
      </w:r>
      <w:r>
        <w:rPr>
          <w:rFonts w:hint="eastAsia" w:ascii="宋体" w:hAnsi="宋体" w:eastAsia="宋体" w:cs="宋体"/>
          <w:color w:val="auto"/>
          <w:spacing w:val="2"/>
          <w:sz w:val="24"/>
          <w:szCs w:val="24"/>
          <w:highlight w:val="none"/>
        </w:rPr>
        <w:t>错漏项的认定。中标人已标价工程量清</w:t>
      </w:r>
      <w:r>
        <w:rPr>
          <w:rFonts w:hint="eastAsia" w:ascii="宋体" w:hAnsi="宋体" w:eastAsia="宋体" w:cs="宋体"/>
          <w:color w:val="auto"/>
          <w:spacing w:val="1"/>
          <w:sz w:val="24"/>
          <w:szCs w:val="24"/>
          <w:highlight w:val="none"/>
        </w:rPr>
        <w:t>单中，任一清单项目未填报价格或价</w:t>
      </w:r>
      <w:r>
        <w:rPr>
          <w:rFonts w:hint="eastAsia" w:ascii="宋体" w:hAnsi="宋体" w:eastAsia="宋体" w:cs="宋体"/>
          <w:color w:val="auto"/>
          <w:spacing w:val="-1"/>
          <w:sz w:val="24"/>
          <w:szCs w:val="24"/>
          <w:highlight w:val="none"/>
        </w:rPr>
        <w:t>格为零的，视为错漏项。</w:t>
      </w:r>
    </w:p>
    <w:p w14:paraId="1AF8E3BC">
      <w:pPr>
        <w:spacing w:before="121" w:line="360" w:lineRule="auto"/>
        <w:ind w:firstLine="490"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4.2.4  </w:t>
      </w:r>
      <w:r>
        <w:rPr>
          <w:rFonts w:hint="eastAsia" w:ascii="宋体" w:hAnsi="宋体" w:eastAsia="宋体" w:cs="宋体"/>
          <w:color w:val="auto"/>
          <w:spacing w:val="2"/>
          <w:sz w:val="24"/>
          <w:szCs w:val="24"/>
          <w:highlight w:val="none"/>
        </w:rPr>
        <w:t>不平衡报价的认定。经修正算术性错误后的中标人已标价工程量清单中，对于投标报价中综合单价相对招标控制价《分部分项工程和单价措施项目清单与计价表》中对应综合单价的偏差大于±15%的清</w:t>
      </w:r>
      <w:r>
        <w:rPr>
          <w:rFonts w:hint="eastAsia" w:ascii="宋体" w:hAnsi="宋体" w:eastAsia="宋体" w:cs="宋体"/>
          <w:color w:val="auto"/>
          <w:spacing w:val="-3"/>
          <w:sz w:val="24"/>
          <w:szCs w:val="24"/>
          <w:highlight w:val="none"/>
        </w:rPr>
        <w:t>单项目，视为不平衡报价项目。</w:t>
      </w:r>
    </w:p>
    <w:p w14:paraId="48F72EBF">
      <w:pPr>
        <w:spacing w:before="146" w:line="360" w:lineRule="auto"/>
        <w:ind w:left="10" w:right="65" w:firstLine="478"/>
        <w:jc w:val="both"/>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4.2.5 </w:t>
      </w:r>
      <w:r>
        <w:rPr>
          <w:rFonts w:hint="eastAsia" w:ascii="宋体" w:hAnsi="宋体" w:eastAsia="宋体" w:cs="宋体"/>
          <w:color w:val="auto"/>
          <w:spacing w:val="-3"/>
          <w:sz w:val="24"/>
          <w:szCs w:val="24"/>
          <w:highlight w:val="none"/>
        </w:rPr>
        <w:t>施工合同签订前，招标人或其授权的造价咨询单位应就发现的以上所有不平衡报价进行修正，形成《不平衡报价修正报告》，并由招标人和中标人共同签章确认，构成施工合同的组成部分。</w:t>
      </w:r>
    </w:p>
    <w:p w14:paraId="489EB373">
      <w:pPr>
        <w:spacing w:before="34" w:line="360" w:lineRule="auto"/>
        <w:ind w:left="12" w:right="65" w:firstLine="47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4.2.6 合同履行过程中，被认定为错漏项的清单项目，结算时按照第三章“拟签订</w:t>
      </w:r>
      <w:r>
        <w:rPr>
          <w:rFonts w:hint="eastAsia" w:ascii="宋体" w:hAnsi="宋体" w:eastAsia="宋体" w:cs="宋体"/>
          <w:b/>
          <w:bCs/>
          <w:color w:val="auto"/>
          <w:spacing w:val="-6"/>
          <w:sz w:val="24"/>
          <w:szCs w:val="24"/>
          <w:highlight w:val="none"/>
        </w:rPr>
        <w:t>合同的主要条款</w:t>
      </w:r>
      <w:r>
        <w:rPr>
          <w:rFonts w:hint="eastAsia" w:ascii="宋体" w:hAnsi="宋体" w:eastAsia="宋体" w:cs="宋体"/>
          <w:color w:val="auto"/>
          <w:spacing w:val="-77"/>
          <w:sz w:val="24"/>
          <w:szCs w:val="24"/>
          <w:highlight w:val="none"/>
        </w:rPr>
        <w:t xml:space="preserve"> </w:t>
      </w:r>
      <w:r>
        <w:rPr>
          <w:rFonts w:hint="eastAsia" w:ascii="宋体" w:hAnsi="宋体" w:eastAsia="宋体" w:cs="宋体"/>
          <w:b/>
          <w:bCs/>
          <w:color w:val="auto"/>
          <w:spacing w:val="-6"/>
          <w:sz w:val="24"/>
          <w:szCs w:val="24"/>
          <w:highlight w:val="none"/>
        </w:rPr>
        <w:t>”规定处理。</w:t>
      </w:r>
    </w:p>
    <w:p w14:paraId="46FD6D81">
      <w:pPr>
        <w:spacing w:before="33" w:line="360" w:lineRule="auto"/>
        <w:ind w:left="12" w:right="38" w:firstLine="476"/>
        <w:jc w:val="both"/>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4.2.7  合同履行过程中，合同约定的调</w:t>
      </w:r>
      <w:r>
        <w:rPr>
          <w:rFonts w:hint="eastAsia" w:ascii="宋体" w:hAnsi="宋体" w:eastAsia="宋体" w:cs="宋体"/>
          <w:b/>
          <w:bCs/>
          <w:color w:val="auto"/>
          <w:spacing w:val="-1"/>
          <w:sz w:val="24"/>
          <w:szCs w:val="24"/>
          <w:highlight w:val="none"/>
        </w:rPr>
        <w:t>整因素（如工程量偏差、工程变更、项目特</w:t>
      </w:r>
      <w:r>
        <w:rPr>
          <w:rFonts w:hint="eastAsia" w:ascii="宋体" w:hAnsi="宋体" w:eastAsia="宋体" w:cs="宋体"/>
          <w:b/>
          <w:bCs/>
          <w:color w:val="auto"/>
          <w:spacing w:val="-4"/>
          <w:sz w:val="24"/>
          <w:szCs w:val="24"/>
          <w:highlight w:val="none"/>
        </w:rPr>
        <w:t>征不符、招标工程量清单缺项等）出现时，被认定为不平衡报价的清单项目以及</w:t>
      </w:r>
      <w:r>
        <w:rPr>
          <w:rFonts w:hint="eastAsia" w:ascii="宋体" w:hAnsi="宋体" w:eastAsia="宋体" w:cs="宋体"/>
          <w:b/>
          <w:bCs/>
          <w:color w:val="auto"/>
          <w:spacing w:val="-5"/>
          <w:sz w:val="24"/>
          <w:szCs w:val="24"/>
          <w:highlight w:val="none"/>
        </w:rPr>
        <w:t>采用被</w:t>
      </w:r>
      <w:r>
        <w:rPr>
          <w:rFonts w:hint="eastAsia" w:ascii="宋体" w:hAnsi="宋体" w:eastAsia="宋体" w:cs="宋体"/>
          <w:b/>
          <w:bCs/>
          <w:color w:val="auto"/>
          <w:spacing w:val="-3"/>
          <w:sz w:val="24"/>
          <w:szCs w:val="24"/>
          <w:highlight w:val="none"/>
        </w:rPr>
        <w:t>认定为不平衡报价的清单项目的价格作为取价（或参照取</w:t>
      </w:r>
      <w:r>
        <w:rPr>
          <w:rFonts w:hint="eastAsia" w:ascii="宋体" w:hAnsi="宋体" w:eastAsia="宋体" w:cs="宋体"/>
          <w:b/>
          <w:bCs/>
          <w:color w:val="auto"/>
          <w:spacing w:val="-4"/>
          <w:sz w:val="24"/>
          <w:szCs w:val="24"/>
          <w:highlight w:val="none"/>
        </w:rPr>
        <w:t>价）依据的变更、新增项目，</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pacing w:val="-3"/>
          <w:sz w:val="24"/>
          <w:szCs w:val="24"/>
          <w:highlight w:val="none"/>
        </w:rPr>
        <w:t>按照第三章“拟签订合同的主要条款</w:t>
      </w:r>
      <w:r>
        <w:rPr>
          <w:rFonts w:hint="eastAsia" w:ascii="宋体" w:hAnsi="宋体" w:eastAsia="宋体" w:cs="宋体"/>
          <w:color w:val="auto"/>
          <w:spacing w:val="-86"/>
          <w:sz w:val="24"/>
          <w:szCs w:val="24"/>
          <w:highlight w:val="none"/>
        </w:rPr>
        <w:t xml:space="preserve"> </w:t>
      </w:r>
      <w:r>
        <w:rPr>
          <w:rFonts w:hint="eastAsia" w:ascii="宋体" w:hAnsi="宋体" w:eastAsia="宋体" w:cs="宋体"/>
          <w:b/>
          <w:bCs/>
          <w:color w:val="auto"/>
          <w:spacing w:val="-3"/>
          <w:sz w:val="24"/>
          <w:szCs w:val="24"/>
          <w:highlight w:val="none"/>
        </w:rPr>
        <w:t>”有关规定调整</w:t>
      </w:r>
      <w:r>
        <w:rPr>
          <w:rFonts w:hint="eastAsia" w:ascii="宋体" w:hAnsi="宋体" w:eastAsia="宋体" w:cs="宋体"/>
          <w:b/>
          <w:bCs/>
          <w:color w:val="auto"/>
          <w:spacing w:val="-4"/>
          <w:sz w:val="24"/>
          <w:szCs w:val="24"/>
          <w:highlight w:val="none"/>
        </w:rPr>
        <w:t>合同价款。</w:t>
      </w:r>
    </w:p>
    <w:p w14:paraId="3442E2E5">
      <w:pPr>
        <w:spacing w:before="120" w:line="360" w:lineRule="auto"/>
        <w:ind w:left="11" w:right="28" w:firstLine="476"/>
        <w:rPr>
          <w:rFonts w:hint="eastAsia" w:ascii="宋体" w:hAnsi="宋体" w:eastAsia="宋体" w:cs="宋体"/>
          <w:b/>
          <w:bCs/>
          <w:color w:val="auto"/>
          <w:spacing w:val="-4"/>
          <w:sz w:val="24"/>
          <w:szCs w:val="24"/>
          <w:highlight w:val="none"/>
        </w:rPr>
      </w:pPr>
      <w:bookmarkStart w:id="168" w:name="_Toc17784"/>
      <w:r>
        <w:rPr>
          <w:rFonts w:hint="eastAsia" w:ascii="宋体" w:hAnsi="宋体" w:eastAsia="宋体" w:cs="宋体"/>
          <w:b/>
          <w:bCs/>
          <w:color w:val="auto"/>
          <w:spacing w:val="-4"/>
          <w:sz w:val="24"/>
          <w:szCs w:val="24"/>
          <w:highlight w:val="none"/>
        </w:rPr>
        <w:t xml:space="preserve">4.3  </w:t>
      </w:r>
      <w:r>
        <w:rPr>
          <w:rFonts w:hint="eastAsia" w:ascii="宋体" w:hAnsi="宋体" w:eastAsia="宋体" w:cs="宋体"/>
          <w:b w:val="0"/>
          <w:bCs w:val="0"/>
          <w:color w:val="auto"/>
          <w:spacing w:val="-4"/>
          <w:sz w:val="24"/>
          <w:szCs w:val="24"/>
          <w:highlight w:val="none"/>
        </w:rPr>
        <w:t>本招标项目合同计价方式为：</w:t>
      </w:r>
      <w:r>
        <w:rPr>
          <w:rFonts w:hint="eastAsia" w:ascii="宋体" w:hAnsi="宋体" w:eastAsia="宋体" w:cs="宋体"/>
          <w:b w:val="0"/>
          <w:bCs w:val="0"/>
          <w:color w:val="auto"/>
          <w:spacing w:val="-4"/>
          <w:sz w:val="24"/>
          <w:szCs w:val="24"/>
          <w:highlight w:val="none"/>
          <w:u w:val="single"/>
          <w:lang w:eastAsia="zh-CN"/>
        </w:rPr>
        <w:t>单</w:t>
      </w:r>
      <w:r>
        <w:rPr>
          <w:rFonts w:hint="eastAsia" w:ascii="宋体" w:hAnsi="宋体" w:eastAsia="宋体" w:cs="宋体"/>
          <w:b w:val="0"/>
          <w:bCs w:val="0"/>
          <w:color w:val="auto"/>
          <w:spacing w:val="-4"/>
          <w:sz w:val="24"/>
          <w:szCs w:val="24"/>
          <w:highlight w:val="none"/>
          <w:u w:val="single"/>
        </w:rPr>
        <w:t>价</w:t>
      </w:r>
      <w:r>
        <w:rPr>
          <w:rFonts w:hint="eastAsia" w:ascii="宋体" w:hAnsi="宋体" w:eastAsia="宋体" w:cs="宋体"/>
          <w:b w:val="0"/>
          <w:bCs w:val="0"/>
          <w:color w:val="auto"/>
          <w:spacing w:val="-4"/>
          <w:sz w:val="24"/>
          <w:szCs w:val="24"/>
          <w:highlight w:val="none"/>
        </w:rPr>
        <w:t>合同。</w:t>
      </w:r>
      <w:bookmarkEnd w:id="168"/>
    </w:p>
    <w:p w14:paraId="2F349CEC">
      <w:pPr>
        <w:spacing w:before="120" w:line="360" w:lineRule="auto"/>
        <w:ind w:left="11" w:right="28"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 xml:space="preserve">4.4  </w:t>
      </w:r>
      <w:r>
        <w:rPr>
          <w:rFonts w:hint="eastAsia" w:ascii="宋体" w:hAnsi="宋体" w:eastAsia="宋体" w:cs="宋体"/>
          <w:color w:val="auto"/>
          <w:spacing w:val="-4"/>
          <w:sz w:val="24"/>
          <w:szCs w:val="24"/>
          <w:highlight w:val="none"/>
        </w:rPr>
        <w:t>合同的标的、质量、履行期限条款和合同的价款、单</w:t>
      </w:r>
      <w:r>
        <w:rPr>
          <w:rFonts w:hint="eastAsia" w:ascii="宋体" w:hAnsi="宋体" w:eastAsia="宋体" w:cs="宋体"/>
          <w:color w:val="auto"/>
          <w:spacing w:val="-5"/>
          <w:sz w:val="24"/>
          <w:szCs w:val="24"/>
          <w:highlight w:val="none"/>
        </w:rPr>
        <w:t>价、比例条款等主要条款，</w:t>
      </w:r>
      <w:r>
        <w:rPr>
          <w:rFonts w:hint="eastAsia" w:ascii="宋体" w:hAnsi="宋体" w:eastAsia="宋体" w:cs="宋体"/>
          <w:color w:val="auto"/>
          <w:spacing w:val="-2"/>
          <w:sz w:val="24"/>
          <w:szCs w:val="24"/>
          <w:highlight w:val="none"/>
        </w:rPr>
        <w:t>应当与招标文件、中标人的投标文件的内容一致。中标人在签订合同时不得向招标人提出附加条件。</w:t>
      </w:r>
    </w:p>
    <w:p w14:paraId="7B139D88">
      <w:pPr>
        <w:spacing w:before="158" w:line="360" w:lineRule="auto"/>
        <w:ind w:left="12" w:right="91" w:firstLine="474"/>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 xml:space="preserve">4.5  </w:t>
      </w:r>
      <w:r>
        <w:rPr>
          <w:rFonts w:hint="eastAsia" w:ascii="宋体" w:hAnsi="宋体" w:eastAsia="宋体" w:cs="宋体"/>
          <w:color w:val="auto"/>
          <w:spacing w:val="-3"/>
          <w:sz w:val="24"/>
          <w:szCs w:val="24"/>
          <w:highlight w:val="none"/>
        </w:rPr>
        <w:t>若中标人在领取中标通知书之日起</w:t>
      </w:r>
      <w:r>
        <w:rPr>
          <w:rFonts w:hint="eastAsia" w:ascii="宋体" w:hAnsi="宋体" w:eastAsia="宋体" w:cs="宋体"/>
          <w:color w:val="auto"/>
          <w:spacing w:val="-4"/>
          <w:sz w:val="24"/>
          <w:szCs w:val="24"/>
          <w:highlight w:val="none"/>
        </w:rPr>
        <w:t>30天内仍未签订合同，招标人发出第一次提</w:t>
      </w:r>
      <w:r>
        <w:rPr>
          <w:rFonts w:hint="eastAsia" w:ascii="宋体" w:hAnsi="宋体" w:eastAsia="宋体" w:cs="宋体"/>
          <w:color w:val="auto"/>
          <w:spacing w:val="1"/>
          <w:sz w:val="24"/>
          <w:szCs w:val="24"/>
          <w:highlight w:val="none"/>
        </w:rPr>
        <w:t>醒函；在领取中标通知书之日起40天内仍未签订，招标人发出第二次提醒函；在</w:t>
      </w:r>
      <w:r>
        <w:rPr>
          <w:rFonts w:hint="eastAsia" w:ascii="宋体" w:hAnsi="宋体" w:eastAsia="宋体" w:cs="宋体"/>
          <w:color w:val="auto"/>
          <w:sz w:val="24"/>
          <w:szCs w:val="24"/>
          <w:highlight w:val="none"/>
        </w:rPr>
        <w:t>领取</w:t>
      </w:r>
      <w:r>
        <w:rPr>
          <w:rFonts w:hint="eastAsia" w:ascii="宋体" w:hAnsi="宋体" w:eastAsia="宋体" w:cs="宋体"/>
          <w:color w:val="auto"/>
          <w:spacing w:val="-1"/>
          <w:sz w:val="24"/>
          <w:szCs w:val="24"/>
          <w:highlight w:val="none"/>
        </w:rPr>
        <w:t>中标通知书之日起</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
          <w:sz w:val="24"/>
          <w:szCs w:val="24"/>
          <w:highlight w:val="none"/>
        </w:rPr>
        <w:t>45 天内仍未签订，视其放弃中标。</w:t>
      </w:r>
    </w:p>
    <w:p w14:paraId="5665F3E1">
      <w:pPr>
        <w:spacing w:before="155" w:line="360" w:lineRule="auto"/>
        <w:ind w:left="12" w:right="82" w:firstLine="474"/>
        <w:rPr>
          <w:rFonts w:hint="eastAsia" w:ascii="宋体" w:hAnsi="宋体" w:eastAsia="宋体" w:cs="宋体"/>
          <w:color w:val="auto"/>
          <w:highlight w:val="none"/>
        </w:rPr>
      </w:pPr>
      <w:r>
        <w:rPr>
          <w:rFonts w:hint="eastAsia" w:ascii="宋体" w:hAnsi="宋体" w:eastAsia="宋体" w:cs="宋体"/>
          <w:b/>
          <w:bCs/>
          <w:color w:val="auto"/>
          <w:sz w:val="24"/>
          <w:szCs w:val="24"/>
          <w:highlight w:val="none"/>
        </w:rPr>
        <w:t xml:space="preserve">4.6  </w:t>
      </w:r>
      <w:r>
        <w:rPr>
          <w:rFonts w:hint="eastAsia" w:ascii="宋体" w:hAnsi="宋体" w:eastAsia="宋体" w:cs="宋体"/>
          <w:color w:val="auto"/>
          <w:sz w:val="24"/>
          <w:szCs w:val="24"/>
          <w:highlight w:val="none"/>
        </w:rPr>
        <w:t>在书面合同订立之日起2个工作日内，由中标人或招标代理机构将合同上传至</w:t>
      </w:r>
      <w:r>
        <w:rPr>
          <w:rFonts w:hint="eastAsia" w:ascii="宋体" w:hAnsi="宋体" w:eastAsia="宋体" w:cs="宋体"/>
          <w:color w:val="auto"/>
          <w:spacing w:val="-2"/>
          <w:sz w:val="24"/>
          <w:szCs w:val="24"/>
          <w:highlight w:val="none"/>
        </w:rPr>
        <w:t>建设工程交易系统，并发起退还投标保证的申请。韶关市公共资源交易中心在收到申请之日起3个工作日内，将投标保证金（或银行保函）退还给中标人和其他中标候选人。</w:t>
      </w:r>
    </w:p>
    <w:p w14:paraId="2C73A4D6">
      <w:pPr>
        <w:spacing w:before="151" w:line="360" w:lineRule="auto"/>
        <w:ind w:left="476"/>
        <w:outlineLvl w:val="2"/>
        <w:rPr>
          <w:rFonts w:hint="eastAsia" w:ascii="宋体" w:hAnsi="宋体" w:eastAsia="宋体" w:cs="宋体"/>
          <w:b/>
          <w:bCs/>
          <w:color w:val="auto"/>
          <w:spacing w:val="-11"/>
          <w:sz w:val="24"/>
          <w:szCs w:val="24"/>
          <w:highlight w:val="none"/>
        </w:rPr>
      </w:pPr>
      <w:bookmarkStart w:id="169" w:name="_Toc23772"/>
      <w:bookmarkStart w:id="170" w:name="_Toc9178"/>
      <w:r>
        <w:rPr>
          <w:rFonts w:hint="eastAsia" w:ascii="宋体" w:hAnsi="宋体" w:eastAsia="宋体" w:cs="宋体"/>
          <w:b/>
          <w:bCs/>
          <w:color w:val="auto"/>
          <w:spacing w:val="-11"/>
          <w:sz w:val="24"/>
          <w:szCs w:val="24"/>
          <w:highlight w:val="none"/>
        </w:rPr>
        <w:t>5</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放弃中标的处理</w:t>
      </w:r>
      <w:bookmarkEnd w:id="169"/>
      <w:bookmarkEnd w:id="170"/>
    </w:p>
    <w:p w14:paraId="6DEC4651">
      <w:pPr>
        <w:spacing w:before="150" w:line="360" w:lineRule="auto"/>
        <w:ind w:left="12" w:right="91" w:firstLine="477"/>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5.1</w:t>
      </w:r>
      <w:r>
        <w:rPr>
          <w:rFonts w:hint="eastAsia" w:ascii="宋体" w:hAnsi="宋体" w:eastAsia="宋体" w:cs="宋体"/>
          <w:b/>
          <w:bCs/>
          <w:color w:val="auto"/>
          <w:spacing w:val="19"/>
          <w:w w:val="101"/>
          <w:sz w:val="24"/>
          <w:szCs w:val="24"/>
          <w:highlight w:val="none"/>
        </w:rPr>
        <w:t xml:space="preserve">  </w:t>
      </w:r>
      <w:r>
        <w:rPr>
          <w:rFonts w:hint="eastAsia" w:ascii="宋体" w:hAnsi="宋体" w:eastAsia="宋体" w:cs="宋体"/>
          <w:color w:val="auto"/>
          <w:spacing w:val="-1"/>
          <w:sz w:val="24"/>
          <w:szCs w:val="24"/>
          <w:highlight w:val="none"/>
        </w:rPr>
        <w:t>中标人无正当理由放弃中标的，取消其中标资格，其投标保证不予退还，给招</w:t>
      </w:r>
      <w:r>
        <w:rPr>
          <w:rFonts w:hint="eastAsia" w:ascii="宋体" w:hAnsi="宋体" w:eastAsia="宋体" w:cs="宋体"/>
          <w:color w:val="auto"/>
          <w:spacing w:val="-2"/>
          <w:sz w:val="24"/>
          <w:szCs w:val="24"/>
          <w:highlight w:val="none"/>
        </w:rPr>
        <w:t>标人造成的损失超过投标保证金额的，弃标人还应当对超过部分予以赔偿。招标人可按照评标委员会提交的中标候选人名单排序依次确定其他中标候选人为中标人，如果招标人认为其他中标候选人的条件明显不利于招标人的，也可以重新招标。因此种情况造成</w:t>
      </w:r>
      <w:r>
        <w:rPr>
          <w:rFonts w:hint="eastAsia" w:ascii="宋体" w:hAnsi="宋体" w:eastAsia="宋体" w:cs="宋体"/>
          <w:color w:val="auto"/>
          <w:spacing w:val="16"/>
          <w:sz w:val="24"/>
          <w:szCs w:val="24"/>
          <w:highlight w:val="none"/>
        </w:rPr>
        <w:t xml:space="preserve"> </w:t>
      </w:r>
      <w:r>
        <w:rPr>
          <w:rFonts w:hint="eastAsia" w:ascii="宋体" w:hAnsi="宋体" w:eastAsia="宋体" w:cs="宋体"/>
          <w:color w:val="auto"/>
          <w:spacing w:val="-2"/>
          <w:sz w:val="24"/>
          <w:szCs w:val="24"/>
          <w:highlight w:val="none"/>
        </w:rPr>
        <w:t>招标人重新招标的，招标人可不接受该弃标人再次投标。同时，</w:t>
      </w:r>
      <w:r>
        <w:rPr>
          <w:rFonts w:hint="eastAsia" w:ascii="宋体" w:hAnsi="宋体" w:eastAsia="宋体" w:cs="宋体"/>
          <w:b/>
          <w:bCs/>
          <w:color w:val="auto"/>
          <w:spacing w:val="-2"/>
          <w:sz w:val="24"/>
          <w:szCs w:val="24"/>
          <w:highlight w:val="none"/>
        </w:rPr>
        <w:t>招</w:t>
      </w:r>
      <w:r>
        <w:rPr>
          <w:rFonts w:hint="eastAsia" w:ascii="宋体" w:hAnsi="宋体" w:eastAsia="宋体" w:cs="宋体"/>
          <w:b/>
          <w:bCs/>
          <w:color w:val="auto"/>
          <w:spacing w:val="-3"/>
          <w:sz w:val="24"/>
          <w:szCs w:val="24"/>
          <w:highlight w:val="none"/>
        </w:rPr>
        <w:t>标人应将该弃标人的失信行为向行政监督部门报告。</w:t>
      </w:r>
    </w:p>
    <w:p w14:paraId="0EA4DAFF">
      <w:pPr>
        <w:spacing w:before="79" w:line="360" w:lineRule="auto"/>
        <w:ind w:left="10" w:right="91" w:firstLine="47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5"/>
          <w:sz w:val="24"/>
          <w:szCs w:val="24"/>
          <w:highlight w:val="none"/>
        </w:rPr>
        <w:t>5.2</w:t>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5"/>
          <w:sz w:val="24"/>
          <w:szCs w:val="24"/>
          <w:highlight w:val="none"/>
        </w:rPr>
        <w:t>中标人因不可抗力提出不能履行合同的，须在领取中标通知书之日起10天</w:t>
      </w:r>
      <w:r>
        <w:rPr>
          <w:rFonts w:hint="eastAsia" w:ascii="宋体" w:hAnsi="宋体" w:eastAsia="宋体" w:cs="宋体"/>
          <w:color w:val="auto"/>
          <w:spacing w:val="-6"/>
          <w:sz w:val="24"/>
          <w:szCs w:val="24"/>
          <w:highlight w:val="none"/>
        </w:rPr>
        <w:t>内提</w:t>
      </w:r>
      <w:r>
        <w:rPr>
          <w:rFonts w:hint="eastAsia" w:ascii="宋体" w:hAnsi="宋体" w:eastAsia="宋体" w:cs="宋体"/>
          <w:color w:val="auto"/>
          <w:spacing w:val="-2"/>
          <w:sz w:val="24"/>
          <w:szCs w:val="24"/>
          <w:highlight w:val="none"/>
        </w:rPr>
        <w:t>供有关证明文件或资料，其投标保证予以退还，招标人可按照评标委员会提出的中标候选人名单排序依次确定其他中标候选人为中标人。如果招标人认为其他中标候选人的条</w:t>
      </w:r>
      <w:bookmarkStart w:id="171" w:name="bookmark84"/>
      <w:bookmarkEnd w:id="171"/>
      <w:r>
        <w:rPr>
          <w:rFonts w:hint="eastAsia" w:ascii="宋体" w:hAnsi="宋体" w:eastAsia="宋体" w:cs="宋体"/>
          <w:color w:val="auto"/>
          <w:spacing w:val="-2"/>
          <w:sz w:val="24"/>
          <w:szCs w:val="24"/>
          <w:highlight w:val="none"/>
        </w:rPr>
        <w:t>件明显不利于招标人的，也可以重新招标</w:t>
      </w:r>
      <w:r>
        <w:rPr>
          <w:rFonts w:hint="eastAsia" w:ascii="宋体" w:hAnsi="宋体" w:eastAsia="宋体" w:cs="宋体"/>
          <w:color w:val="auto"/>
          <w:spacing w:val="-1"/>
          <w:sz w:val="24"/>
          <w:szCs w:val="24"/>
          <w:highlight w:val="none"/>
        </w:rPr>
        <w:t>。</w:t>
      </w:r>
    </w:p>
    <w:p w14:paraId="60A9BD5A">
      <w:pPr>
        <w:spacing w:before="151" w:line="360" w:lineRule="auto"/>
        <w:ind w:left="476"/>
        <w:outlineLvl w:val="2"/>
        <w:rPr>
          <w:rFonts w:hint="eastAsia" w:ascii="宋体" w:hAnsi="宋体" w:eastAsia="宋体" w:cs="宋体"/>
          <w:b/>
          <w:bCs/>
          <w:color w:val="auto"/>
          <w:spacing w:val="-11"/>
          <w:sz w:val="24"/>
          <w:szCs w:val="24"/>
          <w:highlight w:val="none"/>
        </w:rPr>
      </w:pPr>
      <w:bookmarkStart w:id="172" w:name="_Toc11017"/>
      <w:r>
        <w:rPr>
          <w:rFonts w:hint="eastAsia" w:ascii="宋体" w:hAnsi="宋体" w:eastAsia="宋体" w:cs="宋体"/>
          <w:b/>
          <w:bCs/>
          <w:color w:val="auto"/>
          <w:spacing w:val="-11"/>
          <w:sz w:val="24"/>
          <w:szCs w:val="24"/>
          <w:highlight w:val="none"/>
          <w:lang w:val="en-US" w:eastAsia="zh-CN"/>
        </w:rPr>
        <w:t>6.</w:t>
      </w:r>
      <w:r>
        <w:rPr>
          <w:rFonts w:hint="eastAsia" w:ascii="宋体" w:hAnsi="宋体" w:eastAsia="宋体" w:cs="宋体"/>
          <w:b/>
          <w:bCs/>
          <w:color w:val="auto"/>
          <w:spacing w:val="-11"/>
          <w:sz w:val="24"/>
          <w:szCs w:val="24"/>
          <w:highlight w:val="none"/>
        </w:rPr>
        <w:t>中标项目纳入百千万工程，要按照市百千万工程关于配建定比例公益项目的政策落实相关工作，中标后在签订施工合同时明确捐建比例。</w:t>
      </w:r>
      <w:bookmarkEnd w:id="172"/>
    </w:p>
    <w:p w14:paraId="19A15735">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173" w:name="_Toc16090"/>
      <w:r>
        <w:rPr>
          <w:rFonts w:hint="eastAsia" w:ascii="宋体" w:hAnsi="宋体" w:eastAsia="宋体" w:cs="宋体"/>
          <w:b/>
          <w:bCs/>
          <w:color w:val="auto"/>
          <w:spacing w:val="-11"/>
          <w:sz w:val="24"/>
          <w:szCs w:val="24"/>
          <w:highlight w:val="none"/>
          <w:lang w:val="en-US" w:eastAsia="zh-CN"/>
        </w:rPr>
        <w:t>7.违约责任条款</w:t>
      </w:r>
      <w:bookmarkEnd w:id="173"/>
    </w:p>
    <w:p w14:paraId="0E0E085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79" w:line="360" w:lineRule="auto"/>
        <w:ind w:right="91" w:rightChars="0" w:firstLine="474" w:firstLineChars="200"/>
        <w:textAlignment w:val="baseline"/>
        <w:rPr>
          <w:rFonts w:hint="eastAsia" w:ascii="宋体" w:hAnsi="宋体" w:eastAsia="宋体" w:cs="宋体"/>
          <w:color w:val="auto"/>
          <w:spacing w:val="-2"/>
          <w:sz w:val="24"/>
          <w:szCs w:val="24"/>
          <w:highlight w:val="none"/>
          <w:lang w:val="en-US" w:eastAsia="zh-CN"/>
        </w:rPr>
      </w:pPr>
      <w:r>
        <w:rPr>
          <w:rFonts w:hint="eastAsia" w:ascii="宋体" w:hAnsi="宋体" w:eastAsia="宋体" w:cs="宋体"/>
          <w:b/>
          <w:bCs/>
          <w:snapToGrid w:val="0"/>
          <w:color w:val="auto"/>
          <w:spacing w:val="-2"/>
          <w:sz w:val="24"/>
          <w:szCs w:val="24"/>
          <w:lang w:val="en-US" w:eastAsia="zh-CN" w:bidi="ar-SA"/>
        </w:rPr>
        <w:t>7.1</w:t>
      </w:r>
      <w:r>
        <w:rPr>
          <w:rFonts w:hint="eastAsia" w:ascii="宋体" w:hAnsi="宋体" w:eastAsia="宋体" w:cs="宋体"/>
          <w:snapToGrid w:val="0"/>
          <w:color w:val="auto"/>
          <w:spacing w:val="-2"/>
          <w:sz w:val="24"/>
          <w:szCs w:val="24"/>
          <w:lang w:val="en-US" w:eastAsia="zh-CN" w:bidi="ar-SA"/>
        </w:rPr>
        <w:t xml:space="preserve">  </w:t>
      </w:r>
      <w:r>
        <w:rPr>
          <w:rFonts w:hint="eastAsia" w:ascii="宋体" w:hAnsi="宋体" w:eastAsia="宋体" w:cs="宋体"/>
          <w:color w:val="auto"/>
          <w:spacing w:val="-2"/>
          <w:sz w:val="24"/>
          <w:szCs w:val="24"/>
          <w:highlight w:val="none"/>
          <w:lang w:val="en-US" w:eastAsia="zh-CN"/>
        </w:rPr>
        <w:t>因勘察、设计单位责任造成的设计错项、漏项等引起的累计工程变更调整费用总额超过项目施工合同价(暂列金、预留金除外)的10%以上(含)，由项目建设单位扣除勘察、设计合同费用的30%；超过项目施工合同价(暂列金、预留金除外)的20%以上(含)，全额扣减勘察、设计费用，并由相关部门在市场诚信管理、市场准入、资质管理等方面依法给予处理并进行通报。</w:t>
      </w:r>
    </w:p>
    <w:p w14:paraId="54D7A7A6">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79" w:line="360" w:lineRule="auto"/>
        <w:ind w:right="91" w:rightChars="0" w:firstLine="474" w:firstLineChars="200"/>
        <w:textAlignment w:val="baseline"/>
        <w:rPr>
          <w:rFonts w:hint="eastAsia" w:ascii="宋体" w:hAnsi="宋体" w:eastAsia="宋体" w:cs="宋体"/>
          <w:color w:val="auto"/>
          <w:spacing w:val="-2"/>
          <w:sz w:val="24"/>
          <w:szCs w:val="24"/>
          <w:highlight w:val="none"/>
          <w:lang w:val="en-US" w:eastAsia="zh-CN"/>
        </w:rPr>
      </w:pPr>
      <w:r>
        <w:rPr>
          <w:rFonts w:hint="eastAsia" w:ascii="宋体" w:hAnsi="宋体" w:eastAsia="宋体" w:cs="宋体"/>
          <w:b/>
          <w:bCs/>
          <w:snapToGrid w:val="0"/>
          <w:color w:val="auto"/>
          <w:spacing w:val="-2"/>
          <w:sz w:val="24"/>
          <w:szCs w:val="24"/>
          <w:lang w:val="en-US" w:eastAsia="zh-CN" w:bidi="ar-SA"/>
        </w:rPr>
        <w:t>7.2</w:t>
      </w:r>
      <w:r>
        <w:rPr>
          <w:rFonts w:hint="eastAsia" w:ascii="宋体" w:hAnsi="宋体" w:eastAsia="宋体" w:cs="宋体"/>
          <w:snapToGrid w:val="0"/>
          <w:color w:val="auto"/>
          <w:spacing w:val="-2"/>
          <w:sz w:val="24"/>
          <w:szCs w:val="24"/>
          <w:lang w:val="en-US" w:eastAsia="zh-CN" w:bidi="ar-SA"/>
        </w:rPr>
        <w:t xml:space="preserve">  </w:t>
      </w:r>
      <w:r>
        <w:rPr>
          <w:rFonts w:hint="eastAsia" w:ascii="宋体" w:hAnsi="宋体" w:eastAsia="宋体" w:cs="宋体"/>
          <w:color w:val="auto"/>
          <w:spacing w:val="-2"/>
          <w:sz w:val="24"/>
          <w:szCs w:val="24"/>
          <w:highlight w:val="none"/>
          <w:lang w:val="en-US" w:eastAsia="zh-CN"/>
        </w:rPr>
        <w:t>因监理单位、造价咨询单位履职不到位引起的累计工程变更调整费用总额超过项目施工合同价(暂列金、预留金除外)的10%以上(含)，由项目建设单位按照合同扣减其30%的委托费用；超过项目施工合同价(暂列金、预留金除外)的20%以上(含),全额扣减相关费用，并由相关部门在市场诚信管理、市场准入、资质管理等方面依法给予处理并进行通报。</w:t>
      </w:r>
    </w:p>
    <w:p w14:paraId="559C9D11">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79" w:line="360" w:lineRule="auto"/>
        <w:ind w:right="91" w:rightChars="0" w:firstLine="474" w:firstLineChars="200"/>
        <w:textAlignment w:val="baseline"/>
        <w:rPr>
          <w:rFonts w:hint="eastAsia" w:ascii="宋体" w:hAnsi="宋体" w:eastAsia="宋体" w:cs="宋体"/>
          <w:color w:val="C00000"/>
          <w:spacing w:val="-2"/>
          <w:sz w:val="24"/>
          <w:szCs w:val="24"/>
          <w:highlight w:val="none"/>
          <w:lang w:val="en-US" w:eastAsia="zh-CN"/>
        </w:rPr>
      </w:pPr>
      <w:r>
        <w:rPr>
          <w:rFonts w:hint="eastAsia" w:ascii="宋体" w:hAnsi="宋体" w:eastAsia="宋体" w:cs="宋体"/>
          <w:b/>
          <w:bCs/>
          <w:snapToGrid w:val="0"/>
          <w:color w:val="auto"/>
          <w:spacing w:val="-2"/>
          <w:sz w:val="24"/>
          <w:szCs w:val="24"/>
          <w:lang w:val="en-US" w:eastAsia="zh-CN" w:bidi="ar-SA"/>
        </w:rPr>
        <w:t>7.3</w:t>
      </w:r>
      <w:r>
        <w:rPr>
          <w:rFonts w:hint="eastAsia" w:ascii="宋体" w:hAnsi="宋体" w:eastAsia="宋体" w:cs="宋体"/>
          <w:snapToGrid w:val="0"/>
          <w:color w:val="auto"/>
          <w:spacing w:val="-2"/>
          <w:sz w:val="24"/>
          <w:szCs w:val="24"/>
          <w:lang w:val="en-US" w:eastAsia="zh-CN" w:bidi="ar-SA"/>
        </w:rPr>
        <w:t xml:space="preserve">  </w:t>
      </w:r>
      <w:r>
        <w:rPr>
          <w:rFonts w:hint="eastAsia" w:ascii="宋体" w:hAnsi="宋体" w:eastAsia="宋体" w:cs="宋体"/>
          <w:color w:val="auto"/>
          <w:spacing w:val="-2"/>
          <w:sz w:val="24"/>
          <w:szCs w:val="24"/>
          <w:highlight w:val="none"/>
          <w:lang w:val="en-US" w:eastAsia="zh-CN"/>
        </w:rPr>
        <w:t>因施工单位主要责任造成的工程变更调整原则上不予审批，由施工单位自行承担相关责任和费用。</w:t>
      </w:r>
    </w:p>
    <w:p w14:paraId="395ACED5">
      <w:pPr>
        <w:rPr>
          <w:rFonts w:hint="eastAsia" w:ascii="宋体" w:hAnsi="宋体" w:eastAsia="宋体" w:cs="宋体"/>
          <w:lang w:val="en-US" w:eastAsia="zh-CN"/>
        </w:rPr>
      </w:pPr>
    </w:p>
    <w:p w14:paraId="326B6CF0">
      <w:pPr>
        <w:rPr>
          <w:rFonts w:hint="eastAsia" w:ascii="宋体" w:hAnsi="宋体" w:eastAsia="宋体" w:cs="宋体"/>
          <w:lang w:val="en-US" w:eastAsia="zh-CN"/>
        </w:rPr>
      </w:pPr>
    </w:p>
    <w:p w14:paraId="5B389023">
      <w:pPr>
        <w:rPr>
          <w:rFonts w:hint="eastAsia" w:ascii="宋体" w:hAnsi="宋体" w:eastAsia="宋体" w:cs="宋体"/>
          <w:lang w:val="en-US" w:eastAsia="zh-CN"/>
        </w:rPr>
      </w:pPr>
    </w:p>
    <w:p w14:paraId="6444F542">
      <w:pPr>
        <w:rPr>
          <w:rFonts w:hint="eastAsia" w:ascii="宋体" w:hAnsi="宋体" w:eastAsia="宋体" w:cs="宋体"/>
          <w:lang w:val="en-US" w:eastAsia="zh-CN"/>
        </w:rPr>
      </w:pPr>
    </w:p>
    <w:p w14:paraId="33DC35FD">
      <w:pPr>
        <w:rPr>
          <w:rFonts w:hint="eastAsia" w:ascii="宋体" w:hAnsi="宋体" w:eastAsia="宋体" w:cs="宋体"/>
          <w:lang w:val="en-US" w:eastAsia="zh-CN"/>
        </w:rPr>
      </w:pPr>
    </w:p>
    <w:p w14:paraId="6E838CFD">
      <w:pPr>
        <w:rPr>
          <w:rFonts w:hint="eastAsia" w:ascii="宋体" w:hAnsi="宋体" w:eastAsia="宋体" w:cs="宋体"/>
          <w:lang w:val="en-US" w:eastAsia="zh-CN"/>
        </w:rPr>
      </w:pPr>
    </w:p>
    <w:p w14:paraId="1778A1B0">
      <w:pPr>
        <w:rPr>
          <w:rFonts w:hint="eastAsia" w:ascii="宋体" w:hAnsi="宋体" w:eastAsia="宋体" w:cs="宋体"/>
          <w:lang w:val="en-US" w:eastAsia="zh-CN"/>
        </w:rPr>
      </w:pPr>
    </w:p>
    <w:p w14:paraId="18DDD488">
      <w:pPr>
        <w:rPr>
          <w:rFonts w:hint="eastAsia" w:ascii="宋体" w:hAnsi="宋体" w:eastAsia="宋体" w:cs="宋体"/>
          <w:lang w:val="en-US" w:eastAsia="zh-CN"/>
        </w:rPr>
      </w:pPr>
    </w:p>
    <w:p w14:paraId="43A791B5">
      <w:pPr>
        <w:rPr>
          <w:rFonts w:hint="eastAsia" w:ascii="宋体" w:hAnsi="宋体" w:eastAsia="宋体" w:cs="宋体"/>
          <w:lang w:val="en-US" w:eastAsia="zh-CN"/>
        </w:rPr>
      </w:pPr>
    </w:p>
    <w:p w14:paraId="21CE945E">
      <w:pPr>
        <w:rPr>
          <w:rFonts w:hint="eastAsia" w:ascii="宋体" w:hAnsi="宋体" w:eastAsia="宋体" w:cs="宋体"/>
          <w:lang w:val="en-US" w:eastAsia="zh-CN"/>
        </w:rPr>
      </w:pPr>
    </w:p>
    <w:p w14:paraId="36A6D888">
      <w:pPr>
        <w:rPr>
          <w:rFonts w:hint="eastAsia" w:ascii="宋体" w:hAnsi="宋体" w:eastAsia="宋体" w:cs="宋体"/>
          <w:lang w:val="en-US" w:eastAsia="zh-CN"/>
        </w:rPr>
      </w:pPr>
    </w:p>
    <w:p w14:paraId="01DC4D12">
      <w:pPr>
        <w:rPr>
          <w:rFonts w:hint="eastAsia" w:ascii="宋体" w:hAnsi="宋体" w:eastAsia="宋体" w:cs="宋体"/>
          <w:lang w:val="en-US" w:eastAsia="zh-CN"/>
        </w:rPr>
      </w:pPr>
    </w:p>
    <w:p w14:paraId="72398E6A">
      <w:pPr>
        <w:rPr>
          <w:rFonts w:hint="eastAsia" w:ascii="宋体" w:hAnsi="宋体" w:eastAsia="宋体" w:cs="宋体"/>
          <w:lang w:val="en-US" w:eastAsia="zh-CN"/>
        </w:rPr>
      </w:pPr>
    </w:p>
    <w:p w14:paraId="3B2954E8">
      <w:pPr>
        <w:rPr>
          <w:rFonts w:hint="eastAsia" w:ascii="宋体" w:hAnsi="宋体" w:eastAsia="宋体" w:cs="宋体"/>
          <w:lang w:val="en-US" w:eastAsia="zh-CN"/>
        </w:rPr>
      </w:pPr>
    </w:p>
    <w:p w14:paraId="60612DE2">
      <w:pPr>
        <w:rPr>
          <w:rFonts w:hint="eastAsia" w:ascii="宋体" w:hAnsi="宋体" w:eastAsia="宋体" w:cs="宋体"/>
          <w:lang w:val="en-US" w:eastAsia="zh-CN"/>
        </w:rPr>
      </w:pPr>
    </w:p>
    <w:p w14:paraId="59F651A3">
      <w:pPr>
        <w:rPr>
          <w:rFonts w:hint="eastAsia" w:ascii="宋体" w:hAnsi="宋体" w:eastAsia="宋体" w:cs="宋体"/>
          <w:lang w:val="en-US" w:eastAsia="zh-CN"/>
        </w:rPr>
      </w:pPr>
    </w:p>
    <w:p w14:paraId="4C800CEB">
      <w:pPr>
        <w:rPr>
          <w:rFonts w:hint="eastAsia" w:ascii="宋体" w:hAnsi="宋体" w:eastAsia="宋体" w:cs="宋体"/>
          <w:lang w:val="en-US" w:eastAsia="zh-CN"/>
        </w:rPr>
      </w:pPr>
    </w:p>
    <w:p w14:paraId="59130843">
      <w:pPr>
        <w:rPr>
          <w:rFonts w:hint="eastAsia" w:ascii="宋体" w:hAnsi="宋体" w:eastAsia="宋体" w:cs="宋体"/>
          <w:lang w:val="en-US" w:eastAsia="zh-CN"/>
        </w:rPr>
      </w:pPr>
    </w:p>
    <w:p w14:paraId="5E43365E">
      <w:pPr>
        <w:rPr>
          <w:rFonts w:hint="eastAsia" w:ascii="宋体" w:hAnsi="宋体" w:eastAsia="宋体" w:cs="宋体"/>
          <w:lang w:val="en-US" w:eastAsia="zh-CN"/>
        </w:rPr>
      </w:pPr>
    </w:p>
    <w:p w14:paraId="435233D7">
      <w:pPr>
        <w:rPr>
          <w:rFonts w:hint="eastAsia" w:ascii="宋体" w:hAnsi="宋体" w:eastAsia="宋体" w:cs="宋体"/>
          <w:lang w:val="en-US" w:eastAsia="zh-CN"/>
        </w:rPr>
      </w:pPr>
    </w:p>
    <w:p w14:paraId="08462046">
      <w:pPr>
        <w:rPr>
          <w:rFonts w:hint="eastAsia" w:ascii="宋体" w:hAnsi="宋体" w:eastAsia="宋体" w:cs="宋体"/>
          <w:lang w:val="en-US" w:eastAsia="zh-CN"/>
        </w:rPr>
      </w:pPr>
    </w:p>
    <w:p w14:paraId="44E6F901">
      <w:pPr>
        <w:rPr>
          <w:rFonts w:hint="eastAsia" w:ascii="宋体" w:hAnsi="宋体" w:eastAsia="宋体" w:cs="宋体"/>
          <w:lang w:val="en-US" w:eastAsia="zh-CN"/>
        </w:rPr>
      </w:pPr>
    </w:p>
    <w:p w14:paraId="100FD920">
      <w:pPr>
        <w:rPr>
          <w:rFonts w:hint="eastAsia" w:ascii="宋体" w:hAnsi="宋体" w:eastAsia="宋体" w:cs="宋体"/>
          <w:lang w:val="en-US" w:eastAsia="zh-CN"/>
        </w:rPr>
      </w:pPr>
    </w:p>
    <w:p w14:paraId="7C6FCB25">
      <w:pPr>
        <w:rPr>
          <w:rFonts w:hint="eastAsia" w:ascii="宋体" w:hAnsi="宋体" w:eastAsia="宋体" w:cs="宋体"/>
          <w:lang w:val="en-US" w:eastAsia="zh-CN"/>
        </w:rPr>
      </w:pPr>
    </w:p>
    <w:p w14:paraId="4CE9C236">
      <w:pPr>
        <w:rPr>
          <w:rFonts w:hint="eastAsia" w:ascii="宋体" w:hAnsi="宋体" w:eastAsia="宋体" w:cs="宋体"/>
          <w:lang w:val="en-US" w:eastAsia="zh-CN"/>
        </w:rPr>
      </w:pPr>
    </w:p>
    <w:p w14:paraId="2F1411D9">
      <w:pPr>
        <w:rPr>
          <w:rFonts w:hint="eastAsia" w:ascii="宋体" w:hAnsi="宋体" w:eastAsia="宋体" w:cs="宋体"/>
          <w:lang w:val="en-US" w:eastAsia="zh-CN"/>
        </w:rPr>
      </w:pPr>
    </w:p>
    <w:p w14:paraId="5678F9D7">
      <w:pPr>
        <w:rPr>
          <w:rFonts w:hint="eastAsia" w:ascii="宋体" w:hAnsi="宋体" w:eastAsia="宋体" w:cs="宋体"/>
          <w:lang w:val="en-US" w:eastAsia="zh-CN"/>
        </w:rPr>
      </w:pPr>
    </w:p>
    <w:p w14:paraId="046D4A2C">
      <w:pPr>
        <w:rPr>
          <w:rFonts w:hint="eastAsia" w:ascii="宋体" w:hAnsi="宋体" w:eastAsia="宋体" w:cs="宋体"/>
          <w:lang w:val="en-US" w:eastAsia="zh-CN"/>
        </w:rPr>
      </w:pPr>
    </w:p>
    <w:p w14:paraId="107C73E3">
      <w:pPr>
        <w:rPr>
          <w:rFonts w:hint="eastAsia" w:ascii="宋体" w:hAnsi="宋体" w:eastAsia="宋体" w:cs="宋体"/>
          <w:lang w:val="en-US" w:eastAsia="zh-CN"/>
        </w:rPr>
      </w:pPr>
    </w:p>
    <w:p w14:paraId="0E8269A9">
      <w:pPr>
        <w:rPr>
          <w:rFonts w:hint="eastAsia" w:ascii="宋体" w:hAnsi="宋体" w:eastAsia="宋体" w:cs="宋体"/>
          <w:lang w:val="en-US" w:eastAsia="zh-CN"/>
        </w:rPr>
      </w:pPr>
    </w:p>
    <w:p w14:paraId="739F1B25">
      <w:pPr>
        <w:rPr>
          <w:rFonts w:hint="eastAsia" w:ascii="宋体" w:hAnsi="宋体" w:eastAsia="宋体" w:cs="宋体"/>
          <w:lang w:val="en-US" w:eastAsia="zh-CN"/>
        </w:rPr>
      </w:pPr>
    </w:p>
    <w:p w14:paraId="26CD6164">
      <w:pPr>
        <w:rPr>
          <w:rFonts w:hint="eastAsia" w:ascii="宋体" w:hAnsi="宋体" w:eastAsia="宋体" w:cs="宋体"/>
          <w:lang w:val="en-US" w:eastAsia="zh-CN"/>
        </w:rPr>
      </w:pPr>
    </w:p>
    <w:p w14:paraId="54D1901E">
      <w:pPr>
        <w:rPr>
          <w:rFonts w:hint="eastAsia" w:ascii="宋体" w:hAnsi="宋体" w:eastAsia="宋体" w:cs="宋体"/>
          <w:lang w:val="en-US" w:eastAsia="zh-CN"/>
        </w:rPr>
      </w:pPr>
    </w:p>
    <w:p w14:paraId="73C039DD">
      <w:pPr>
        <w:rPr>
          <w:rFonts w:hint="eastAsia" w:ascii="宋体" w:hAnsi="宋体" w:eastAsia="宋体" w:cs="宋体"/>
          <w:lang w:val="en-US" w:eastAsia="zh-CN"/>
        </w:rPr>
      </w:pPr>
    </w:p>
    <w:p w14:paraId="2585650D">
      <w:pPr>
        <w:rPr>
          <w:rFonts w:hint="eastAsia" w:ascii="宋体" w:hAnsi="宋体" w:eastAsia="宋体" w:cs="宋体"/>
          <w:lang w:val="en-US" w:eastAsia="zh-CN"/>
        </w:rPr>
      </w:pPr>
    </w:p>
    <w:p w14:paraId="08D4F6E8">
      <w:pPr>
        <w:rPr>
          <w:rFonts w:hint="eastAsia" w:ascii="宋体" w:hAnsi="宋体" w:eastAsia="宋体" w:cs="宋体"/>
          <w:lang w:val="en-US" w:eastAsia="zh-CN"/>
        </w:rPr>
      </w:pPr>
    </w:p>
    <w:p w14:paraId="276B9B3D">
      <w:pPr>
        <w:rPr>
          <w:rFonts w:hint="eastAsia" w:ascii="宋体" w:hAnsi="宋体" w:eastAsia="宋体" w:cs="宋体"/>
          <w:lang w:val="en-US" w:eastAsia="zh-CN"/>
        </w:rPr>
      </w:pPr>
    </w:p>
    <w:p w14:paraId="31837DD6">
      <w:pPr>
        <w:rPr>
          <w:rFonts w:hint="eastAsia" w:ascii="宋体" w:hAnsi="宋体" w:eastAsia="宋体" w:cs="宋体"/>
          <w:lang w:val="en-US" w:eastAsia="zh-CN"/>
        </w:rPr>
      </w:pPr>
    </w:p>
    <w:p w14:paraId="2923DF11">
      <w:pPr>
        <w:rPr>
          <w:rFonts w:hint="eastAsia" w:ascii="宋体" w:hAnsi="宋体" w:eastAsia="宋体" w:cs="宋体"/>
          <w:lang w:val="en-US" w:eastAsia="zh-CN"/>
        </w:rPr>
      </w:pPr>
    </w:p>
    <w:p w14:paraId="28981A1F">
      <w:pPr>
        <w:rPr>
          <w:rFonts w:hint="eastAsia" w:ascii="宋体" w:hAnsi="宋体" w:eastAsia="宋体" w:cs="宋体"/>
          <w:lang w:val="en-US" w:eastAsia="zh-CN"/>
        </w:rPr>
      </w:pPr>
    </w:p>
    <w:p w14:paraId="32A3C541">
      <w:pPr>
        <w:spacing w:before="78" w:line="360" w:lineRule="auto"/>
        <w:ind w:left="2923"/>
        <w:outlineLvl w:val="0"/>
        <w:rPr>
          <w:rFonts w:hint="eastAsia" w:ascii="宋体" w:hAnsi="宋体" w:eastAsia="宋体" w:cs="宋体"/>
          <w:color w:val="auto"/>
          <w:highlight w:val="none"/>
        </w:rPr>
      </w:pPr>
      <w:bookmarkStart w:id="174" w:name="bookmark86"/>
      <w:bookmarkEnd w:id="174"/>
      <w:bookmarkStart w:id="175" w:name="_Toc24083"/>
      <w:bookmarkStart w:id="176" w:name="_Toc7865"/>
      <w:r>
        <w:rPr>
          <w:rFonts w:hint="eastAsia" w:ascii="宋体" w:hAnsi="宋体" w:eastAsia="宋体" w:cs="宋体"/>
          <w:b/>
          <w:bCs/>
          <w:color w:val="auto"/>
          <w:spacing w:val="-3"/>
          <w:sz w:val="24"/>
          <w:szCs w:val="24"/>
          <w:highlight w:val="none"/>
        </w:rPr>
        <w:t>第三章</w:t>
      </w:r>
      <w:r>
        <w:rPr>
          <w:rFonts w:hint="eastAsia" w:ascii="宋体" w:hAnsi="宋体" w:eastAsia="宋体" w:cs="宋体"/>
          <w:color w:val="auto"/>
          <w:spacing w:val="-3"/>
          <w:sz w:val="24"/>
          <w:szCs w:val="24"/>
          <w:highlight w:val="none"/>
          <w:lang w:val="en-US" w:eastAsia="zh-CN"/>
        </w:rPr>
        <w:t xml:space="preserve">   </w:t>
      </w:r>
      <w:r>
        <w:rPr>
          <w:rFonts w:hint="eastAsia" w:ascii="宋体" w:hAnsi="宋体" w:eastAsia="宋体" w:cs="宋体"/>
          <w:b/>
          <w:bCs/>
          <w:color w:val="auto"/>
          <w:spacing w:val="-3"/>
          <w:sz w:val="24"/>
          <w:szCs w:val="24"/>
          <w:highlight w:val="none"/>
        </w:rPr>
        <w:t>拟签订合同的主要条款</w:t>
      </w:r>
      <w:bookmarkEnd w:id="175"/>
      <w:bookmarkEnd w:id="176"/>
    </w:p>
    <w:p w14:paraId="3ABC111F">
      <w:pPr>
        <w:spacing w:before="151" w:line="360" w:lineRule="auto"/>
        <w:ind w:left="476"/>
        <w:outlineLvl w:val="2"/>
        <w:rPr>
          <w:rFonts w:hint="eastAsia" w:ascii="宋体" w:hAnsi="宋体" w:eastAsia="宋体" w:cs="宋体"/>
          <w:b/>
          <w:bCs/>
          <w:color w:val="auto"/>
          <w:spacing w:val="-11"/>
          <w:sz w:val="24"/>
          <w:szCs w:val="24"/>
          <w:highlight w:val="none"/>
        </w:rPr>
      </w:pPr>
      <w:bookmarkStart w:id="177" w:name="_Toc9967"/>
      <w:bookmarkStart w:id="178" w:name="_Toc9942"/>
      <w:r>
        <w:rPr>
          <w:rFonts w:hint="eastAsia" w:ascii="宋体" w:hAnsi="宋体" w:eastAsia="宋体" w:cs="宋体"/>
          <w:b/>
          <w:bCs/>
          <w:color w:val="auto"/>
          <w:spacing w:val="-11"/>
          <w:sz w:val="24"/>
          <w:szCs w:val="24"/>
          <w:highlight w:val="none"/>
        </w:rPr>
        <w:t>1</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工程承包方式</w:t>
      </w:r>
      <w:bookmarkEnd w:id="177"/>
      <w:bookmarkEnd w:id="178"/>
    </w:p>
    <w:p w14:paraId="44A100EA">
      <w:pPr>
        <w:spacing w:before="153" w:line="360" w:lineRule="auto"/>
        <w:ind w:left="11" w:right="295" w:firstLine="487"/>
        <w:rPr>
          <w:rFonts w:hint="eastAsia" w:ascii="宋体" w:hAnsi="宋体" w:eastAsia="宋体" w:cs="宋体"/>
          <w:sz w:val="24"/>
          <w:szCs w:val="24"/>
        </w:rPr>
      </w:pPr>
      <w:r>
        <w:rPr>
          <w:rFonts w:hint="eastAsia" w:ascii="宋体" w:hAnsi="宋体" w:eastAsia="宋体" w:cs="宋体"/>
          <w:b/>
          <w:bCs/>
          <w:color w:val="auto"/>
          <w:sz w:val="24"/>
          <w:szCs w:val="24"/>
          <w:highlight w:val="none"/>
        </w:rPr>
        <w:t xml:space="preserve">1.1  </w:t>
      </w:r>
      <w:r>
        <w:rPr>
          <w:rFonts w:hint="eastAsia" w:ascii="宋体" w:hAnsi="宋体" w:eastAsia="宋体" w:cs="宋体"/>
          <w:sz w:val="24"/>
          <w:szCs w:val="24"/>
        </w:rPr>
        <w:t>承包人以中标价按包工包料、包质量、包安全包文明施工、包工期方式总承包施工，不允许转包和违法分包，如果确需分包须与发包人协商，在得到发包人和监理单位同意后报建设行政主管部门备案。</w:t>
      </w:r>
    </w:p>
    <w:p w14:paraId="357A5275">
      <w:pPr>
        <w:spacing w:before="153" w:line="36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1.1.1  </w:t>
      </w:r>
      <w:r>
        <w:rPr>
          <w:rFonts w:hint="eastAsia" w:ascii="宋体" w:hAnsi="宋体" w:eastAsia="宋体" w:cs="宋体"/>
          <w:color w:val="auto"/>
          <w:spacing w:val="-1"/>
          <w:sz w:val="24"/>
          <w:szCs w:val="24"/>
          <w:highlight w:val="none"/>
        </w:rPr>
        <w:t>包工包料：材料符合招标文件要求并报验使用；办理用工保险。</w:t>
      </w:r>
    </w:p>
    <w:p w14:paraId="498F9F49">
      <w:pPr>
        <w:spacing w:before="156" w:line="36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1.1.2  </w:t>
      </w:r>
      <w:r>
        <w:rPr>
          <w:rFonts w:hint="eastAsia" w:ascii="宋体" w:hAnsi="宋体" w:eastAsia="宋体" w:cs="宋体"/>
          <w:color w:val="auto"/>
          <w:spacing w:val="-1"/>
          <w:sz w:val="24"/>
          <w:szCs w:val="24"/>
          <w:highlight w:val="none"/>
        </w:rPr>
        <w:t>包质量：符合招标文件要求。</w:t>
      </w:r>
    </w:p>
    <w:p w14:paraId="7B11DC55">
      <w:pPr>
        <w:spacing w:before="153" w:line="360" w:lineRule="auto"/>
        <w:ind w:left="580"/>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1.1.3  </w:t>
      </w:r>
      <w:r>
        <w:rPr>
          <w:rFonts w:hint="eastAsia" w:ascii="宋体" w:hAnsi="宋体" w:eastAsia="宋体" w:cs="宋体"/>
          <w:color w:val="auto"/>
          <w:spacing w:val="-1"/>
          <w:sz w:val="24"/>
          <w:szCs w:val="24"/>
          <w:highlight w:val="none"/>
        </w:rPr>
        <w:t>包安全包文明施工：符合招标文件要求。</w:t>
      </w:r>
    </w:p>
    <w:p w14:paraId="2599FB52">
      <w:pPr>
        <w:spacing w:before="154" w:line="360" w:lineRule="auto"/>
        <w:ind w:left="580"/>
        <w:rPr>
          <w:rFonts w:hint="eastAsia" w:ascii="宋体" w:hAnsi="宋体" w:eastAsia="宋体" w:cs="宋体"/>
          <w:color w:val="auto"/>
          <w:highlight w:val="none"/>
        </w:rPr>
      </w:pPr>
      <w:r>
        <w:rPr>
          <w:rFonts w:hint="eastAsia" w:ascii="宋体" w:hAnsi="宋体" w:eastAsia="宋体" w:cs="宋体"/>
          <w:b/>
          <w:bCs/>
          <w:color w:val="auto"/>
          <w:spacing w:val="-1"/>
          <w:sz w:val="24"/>
          <w:szCs w:val="24"/>
          <w:highlight w:val="none"/>
        </w:rPr>
        <w:t xml:space="preserve">1.1.4  </w:t>
      </w:r>
      <w:r>
        <w:rPr>
          <w:rFonts w:hint="eastAsia" w:ascii="宋体" w:hAnsi="宋体" w:eastAsia="宋体" w:cs="宋体"/>
          <w:color w:val="auto"/>
          <w:spacing w:val="-1"/>
          <w:sz w:val="24"/>
          <w:szCs w:val="24"/>
          <w:highlight w:val="none"/>
        </w:rPr>
        <w:t>包工期：本招标项目施工必须在招标工期内完成。</w:t>
      </w:r>
    </w:p>
    <w:p w14:paraId="325AF9D0">
      <w:pPr>
        <w:spacing w:before="151" w:line="360" w:lineRule="auto"/>
        <w:ind w:left="476"/>
        <w:outlineLvl w:val="2"/>
        <w:rPr>
          <w:rFonts w:hint="eastAsia" w:ascii="宋体" w:hAnsi="宋体" w:eastAsia="宋体" w:cs="宋体"/>
          <w:b/>
          <w:bCs/>
          <w:color w:val="auto"/>
          <w:spacing w:val="-11"/>
          <w:sz w:val="24"/>
          <w:szCs w:val="24"/>
          <w:highlight w:val="none"/>
        </w:rPr>
      </w:pPr>
      <w:bookmarkStart w:id="179" w:name="bookmark88"/>
      <w:bookmarkEnd w:id="179"/>
      <w:bookmarkStart w:id="180" w:name="_Toc4294"/>
      <w:bookmarkStart w:id="181" w:name="_Toc27206"/>
      <w:r>
        <w:rPr>
          <w:rFonts w:hint="eastAsia" w:ascii="宋体" w:hAnsi="宋体" w:eastAsia="宋体" w:cs="宋体"/>
          <w:b/>
          <w:bCs/>
          <w:color w:val="auto"/>
          <w:spacing w:val="-11"/>
          <w:sz w:val="24"/>
          <w:szCs w:val="24"/>
          <w:highlight w:val="none"/>
        </w:rPr>
        <w:t>2</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工程结算原则</w:t>
      </w:r>
      <w:bookmarkEnd w:id="180"/>
      <w:bookmarkEnd w:id="181"/>
    </w:p>
    <w:p w14:paraId="6CAE90BE">
      <w:pPr>
        <w:spacing w:before="155" w:line="360" w:lineRule="auto"/>
        <w:ind w:left="12" w:right="231" w:firstLine="476"/>
        <w:rPr>
          <w:rFonts w:hint="eastAsia" w:ascii="宋体" w:hAnsi="宋体" w:eastAsia="宋体" w:cs="宋体"/>
          <w:b w:val="0"/>
          <w:bCs w:val="0"/>
          <w:color w:val="auto"/>
          <w:spacing w:val="2"/>
          <w:sz w:val="24"/>
          <w:szCs w:val="24"/>
          <w:highlight w:val="none"/>
        </w:rPr>
      </w:pPr>
      <w:bookmarkStart w:id="182" w:name="_Toc15115"/>
      <w:r>
        <w:rPr>
          <w:rFonts w:hint="eastAsia" w:ascii="宋体" w:hAnsi="宋体" w:eastAsia="宋体" w:cs="宋体"/>
          <w:b/>
          <w:bCs/>
          <w:color w:val="auto"/>
          <w:spacing w:val="2"/>
          <w:sz w:val="24"/>
          <w:szCs w:val="24"/>
          <w:highlight w:val="none"/>
        </w:rPr>
        <w:t xml:space="preserve">2.1 </w:t>
      </w:r>
      <w:r>
        <w:rPr>
          <w:rFonts w:hint="eastAsia" w:ascii="宋体" w:hAnsi="宋体" w:eastAsia="宋体" w:cs="宋体"/>
          <w:b w:val="0"/>
          <w:bCs w:val="0"/>
          <w:color w:val="auto"/>
          <w:spacing w:val="2"/>
          <w:sz w:val="24"/>
          <w:szCs w:val="24"/>
          <w:highlight w:val="none"/>
        </w:rPr>
        <w:t>承包人的投标总价为中标价，即为签约合同价。</w:t>
      </w:r>
      <w:bookmarkEnd w:id="182"/>
    </w:p>
    <w:p w14:paraId="467FC701">
      <w:pPr>
        <w:spacing w:before="155" w:line="360" w:lineRule="auto"/>
        <w:ind w:left="12" w:right="231"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2.2 </w:t>
      </w:r>
      <w:r>
        <w:rPr>
          <w:rFonts w:hint="eastAsia" w:ascii="宋体" w:hAnsi="宋体" w:eastAsia="宋体" w:cs="宋体"/>
          <w:color w:val="auto"/>
          <w:spacing w:val="2"/>
          <w:sz w:val="24"/>
          <w:szCs w:val="24"/>
          <w:highlight w:val="none"/>
        </w:rPr>
        <w:t>招标工程量清单标明的工程量是投标人投标报价的</w:t>
      </w:r>
      <w:r>
        <w:rPr>
          <w:rFonts w:hint="eastAsia" w:ascii="宋体" w:hAnsi="宋体" w:eastAsia="宋体" w:cs="宋体"/>
          <w:color w:val="auto"/>
          <w:spacing w:val="1"/>
          <w:sz w:val="24"/>
          <w:szCs w:val="24"/>
          <w:highlight w:val="none"/>
        </w:rPr>
        <w:t>共同基础，竣工结算的工程</w:t>
      </w:r>
      <w:r>
        <w:rPr>
          <w:rFonts w:hint="eastAsia" w:ascii="宋体" w:hAnsi="宋体" w:eastAsia="宋体" w:cs="宋体"/>
          <w:color w:val="auto"/>
          <w:spacing w:val="-5"/>
          <w:sz w:val="24"/>
          <w:szCs w:val="24"/>
          <w:highlight w:val="none"/>
        </w:rPr>
        <w:t>量按《建设工程工程量清单计价规范》（GB50500—2013）对工程计量的规定进行计量，</w:t>
      </w:r>
      <w:r>
        <w:rPr>
          <w:rFonts w:hint="eastAsia" w:ascii="宋体" w:hAnsi="宋体" w:eastAsia="宋体" w:cs="宋体"/>
          <w:color w:val="auto"/>
          <w:spacing w:val="-2"/>
          <w:sz w:val="24"/>
          <w:szCs w:val="24"/>
          <w:highlight w:val="none"/>
        </w:rPr>
        <w:t>必须以承包人完成合同工程应予计量的工程量确定。施工中进行工程计量，当发现招标工程量清单中出现缺项、工程量偏差、或因工程变更引起工程量增减时，应按承包人在履行合同义务中完成的工程量计算。因承包人原因造成的超出合同工程范围施工或返工</w:t>
      </w:r>
      <w:r>
        <w:rPr>
          <w:rFonts w:hint="eastAsia" w:ascii="宋体" w:hAnsi="宋体" w:eastAsia="宋体" w:cs="宋体"/>
          <w:color w:val="auto"/>
          <w:spacing w:val="-1"/>
          <w:sz w:val="24"/>
          <w:szCs w:val="24"/>
          <w:highlight w:val="none"/>
        </w:rPr>
        <w:t>的工程量，发包人不予计量。</w:t>
      </w:r>
    </w:p>
    <w:p w14:paraId="198451DE">
      <w:pPr>
        <w:keepNext w:val="0"/>
        <w:keepLines w:val="0"/>
        <w:pageBreakBefore w:val="0"/>
        <w:widowControl w:val="0"/>
        <w:kinsoku w:val="0"/>
        <w:wordWrap/>
        <w:overflowPunct/>
        <w:topLinePunct w:val="0"/>
        <w:autoSpaceDE w:val="0"/>
        <w:autoSpaceDN w:val="0"/>
        <w:bidi w:val="0"/>
        <w:adjustRightInd w:val="0"/>
        <w:snapToGrid w:val="0"/>
        <w:spacing w:before="38" w:line="360" w:lineRule="auto"/>
        <w:ind w:left="12" w:right="183" w:firstLine="475"/>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2.3  </w:t>
      </w:r>
      <w:r>
        <w:rPr>
          <w:rFonts w:hint="eastAsia" w:ascii="宋体" w:hAnsi="宋体" w:eastAsia="宋体" w:cs="宋体"/>
          <w:color w:val="auto"/>
          <w:sz w:val="24"/>
          <w:szCs w:val="24"/>
          <w:highlight w:val="none"/>
        </w:rPr>
        <w:t>施工合同履行期间，若出现下列情形的，发、承包双方应当按照以下规定调整</w:t>
      </w:r>
      <w:r>
        <w:rPr>
          <w:rFonts w:hint="eastAsia" w:ascii="宋体" w:hAnsi="宋体" w:eastAsia="宋体" w:cs="宋体"/>
          <w:color w:val="auto"/>
          <w:spacing w:val="-3"/>
          <w:sz w:val="24"/>
          <w:szCs w:val="24"/>
          <w:highlight w:val="none"/>
        </w:rPr>
        <w:t>合同价款：</w:t>
      </w:r>
    </w:p>
    <w:p w14:paraId="54A4EF37">
      <w:pPr>
        <w:keepNext w:val="0"/>
        <w:keepLines w:val="0"/>
        <w:pageBreakBefore w:val="0"/>
        <w:widowControl w:val="0"/>
        <w:kinsoku w:val="0"/>
        <w:wordWrap/>
        <w:overflowPunct/>
        <w:topLinePunct w:val="0"/>
        <w:autoSpaceDE w:val="0"/>
        <w:autoSpaceDN w:val="0"/>
        <w:bidi w:val="0"/>
        <w:adjustRightInd w:val="0"/>
        <w:snapToGrid w:val="0"/>
        <w:spacing w:before="227" w:line="360" w:lineRule="auto"/>
        <w:ind w:left="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2.3.1  </w:t>
      </w:r>
      <w:r>
        <w:rPr>
          <w:rFonts w:hint="eastAsia" w:ascii="宋体" w:hAnsi="宋体" w:eastAsia="宋体" w:cs="宋体"/>
          <w:color w:val="auto"/>
          <w:spacing w:val="-1"/>
          <w:sz w:val="24"/>
          <w:szCs w:val="24"/>
          <w:highlight w:val="none"/>
        </w:rPr>
        <w:t>法律法规变化</w:t>
      </w:r>
    </w:p>
    <w:p w14:paraId="56C8E9DF">
      <w:pPr>
        <w:keepNext w:val="0"/>
        <w:keepLines w:val="0"/>
        <w:pageBreakBefore w:val="0"/>
        <w:widowControl w:val="0"/>
        <w:kinsoku w:val="0"/>
        <w:wordWrap/>
        <w:overflowPunct/>
        <w:topLinePunct w:val="0"/>
        <w:autoSpaceDE w:val="0"/>
        <w:autoSpaceDN w:val="0"/>
        <w:bidi w:val="0"/>
        <w:adjustRightInd w:val="0"/>
        <w:snapToGrid w:val="0"/>
        <w:spacing w:before="156" w:line="360" w:lineRule="auto"/>
        <w:ind w:left="10" w:right="183"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2.3.1.1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基准日之后，因国家法律、法规、规章和政策发生变化引起工程造价增减变</w:t>
      </w:r>
      <w:r>
        <w:rPr>
          <w:rFonts w:hint="eastAsia" w:ascii="宋体" w:hAnsi="宋体" w:eastAsia="宋体" w:cs="宋体"/>
          <w:color w:val="auto"/>
          <w:spacing w:val="-2"/>
          <w:sz w:val="24"/>
          <w:szCs w:val="24"/>
          <w:highlight w:val="none"/>
        </w:rPr>
        <w:t>化时，发、承包双方应按照省级建设主管部门（或省级行业主管部门）或其授权的工程</w:t>
      </w:r>
      <w:r>
        <w:rPr>
          <w:rFonts w:hint="eastAsia" w:ascii="宋体" w:hAnsi="宋体" w:eastAsia="宋体" w:cs="宋体"/>
          <w:color w:val="auto"/>
          <w:spacing w:val="-1"/>
          <w:sz w:val="24"/>
          <w:szCs w:val="24"/>
          <w:highlight w:val="none"/>
        </w:rPr>
        <w:t>造价管理机构据此发布的最新规定调整合同价款。</w:t>
      </w:r>
    </w:p>
    <w:p w14:paraId="491AEAF4">
      <w:pPr>
        <w:keepNext w:val="0"/>
        <w:keepLines w:val="0"/>
        <w:pageBreakBefore w:val="0"/>
        <w:widowControl w:val="0"/>
        <w:kinsoku w:val="0"/>
        <w:wordWrap/>
        <w:overflowPunct/>
        <w:topLinePunct w:val="0"/>
        <w:autoSpaceDE w:val="0"/>
        <w:autoSpaceDN w:val="0"/>
        <w:bidi w:val="0"/>
        <w:adjustRightInd w:val="0"/>
        <w:snapToGrid w:val="0"/>
        <w:spacing w:before="157" w:line="360" w:lineRule="auto"/>
        <w:ind w:left="12" w:right="183" w:firstLine="479"/>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1"/>
          <w:sz w:val="24"/>
          <w:szCs w:val="24"/>
          <w:highlight w:val="none"/>
        </w:rPr>
        <w:t>注：本招标文件所称“基准日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11"/>
          <w:sz w:val="24"/>
          <w:szCs w:val="24"/>
          <w:highlight w:val="none"/>
        </w:rPr>
        <w:t>”，均指投标文</w:t>
      </w:r>
      <w:r>
        <w:rPr>
          <w:rFonts w:hint="eastAsia" w:ascii="宋体" w:hAnsi="宋体" w:eastAsia="宋体" w:cs="宋体"/>
          <w:b/>
          <w:bCs/>
          <w:color w:val="auto"/>
          <w:spacing w:val="-12"/>
          <w:sz w:val="24"/>
          <w:szCs w:val="24"/>
          <w:highlight w:val="none"/>
        </w:rPr>
        <w:t>件递交截止时间（见第一章第二节“重</w:t>
      </w:r>
      <w:r>
        <w:rPr>
          <w:rFonts w:hint="eastAsia" w:ascii="宋体" w:hAnsi="宋体" w:eastAsia="宋体" w:cs="宋体"/>
          <w:b/>
          <w:bCs/>
          <w:color w:val="auto"/>
          <w:spacing w:val="-5"/>
          <w:sz w:val="24"/>
          <w:szCs w:val="24"/>
          <w:highlight w:val="none"/>
        </w:rPr>
        <w:t>要事项时间地点一览表</w:t>
      </w:r>
      <w:r>
        <w:rPr>
          <w:rFonts w:hint="eastAsia" w:ascii="宋体" w:hAnsi="宋体" w:eastAsia="宋体" w:cs="宋体"/>
          <w:color w:val="auto"/>
          <w:spacing w:val="-73"/>
          <w:sz w:val="24"/>
          <w:szCs w:val="24"/>
          <w:highlight w:val="none"/>
        </w:rPr>
        <w:t xml:space="preserve"> </w:t>
      </w:r>
      <w:r>
        <w:rPr>
          <w:rFonts w:hint="eastAsia" w:ascii="宋体" w:hAnsi="宋体" w:eastAsia="宋体" w:cs="宋体"/>
          <w:b/>
          <w:bCs/>
          <w:color w:val="auto"/>
          <w:spacing w:val="-5"/>
          <w:sz w:val="24"/>
          <w:szCs w:val="24"/>
          <w:highlight w:val="none"/>
        </w:rPr>
        <w:t>”）前28天。</w:t>
      </w:r>
    </w:p>
    <w:p w14:paraId="4F023809">
      <w:pPr>
        <w:keepNext w:val="0"/>
        <w:keepLines w:val="0"/>
        <w:pageBreakBefore w:val="0"/>
        <w:widowControl w:val="0"/>
        <w:kinsoku w:val="0"/>
        <w:wordWrap/>
        <w:overflowPunct/>
        <w:topLinePunct w:val="0"/>
        <w:autoSpaceDE w:val="0"/>
        <w:autoSpaceDN w:val="0"/>
        <w:bidi w:val="0"/>
        <w:adjustRightInd w:val="0"/>
        <w:snapToGrid w:val="0"/>
        <w:spacing w:before="33" w:line="360" w:lineRule="auto"/>
        <w:ind w:left="11"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"2.3.1.2"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2.3.1.2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6"/>
          <w:sz w:val="24"/>
          <w:szCs w:val="24"/>
          <w:highlight w:val="none"/>
        </w:rPr>
        <w:t xml:space="preserve">  </w:t>
      </w:r>
      <w:r>
        <w:rPr>
          <w:rFonts w:hint="eastAsia" w:ascii="宋体" w:hAnsi="宋体" w:eastAsia="宋体" w:cs="宋体"/>
          <w:color w:val="auto"/>
          <w:spacing w:val="1"/>
          <w:sz w:val="24"/>
          <w:szCs w:val="24"/>
          <w:highlight w:val="none"/>
        </w:rPr>
        <w:t>因承包人原因导致工程延误，本章第</w:t>
      </w:r>
      <w:r>
        <w:rPr>
          <w:rFonts w:hint="eastAsia" w:ascii="宋体" w:hAnsi="宋体" w:eastAsia="宋体" w:cs="宋体"/>
          <w:b/>
          <w:bCs/>
          <w:color w:val="auto"/>
          <w:spacing w:val="1"/>
          <w:sz w:val="24"/>
          <w:szCs w:val="24"/>
          <w:highlight w:val="none"/>
        </w:rPr>
        <w:t>2</w:t>
      </w:r>
      <w:r>
        <w:rPr>
          <w:rFonts w:hint="eastAsia" w:ascii="宋体" w:hAnsi="宋体" w:eastAsia="宋体" w:cs="宋体"/>
          <w:b/>
          <w:bCs/>
          <w:color w:val="auto"/>
          <w:sz w:val="24"/>
          <w:szCs w:val="24"/>
          <w:highlight w:val="none"/>
        </w:rPr>
        <w:t>.3.1.1</w:t>
      </w:r>
      <w:r>
        <w:rPr>
          <w:rFonts w:hint="eastAsia" w:ascii="宋体" w:hAnsi="宋体" w:eastAsia="宋体" w:cs="宋体"/>
          <w:color w:val="auto"/>
          <w:sz w:val="24"/>
          <w:szCs w:val="24"/>
          <w:highlight w:val="none"/>
        </w:rPr>
        <w:t>子目中的法定机构根据国家法</w:t>
      </w:r>
      <w:r>
        <w:rPr>
          <w:rFonts w:hint="eastAsia" w:ascii="宋体" w:hAnsi="宋体" w:eastAsia="宋体" w:cs="宋体"/>
          <w:color w:val="auto"/>
          <w:spacing w:val="-3"/>
          <w:sz w:val="24"/>
          <w:szCs w:val="24"/>
          <w:highlight w:val="none"/>
        </w:rPr>
        <w:t>律法规变化发布新规的时间在合同工程原定竣工时间之后的，合同价款调增的不予调整，</w:t>
      </w:r>
      <w:r>
        <w:rPr>
          <w:rFonts w:hint="eastAsia" w:ascii="宋体" w:hAnsi="宋体" w:eastAsia="宋体" w:cs="宋体"/>
          <w:color w:val="auto"/>
          <w:spacing w:val="-1"/>
          <w:sz w:val="24"/>
          <w:szCs w:val="24"/>
          <w:highlight w:val="none"/>
        </w:rPr>
        <w:t>合同价款调减的予以调整。</w:t>
      </w:r>
    </w:p>
    <w:p w14:paraId="1EE4469D">
      <w:pPr>
        <w:keepNext w:val="0"/>
        <w:keepLines w:val="0"/>
        <w:pageBreakBefore w:val="0"/>
        <w:widowControl w:val="0"/>
        <w:kinsoku w:val="0"/>
        <w:wordWrap/>
        <w:overflowPunct/>
        <w:topLinePunct w:val="0"/>
        <w:autoSpaceDE w:val="0"/>
        <w:autoSpaceDN w:val="0"/>
        <w:bidi w:val="0"/>
        <w:adjustRightInd w:val="0"/>
        <w:snapToGrid w:val="0"/>
        <w:spacing w:before="155" w:line="360" w:lineRule="auto"/>
        <w:ind w:left="48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2.3.2  </w:t>
      </w:r>
      <w:r>
        <w:rPr>
          <w:rFonts w:hint="eastAsia" w:ascii="宋体" w:hAnsi="宋体" w:eastAsia="宋体" w:cs="宋体"/>
          <w:color w:val="auto"/>
          <w:spacing w:val="-1"/>
          <w:sz w:val="24"/>
          <w:szCs w:val="24"/>
          <w:highlight w:val="none"/>
        </w:rPr>
        <w:t>工程量偏差或变化</w:t>
      </w:r>
    </w:p>
    <w:p w14:paraId="0ED2F0AF">
      <w:pPr>
        <w:keepNext w:val="0"/>
        <w:keepLines w:val="0"/>
        <w:pageBreakBefore w:val="0"/>
        <w:widowControl w:val="0"/>
        <w:kinsoku w:val="0"/>
        <w:wordWrap/>
        <w:overflowPunct/>
        <w:topLinePunct w:val="0"/>
        <w:autoSpaceDE w:val="0"/>
        <w:autoSpaceDN w:val="0"/>
        <w:bidi w:val="0"/>
        <w:adjustRightInd w:val="0"/>
        <w:snapToGrid w:val="0"/>
        <w:spacing w:before="158" w:line="360" w:lineRule="auto"/>
        <w:ind w:left="10" w:right="183" w:firstLine="477"/>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2.3.2.1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合同履行期间，当应予计算的实际工程量与招标工程量清单出现偏差或因工程变更引起已标价工程量清单项目的工程数量发生变化时，工程量偏差或变化在15%以</w:t>
      </w:r>
      <w:r>
        <w:rPr>
          <w:rFonts w:hint="eastAsia" w:ascii="宋体" w:hAnsi="宋体" w:eastAsia="宋体" w:cs="宋体"/>
          <w:color w:val="auto"/>
          <w:spacing w:val="-4"/>
          <w:sz w:val="24"/>
          <w:szCs w:val="24"/>
          <w:highlight w:val="none"/>
        </w:rPr>
        <w:t>内（含15%）的，其综合单价不予调整；工程量偏差或变化超过15%的，按照以下规定</w:t>
      </w:r>
      <w:r>
        <w:rPr>
          <w:rFonts w:hint="eastAsia" w:ascii="宋体" w:hAnsi="宋体" w:eastAsia="宋体" w:cs="宋体"/>
          <w:color w:val="auto"/>
          <w:spacing w:val="-3"/>
          <w:sz w:val="24"/>
          <w:szCs w:val="24"/>
          <w:highlight w:val="none"/>
        </w:rPr>
        <w:t>调整：</w:t>
      </w:r>
    </w:p>
    <w:p w14:paraId="0C3E80FB">
      <w:pPr>
        <w:keepNext w:val="0"/>
        <w:keepLines w:val="0"/>
        <w:pageBreakBefore w:val="0"/>
        <w:widowControl w:val="0"/>
        <w:kinsoku w:val="0"/>
        <w:wordWrap/>
        <w:overflowPunct/>
        <w:topLinePunct w:val="0"/>
        <w:autoSpaceDE w:val="0"/>
        <w:autoSpaceDN w:val="0"/>
        <w:bidi w:val="0"/>
        <w:adjustRightInd w:val="0"/>
        <w:snapToGrid w:val="0"/>
        <w:spacing w:before="78" w:line="360" w:lineRule="auto"/>
        <w:ind w:left="12" w:firstLine="478"/>
        <w:jc w:val="both"/>
        <w:textAlignment w:val="baseline"/>
        <w:rPr>
          <w:rFonts w:hint="eastAsia" w:ascii="宋体" w:hAnsi="宋体" w:eastAsia="宋体" w:cs="宋体"/>
          <w:color w:val="auto"/>
          <w:sz w:val="24"/>
          <w:szCs w:val="24"/>
          <w:highlight w:val="none"/>
        </w:rPr>
      </w:pPr>
      <w:bookmarkStart w:id="183" w:name="bookmark142"/>
      <w:bookmarkEnd w:id="183"/>
      <w:r>
        <w:rPr>
          <w:rFonts w:hint="eastAsia" w:ascii="宋体" w:hAnsi="宋体" w:eastAsia="宋体" w:cs="宋体"/>
          <w:color w:val="auto"/>
          <w:spacing w:val="-3"/>
          <w:sz w:val="24"/>
          <w:szCs w:val="24"/>
          <w:highlight w:val="none"/>
        </w:rPr>
        <w:t>对于合理报价的清单项目，当工程量增加超过15%时，增加部分的工程量的综合单</w:t>
      </w:r>
      <w:r>
        <w:rPr>
          <w:rFonts w:hint="eastAsia" w:ascii="宋体" w:hAnsi="宋体" w:eastAsia="宋体" w:cs="宋体"/>
          <w:color w:val="auto"/>
          <w:spacing w:val="-7"/>
          <w:sz w:val="24"/>
          <w:szCs w:val="24"/>
          <w:highlight w:val="none"/>
        </w:rPr>
        <w:t>价以</w:t>
      </w:r>
      <w:r>
        <w:rPr>
          <w:rFonts w:hint="eastAsia" w:ascii="宋体" w:hAnsi="宋体" w:eastAsia="宋体" w:cs="宋体"/>
          <w:color w:val="auto"/>
          <w:spacing w:val="-3"/>
          <w:sz w:val="24"/>
          <w:szCs w:val="24"/>
          <w:highlight w:val="none"/>
        </w:rPr>
        <w:t>投标报价《分部分项工程和单价措施项目清单与计价表》中综合单价为基价调低3%；当工程量减少超过15%时，减少后剩余部分的工程量的综合单价以投标报价《分部分项工程和单价措施项目清单与计价表》中综合单价为基价调高3%</w:t>
      </w:r>
      <w:r>
        <w:rPr>
          <w:rFonts w:hint="eastAsia" w:ascii="宋体" w:hAnsi="宋体" w:eastAsia="宋体" w:cs="宋体"/>
          <w:color w:val="auto"/>
          <w:spacing w:val="-1"/>
          <w:sz w:val="24"/>
          <w:szCs w:val="24"/>
          <w:highlight w:val="none"/>
        </w:rPr>
        <w:t>。</w:t>
      </w:r>
    </w:p>
    <w:p w14:paraId="592BA3DF">
      <w:pPr>
        <w:spacing w:before="97" w:line="360" w:lineRule="auto"/>
        <w:ind w:left="13" w:right="179"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对于按照第二章“</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9"/>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 条被认定为不平衡报价的清单项目，其综合</w:t>
      </w:r>
      <w:r>
        <w:rPr>
          <w:rFonts w:hint="eastAsia" w:ascii="宋体" w:hAnsi="宋体" w:eastAsia="宋体" w:cs="宋体"/>
          <w:b/>
          <w:bCs/>
          <w:color w:val="auto"/>
          <w:spacing w:val="-3"/>
          <w:sz w:val="24"/>
          <w:szCs w:val="24"/>
          <w:highlight w:val="none"/>
        </w:rPr>
        <w:t>单价按照以下方法调整：</w:t>
      </w:r>
    </w:p>
    <w:p w14:paraId="06C0A7F8">
      <w:pPr>
        <w:spacing w:before="36" w:line="360" w:lineRule="auto"/>
        <w:ind w:firstLine="462" w:firstLineChars="200"/>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以招标控制价中《分部分项工程和单价措施项目清单与计价表》子目相对应综合单</w:t>
      </w:r>
      <w:r>
        <w:rPr>
          <w:rFonts w:hint="eastAsia" w:ascii="宋体" w:hAnsi="宋体" w:eastAsia="宋体" w:cs="宋体"/>
          <w:b/>
          <w:bCs/>
          <w:color w:val="auto"/>
          <w:spacing w:val="-3"/>
          <w:sz w:val="24"/>
          <w:szCs w:val="24"/>
          <w:highlight w:val="none"/>
        </w:rPr>
        <w:t>价×（1-中标下浮率）。</w:t>
      </w:r>
    </w:p>
    <w:p w14:paraId="61298CCC">
      <w:pPr>
        <w:spacing w:before="36" w:line="360" w:lineRule="auto"/>
        <w:ind w:firstLine="462" w:firstLineChars="200"/>
        <w:rPr>
          <w:rFonts w:hint="eastAsia" w:ascii="宋体" w:hAnsi="宋体" w:eastAsia="宋体" w:cs="宋体"/>
          <w:b/>
          <w:bCs/>
          <w:color w:val="auto"/>
          <w:spacing w:val="-5"/>
          <w:sz w:val="24"/>
          <w:szCs w:val="24"/>
          <w:highlight w:val="none"/>
        </w:rPr>
      </w:pPr>
      <w:bookmarkStart w:id="184" w:name="_Toc18478"/>
      <w:bookmarkStart w:id="185" w:name="_Toc12035"/>
      <w:bookmarkStart w:id="186" w:name="_Toc13345"/>
      <w:r>
        <w:rPr>
          <w:rFonts w:hint="eastAsia" w:ascii="宋体" w:hAnsi="宋体" w:eastAsia="宋体" w:cs="宋体"/>
          <w:b/>
          <w:bCs/>
          <w:color w:val="auto"/>
          <w:spacing w:val="-5"/>
          <w:sz w:val="24"/>
          <w:szCs w:val="24"/>
          <w:highlight w:val="none"/>
        </w:rPr>
        <w:t>中标下浮率=[1-（中标价-中标绿色施工安全防护措施费-暂列金额-暂估价）/（</w:t>
      </w:r>
      <w:bookmarkEnd w:id="184"/>
      <w:bookmarkEnd w:id="185"/>
      <w:bookmarkStart w:id="187" w:name="_Toc13602"/>
      <w:bookmarkStart w:id="188" w:name="_Toc15512"/>
      <w:r>
        <w:rPr>
          <w:rFonts w:hint="eastAsia" w:ascii="宋体" w:hAnsi="宋体" w:eastAsia="宋体" w:cs="宋体"/>
          <w:b/>
          <w:bCs/>
          <w:color w:val="auto"/>
          <w:spacing w:val="-5"/>
          <w:sz w:val="24"/>
          <w:szCs w:val="24"/>
          <w:highlight w:val="none"/>
        </w:rPr>
        <w:t>招标控制价-控制价绿色施工安全防护措施费-暂列金额-暂估价）] ×100%</w:t>
      </w:r>
      <w:bookmarkEnd w:id="186"/>
      <w:bookmarkEnd w:id="187"/>
      <w:bookmarkEnd w:id="188"/>
    </w:p>
    <w:p w14:paraId="39BE2C13">
      <w:pPr>
        <w:spacing w:before="123" w:line="360" w:lineRule="auto"/>
        <w:ind w:left="10" w:right="116" w:firstLine="482"/>
        <w:jc w:val="both"/>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若修正后的该部分《分部分项工程和单价措施项目清单与计价表》总金额大于原投</w:t>
      </w:r>
      <w:r>
        <w:rPr>
          <w:rFonts w:hint="eastAsia" w:ascii="宋体" w:hAnsi="宋体" w:eastAsia="宋体" w:cs="宋体"/>
          <w:color w:val="auto"/>
          <w:spacing w:val="-1"/>
          <w:sz w:val="24"/>
          <w:szCs w:val="24"/>
          <w:highlight w:val="none"/>
        </w:rPr>
        <w:t>标报价中的该部分总金额，则从投标报价需</w:t>
      </w:r>
      <w:r>
        <w:rPr>
          <w:rFonts w:hint="eastAsia" w:ascii="宋体" w:hAnsi="宋体" w:eastAsia="宋体" w:cs="宋体"/>
          <w:color w:val="auto"/>
          <w:spacing w:val="-2"/>
          <w:sz w:val="24"/>
          <w:szCs w:val="24"/>
          <w:highlight w:val="none"/>
        </w:rPr>
        <w:t>调高的综合单价中选择偏离最大的清单开始</w:t>
      </w:r>
      <w:r>
        <w:rPr>
          <w:rFonts w:hint="eastAsia" w:ascii="宋体" w:hAnsi="宋体" w:eastAsia="宋体" w:cs="宋体"/>
          <w:color w:val="auto"/>
          <w:spacing w:val="-1"/>
          <w:sz w:val="24"/>
          <w:szCs w:val="24"/>
          <w:highlight w:val="none"/>
        </w:rPr>
        <w:t>调整，调整幅度逐步减少，直至修正后的该</w:t>
      </w:r>
      <w:r>
        <w:rPr>
          <w:rFonts w:hint="eastAsia" w:ascii="宋体" w:hAnsi="宋体" w:eastAsia="宋体" w:cs="宋体"/>
          <w:color w:val="auto"/>
          <w:spacing w:val="-2"/>
          <w:sz w:val="24"/>
          <w:szCs w:val="24"/>
          <w:highlight w:val="none"/>
        </w:rPr>
        <w:t>部分《分部分项工程和单价措施项目清单与</w:t>
      </w:r>
      <w:r>
        <w:rPr>
          <w:rFonts w:hint="eastAsia" w:ascii="宋体" w:hAnsi="宋体" w:eastAsia="宋体" w:cs="宋体"/>
          <w:color w:val="auto"/>
          <w:spacing w:val="-1"/>
          <w:sz w:val="24"/>
          <w:szCs w:val="24"/>
          <w:highlight w:val="none"/>
        </w:rPr>
        <w:t>计价表》总金额与原投标报价中的该部分总</w:t>
      </w:r>
      <w:r>
        <w:rPr>
          <w:rFonts w:hint="eastAsia" w:ascii="宋体" w:hAnsi="宋体" w:eastAsia="宋体" w:cs="宋体"/>
          <w:color w:val="auto"/>
          <w:spacing w:val="-2"/>
          <w:sz w:val="24"/>
          <w:szCs w:val="24"/>
          <w:highlight w:val="none"/>
        </w:rPr>
        <w:t>金额一致；若修正后的该部分《分部分项工</w:t>
      </w:r>
      <w:r>
        <w:rPr>
          <w:rFonts w:hint="eastAsia" w:ascii="宋体" w:hAnsi="宋体" w:eastAsia="宋体" w:cs="宋体"/>
          <w:color w:val="auto"/>
          <w:spacing w:val="-1"/>
          <w:sz w:val="24"/>
          <w:szCs w:val="24"/>
          <w:highlight w:val="none"/>
        </w:rPr>
        <w:t>程和单价措施项目清单与计价表》总金额小</w:t>
      </w:r>
      <w:r>
        <w:rPr>
          <w:rFonts w:hint="eastAsia" w:ascii="宋体" w:hAnsi="宋体" w:eastAsia="宋体" w:cs="宋体"/>
          <w:color w:val="auto"/>
          <w:spacing w:val="-2"/>
          <w:sz w:val="24"/>
          <w:szCs w:val="24"/>
          <w:highlight w:val="none"/>
        </w:rPr>
        <w:t>于原投标报价中的该部分总金额，则从投标</w:t>
      </w:r>
      <w:r>
        <w:rPr>
          <w:rFonts w:hint="eastAsia" w:ascii="宋体" w:hAnsi="宋体" w:eastAsia="宋体" w:cs="宋体"/>
          <w:color w:val="auto"/>
          <w:spacing w:val="-1"/>
          <w:sz w:val="24"/>
          <w:szCs w:val="24"/>
          <w:highlight w:val="none"/>
        </w:rPr>
        <w:t>报价需调低的综合单价中选择偏离最大的清</w:t>
      </w:r>
      <w:r>
        <w:rPr>
          <w:rFonts w:hint="eastAsia" w:ascii="宋体" w:hAnsi="宋体" w:eastAsia="宋体" w:cs="宋体"/>
          <w:color w:val="auto"/>
          <w:spacing w:val="-2"/>
          <w:sz w:val="24"/>
          <w:szCs w:val="24"/>
          <w:highlight w:val="none"/>
        </w:rPr>
        <w:t>单开始调整，调整幅度逐步减少，直至修正</w:t>
      </w:r>
      <w:r>
        <w:rPr>
          <w:rFonts w:hint="eastAsia" w:ascii="宋体" w:hAnsi="宋体" w:eastAsia="宋体" w:cs="宋体"/>
          <w:color w:val="auto"/>
          <w:spacing w:val="-1"/>
          <w:sz w:val="24"/>
          <w:szCs w:val="24"/>
          <w:highlight w:val="none"/>
        </w:rPr>
        <w:t>后的该部分《分部分项工程和单价措施项目</w:t>
      </w:r>
      <w:r>
        <w:rPr>
          <w:rFonts w:hint="eastAsia" w:ascii="宋体" w:hAnsi="宋体" w:eastAsia="宋体" w:cs="宋体"/>
          <w:color w:val="auto"/>
          <w:spacing w:val="-2"/>
          <w:sz w:val="24"/>
          <w:szCs w:val="24"/>
          <w:highlight w:val="none"/>
        </w:rPr>
        <w:t>清单与计价表》总金额与原投标报价中的该</w:t>
      </w:r>
      <w:r>
        <w:rPr>
          <w:rFonts w:hint="eastAsia" w:ascii="宋体" w:hAnsi="宋体" w:eastAsia="宋体" w:cs="宋体"/>
          <w:color w:val="auto"/>
          <w:spacing w:val="-12"/>
          <w:sz w:val="24"/>
          <w:szCs w:val="24"/>
          <w:highlight w:val="none"/>
        </w:rPr>
        <w:t>部分总金额一致。修正后的总造价应与总中标价保持一致，形成《不平衡报价修正报告》，</w:t>
      </w:r>
      <w:r>
        <w:rPr>
          <w:rFonts w:hint="eastAsia" w:ascii="宋体" w:hAnsi="宋体" w:eastAsia="宋体" w:cs="宋体"/>
          <w:color w:val="auto"/>
          <w:spacing w:val="-1"/>
          <w:sz w:val="24"/>
          <w:szCs w:val="24"/>
          <w:highlight w:val="none"/>
        </w:rPr>
        <w:t>并由招标人和中标人共同签章确认。</w:t>
      </w:r>
    </w:p>
    <w:p w14:paraId="782B9F57">
      <w:pPr>
        <w:keepNext w:val="0"/>
        <w:keepLines w:val="0"/>
        <w:pageBreakBefore w:val="0"/>
        <w:widowControl w:val="0"/>
        <w:kinsoku w:val="0"/>
        <w:wordWrap/>
        <w:overflowPunct/>
        <w:topLinePunct w:val="0"/>
        <w:autoSpaceDE w:val="0"/>
        <w:autoSpaceDN w:val="0"/>
        <w:bidi w:val="0"/>
        <w:adjustRightInd w:val="0"/>
        <w:snapToGrid w:val="0"/>
        <w:spacing w:before="129" w:line="360" w:lineRule="auto"/>
        <w:ind w:left="12" w:right="179" w:firstLine="476"/>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"2.3.2.2"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2.3.2.2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如果工程量出现本章第</w:t>
      </w:r>
      <w:r>
        <w:rPr>
          <w:rFonts w:hint="eastAsia" w:ascii="宋体" w:hAnsi="宋体" w:eastAsia="宋体" w:cs="宋体"/>
          <w:color w:val="auto"/>
          <w:spacing w:val="-41"/>
          <w:sz w:val="24"/>
          <w:szCs w:val="24"/>
          <w:highlight w:val="none"/>
        </w:rPr>
        <w:t xml:space="preserve"> </w:t>
      </w:r>
      <w:r>
        <w:rPr>
          <w:rFonts w:hint="eastAsia" w:ascii="宋体" w:hAnsi="宋体" w:eastAsia="宋体" w:cs="宋体"/>
          <w:b/>
          <w:bCs/>
          <w:color w:val="auto"/>
          <w:spacing w:val="1"/>
          <w:sz w:val="24"/>
          <w:szCs w:val="24"/>
          <w:highlight w:val="none"/>
        </w:rPr>
        <w:t>2.3.2.1</w:t>
      </w:r>
      <w:r>
        <w:rPr>
          <w:rFonts w:hint="eastAsia" w:ascii="宋体" w:hAnsi="宋体" w:eastAsia="宋体" w:cs="宋体"/>
          <w:color w:val="auto"/>
          <w:spacing w:val="1"/>
          <w:sz w:val="24"/>
          <w:szCs w:val="24"/>
          <w:highlight w:val="none"/>
        </w:rPr>
        <w:t>子目的变化，且该变化引起相关措施项目相</w:t>
      </w:r>
      <w:r>
        <w:rPr>
          <w:rFonts w:hint="eastAsia" w:ascii="宋体" w:hAnsi="宋体" w:eastAsia="宋体" w:cs="宋体"/>
          <w:color w:val="auto"/>
          <w:spacing w:val="-2"/>
          <w:sz w:val="24"/>
          <w:szCs w:val="24"/>
          <w:highlight w:val="none"/>
        </w:rPr>
        <w:t>应发生变化时，按系数或单一总价方式计价的，工程量增加的措施项目费调增，工程量</w:t>
      </w:r>
      <w:r>
        <w:rPr>
          <w:rFonts w:hint="eastAsia" w:ascii="宋体" w:hAnsi="宋体" w:eastAsia="宋体" w:cs="宋体"/>
          <w:color w:val="auto"/>
          <w:spacing w:val="-1"/>
          <w:sz w:val="24"/>
          <w:szCs w:val="24"/>
          <w:highlight w:val="none"/>
        </w:rPr>
        <w:t>减少的措施项目费调减。</w:t>
      </w:r>
    </w:p>
    <w:p w14:paraId="7886ACB1">
      <w:pPr>
        <w:keepNext w:val="0"/>
        <w:keepLines w:val="0"/>
        <w:pageBreakBefore w:val="0"/>
        <w:widowControl w:val="0"/>
        <w:kinsoku w:val="0"/>
        <w:wordWrap/>
        <w:overflowPunct/>
        <w:topLinePunct w:val="0"/>
        <w:autoSpaceDE w:val="0"/>
        <w:autoSpaceDN w:val="0"/>
        <w:bidi w:val="0"/>
        <w:adjustRightInd w:val="0"/>
        <w:snapToGrid w:val="0"/>
        <w:spacing w:before="154" w:line="360" w:lineRule="auto"/>
        <w:ind w:left="488"/>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2.3.3  </w:t>
      </w:r>
      <w:r>
        <w:rPr>
          <w:rFonts w:hint="eastAsia" w:ascii="宋体" w:hAnsi="宋体" w:eastAsia="宋体" w:cs="宋体"/>
          <w:color w:val="auto"/>
          <w:spacing w:val="-1"/>
          <w:sz w:val="24"/>
          <w:szCs w:val="24"/>
          <w:highlight w:val="none"/>
        </w:rPr>
        <w:t>工程变更</w:t>
      </w:r>
    </w:p>
    <w:p w14:paraId="29131641">
      <w:pPr>
        <w:keepNext w:val="0"/>
        <w:keepLines w:val="0"/>
        <w:pageBreakBefore w:val="0"/>
        <w:widowControl w:val="0"/>
        <w:kinsoku w:val="0"/>
        <w:wordWrap/>
        <w:overflowPunct/>
        <w:topLinePunct w:val="0"/>
        <w:autoSpaceDE w:val="0"/>
        <w:autoSpaceDN w:val="0"/>
        <w:bidi w:val="0"/>
        <w:adjustRightInd w:val="0"/>
        <w:snapToGrid w:val="0"/>
        <w:spacing w:before="153" w:line="360" w:lineRule="auto"/>
        <w:ind w:left="19" w:right="179" w:firstLine="468"/>
        <w:textAlignment w:val="baseline"/>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2.3.3.1</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合同履行期间，因工程变更引起已标价工程量清单项目发生变化时，按照以下规定调整：</w:t>
      </w:r>
    </w:p>
    <w:p w14:paraId="2F17D402">
      <w:pPr>
        <w:keepNext w:val="0"/>
        <w:keepLines w:val="0"/>
        <w:pageBreakBefore w:val="0"/>
        <w:widowControl w:val="0"/>
        <w:numPr>
          <w:ilvl w:val="0"/>
          <w:numId w:val="1"/>
        </w:numPr>
        <w:kinsoku w:val="0"/>
        <w:wordWrap/>
        <w:overflowPunct/>
        <w:topLinePunct w:val="0"/>
        <w:autoSpaceDE w:val="0"/>
        <w:autoSpaceDN w:val="0"/>
        <w:bidi w:val="0"/>
        <w:adjustRightInd w:val="0"/>
        <w:snapToGrid w:val="0"/>
        <w:spacing w:before="78" w:line="360" w:lineRule="auto"/>
        <w:ind w:firstLine="242" w:firstLineChars="100"/>
        <w:textAlignment w:val="baseline"/>
        <w:rPr>
          <w:rFonts w:hint="eastAsia" w:ascii="宋体" w:hAnsi="宋体" w:eastAsia="宋体" w:cs="宋体"/>
          <w:b/>
          <w:bCs/>
          <w:color w:val="auto"/>
          <w:spacing w:val="-2"/>
          <w:sz w:val="24"/>
          <w:szCs w:val="24"/>
          <w:highlight w:val="none"/>
        </w:rPr>
      </w:pPr>
      <w:r>
        <w:rPr>
          <w:rFonts w:hint="eastAsia" w:ascii="宋体" w:hAnsi="宋体" w:eastAsia="宋体" w:cs="宋体"/>
          <w:color w:val="auto"/>
          <w:spacing w:val="1"/>
          <w:sz w:val="24"/>
          <w:szCs w:val="24"/>
          <w:highlight w:val="none"/>
        </w:rPr>
        <w:t>已标价工程量清单中有适用于变更工程项目的，采用该项目的单价。</w:t>
      </w:r>
      <w:r>
        <w:rPr>
          <w:rFonts w:hint="eastAsia" w:ascii="宋体" w:hAnsi="宋体" w:eastAsia="宋体" w:cs="宋体"/>
          <w:b/>
          <w:bCs/>
          <w:color w:val="auto"/>
          <w:spacing w:val="1"/>
          <w:sz w:val="24"/>
          <w:szCs w:val="24"/>
          <w:highlight w:val="none"/>
        </w:rPr>
        <w:t>但如果</w:t>
      </w:r>
      <w:bookmarkStart w:id="189" w:name="bookmark143"/>
      <w:bookmarkEnd w:id="189"/>
      <w:r>
        <w:rPr>
          <w:rFonts w:hint="eastAsia" w:ascii="宋体" w:hAnsi="宋体" w:eastAsia="宋体" w:cs="宋体"/>
          <w:b/>
          <w:bCs/>
          <w:color w:val="auto"/>
          <w:spacing w:val="-7"/>
          <w:sz w:val="24"/>
          <w:szCs w:val="24"/>
          <w:highlight w:val="none"/>
        </w:rPr>
        <w:t>被采用的项目属于按照第二章“中标人须知</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7"/>
          <w:sz w:val="24"/>
          <w:szCs w:val="24"/>
          <w:highlight w:val="none"/>
        </w:rPr>
        <w:t>”第</w:t>
      </w:r>
      <w:r>
        <w:rPr>
          <w:rFonts w:hint="eastAsia" w:ascii="宋体" w:hAnsi="宋体" w:eastAsia="宋体" w:cs="宋体"/>
          <w:b/>
          <w:bCs/>
          <w:color w:val="auto"/>
          <w:spacing w:val="-8"/>
          <w:sz w:val="24"/>
          <w:szCs w:val="24"/>
          <w:highlight w:val="none"/>
        </w:rPr>
        <w:t>4.2条被认定为不平衡报价的清单项目，</w:t>
      </w:r>
      <w:r>
        <w:rPr>
          <w:rFonts w:hint="eastAsia" w:ascii="宋体" w:hAnsi="宋体" w:eastAsia="宋体" w:cs="宋体"/>
          <w:b/>
          <w:bCs/>
          <w:color w:val="auto"/>
          <w:spacing w:val="-2"/>
          <w:sz w:val="24"/>
          <w:szCs w:val="24"/>
          <w:highlight w:val="none"/>
        </w:rPr>
        <w:t>变更工程项目的单价按照</w:t>
      </w:r>
      <w:r>
        <w:rPr>
          <w:rFonts w:hint="eastAsia" w:ascii="宋体" w:hAnsi="宋体" w:eastAsia="宋体" w:cs="宋体"/>
          <w:b/>
          <w:bCs/>
          <w:color w:val="auto"/>
          <w:spacing w:val="-7"/>
          <w:sz w:val="24"/>
          <w:szCs w:val="24"/>
          <w:highlight w:val="none"/>
        </w:rPr>
        <w:t>本章2.3.2.1的</w:t>
      </w:r>
      <w:r>
        <w:rPr>
          <w:rFonts w:hint="eastAsia" w:ascii="宋体" w:hAnsi="宋体" w:eastAsia="宋体" w:cs="宋体"/>
          <w:b/>
          <w:bCs/>
          <w:color w:val="auto"/>
          <w:spacing w:val="-2"/>
          <w:sz w:val="24"/>
          <w:szCs w:val="24"/>
          <w:highlight w:val="none"/>
        </w:rPr>
        <w:t>方法调整。】</w:t>
      </w:r>
    </w:p>
    <w:p w14:paraId="5D4EF1F6">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78" w:line="360" w:lineRule="auto"/>
        <w:ind w:firstLine="237" w:firstLineChars="1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b/>
          <w:bCs/>
          <w:color w:val="auto"/>
          <w:spacing w:val="-2"/>
          <w:sz w:val="24"/>
          <w:szCs w:val="24"/>
          <w:highlight w:val="none"/>
          <w:lang w:val="en-US" w:eastAsia="zh-CN"/>
        </w:rPr>
        <w:t>2</w:t>
      </w:r>
      <w:r>
        <w:rPr>
          <w:rFonts w:hint="eastAsia" w:ascii="宋体" w:hAnsi="宋体" w:eastAsia="宋体" w:cs="宋体"/>
          <w:b/>
          <w:bCs/>
          <w:color w:val="auto"/>
          <w:spacing w:val="-2"/>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已标价工程量清单中没有适用但有类似于变更工程项目的，可在合理范围内</w:t>
      </w:r>
      <w:r>
        <w:rPr>
          <w:rFonts w:hint="eastAsia" w:ascii="宋体" w:hAnsi="宋体" w:eastAsia="宋体" w:cs="宋体"/>
          <w:color w:val="auto"/>
          <w:spacing w:val="-3"/>
          <w:sz w:val="24"/>
          <w:szCs w:val="24"/>
          <w:highlight w:val="none"/>
        </w:rPr>
        <w:t>参照类似项目的单价。</w:t>
      </w:r>
      <w:r>
        <w:rPr>
          <w:rFonts w:hint="eastAsia" w:ascii="宋体" w:hAnsi="宋体" w:eastAsia="宋体" w:cs="宋体"/>
          <w:b/>
          <w:bCs/>
          <w:color w:val="auto"/>
          <w:spacing w:val="-3"/>
          <w:sz w:val="24"/>
          <w:szCs w:val="24"/>
          <w:highlight w:val="none"/>
        </w:rPr>
        <w:t>但如果被参考的类似项目属于按照第二章“</w:t>
      </w:r>
      <w:r>
        <w:rPr>
          <w:rFonts w:hint="eastAsia" w:ascii="宋体" w:hAnsi="宋体" w:eastAsia="宋体" w:cs="宋体"/>
          <w:color w:val="auto"/>
          <w:spacing w:val="-88"/>
          <w:sz w:val="24"/>
          <w:szCs w:val="24"/>
          <w:highlight w:val="none"/>
        </w:rPr>
        <w:t xml:space="preserve"> </w:t>
      </w:r>
      <w:r>
        <w:rPr>
          <w:rFonts w:hint="eastAsia" w:ascii="宋体" w:hAnsi="宋体" w:eastAsia="宋体" w:cs="宋体"/>
          <w:b/>
          <w:bCs/>
          <w:color w:val="auto"/>
          <w:spacing w:val="-4"/>
          <w:sz w:val="24"/>
          <w:szCs w:val="24"/>
          <w:highlight w:val="none"/>
        </w:rPr>
        <w:t>中标人须知</w:t>
      </w:r>
      <w:r>
        <w:rPr>
          <w:rFonts w:hint="eastAsia" w:ascii="宋体" w:hAnsi="宋体" w:eastAsia="宋体" w:cs="宋体"/>
          <w:color w:val="auto"/>
          <w:spacing w:val="-85"/>
          <w:sz w:val="24"/>
          <w:szCs w:val="24"/>
          <w:highlight w:val="none"/>
        </w:rPr>
        <w:t xml:space="preserve"> </w:t>
      </w:r>
      <w:r>
        <w:rPr>
          <w:rFonts w:hint="eastAsia" w:ascii="宋体" w:hAnsi="宋体" w:eastAsia="宋体" w:cs="宋体"/>
          <w:b/>
          <w:bCs/>
          <w:color w:val="auto"/>
          <w:spacing w:val="-4"/>
          <w:sz w:val="24"/>
          <w:szCs w:val="24"/>
          <w:highlight w:val="none"/>
        </w:rPr>
        <w:t>”第</w:t>
      </w:r>
      <w:r>
        <w:rPr>
          <w:rFonts w:hint="eastAsia" w:ascii="宋体" w:hAnsi="宋体" w:eastAsia="宋体" w:cs="宋体"/>
          <w:color w:val="auto"/>
          <w:spacing w:val="-54"/>
          <w:sz w:val="24"/>
          <w:szCs w:val="24"/>
          <w:highlight w:val="none"/>
        </w:rPr>
        <w:t xml:space="preserve"> </w:t>
      </w:r>
      <w:r>
        <w:rPr>
          <w:rFonts w:hint="eastAsia" w:ascii="宋体" w:hAnsi="宋体" w:eastAsia="宋体" w:cs="宋体"/>
          <w:b/>
          <w:bCs/>
          <w:color w:val="auto"/>
          <w:spacing w:val="-4"/>
          <w:sz w:val="24"/>
          <w:szCs w:val="24"/>
          <w:highlight w:val="none"/>
        </w:rPr>
        <w:t>4.2</w:t>
      </w:r>
      <w:r>
        <w:rPr>
          <w:rFonts w:hint="eastAsia" w:ascii="宋体" w:hAnsi="宋体" w:eastAsia="宋体" w:cs="宋体"/>
          <w:b/>
          <w:bCs/>
          <w:color w:val="auto"/>
          <w:sz w:val="24"/>
          <w:szCs w:val="24"/>
          <w:highlight w:val="none"/>
        </w:rPr>
        <w:t xml:space="preserve">  </w:t>
      </w:r>
      <w:r>
        <w:rPr>
          <w:rFonts w:hint="eastAsia" w:ascii="宋体" w:hAnsi="宋体" w:eastAsia="宋体" w:cs="宋体"/>
          <w:b/>
          <w:bCs/>
          <w:color w:val="auto"/>
          <w:spacing w:val="-4"/>
          <w:sz w:val="24"/>
          <w:szCs w:val="24"/>
          <w:highlight w:val="none"/>
        </w:rPr>
        <w:t>条被认定为不平衡报价的清单项目，变更工程项目的单价按照本章2.3.2.1的方法调整。</w:t>
      </w:r>
    </w:p>
    <w:p w14:paraId="4FD06660">
      <w:pPr>
        <w:keepNext w:val="0"/>
        <w:keepLines w:val="0"/>
        <w:pageBreakBefore w:val="0"/>
        <w:widowControl w:val="0"/>
        <w:numPr>
          <w:ilvl w:val="0"/>
          <w:numId w:val="0"/>
        </w:numPr>
        <w:kinsoku w:val="0"/>
        <w:wordWrap/>
        <w:overflowPunct/>
        <w:topLinePunct w:val="0"/>
        <w:autoSpaceDE w:val="0"/>
        <w:autoSpaceDN w:val="0"/>
        <w:bidi w:val="0"/>
        <w:adjustRightInd w:val="0"/>
        <w:snapToGrid w:val="0"/>
        <w:spacing w:before="38" w:line="360" w:lineRule="auto"/>
        <w:ind w:right="81" w:rightChars="0" w:firstLine="242" w:firstLineChars="100"/>
        <w:jc w:val="both"/>
        <w:textAlignment w:val="baseline"/>
        <w:rPr>
          <w:rFonts w:hint="eastAsia" w:ascii="宋体" w:hAnsi="宋体" w:eastAsia="宋体" w:cs="宋体"/>
          <w:color w:val="auto"/>
          <w:spacing w:val="-2"/>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3</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已标价工程量清单中没有适用也没有类似于变更工程项目的，由承包人根据</w:t>
      </w:r>
      <w:r>
        <w:rPr>
          <w:rFonts w:hint="eastAsia" w:ascii="宋体" w:hAnsi="宋体" w:eastAsia="宋体" w:cs="宋体"/>
          <w:color w:val="auto"/>
          <w:spacing w:val="-2"/>
          <w:sz w:val="24"/>
          <w:szCs w:val="24"/>
          <w:highlight w:val="none"/>
        </w:rPr>
        <w:t>变更工程资料、计量规则、计价办法、施工当月项目所在地工程造价管理机构发布的价格信息和中标下浮率提出变更工程项目的单价，报发包人确认后调整。中标下浮率的计算公式如下：</w:t>
      </w:r>
    </w:p>
    <w:p w14:paraId="0D466BC9">
      <w:pPr>
        <w:keepNext w:val="0"/>
        <w:keepLines w:val="0"/>
        <w:pageBreakBefore w:val="0"/>
        <w:widowControl w:val="0"/>
        <w:kinsoku w:val="0"/>
        <w:wordWrap/>
        <w:overflowPunct/>
        <w:topLinePunct w:val="0"/>
        <w:autoSpaceDE w:val="0"/>
        <w:autoSpaceDN w:val="0"/>
        <w:bidi w:val="0"/>
        <w:adjustRightInd w:val="0"/>
        <w:snapToGrid w:val="0"/>
        <w:spacing w:before="126" w:line="360" w:lineRule="auto"/>
        <w:ind w:left="29" w:right="21" w:firstLine="503"/>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中标下浮率=[1-（中标价-中标绿色施工安全防护措施费-暂列</w:t>
      </w:r>
      <w:r>
        <w:rPr>
          <w:rFonts w:hint="eastAsia" w:ascii="宋体" w:hAnsi="宋体" w:eastAsia="宋体" w:cs="宋体"/>
          <w:b/>
          <w:bCs/>
          <w:color w:val="auto"/>
          <w:spacing w:val="-3"/>
          <w:sz w:val="24"/>
          <w:szCs w:val="24"/>
          <w:highlight w:val="none"/>
        </w:rPr>
        <w:t>金额-暂估价）/（招标控制价-控制价绿色施工安全防护措施费-暂列金额-暂估价）]×100%</w:t>
      </w:r>
    </w:p>
    <w:p w14:paraId="313D8513">
      <w:pPr>
        <w:spacing w:before="145" w:line="360" w:lineRule="auto"/>
        <w:ind w:right="81" w:firstLine="242" w:firstLineChars="100"/>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lang w:val="en-US" w:eastAsia="zh-CN"/>
        </w:rPr>
        <w:t>4</w:t>
      </w:r>
      <w:r>
        <w:rPr>
          <w:rFonts w:hint="eastAsia" w:ascii="宋体" w:hAnsi="宋体" w:eastAsia="宋体" w:cs="宋体"/>
          <w:color w:val="auto"/>
          <w:spacing w:val="1"/>
          <w:sz w:val="24"/>
          <w:szCs w:val="24"/>
          <w:highlight w:val="none"/>
          <w:lang w:eastAsia="zh-CN"/>
        </w:rPr>
        <w:t>）</w:t>
      </w:r>
      <w:r>
        <w:rPr>
          <w:rFonts w:hint="eastAsia" w:ascii="宋体" w:hAnsi="宋体" w:eastAsia="宋体" w:cs="宋体"/>
          <w:color w:val="auto"/>
          <w:spacing w:val="1"/>
          <w:sz w:val="24"/>
          <w:szCs w:val="24"/>
          <w:highlight w:val="none"/>
        </w:rPr>
        <w:t>已标价工程量清单中没有适用也没有类似于变更工程项目，且施工当月项目</w:t>
      </w:r>
      <w:r>
        <w:rPr>
          <w:rFonts w:hint="eastAsia" w:ascii="宋体" w:hAnsi="宋体" w:eastAsia="宋体" w:cs="宋体"/>
          <w:color w:val="auto"/>
          <w:spacing w:val="-1"/>
          <w:sz w:val="24"/>
          <w:szCs w:val="24"/>
          <w:highlight w:val="none"/>
        </w:rPr>
        <w:t>所在地工程造价管理机构发布的价格信息缺</w:t>
      </w:r>
      <w:r>
        <w:rPr>
          <w:rFonts w:hint="eastAsia" w:ascii="宋体" w:hAnsi="宋体" w:eastAsia="宋体" w:cs="宋体"/>
          <w:color w:val="auto"/>
          <w:spacing w:val="-2"/>
          <w:sz w:val="24"/>
          <w:szCs w:val="24"/>
          <w:highlight w:val="none"/>
        </w:rPr>
        <w:t>项的，由承包人根据变更工程资料、计量规</w:t>
      </w:r>
      <w:r>
        <w:rPr>
          <w:rFonts w:hint="eastAsia" w:ascii="宋体" w:hAnsi="宋体" w:eastAsia="宋体" w:cs="宋体"/>
          <w:color w:val="auto"/>
          <w:spacing w:val="-1"/>
          <w:sz w:val="24"/>
          <w:szCs w:val="24"/>
          <w:highlight w:val="none"/>
        </w:rPr>
        <w:t>则、计价办法和通过市场调查等取得有合法</w:t>
      </w:r>
      <w:r>
        <w:rPr>
          <w:rFonts w:hint="eastAsia" w:ascii="宋体" w:hAnsi="宋体" w:eastAsia="宋体" w:cs="宋体"/>
          <w:color w:val="auto"/>
          <w:spacing w:val="-2"/>
          <w:sz w:val="24"/>
          <w:szCs w:val="24"/>
          <w:highlight w:val="none"/>
        </w:rPr>
        <w:t>依据的市场价格提出变更工程项目的单价，</w:t>
      </w:r>
      <w:r>
        <w:rPr>
          <w:rFonts w:hint="eastAsia" w:ascii="宋体" w:hAnsi="宋体" w:eastAsia="宋体" w:cs="宋体"/>
          <w:color w:val="auto"/>
          <w:spacing w:val="-1"/>
          <w:sz w:val="24"/>
          <w:szCs w:val="24"/>
          <w:highlight w:val="none"/>
        </w:rPr>
        <w:t>报发包人确认后调整。</w:t>
      </w:r>
    </w:p>
    <w:p w14:paraId="4CB9A71B">
      <w:pPr>
        <w:spacing w:before="156" w:line="360" w:lineRule="auto"/>
        <w:ind w:left="7" w:right="81"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2.3.3.2</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工程变更引起施工方案改变并使措施项目发生变化时，承包人提出调整措施</w:t>
      </w:r>
      <w:r>
        <w:rPr>
          <w:rFonts w:hint="eastAsia" w:ascii="宋体" w:hAnsi="宋体" w:eastAsia="宋体" w:cs="宋体"/>
          <w:color w:val="auto"/>
          <w:spacing w:val="-2"/>
          <w:sz w:val="24"/>
          <w:szCs w:val="24"/>
          <w:highlight w:val="none"/>
        </w:rPr>
        <w:t>项目费的，应事先将拟实施的方案提交发包人确认，并应详细说明与原方案措施项目相比的变化情况。拟实施的方案经发、承包双方确认后执行，并按照本章下列规定调整措施项目费：</w:t>
      </w:r>
    </w:p>
    <w:p w14:paraId="54AFFB1B">
      <w:pPr>
        <w:spacing w:before="152" w:line="360" w:lineRule="auto"/>
        <w:ind w:left="499"/>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（1）绿色施工安全防护措施费应按照实际发生变化的措施项目计算。</w:t>
      </w:r>
    </w:p>
    <w:p w14:paraId="6BE2B1F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（2）采用单价计算的措施项目费，应按照实际发生变化的措施项目，按本章</w:t>
      </w:r>
      <w:r>
        <w:rPr>
          <w:rFonts w:hint="eastAsia" w:ascii="宋体" w:hAnsi="宋体" w:eastAsia="宋体" w:cs="宋体"/>
          <w:sz w:val="24"/>
          <w:szCs w:val="24"/>
          <w:lang w:eastAsia="zh-CN"/>
        </w:rPr>
        <w:t>第</w:t>
      </w:r>
      <w:r>
        <w:rPr>
          <w:rFonts w:hint="eastAsia" w:ascii="宋体" w:hAnsi="宋体" w:eastAsia="宋体" w:cs="宋体"/>
          <w:sz w:val="24"/>
          <w:szCs w:val="24"/>
        </w:rPr>
        <w:t>2.3.3.1子目的规定确定单价。</w:t>
      </w:r>
    </w:p>
    <w:p w14:paraId="245221E6">
      <w:pPr>
        <w:spacing w:before="154" w:line="360" w:lineRule="auto"/>
        <w:ind w:left="8" w:right="81" w:firstLine="491"/>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（3）按总价或系数计算的措施项目费，应按照实际发生变化的措施项目费调整并</w:t>
      </w:r>
      <w:r>
        <w:rPr>
          <w:rFonts w:hint="eastAsia" w:ascii="宋体" w:hAnsi="宋体" w:eastAsia="宋体" w:cs="宋体"/>
          <w:color w:val="auto"/>
          <w:spacing w:val="-3"/>
          <w:sz w:val="24"/>
          <w:szCs w:val="24"/>
          <w:highlight w:val="none"/>
        </w:rPr>
        <w:t>考虑中标下浮率因素，即调整金额＝按照实际变化调整后的金额×（1-中标下浮率）。</w:t>
      </w:r>
    </w:p>
    <w:p w14:paraId="3A0EE7AE">
      <w:pPr>
        <w:spacing w:before="157" w:line="360" w:lineRule="auto"/>
        <w:ind w:left="21" w:right="81" w:firstLine="470"/>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如果承包人未事先将拟实施的方案提交发包人确认，视为工程变更不引起措施项目费的调整或承包人放弃调整措施项目费的权利。</w:t>
      </w:r>
    </w:p>
    <w:p w14:paraId="70B170F6">
      <w:pPr>
        <w:spacing w:before="35" w:line="360" w:lineRule="auto"/>
        <w:ind w:right="81"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"2.3.3.3"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3"/>
          <w:sz w:val="24"/>
          <w:szCs w:val="24"/>
          <w:highlight w:val="none"/>
        </w:rPr>
        <w:t>2.3.3.3</w:t>
      </w:r>
      <w:r>
        <w:rPr>
          <w:rFonts w:hint="eastAsia" w:ascii="宋体" w:hAnsi="宋体" w:eastAsia="宋体" w:cs="宋体"/>
          <w:b/>
          <w:bCs/>
          <w:color w:val="auto"/>
          <w:spacing w:val="-3"/>
          <w:sz w:val="24"/>
          <w:szCs w:val="24"/>
          <w:highlight w:val="none"/>
        </w:rPr>
        <w:fldChar w:fldCharType="end"/>
      </w:r>
      <w:r>
        <w:rPr>
          <w:rFonts w:hint="eastAsia" w:ascii="宋体" w:hAnsi="宋体" w:eastAsia="宋体" w:cs="宋体"/>
          <w:b/>
          <w:bCs/>
          <w:color w:val="auto"/>
          <w:spacing w:val="-3"/>
          <w:sz w:val="24"/>
          <w:szCs w:val="24"/>
          <w:highlight w:val="none"/>
        </w:rPr>
        <w:t xml:space="preserve">  </w:t>
      </w:r>
      <w:r>
        <w:rPr>
          <w:rFonts w:hint="eastAsia" w:ascii="宋体" w:hAnsi="宋体" w:eastAsia="宋体" w:cs="宋体"/>
          <w:color w:val="auto"/>
          <w:spacing w:val="-3"/>
          <w:sz w:val="24"/>
          <w:szCs w:val="24"/>
          <w:highlight w:val="none"/>
        </w:rPr>
        <w:t>当因非承包人原因，发包人提出的工程变更删减了合同中的某项原定工作或</w:t>
      </w:r>
      <w:r>
        <w:rPr>
          <w:rFonts w:hint="eastAsia" w:ascii="宋体" w:hAnsi="宋体" w:eastAsia="宋体" w:cs="宋体"/>
          <w:color w:val="auto"/>
          <w:spacing w:val="-2"/>
          <w:sz w:val="24"/>
          <w:szCs w:val="24"/>
          <w:highlight w:val="none"/>
        </w:rPr>
        <w:t>工程，致使承包人发生的费用或（和）得到的收益不能被包括在其他已支付或应支付的项目中，也未被包含在任何替代的工作或工程中时，承包人有权提出并应得到合理的费用及利润补偿。</w:t>
      </w:r>
    </w:p>
    <w:p w14:paraId="6426E076">
      <w:pPr>
        <w:spacing w:before="155" w:line="36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2.3.4  </w:t>
      </w:r>
      <w:r>
        <w:rPr>
          <w:rFonts w:hint="eastAsia" w:ascii="宋体" w:hAnsi="宋体" w:eastAsia="宋体" w:cs="宋体"/>
          <w:color w:val="auto"/>
          <w:spacing w:val="-1"/>
          <w:sz w:val="24"/>
          <w:szCs w:val="24"/>
          <w:highlight w:val="none"/>
        </w:rPr>
        <w:t>项目特征不符</w:t>
      </w:r>
    </w:p>
    <w:p w14:paraId="181F3456">
      <w:pPr>
        <w:spacing w:before="78" w:line="360" w:lineRule="auto"/>
        <w:ind w:left="8" w:right="108" w:firstLine="480"/>
        <w:jc w:val="both"/>
        <w:rPr>
          <w:rFonts w:hint="eastAsia" w:ascii="宋体" w:hAnsi="宋体" w:eastAsia="宋体" w:cs="宋体"/>
          <w:color w:val="auto"/>
          <w:sz w:val="24"/>
          <w:szCs w:val="24"/>
          <w:highlight w:val="none"/>
        </w:rPr>
      </w:pPr>
      <w:bookmarkStart w:id="190" w:name="bookmark144"/>
      <w:bookmarkEnd w:id="190"/>
      <w:r>
        <w:rPr>
          <w:rFonts w:hint="eastAsia" w:ascii="宋体" w:hAnsi="宋体" w:eastAsia="宋体" w:cs="宋体"/>
          <w:color w:val="auto"/>
          <w:spacing w:val="-2"/>
          <w:sz w:val="24"/>
          <w:szCs w:val="24"/>
          <w:highlight w:val="none"/>
        </w:rPr>
        <w:t>承包人应按照发包人提供的设计图纸实施合同工程，若在合同履行期间出现设计图纸（含设计变更）与招标工程量清单任一项目的特征描述不符，且该变化引起该项目工</w:t>
      </w:r>
      <w:r>
        <w:rPr>
          <w:rFonts w:hint="eastAsia" w:ascii="宋体" w:hAnsi="宋体" w:eastAsia="宋体" w:cs="宋体"/>
          <w:color w:val="auto"/>
          <w:sz w:val="24"/>
          <w:szCs w:val="24"/>
          <w:highlight w:val="none"/>
        </w:rPr>
        <w:t>程造价增减变化的，应按照实际施工的项目特征，并按本章第</w:t>
      </w:r>
      <w:r>
        <w:rPr>
          <w:rFonts w:hint="eastAsia" w:ascii="宋体" w:hAnsi="宋体" w:eastAsia="宋体" w:cs="宋体"/>
          <w:b/>
          <w:bCs/>
          <w:color w:val="auto"/>
          <w:sz w:val="24"/>
          <w:szCs w:val="24"/>
          <w:highlight w:val="none"/>
        </w:rPr>
        <w:t>2.3.3</w:t>
      </w:r>
      <w:r>
        <w:rPr>
          <w:rFonts w:hint="eastAsia" w:ascii="宋体" w:hAnsi="宋体" w:eastAsia="宋体" w:cs="宋体"/>
          <w:color w:val="auto"/>
          <w:sz w:val="24"/>
          <w:szCs w:val="24"/>
          <w:highlight w:val="none"/>
        </w:rPr>
        <w:t>目相</w:t>
      </w:r>
      <w:r>
        <w:rPr>
          <w:rFonts w:hint="eastAsia" w:ascii="宋体" w:hAnsi="宋体" w:eastAsia="宋体" w:cs="宋体"/>
          <w:color w:val="auto"/>
          <w:spacing w:val="-1"/>
          <w:sz w:val="24"/>
          <w:szCs w:val="24"/>
          <w:highlight w:val="none"/>
        </w:rPr>
        <w:t>关条款的规定重新确定相应工程量清单项目的综合单价，并调整合同价款。</w:t>
      </w:r>
    </w:p>
    <w:p w14:paraId="4B87AA0B">
      <w:pPr>
        <w:spacing w:before="38" w:line="360" w:lineRule="auto"/>
        <w:ind w:left="485"/>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2.3.5  </w:t>
      </w:r>
      <w:r>
        <w:rPr>
          <w:rFonts w:hint="eastAsia" w:ascii="宋体" w:hAnsi="宋体" w:eastAsia="宋体" w:cs="宋体"/>
          <w:color w:val="auto"/>
          <w:spacing w:val="-1"/>
          <w:sz w:val="24"/>
          <w:szCs w:val="24"/>
          <w:highlight w:val="none"/>
        </w:rPr>
        <w:t>招标工程量清单缺项</w:t>
      </w:r>
    </w:p>
    <w:p w14:paraId="7D9446FA">
      <w:pPr>
        <w:spacing w:before="152" w:line="360" w:lineRule="auto"/>
        <w:ind w:left="9" w:right="56"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2.3.5.1</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合同履行期间，由于招标</w:t>
      </w:r>
      <w:r>
        <w:rPr>
          <w:rFonts w:hint="eastAsia" w:ascii="宋体" w:hAnsi="宋体" w:eastAsia="宋体" w:cs="宋体"/>
          <w:color w:val="auto"/>
          <w:spacing w:val="-2"/>
          <w:sz w:val="24"/>
          <w:szCs w:val="24"/>
          <w:highlight w:val="none"/>
        </w:rPr>
        <w:t>工程量清单中缺项，新增分部分项工程清单项目，</w:t>
      </w:r>
      <w:r>
        <w:rPr>
          <w:rFonts w:hint="eastAsia" w:ascii="宋体" w:hAnsi="宋体" w:eastAsia="宋体" w:cs="宋体"/>
          <w:color w:val="auto"/>
          <w:spacing w:val="-1"/>
          <w:sz w:val="24"/>
          <w:szCs w:val="24"/>
          <w:highlight w:val="none"/>
        </w:rPr>
        <w:t>应按照本章第</w:t>
      </w:r>
      <w:r>
        <w:rPr>
          <w:rFonts w:hint="eastAsia" w:ascii="宋体" w:hAnsi="宋体" w:eastAsia="宋体" w:cs="宋体"/>
          <w:color w:val="auto"/>
          <w:spacing w:val="-39"/>
          <w:sz w:val="24"/>
          <w:szCs w:val="24"/>
          <w:highlight w:val="none"/>
        </w:rPr>
        <w:t xml:space="preserve"> </w:t>
      </w:r>
      <w:r>
        <w:rPr>
          <w:rFonts w:hint="eastAsia" w:ascii="宋体" w:hAnsi="宋体" w:eastAsia="宋体" w:cs="宋体"/>
          <w:b/>
          <w:bCs/>
          <w:color w:val="auto"/>
          <w:spacing w:val="-1"/>
          <w:sz w:val="24"/>
          <w:szCs w:val="24"/>
          <w:highlight w:val="none"/>
        </w:rPr>
        <w:t>2.3.3.1</w:t>
      </w:r>
      <w:r>
        <w:rPr>
          <w:rFonts w:hint="eastAsia" w:ascii="宋体" w:hAnsi="宋体" w:eastAsia="宋体" w:cs="宋体"/>
          <w:color w:val="auto"/>
          <w:spacing w:val="-1"/>
          <w:sz w:val="24"/>
          <w:szCs w:val="24"/>
          <w:highlight w:val="none"/>
        </w:rPr>
        <w:t>子目的规定确定单价，并调整合同价款。</w:t>
      </w:r>
    </w:p>
    <w:p w14:paraId="28F35D72">
      <w:pPr>
        <w:spacing w:before="157" w:line="360" w:lineRule="auto"/>
        <w:ind w:firstLine="420" w:firstLineChars="200"/>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1"/>
          <w:sz w:val="24"/>
          <w:szCs w:val="24"/>
          <w:highlight w:val="none"/>
        </w:rPr>
        <w:t>2.3.5.2</w:t>
      </w:r>
      <w:r>
        <w:rPr>
          <w:rFonts w:hint="eastAsia" w:ascii="宋体" w:hAnsi="宋体" w:eastAsia="宋体" w:cs="宋体"/>
          <w:b/>
          <w:bCs/>
          <w:color w:val="auto"/>
          <w:spacing w:val="-1"/>
          <w:sz w:val="24"/>
          <w:szCs w:val="24"/>
          <w:highlight w:val="none"/>
        </w:rPr>
        <w:fldChar w:fldCharType="end"/>
      </w:r>
      <w:r>
        <w:rPr>
          <w:rFonts w:hint="eastAsia" w:ascii="宋体" w:hAnsi="宋体" w:eastAsia="宋体" w:cs="宋体"/>
          <w:b/>
          <w:bCs/>
          <w:color w:val="auto"/>
          <w:spacing w:val="-1"/>
          <w:sz w:val="24"/>
          <w:szCs w:val="24"/>
          <w:highlight w:val="none"/>
        </w:rPr>
        <w:t xml:space="preserve">  </w:t>
      </w:r>
      <w:r>
        <w:rPr>
          <w:rFonts w:hint="eastAsia" w:ascii="宋体" w:hAnsi="宋体" w:eastAsia="宋体" w:cs="宋体"/>
          <w:color w:val="auto"/>
          <w:spacing w:val="-1"/>
          <w:sz w:val="24"/>
          <w:szCs w:val="24"/>
          <w:highlight w:val="none"/>
        </w:rPr>
        <w:t>新增分部分项工程清单项目后，引起</w:t>
      </w:r>
      <w:r>
        <w:rPr>
          <w:rFonts w:hint="eastAsia" w:ascii="宋体" w:hAnsi="宋体" w:eastAsia="宋体" w:cs="宋体"/>
          <w:color w:val="auto"/>
          <w:spacing w:val="-2"/>
          <w:sz w:val="24"/>
          <w:szCs w:val="24"/>
          <w:highlight w:val="none"/>
        </w:rPr>
        <w:t>措施项目发生变化的，应按照本章第</w:t>
      </w:r>
      <w:r>
        <w:rPr>
          <w:rFonts w:hint="eastAsia" w:ascii="宋体" w:hAnsi="宋体" w:eastAsia="宋体" w:cs="宋体"/>
          <w:b/>
          <w:bCs/>
          <w:color w:val="auto"/>
          <w:spacing w:val="-2"/>
          <w:sz w:val="24"/>
          <w:szCs w:val="24"/>
          <w:highlight w:val="none"/>
        </w:rPr>
        <w:t>2.</w:t>
      </w:r>
      <w:r>
        <w:rPr>
          <w:rFonts w:hint="eastAsia" w:ascii="宋体" w:hAnsi="宋体" w:eastAsia="宋体" w:cs="宋体"/>
          <w:b/>
          <w:bCs/>
          <w:color w:val="auto"/>
          <w:sz w:val="24"/>
          <w:szCs w:val="24"/>
          <w:highlight w:val="none"/>
        </w:rPr>
        <w:t xml:space="preserve">3.3.2 </w:t>
      </w:r>
      <w:r>
        <w:rPr>
          <w:rFonts w:hint="eastAsia" w:ascii="宋体" w:hAnsi="宋体" w:eastAsia="宋体" w:cs="宋体"/>
          <w:color w:val="auto"/>
          <w:sz w:val="24"/>
          <w:szCs w:val="24"/>
          <w:highlight w:val="none"/>
        </w:rPr>
        <w:t>子目的规定，在承包人提交的实施方案被发包人批准后调整</w:t>
      </w:r>
      <w:r>
        <w:rPr>
          <w:rFonts w:hint="eastAsia" w:ascii="宋体" w:hAnsi="宋体" w:eastAsia="宋体" w:cs="宋体"/>
          <w:color w:val="auto"/>
          <w:spacing w:val="-1"/>
          <w:sz w:val="24"/>
          <w:szCs w:val="24"/>
          <w:highlight w:val="none"/>
        </w:rPr>
        <w:t>合同价款。</w:t>
      </w:r>
    </w:p>
    <w:p w14:paraId="38301309">
      <w:pPr>
        <w:spacing w:before="156" w:line="360" w:lineRule="auto"/>
        <w:ind w:left="13" w:right="108" w:firstLine="471"/>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"2.3.5.3"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4"/>
          <w:sz w:val="24"/>
          <w:szCs w:val="24"/>
          <w:highlight w:val="none"/>
        </w:rPr>
        <w:t>2.3.5.3</w:t>
      </w:r>
      <w:r>
        <w:rPr>
          <w:rFonts w:hint="eastAsia" w:ascii="宋体" w:hAnsi="宋体" w:eastAsia="宋体" w:cs="宋体"/>
          <w:b/>
          <w:bCs/>
          <w:color w:val="auto"/>
          <w:spacing w:val="-4"/>
          <w:sz w:val="24"/>
          <w:szCs w:val="24"/>
          <w:highlight w:val="none"/>
        </w:rPr>
        <w:fldChar w:fldCharType="end"/>
      </w:r>
      <w:r>
        <w:rPr>
          <w:rFonts w:hint="eastAsia" w:ascii="宋体" w:hAnsi="宋体" w:eastAsia="宋体" w:cs="宋体"/>
          <w:b/>
          <w:bCs/>
          <w:color w:val="auto"/>
          <w:spacing w:val="22"/>
          <w:w w:val="101"/>
          <w:sz w:val="24"/>
          <w:szCs w:val="24"/>
          <w:highlight w:val="none"/>
        </w:rPr>
        <w:t xml:space="preserve">  </w:t>
      </w:r>
      <w:r>
        <w:rPr>
          <w:rFonts w:hint="eastAsia" w:ascii="宋体" w:hAnsi="宋体" w:eastAsia="宋体" w:cs="宋体"/>
          <w:color w:val="auto"/>
          <w:spacing w:val="-4"/>
          <w:sz w:val="24"/>
          <w:szCs w:val="24"/>
          <w:highlight w:val="none"/>
        </w:rPr>
        <w:t>由于招标工程量清单中措施项目缺项，承包人应将新增措施项目实施方案提</w:t>
      </w:r>
      <w:r>
        <w:rPr>
          <w:rFonts w:hint="eastAsia" w:ascii="宋体" w:hAnsi="宋体" w:eastAsia="宋体" w:cs="宋体"/>
          <w:color w:val="auto"/>
          <w:spacing w:val="-1"/>
          <w:sz w:val="24"/>
          <w:szCs w:val="24"/>
          <w:highlight w:val="none"/>
        </w:rPr>
        <w:t>交发包人批准后，按照本章第</w:t>
      </w:r>
      <w:r>
        <w:rPr>
          <w:rFonts w:hint="eastAsia" w:ascii="宋体" w:hAnsi="宋体" w:eastAsia="宋体" w:cs="宋体"/>
          <w:color w:val="auto"/>
          <w:spacing w:val="-36"/>
          <w:sz w:val="24"/>
          <w:szCs w:val="24"/>
          <w:highlight w:val="none"/>
        </w:rPr>
        <w:t xml:space="preserve"> </w:t>
      </w:r>
      <w:r>
        <w:rPr>
          <w:rFonts w:hint="eastAsia" w:ascii="宋体" w:hAnsi="宋体" w:eastAsia="宋体" w:cs="宋体"/>
          <w:b/>
          <w:bCs/>
          <w:color w:val="auto"/>
          <w:spacing w:val="-1"/>
          <w:sz w:val="24"/>
          <w:szCs w:val="24"/>
          <w:highlight w:val="none"/>
        </w:rPr>
        <w:t xml:space="preserve">2.3.3.1 </w:t>
      </w:r>
      <w:r>
        <w:rPr>
          <w:rFonts w:hint="eastAsia" w:ascii="宋体" w:hAnsi="宋体" w:eastAsia="宋体" w:cs="宋体"/>
          <w:color w:val="auto"/>
          <w:spacing w:val="-1"/>
          <w:sz w:val="24"/>
          <w:szCs w:val="24"/>
          <w:highlight w:val="none"/>
        </w:rPr>
        <w:t>子目、第</w:t>
      </w:r>
      <w:r>
        <w:rPr>
          <w:rFonts w:hint="eastAsia" w:ascii="宋体" w:hAnsi="宋体" w:eastAsia="宋体" w:cs="宋体"/>
          <w:color w:val="auto"/>
          <w:spacing w:val="-55"/>
          <w:sz w:val="24"/>
          <w:szCs w:val="24"/>
          <w:highlight w:val="none"/>
        </w:rPr>
        <w:t xml:space="preserve"> </w:t>
      </w:r>
      <w:r>
        <w:rPr>
          <w:rFonts w:hint="eastAsia" w:ascii="宋体" w:hAnsi="宋体" w:eastAsia="宋体" w:cs="宋体"/>
          <w:b/>
          <w:bCs/>
          <w:color w:val="auto"/>
          <w:spacing w:val="-1"/>
          <w:sz w:val="24"/>
          <w:szCs w:val="24"/>
          <w:highlight w:val="none"/>
        </w:rPr>
        <w:t xml:space="preserve">2.3.3.2 </w:t>
      </w:r>
      <w:r>
        <w:rPr>
          <w:rFonts w:hint="eastAsia" w:ascii="宋体" w:hAnsi="宋体" w:eastAsia="宋体" w:cs="宋体"/>
          <w:color w:val="auto"/>
          <w:spacing w:val="-1"/>
          <w:sz w:val="24"/>
          <w:szCs w:val="24"/>
          <w:highlight w:val="none"/>
        </w:rPr>
        <w:t>子目的规定调整合同价款。</w:t>
      </w:r>
    </w:p>
    <w:p w14:paraId="32D6DE66">
      <w:pPr>
        <w:wordWrap w:val="0"/>
        <w:adjustRightInd w:val="0"/>
        <w:snapToGrid w:val="0"/>
        <w:spacing w:line="360" w:lineRule="auto"/>
        <w:ind w:firstLine="482" w:firstLineChars="200"/>
        <w:rPr>
          <w:rFonts w:hint="eastAsia" w:ascii="宋体" w:hAnsi="宋体" w:eastAsia="宋体" w:cs="宋体"/>
          <w:bCs/>
          <w:snapToGrid w:val="0"/>
          <w:color w:val="000000"/>
          <w:kern w:val="0"/>
          <w:sz w:val="24"/>
          <w:szCs w:val="24"/>
          <w:highlight w:val="none"/>
        </w:rPr>
      </w:pPr>
      <w:r>
        <w:rPr>
          <w:rFonts w:hint="eastAsia" w:ascii="宋体" w:hAnsi="宋体" w:eastAsia="宋体" w:cs="宋体"/>
          <w:b/>
          <w:snapToGrid w:val="0"/>
          <w:color w:val="000000"/>
          <w:kern w:val="0"/>
          <w:sz w:val="24"/>
          <w:szCs w:val="24"/>
          <w:highlight w:val="none"/>
        </w:rPr>
        <w:t>2.3.6</w:t>
      </w:r>
      <w:r>
        <w:rPr>
          <w:rFonts w:hint="eastAsia" w:ascii="宋体" w:hAnsi="宋体" w:eastAsia="宋体" w:cs="宋体"/>
          <w:bCs/>
          <w:snapToGrid w:val="0"/>
          <w:color w:val="000000"/>
          <w:kern w:val="0"/>
          <w:sz w:val="24"/>
          <w:szCs w:val="24"/>
          <w:highlight w:val="none"/>
        </w:rPr>
        <w:t xml:space="preserve"> 物价变化</w:t>
      </w:r>
    </w:p>
    <w:p w14:paraId="355D11F6">
      <w:pPr>
        <w:wordWrap w:val="0"/>
        <w:adjustRightInd w:val="0"/>
        <w:snapToGrid w:val="0"/>
        <w:spacing w:line="360" w:lineRule="auto"/>
        <w:ind w:firstLine="482" w:firstLineChars="200"/>
        <w:rPr>
          <w:rFonts w:hint="eastAsia" w:ascii="宋体" w:hAnsi="宋体" w:eastAsia="宋体" w:cs="宋体"/>
          <w:bCs/>
          <w:snapToGrid w:val="0"/>
          <w:color w:val="000000"/>
          <w:kern w:val="0"/>
          <w:sz w:val="24"/>
          <w:szCs w:val="24"/>
          <w:highlight w:val="none"/>
        </w:rPr>
      </w:pPr>
      <w:r>
        <w:rPr>
          <w:rFonts w:hint="eastAsia" w:ascii="宋体" w:hAnsi="宋体" w:eastAsia="宋体" w:cs="宋体"/>
          <w:b/>
          <w:snapToGrid w:val="0"/>
          <w:color w:val="000000"/>
          <w:kern w:val="0"/>
          <w:sz w:val="24"/>
          <w:szCs w:val="24"/>
          <w:highlight w:val="none"/>
        </w:rPr>
        <w:t>2.3.6.1</w:t>
      </w:r>
      <w:r>
        <w:rPr>
          <w:rFonts w:hint="eastAsia" w:ascii="宋体" w:hAnsi="宋体" w:eastAsia="宋体" w:cs="宋体"/>
          <w:bCs/>
          <w:snapToGrid w:val="0"/>
          <w:color w:val="000000"/>
          <w:kern w:val="0"/>
          <w:sz w:val="24"/>
          <w:szCs w:val="24"/>
          <w:highlight w:val="none"/>
        </w:rPr>
        <w:t xml:space="preserve"> 合同履行期间，项目所在地工程造价管理机构发布的动态人工调整系数发生变化时，如果承包人投标报价中人工费（</w:t>
      </w:r>
      <w:r>
        <w:rPr>
          <w:rFonts w:hint="eastAsia" w:ascii="宋体" w:hAnsi="宋体" w:eastAsia="宋体" w:cs="宋体"/>
          <w:snapToGrid w:val="0"/>
          <w:color w:val="000000"/>
          <w:kern w:val="0"/>
          <w:sz w:val="24"/>
          <w:szCs w:val="24"/>
          <w:highlight w:val="none"/>
        </w:rPr>
        <w:t>以下简称“中标人工费”</w:t>
      </w:r>
      <w:r>
        <w:rPr>
          <w:rFonts w:hint="eastAsia" w:ascii="宋体" w:hAnsi="宋体" w:eastAsia="宋体" w:cs="宋体"/>
          <w:bCs/>
          <w:snapToGrid w:val="0"/>
          <w:color w:val="000000"/>
          <w:kern w:val="0"/>
          <w:sz w:val="24"/>
          <w:szCs w:val="24"/>
          <w:highlight w:val="none"/>
        </w:rPr>
        <w:t>）等于或超过施工当月经动态调整后的定额人工费，该清单项目中标人工费不予调整；如果中标人工费低于施工当月经动态调整后的定额人工费，该清单项目中标人工费可以调整，相关费用按有关规定进行相应调整。结算人工费调整公式为：</w:t>
      </w:r>
    </w:p>
    <w:p w14:paraId="284BC422">
      <w:pPr>
        <w:wordWrap w:val="0"/>
        <w:adjustRightInd w:val="0"/>
        <w:snapToGrid w:val="0"/>
        <w:spacing w:line="360" w:lineRule="auto"/>
        <w:ind w:firstLine="480" w:firstLineChars="200"/>
        <w:jc w:val="center"/>
        <w:rPr>
          <w:rFonts w:hint="eastAsia" w:ascii="宋体" w:hAnsi="宋体" w:eastAsia="宋体" w:cs="宋体"/>
          <w:bCs/>
          <w:snapToGrid w:val="0"/>
          <w:color w:val="000000"/>
          <w:kern w:val="0"/>
          <w:sz w:val="24"/>
          <w:szCs w:val="24"/>
          <w:highlight w:val="none"/>
        </w:rPr>
      </w:pPr>
      <w:r>
        <w:rPr>
          <w:rFonts w:hint="eastAsia" w:ascii="宋体" w:hAnsi="宋体" w:eastAsia="宋体" w:cs="宋体"/>
          <w:bCs/>
          <w:snapToGrid w:val="0"/>
          <w:color w:val="000000"/>
          <w:kern w:val="0"/>
          <w:sz w:val="24"/>
          <w:szCs w:val="24"/>
          <w:highlight w:val="none"/>
        </w:rPr>
        <w:t>结算人工费＝中标人工费×F</w:t>
      </w:r>
      <w:r>
        <w:rPr>
          <w:rFonts w:hint="eastAsia" w:ascii="宋体" w:hAnsi="宋体" w:eastAsia="宋体" w:cs="宋体"/>
          <w:bCs/>
          <w:snapToGrid w:val="0"/>
          <w:color w:val="000000"/>
          <w:kern w:val="0"/>
          <w:sz w:val="24"/>
          <w:szCs w:val="24"/>
          <w:highlight w:val="none"/>
          <w:vertAlign w:val="subscript"/>
        </w:rPr>
        <w:t>1</w:t>
      </w:r>
    </w:p>
    <w:p w14:paraId="4A78476B">
      <w:pPr>
        <w:wordWrap w:val="0"/>
        <w:adjustRightInd w:val="0"/>
        <w:snapToGrid w:val="0"/>
        <w:spacing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Cs/>
          <w:snapToGrid w:val="0"/>
          <w:color w:val="000000"/>
          <w:kern w:val="0"/>
          <w:sz w:val="24"/>
          <w:szCs w:val="24"/>
          <w:highlight w:val="none"/>
        </w:rPr>
        <w:t>式中，F</w:t>
      </w:r>
      <w:r>
        <w:rPr>
          <w:rFonts w:hint="eastAsia" w:ascii="宋体" w:hAnsi="宋体" w:eastAsia="宋体" w:cs="宋体"/>
          <w:bCs/>
          <w:snapToGrid w:val="0"/>
          <w:color w:val="000000"/>
          <w:kern w:val="0"/>
          <w:sz w:val="24"/>
          <w:szCs w:val="24"/>
          <w:highlight w:val="none"/>
          <w:vertAlign w:val="subscript"/>
        </w:rPr>
        <w:t>1</w:t>
      </w:r>
      <w:r>
        <w:rPr>
          <w:rFonts w:hint="eastAsia" w:ascii="宋体" w:hAnsi="宋体" w:eastAsia="宋体" w:cs="宋体"/>
          <w:bCs/>
          <w:snapToGrid w:val="0"/>
          <w:color w:val="000000"/>
          <w:kern w:val="0"/>
          <w:sz w:val="24"/>
          <w:szCs w:val="24"/>
          <w:highlight w:val="none"/>
        </w:rPr>
        <w:t>为施工当月项目所在地工程造价管理机构发布的动态人工调整系数。</w:t>
      </w:r>
    </w:p>
    <w:p w14:paraId="7E20A54D">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2.3.6.2</w:t>
      </w:r>
      <w:r>
        <w:rPr>
          <w:rFonts w:hint="eastAsia" w:ascii="宋体" w:hAnsi="宋体" w:eastAsia="宋体" w:cs="宋体"/>
          <w:snapToGrid w:val="0"/>
          <w:color w:val="000000"/>
          <w:kern w:val="0"/>
          <w:sz w:val="24"/>
          <w:szCs w:val="24"/>
          <w:highlight w:val="none"/>
        </w:rPr>
        <w:t xml:space="preserve"> 本招标项目约定，材料、工程设备单价涨跌风险幅度值A为</w:t>
      </w:r>
      <w:r>
        <w:rPr>
          <w:rFonts w:hint="eastAsia" w:ascii="宋体" w:hAnsi="宋体" w:eastAsia="宋体" w:cs="宋体"/>
          <w:snapToGrid w:val="0"/>
          <w:color w:val="000000"/>
          <w:kern w:val="0"/>
          <w:sz w:val="24"/>
          <w:szCs w:val="24"/>
          <w:highlight w:val="none"/>
          <w:u w:val="single"/>
        </w:rPr>
        <w:t xml:space="preserve"> 5% </w:t>
      </w:r>
      <w:r>
        <w:rPr>
          <w:rFonts w:hint="eastAsia" w:ascii="宋体" w:hAnsi="宋体" w:eastAsia="宋体" w:cs="宋体"/>
          <w:snapToGrid w:val="0"/>
          <w:color w:val="000000"/>
          <w:kern w:val="0"/>
          <w:sz w:val="24"/>
          <w:szCs w:val="24"/>
          <w:highlight w:val="none"/>
        </w:rPr>
        <w:t>。合同履行期间，当《承包人提供主要材料和工程设备一览表》（详见招标工程量清单）中的材料、工程设备单价涨跌幅度等于或低于A值时，该材料、工程设备单价不予调整；超过A值时，其超过部分可以调整。相关费用按有关规定进行相应调整。</w:t>
      </w:r>
    </w:p>
    <w:p w14:paraId="3739995F">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a</w:t>
      </w:r>
      <w:r>
        <w:rPr>
          <w:rFonts w:hint="eastAsia" w:ascii="宋体" w:hAnsi="宋体" w:eastAsia="宋体" w:cs="宋体"/>
          <w:snapToGrid w:val="0"/>
          <w:color w:val="000000"/>
          <w:kern w:val="0"/>
          <w:sz w:val="24"/>
          <w:szCs w:val="24"/>
          <w:highlight w:val="none"/>
        </w:rPr>
        <w:t>．如果承包人投标报价中材料、工程设备单价（以下简称“中标单价”）低于基准日当月项目所在地工程造价管理机构发布的对应材料、工程设备单价（以下简称“基准单价”），该材料、工程设备的结算单价调整公式为：</w:t>
      </w:r>
    </w:p>
    <w:p w14:paraId="79394416">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25" o:spt="75" type="#_x0000_t75" style="height:33.95pt;width:200.95pt;" o:ole="t" filled="f" stroked="f" coordsize="21600,21600">
            <v:path/>
            <v:fill on="f" focussize="0,0"/>
            <v:stroke on="f"/>
            <v:imagedata r:id="rId9" o:title=""/>
            <o:lock v:ext="edit" grouping="f" rotation="f" text="f" aspectratio="t"/>
            <w10:wrap type="none"/>
            <w10:anchorlock/>
          </v:shape>
          <o:OLEObject Type="Embed" ProgID="Equation.KSEE3" ShapeID="_x0000_i1025" DrawAspect="Content" ObjectID="_1468075725" r:id="rId8">
            <o:LockedField>false</o:LockedField>
          </o:OLEObject>
        </w:object>
      </w:r>
    </w:p>
    <w:p w14:paraId="0E0A46F1">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26" o:spt="75" type="#_x0000_t75" style="height:33.95pt;width:198.95pt;" o:ole="t" filled="f" stroked="f" coordsize="21600,21600">
            <v:path/>
            <v:fill on="f" focussize="0,0"/>
            <v:stroke on="f"/>
            <v:imagedata r:id="rId11" o:title=""/>
            <o:lock v:ext="edit" grouping="f" rotation="f" text="f" aspectratio="t"/>
            <w10:wrap type="none"/>
            <w10:anchorlock/>
          </v:shape>
          <o:OLEObject Type="Embed" ProgID="Equation.KSEE3" ShapeID="_x0000_i1026" DrawAspect="Content" ObjectID="_1468075726" r:id="rId10">
            <o:LockedField>false</o:LockedField>
          </o:OLEObject>
        </w:object>
      </w:r>
    </w:p>
    <w:p w14:paraId="469FBED9">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b</w:t>
      </w:r>
      <w:r>
        <w:rPr>
          <w:rFonts w:hint="eastAsia" w:ascii="宋体" w:hAnsi="宋体" w:eastAsia="宋体" w:cs="宋体"/>
          <w:snapToGrid w:val="0"/>
          <w:color w:val="000000"/>
          <w:kern w:val="0"/>
          <w:sz w:val="24"/>
          <w:szCs w:val="24"/>
          <w:highlight w:val="none"/>
        </w:rPr>
        <w:t>．如果中标单价高于基准单价，该材料、工程设备的结算单价调整公式为：</w:t>
      </w:r>
    </w:p>
    <w:p w14:paraId="05E199EB">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27" o:spt="75" type="#_x0000_t75" style="height:33.95pt;width:198.95pt;" o:ole="t" filled="f" stroked="f" coordsize="21600,21600">
            <v:path/>
            <v:fill on="f" focussize="0,0"/>
            <v:stroke on="f"/>
            <v:imagedata r:id="rId13" o:title=""/>
            <o:lock v:ext="edit" grouping="f" rotation="f" text="f" aspectratio="t"/>
            <w10:wrap type="none"/>
            <w10:anchorlock/>
          </v:shape>
          <o:OLEObject Type="Embed" ProgID="Equation.KSEE3" ShapeID="_x0000_i1027" DrawAspect="Content" ObjectID="_1468075727" r:id="rId12">
            <o:LockedField>false</o:LockedField>
          </o:OLEObject>
        </w:object>
      </w:r>
    </w:p>
    <w:p w14:paraId="650BCA82">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28" o:spt="75" type="#_x0000_t75" style="height:33.95pt;width:200.95pt;" o:ole="t" filled="f" stroked="f" coordsize="21600,21600">
            <v:path/>
            <v:fill on="f" focussize="0,0"/>
            <v:stroke on="f"/>
            <v:imagedata r:id="rId15" o:title=""/>
            <o:lock v:ext="edit" grouping="f" rotation="f" text="f" aspectratio="t"/>
            <w10:wrap type="none"/>
            <w10:anchorlock/>
          </v:shape>
          <o:OLEObject Type="Embed" ProgID="Equation.KSEE3" ShapeID="_x0000_i1028" DrawAspect="Content" ObjectID="_1468075728" r:id="rId14">
            <o:LockedField>false</o:LockedField>
          </o:OLEObject>
        </w:object>
      </w:r>
    </w:p>
    <w:p w14:paraId="7D15EB0B">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c</w:t>
      </w:r>
      <w:r>
        <w:rPr>
          <w:rFonts w:hint="eastAsia" w:ascii="宋体" w:hAnsi="宋体" w:eastAsia="宋体" w:cs="宋体"/>
          <w:snapToGrid w:val="0"/>
          <w:color w:val="000000"/>
          <w:kern w:val="0"/>
          <w:sz w:val="24"/>
          <w:szCs w:val="24"/>
          <w:highlight w:val="none"/>
        </w:rPr>
        <w:t>．如果中标单价等于基准单价，该材料、工程设备的结算单价调整公式为：</w:t>
      </w:r>
    </w:p>
    <w:p w14:paraId="033882D4">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29" o:spt="75" type="#_x0000_t75" style="height:33.95pt;width:200.95pt;" o:ole="t" filled="f" stroked="f" coordsize="21600,21600">
            <v:path/>
            <v:fill on="f" focussize="0,0"/>
            <v:stroke on="f"/>
            <v:imagedata r:id="rId17" o:title=""/>
            <o:lock v:ext="edit" grouping="f" rotation="f" text="f" aspectratio="t"/>
            <w10:wrap type="none"/>
            <w10:anchorlock/>
          </v:shape>
          <o:OLEObject Type="Embed" ProgID="Equation.KSEE3" ShapeID="_x0000_i1029" DrawAspect="Content" ObjectID="_1468075729" r:id="rId16">
            <o:LockedField>false</o:LockedField>
          </o:OLEObject>
        </w:object>
      </w:r>
    </w:p>
    <w:p w14:paraId="3D754D31">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30" o:spt="75" type="#_x0000_t75" style="height:33.95pt;width:200.95pt;" o:ole="t" filled="f" o:preferrelative="t" stroked="f" coordsize="21600,21600">
            <v:path/>
            <v:fill on="f" focussize="0,0"/>
            <v:stroke on="f"/>
            <v:imagedata r:id="rId19" o:title=""/>
            <o:lock v:ext="edit" grouping="f" rotation="f" text="f" aspectratio="t"/>
            <w10:wrap type="none"/>
            <w10:anchorlock/>
          </v:shape>
          <o:OLEObject Type="Embed" ProgID="Equation.KSEE3" ShapeID="_x0000_i1030" DrawAspect="Content" ObjectID="_1468075730" r:id="rId18">
            <o:LockedField>false</o:LockedField>
          </o:OLEObject>
        </w:object>
      </w:r>
    </w:p>
    <w:p w14:paraId="4DA4E11E">
      <w:pPr>
        <w:wordWrap w:val="0"/>
        <w:adjustRightInd w:val="0"/>
        <w:snapToGrid w:val="0"/>
        <w:spacing w:line="360" w:lineRule="auto"/>
        <w:ind w:firstLine="480" w:firstLineChars="200"/>
        <w:rPr>
          <w:rFonts w:hint="eastAsia" w:ascii="宋体" w:hAnsi="宋体" w:eastAsia="宋体" w:cs="宋体"/>
          <w:bCs/>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以上公式中，</w:t>
      </w:r>
      <w:r>
        <w:rPr>
          <w:rFonts w:hint="eastAsia" w:ascii="宋体" w:hAnsi="宋体" w:eastAsia="宋体" w:cs="宋体"/>
          <w:bCs/>
          <w:snapToGrid w:val="0"/>
          <w:color w:val="000000"/>
          <w:kern w:val="0"/>
          <w:sz w:val="24"/>
          <w:szCs w:val="24"/>
          <w:highlight w:val="none"/>
        </w:rPr>
        <w:t>F</w:t>
      </w:r>
      <w:r>
        <w:rPr>
          <w:rFonts w:hint="eastAsia" w:ascii="宋体" w:hAnsi="宋体" w:eastAsia="宋体" w:cs="宋体"/>
          <w:bCs/>
          <w:snapToGrid w:val="0"/>
          <w:color w:val="000000"/>
          <w:kern w:val="0"/>
          <w:sz w:val="24"/>
          <w:szCs w:val="24"/>
          <w:highlight w:val="none"/>
          <w:vertAlign w:val="subscript"/>
        </w:rPr>
        <w:t>1</w:t>
      </w:r>
      <w:r>
        <w:rPr>
          <w:rFonts w:hint="eastAsia" w:ascii="宋体" w:hAnsi="宋体" w:eastAsia="宋体" w:cs="宋体"/>
          <w:bCs/>
          <w:snapToGrid w:val="0"/>
          <w:color w:val="000000"/>
          <w:kern w:val="0"/>
          <w:sz w:val="24"/>
          <w:szCs w:val="24"/>
          <w:highlight w:val="none"/>
        </w:rPr>
        <w:t>为中标单价；F</w:t>
      </w:r>
      <w:r>
        <w:rPr>
          <w:rFonts w:hint="eastAsia" w:ascii="宋体" w:hAnsi="宋体" w:eastAsia="宋体" w:cs="宋体"/>
          <w:bCs/>
          <w:snapToGrid w:val="0"/>
          <w:color w:val="000000"/>
          <w:kern w:val="0"/>
          <w:sz w:val="24"/>
          <w:szCs w:val="24"/>
          <w:highlight w:val="none"/>
          <w:vertAlign w:val="subscript"/>
        </w:rPr>
        <w:t>0</w:t>
      </w:r>
      <w:r>
        <w:rPr>
          <w:rFonts w:hint="eastAsia" w:ascii="宋体" w:hAnsi="宋体" w:eastAsia="宋体" w:cs="宋体"/>
          <w:bCs/>
          <w:snapToGrid w:val="0"/>
          <w:color w:val="000000"/>
          <w:kern w:val="0"/>
          <w:sz w:val="24"/>
          <w:szCs w:val="24"/>
          <w:highlight w:val="none"/>
        </w:rPr>
        <w:t>为基准单价； F</w:t>
      </w:r>
      <w:r>
        <w:rPr>
          <w:rFonts w:hint="eastAsia" w:ascii="宋体" w:hAnsi="宋体" w:eastAsia="宋体" w:cs="宋体"/>
          <w:bCs/>
          <w:snapToGrid w:val="0"/>
          <w:color w:val="000000"/>
          <w:kern w:val="0"/>
          <w:sz w:val="24"/>
          <w:szCs w:val="24"/>
          <w:highlight w:val="none"/>
          <w:vertAlign w:val="subscript"/>
        </w:rPr>
        <w:t>2</w:t>
      </w:r>
      <w:r>
        <w:rPr>
          <w:rFonts w:hint="eastAsia" w:ascii="宋体" w:hAnsi="宋体" w:eastAsia="宋体" w:cs="宋体"/>
          <w:bCs/>
          <w:snapToGrid w:val="0"/>
          <w:color w:val="000000"/>
          <w:kern w:val="0"/>
          <w:sz w:val="24"/>
          <w:szCs w:val="24"/>
          <w:highlight w:val="none"/>
        </w:rPr>
        <w:t>为施工当月项目所在地工程造价管理机构发布的材料、工程设备单价；A为合同约定的材料、工程设备单价涨跌风险幅度值。</w:t>
      </w:r>
    </w:p>
    <w:p w14:paraId="58C8CA6D">
      <w:pPr>
        <w:wordWrap w:val="0"/>
        <w:adjustRightInd w:val="0"/>
        <w:snapToGrid w:val="0"/>
        <w:spacing w:line="360" w:lineRule="auto"/>
        <w:ind w:firstLine="482" w:firstLineChars="200"/>
        <w:rPr>
          <w:rFonts w:hint="eastAsia" w:ascii="宋体" w:hAnsi="宋体" w:eastAsia="宋体" w:cs="宋体"/>
          <w:bCs/>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2.3.6.3</w:t>
      </w:r>
      <w:r>
        <w:rPr>
          <w:rFonts w:hint="eastAsia" w:ascii="宋体" w:hAnsi="宋体" w:eastAsia="宋体" w:cs="宋体"/>
          <w:snapToGrid w:val="0"/>
          <w:color w:val="000000"/>
          <w:kern w:val="0"/>
          <w:sz w:val="24"/>
          <w:szCs w:val="24"/>
          <w:highlight w:val="none"/>
        </w:rPr>
        <w:t xml:space="preserve"> 合同履行期间，当《发包人提供材料和工程设备一览表》（详见招标工程量清单）中的材料、工程设备单价发生变化时，由发包人按照实际变化调整，并列入合同价款。</w:t>
      </w:r>
    </w:p>
    <w:p w14:paraId="4CB6A37E">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2.3.6.4</w:t>
      </w:r>
      <w:r>
        <w:rPr>
          <w:rFonts w:hint="eastAsia" w:ascii="宋体" w:hAnsi="宋体" w:eastAsia="宋体" w:cs="宋体"/>
          <w:snapToGrid w:val="0"/>
          <w:color w:val="000000"/>
          <w:kern w:val="0"/>
          <w:sz w:val="24"/>
          <w:szCs w:val="24"/>
          <w:highlight w:val="none"/>
        </w:rPr>
        <w:t xml:space="preserve"> 本招标项目约定，施工机具台班单价涨跌风险幅度值B为</w:t>
      </w:r>
      <w:r>
        <w:rPr>
          <w:rFonts w:hint="eastAsia" w:ascii="宋体" w:hAnsi="宋体" w:eastAsia="宋体" w:cs="宋体"/>
          <w:snapToGrid w:val="0"/>
          <w:color w:val="000000"/>
          <w:kern w:val="0"/>
          <w:sz w:val="24"/>
          <w:szCs w:val="24"/>
          <w:highlight w:val="none"/>
          <w:u w:val="single"/>
        </w:rPr>
        <w:t>10%</w:t>
      </w:r>
      <w:r>
        <w:rPr>
          <w:rFonts w:hint="eastAsia" w:ascii="宋体" w:hAnsi="宋体" w:eastAsia="宋体" w:cs="宋体"/>
          <w:snapToGrid w:val="0"/>
          <w:color w:val="000000"/>
          <w:kern w:val="0"/>
          <w:sz w:val="24"/>
          <w:szCs w:val="24"/>
          <w:highlight w:val="none"/>
        </w:rPr>
        <w:t>。合同履行期间，当施工机具台班单价涨跌幅度等于或低于B值时，该施工机具台班单价不予调整；超过B值时，其超过部分可以调整。相关费用按有关规定进行相应调整。</w:t>
      </w:r>
    </w:p>
    <w:p w14:paraId="55FE91E4">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a</w:t>
      </w:r>
      <w:r>
        <w:rPr>
          <w:rFonts w:hint="eastAsia" w:ascii="宋体" w:hAnsi="宋体" w:eastAsia="宋体" w:cs="宋体"/>
          <w:snapToGrid w:val="0"/>
          <w:color w:val="000000"/>
          <w:kern w:val="0"/>
          <w:sz w:val="24"/>
          <w:szCs w:val="24"/>
          <w:highlight w:val="none"/>
        </w:rPr>
        <w:t>．如果承包人投标报价中施工机具台班单价（以下简称“中标单价”）低于基准日当月项目所在地工程造价管理机构发布的对应施工机具台班单价（以下简称“基准单价”），该施工机具台班的结算单价调整公式为：</w:t>
      </w:r>
    </w:p>
    <w:p w14:paraId="6F72566B">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31" o:spt="75" type="#_x0000_t75" style="height:33.95pt;width:200.95pt;" o:ole="t" filled="f" o:preferrelative="t" stroked="f" coordsize="21600,21600">
            <v:path/>
            <v:fill on="f" focussize="0,0"/>
            <v:stroke on="f"/>
            <v:imagedata r:id="rId21" o:title=""/>
            <o:lock v:ext="edit" grouping="f" rotation="f" text="f" aspectratio="t"/>
            <w10:wrap type="none"/>
            <w10:anchorlock/>
          </v:shape>
          <o:OLEObject Type="Embed" ProgID="Equation.KSEE3" ShapeID="_x0000_i1031" DrawAspect="Content" ObjectID="_1468075731" r:id="rId20">
            <o:LockedField>false</o:LockedField>
          </o:OLEObject>
        </w:object>
      </w:r>
    </w:p>
    <w:p w14:paraId="15496D82">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32" o:spt="75" type="#_x0000_t75" style="height:33.95pt;width:198pt;" o:ole="t" filled="f" o:preferrelative="t" stroked="f" coordsize="21600,21600">
            <v:path/>
            <v:fill on="f" focussize="0,0"/>
            <v:stroke on="f"/>
            <v:imagedata r:id="rId23" o:title=""/>
            <o:lock v:ext="edit" grouping="f" rotation="f" text="f" aspectratio="t"/>
            <w10:wrap type="none"/>
            <w10:anchorlock/>
          </v:shape>
          <o:OLEObject Type="Embed" ProgID="Equation.KSEE3" ShapeID="_x0000_i1032" DrawAspect="Content" ObjectID="_1468075732" r:id="rId22">
            <o:LockedField>false</o:LockedField>
          </o:OLEObject>
        </w:object>
      </w:r>
    </w:p>
    <w:p w14:paraId="4C10EA31">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b</w:t>
      </w:r>
      <w:r>
        <w:rPr>
          <w:rFonts w:hint="eastAsia" w:ascii="宋体" w:hAnsi="宋体" w:eastAsia="宋体" w:cs="宋体"/>
          <w:snapToGrid w:val="0"/>
          <w:color w:val="000000"/>
          <w:kern w:val="0"/>
          <w:sz w:val="24"/>
          <w:szCs w:val="24"/>
          <w:highlight w:val="none"/>
        </w:rPr>
        <w:t>．如果中标单价高于基准单价，该施工机具台班的结算单价调整公式为：</w:t>
      </w:r>
    </w:p>
    <w:p w14:paraId="23826AEA">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33" o:spt="75" type="#_x0000_t75" style="height:33.95pt;width:198pt;" o:ole="t" filled="f" o:preferrelative="t" stroked="f" coordsize="21600,21600">
            <v:path/>
            <v:fill on="f" focussize="0,0"/>
            <v:stroke on="f"/>
            <v:imagedata r:id="rId25" o:title=""/>
            <o:lock v:ext="edit" grouping="f" rotation="f" text="f" aspectratio="t"/>
            <w10:wrap type="none"/>
            <w10:anchorlock/>
          </v:shape>
          <o:OLEObject Type="Embed" ProgID="Equation.KSEE3" ShapeID="_x0000_i1033" DrawAspect="Content" ObjectID="_1468075733" r:id="rId24">
            <o:LockedField>false</o:LockedField>
          </o:OLEObject>
        </w:object>
      </w:r>
    </w:p>
    <w:p w14:paraId="741F3071">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34" o:spt="75" type="#_x0000_t75" style="height:33.95pt;width:200.95pt;" o:ole="t" filled="f" o:preferrelative="t" stroked="f" coordsize="21600,21600">
            <v:path/>
            <v:fill on="f" focussize="0,0"/>
            <v:stroke on="f"/>
            <v:imagedata r:id="rId27" o:title=""/>
            <o:lock v:ext="edit" grouping="f" rotation="f" text="f" aspectratio="t"/>
            <w10:wrap type="none"/>
            <w10:anchorlock/>
          </v:shape>
          <o:OLEObject Type="Embed" ProgID="Equation.KSEE3" ShapeID="_x0000_i1034" DrawAspect="Content" ObjectID="_1468075734" r:id="rId26">
            <o:LockedField>false</o:LockedField>
          </o:OLEObject>
        </w:object>
      </w:r>
    </w:p>
    <w:p w14:paraId="1CBB2058">
      <w:pPr>
        <w:wordWrap w:val="0"/>
        <w:adjustRightInd w:val="0"/>
        <w:snapToGrid w:val="0"/>
        <w:spacing w:line="360" w:lineRule="auto"/>
        <w:ind w:firstLine="482"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b/>
          <w:bCs/>
          <w:snapToGrid w:val="0"/>
          <w:color w:val="000000"/>
          <w:kern w:val="0"/>
          <w:sz w:val="24"/>
          <w:szCs w:val="24"/>
          <w:highlight w:val="none"/>
        </w:rPr>
        <w:t>c</w:t>
      </w:r>
      <w:r>
        <w:rPr>
          <w:rFonts w:hint="eastAsia" w:ascii="宋体" w:hAnsi="宋体" w:eastAsia="宋体" w:cs="宋体"/>
          <w:snapToGrid w:val="0"/>
          <w:color w:val="000000"/>
          <w:kern w:val="0"/>
          <w:sz w:val="24"/>
          <w:szCs w:val="24"/>
          <w:highlight w:val="none"/>
        </w:rPr>
        <w:t>．如果中标单价等于基准单价，该施工机具台班的结算单价调整公式为：</w:t>
      </w:r>
    </w:p>
    <w:p w14:paraId="2ED02F89">
      <w:pPr>
        <w:wordWrap w:val="0"/>
        <w:adjustRightInd w:val="0"/>
        <w:snapToGri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涨价时，</w:t>
      </w:r>
      <w:r>
        <w:rPr>
          <w:rFonts w:hint="eastAsia" w:ascii="宋体" w:hAnsi="宋体" w:eastAsia="宋体" w:cs="宋体"/>
          <w:snapToGrid w:val="0"/>
          <w:color w:val="000000"/>
          <w:kern w:val="0"/>
          <w:position w:val="-30"/>
          <w:sz w:val="24"/>
          <w:szCs w:val="24"/>
          <w:highlight w:val="none"/>
        </w:rPr>
        <w:object>
          <v:shape id="_x0000_i1035" o:spt="75" type="#_x0000_t75" style="height:33.95pt;width:200.95pt;" o:ole="t" filled="f" o:preferrelative="t" stroked="f" coordsize="21600,21600">
            <v:path/>
            <v:fill on="f" focussize="0,0"/>
            <v:stroke on="f"/>
            <v:imagedata r:id="rId29" o:title=""/>
            <o:lock v:ext="edit" grouping="f" rotation="f" text="f" aspectratio="t"/>
            <w10:wrap type="none"/>
            <w10:anchorlock/>
          </v:shape>
          <o:OLEObject Type="Embed" ProgID="Equation.KSEE3" ShapeID="_x0000_i1035" DrawAspect="Content" ObjectID="_1468075735" r:id="rId28">
            <o:LockedField>false</o:LockedField>
          </o:OLEObject>
        </w:object>
      </w:r>
    </w:p>
    <w:p w14:paraId="7A262BF7">
      <w:pPr>
        <w:wordWrap w:val="0"/>
        <w:adjustRightInd w:val="0"/>
        <w:spacing w:before="360" w:beforeLines="150" w:after="240" w:afterLines="100" w:line="360" w:lineRule="auto"/>
        <w:ind w:firstLine="480" w:firstLineChars="200"/>
        <w:rPr>
          <w:rFonts w:hint="eastAsia" w:ascii="宋体" w:hAnsi="宋体" w:eastAsia="宋体" w:cs="宋体"/>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跌价时，</w:t>
      </w:r>
      <w:r>
        <w:rPr>
          <w:rFonts w:hint="eastAsia" w:ascii="宋体" w:hAnsi="宋体" w:eastAsia="宋体" w:cs="宋体"/>
          <w:snapToGrid w:val="0"/>
          <w:color w:val="000000"/>
          <w:kern w:val="0"/>
          <w:position w:val="-30"/>
          <w:sz w:val="24"/>
          <w:szCs w:val="24"/>
          <w:highlight w:val="none"/>
        </w:rPr>
        <w:object>
          <v:shape id="_x0000_i1036" o:spt="75" type="#_x0000_t75" style="height:33.95pt;width:200.95pt;" o:ole="t" filled="f" o:preferrelative="t" stroked="f" coordsize="21600,21600">
            <v:path/>
            <v:fill on="f" focussize="0,0"/>
            <v:stroke on="f"/>
            <v:imagedata r:id="rId31" o:title=""/>
            <o:lock v:ext="edit" grouping="f" rotation="f" text="f" aspectratio="t"/>
            <w10:wrap type="none"/>
            <w10:anchorlock/>
          </v:shape>
          <o:OLEObject Type="Embed" ProgID="Equation.KSEE3" ShapeID="_x0000_i1036" DrawAspect="Content" ObjectID="_1468075736" r:id="rId30">
            <o:LockedField>false</o:LockedField>
          </o:OLEObject>
        </w:object>
      </w:r>
    </w:p>
    <w:p w14:paraId="577AAC91">
      <w:pPr>
        <w:spacing w:before="39" w:line="360" w:lineRule="auto"/>
        <w:ind w:left="484"/>
        <w:rPr>
          <w:rFonts w:hint="eastAsia" w:ascii="宋体" w:hAnsi="宋体" w:eastAsia="宋体" w:cs="宋体"/>
          <w:bCs/>
          <w:snapToGrid w:val="0"/>
          <w:color w:val="000000"/>
          <w:kern w:val="0"/>
          <w:sz w:val="24"/>
          <w:szCs w:val="24"/>
          <w:highlight w:val="none"/>
        </w:rPr>
      </w:pPr>
      <w:r>
        <w:rPr>
          <w:rFonts w:hint="eastAsia" w:ascii="宋体" w:hAnsi="宋体" w:eastAsia="宋体" w:cs="宋体"/>
          <w:snapToGrid w:val="0"/>
          <w:color w:val="000000"/>
          <w:kern w:val="0"/>
          <w:sz w:val="24"/>
          <w:szCs w:val="24"/>
          <w:highlight w:val="none"/>
        </w:rPr>
        <w:t>以上公式中，</w:t>
      </w:r>
      <w:r>
        <w:rPr>
          <w:rFonts w:hint="eastAsia" w:ascii="宋体" w:hAnsi="宋体" w:eastAsia="宋体" w:cs="宋体"/>
          <w:bCs/>
          <w:snapToGrid w:val="0"/>
          <w:color w:val="000000"/>
          <w:kern w:val="0"/>
          <w:sz w:val="24"/>
          <w:szCs w:val="24"/>
          <w:highlight w:val="none"/>
        </w:rPr>
        <w:t>F</w:t>
      </w:r>
      <w:r>
        <w:rPr>
          <w:rFonts w:hint="eastAsia" w:ascii="宋体" w:hAnsi="宋体" w:eastAsia="宋体" w:cs="宋体"/>
          <w:bCs/>
          <w:snapToGrid w:val="0"/>
          <w:color w:val="000000"/>
          <w:kern w:val="0"/>
          <w:sz w:val="24"/>
          <w:szCs w:val="24"/>
          <w:highlight w:val="none"/>
          <w:vertAlign w:val="subscript"/>
        </w:rPr>
        <w:t>1</w:t>
      </w:r>
      <w:r>
        <w:rPr>
          <w:rFonts w:hint="eastAsia" w:ascii="宋体" w:hAnsi="宋体" w:eastAsia="宋体" w:cs="宋体"/>
          <w:bCs/>
          <w:snapToGrid w:val="0"/>
          <w:color w:val="000000"/>
          <w:kern w:val="0"/>
          <w:sz w:val="24"/>
          <w:szCs w:val="24"/>
          <w:highlight w:val="none"/>
        </w:rPr>
        <w:t>为中标单价；F</w:t>
      </w:r>
      <w:r>
        <w:rPr>
          <w:rFonts w:hint="eastAsia" w:ascii="宋体" w:hAnsi="宋体" w:eastAsia="宋体" w:cs="宋体"/>
          <w:bCs/>
          <w:snapToGrid w:val="0"/>
          <w:color w:val="000000"/>
          <w:kern w:val="0"/>
          <w:sz w:val="24"/>
          <w:szCs w:val="24"/>
          <w:highlight w:val="none"/>
          <w:vertAlign w:val="subscript"/>
        </w:rPr>
        <w:t>0</w:t>
      </w:r>
      <w:r>
        <w:rPr>
          <w:rFonts w:hint="eastAsia" w:ascii="宋体" w:hAnsi="宋体" w:eastAsia="宋体" w:cs="宋体"/>
          <w:bCs/>
          <w:snapToGrid w:val="0"/>
          <w:color w:val="000000"/>
          <w:kern w:val="0"/>
          <w:sz w:val="24"/>
          <w:szCs w:val="24"/>
          <w:highlight w:val="none"/>
        </w:rPr>
        <w:t>为基准单价；F</w:t>
      </w:r>
      <w:r>
        <w:rPr>
          <w:rFonts w:hint="eastAsia" w:ascii="宋体" w:hAnsi="宋体" w:eastAsia="宋体" w:cs="宋体"/>
          <w:bCs/>
          <w:snapToGrid w:val="0"/>
          <w:color w:val="000000"/>
          <w:kern w:val="0"/>
          <w:sz w:val="24"/>
          <w:szCs w:val="24"/>
          <w:highlight w:val="none"/>
          <w:vertAlign w:val="subscript"/>
        </w:rPr>
        <w:t>2</w:t>
      </w:r>
      <w:r>
        <w:rPr>
          <w:rFonts w:hint="eastAsia" w:ascii="宋体" w:hAnsi="宋体" w:eastAsia="宋体" w:cs="宋体"/>
          <w:bCs/>
          <w:snapToGrid w:val="0"/>
          <w:color w:val="000000"/>
          <w:kern w:val="0"/>
          <w:sz w:val="24"/>
          <w:szCs w:val="24"/>
          <w:highlight w:val="none"/>
        </w:rPr>
        <w:t>为施工当月项目所在地工程造价管理机构发布的施工机具台班单价；B为合同约定的施工机具台班单价涨跌风险幅度值。</w:t>
      </w:r>
    </w:p>
    <w:p w14:paraId="2EB022DF">
      <w:pPr>
        <w:spacing w:before="39" w:line="360" w:lineRule="auto"/>
        <w:ind w:left="484"/>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2.3.7  </w:t>
      </w:r>
      <w:r>
        <w:rPr>
          <w:rFonts w:hint="eastAsia" w:ascii="宋体" w:hAnsi="宋体" w:eastAsia="宋体" w:cs="宋体"/>
          <w:color w:val="auto"/>
          <w:spacing w:val="-1"/>
          <w:sz w:val="24"/>
          <w:szCs w:val="24"/>
          <w:highlight w:val="none"/>
        </w:rPr>
        <w:t>暂估价和暂列金额</w:t>
      </w:r>
    </w:p>
    <w:p w14:paraId="488A20FF">
      <w:pPr>
        <w:spacing w:before="154" w:line="360" w:lineRule="auto"/>
        <w:ind w:left="7" w:right="57" w:firstLine="477"/>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"2.3.7.1"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2"/>
          <w:sz w:val="24"/>
          <w:szCs w:val="24"/>
          <w:highlight w:val="none"/>
        </w:rPr>
        <w:t>2.3.7.1</w:t>
      </w:r>
      <w:r>
        <w:rPr>
          <w:rFonts w:hint="eastAsia" w:ascii="宋体" w:hAnsi="宋体" w:eastAsia="宋体" w:cs="宋体"/>
          <w:b/>
          <w:bCs/>
          <w:color w:val="auto"/>
          <w:spacing w:val="-2"/>
          <w:sz w:val="24"/>
          <w:szCs w:val="24"/>
          <w:highlight w:val="none"/>
        </w:rPr>
        <w:fldChar w:fldCharType="end"/>
      </w:r>
      <w:r>
        <w:rPr>
          <w:rFonts w:hint="eastAsia" w:ascii="宋体" w:hAnsi="宋体" w:eastAsia="宋体" w:cs="宋体"/>
          <w:b/>
          <w:bCs/>
          <w:color w:val="auto"/>
          <w:spacing w:val="-2"/>
          <w:sz w:val="24"/>
          <w:szCs w:val="24"/>
          <w:highlight w:val="none"/>
        </w:rPr>
        <w:t xml:space="preserve">  </w:t>
      </w:r>
      <w:r>
        <w:rPr>
          <w:rFonts w:hint="eastAsia" w:ascii="宋体" w:hAnsi="宋体" w:eastAsia="宋体" w:cs="宋体"/>
          <w:color w:val="auto"/>
          <w:spacing w:val="-2"/>
          <w:sz w:val="24"/>
          <w:szCs w:val="24"/>
          <w:highlight w:val="none"/>
        </w:rPr>
        <w:t>暂估价项目按第一章第三节“投标人须知正文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2"/>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2"/>
          <w:sz w:val="24"/>
          <w:szCs w:val="24"/>
          <w:highlight w:val="none"/>
        </w:rPr>
        <w:t xml:space="preserve">8.5 </w:t>
      </w:r>
      <w:r>
        <w:rPr>
          <w:rFonts w:hint="eastAsia" w:ascii="宋体" w:hAnsi="宋体" w:eastAsia="宋体" w:cs="宋体"/>
          <w:color w:val="auto"/>
          <w:spacing w:val="-2"/>
          <w:sz w:val="24"/>
          <w:szCs w:val="24"/>
          <w:highlight w:val="none"/>
        </w:rPr>
        <w:t>条</w:t>
      </w:r>
      <w:r>
        <w:rPr>
          <w:rFonts w:hint="eastAsia" w:ascii="宋体" w:hAnsi="宋体" w:eastAsia="宋体" w:cs="宋体"/>
          <w:color w:val="auto"/>
          <w:spacing w:val="-3"/>
          <w:sz w:val="24"/>
          <w:szCs w:val="24"/>
          <w:highlight w:val="none"/>
        </w:rPr>
        <w:t>的规定确定专业工</w:t>
      </w:r>
      <w:r>
        <w:rPr>
          <w:rFonts w:hint="eastAsia" w:ascii="宋体" w:hAnsi="宋体" w:eastAsia="宋体" w:cs="宋体"/>
          <w:color w:val="auto"/>
          <w:spacing w:val="-1"/>
          <w:sz w:val="24"/>
          <w:szCs w:val="24"/>
          <w:highlight w:val="none"/>
        </w:rPr>
        <w:t>程承包人（或材料供应商、工程设备供应商）后，将专业工</w:t>
      </w:r>
      <w:r>
        <w:rPr>
          <w:rFonts w:hint="eastAsia" w:ascii="宋体" w:hAnsi="宋体" w:eastAsia="宋体" w:cs="宋体"/>
          <w:color w:val="auto"/>
          <w:spacing w:val="-2"/>
          <w:sz w:val="24"/>
          <w:szCs w:val="24"/>
          <w:highlight w:val="none"/>
        </w:rPr>
        <w:t>程合同价款（或材料单价、</w:t>
      </w:r>
      <w:r>
        <w:rPr>
          <w:rFonts w:hint="eastAsia" w:ascii="宋体" w:hAnsi="宋体" w:eastAsia="宋体" w:cs="宋体"/>
          <w:color w:val="auto"/>
          <w:spacing w:val="-1"/>
          <w:sz w:val="24"/>
          <w:szCs w:val="24"/>
          <w:highlight w:val="none"/>
        </w:rPr>
        <w:t>工程设备单价）取代相应暂估价，并调整合同价款。</w:t>
      </w:r>
    </w:p>
    <w:p w14:paraId="605E5E80">
      <w:pPr>
        <w:spacing w:before="153" w:line="360" w:lineRule="auto"/>
        <w:ind w:left="8" w:right="2" w:firstLine="476"/>
        <w:rPr>
          <w:rFonts w:hint="eastAsia" w:ascii="宋体" w:hAnsi="宋体" w:eastAsia="宋体" w:cs="宋体"/>
          <w:color w:val="auto"/>
          <w:sz w:val="24"/>
          <w:szCs w:val="24"/>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"2.3.7.2" </w:instrText>
      </w:r>
      <w:r>
        <w:rPr>
          <w:rFonts w:hint="eastAsia" w:ascii="宋体" w:hAnsi="宋体" w:eastAsia="宋体" w:cs="宋体"/>
          <w:color w:val="auto"/>
          <w:highlight w:val="none"/>
        </w:rPr>
        <w:fldChar w:fldCharType="separate"/>
      </w:r>
      <w:r>
        <w:rPr>
          <w:rFonts w:hint="eastAsia" w:ascii="宋体" w:hAnsi="宋体" w:eastAsia="宋体" w:cs="宋体"/>
          <w:b/>
          <w:bCs/>
          <w:color w:val="auto"/>
          <w:spacing w:val="-8"/>
          <w:sz w:val="24"/>
          <w:szCs w:val="24"/>
          <w:highlight w:val="none"/>
        </w:rPr>
        <w:t>2.3.7.2</w:t>
      </w:r>
      <w:r>
        <w:rPr>
          <w:rFonts w:hint="eastAsia" w:ascii="宋体" w:hAnsi="宋体" w:eastAsia="宋体" w:cs="宋体"/>
          <w:b/>
          <w:bCs/>
          <w:color w:val="auto"/>
          <w:spacing w:val="-8"/>
          <w:sz w:val="24"/>
          <w:szCs w:val="24"/>
          <w:highlight w:val="none"/>
        </w:rPr>
        <w:fldChar w:fldCharType="end"/>
      </w:r>
      <w:r>
        <w:rPr>
          <w:rFonts w:hint="eastAsia" w:ascii="宋体" w:hAnsi="宋体" w:eastAsia="宋体" w:cs="宋体"/>
          <w:b/>
          <w:bCs/>
          <w:color w:val="auto"/>
          <w:spacing w:val="-8"/>
          <w:sz w:val="24"/>
          <w:szCs w:val="24"/>
          <w:highlight w:val="none"/>
        </w:rPr>
        <w:t xml:space="preserve">  </w:t>
      </w:r>
      <w:r>
        <w:rPr>
          <w:rFonts w:hint="eastAsia" w:ascii="宋体" w:hAnsi="宋体" w:eastAsia="宋体" w:cs="宋体"/>
          <w:color w:val="auto"/>
          <w:spacing w:val="-8"/>
          <w:sz w:val="24"/>
          <w:szCs w:val="24"/>
          <w:highlight w:val="none"/>
        </w:rPr>
        <w:t>暂列金额由发包人掌握和使用。暂列金额项目若有发</w:t>
      </w:r>
      <w:r>
        <w:rPr>
          <w:rFonts w:hint="eastAsia" w:ascii="宋体" w:hAnsi="宋体" w:eastAsia="宋体" w:cs="宋体"/>
          <w:color w:val="auto"/>
          <w:spacing w:val="-9"/>
          <w:sz w:val="24"/>
          <w:szCs w:val="24"/>
          <w:highlight w:val="none"/>
        </w:rPr>
        <w:t>生，按第一章第三节“投</w:t>
      </w:r>
      <w:r>
        <w:rPr>
          <w:rFonts w:hint="eastAsia" w:ascii="宋体" w:hAnsi="宋体" w:eastAsia="宋体" w:cs="宋体"/>
          <w:color w:val="auto"/>
          <w:spacing w:val="-5"/>
          <w:sz w:val="24"/>
          <w:szCs w:val="24"/>
          <w:highlight w:val="none"/>
        </w:rPr>
        <w:t>标人须知正文</w:t>
      </w:r>
      <w:r>
        <w:rPr>
          <w:rFonts w:hint="eastAsia" w:ascii="宋体" w:hAnsi="宋体" w:eastAsia="宋体" w:cs="宋体"/>
          <w:color w:val="auto"/>
          <w:spacing w:val="-88"/>
          <w:sz w:val="24"/>
          <w:szCs w:val="24"/>
          <w:highlight w:val="none"/>
        </w:rPr>
        <w:t xml:space="preserve"> </w:t>
      </w:r>
      <w:r>
        <w:rPr>
          <w:rFonts w:hint="eastAsia" w:ascii="宋体" w:hAnsi="宋体" w:eastAsia="宋体" w:cs="宋体"/>
          <w:color w:val="auto"/>
          <w:spacing w:val="-5"/>
          <w:sz w:val="24"/>
          <w:szCs w:val="24"/>
          <w:highlight w:val="none"/>
        </w:rPr>
        <w:t>”第</w:t>
      </w:r>
      <w:r>
        <w:rPr>
          <w:rFonts w:hint="eastAsia" w:ascii="宋体" w:hAnsi="宋体" w:eastAsia="宋体" w:cs="宋体"/>
          <w:color w:val="auto"/>
          <w:spacing w:val="-51"/>
          <w:sz w:val="24"/>
          <w:szCs w:val="24"/>
          <w:highlight w:val="none"/>
        </w:rPr>
        <w:t xml:space="preserve"> </w:t>
      </w:r>
      <w:r>
        <w:rPr>
          <w:rFonts w:hint="eastAsia" w:ascii="宋体" w:hAnsi="宋体" w:eastAsia="宋体" w:cs="宋体"/>
          <w:b/>
          <w:bCs/>
          <w:color w:val="auto"/>
          <w:spacing w:val="-5"/>
          <w:sz w:val="24"/>
          <w:szCs w:val="24"/>
          <w:highlight w:val="none"/>
        </w:rPr>
        <w:t xml:space="preserve">8.6 </w:t>
      </w:r>
      <w:r>
        <w:rPr>
          <w:rFonts w:hint="eastAsia" w:ascii="宋体" w:hAnsi="宋体" w:eastAsia="宋体" w:cs="宋体"/>
          <w:color w:val="auto"/>
          <w:spacing w:val="-5"/>
          <w:sz w:val="24"/>
          <w:szCs w:val="24"/>
          <w:highlight w:val="none"/>
        </w:rPr>
        <w:t>条的规定确定材料供应商（或工程设备供</w:t>
      </w:r>
      <w:r>
        <w:rPr>
          <w:rFonts w:hint="eastAsia" w:ascii="宋体" w:hAnsi="宋体" w:eastAsia="宋体" w:cs="宋体"/>
          <w:color w:val="auto"/>
          <w:spacing w:val="-6"/>
          <w:sz w:val="24"/>
          <w:szCs w:val="24"/>
          <w:highlight w:val="none"/>
        </w:rPr>
        <w:t>应商、服务供应商）后，</w:t>
      </w:r>
      <w:r>
        <w:rPr>
          <w:rFonts w:hint="eastAsia" w:ascii="宋体" w:hAnsi="宋体" w:eastAsia="宋体" w:cs="宋体"/>
          <w:color w:val="auto"/>
          <w:spacing w:val="-2"/>
          <w:sz w:val="24"/>
          <w:szCs w:val="24"/>
          <w:highlight w:val="none"/>
        </w:rPr>
        <w:t>材料（或工程设备、服务）的合同价款从暂列金额中支付。暂列金额扣除已发生的暂列金额项目合同价款、已发生的合同约定调整因素出现时的调整价款、已发生的索赔以及</w:t>
      </w:r>
      <w:r>
        <w:rPr>
          <w:rFonts w:hint="eastAsia" w:ascii="宋体" w:hAnsi="宋体" w:eastAsia="宋体" w:cs="宋体"/>
          <w:color w:val="auto"/>
          <w:spacing w:val="-1"/>
          <w:sz w:val="24"/>
          <w:szCs w:val="24"/>
          <w:highlight w:val="none"/>
        </w:rPr>
        <w:t>现场签证确认等的费用后，余额（若有）归发包人所有。</w:t>
      </w:r>
    </w:p>
    <w:p w14:paraId="7CC8E5E0">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2.3.8</w:t>
      </w:r>
      <w:r>
        <w:rPr>
          <w:rFonts w:hint="eastAsia" w:ascii="宋体" w:hAnsi="宋体" w:eastAsia="宋体" w:cs="宋体"/>
          <w:sz w:val="24"/>
          <w:szCs w:val="24"/>
        </w:rPr>
        <w:t xml:space="preserve"> 预算包干费按照分部分项的人工费与施工机具费之和及投标费率计取。本招标项目的预算包干内容包括：施工雨水、污水的排除；因地形影响造成的场内料具二次运输</w:t>
      </w:r>
      <w:r>
        <w:rPr>
          <w:rFonts w:hint="eastAsia" w:ascii="宋体" w:hAnsi="宋体" w:eastAsia="宋体" w:cs="宋体"/>
          <w:sz w:val="24"/>
          <w:szCs w:val="24"/>
          <w:lang w:eastAsia="zh-CN"/>
        </w:rPr>
        <w:t>，2</w:t>
      </w:r>
      <w:r>
        <w:rPr>
          <w:rFonts w:hint="eastAsia" w:ascii="宋体" w:hAnsi="宋体" w:eastAsia="宋体" w:cs="宋体"/>
          <w:sz w:val="24"/>
          <w:szCs w:val="24"/>
        </w:rPr>
        <w:t>0米高以下的工程用水加压措施；施工材料堆放场地的整理；机电安装后的补洞(槽料费；工程成品保护费；施工中的临时停水停电；基础埋深 2 米以内挖土方的塌</w:t>
      </w:r>
      <w:r>
        <w:rPr>
          <w:rFonts w:hint="eastAsia" w:ascii="宋体" w:hAnsi="宋体" w:eastAsia="宋体" w:cs="宋体"/>
          <w:sz w:val="24"/>
          <w:szCs w:val="24"/>
          <w:lang w:eastAsia="zh-CN"/>
        </w:rPr>
        <w:t>方；日间</w:t>
      </w:r>
      <w:r>
        <w:rPr>
          <w:rFonts w:hint="eastAsia" w:ascii="宋体" w:hAnsi="宋体" w:eastAsia="宋体" w:cs="宋体"/>
          <w:sz w:val="24"/>
          <w:szCs w:val="24"/>
        </w:rPr>
        <w:t>照明施工增加费(不包括地下室和特殊工程)；完工清场后的垃圾外运；地上(地下)设</w:t>
      </w:r>
      <w:r>
        <w:rPr>
          <w:rFonts w:hint="eastAsia" w:ascii="宋体" w:hAnsi="宋体" w:eastAsia="宋体" w:cs="宋体"/>
          <w:sz w:val="24"/>
          <w:szCs w:val="24"/>
          <w:lang w:eastAsia="zh-CN"/>
        </w:rPr>
        <w:t>施，</w:t>
      </w:r>
      <w:r>
        <w:rPr>
          <w:rFonts w:hint="eastAsia" w:ascii="宋体" w:hAnsi="宋体" w:eastAsia="宋体" w:cs="宋体"/>
          <w:sz w:val="24"/>
          <w:szCs w:val="24"/>
        </w:rPr>
        <w:t>建筑物的临时保护设施费和二次加工基地设施费；雨季施工增加费</w:t>
      </w:r>
      <w:r>
        <w:rPr>
          <w:rFonts w:hint="eastAsia" w:ascii="宋体" w:hAnsi="宋体" w:eastAsia="宋体" w:cs="宋体"/>
          <w:sz w:val="24"/>
          <w:szCs w:val="24"/>
          <w:lang w:eastAsia="zh-CN"/>
        </w:rPr>
        <w:t>；已完成及设备保护等。</w:t>
      </w:r>
    </w:p>
    <w:p w14:paraId="7AEE3F33">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2.3.9</w:t>
      </w:r>
      <w:r>
        <w:rPr>
          <w:rFonts w:hint="eastAsia" w:ascii="宋体" w:hAnsi="宋体" w:eastAsia="宋体" w:cs="宋体"/>
          <w:sz w:val="24"/>
          <w:szCs w:val="24"/>
        </w:rPr>
        <w:t xml:space="preserve">  其余事项（如不可抗力、索赔、现场签证等）的调整原则按照《建设工程工程量清单计价规范》（GB50500—2013）有关规定执行。</w:t>
      </w:r>
    </w:p>
    <w:p w14:paraId="15441A8E">
      <w:pPr>
        <w:spacing w:line="360" w:lineRule="auto"/>
        <w:ind w:firstLine="482" w:firstLineChars="200"/>
        <w:rPr>
          <w:rFonts w:hint="eastAsia" w:ascii="宋体" w:hAnsi="宋体" w:eastAsia="宋体" w:cs="宋体"/>
          <w:sz w:val="24"/>
          <w:szCs w:val="24"/>
        </w:rPr>
      </w:pPr>
      <w:r>
        <w:rPr>
          <w:rFonts w:hint="eastAsia" w:ascii="宋体" w:hAnsi="宋体" w:eastAsia="宋体" w:cs="宋体"/>
          <w:b/>
          <w:bCs/>
          <w:sz w:val="24"/>
          <w:szCs w:val="24"/>
        </w:rPr>
        <w:t>2.4</w:t>
      </w:r>
      <w:r>
        <w:rPr>
          <w:rFonts w:hint="eastAsia" w:ascii="宋体" w:hAnsi="宋体" w:eastAsia="宋体" w:cs="宋体"/>
          <w:sz w:val="24"/>
          <w:szCs w:val="24"/>
        </w:rPr>
        <w:t xml:space="preserve">  凡将引起合同价款调增的事项，承包人必须于拟实施 14 天前，将详细的报价书（含拟实施项目名称、变更部位、理由、预计造价等）报监理单位审核和发包人批准后方可实施。</w:t>
      </w:r>
    </w:p>
    <w:p w14:paraId="549727DF">
      <w:pPr>
        <w:spacing w:before="153" w:line="360" w:lineRule="auto"/>
        <w:ind w:left="9" w:right="102" w:firstLine="477"/>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2.5 </w:t>
      </w:r>
      <w:r>
        <w:rPr>
          <w:rFonts w:hint="eastAsia" w:ascii="宋体" w:hAnsi="宋体" w:eastAsia="宋体" w:cs="宋体"/>
          <w:color w:val="auto"/>
          <w:spacing w:val="1"/>
          <w:sz w:val="24"/>
          <w:szCs w:val="24"/>
          <w:highlight w:val="none"/>
        </w:rPr>
        <w:t>承包人不得以不完全了解现场情况为理由，提出额外付</w:t>
      </w:r>
      <w:r>
        <w:rPr>
          <w:rFonts w:hint="eastAsia" w:ascii="宋体" w:hAnsi="宋体" w:eastAsia="宋体" w:cs="宋体"/>
          <w:color w:val="auto"/>
          <w:sz w:val="24"/>
          <w:szCs w:val="24"/>
          <w:highlight w:val="none"/>
        </w:rPr>
        <w:t>款或延长工期等要求。</w:t>
      </w:r>
      <w:r>
        <w:rPr>
          <w:rFonts w:hint="eastAsia" w:ascii="宋体" w:hAnsi="宋体" w:eastAsia="宋体" w:cs="宋体"/>
          <w:color w:val="auto"/>
          <w:spacing w:val="-1"/>
          <w:sz w:val="24"/>
          <w:szCs w:val="24"/>
          <w:highlight w:val="none"/>
        </w:rPr>
        <w:t>对此类要求，发包人不作任何考虑及答复。</w:t>
      </w:r>
    </w:p>
    <w:p w14:paraId="7F4A8BAC">
      <w:pPr>
        <w:spacing w:before="154" w:line="360" w:lineRule="auto"/>
        <w:ind w:left="10" w:right="63" w:firstLine="476"/>
        <w:rPr>
          <w:rFonts w:hint="eastAsia" w:ascii="宋体" w:hAnsi="宋体" w:eastAsia="宋体" w:cs="宋体"/>
          <w:color w:val="auto"/>
          <w:sz w:val="24"/>
          <w:szCs w:val="24"/>
          <w:highlight w:val="none"/>
        </w:rPr>
      </w:pPr>
      <w:r>
        <w:rPr>
          <w:rFonts w:hint="eastAsia" w:ascii="宋体" w:hAnsi="宋体" w:eastAsia="宋体" w:cs="宋体"/>
          <w:b/>
          <w:bCs/>
          <w:color w:val="auto"/>
          <w:spacing w:val="2"/>
          <w:sz w:val="24"/>
          <w:szCs w:val="24"/>
          <w:highlight w:val="none"/>
        </w:rPr>
        <w:t xml:space="preserve">2.6 </w:t>
      </w:r>
      <w:r>
        <w:rPr>
          <w:rFonts w:hint="eastAsia" w:ascii="宋体" w:hAnsi="宋体" w:eastAsia="宋体" w:cs="宋体"/>
          <w:color w:val="auto"/>
          <w:spacing w:val="2"/>
          <w:sz w:val="24"/>
          <w:szCs w:val="24"/>
          <w:highlight w:val="none"/>
        </w:rPr>
        <w:t>承包人已标价工程量清单中漏报、错报或少报的清单项目</w:t>
      </w:r>
      <w:r>
        <w:rPr>
          <w:rFonts w:hint="eastAsia" w:ascii="宋体" w:hAnsi="宋体" w:eastAsia="宋体" w:cs="宋体"/>
          <w:color w:val="auto"/>
          <w:spacing w:val="1"/>
          <w:sz w:val="24"/>
          <w:szCs w:val="24"/>
          <w:highlight w:val="none"/>
        </w:rPr>
        <w:t>，其价格均视为已经</w:t>
      </w:r>
      <w:r>
        <w:rPr>
          <w:rFonts w:hint="eastAsia" w:ascii="宋体" w:hAnsi="宋体" w:eastAsia="宋体" w:cs="宋体"/>
          <w:color w:val="auto"/>
          <w:spacing w:val="-1"/>
          <w:sz w:val="24"/>
          <w:szCs w:val="24"/>
          <w:highlight w:val="none"/>
        </w:rPr>
        <w:t>包含在其它清单项目中，竣工结算时不得重新组价和调整。</w:t>
      </w:r>
    </w:p>
    <w:p w14:paraId="62B57CA7">
      <w:pPr>
        <w:spacing w:before="155" w:line="360" w:lineRule="auto"/>
        <w:ind w:left="12" w:right="65" w:firstLine="474"/>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 xml:space="preserve">2.7  </w:t>
      </w:r>
      <w:r>
        <w:rPr>
          <w:rFonts w:hint="eastAsia" w:ascii="宋体" w:hAnsi="宋体" w:eastAsia="宋体" w:cs="宋体"/>
          <w:color w:val="auto"/>
          <w:sz w:val="24"/>
          <w:szCs w:val="24"/>
          <w:highlight w:val="none"/>
        </w:rPr>
        <w:t>项目完工后，发、承包双方和受其委托具备相应资质的工程造价咨询单位必须</w:t>
      </w:r>
      <w:r>
        <w:rPr>
          <w:rFonts w:hint="eastAsia" w:ascii="宋体" w:hAnsi="宋体" w:eastAsia="宋体" w:cs="宋体"/>
          <w:color w:val="auto"/>
          <w:spacing w:val="-1"/>
          <w:sz w:val="24"/>
          <w:szCs w:val="24"/>
          <w:highlight w:val="none"/>
        </w:rPr>
        <w:t>按照《建设工程工程量清单计价规范》（GB50500—2013）和国家、省、市的有关规定</w:t>
      </w:r>
      <w:r>
        <w:rPr>
          <w:rFonts w:hint="eastAsia" w:ascii="宋体" w:hAnsi="宋体" w:eastAsia="宋体" w:cs="宋体"/>
          <w:color w:val="auto"/>
          <w:spacing w:val="-2"/>
          <w:sz w:val="24"/>
          <w:szCs w:val="24"/>
          <w:highlight w:val="none"/>
        </w:rPr>
        <w:t>办理竣工结算。</w:t>
      </w:r>
    </w:p>
    <w:p w14:paraId="6BF7AA13">
      <w:pPr>
        <w:spacing w:before="152" w:line="360" w:lineRule="auto"/>
        <w:ind w:left="8" w:right="38" w:firstLine="559"/>
        <w:rPr>
          <w:rFonts w:hint="eastAsia" w:ascii="宋体" w:hAnsi="宋体" w:eastAsia="宋体" w:cs="宋体"/>
          <w:color w:val="auto"/>
          <w:sz w:val="24"/>
          <w:szCs w:val="24"/>
          <w:highlight w:val="none"/>
        </w:rPr>
      </w:pPr>
      <w:r>
        <w:rPr>
          <w:rFonts w:hint="eastAsia" w:ascii="宋体" w:hAnsi="宋体" w:eastAsia="宋体" w:cs="宋体"/>
          <w:b/>
          <w:bCs/>
          <w:color w:val="auto"/>
          <w:spacing w:val="-1"/>
          <w:sz w:val="24"/>
          <w:szCs w:val="24"/>
          <w:highlight w:val="none"/>
        </w:rPr>
        <w:t xml:space="preserve">2.8  </w:t>
      </w:r>
      <w:r>
        <w:rPr>
          <w:rFonts w:hint="eastAsia" w:ascii="宋体" w:hAnsi="宋体" w:eastAsia="宋体" w:cs="宋体"/>
          <w:color w:val="auto"/>
          <w:spacing w:val="-1"/>
          <w:sz w:val="24"/>
          <w:szCs w:val="24"/>
          <w:highlight w:val="none"/>
        </w:rPr>
        <w:t>承包人已标价工程量清单中没有的材料（或工程设备</w:t>
      </w:r>
      <w:r>
        <w:rPr>
          <w:rFonts w:hint="eastAsia" w:ascii="宋体" w:hAnsi="宋体" w:eastAsia="宋体" w:cs="宋体"/>
          <w:color w:val="auto"/>
          <w:spacing w:val="-18"/>
          <w:sz w:val="24"/>
          <w:szCs w:val="24"/>
          <w:highlight w:val="none"/>
        </w:rPr>
        <w:t>），</w:t>
      </w:r>
      <w:r>
        <w:rPr>
          <w:rFonts w:hint="eastAsia" w:ascii="宋体" w:hAnsi="宋体" w:eastAsia="宋体" w:cs="宋体"/>
          <w:color w:val="auto"/>
          <w:spacing w:val="-1"/>
          <w:sz w:val="24"/>
          <w:szCs w:val="24"/>
          <w:highlight w:val="none"/>
        </w:rPr>
        <w:t>承包人在使</w:t>
      </w:r>
      <w:r>
        <w:rPr>
          <w:rFonts w:hint="eastAsia" w:ascii="宋体" w:hAnsi="宋体" w:eastAsia="宋体" w:cs="宋体"/>
          <w:color w:val="auto"/>
          <w:spacing w:val="-2"/>
          <w:sz w:val="24"/>
          <w:szCs w:val="24"/>
          <w:highlight w:val="none"/>
        </w:rPr>
        <w:t>用前必须</w:t>
      </w:r>
      <w:r>
        <w:rPr>
          <w:rFonts w:hint="eastAsia" w:ascii="宋体" w:hAnsi="宋体" w:eastAsia="宋体" w:cs="宋体"/>
          <w:color w:val="auto"/>
          <w:spacing w:val="-1"/>
          <w:sz w:val="24"/>
          <w:szCs w:val="24"/>
          <w:highlight w:val="none"/>
        </w:rPr>
        <w:t>将材料（或工程设备）样板、材料合格证明（或产品合格证书）、材料（或工程设备）检验报告提交给监理单位和发包人审核。发</w:t>
      </w:r>
      <w:r>
        <w:rPr>
          <w:rFonts w:hint="eastAsia" w:ascii="宋体" w:hAnsi="宋体" w:eastAsia="宋体" w:cs="宋体"/>
          <w:color w:val="auto"/>
          <w:spacing w:val="-2"/>
          <w:sz w:val="24"/>
          <w:szCs w:val="24"/>
          <w:highlight w:val="none"/>
        </w:rPr>
        <w:t>包人审定并确定价格后，承包人方可采购和</w:t>
      </w:r>
      <w:r>
        <w:rPr>
          <w:rFonts w:hint="eastAsia" w:ascii="宋体" w:hAnsi="宋体" w:eastAsia="宋体" w:cs="宋体"/>
          <w:color w:val="auto"/>
          <w:spacing w:val="-1"/>
          <w:sz w:val="24"/>
          <w:szCs w:val="24"/>
          <w:highlight w:val="none"/>
        </w:rPr>
        <w:t>使用。如果在交货验收和使用过程中发现货</w:t>
      </w:r>
      <w:r>
        <w:rPr>
          <w:rFonts w:hint="eastAsia" w:ascii="宋体" w:hAnsi="宋体" w:eastAsia="宋体" w:cs="宋体"/>
          <w:color w:val="auto"/>
          <w:spacing w:val="-2"/>
          <w:sz w:val="24"/>
          <w:szCs w:val="24"/>
          <w:highlight w:val="none"/>
        </w:rPr>
        <w:t>不对板，监理单位和发包人有权拒用，并要</w:t>
      </w:r>
      <w:r>
        <w:rPr>
          <w:rFonts w:hint="eastAsia" w:ascii="宋体" w:hAnsi="宋体" w:eastAsia="宋体" w:cs="宋体"/>
          <w:color w:val="auto"/>
          <w:spacing w:val="-1"/>
          <w:sz w:val="24"/>
          <w:szCs w:val="24"/>
          <w:highlight w:val="none"/>
        </w:rPr>
        <w:t>求承包人立即进行更换。更换后的材料（或</w:t>
      </w:r>
      <w:r>
        <w:rPr>
          <w:rFonts w:hint="eastAsia" w:ascii="宋体" w:hAnsi="宋体" w:eastAsia="宋体" w:cs="宋体"/>
          <w:color w:val="auto"/>
          <w:spacing w:val="-2"/>
          <w:sz w:val="24"/>
          <w:szCs w:val="24"/>
          <w:highlight w:val="none"/>
        </w:rPr>
        <w:t>工程设备）应再次进行检查和检验。由此增</w:t>
      </w:r>
      <w:r>
        <w:rPr>
          <w:rFonts w:hint="eastAsia" w:ascii="宋体" w:hAnsi="宋体" w:eastAsia="宋体" w:cs="宋体"/>
          <w:color w:val="auto"/>
          <w:spacing w:val="-1"/>
          <w:sz w:val="24"/>
          <w:szCs w:val="24"/>
          <w:highlight w:val="none"/>
        </w:rPr>
        <w:t>加的费用和（或）工期延误由承包人承担。</w:t>
      </w:r>
    </w:p>
    <w:p w14:paraId="3BFF8CF0">
      <w:pPr>
        <w:spacing w:before="152" w:line="360" w:lineRule="auto"/>
        <w:ind w:left="8" w:right="38" w:firstLine="559"/>
        <w:rPr>
          <w:rFonts w:hint="eastAsia" w:ascii="宋体" w:hAnsi="宋体" w:eastAsia="宋体" w:cs="宋体"/>
          <w:color w:val="auto"/>
          <w:spacing w:val="-1"/>
          <w:sz w:val="24"/>
          <w:szCs w:val="24"/>
          <w:highlight w:val="none"/>
        </w:rPr>
      </w:pPr>
      <w:r>
        <w:rPr>
          <w:rFonts w:hint="eastAsia" w:ascii="宋体" w:hAnsi="宋体" w:eastAsia="宋体" w:cs="宋体"/>
          <w:b/>
          <w:bCs/>
          <w:color w:val="auto"/>
          <w:spacing w:val="-1"/>
          <w:sz w:val="24"/>
          <w:szCs w:val="24"/>
          <w:highlight w:val="none"/>
        </w:rPr>
        <w:t xml:space="preserve">2.9 </w:t>
      </w:r>
      <w:r>
        <w:rPr>
          <w:rFonts w:hint="eastAsia" w:ascii="宋体" w:hAnsi="宋体" w:eastAsia="宋体" w:cs="宋体"/>
          <w:color w:val="auto"/>
          <w:spacing w:val="-1"/>
          <w:sz w:val="24"/>
          <w:szCs w:val="24"/>
          <w:highlight w:val="none"/>
        </w:rPr>
        <w:t>承包人已标价工程量清单中没有的材料（或工程设备）结算价格确定原则：按施工当月项目所在地工程造价管理机构发布的信息价格；若当地信息价格缺项的，由承包人根据变更工程资料依次参考韶关、清远、佛山、东莞、肇庆、惠州、广州等广东省内地区信息价执行；若以上城市均没有信息价则按厂商信息价、电商平台价格（优先从京东、国美、苏宁等大型电商平台查询取其平均价）；若以上方式均无法确定材料价格的，则采用厂商报价或市场询价等方式取得有合法依据的市场价格，报发包人确认。</w:t>
      </w:r>
    </w:p>
    <w:p w14:paraId="2CF9924F">
      <w:pPr>
        <w:spacing w:before="151" w:line="360" w:lineRule="auto"/>
        <w:ind w:left="476"/>
        <w:outlineLvl w:val="2"/>
        <w:rPr>
          <w:rFonts w:hint="eastAsia" w:ascii="宋体" w:hAnsi="宋体" w:eastAsia="宋体" w:cs="宋体"/>
          <w:b/>
          <w:bCs/>
          <w:color w:val="auto"/>
          <w:spacing w:val="-11"/>
          <w:sz w:val="24"/>
          <w:szCs w:val="24"/>
          <w:highlight w:val="none"/>
        </w:rPr>
      </w:pPr>
      <w:bookmarkStart w:id="191" w:name="_Toc1816"/>
      <w:bookmarkStart w:id="192" w:name="_Toc21454"/>
      <w:bookmarkStart w:id="193" w:name="_Toc10496"/>
      <w:r>
        <w:rPr>
          <w:rFonts w:hint="eastAsia" w:ascii="宋体" w:hAnsi="宋体" w:eastAsia="宋体" w:cs="宋体"/>
          <w:b/>
          <w:bCs/>
          <w:color w:val="auto"/>
          <w:spacing w:val="-11"/>
          <w:sz w:val="24"/>
          <w:szCs w:val="24"/>
          <w:highlight w:val="none"/>
        </w:rPr>
        <w:t>3. 工程付款办法</w:t>
      </w:r>
      <w:bookmarkEnd w:id="191"/>
      <w:bookmarkEnd w:id="192"/>
    </w:p>
    <w:p w14:paraId="6C19C70B">
      <w:pPr>
        <w:spacing w:before="155" w:line="360" w:lineRule="auto"/>
        <w:ind w:left="12" w:right="231" w:firstLine="476"/>
        <w:rPr>
          <w:rFonts w:hint="eastAsia" w:ascii="宋体" w:hAnsi="宋体" w:eastAsia="宋体" w:cs="宋体"/>
          <w:b/>
          <w:bCs/>
          <w:color w:val="auto"/>
          <w:spacing w:val="2"/>
          <w:sz w:val="24"/>
          <w:szCs w:val="24"/>
          <w:highlight w:val="none"/>
        </w:rPr>
      </w:pPr>
      <w:bookmarkStart w:id="194" w:name="_Toc5331"/>
      <w:r>
        <w:rPr>
          <w:rFonts w:hint="eastAsia" w:ascii="宋体" w:hAnsi="宋体" w:eastAsia="宋体" w:cs="宋体"/>
          <w:b/>
          <w:bCs/>
          <w:color w:val="auto"/>
          <w:spacing w:val="2"/>
          <w:sz w:val="24"/>
          <w:szCs w:val="24"/>
          <w:highlight w:val="none"/>
        </w:rPr>
        <w:t>3.1</w:t>
      </w:r>
      <w:r>
        <w:rPr>
          <w:rFonts w:hint="eastAsia" w:ascii="宋体" w:hAnsi="宋体" w:eastAsia="宋体" w:cs="宋体"/>
          <w:b w:val="0"/>
          <w:bCs w:val="0"/>
          <w:color w:val="auto"/>
          <w:spacing w:val="2"/>
          <w:sz w:val="24"/>
          <w:szCs w:val="24"/>
          <w:highlight w:val="none"/>
        </w:rPr>
        <w:t>本项目</w:t>
      </w:r>
      <w:r>
        <w:rPr>
          <w:rFonts w:hint="eastAsia" w:ascii="宋体" w:hAnsi="宋体" w:eastAsia="宋体" w:cs="宋体"/>
          <w:b w:val="0"/>
          <w:bCs w:val="0"/>
          <w:color w:val="auto"/>
          <w:spacing w:val="2"/>
          <w:sz w:val="24"/>
          <w:szCs w:val="24"/>
          <w:highlight w:val="none"/>
          <w:u w:val="single"/>
        </w:rPr>
        <w:t>支付</w:t>
      </w:r>
      <w:r>
        <w:rPr>
          <w:rFonts w:hint="eastAsia" w:ascii="宋体" w:hAnsi="宋体" w:eastAsia="宋体" w:cs="宋体"/>
          <w:b w:val="0"/>
          <w:bCs w:val="0"/>
          <w:color w:val="auto"/>
          <w:spacing w:val="2"/>
          <w:sz w:val="24"/>
          <w:szCs w:val="24"/>
          <w:highlight w:val="none"/>
        </w:rPr>
        <w:t>施工预付款。</w:t>
      </w:r>
      <w:bookmarkEnd w:id="194"/>
    </w:p>
    <w:p w14:paraId="22B84E87">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1"/>
          <w:sz w:val="24"/>
          <w:szCs w:val="24"/>
          <w:highlight w:val="none"/>
        </w:rPr>
        <w:t xml:space="preserve">3.2 </w:t>
      </w:r>
      <w:r>
        <w:rPr>
          <w:rStyle w:val="48"/>
          <w:rFonts w:hint="eastAsia" w:ascii="宋体" w:hAnsi="宋体" w:eastAsia="宋体" w:cs="宋体"/>
          <w:color w:val="auto"/>
          <w:kern w:val="0"/>
          <w:sz w:val="24"/>
          <w:szCs w:val="24"/>
          <w:highlight w:val="none"/>
        </w:rPr>
        <w:t>施工预付款必须专用于合同工程，并按以下原则支付和抵扣：</w:t>
      </w:r>
    </w:p>
    <w:p w14:paraId="349A7BD1">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rPr>
        <w:t xml:space="preserve">3.2.1 </w:t>
      </w:r>
      <w:r>
        <w:rPr>
          <w:rStyle w:val="48"/>
          <w:rFonts w:hint="eastAsia" w:ascii="宋体" w:hAnsi="宋体" w:eastAsia="宋体" w:cs="宋体"/>
          <w:color w:val="auto"/>
          <w:kern w:val="0"/>
          <w:sz w:val="24"/>
          <w:szCs w:val="24"/>
          <w:highlight w:val="none"/>
        </w:rPr>
        <w:t>施工预付款支付比例为：按施工合同价的</w:t>
      </w:r>
      <w:r>
        <w:rPr>
          <w:rStyle w:val="48"/>
          <w:rFonts w:hint="eastAsia" w:ascii="宋体" w:hAnsi="宋体" w:eastAsia="宋体" w:cs="宋体"/>
          <w:b/>
          <w:bCs/>
          <w:color w:val="auto"/>
          <w:kern w:val="0"/>
          <w:sz w:val="24"/>
          <w:szCs w:val="24"/>
          <w:highlight w:val="none"/>
          <w:u w:val="single"/>
        </w:rPr>
        <w:t>30%</w:t>
      </w:r>
      <w:r>
        <w:rPr>
          <w:rStyle w:val="48"/>
          <w:rFonts w:hint="eastAsia" w:ascii="宋体" w:hAnsi="宋体" w:eastAsia="宋体" w:cs="宋体"/>
          <w:color w:val="auto"/>
          <w:kern w:val="0"/>
          <w:sz w:val="24"/>
          <w:szCs w:val="24"/>
          <w:highlight w:val="none"/>
        </w:rPr>
        <w:t>支付（暂列金除外</w:t>
      </w:r>
      <w:r>
        <w:rPr>
          <w:rStyle w:val="48"/>
          <w:rFonts w:hint="eastAsia" w:ascii="宋体" w:hAnsi="宋体" w:eastAsia="宋体" w:cs="宋体"/>
          <w:color w:val="auto"/>
          <w:kern w:val="0"/>
          <w:sz w:val="24"/>
          <w:szCs w:val="24"/>
          <w:highlight w:val="none"/>
          <w:lang w:eastAsia="zh-CN"/>
        </w:rPr>
        <w:t>，其中合同总价的5%直接拨付至农民工工资专用账户，留存至最后一期支付进度款时全额扣回)</w:t>
      </w:r>
      <w:r>
        <w:rPr>
          <w:rStyle w:val="48"/>
          <w:rFonts w:hint="eastAsia" w:ascii="宋体" w:hAnsi="宋体" w:eastAsia="宋体" w:cs="宋体"/>
          <w:color w:val="auto"/>
          <w:kern w:val="0"/>
          <w:sz w:val="24"/>
          <w:szCs w:val="24"/>
          <w:highlight w:val="none"/>
        </w:rPr>
        <w:t>。</w:t>
      </w:r>
    </w:p>
    <w:p w14:paraId="7BF7F0FD">
      <w:pPr>
        <w:keepNext w:val="0"/>
        <w:keepLines w:val="0"/>
        <w:pageBreakBefore w:val="0"/>
        <w:widowControl/>
        <w:kinsoku/>
        <w:wordWrap/>
        <w:overflowPunct/>
        <w:topLinePunct w:val="0"/>
        <w:autoSpaceDE/>
        <w:autoSpaceDN/>
        <w:bidi w:val="0"/>
        <w:adjustRightInd/>
        <w:snapToGrid w:val="0"/>
        <w:spacing w:line="360" w:lineRule="auto"/>
        <w:ind w:firstLine="482" w:firstLineChars="200"/>
        <w:textAlignment w:val="baseline"/>
        <w:rPr>
          <w:rStyle w:val="48"/>
          <w:rFonts w:hint="eastAsia" w:ascii="宋体" w:hAnsi="宋体" w:eastAsia="宋体" w:cs="宋体"/>
          <w:color w:val="auto"/>
          <w:kern w:val="0"/>
          <w:sz w:val="24"/>
          <w:szCs w:val="24"/>
          <w:highlight w:val="none"/>
          <w:lang w:eastAsia="zh-CN"/>
        </w:rPr>
      </w:pPr>
      <w:r>
        <w:rPr>
          <w:rStyle w:val="48"/>
          <w:rFonts w:hint="eastAsia" w:ascii="宋体" w:hAnsi="宋体" w:eastAsia="宋体" w:cs="宋体"/>
          <w:b/>
          <w:bCs/>
          <w:color w:val="auto"/>
          <w:kern w:val="0"/>
          <w:sz w:val="24"/>
          <w:szCs w:val="24"/>
          <w:highlight w:val="none"/>
        </w:rPr>
        <w:t>3.2.2</w:t>
      </w:r>
      <w:r>
        <w:rPr>
          <w:rStyle w:val="48"/>
          <w:rFonts w:hint="eastAsia" w:ascii="宋体" w:hAnsi="宋体" w:eastAsia="宋体" w:cs="宋体"/>
          <w:color w:val="auto"/>
          <w:kern w:val="0"/>
          <w:sz w:val="24"/>
          <w:szCs w:val="24"/>
          <w:highlight w:val="none"/>
        </w:rPr>
        <w:t xml:space="preserve"> </w:t>
      </w:r>
      <w:r>
        <w:rPr>
          <w:rStyle w:val="48"/>
          <w:rFonts w:hint="eastAsia" w:ascii="宋体" w:hAnsi="宋体" w:eastAsia="宋体" w:cs="宋体"/>
          <w:b w:val="0"/>
          <w:bCs w:val="0"/>
          <w:color w:val="auto"/>
          <w:kern w:val="0"/>
          <w:sz w:val="24"/>
          <w:szCs w:val="24"/>
          <w:highlight w:val="none"/>
        </w:rPr>
        <w:t>本招标项目</w:t>
      </w:r>
      <w:r>
        <w:rPr>
          <w:rStyle w:val="48"/>
          <w:rFonts w:hint="eastAsia" w:ascii="宋体" w:hAnsi="宋体" w:eastAsia="宋体" w:cs="宋体"/>
          <w:b/>
          <w:bCs/>
          <w:color w:val="auto"/>
          <w:kern w:val="0"/>
          <w:sz w:val="24"/>
          <w:szCs w:val="24"/>
          <w:highlight w:val="none"/>
          <w:u w:val="single"/>
          <w:lang w:val="en-US" w:eastAsia="zh-CN" w:bidi="ar-SA"/>
        </w:rPr>
        <w:t>要求</w:t>
      </w:r>
      <w:r>
        <w:rPr>
          <w:rStyle w:val="48"/>
          <w:rFonts w:hint="eastAsia" w:ascii="宋体" w:hAnsi="宋体" w:eastAsia="宋体" w:cs="宋体"/>
          <w:b w:val="0"/>
          <w:bCs w:val="0"/>
          <w:color w:val="auto"/>
          <w:kern w:val="0"/>
          <w:sz w:val="24"/>
          <w:szCs w:val="24"/>
          <w:highlight w:val="none"/>
        </w:rPr>
        <w:t>承包人提</w:t>
      </w:r>
      <w:r>
        <w:rPr>
          <w:rStyle w:val="48"/>
          <w:rFonts w:hint="eastAsia" w:ascii="宋体" w:hAnsi="宋体" w:eastAsia="宋体" w:cs="宋体"/>
          <w:color w:val="auto"/>
          <w:kern w:val="0"/>
          <w:sz w:val="24"/>
          <w:szCs w:val="24"/>
          <w:highlight w:val="none"/>
        </w:rPr>
        <w:t>供与预付款等额的预付款保函</w:t>
      </w:r>
      <w:r>
        <w:rPr>
          <w:rStyle w:val="48"/>
          <w:rFonts w:hint="eastAsia" w:ascii="宋体" w:hAnsi="宋体" w:eastAsia="宋体" w:cs="宋体"/>
          <w:color w:val="auto"/>
          <w:kern w:val="0"/>
          <w:sz w:val="24"/>
          <w:szCs w:val="24"/>
          <w:highlight w:val="none"/>
          <w:lang w:eastAsia="zh-CN"/>
        </w:rPr>
        <w:t>，</w:t>
      </w:r>
      <w:r>
        <w:rPr>
          <w:rStyle w:val="48"/>
          <w:rFonts w:hint="eastAsia" w:ascii="宋体" w:hAnsi="宋体" w:eastAsia="宋体" w:cs="宋体"/>
          <w:color w:val="auto"/>
          <w:kern w:val="0"/>
          <w:sz w:val="24"/>
          <w:szCs w:val="24"/>
          <w:highlight w:val="none"/>
        </w:rPr>
        <w:t>且预付款保函期限原则上不少于总工期的一半，且承包单位的预付款保函有效期应保证在扣回预付款前有效，未扣回预付款但保函过期的承包人应重新开具预付款保函。</w:t>
      </w:r>
    </w:p>
    <w:p w14:paraId="413BF5F8">
      <w:pPr>
        <w:keepNext w:val="0"/>
        <w:keepLines w:val="0"/>
        <w:widowControl/>
        <w:suppressLineNumbers w:val="0"/>
        <w:spacing w:line="360" w:lineRule="auto"/>
        <w:ind w:firstLine="482" w:firstLineChars="200"/>
        <w:jc w:val="left"/>
        <w:rPr>
          <w:rStyle w:val="48"/>
          <w:rFonts w:hint="eastAsia" w:ascii="宋体" w:hAnsi="宋体" w:eastAsia="宋体" w:cs="宋体"/>
          <w:color w:val="auto"/>
          <w:kern w:val="0"/>
          <w:sz w:val="24"/>
          <w:szCs w:val="24"/>
          <w:highlight w:val="none"/>
          <w:lang w:eastAsia="zh-CN"/>
        </w:rPr>
      </w:pPr>
      <w:r>
        <w:rPr>
          <w:rStyle w:val="48"/>
          <w:rFonts w:hint="eastAsia" w:ascii="宋体" w:hAnsi="宋体" w:eastAsia="宋体" w:cs="宋体"/>
          <w:b/>
          <w:bCs/>
          <w:color w:val="auto"/>
          <w:kern w:val="0"/>
          <w:sz w:val="24"/>
          <w:szCs w:val="24"/>
          <w:highlight w:val="none"/>
        </w:rPr>
        <w:t>3.2.3</w:t>
      </w:r>
      <w:r>
        <w:rPr>
          <w:rStyle w:val="48"/>
          <w:rFonts w:hint="eastAsia" w:ascii="宋体" w:hAnsi="宋体" w:eastAsia="宋体" w:cs="宋体"/>
          <w:color w:val="auto"/>
          <w:kern w:val="0"/>
          <w:sz w:val="24"/>
          <w:szCs w:val="24"/>
          <w:highlight w:val="none"/>
        </w:rPr>
        <w:t xml:space="preserve"> </w:t>
      </w:r>
      <w:r>
        <w:rPr>
          <w:rStyle w:val="48"/>
          <w:rFonts w:hint="eastAsia" w:ascii="宋体" w:hAnsi="宋体" w:eastAsia="宋体" w:cs="宋体"/>
          <w:b w:val="0"/>
          <w:bCs w:val="0"/>
          <w:color w:val="auto"/>
          <w:kern w:val="0"/>
          <w:sz w:val="24"/>
          <w:szCs w:val="24"/>
          <w:highlight w:val="none"/>
        </w:rPr>
        <w:t>承包人应在签订合同后，在</w:t>
      </w:r>
      <w:r>
        <w:rPr>
          <w:rStyle w:val="48"/>
          <w:rFonts w:hint="eastAsia" w:ascii="宋体" w:hAnsi="宋体" w:eastAsia="宋体" w:cs="宋体"/>
          <w:b/>
          <w:bCs/>
          <w:color w:val="auto"/>
          <w:kern w:val="0"/>
          <w:sz w:val="24"/>
          <w:szCs w:val="24"/>
          <w:highlight w:val="none"/>
        </w:rPr>
        <w:t>提供符合要求的预付款保函或预付款保险</w:t>
      </w:r>
      <w:r>
        <w:rPr>
          <w:rStyle w:val="48"/>
          <w:rFonts w:hint="eastAsia" w:ascii="宋体" w:hAnsi="宋体" w:eastAsia="宋体" w:cs="宋体"/>
          <w:b w:val="0"/>
          <w:bCs w:val="0"/>
          <w:color w:val="auto"/>
          <w:kern w:val="0"/>
          <w:sz w:val="24"/>
          <w:szCs w:val="24"/>
          <w:highlight w:val="none"/>
        </w:rPr>
        <w:t>及在具备施工条件的前提下，向发包人提交预付款支付申请</w:t>
      </w:r>
      <w:r>
        <w:rPr>
          <w:rStyle w:val="48"/>
          <w:rFonts w:hint="eastAsia" w:ascii="宋体" w:hAnsi="宋体" w:eastAsia="宋体" w:cs="宋体"/>
          <w:b w:val="0"/>
          <w:bCs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bidi="ar"/>
        </w:rPr>
        <w:t>发包人应对在收到支付申请的7天内进行核实后向承包人发出预付款支付证书，并在签发支付证书后的7天内向承包人支付预付款。凡未签订合同或不具备施工条件的工程，发包人不得预付工程款。</w:t>
      </w:r>
    </w:p>
    <w:p w14:paraId="4016FF78">
      <w:pPr>
        <w:keepNext w:val="0"/>
        <w:keepLines w:val="0"/>
        <w:widowControl/>
        <w:suppressLineNumbers w:val="0"/>
        <w:spacing w:line="360" w:lineRule="auto"/>
        <w:ind w:firstLine="482" w:firstLineChars="200"/>
        <w:jc w:val="left"/>
        <w:rPr>
          <w:rFonts w:hint="eastAsia" w:ascii="宋体" w:hAnsi="宋体" w:eastAsia="宋体" w:cs="宋体"/>
          <w:snapToGrid w:val="0"/>
          <w:color w:val="auto"/>
          <w:kern w:val="0"/>
          <w:sz w:val="24"/>
          <w:szCs w:val="24"/>
          <w:highlight w:val="none"/>
          <w:lang w:val="en-US" w:eastAsia="zh-CN" w:bidi="ar"/>
        </w:rPr>
      </w:pPr>
      <w:r>
        <w:rPr>
          <w:rStyle w:val="48"/>
          <w:rFonts w:hint="eastAsia" w:ascii="宋体" w:hAnsi="宋体" w:eastAsia="宋体" w:cs="宋体"/>
          <w:b/>
          <w:bCs/>
          <w:color w:val="auto"/>
          <w:sz w:val="24"/>
          <w:szCs w:val="24"/>
          <w:highlight w:val="none"/>
        </w:rPr>
        <w:t>3.2.4</w:t>
      </w:r>
      <w:r>
        <w:rPr>
          <w:rStyle w:val="48"/>
          <w:rFonts w:hint="eastAsia" w:ascii="宋体" w:hAnsi="宋体" w:eastAsia="宋体" w:cs="宋体"/>
          <w:color w:val="auto"/>
          <w:sz w:val="24"/>
          <w:szCs w:val="24"/>
          <w:highlight w:val="none"/>
        </w:rPr>
        <w:t xml:space="preserve"> </w:t>
      </w:r>
      <w:r>
        <w:rPr>
          <w:rFonts w:hint="eastAsia" w:ascii="宋体" w:hAnsi="宋体" w:eastAsia="宋体" w:cs="宋体"/>
          <w:snapToGrid w:val="0"/>
          <w:color w:val="auto"/>
          <w:kern w:val="0"/>
          <w:sz w:val="24"/>
          <w:szCs w:val="24"/>
          <w:highlight w:val="none"/>
        </w:rPr>
        <w:t>发包人没有按时支付预付款的，承包人可催告发包人支付；</w:t>
      </w:r>
      <w:r>
        <w:rPr>
          <w:rFonts w:hint="eastAsia" w:ascii="宋体" w:hAnsi="宋体" w:eastAsia="宋体" w:cs="宋体"/>
          <w:snapToGrid w:val="0"/>
          <w:color w:val="auto"/>
          <w:kern w:val="0"/>
          <w:sz w:val="24"/>
          <w:szCs w:val="24"/>
          <w:highlight w:val="none"/>
          <w:lang w:val="en-US" w:eastAsia="zh-CN" w:bidi="ar"/>
        </w:rPr>
        <w:t>发包人在付款期满后的 7 天内仍未支付的，承包人可在付款期满后的第 8 天起暂停施工。发包人应向承包人支付应付款的利息（从付款期满后之日起计算，利率按同期银行贷款利率计算），并承担违约责任。</w:t>
      </w:r>
    </w:p>
    <w:p w14:paraId="389FDCE0">
      <w:pPr>
        <w:keepNext w:val="0"/>
        <w:keepLines w:val="0"/>
        <w:widowControl/>
        <w:suppressLineNumbers w:val="0"/>
        <w:spacing w:line="360" w:lineRule="auto"/>
        <w:ind w:firstLine="482" w:firstLineChars="200"/>
        <w:jc w:val="left"/>
        <w:rPr>
          <w:rFonts w:hint="eastAsia" w:ascii="宋体" w:hAnsi="宋体" w:eastAsia="宋体" w:cs="宋体"/>
          <w:snapToGrid w:val="0"/>
          <w:color w:val="auto"/>
          <w:kern w:val="0"/>
          <w:sz w:val="24"/>
          <w:szCs w:val="24"/>
          <w:highlight w:val="none"/>
          <w:lang w:val="en-US" w:eastAsia="zh-CN" w:bidi="ar"/>
        </w:rPr>
      </w:pPr>
      <w:r>
        <w:rPr>
          <w:rFonts w:hint="eastAsia" w:ascii="宋体" w:hAnsi="宋体" w:eastAsia="宋体" w:cs="宋体"/>
          <w:b/>
          <w:bCs/>
          <w:snapToGrid w:val="0"/>
          <w:color w:val="auto"/>
          <w:kern w:val="0"/>
          <w:sz w:val="24"/>
          <w:szCs w:val="24"/>
          <w:highlight w:val="none"/>
          <w:lang w:val="en-US" w:eastAsia="zh-CN" w:bidi="ar"/>
        </w:rPr>
        <w:t>3.2.5</w:t>
      </w:r>
      <w:r>
        <w:rPr>
          <w:rFonts w:hint="eastAsia" w:ascii="宋体" w:hAnsi="宋体" w:eastAsia="宋体" w:cs="宋体"/>
          <w:snapToGrid w:val="0"/>
          <w:color w:val="auto"/>
          <w:kern w:val="0"/>
          <w:sz w:val="24"/>
          <w:szCs w:val="24"/>
          <w:highlight w:val="none"/>
          <w:lang w:val="en-US" w:eastAsia="zh-CN" w:bidi="ar"/>
        </w:rPr>
        <w:t xml:space="preserve"> 预付款应从每支付期应支付给承包人的工程进度款中扣回，每次扣回比例为进度款的50%。直到扣回的金额达到合同约定的预付款金额为止。</w:t>
      </w:r>
    </w:p>
    <w:p w14:paraId="5BC15050">
      <w:pPr>
        <w:pStyle w:val="51"/>
        <w:keepNext w:val="0"/>
        <w:keepLines w:val="0"/>
        <w:pageBreakBefore w:val="0"/>
        <w:widowControl/>
        <w:kinsoku/>
        <w:wordWrap/>
        <w:overflowPunct/>
        <w:topLinePunct w:val="0"/>
        <w:autoSpaceDE/>
        <w:autoSpaceDN/>
        <w:bidi w:val="0"/>
        <w:adjustRightInd/>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Style w:val="48"/>
          <w:rFonts w:hint="eastAsia" w:ascii="宋体" w:hAnsi="宋体" w:eastAsia="宋体" w:cs="宋体"/>
          <w:b/>
          <w:bCs/>
          <w:color w:val="auto"/>
          <w:kern w:val="1"/>
          <w:sz w:val="24"/>
          <w:szCs w:val="24"/>
          <w:highlight w:val="none"/>
        </w:rPr>
        <w:t xml:space="preserve">3.3 </w:t>
      </w:r>
      <w:r>
        <w:rPr>
          <w:rFonts w:hint="eastAsia" w:ascii="宋体" w:hAnsi="宋体" w:eastAsia="宋体" w:cs="宋体"/>
          <w:snapToGrid w:val="0"/>
          <w:color w:val="auto"/>
          <w:kern w:val="0"/>
          <w:sz w:val="24"/>
          <w:szCs w:val="24"/>
          <w:highlight w:val="none"/>
        </w:rPr>
        <w:t>施工过程中按月申报工程进度款：自首次申报工程进度款起，承包人每月按工程实际完成工程量（含变更及增加工程）申报，承包人必须将《已完成工程量报表》和《工程付款申请书》于当月26日前报监理单位核</w:t>
      </w:r>
      <w:bookmarkStart w:id="195" w:name="_Hlt127094354"/>
      <w:bookmarkEnd w:id="195"/>
      <w:r>
        <w:rPr>
          <w:rFonts w:hint="eastAsia" w:ascii="宋体" w:hAnsi="宋体" w:eastAsia="宋体" w:cs="宋体"/>
          <w:snapToGrid w:val="0"/>
          <w:color w:val="auto"/>
          <w:kern w:val="0"/>
          <w:sz w:val="24"/>
          <w:szCs w:val="24"/>
          <w:highlight w:val="none"/>
        </w:rPr>
        <w:t>实。经监理单位审核、发包人审定后的工程进度款（指已经按照合同约定，扣除该支付期内因承包人违约而应扣除的管理费），申报后按</w:t>
      </w:r>
      <w:r>
        <w:rPr>
          <w:rFonts w:hint="eastAsia" w:ascii="宋体" w:hAnsi="宋体" w:eastAsia="宋体" w:cs="宋体"/>
          <w:snapToGrid w:val="0"/>
          <w:color w:val="auto"/>
          <w:kern w:val="0"/>
          <w:sz w:val="24"/>
          <w:szCs w:val="24"/>
          <w:highlight w:val="none"/>
          <w:lang w:eastAsia="zh-CN"/>
        </w:rPr>
        <w:t>资金</w:t>
      </w:r>
      <w:r>
        <w:rPr>
          <w:rFonts w:hint="eastAsia" w:ascii="宋体" w:hAnsi="宋体" w:eastAsia="宋体" w:cs="宋体"/>
          <w:snapToGrid w:val="0"/>
          <w:color w:val="auto"/>
          <w:kern w:val="0"/>
          <w:sz w:val="24"/>
          <w:szCs w:val="24"/>
          <w:highlight w:val="none"/>
        </w:rPr>
        <w:t>拨付到位实际情况进行支付。</w:t>
      </w:r>
    </w:p>
    <w:p w14:paraId="3C2657F7">
      <w:pPr>
        <w:spacing w:line="360" w:lineRule="auto"/>
        <w:ind w:firstLine="482"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 xml:space="preserve">3.4 </w:t>
      </w:r>
      <w:r>
        <w:rPr>
          <w:rFonts w:hint="eastAsia" w:ascii="宋体" w:hAnsi="宋体" w:eastAsia="宋体" w:cs="宋体"/>
          <w:snapToGrid w:val="0"/>
          <w:color w:val="auto"/>
          <w:kern w:val="0"/>
          <w:sz w:val="24"/>
          <w:szCs w:val="24"/>
          <w:highlight w:val="none"/>
        </w:rPr>
        <w:t>每月的工程进度款按工程实际完成工程量的</w:t>
      </w:r>
      <w:r>
        <w:rPr>
          <w:rFonts w:hint="eastAsia" w:ascii="宋体" w:hAnsi="宋体" w:eastAsia="宋体" w:cs="宋体"/>
          <w:snapToGrid w:val="0"/>
          <w:color w:val="auto"/>
          <w:kern w:val="0"/>
          <w:sz w:val="24"/>
          <w:szCs w:val="24"/>
          <w:highlight w:val="none"/>
          <w:u w:val="single"/>
          <w:lang w:val="en-US" w:eastAsia="zh-CN"/>
        </w:rPr>
        <w:t>80</w:t>
      </w:r>
      <w:r>
        <w:rPr>
          <w:rFonts w:hint="eastAsia" w:ascii="宋体" w:hAnsi="宋体" w:eastAsia="宋体" w:cs="宋体"/>
          <w:snapToGrid w:val="0"/>
          <w:color w:val="auto"/>
          <w:kern w:val="0"/>
          <w:sz w:val="24"/>
          <w:szCs w:val="24"/>
          <w:highlight w:val="none"/>
          <w:u w:val="single"/>
        </w:rPr>
        <w:t>%</w:t>
      </w:r>
      <w:r>
        <w:rPr>
          <w:rFonts w:hint="eastAsia" w:ascii="宋体" w:hAnsi="宋体" w:eastAsia="宋体" w:cs="宋体"/>
          <w:snapToGrid w:val="0"/>
          <w:color w:val="auto"/>
          <w:kern w:val="0"/>
          <w:sz w:val="24"/>
          <w:szCs w:val="24"/>
          <w:highlight w:val="none"/>
        </w:rPr>
        <w:t>申请支付，并从每次进度款中按50%的比例同步扣回预付款</w:t>
      </w:r>
      <w:r>
        <w:rPr>
          <w:rFonts w:hint="eastAsia" w:ascii="宋体" w:hAnsi="宋体" w:eastAsia="宋体" w:cs="宋体"/>
          <w:snapToGrid w:val="0"/>
          <w:color w:val="auto"/>
          <w:kern w:val="0"/>
          <w:sz w:val="24"/>
          <w:szCs w:val="24"/>
          <w:highlight w:val="none"/>
          <w:lang w:eastAsia="zh-CN"/>
        </w:rPr>
        <w:t>，预付款在首次申请进度款时开始扣回，直至全部扣完终止</w:t>
      </w:r>
      <w:r>
        <w:rPr>
          <w:rFonts w:hint="eastAsia" w:ascii="宋体" w:hAnsi="宋体" w:eastAsia="宋体" w:cs="宋体"/>
          <w:snapToGrid w:val="0"/>
          <w:color w:val="auto"/>
          <w:kern w:val="0"/>
          <w:sz w:val="24"/>
          <w:szCs w:val="24"/>
          <w:highlight w:val="none"/>
        </w:rPr>
        <w:t>。工程进度款中的作业工人工资款项由发包人单独足额拨付到承包人的工资专户。</w:t>
      </w:r>
    </w:p>
    <w:p w14:paraId="61CB1179">
      <w:pPr>
        <w:keepNext w:val="0"/>
        <w:keepLines w:val="0"/>
        <w:pageBreakBefore w:val="0"/>
        <w:widowControl/>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w:t>
      </w:r>
      <w:r>
        <w:rPr>
          <w:rFonts w:hint="eastAsia" w:ascii="宋体" w:hAnsi="宋体" w:eastAsia="宋体" w:cs="宋体"/>
          <w:b/>
          <w:bCs/>
          <w:snapToGrid w:val="0"/>
          <w:color w:val="auto"/>
          <w:kern w:val="0"/>
          <w:sz w:val="24"/>
          <w:szCs w:val="24"/>
          <w:highlight w:val="none"/>
          <w:lang w:val="en-US" w:eastAsia="zh-CN"/>
        </w:rPr>
        <w:t>5</w:t>
      </w:r>
      <w:r>
        <w:rPr>
          <w:rFonts w:hint="eastAsia" w:ascii="宋体" w:hAnsi="宋体" w:eastAsia="宋体" w:cs="宋体"/>
          <w:snapToGrid w:val="0"/>
          <w:color w:val="auto"/>
          <w:kern w:val="0"/>
          <w:sz w:val="24"/>
          <w:szCs w:val="24"/>
          <w:highlight w:val="none"/>
        </w:rPr>
        <w:t xml:space="preserve"> 措施项目费中的“绿色施工安全防护措施费”拨付按照《广东省建设工程计价依据（2018）》执行，按照项目所在地的建设行政主管部门有关规定支付。发生一般事故及以上等级重大安全事故的，发包人可扣除承包人金额相当于所有“绿色施工安全防护措施费”的工程管理费。</w:t>
      </w:r>
    </w:p>
    <w:p w14:paraId="72D90F2C">
      <w:pPr>
        <w:keepNext w:val="0"/>
        <w:keepLines w:val="0"/>
        <w:pageBreakBefore w:val="0"/>
        <w:widowControl/>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w:t>
      </w:r>
      <w:r>
        <w:rPr>
          <w:rFonts w:hint="eastAsia" w:ascii="宋体" w:hAnsi="宋体" w:eastAsia="宋体" w:cs="宋体"/>
          <w:b/>
          <w:bCs/>
          <w:snapToGrid w:val="0"/>
          <w:color w:val="auto"/>
          <w:kern w:val="0"/>
          <w:sz w:val="24"/>
          <w:szCs w:val="24"/>
          <w:highlight w:val="none"/>
          <w:lang w:val="en-US" w:eastAsia="zh-CN"/>
        </w:rPr>
        <w:t>6</w:t>
      </w:r>
      <w:r>
        <w:rPr>
          <w:rFonts w:hint="eastAsia" w:ascii="宋体" w:hAnsi="宋体" w:eastAsia="宋体" w:cs="宋体"/>
          <w:snapToGrid w:val="0"/>
          <w:color w:val="auto"/>
          <w:kern w:val="0"/>
          <w:sz w:val="24"/>
          <w:szCs w:val="24"/>
          <w:highlight w:val="none"/>
        </w:rPr>
        <w:t xml:space="preserve"> 变更工程造价必须经监理单位核实，并经发包人核定后方可支付。</w:t>
      </w:r>
    </w:p>
    <w:p w14:paraId="60586C62">
      <w:pPr>
        <w:keepNext w:val="0"/>
        <w:keepLines w:val="0"/>
        <w:pageBreakBefore w:val="0"/>
        <w:widowControl/>
        <w:kinsoku/>
        <w:overflowPunct/>
        <w:topLinePunct w:val="0"/>
        <w:autoSpaceDE/>
        <w:autoSpaceDN/>
        <w:bidi w:val="0"/>
        <w:spacing w:line="360" w:lineRule="auto"/>
        <w:ind w:firstLine="482" w:firstLineChars="200"/>
        <w:textAlignment w:val="baseline"/>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w:t>
      </w:r>
      <w:r>
        <w:rPr>
          <w:rFonts w:hint="eastAsia" w:ascii="宋体" w:hAnsi="宋体" w:eastAsia="宋体" w:cs="宋体"/>
          <w:b/>
          <w:bCs/>
          <w:snapToGrid w:val="0"/>
          <w:color w:val="auto"/>
          <w:kern w:val="0"/>
          <w:sz w:val="24"/>
          <w:szCs w:val="24"/>
          <w:highlight w:val="none"/>
          <w:lang w:val="en-US" w:eastAsia="zh-CN"/>
        </w:rPr>
        <w:t>7</w:t>
      </w:r>
      <w:r>
        <w:rPr>
          <w:rFonts w:hint="eastAsia" w:ascii="宋体" w:hAnsi="宋体" w:eastAsia="宋体" w:cs="宋体"/>
          <w:snapToGrid w:val="0"/>
          <w:color w:val="auto"/>
          <w:kern w:val="0"/>
          <w:sz w:val="24"/>
          <w:szCs w:val="24"/>
          <w:highlight w:val="none"/>
        </w:rPr>
        <w:t xml:space="preserve"> 结算审核完成后，于次月支付至</w:t>
      </w:r>
      <w:r>
        <w:rPr>
          <w:rFonts w:hint="eastAsia" w:ascii="宋体" w:hAnsi="宋体" w:eastAsia="宋体" w:cs="宋体"/>
          <w:snapToGrid w:val="0"/>
          <w:color w:val="auto"/>
          <w:kern w:val="0"/>
          <w:sz w:val="24"/>
          <w:szCs w:val="24"/>
          <w:highlight w:val="none"/>
          <w:lang w:val="en-US" w:eastAsia="zh-CN"/>
        </w:rPr>
        <w:t>审核价</w:t>
      </w:r>
      <w:r>
        <w:rPr>
          <w:rFonts w:hint="eastAsia" w:ascii="宋体" w:hAnsi="宋体" w:eastAsia="宋体" w:cs="宋体"/>
          <w:snapToGrid w:val="0"/>
          <w:color w:val="auto"/>
          <w:kern w:val="0"/>
          <w:sz w:val="24"/>
          <w:szCs w:val="24"/>
          <w:highlight w:val="none"/>
        </w:rPr>
        <w:t>的97%，该项目为政府投资项目，具体支付时间以财政审核为准，剩余3%转为质量保证金</w:t>
      </w:r>
      <w:r>
        <w:rPr>
          <w:rFonts w:hint="eastAsia" w:ascii="宋体" w:hAnsi="宋体" w:eastAsia="宋体" w:cs="宋体"/>
          <w:snapToGrid w:val="0"/>
          <w:color w:val="auto"/>
          <w:kern w:val="0"/>
          <w:sz w:val="24"/>
          <w:szCs w:val="24"/>
          <w:highlight w:val="none"/>
          <w:lang w:eastAsia="zh-CN"/>
        </w:rPr>
        <w:t>。</w:t>
      </w:r>
      <w:r>
        <w:rPr>
          <w:rFonts w:hint="eastAsia" w:ascii="宋体" w:hAnsi="宋体" w:eastAsia="宋体" w:cs="宋体"/>
          <w:snapToGrid w:val="0"/>
          <w:color w:val="auto"/>
          <w:kern w:val="0"/>
          <w:sz w:val="24"/>
          <w:szCs w:val="24"/>
          <w:highlight w:val="none"/>
          <w:lang w:val="en-US" w:eastAsia="zh-CN"/>
        </w:rPr>
        <w:t>在承包人提供了等额的</w:t>
      </w:r>
      <w:r>
        <w:rPr>
          <w:rFonts w:hint="eastAsia" w:ascii="宋体" w:hAnsi="宋体" w:eastAsia="宋体" w:cs="宋体"/>
          <w:snapToGrid w:val="0"/>
          <w:color w:val="auto"/>
          <w:kern w:val="0"/>
          <w:sz w:val="24"/>
          <w:szCs w:val="24"/>
          <w:highlight w:val="none"/>
        </w:rPr>
        <w:t>质量保证金</w:t>
      </w:r>
      <w:r>
        <w:rPr>
          <w:rFonts w:hint="eastAsia" w:ascii="宋体" w:hAnsi="宋体" w:eastAsia="宋体" w:cs="宋体"/>
          <w:snapToGrid w:val="0"/>
          <w:color w:val="auto"/>
          <w:kern w:val="0"/>
          <w:sz w:val="24"/>
          <w:szCs w:val="24"/>
          <w:highlight w:val="none"/>
          <w:lang w:val="en-US" w:eastAsia="zh-CN"/>
        </w:rPr>
        <w:t>保函后，支付至审核价的100%</w:t>
      </w:r>
      <w:r>
        <w:rPr>
          <w:rFonts w:hint="eastAsia" w:ascii="宋体" w:hAnsi="宋体" w:eastAsia="宋体" w:cs="宋体"/>
          <w:snapToGrid w:val="0"/>
          <w:color w:val="auto"/>
          <w:kern w:val="0"/>
          <w:sz w:val="24"/>
          <w:szCs w:val="24"/>
          <w:highlight w:val="none"/>
        </w:rPr>
        <w:t>。</w:t>
      </w:r>
    </w:p>
    <w:p w14:paraId="528ED915">
      <w:pPr>
        <w:pageBreakBefore w:val="0"/>
        <w:widowControl/>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3.</w:t>
      </w:r>
      <w:r>
        <w:rPr>
          <w:rFonts w:hint="eastAsia" w:ascii="宋体" w:hAnsi="宋体" w:eastAsia="宋体" w:cs="宋体"/>
          <w:b/>
          <w:bCs/>
          <w:snapToGrid w:val="0"/>
          <w:color w:val="auto"/>
          <w:kern w:val="0"/>
          <w:sz w:val="24"/>
          <w:szCs w:val="24"/>
          <w:highlight w:val="none"/>
          <w:lang w:val="en-US" w:eastAsia="zh-CN"/>
        </w:rPr>
        <w:t xml:space="preserve">8 </w:t>
      </w:r>
      <w:r>
        <w:rPr>
          <w:rFonts w:hint="eastAsia" w:ascii="宋体" w:hAnsi="宋体" w:eastAsia="宋体" w:cs="宋体"/>
          <w:color w:val="auto"/>
          <w:sz w:val="24"/>
          <w:szCs w:val="24"/>
          <w:highlight w:val="none"/>
        </w:rPr>
        <w:t>本招标项目缺陷责任期为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u w:val="single"/>
          <w:lang w:val="en-US" w:eastAsia="zh-CN"/>
        </w:rPr>
        <w:t xml:space="preserve">2 </w:t>
      </w:r>
      <w:r>
        <w:rPr>
          <w:rFonts w:hint="eastAsia" w:ascii="宋体" w:hAnsi="宋体" w:eastAsia="宋体" w:cs="宋体"/>
          <w:color w:val="auto"/>
          <w:sz w:val="24"/>
          <w:szCs w:val="24"/>
          <w:highlight w:val="none"/>
        </w:rPr>
        <w:t>年（自通过竣工验收之日起计）。缺陷责任期到期后，承包人向发包人申请退还质量保证。发包人收到退还申请后，于14天内会同承包人进行核实。经双方核实且均无异议后，发包人在核实之日起 14 天内将应返保证金（或银行保函）退还承包人。</w:t>
      </w:r>
    </w:p>
    <w:p w14:paraId="0E928F79">
      <w:pPr>
        <w:pageBreakBefore w:val="0"/>
        <w:widowControl/>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rPr>
        <w:t>3.</w:t>
      </w:r>
      <w:r>
        <w:rPr>
          <w:rFonts w:hint="eastAsia" w:ascii="宋体" w:hAnsi="宋体" w:eastAsia="宋体" w:cs="宋体"/>
          <w:b/>
          <w:bCs/>
          <w:snapToGrid w:val="0"/>
          <w:color w:val="auto"/>
          <w:kern w:val="0"/>
          <w:sz w:val="24"/>
          <w:szCs w:val="24"/>
          <w:highlight w:val="none"/>
          <w:lang w:val="en-US" w:eastAsia="zh-CN"/>
        </w:rPr>
        <w:t xml:space="preserve">9 </w:t>
      </w:r>
      <w:r>
        <w:rPr>
          <w:rFonts w:hint="eastAsia" w:ascii="宋体" w:hAnsi="宋体" w:eastAsia="宋体" w:cs="宋体"/>
          <w:color w:val="auto"/>
          <w:sz w:val="24"/>
          <w:szCs w:val="24"/>
          <w:highlight w:val="none"/>
        </w:rPr>
        <w:t>发包人每次支付工程款前，承包人均应提供有效的增值税普通发票。如果承包人无法提供符合要求的发票，由此造成的相应损失由承包人承担。</w:t>
      </w:r>
    </w:p>
    <w:p w14:paraId="21867CBB">
      <w:pPr>
        <w:pageBreakBefore w:val="0"/>
        <w:widowControl/>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b/>
          <w:bCs/>
          <w:snapToGrid w:val="0"/>
          <w:color w:val="auto"/>
          <w:kern w:val="0"/>
          <w:sz w:val="24"/>
          <w:szCs w:val="24"/>
          <w:highlight w:val="none"/>
          <w:lang w:val="en-US" w:eastAsia="zh-CN"/>
        </w:rPr>
        <w:t xml:space="preserve">3.10 </w:t>
      </w:r>
      <w:r>
        <w:rPr>
          <w:rFonts w:hint="eastAsia" w:ascii="宋体" w:hAnsi="宋体" w:eastAsia="宋体" w:cs="宋体"/>
          <w:color w:val="auto"/>
          <w:sz w:val="24"/>
          <w:szCs w:val="24"/>
          <w:highlight w:val="none"/>
          <w:lang w:val="en-US" w:eastAsia="zh-CN"/>
        </w:rPr>
        <w:t>暂列金额支付方式：</w:t>
      </w:r>
      <w:r>
        <w:rPr>
          <w:rFonts w:hint="eastAsia" w:ascii="宋体" w:hAnsi="宋体" w:eastAsia="宋体" w:cs="宋体"/>
          <w:color w:val="auto"/>
          <w:sz w:val="24"/>
          <w:szCs w:val="24"/>
          <w:highlight w:val="none"/>
          <w:u w:val="single"/>
          <w:lang w:val="en-US" w:eastAsia="zh-CN"/>
        </w:rPr>
        <w:t>承包人需根据发包人发布的《工程变更管理办法》和《工程签证管理办法》完善工程变更签证相关程序后，与次月的工程进度款一并报送；若承包人原因未按上述办法在规定时间内完善工程变更签证相关程序的，次月工程进度款暂停拨付。在暂列金额的范围内，最终经发包人确认后支付至该部分实际完成工程量的50％，其余部分待最终结算完成审核后支付至97%，剩余3%为工程质量保修金。</w:t>
      </w:r>
      <w:r>
        <w:rPr>
          <w:rFonts w:hint="eastAsia" w:ascii="宋体" w:hAnsi="宋体" w:eastAsia="宋体" w:cs="宋体"/>
          <w:snapToGrid w:val="0"/>
          <w:color w:val="auto"/>
          <w:kern w:val="0"/>
          <w:sz w:val="24"/>
          <w:szCs w:val="24"/>
          <w:highlight w:val="none"/>
          <w:u w:val="single"/>
          <w:lang w:val="en-US" w:eastAsia="zh-CN"/>
        </w:rPr>
        <w:t>在承包人提供了等额的</w:t>
      </w:r>
      <w:r>
        <w:rPr>
          <w:rFonts w:hint="eastAsia" w:ascii="宋体" w:hAnsi="宋体" w:eastAsia="宋体" w:cs="宋体"/>
          <w:snapToGrid w:val="0"/>
          <w:color w:val="auto"/>
          <w:kern w:val="0"/>
          <w:sz w:val="24"/>
          <w:szCs w:val="24"/>
          <w:highlight w:val="none"/>
          <w:u w:val="single"/>
        </w:rPr>
        <w:t>质量保证金</w:t>
      </w:r>
      <w:r>
        <w:rPr>
          <w:rFonts w:hint="eastAsia" w:ascii="宋体" w:hAnsi="宋体" w:eastAsia="宋体" w:cs="宋体"/>
          <w:snapToGrid w:val="0"/>
          <w:color w:val="auto"/>
          <w:kern w:val="0"/>
          <w:sz w:val="24"/>
          <w:szCs w:val="24"/>
          <w:highlight w:val="none"/>
          <w:u w:val="single"/>
          <w:lang w:val="en-US" w:eastAsia="zh-CN"/>
        </w:rPr>
        <w:t>保函后，支付至审核价的100%</w:t>
      </w:r>
      <w:r>
        <w:rPr>
          <w:rFonts w:hint="eastAsia" w:ascii="宋体" w:hAnsi="宋体" w:eastAsia="宋体" w:cs="宋体"/>
          <w:snapToGrid w:val="0"/>
          <w:color w:val="auto"/>
          <w:kern w:val="0"/>
          <w:sz w:val="24"/>
          <w:szCs w:val="24"/>
          <w:highlight w:val="none"/>
        </w:rPr>
        <w:t>。</w:t>
      </w:r>
    </w:p>
    <w:p w14:paraId="5F7460DA">
      <w:pPr>
        <w:keepNext w:val="0"/>
        <w:keepLines w:val="0"/>
        <w:pageBreakBefore w:val="0"/>
        <w:kinsoku/>
        <w:overflowPunct/>
        <w:topLinePunct w:val="0"/>
        <w:autoSpaceDE/>
        <w:autoSpaceDN/>
        <w:bidi w:val="0"/>
        <w:snapToGrid w:val="0"/>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bidi="ar-SA"/>
        </w:rPr>
        <w:t xml:space="preserve">3.11 </w:t>
      </w:r>
      <w:r>
        <w:rPr>
          <w:rFonts w:hint="eastAsia" w:ascii="宋体" w:hAnsi="宋体" w:eastAsia="宋体" w:cs="宋体"/>
          <w:b w:val="0"/>
          <w:snapToGrid w:val="0"/>
          <w:color w:val="auto"/>
          <w:kern w:val="0"/>
          <w:sz w:val="24"/>
          <w:szCs w:val="24"/>
          <w:highlight w:val="none"/>
          <w:lang w:val="en-US" w:eastAsia="zh-CN" w:bidi="ar-SA"/>
        </w:rPr>
        <w:t>材料暂估价、专业工程暂估价支付方式：</w:t>
      </w:r>
      <w:r>
        <w:rPr>
          <w:rFonts w:hint="eastAsia" w:ascii="宋体" w:hAnsi="宋体" w:eastAsia="宋体" w:cs="宋体"/>
          <w:b w:val="0"/>
          <w:snapToGrid w:val="0"/>
          <w:color w:val="auto"/>
          <w:kern w:val="0"/>
          <w:sz w:val="24"/>
          <w:szCs w:val="24"/>
          <w:highlight w:val="none"/>
          <w:u w:val="single"/>
          <w:lang w:val="en-US" w:eastAsia="zh-CN" w:bidi="ar-SA"/>
        </w:rPr>
        <w:t>材料暂估价、专业工程暂估价与每个月的工程进度款一并报送，但需要列明详细项目内容，该部分材料暂估价、专业工程暂估价按该部分实际完成工程量的50%支付，剩余部分待最终结算完成后支付至97%，剩余3%为工程质量保修金。</w:t>
      </w:r>
    </w:p>
    <w:p w14:paraId="250F0574">
      <w:pPr>
        <w:spacing w:before="151" w:line="360" w:lineRule="auto"/>
        <w:ind w:left="476"/>
        <w:outlineLvl w:val="2"/>
        <w:rPr>
          <w:rFonts w:hint="eastAsia" w:ascii="宋体" w:hAnsi="宋体" w:eastAsia="宋体" w:cs="宋体"/>
          <w:b/>
          <w:bCs/>
          <w:color w:val="auto"/>
          <w:spacing w:val="-11"/>
          <w:sz w:val="24"/>
          <w:szCs w:val="24"/>
          <w:highlight w:val="none"/>
        </w:rPr>
      </w:pPr>
      <w:bookmarkStart w:id="196" w:name="_Toc26143"/>
      <w:r>
        <w:rPr>
          <w:rFonts w:hint="eastAsia" w:ascii="宋体" w:hAnsi="宋体" w:eastAsia="宋体" w:cs="宋体"/>
          <w:b/>
          <w:bCs/>
          <w:color w:val="auto"/>
          <w:spacing w:val="-11"/>
          <w:sz w:val="24"/>
          <w:szCs w:val="24"/>
          <w:highlight w:val="none"/>
        </w:rPr>
        <w:t>4</w:t>
      </w:r>
      <w:r>
        <w:rPr>
          <w:rFonts w:hint="eastAsia" w:ascii="宋体" w:hAnsi="宋体" w:eastAsia="宋体" w:cs="宋体"/>
          <w:b/>
          <w:bCs/>
          <w:color w:val="auto"/>
          <w:spacing w:val="-11"/>
          <w:sz w:val="24"/>
          <w:szCs w:val="24"/>
          <w:highlight w:val="none"/>
          <w:lang w:eastAsia="zh-CN"/>
        </w:rPr>
        <w:t>.</w:t>
      </w:r>
      <w:r>
        <w:rPr>
          <w:rFonts w:hint="eastAsia" w:ascii="宋体" w:hAnsi="宋体" w:eastAsia="宋体" w:cs="宋体"/>
          <w:b/>
          <w:bCs/>
          <w:color w:val="auto"/>
          <w:spacing w:val="-11"/>
          <w:sz w:val="24"/>
          <w:szCs w:val="24"/>
          <w:highlight w:val="none"/>
        </w:rPr>
        <w:t>其他专用合同条款</w:t>
      </w:r>
      <w:bookmarkEnd w:id="193"/>
      <w:bookmarkEnd w:id="196"/>
    </w:p>
    <w:p w14:paraId="66D497E1">
      <w:pPr>
        <w:keepNext w:val="0"/>
        <w:keepLines w:val="0"/>
        <w:pageBreakBefore w:val="0"/>
        <w:kinsoku/>
        <w:overflowPunct/>
        <w:topLinePunct w:val="0"/>
        <w:autoSpaceDE/>
        <w:autoSpaceDN/>
        <w:bidi w:val="0"/>
        <w:snapToGrid w:val="0"/>
        <w:spacing w:line="360" w:lineRule="auto"/>
        <w:ind w:firstLine="480" w:firstLineChars="200"/>
        <w:rPr>
          <w:rFonts w:hint="eastAsia" w:ascii="宋体" w:hAnsi="宋体" w:eastAsia="宋体" w:cs="宋体"/>
          <w:b w:val="0"/>
          <w:snapToGrid w:val="0"/>
          <w:color w:val="auto"/>
          <w:kern w:val="0"/>
          <w:sz w:val="24"/>
          <w:szCs w:val="24"/>
          <w:highlight w:val="none"/>
          <w:u w:val="single"/>
          <w:lang w:val="en-US" w:eastAsia="zh-CN" w:bidi="ar-SA"/>
        </w:rPr>
      </w:pPr>
      <w:r>
        <w:rPr>
          <w:rFonts w:hint="eastAsia" w:ascii="宋体" w:hAnsi="宋体" w:eastAsia="宋体" w:cs="宋体"/>
          <w:b w:val="0"/>
          <w:snapToGrid w:val="0"/>
          <w:color w:val="auto"/>
          <w:kern w:val="0"/>
          <w:sz w:val="24"/>
          <w:szCs w:val="24"/>
          <w:highlight w:val="none"/>
          <w:u w:val="single"/>
          <w:lang w:val="en-US" w:eastAsia="zh-CN" w:bidi="ar-SA"/>
        </w:rPr>
        <w:t>由招标人根据本工程实际情况和地方政策与中标人自行协商签定相关专用合同条款。</w:t>
      </w:r>
    </w:p>
    <w:p w14:paraId="7C0E449D">
      <w:pPr>
        <w:keepNext w:val="0"/>
        <w:keepLines w:val="0"/>
        <w:pageBreakBefore w:val="0"/>
        <w:widowControl/>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b w:val="0"/>
          <w:bCs w:val="0"/>
          <w:snapToGrid w:val="0"/>
          <w:color w:val="auto"/>
          <w:kern w:val="0"/>
          <w:sz w:val="24"/>
          <w:szCs w:val="24"/>
          <w:highlight w:val="none"/>
          <w:lang w:val="en-US" w:eastAsia="zh-CN"/>
        </w:rPr>
      </w:pPr>
      <w:bookmarkStart w:id="197" w:name="_Toc10299"/>
      <w:r>
        <w:rPr>
          <w:rFonts w:hint="eastAsia" w:ascii="宋体" w:hAnsi="宋体" w:eastAsia="宋体" w:cs="宋体"/>
          <w:b/>
          <w:bCs/>
          <w:snapToGrid w:val="0"/>
          <w:color w:val="auto"/>
          <w:kern w:val="0"/>
          <w:sz w:val="24"/>
          <w:szCs w:val="24"/>
          <w:highlight w:val="none"/>
          <w:lang w:val="en-US" w:eastAsia="zh-CN"/>
        </w:rPr>
        <w:t>4.1</w:t>
      </w:r>
      <w:r>
        <w:rPr>
          <w:rFonts w:hint="eastAsia" w:ascii="宋体" w:hAnsi="宋体" w:eastAsia="宋体" w:cs="宋体"/>
          <w:b w:val="0"/>
          <w:bCs w:val="0"/>
          <w:snapToGrid w:val="0"/>
          <w:color w:val="auto"/>
          <w:kern w:val="0"/>
          <w:sz w:val="24"/>
          <w:szCs w:val="24"/>
          <w:highlight w:val="none"/>
          <w:lang w:val="en-US" w:eastAsia="zh-CN"/>
        </w:rPr>
        <w:t>专业工程分包</w:t>
      </w:r>
      <w:bookmarkEnd w:id="197"/>
    </w:p>
    <w:p w14:paraId="09D90C92">
      <w:pPr>
        <w:wordWrap w:val="0"/>
        <w:adjustRightInd w:val="0"/>
        <w:snapToGrid w:val="0"/>
        <w:spacing w:line="360" w:lineRule="auto"/>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6EFBAFD8">
      <w:pPr>
        <w:keepNext w:val="0"/>
        <w:keepLines w:val="0"/>
        <w:pageBreakBefore w:val="0"/>
        <w:widowControl/>
        <w:kinsoku/>
        <w:wordWrap w:val="0"/>
        <w:overflowPunct/>
        <w:topLinePunct w:val="0"/>
        <w:autoSpaceDE/>
        <w:autoSpaceDN/>
        <w:bidi w:val="0"/>
        <w:adjustRightInd w:val="0"/>
        <w:snapToGrid w:val="0"/>
        <w:spacing w:line="360" w:lineRule="auto"/>
        <w:ind w:firstLine="482" w:firstLineChars="200"/>
        <w:textAlignment w:val="baseline"/>
        <w:rPr>
          <w:rFonts w:hint="eastAsia" w:ascii="宋体" w:hAnsi="宋体" w:eastAsia="宋体" w:cs="宋体"/>
          <w:b w:val="0"/>
          <w:bCs w:val="0"/>
          <w:snapToGrid w:val="0"/>
          <w:color w:val="auto"/>
          <w:kern w:val="0"/>
          <w:sz w:val="24"/>
          <w:szCs w:val="24"/>
          <w:highlight w:val="none"/>
          <w:lang w:val="en-US" w:eastAsia="en-US"/>
        </w:rPr>
      </w:pPr>
      <w:bookmarkStart w:id="198" w:name="_Toc15504"/>
      <w:bookmarkStart w:id="199" w:name="_Toc7163"/>
      <w:bookmarkStart w:id="200" w:name="_Toc24421"/>
      <w:bookmarkStart w:id="201" w:name="_Toc4288"/>
      <w:bookmarkStart w:id="202" w:name="_Toc23958"/>
      <w:r>
        <w:rPr>
          <w:rFonts w:hint="eastAsia" w:ascii="宋体" w:hAnsi="宋体" w:eastAsia="宋体" w:cs="宋体"/>
          <w:b/>
          <w:bCs/>
          <w:snapToGrid w:val="0"/>
          <w:color w:val="auto"/>
          <w:kern w:val="0"/>
          <w:sz w:val="24"/>
          <w:szCs w:val="24"/>
          <w:highlight w:val="none"/>
          <w:lang w:val="en-US" w:eastAsia="zh-CN"/>
        </w:rPr>
        <w:t>4.2</w:t>
      </w:r>
      <w:r>
        <w:rPr>
          <w:rFonts w:hint="eastAsia" w:ascii="宋体" w:hAnsi="宋体" w:eastAsia="宋体" w:cs="宋体"/>
          <w:b w:val="0"/>
          <w:bCs w:val="0"/>
          <w:snapToGrid w:val="0"/>
          <w:color w:val="auto"/>
          <w:kern w:val="0"/>
          <w:sz w:val="24"/>
          <w:szCs w:val="24"/>
          <w:highlight w:val="none"/>
          <w:lang w:val="en-US" w:eastAsia="zh-CN"/>
        </w:rPr>
        <w:t xml:space="preserve"> </w:t>
      </w:r>
      <w:r>
        <w:rPr>
          <w:rFonts w:hint="eastAsia" w:ascii="宋体" w:hAnsi="宋体" w:eastAsia="宋体" w:cs="宋体"/>
          <w:b w:val="0"/>
          <w:bCs w:val="0"/>
          <w:snapToGrid w:val="0"/>
          <w:color w:val="auto"/>
          <w:kern w:val="0"/>
          <w:sz w:val="24"/>
          <w:szCs w:val="24"/>
          <w:highlight w:val="none"/>
          <w:lang w:val="en-US" w:eastAsia="en-US"/>
        </w:rPr>
        <w:t>工人工资支付专用账户</w:t>
      </w:r>
      <w:bookmarkEnd w:id="198"/>
      <w:bookmarkEnd w:id="199"/>
      <w:bookmarkEnd w:id="200"/>
      <w:bookmarkEnd w:id="201"/>
      <w:bookmarkEnd w:id="202"/>
    </w:p>
    <w:p w14:paraId="39CC6A01">
      <w:pPr>
        <w:keepNext w:val="0"/>
        <w:keepLines w:val="0"/>
        <w:pageBreakBefore w:val="0"/>
        <w:kinsoku/>
        <w:wordWrap w:val="0"/>
        <w:overflowPunct/>
        <w:topLinePunct w:val="0"/>
        <w:bidi w:val="0"/>
        <w:adjustRightInd w:val="0"/>
        <w:snapToGrid w:val="0"/>
        <w:spacing w:line="360" w:lineRule="auto"/>
        <w:ind w:firstLine="482" w:firstLineChars="200"/>
        <w:rPr>
          <w:rFonts w:hint="eastAsia" w:ascii="宋体" w:hAnsi="宋体" w:eastAsia="宋体" w:cs="宋体"/>
          <w:b w:val="0"/>
          <w:bCs w:val="0"/>
          <w:snapToGrid w:val="0"/>
          <w:color w:val="auto"/>
          <w:kern w:val="0"/>
          <w:sz w:val="24"/>
          <w:szCs w:val="24"/>
          <w:highlight w:val="none"/>
          <w:lang w:val="en-US" w:eastAsia="en-US" w:bidi="ar-SA"/>
        </w:rPr>
      </w:pPr>
      <w:r>
        <w:rPr>
          <w:rFonts w:hint="eastAsia" w:ascii="宋体" w:hAnsi="宋体" w:eastAsia="宋体" w:cs="宋体"/>
          <w:b/>
          <w:bCs/>
          <w:snapToGrid w:val="0"/>
          <w:color w:val="auto"/>
          <w:kern w:val="0"/>
          <w:sz w:val="24"/>
          <w:szCs w:val="24"/>
          <w:highlight w:val="none"/>
          <w:lang w:val="en-US" w:eastAsia="zh-CN" w:bidi="ar-SA"/>
        </w:rPr>
        <w:t>4.2</w:t>
      </w:r>
      <w:r>
        <w:rPr>
          <w:rFonts w:hint="eastAsia" w:ascii="宋体" w:hAnsi="宋体" w:eastAsia="宋体" w:cs="宋体"/>
          <w:b/>
          <w:bCs/>
          <w:snapToGrid w:val="0"/>
          <w:color w:val="auto"/>
          <w:kern w:val="0"/>
          <w:sz w:val="24"/>
          <w:szCs w:val="24"/>
          <w:highlight w:val="none"/>
          <w:lang w:val="en-US" w:eastAsia="en-US" w:bidi="ar-SA"/>
        </w:rPr>
        <w:t>.1</w:t>
      </w:r>
      <w:r>
        <w:rPr>
          <w:rFonts w:hint="eastAsia" w:ascii="宋体" w:hAnsi="宋体" w:eastAsia="宋体" w:cs="宋体"/>
          <w:b w:val="0"/>
          <w:bCs w:val="0"/>
          <w:snapToGrid w:val="0"/>
          <w:color w:val="auto"/>
          <w:kern w:val="0"/>
          <w:sz w:val="24"/>
          <w:szCs w:val="24"/>
          <w:highlight w:val="none"/>
          <w:lang w:val="en-US" w:eastAsia="en-US" w:bidi="ar-SA"/>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52B3B8ED">
      <w:pPr>
        <w:keepNext w:val="0"/>
        <w:keepLines w:val="0"/>
        <w:pageBreakBefore w:val="0"/>
        <w:widowControl/>
        <w:suppressLineNumbers w:val="0"/>
        <w:kinsoku/>
        <w:overflowPunct/>
        <w:topLinePunct w:val="0"/>
        <w:bidi w:val="0"/>
        <w:spacing w:line="360" w:lineRule="auto"/>
        <w:ind w:firstLine="482"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b/>
          <w:bCs/>
          <w:strike w:val="0"/>
          <w:dstrike w:val="0"/>
          <w:snapToGrid w:val="0"/>
          <w:color w:val="auto"/>
          <w:kern w:val="0"/>
          <w:sz w:val="24"/>
          <w:szCs w:val="24"/>
          <w:highlight w:val="none"/>
          <w:lang w:val="en-US" w:eastAsia="zh-CN"/>
        </w:rPr>
        <w:t>4.2</w:t>
      </w:r>
      <w:r>
        <w:rPr>
          <w:rFonts w:hint="eastAsia" w:ascii="宋体" w:hAnsi="宋体" w:eastAsia="宋体" w:cs="宋体"/>
          <w:b/>
          <w:bCs/>
          <w:strike w:val="0"/>
          <w:dstrike w:val="0"/>
          <w:snapToGrid w:val="0"/>
          <w:color w:val="auto"/>
          <w:kern w:val="0"/>
          <w:sz w:val="24"/>
          <w:szCs w:val="24"/>
          <w:highlight w:val="none"/>
        </w:rPr>
        <w:t>.2</w:t>
      </w:r>
      <w:r>
        <w:rPr>
          <w:rFonts w:hint="eastAsia" w:ascii="宋体" w:hAnsi="宋体" w:eastAsia="宋体" w:cs="宋体"/>
          <w:color w:val="auto"/>
          <w:kern w:val="0"/>
          <w:sz w:val="24"/>
          <w:szCs w:val="24"/>
          <w:highlight w:val="none"/>
          <w:lang w:val="en-US" w:eastAsia="zh-CN" w:bidi="ar"/>
        </w:rPr>
        <w:t>依据人力资源社会保障部等十部门印发的《工程建设领域农民工工资专用账户管理暂行办法》（人社部发〔2021〕53 号）文件规定，承包人中标后，须到银行设立工人工资支付专用账户，用于支付工人工资。发包人支付工程款时，将按工程款（不含工人工资）和工人工资两部分分开支付，工人工资支付至专用账户。承包人应建立劳动用工管理台账，并按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75121020">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按韶关市人力资源和社会、保障局韶关市住房和城乡建设管理局、韶关市交通运输局、韶关市水务局、韶关市金融工作局、国家金融监督管理总局韶关监管分局关于印发《韶关市工程建设领域农民工工资保证金管理实施细则》的通知(韶人社规〔2023〕2号)及《韶关市工程建设领域农民工工资保证金管理实施细则》（韶法审〔2023〕19号）规定执行。承包人在签订工程施工承包合同后一个月内必须办妥该事项，并将办妥回执交发包人。</w:t>
      </w:r>
    </w:p>
    <w:p w14:paraId="72B308BD">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2倍向发包人支付违约金。</w:t>
      </w:r>
    </w:p>
    <w:p w14:paraId="3D1AEF70">
      <w:pPr>
        <w:keepNext w:val="0"/>
        <w:keepLines w:val="0"/>
        <w:pageBreakBefore w:val="0"/>
        <w:widowControl/>
        <w:suppressLineNumbers w:val="0"/>
        <w:kinsoku/>
        <w:overflowPunct/>
        <w:topLinePunct w:val="0"/>
        <w:bidi w:val="0"/>
        <w:spacing w:line="360" w:lineRule="auto"/>
        <w:ind w:firstLine="241" w:firstLineChars="100"/>
        <w:jc w:val="left"/>
        <w:rPr>
          <w:rFonts w:hint="eastAsia" w:ascii="宋体" w:hAnsi="宋体" w:eastAsia="宋体" w:cs="宋体"/>
          <w:color w:val="auto"/>
          <w:sz w:val="24"/>
          <w:szCs w:val="24"/>
          <w:highlight w:val="none"/>
        </w:rPr>
      </w:pPr>
      <w:r>
        <w:rPr>
          <w:rFonts w:hint="eastAsia" w:ascii="宋体" w:hAnsi="宋体" w:eastAsia="宋体" w:cs="宋体"/>
          <w:b/>
          <w:bCs/>
          <w:strike w:val="0"/>
          <w:dstrike w:val="0"/>
          <w:snapToGrid w:val="0"/>
          <w:color w:val="auto"/>
          <w:kern w:val="0"/>
          <w:sz w:val="24"/>
          <w:szCs w:val="24"/>
          <w:highlight w:val="none"/>
          <w:lang w:val="en-US" w:eastAsia="zh-CN"/>
        </w:rPr>
        <w:t>4.2</w:t>
      </w:r>
      <w:r>
        <w:rPr>
          <w:rFonts w:hint="eastAsia" w:ascii="宋体" w:hAnsi="宋体" w:eastAsia="宋体" w:cs="宋体"/>
          <w:b/>
          <w:bCs/>
          <w:strike w:val="0"/>
          <w:dstrike w:val="0"/>
          <w:snapToGrid w:val="0"/>
          <w:color w:val="auto"/>
          <w:kern w:val="0"/>
          <w:sz w:val="24"/>
          <w:szCs w:val="24"/>
          <w:highlight w:val="none"/>
        </w:rPr>
        <w:t>.3</w:t>
      </w:r>
      <w:r>
        <w:rPr>
          <w:rFonts w:hint="eastAsia" w:ascii="宋体" w:hAnsi="宋体" w:eastAsia="宋体" w:cs="宋体"/>
          <w:strike w:val="0"/>
          <w:dstrike w:val="0"/>
          <w:snapToGrid w:val="0"/>
          <w:color w:val="auto"/>
          <w:kern w:val="0"/>
          <w:sz w:val="24"/>
          <w:szCs w:val="24"/>
          <w:highlight w:val="none"/>
        </w:rPr>
        <w:t xml:space="preserve"> </w:t>
      </w:r>
      <w:r>
        <w:rPr>
          <w:rFonts w:hint="eastAsia" w:ascii="宋体" w:hAnsi="宋体" w:eastAsia="宋体" w:cs="宋体"/>
          <w:color w:val="auto"/>
          <w:kern w:val="0"/>
          <w:sz w:val="24"/>
          <w:szCs w:val="24"/>
          <w:highlight w:val="none"/>
          <w:lang w:val="en-US" w:eastAsia="zh-CN" w:bidi="ar"/>
        </w:rPr>
        <w:t>承包人应在工资专户开立后2个工作日内，将开户银行及其账号、开户协议等资料提交给发包人。</w:t>
      </w:r>
    </w:p>
    <w:p w14:paraId="558B9954">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（1）用人单位应当在建设项目动工前，在建设项目所在地商业银行设立工人工资支付专用账户。</w:t>
      </w:r>
    </w:p>
    <w:p w14:paraId="5B108B2D">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（2）用人单位应当在用工之日起 15 日内为每一位工人办理个人银行账户。</w:t>
      </w:r>
    </w:p>
    <w:p w14:paraId="42CD3A43">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（3）用人单位应当指定专人负责建设项目施工现场台账管理，真实、准确记录工人名册、劳务合同、劳动合同、工程进度、工时台账、劳务承包款和工人工资支付等信息，并保存两年以上备查。</w:t>
      </w:r>
    </w:p>
    <w:p w14:paraId="4645E9C1">
      <w:pPr>
        <w:keepNext w:val="0"/>
        <w:keepLines w:val="0"/>
        <w:pageBreakBefore w:val="0"/>
        <w:widowControl/>
        <w:suppressLineNumbers w:val="0"/>
        <w:kinsoku/>
        <w:overflowPunct/>
        <w:topLinePunct w:val="0"/>
        <w:bidi w:val="0"/>
        <w:spacing w:line="360" w:lineRule="auto"/>
        <w:ind w:firstLine="480" w:firstLineChars="200"/>
        <w:jc w:val="left"/>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4）用人单位应当按照“及时支付，按实结算”的原则，在规定日期前通过银行工人工资支付专用账户将工人工资直接支付到工人的个人银行账户，并按月将工人工资支付明细表报施工总承包单位和建设单位备案。用人单位未建立、保存用工管理台账，或者伪造相关台账的，按照《广东省劳动保障监察条例》第五十条的规定，由人力资源社会保障部门责令改正，并可处以二千元以上二万元以下的人民币罚款。</w:t>
      </w:r>
    </w:p>
    <w:p w14:paraId="1ECE605D">
      <w:pPr>
        <w:keepNext w:val="0"/>
        <w:keepLines w:val="0"/>
        <w:pageBreakBefore w:val="0"/>
        <w:widowControl/>
        <w:suppressLineNumbers w:val="0"/>
        <w:kinsoku/>
        <w:overflowPunct/>
        <w:topLinePunct w:val="0"/>
        <w:bidi w:val="0"/>
        <w:spacing w:line="360" w:lineRule="auto"/>
        <w:ind w:firstLine="482" w:firstLineChars="200"/>
        <w:jc w:val="left"/>
        <w:rPr>
          <w:rStyle w:val="48"/>
          <w:rFonts w:hint="eastAsia" w:ascii="宋体" w:hAnsi="宋体" w:eastAsia="宋体" w:cs="宋体"/>
          <w:color w:val="auto"/>
          <w:kern w:val="0"/>
          <w:sz w:val="24"/>
          <w:szCs w:val="24"/>
          <w:highlight w:val="none"/>
        </w:rPr>
      </w:pPr>
      <w:r>
        <w:rPr>
          <w:rFonts w:hint="eastAsia" w:ascii="宋体" w:hAnsi="宋体" w:eastAsia="宋体" w:cs="宋体"/>
          <w:b/>
          <w:bCs/>
          <w:color w:val="auto"/>
          <w:kern w:val="0"/>
          <w:sz w:val="24"/>
          <w:szCs w:val="24"/>
          <w:highlight w:val="none"/>
          <w:lang w:val="en-US" w:eastAsia="zh-CN" w:bidi="ar"/>
        </w:rPr>
        <w:t xml:space="preserve">4.2.4 </w:t>
      </w:r>
      <w:r>
        <w:rPr>
          <w:rFonts w:hint="eastAsia" w:ascii="宋体" w:hAnsi="宋体" w:eastAsia="宋体" w:cs="宋体"/>
          <w:color w:val="auto"/>
          <w:kern w:val="0"/>
          <w:sz w:val="24"/>
          <w:szCs w:val="24"/>
          <w:highlight w:val="none"/>
          <w:lang w:val="en-US" w:eastAsia="zh-CN" w:bidi="ar"/>
        </w:rPr>
        <w:t>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75D35AD0">
      <w:pPr>
        <w:spacing w:before="151" w:line="360" w:lineRule="auto"/>
        <w:ind w:left="476"/>
        <w:outlineLvl w:val="2"/>
        <w:rPr>
          <w:rFonts w:hint="eastAsia" w:ascii="宋体" w:hAnsi="宋体" w:eastAsia="宋体" w:cs="宋体"/>
          <w:b/>
          <w:bCs/>
          <w:color w:val="auto"/>
          <w:spacing w:val="-11"/>
          <w:sz w:val="24"/>
          <w:szCs w:val="24"/>
          <w:highlight w:val="none"/>
        </w:rPr>
      </w:pPr>
      <w:bookmarkStart w:id="203" w:name="_Toc17187"/>
      <w:r>
        <w:rPr>
          <w:rFonts w:hint="eastAsia" w:ascii="宋体" w:hAnsi="宋体" w:eastAsia="宋体" w:cs="宋体"/>
          <w:b/>
          <w:bCs/>
          <w:color w:val="auto"/>
          <w:spacing w:val="-11"/>
          <w:sz w:val="24"/>
          <w:szCs w:val="24"/>
          <w:highlight w:val="none"/>
          <w:lang w:val="en-US" w:eastAsia="zh-CN"/>
        </w:rPr>
        <w:t>5.</w:t>
      </w:r>
      <w:r>
        <w:rPr>
          <w:rFonts w:hint="eastAsia" w:ascii="宋体" w:hAnsi="宋体" w:eastAsia="宋体" w:cs="宋体"/>
          <w:b/>
          <w:bCs/>
          <w:color w:val="auto"/>
          <w:spacing w:val="-11"/>
          <w:sz w:val="24"/>
          <w:szCs w:val="24"/>
          <w:highlight w:val="none"/>
        </w:rPr>
        <w:t>工期进度</w:t>
      </w:r>
      <w:bookmarkEnd w:id="203"/>
    </w:p>
    <w:p w14:paraId="0ED9DECC">
      <w:pPr>
        <w:snapToGrid w:val="0"/>
        <w:spacing w:line="360" w:lineRule="auto"/>
        <w:ind w:firstLine="482" w:firstLineChars="20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5</w:t>
      </w:r>
      <w:r>
        <w:rPr>
          <w:rStyle w:val="48"/>
          <w:rFonts w:hint="eastAsia" w:ascii="宋体" w:hAnsi="宋体" w:eastAsia="宋体" w:cs="宋体"/>
          <w:b/>
          <w:bCs/>
          <w:color w:val="auto"/>
          <w:kern w:val="0"/>
          <w:sz w:val="24"/>
          <w:szCs w:val="24"/>
          <w:highlight w:val="none"/>
        </w:rPr>
        <w:t>.1</w:t>
      </w:r>
      <w:r>
        <w:rPr>
          <w:rStyle w:val="48"/>
          <w:rFonts w:hint="eastAsia" w:ascii="宋体" w:hAnsi="宋体" w:eastAsia="宋体" w:cs="宋体"/>
          <w:color w:val="auto"/>
          <w:kern w:val="0"/>
          <w:sz w:val="24"/>
          <w:szCs w:val="24"/>
          <w:highlight w:val="none"/>
          <w:lang w:eastAsia="zh-CN"/>
        </w:rPr>
        <w:t>本工程施工招标工期为</w:t>
      </w:r>
      <w:r>
        <w:rPr>
          <w:rStyle w:val="48"/>
          <w:rFonts w:hint="eastAsia" w:ascii="宋体" w:hAnsi="宋体" w:eastAsia="宋体" w:cs="宋体"/>
          <w:color w:val="auto"/>
          <w:kern w:val="0"/>
          <w:sz w:val="24"/>
          <w:szCs w:val="24"/>
          <w:highlight w:val="none"/>
          <w:lang w:val="en-US" w:eastAsia="zh-CN"/>
        </w:rPr>
        <w:t>180</w:t>
      </w:r>
      <w:r>
        <w:rPr>
          <w:rStyle w:val="48"/>
          <w:rFonts w:hint="eastAsia" w:ascii="宋体" w:hAnsi="宋体" w:eastAsia="宋体" w:cs="宋体"/>
          <w:color w:val="auto"/>
          <w:kern w:val="0"/>
          <w:sz w:val="24"/>
          <w:szCs w:val="24"/>
          <w:highlight w:val="none"/>
          <w:lang w:eastAsia="zh-CN"/>
        </w:rPr>
        <w:t>个日历天。</w:t>
      </w:r>
      <w:r>
        <w:rPr>
          <w:rStyle w:val="48"/>
          <w:rFonts w:hint="eastAsia" w:ascii="宋体" w:hAnsi="宋体" w:eastAsia="宋体" w:cs="宋体"/>
          <w:color w:val="auto"/>
          <w:kern w:val="0"/>
          <w:sz w:val="24"/>
          <w:szCs w:val="24"/>
          <w:highlight w:val="none"/>
        </w:rPr>
        <w:t>承包人必须在招标工期内完成本工程招标范围内的全部内容。</w:t>
      </w:r>
    </w:p>
    <w:p w14:paraId="4A0D1E64">
      <w:pPr>
        <w:snapToGrid w:val="0"/>
        <w:spacing w:line="360" w:lineRule="auto"/>
        <w:ind w:firstLine="482" w:firstLineChars="20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5</w:t>
      </w:r>
      <w:r>
        <w:rPr>
          <w:rStyle w:val="48"/>
          <w:rFonts w:hint="eastAsia" w:ascii="宋体" w:hAnsi="宋体" w:eastAsia="宋体" w:cs="宋体"/>
          <w:b/>
          <w:bCs/>
          <w:color w:val="auto"/>
          <w:kern w:val="0"/>
          <w:sz w:val="24"/>
          <w:szCs w:val="24"/>
          <w:highlight w:val="none"/>
        </w:rPr>
        <w:t>.2</w:t>
      </w:r>
      <w:r>
        <w:rPr>
          <w:rStyle w:val="48"/>
          <w:rFonts w:hint="eastAsia" w:ascii="宋体" w:hAnsi="宋体" w:eastAsia="宋体" w:cs="宋体"/>
          <w:color w:val="auto"/>
          <w:kern w:val="0"/>
          <w:sz w:val="24"/>
          <w:szCs w:val="24"/>
          <w:highlight w:val="none"/>
        </w:rPr>
        <w:t xml:space="preserve"> 施工工期从承包人收到监理单位签发的开工令之日起计，至竣工验收合格之日止。</w:t>
      </w:r>
    </w:p>
    <w:p w14:paraId="455E5A89">
      <w:pPr>
        <w:snapToGrid w:val="0"/>
        <w:spacing w:line="360" w:lineRule="auto"/>
        <w:ind w:firstLine="482" w:firstLineChars="200"/>
        <w:rPr>
          <w:rFonts w:hint="eastAsia" w:ascii="宋体" w:hAnsi="宋体" w:eastAsia="宋体" w:cs="宋体"/>
          <w:color w:val="auto"/>
          <w:highlight w:val="none"/>
        </w:rPr>
      </w:pPr>
      <w:r>
        <w:rPr>
          <w:rStyle w:val="48"/>
          <w:rFonts w:hint="eastAsia" w:ascii="宋体" w:hAnsi="宋体" w:eastAsia="宋体" w:cs="宋体"/>
          <w:b/>
          <w:bCs/>
          <w:color w:val="auto"/>
          <w:kern w:val="0"/>
          <w:sz w:val="24"/>
          <w:szCs w:val="24"/>
          <w:highlight w:val="none"/>
          <w:lang w:val="en-US" w:eastAsia="zh-CN"/>
        </w:rPr>
        <w:t>5</w:t>
      </w:r>
      <w:r>
        <w:rPr>
          <w:rStyle w:val="48"/>
          <w:rFonts w:hint="eastAsia" w:ascii="宋体" w:hAnsi="宋体" w:eastAsia="宋体" w:cs="宋体"/>
          <w:b/>
          <w:bCs/>
          <w:color w:val="auto"/>
          <w:kern w:val="0"/>
          <w:sz w:val="24"/>
          <w:szCs w:val="24"/>
          <w:highlight w:val="none"/>
        </w:rPr>
        <w:t>.3</w:t>
      </w:r>
      <w:r>
        <w:rPr>
          <w:rStyle w:val="48"/>
          <w:rFonts w:hint="eastAsia" w:ascii="宋体" w:hAnsi="宋体" w:eastAsia="宋体" w:cs="宋体"/>
          <w:color w:val="auto"/>
          <w:kern w:val="0"/>
          <w:sz w:val="24"/>
          <w:szCs w:val="24"/>
          <w:highlight w:val="none"/>
        </w:rPr>
        <w:t xml:space="preserve"> 由于承包人原因造成工期延误的，承包人须在逾期第壹天起每天按合同价的</w:t>
      </w:r>
      <w:r>
        <w:rPr>
          <w:rStyle w:val="48"/>
          <w:rFonts w:hint="eastAsia" w:ascii="宋体" w:hAnsi="宋体" w:eastAsia="宋体" w:cs="宋体"/>
          <w:color w:val="auto"/>
          <w:kern w:val="0"/>
          <w:sz w:val="24"/>
          <w:szCs w:val="24"/>
          <w:highlight w:val="none"/>
          <w:u w:val="single"/>
          <w:lang w:val="en-US" w:eastAsia="zh-CN"/>
        </w:rPr>
        <w:t>3</w:t>
      </w:r>
      <w:r>
        <w:rPr>
          <w:rStyle w:val="48"/>
          <w:rFonts w:hint="eastAsia" w:ascii="宋体" w:hAnsi="宋体" w:eastAsia="宋体" w:cs="宋体"/>
          <w:color w:val="auto"/>
          <w:kern w:val="0"/>
          <w:sz w:val="24"/>
          <w:szCs w:val="24"/>
          <w:highlight w:val="none"/>
          <w:u w:val="single"/>
        </w:rPr>
        <w:t>‰</w:t>
      </w:r>
      <w:r>
        <w:rPr>
          <w:rStyle w:val="48"/>
          <w:rFonts w:hint="eastAsia" w:ascii="宋体" w:hAnsi="宋体" w:eastAsia="宋体" w:cs="宋体"/>
          <w:color w:val="auto"/>
          <w:kern w:val="0"/>
          <w:sz w:val="24"/>
          <w:szCs w:val="24"/>
          <w:highlight w:val="none"/>
        </w:rPr>
        <w:t>向招标人返纳逾期竣工违约金。</w:t>
      </w:r>
    </w:p>
    <w:p w14:paraId="55CDADE5">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04" w:name="_Toc11809"/>
      <w:r>
        <w:rPr>
          <w:rFonts w:hint="eastAsia" w:ascii="宋体" w:hAnsi="宋体" w:eastAsia="宋体" w:cs="宋体"/>
          <w:b/>
          <w:bCs/>
          <w:color w:val="auto"/>
          <w:spacing w:val="-11"/>
          <w:sz w:val="24"/>
          <w:szCs w:val="24"/>
          <w:highlight w:val="none"/>
          <w:lang w:val="en-US" w:eastAsia="zh-CN"/>
        </w:rPr>
        <w:t>6.项目管理机构</w:t>
      </w:r>
      <w:bookmarkEnd w:id="204"/>
    </w:p>
    <w:p w14:paraId="43840DFE">
      <w:pPr>
        <w:snapToGrid w:val="0"/>
        <w:spacing w:line="360" w:lineRule="auto"/>
        <w:ind w:firstLine="482" w:firstLineChars="20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6</w:t>
      </w:r>
      <w:r>
        <w:rPr>
          <w:rStyle w:val="48"/>
          <w:rFonts w:hint="eastAsia" w:ascii="宋体" w:hAnsi="宋体" w:eastAsia="宋体" w:cs="宋体"/>
          <w:b/>
          <w:bCs/>
          <w:color w:val="auto"/>
          <w:kern w:val="0"/>
          <w:sz w:val="24"/>
          <w:szCs w:val="24"/>
          <w:highlight w:val="none"/>
        </w:rPr>
        <w:t>.1</w:t>
      </w:r>
      <w:r>
        <w:rPr>
          <w:rStyle w:val="48"/>
          <w:rFonts w:hint="eastAsia" w:ascii="宋体" w:hAnsi="宋体" w:eastAsia="宋体" w:cs="宋体"/>
          <w:color w:val="auto"/>
          <w:kern w:val="0"/>
          <w:sz w:val="24"/>
          <w:szCs w:val="24"/>
          <w:highlight w:val="none"/>
        </w:rPr>
        <w:t xml:space="preserve"> 承包人派驻的项目管理班子成员必须为其投标文件确定的人员，否则发包人有权终止合同。</w:t>
      </w:r>
    </w:p>
    <w:p w14:paraId="50A7E8C9">
      <w:pPr>
        <w:snapToGrid w:val="0"/>
        <w:spacing w:line="360" w:lineRule="auto"/>
        <w:ind w:firstLine="482" w:firstLineChars="200"/>
        <w:rPr>
          <w:rStyle w:val="48"/>
          <w:rFonts w:hint="eastAsia" w:ascii="宋体" w:hAnsi="宋体" w:eastAsia="宋体" w:cs="宋体"/>
          <w:b w:val="0"/>
          <w:bCs w:val="0"/>
          <w:color w:val="auto"/>
          <w:kern w:val="0"/>
          <w:sz w:val="24"/>
          <w:szCs w:val="24"/>
          <w:highlight w:val="none"/>
          <w:lang w:val="en-US" w:eastAsia="zh-CN"/>
        </w:rPr>
      </w:pPr>
      <w:bookmarkStart w:id="205" w:name="_Toc32659"/>
      <w:r>
        <w:rPr>
          <w:rStyle w:val="48"/>
          <w:rFonts w:hint="eastAsia" w:ascii="宋体" w:hAnsi="宋体" w:eastAsia="宋体" w:cs="宋体"/>
          <w:b/>
          <w:bCs/>
          <w:color w:val="auto"/>
          <w:kern w:val="0"/>
          <w:sz w:val="24"/>
          <w:szCs w:val="24"/>
          <w:highlight w:val="none"/>
          <w:lang w:val="en-US" w:eastAsia="zh-CN"/>
        </w:rPr>
        <w:t xml:space="preserve">6.2 </w:t>
      </w:r>
      <w:r>
        <w:rPr>
          <w:rStyle w:val="48"/>
          <w:rFonts w:hint="eastAsia" w:ascii="宋体" w:hAnsi="宋体" w:eastAsia="宋体" w:cs="宋体"/>
          <w:b w:val="0"/>
          <w:bCs w:val="0"/>
          <w:color w:val="auto"/>
          <w:kern w:val="0"/>
          <w:sz w:val="24"/>
          <w:szCs w:val="24"/>
          <w:highlight w:val="none"/>
          <w:lang w:val="en-US" w:eastAsia="zh-CN"/>
        </w:rPr>
        <w:t>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bookmarkEnd w:id="205"/>
    </w:p>
    <w:p w14:paraId="768123B5">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06" w:name="_Toc27956"/>
      <w:r>
        <w:rPr>
          <w:rFonts w:hint="eastAsia" w:ascii="宋体" w:hAnsi="宋体" w:eastAsia="宋体" w:cs="宋体"/>
          <w:b/>
          <w:bCs/>
          <w:color w:val="auto"/>
          <w:spacing w:val="-11"/>
          <w:sz w:val="24"/>
          <w:szCs w:val="24"/>
          <w:highlight w:val="none"/>
          <w:lang w:val="en-US" w:eastAsia="zh-CN"/>
        </w:rPr>
        <w:t>7.现场管理</w:t>
      </w:r>
      <w:bookmarkEnd w:id="206"/>
    </w:p>
    <w:p w14:paraId="46D4FAC0">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Style w:val="48"/>
          <w:rFonts w:hint="eastAsia" w:ascii="宋体" w:hAnsi="宋体" w:eastAsia="宋体" w:cs="宋体"/>
          <w:b w:val="0"/>
          <w:bCs w:val="0"/>
          <w:color w:val="auto"/>
          <w:kern w:val="0"/>
          <w:sz w:val="24"/>
          <w:szCs w:val="24"/>
          <w:highlight w:val="none"/>
          <w:lang w:val="en-US" w:eastAsia="zh-CN"/>
        </w:rPr>
      </w:pPr>
      <w:bookmarkStart w:id="207" w:name="_Toc7562"/>
      <w:r>
        <w:rPr>
          <w:rStyle w:val="48"/>
          <w:rFonts w:hint="eastAsia" w:ascii="宋体" w:hAnsi="宋体" w:eastAsia="宋体" w:cs="宋体"/>
          <w:b/>
          <w:bCs/>
          <w:color w:val="auto"/>
          <w:kern w:val="0"/>
          <w:sz w:val="24"/>
          <w:szCs w:val="24"/>
          <w:highlight w:val="none"/>
          <w:lang w:val="en-US" w:eastAsia="zh-CN"/>
        </w:rPr>
        <w:t xml:space="preserve">7.1 </w:t>
      </w:r>
      <w:r>
        <w:rPr>
          <w:rStyle w:val="48"/>
          <w:rFonts w:hint="eastAsia" w:ascii="宋体" w:hAnsi="宋体" w:eastAsia="宋体" w:cs="宋体"/>
          <w:b w:val="0"/>
          <w:bCs w:val="0"/>
          <w:color w:val="auto"/>
          <w:kern w:val="0"/>
          <w:sz w:val="24"/>
          <w:szCs w:val="24"/>
          <w:highlight w:val="none"/>
          <w:lang w:val="en-US" w:eastAsia="zh-CN"/>
        </w:rPr>
        <w:t>承包人在施工期间应严格遵守国家、广东省、韶关市有关绿色施工、文明施工、噪音扬尘、消防爆破、环境卫生、渣土清运、防火和治安保卫等方面的规定，并建立相应规章制度和保障措施。否则由此造成的经济损失和法律责任，均由承包人承担。</w:t>
      </w:r>
      <w:bookmarkEnd w:id="207"/>
    </w:p>
    <w:p w14:paraId="0CB4CBB7">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7</w:t>
      </w:r>
      <w:r>
        <w:rPr>
          <w:rStyle w:val="48"/>
          <w:rFonts w:hint="eastAsia" w:ascii="宋体" w:hAnsi="宋体" w:eastAsia="宋体" w:cs="宋体"/>
          <w:b/>
          <w:bCs/>
          <w:color w:val="auto"/>
          <w:kern w:val="0"/>
          <w:sz w:val="24"/>
          <w:szCs w:val="24"/>
          <w:highlight w:val="none"/>
        </w:rPr>
        <w:t>.2</w:t>
      </w:r>
      <w:r>
        <w:rPr>
          <w:rStyle w:val="48"/>
          <w:rFonts w:hint="eastAsia" w:ascii="宋体" w:hAnsi="宋体" w:eastAsia="宋体" w:cs="宋体"/>
          <w:color w:val="auto"/>
          <w:kern w:val="0"/>
          <w:sz w:val="24"/>
          <w:szCs w:val="24"/>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17AF49BA">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7</w:t>
      </w:r>
      <w:r>
        <w:rPr>
          <w:rStyle w:val="48"/>
          <w:rFonts w:hint="eastAsia" w:ascii="宋体" w:hAnsi="宋体" w:eastAsia="宋体" w:cs="宋体"/>
          <w:b/>
          <w:bCs/>
          <w:color w:val="auto"/>
          <w:kern w:val="0"/>
          <w:sz w:val="24"/>
          <w:szCs w:val="24"/>
          <w:highlight w:val="none"/>
        </w:rPr>
        <w:t>.3</w:t>
      </w:r>
      <w:r>
        <w:rPr>
          <w:rStyle w:val="48"/>
          <w:rFonts w:hint="eastAsia" w:ascii="宋体" w:hAnsi="宋体" w:eastAsia="宋体" w:cs="宋体"/>
          <w:color w:val="auto"/>
          <w:kern w:val="0"/>
          <w:sz w:val="24"/>
          <w:szCs w:val="24"/>
          <w:highlight w:val="none"/>
        </w:rPr>
        <w:t xml:space="preserve"> 为保证施工现场的环境卫生，承包人在本工程施工过程中，所有的车辆必须按发包人规定的行车路线行驶。</w:t>
      </w:r>
    </w:p>
    <w:p w14:paraId="043DEA37">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08" w:name="_Toc23878"/>
      <w:r>
        <w:rPr>
          <w:rFonts w:hint="eastAsia" w:ascii="宋体" w:hAnsi="宋体" w:eastAsia="宋体" w:cs="宋体"/>
          <w:b/>
          <w:bCs/>
          <w:color w:val="auto"/>
          <w:spacing w:val="-11"/>
          <w:sz w:val="24"/>
          <w:szCs w:val="24"/>
          <w:highlight w:val="none"/>
          <w:lang w:val="en-US" w:eastAsia="zh-CN"/>
        </w:rPr>
        <w:t>8.监督实施</w:t>
      </w:r>
      <w:bookmarkEnd w:id="208"/>
    </w:p>
    <w:p w14:paraId="7D8C2402">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60"/>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151C2662">
      <w:pPr>
        <w:keepNext w:val="0"/>
        <w:keepLines w:val="0"/>
        <w:pageBreakBefore w:val="0"/>
        <w:widowControl w:val="0"/>
        <w:kinsoku w:val="0"/>
        <w:wordWrap/>
        <w:overflowPunct/>
        <w:topLinePunct w:val="0"/>
        <w:autoSpaceDE w:val="0"/>
        <w:autoSpaceDN w:val="0"/>
        <w:bidi w:val="0"/>
        <w:adjustRightInd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09" w:name="_Toc15584"/>
      <w:r>
        <w:rPr>
          <w:rFonts w:hint="eastAsia" w:ascii="宋体" w:hAnsi="宋体" w:eastAsia="宋体" w:cs="宋体"/>
          <w:b/>
          <w:bCs/>
          <w:color w:val="auto"/>
          <w:spacing w:val="-11"/>
          <w:sz w:val="24"/>
          <w:szCs w:val="24"/>
          <w:highlight w:val="none"/>
          <w:lang w:val="en-US" w:eastAsia="zh-CN"/>
        </w:rPr>
        <w:t>9.主材的采购和使用</w:t>
      </w:r>
      <w:bookmarkEnd w:id="209"/>
    </w:p>
    <w:p w14:paraId="243E5AB1">
      <w:pPr>
        <w:keepNext w:val="0"/>
        <w:keepLines w:val="0"/>
        <w:pageBreakBefore w:val="0"/>
        <w:widowControl w:val="0"/>
        <w:kinsoku w:val="0"/>
        <w:wordWrap/>
        <w:overflowPunct/>
        <w:topLinePunct w:val="0"/>
        <w:autoSpaceDE w:val="0"/>
        <w:autoSpaceDN w:val="0"/>
        <w:bidi w:val="0"/>
        <w:adjustRightInd w:val="0"/>
        <w:snapToGrid w:val="0"/>
        <w:spacing w:line="360" w:lineRule="auto"/>
        <w:ind w:firstLine="560"/>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color w:val="auto"/>
          <w:kern w:val="0"/>
          <w:sz w:val="24"/>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6495185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10" w:name="_Toc10125"/>
      <w:r>
        <w:rPr>
          <w:rFonts w:hint="eastAsia" w:ascii="宋体" w:hAnsi="宋体" w:eastAsia="宋体" w:cs="宋体"/>
          <w:b/>
          <w:bCs/>
          <w:color w:val="auto"/>
          <w:spacing w:val="-11"/>
          <w:sz w:val="24"/>
          <w:szCs w:val="24"/>
          <w:highlight w:val="none"/>
          <w:lang w:val="en-US" w:eastAsia="zh-CN"/>
        </w:rPr>
        <w:t>10.竣工资料移交</w:t>
      </w:r>
      <w:bookmarkEnd w:id="210"/>
    </w:p>
    <w:p w14:paraId="317FC39D">
      <w:pPr>
        <w:widowControl w:val="0"/>
        <w:wordWrap w:val="0"/>
        <w:adjustRightInd w:val="0"/>
        <w:snapToGrid w:val="0"/>
        <w:spacing w:line="360" w:lineRule="auto"/>
        <w:ind w:firstLine="560"/>
        <w:textAlignment w:val="auto"/>
        <w:rPr>
          <w:rStyle w:val="48"/>
          <w:rFonts w:hint="eastAsia" w:ascii="宋体" w:hAnsi="宋体" w:eastAsia="宋体" w:cs="宋体"/>
          <w:b/>
          <w:bCs/>
          <w:color w:val="auto"/>
          <w:kern w:val="0"/>
          <w:sz w:val="24"/>
          <w:szCs w:val="24"/>
          <w:highlight w:val="none"/>
        </w:rPr>
      </w:pPr>
      <w:r>
        <w:rPr>
          <w:rFonts w:hint="eastAsia" w:ascii="宋体" w:hAnsi="宋体" w:eastAsia="宋体" w:cs="宋体"/>
          <w:bCs/>
          <w:snapToGrid w:val="0"/>
          <w:color w:val="auto"/>
          <w:kern w:val="0"/>
          <w:sz w:val="24"/>
          <w:szCs w:val="24"/>
          <w:highlight w:val="none"/>
        </w:rPr>
        <w:t>项目竣工验收时，</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人应向监理单位和</w:t>
      </w:r>
      <w:r>
        <w:rPr>
          <w:rFonts w:hint="eastAsia" w:ascii="宋体" w:hAnsi="宋体" w:eastAsia="宋体" w:cs="宋体"/>
          <w:snapToGrid w:val="0"/>
          <w:color w:val="auto"/>
          <w:kern w:val="0"/>
          <w:sz w:val="24"/>
          <w:szCs w:val="24"/>
          <w:highlight w:val="none"/>
        </w:rPr>
        <w:t>发包</w:t>
      </w:r>
      <w:r>
        <w:rPr>
          <w:rFonts w:hint="eastAsia" w:ascii="宋体" w:hAnsi="宋体" w:eastAsia="宋体" w:cs="宋体"/>
          <w:bCs/>
          <w:snapToGrid w:val="0"/>
          <w:color w:val="auto"/>
          <w:kern w:val="0"/>
          <w:sz w:val="24"/>
          <w:szCs w:val="24"/>
          <w:highlight w:val="none"/>
        </w:rPr>
        <w:t>人提供符合国家档案部门备案要求的，编制成册的竣工图及有关的技术档案资料（含声像档案）一式</w:t>
      </w:r>
      <w:r>
        <w:rPr>
          <w:rFonts w:hint="eastAsia" w:ascii="宋体" w:hAnsi="宋体" w:eastAsia="宋体" w:cs="宋体"/>
          <w:bCs/>
          <w:snapToGrid w:val="0"/>
          <w:color w:val="auto"/>
          <w:kern w:val="0"/>
          <w:sz w:val="24"/>
          <w:szCs w:val="24"/>
          <w:highlight w:val="none"/>
          <w:u w:val="single"/>
        </w:rPr>
        <w:t xml:space="preserve"> 八 </w:t>
      </w:r>
      <w:r>
        <w:rPr>
          <w:rFonts w:hint="eastAsia" w:ascii="宋体" w:hAnsi="宋体" w:eastAsia="宋体" w:cs="宋体"/>
          <w:bCs/>
          <w:snapToGrid w:val="0"/>
          <w:color w:val="auto"/>
          <w:kern w:val="0"/>
          <w:sz w:val="24"/>
          <w:szCs w:val="24"/>
          <w:highlight w:val="none"/>
        </w:rPr>
        <w:t>份。</w:t>
      </w:r>
    </w:p>
    <w:p w14:paraId="788DAA2C">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11" w:name="_Toc16452"/>
      <w:r>
        <w:rPr>
          <w:rFonts w:hint="eastAsia" w:ascii="宋体" w:hAnsi="宋体" w:eastAsia="宋体" w:cs="宋体"/>
          <w:b/>
          <w:bCs/>
          <w:color w:val="auto"/>
          <w:spacing w:val="-11"/>
          <w:sz w:val="24"/>
          <w:szCs w:val="24"/>
          <w:highlight w:val="none"/>
          <w:lang w:val="en-US" w:eastAsia="zh-CN"/>
        </w:rPr>
        <w:t>11.质量保证</w:t>
      </w:r>
      <w:bookmarkEnd w:id="211"/>
    </w:p>
    <w:p w14:paraId="67CE75A3">
      <w:pPr>
        <w:snapToGrid w:val="0"/>
        <w:spacing w:line="360" w:lineRule="auto"/>
        <w:ind w:firstLine="56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11</w:t>
      </w:r>
      <w:r>
        <w:rPr>
          <w:rStyle w:val="48"/>
          <w:rFonts w:hint="eastAsia" w:ascii="宋体" w:hAnsi="宋体" w:eastAsia="宋体" w:cs="宋体"/>
          <w:b/>
          <w:bCs/>
          <w:color w:val="auto"/>
          <w:kern w:val="0"/>
          <w:sz w:val="24"/>
          <w:szCs w:val="24"/>
          <w:highlight w:val="none"/>
        </w:rPr>
        <w:t>.1</w:t>
      </w:r>
      <w:r>
        <w:rPr>
          <w:rStyle w:val="48"/>
          <w:rFonts w:hint="eastAsia" w:ascii="宋体" w:hAnsi="宋体" w:eastAsia="宋体" w:cs="宋体"/>
          <w:color w:val="auto"/>
          <w:kern w:val="0"/>
          <w:sz w:val="24"/>
          <w:szCs w:val="24"/>
          <w:highlight w:val="none"/>
        </w:rPr>
        <w:t xml:space="preserve"> 本工程缺陷责任期为</w:t>
      </w:r>
      <w:r>
        <w:rPr>
          <w:rStyle w:val="48"/>
          <w:rFonts w:hint="eastAsia" w:ascii="宋体" w:hAnsi="宋体" w:eastAsia="宋体" w:cs="宋体"/>
          <w:color w:val="auto"/>
          <w:kern w:val="0"/>
          <w:sz w:val="24"/>
          <w:szCs w:val="24"/>
          <w:highlight w:val="none"/>
          <w:u w:val="single"/>
          <w:lang w:val="en-US" w:eastAsia="zh-CN"/>
        </w:rPr>
        <w:t xml:space="preserve"> 2 </w:t>
      </w:r>
      <w:r>
        <w:rPr>
          <w:rStyle w:val="48"/>
          <w:rFonts w:hint="eastAsia" w:ascii="宋体" w:hAnsi="宋体" w:eastAsia="宋体" w:cs="宋体"/>
          <w:color w:val="auto"/>
          <w:kern w:val="0"/>
          <w:sz w:val="24"/>
          <w:szCs w:val="24"/>
          <w:highlight w:val="none"/>
        </w:rPr>
        <w:t>年（自通过竣工验收之日起计），在此期间预留金额为结算价</w:t>
      </w:r>
      <w:r>
        <w:rPr>
          <w:rStyle w:val="48"/>
          <w:rFonts w:hint="eastAsia" w:ascii="宋体" w:hAnsi="宋体" w:eastAsia="宋体" w:cs="宋体"/>
          <w:color w:val="auto"/>
          <w:kern w:val="0"/>
          <w:sz w:val="24"/>
          <w:szCs w:val="24"/>
          <w:highlight w:val="none"/>
          <w:u w:val="single"/>
        </w:rPr>
        <w:t xml:space="preserve">3% </w:t>
      </w:r>
      <w:r>
        <w:rPr>
          <w:rStyle w:val="48"/>
          <w:rFonts w:hint="eastAsia" w:ascii="宋体" w:hAnsi="宋体" w:eastAsia="宋体" w:cs="宋体"/>
          <w:color w:val="auto"/>
          <w:kern w:val="0"/>
          <w:sz w:val="24"/>
          <w:szCs w:val="24"/>
          <w:highlight w:val="none"/>
        </w:rPr>
        <w:t>的质量保证。</w:t>
      </w:r>
    </w:p>
    <w:p w14:paraId="07ABFEEE">
      <w:pPr>
        <w:snapToGrid w:val="0"/>
        <w:spacing w:line="360" w:lineRule="auto"/>
        <w:ind w:firstLine="560"/>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11</w:t>
      </w:r>
      <w:r>
        <w:rPr>
          <w:rStyle w:val="48"/>
          <w:rFonts w:hint="eastAsia" w:ascii="宋体" w:hAnsi="宋体" w:eastAsia="宋体" w:cs="宋体"/>
          <w:b/>
          <w:bCs/>
          <w:color w:val="auto"/>
          <w:kern w:val="0"/>
          <w:sz w:val="24"/>
          <w:szCs w:val="24"/>
          <w:highlight w:val="none"/>
        </w:rPr>
        <w:t>.2</w:t>
      </w:r>
      <w:r>
        <w:rPr>
          <w:rStyle w:val="48"/>
          <w:rFonts w:hint="eastAsia" w:ascii="宋体" w:hAnsi="宋体" w:eastAsia="宋体" w:cs="宋体"/>
          <w:color w:val="auto"/>
          <w:kern w:val="0"/>
          <w:sz w:val="24"/>
          <w:szCs w:val="24"/>
          <w:highlight w:val="none"/>
        </w:rPr>
        <w:t xml:space="preserve"> 质量保证的形式包括质量保证金、质量保证担保、质量保证保险三种，由承包人自主选择。</w:t>
      </w:r>
    </w:p>
    <w:p w14:paraId="64E4142E">
      <w:pPr>
        <w:snapToGrid w:val="0"/>
        <w:spacing w:line="360" w:lineRule="auto"/>
        <w:ind w:firstLine="560"/>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（1）采用质量保证金形式的，在结清审定总造价时一次性扣留相应金额作为质量保证金。</w:t>
      </w:r>
    </w:p>
    <w:p w14:paraId="55DF4775">
      <w:pPr>
        <w:keepNext w:val="0"/>
        <w:keepLines w:val="0"/>
        <w:pageBreakBefore w:val="0"/>
        <w:widowControl w:val="0"/>
        <w:wordWrap/>
        <w:overflowPunct/>
        <w:topLinePunct w:val="0"/>
        <w:bidi w:val="0"/>
        <w:snapToGrid w:val="0"/>
        <w:spacing w:line="360" w:lineRule="auto"/>
        <w:ind w:firstLine="56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（2）采用质量保证担保或质量保证保险的，承包人应在竣工验收时向发包人提交有效的</w:t>
      </w:r>
      <w:r>
        <w:rPr>
          <w:rFonts w:hint="eastAsia" w:ascii="宋体" w:hAnsi="宋体" w:eastAsia="宋体" w:cs="宋体"/>
          <w:b w:val="0"/>
          <w:bCs/>
          <w:caps w:val="0"/>
          <w:smallCaps w:val="0"/>
          <w:snapToGrid w:val="0"/>
          <w:color w:val="auto"/>
          <w:spacing w:val="0"/>
          <w:kern w:val="0"/>
          <w:sz w:val="24"/>
          <w:szCs w:val="24"/>
          <w:highlight w:val="none"/>
          <w:lang w:val="en-US" w:eastAsia="zh-CN"/>
        </w:rPr>
        <w:t>商业保函、</w:t>
      </w:r>
      <w:r>
        <w:rPr>
          <w:rStyle w:val="48"/>
          <w:rFonts w:hint="eastAsia" w:ascii="宋体" w:hAnsi="宋体" w:eastAsia="宋体" w:cs="宋体"/>
          <w:color w:val="auto"/>
          <w:kern w:val="0"/>
          <w:sz w:val="24"/>
          <w:szCs w:val="24"/>
          <w:highlight w:val="none"/>
        </w:rPr>
        <w:t>银行保函或保险合同（或保险单）原件，</w:t>
      </w:r>
      <w:r>
        <w:rPr>
          <w:rFonts w:hint="eastAsia" w:ascii="宋体" w:hAnsi="宋体" w:eastAsia="宋体" w:cs="宋体"/>
          <w:b w:val="0"/>
          <w:bCs/>
          <w:caps w:val="0"/>
          <w:smallCaps w:val="0"/>
          <w:snapToGrid w:val="0"/>
          <w:color w:val="auto"/>
          <w:spacing w:val="0"/>
          <w:kern w:val="0"/>
          <w:sz w:val="24"/>
          <w:szCs w:val="24"/>
          <w:highlight w:val="none"/>
          <w:lang w:val="en-US" w:eastAsia="zh-CN"/>
        </w:rPr>
        <w:t>商业保函、</w:t>
      </w:r>
      <w:r>
        <w:rPr>
          <w:rStyle w:val="48"/>
          <w:rFonts w:hint="eastAsia" w:ascii="宋体" w:hAnsi="宋体" w:eastAsia="宋体" w:cs="宋体"/>
          <w:color w:val="auto"/>
          <w:kern w:val="0"/>
          <w:sz w:val="24"/>
          <w:szCs w:val="24"/>
          <w:highlight w:val="none"/>
        </w:rPr>
        <w:t>银行保函或保险合同（或保险单）的有效期不得短于缺陷责任期。</w:t>
      </w:r>
    </w:p>
    <w:p w14:paraId="36C61C54">
      <w:pPr>
        <w:keepNext w:val="0"/>
        <w:keepLines w:val="0"/>
        <w:pageBreakBefore w:val="0"/>
        <w:widowControl w:val="0"/>
        <w:wordWrap/>
        <w:overflowPunct/>
        <w:topLinePunct w:val="0"/>
        <w:bidi w:val="0"/>
        <w:snapToGrid w:val="0"/>
        <w:spacing w:line="360" w:lineRule="auto"/>
        <w:ind w:firstLine="56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11</w:t>
      </w:r>
      <w:r>
        <w:rPr>
          <w:rStyle w:val="48"/>
          <w:rFonts w:hint="eastAsia" w:ascii="宋体" w:hAnsi="宋体" w:eastAsia="宋体" w:cs="宋体"/>
          <w:b/>
          <w:bCs/>
          <w:color w:val="auto"/>
          <w:kern w:val="0"/>
          <w:sz w:val="24"/>
          <w:szCs w:val="24"/>
          <w:highlight w:val="none"/>
        </w:rPr>
        <w:t>.3</w:t>
      </w:r>
      <w:r>
        <w:rPr>
          <w:rStyle w:val="48"/>
          <w:rFonts w:hint="eastAsia" w:ascii="宋体" w:hAnsi="宋体" w:eastAsia="宋体" w:cs="宋体"/>
          <w:color w:val="auto"/>
          <w:kern w:val="0"/>
          <w:sz w:val="24"/>
          <w:szCs w:val="24"/>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7B5D93C6">
      <w:pPr>
        <w:keepNext w:val="0"/>
        <w:keepLines w:val="0"/>
        <w:pageBreakBefore w:val="0"/>
        <w:widowControl w:val="0"/>
        <w:wordWrap/>
        <w:overflowPunct/>
        <w:topLinePunct w:val="0"/>
        <w:bidi w:val="0"/>
        <w:snapToGrid w:val="0"/>
        <w:spacing w:line="360" w:lineRule="auto"/>
        <w:ind w:firstLine="560"/>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由他人原因造成的缺陷，发包人负责组织维修，承包人不承担费用，且发包人不得从质量保证中扣除费用。</w:t>
      </w:r>
    </w:p>
    <w:p w14:paraId="7F18C339">
      <w:pPr>
        <w:keepNext w:val="0"/>
        <w:keepLines w:val="0"/>
        <w:pageBreakBefore w:val="0"/>
        <w:widowControl w:val="0"/>
        <w:wordWrap/>
        <w:overflowPunct/>
        <w:topLinePunct w:val="0"/>
        <w:bidi w:val="0"/>
        <w:snapToGrid w:val="0"/>
        <w:spacing w:line="360" w:lineRule="auto"/>
        <w:ind w:firstLine="560"/>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b/>
          <w:bCs/>
          <w:color w:val="auto"/>
          <w:kern w:val="0"/>
          <w:sz w:val="24"/>
          <w:szCs w:val="24"/>
          <w:highlight w:val="none"/>
          <w:lang w:val="en-US" w:eastAsia="zh-CN"/>
        </w:rPr>
        <w:t>11</w:t>
      </w:r>
      <w:r>
        <w:rPr>
          <w:rStyle w:val="48"/>
          <w:rFonts w:hint="eastAsia" w:ascii="宋体" w:hAnsi="宋体" w:eastAsia="宋体" w:cs="宋体"/>
          <w:b/>
          <w:bCs/>
          <w:color w:val="auto"/>
          <w:kern w:val="0"/>
          <w:sz w:val="24"/>
          <w:szCs w:val="24"/>
          <w:highlight w:val="none"/>
        </w:rPr>
        <w:t>.4</w:t>
      </w:r>
      <w:r>
        <w:rPr>
          <w:rStyle w:val="48"/>
          <w:rFonts w:hint="eastAsia" w:ascii="宋体" w:hAnsi="宋体" w:eastAsia="宋体" w:cs="宋体"/>
          <w:color w:val="auto"/>
          <w:kern w:val="0"/>
          <w:sz w:val="24"/>
          <w:szCs w:val="24"/>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7C0FEC34">
      <w:pPr>
        <w:keepNext w:val="0"/>
        <w:keepLines w:val="0"/>
        <w:pageBreakBefore w:val="0"/>
        <w:widowControl w:val="0"/>
        <w:wordWrap/>
        <w:overflowPunct/>
        <w:topLinePunct w:val="0"/>
        <w:bidi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12" w:name="_Toc19544"/>
      <w:r>
        <w:rPr>
          <w:rFonts w:hint="eastAsia" w:ascii="宋体" w:hAnsi="宋体" w:eastAsia="宋体" w:cs="宋体"/>
          <w:b/>
          <w:bCs/>
          <w:color w:val="auto"/>
          <w:spacing w:val="-11"/>
          <w:sz w:val="24"/>
          <w:szCs w:val="24"/>
          <w:highlight w:val="none"/>
          <w:lang w:val="en-US" w:eastAsia="zh-CN"/>
        </w:rPr>
        <w:t>12.不良行为处理</w:t>
      </w:r>
      <w:bookmarkEnd w:id="212"/>
    </w:p>
    <w:p w14:paraId="78E3ACC1">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586697AB">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bookmarkStart w:id="213" w:name="_Toc3225"/>
      <w:r>
        <w:rPr>
          <w:rStyle w:val="48"/>
          <w:rFonts w:hint="eastAsia" w:ascii="宋体" w:hAnsi="宋体" w:eastAsia="宋体" w:cs="宋体"/>
          <w:color w:val="auto"/>
          <w:kern w:val="0"/>
          <w:sz w:val="24"/>
          <w:szCs w:val="24"/>
          <w:highlight w:val="none"/>
        </w:rPr>
        <w:t>（1）转包、违法分包或违反投标承诺分包工程的；</w:t>
      </w:r>
      <w:bookmarkEnd w:id="213"/>
    </w:p>
    <w:p w14:paraId="1A9C58E1">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2D8D422B">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（3）投标文件确定的大型机械设备没有进入施工现场的；</w:t>
      </w:r>
    </w:p>
    <w:p w14:paraId="53C54715">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（4）与建设单位、监理单位串通，签认虚假工程量或工程造价的；</w:t>
      </w:r>
    </w:p>
    <w:p w14:paraId="2BEAE447">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（5）项目经理施工现场管理不到位的；</w:t>
      </w:r>
    </w:p>
    <w:p w14:paraId="173C6611">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（6）项目经理在非本人资格证书注册单位从事工程项目施工管理的；</w:t>
      </w:r>
    </w:p>
    <w:p w14:paraId="0E5B61CF">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color w:val="auto"/>
          <w:kern w:val="0"/>
          <w:sz w:val="24"/>
          <w:szCs w:val="24"/>
          <w:highlight w:val="none"/>
        </w:rPr>
      </w:pPr>
      <w:r>
        <w:rPr>
          <w:rStyle w:val="48"/>
          <w:rFonts w:hint="eastAsia" w:ascii="宋体" w:hAnsi="宋体" w:eastAsia="宋体" w:cs="宋体"/>
          <w:color w:val="auto"/>
          <w:kern w:val="0"/>
          <w:sz w:val="24"/>
          <w:szCs w:val="24"/>
          <w:highlight w:val="none"/>
        </w:rPr>
        <w:t>（7）项目经理同时承担超过一项工程项目的；</w:t>
      </w:r>
    </w:p>
    <w:p w14:paraId="0BD83746">
      <w:pPr>
        <w:pStyle w:val="52"/>
        <w:keepNext w:val="0"/>
        <w:keepLines w:val="0"/>
        <w:pageBreakBefore w:val="0"/>
        <w:widowControl w:val="0"/>
        <w:wordWrap/>
        <w:overflowPunct/>
        <w:topLinePunct w:val="0"/>
        <w:bidi w:val="0"/>
        <w:snapToGrid w:val="0"/>
        <w:spacing w:line="360" w:lineRule="auto"/>
        <w:ind w:firstLine="480" w:firstLineChars="200"/>
        <w:jc w:val="left"/>
        <w:textAlignment w:val="baseline"/>
        <w:rPr>
          <w:rStyle w:val="48"/>
          <w:rFonts w:hint="eastAsia" w:ascii="宋体" w:hAnsi="宋体" w:eastAsia="宋体" w:cs="宋体"/>
          <w:b/>
          <w:bCs/>
          <w:color w:val="auto"/>
          <w:kern w:val="0"/>
          <w:sz w:val="24"/>
          <w:szCs w:val="24"/>
          <w:highlight w:val="none"/>
        </w:rPr>
      </w:pPr>
      <w:r>
        <w:rPr>
          <w:rStyle w:val="48"/>
          <w:rFonts w:hint="eastAsia" w:ascii="宋体" w:hAnsi="宋体" w:eastAsia="宋体" w:cs="宋体"/>
          <w:color w:val="auto"/>
          <w:kern w:val="0"/>
          <w:sz w:val="24"/>
          <w:szCs w:val="24"/>
          <w:highlight w:val="none"/>
        </w:rPr>
        <w:t>（8）违反有关法律、法规、规章规定的其它行为。</w:t>
      </w:r>
    </w:p>
    <w:p w14:paraId="590CD6A6">
      <w:pPr>
        <w:keepNext w:val="0"/>
        <w:keepLines w:val="0"/>
        <w:pageBreakBefore w:val="0"/>
        <w:widowControl w:val="0"/>
        <w:wordWrap/>
        <w:overflowPunct/>
        <w:topLinePunct w:val="0"/>
        <w:bidi w:val="0"/>
        <w:snapToGrid w:val="0"/>
        <w:spacing w:before="151" w:line="360" w:lineRule="auto"/>
        <w:ind w:left="476"/>
        <w:textAlignment w:val="baseline"/>
        <w:outlineLvl w:val="2"/>
        <w:rPr>
          <w:rFonts w:hint="eastAsia" w:ascii="宋体" w:hAnsi="宋体" w:eastAsia="宋体" w:cs="宋体"/>
          <w:b/>
          <w:bCs/>
          <w:color w:val="auto"/>
          <w:spacing w:val="-11"/>
          <w:sz w:val="24"/>
          <w:szCs w:val="24"/>
          <w:highlight w:val="none"/>
          <w:lang w:val="en-US" w:eastAsia="zh-CN"/>
        </w:rPr>
      </w:pPr>
      <w:bookmarkStart w:id="214" w:name="_Toc17443"/>
      <w:r>
        <w:rPr>
          <w:rFonts w:hint="eastAsia" w:ascii="宋体" w:hAnsi="宋体" w:eastAsia="宋体" w:cs="宋体"/>
          <w:b/>
          <w:bCs/>
          <w:color w:val="auto"/>
          <w:spacing w:val="-11"/>
          <w:sz w:val="24"/>
          <w:szCs w:val="24"/>
          <w:highlight w:val="none"/>
          <w:lang w:val="en-US" w:eastAsia="zh-CN"/>
        </w:rPr>
        <w:t>13.信用评价条款内容</w:t>
      </w:r>
      <w:bookmarkEnd w:id="214"/>
    </w:p>
    <w:p w14:paraId="13FEAC6B">
      <w:pPr>
        <w:pStyle w:val="54"/>
        <w:keepNext w:val="0"/>
        <w:keepLines w:val="0"/>
        <w:pageBreakBefore w:val="0"/>
        <w:widowControl w:val="0"/>
        <w:wordWrap/>
        <w:overflowPunct/>
        <w:topLinePunct w:val="0"/>
        <w:bidi w:val="0"/>
        <w:snapToGrid w:val="0"/>
        <w:spacing w:line="360" w:lineRule="auto"/>
        <w:ind w:firstLine="560"/>
        <w:textAlignment w:val="baseline"/>
        <w:rPr>
          <w:rStyle w:val="48"/>
          <w:rFonts w:hint="eastAsia" w:ascii="宋体" w:hAnsi="宋体" w:eastAsia="宋体" w:cs="宋体"/>
          <w:b/>
          <w:bCs/>
          <w:color w:val="auto"/>
          <w:sz w:val="24"/>
          <w:szCs w:val="24"/>
          <w:highlight w:val="none"/>
        </w:rPr>
      </w:pPr>
      <w:r>
        <w:rPr>
          <w:rStyle w:val="48"/>
          <w:rFonts w:hint="eastAsia" w:ascii="宋体" w:hAnsi="宋体" w:eastAsia="宋体" w:cs="宋体"/>
          <w:color w:val="auto"/>
          <w:kern w:val="0"/>
          <w:sz w:val="24"/>
          <w:szCs w:val="24"/>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59463365">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15" w:name="_Toc27802"/>
      <w:r>
        <w:rPr>
          <w:rFonts w:hint="eastAsia" w:ascii="宋体" w:hAnsi="宋体" w:eastAsia="宋体" w:cs="宋体"/>
          <w:b/>
          <w:bCs/>
          <w:color w:val="auto"/>
          <w:spacing w:val="-11"/>
          <w:sz w:val="24"/>
          <w:szCs w:val="24"/>
          <w:highlight w:val="none"/>
          <w:lang w:val="en-US" w:eastAsia="zh-CN"/>
        </w:rPr>
        <w:t>14.其他事项</w:t>
      </w:r>
      <w:bookmarkEnd w:id="215"/>
    </w:p>
    <w:p w14:paraId="06DEBF62">
      <w:pPr>
        <w:snapToGrid w:val="0"/>
        <w:spacing w:line="360" w:lineRule="auto"/>
        <w:ind w:firstLine="560"/>
        <w:rPr>
          <w:rStyle w:val="48"/>
          <w:rFonts w:hint="eastAsia" w:ascii="宋体" w:hAnsi="宋体" w:eastAsia="宋体" w:cs="宋体"/>
          <w:b w:val="0"/>
          <w:bCs w:val="0"/>
          <w:color w:val="auto"/>
          <w:kern w:val="0"/>
          <w:sz w:val="24"/>
          <w:szCs w:val="24"/>
          <w:highlight w:val="none"/>
          <w:lang w:val="en-US" w:eastAsia="zh-CN"/>
        </w:rPr>
      </w:pPr>
      <w:bookmarkStart w:id="216" w:name="_Toc6606"/>
      <w:r>
        <w:rPr>
          <w:rStyle w:val="48"/>
          <w:rFonts w:hint="eastAsia" w:ascii="宋体" w:hAnsi="宋体" w:eastAsia="宋体" w:cs="宋体"/>
          <w:b/>
          <w:bCs/>
          <w:color w:val="auto"/>
          <w:kern w:val="0"/>
          <w:sz w:val="24"/>
          <w:szCs w:val="24"/>
          <w:highlight w:val="none"/>
          <w:lang w:val="en-US" w:eastAsia="zh-CN"/>
        </w:rPr>
        <w:t>14.1</w:t>
      </w:r>
      <w:r>
        <w:rPr>
          <w:rStyle w:val="48"/>
          <w:rFonts w:hint="eastAsia" w:ascii="宋体" w:hAnsi="宋体" w:eastAsia="宋体" w:cs="宋体"/>
          <w:b w:val="0"/>
          <w:bCs w:val="0"/>
          <w:color w:val="auto"/>
          <w:kern w:val="0"/>
          <w:sz w:val="24"/>
          <w:szCs w:val="24"/>
          <w:highlight w:val="none"/>
          <w:lang w:val="en-US" w:eastAsia="zh-CN"/>
        </w:rPr>
        <w:t>危险性较大的分部分项工程安全管理约定</w:t>
      </w:r>
      <w:bookmarkEnd w:id="216"/>
    </w:p>
    <w:p w14:paraId="2438AA34">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中标人应对建设单位组织的勘察、设计等单位在施工招标文件中列出的危大工程清单进行投标文件回应。对危险性较大的工程必须按《危险性较大的分部分项工程安全管理规定》（中华人民共和国住房和城乡建设部令第37号）的规定编制专项施工方案。同时，中标人必须按照《危险性较大的分部分项工程安全管理规定》的规定和经审批的专项施工方案履行安全职责，严格执行国家、地方政府有关施工安全管理方面的法律、法规及规章制度，同时严格执行招标人制订的本项目安全生产管理方面的规章制度、安全检查程序及施工安全管理要求，以及监理人有关安全工作的指令。</w:t>
      </w:r>
    </w:p>
    <w:p w14:paraId="4CA69CD9">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中标人应根据《危险性较大的分部分项工程安全管理规定》（住房城乡建设部令第37号）、《住房城乡建设部办公厅关于实施&lt;危险性较大的分部分项工程安全管理规定&gt;有关问题的通知》（建办质〔2018〕31号）、《广东省住房和城乡建设厅关于房屋市政工程危险性较大的分部分项工程安全管理的实施细则的通知》(粤建规范〔2019〕2号)和《广东省安全生产委员会办公室广东省住房和城乡建设厅关于&lt;严格落实危险性较大的分部分项工程“六不施工”要求的通知&gt;》（粤安办〔2020〕151号）等有关危险性较大的分部分项工程的法规规定通知，履行建设工程安全生产管理职责。</w:t>
      </w:r>
    </w:p>
    <w:p w14:paraId="7070AC0C">
      <w:pPr>
        <w:pStyle w:val="36"/>
        <w:keepNext w:val="0"/>
        <w:keepLines w:val="0"/>
        <w:pageBreakBefore w:val="0"/>
        <w:widowControl w:val="0"/>
        <w:kinsoku/>
        <w:wordWrap w:val="0"/>
        <w:overflowPunct/>
        <w:topLinePunct w:val="0"/>
        <w:autoSpaceDE/>
        <w:autoSpaceDN/>
        <w:bidi w:val="0"/>
        <w:adjustRightInd w:val="0"/>
        <w:snapToGrid w:val="0"/>
        <w:spacing w:line="360" w:lineRule="auto"/>
        <w:ind w:firstLine="560"/>
        <w:textAlignment w:val="auto"/>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2</w:t>
      </w:r>
      <w:r>
        <w:rPr>
          <w:rFonts w:hint="eastAsia" w:ascii="宋体" w:hAnsi="宋体" w:eastAsia="宋体" w:cs="宋体"/>
          <w:color w:val="auto"/>
          <w:sz w:val="24"/>
          <w:szCs w:val="24"/>
          <w:highlight w:val="none"/>
          <w:shd w:val="clear" w:color="auto" w:fill="FFFFFF"/>
          <w:lang w:val="en-US" w:eastAsia="zh-CN"/>
        </w:rPr>
        <w:t xml:space="preserve"> </w:t>
      </w:r>
      <w:r>
        <w:rPr>
          <w:rFonts w:hint="eastAsia" w:ascii="宋体" w:hAnsi="宋体" w:eastAsia="宋体" w:cs="宋体"/>
          <w:color w:val="auto"/>
          <w:sz w:val="24"/>
          <w:szCs w:val="24"/>
          <w:highlight w:val="none"/>
          <w:shd w:val="clear" w:color="auto" w:fill="FFFFFF"/>
        </w:rPr>
        <w:t>中标人在工程实施过程中，按照国家、省、市的相关规定制定相关的专项安全施工方案（如高支模、基坑支护、沉井等），编制专项施工方案报监理人、招标人审批后方可开展专项工程的施工。</w:t>
      </w:r>
    </w:p>
    <w:p w14:paraId="6D2A5FCD">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 xml:space="preserve">3 </w:t>
      </w:r>
      <w:r>
        <w:rPr>
          <w:rFonts w:hint="eastAsia" w:ascii="宋体" w:hAnsi="宋体" w:eastAsia="宋体" w:cs="宋体"/>
          <w:color w:val="auto"/>
          <w:sz w:val="24"/>
          <w:szCs w:val="24"/>
          <w:highlight w:val="none"/>
          <w:shd w:val="clear" w:color="auto" w:fill="FFFFFF"/>
        </w:rPr>
        <w:t>中标人须按照《韶关市建筑垃圾管理条例》（2021年5月1日起施行），将弃土运至招标人指定的场所，否则招标人有权要求中标人无条件将弃土从违约弃土点运至招标人指定的场所并扣除违约金</w:t>
      </w:r>
      <w:r>
        <w:rPr>
          <w:rFonts w:hint="eastAsia" w:ascii="宋体" w:hAnsi="宋体" w:eastAsia="宋体" w:cs="宋体"/>
          <w:color w:val="auto"/>
          <w:sz w:val="24"/>
          <w:szCs w:val="24"/>
          <w:highlight w:val="none"/>
          <w:u w:val="single"/>
          <w:shd w:val="clear" w:color="auto" w:fill="FFFFFF"/>
        </w:rPr>
        <w:t xml:space="preserve"> </w:t>
      </w:r>
      <w:r>
        <w:rPr>
          <w:rFonts w:hint="eastAsia" w:ascii="宋体" w:hAnsi="宋体" w:eastAsia="宋体" w:cs="宋体"/>
          <w:color w:val="auto"/>
          <w:sz w:val="24"/>
          <w:szCs w:val="24"/>
          <w:highlight w:val="none"/>
          <w:u w:val="single"/>
          <w:shd w:val="clear" w:color="auto" w:fill="FFFFFF"/>
          <w:lang w:val="en-US" w:eastAsia="zh-CN"/>
        </w:rPr>
        <w:t>1</w:t>
      </w:r>
      <w:r>
        <w:rPr>
          <w:rFonts w:hint="eastAsia" w:ascii="宋体" w:hAnsi="宋体" w:eastAsia="宋体" w:cs="宋体"/>
          <w:color w:val="auto"/>
          <w:sz w:val="24"/>
          <w:szCs w:val="24"/>
          <w:highlight w:val="none"/>
          <w:u w:val="single"/>
          <w:shd w:val="clear" w:color="auto" w:fill="FFFFFF"/>
        </w:rPr>
        <w:t xml:space="preserve"> </w:t>
      </w:r>
      <w:r>
        <w:rPr>
          <w:rFonts w:hint="eastAsia" w:ascii="宋体" w:hAnsi="宋体" w:eastAsia="宋体" w:cs="宋体"/>
          <w:color w:val="auto"/>
          <w:sz w:val="24"/>
          <w:szCs w:val="24"/>
          <w:highlight w:val="none"/>
          <w:shd w:val="clear" w:color="auto" w:fill="FFFFFF"/>
        </w:rPr>
        <w:t>万元人民币/次。中标人对建筑垃圾须按《韶关市建筑垃圾管理条例》（2021年5月1日起施行）的相关规定进行排放和运输，投标人在投标报价时综合考虑在报价内。中标人应在施工现场建立洗车槽和临时排水系统等确保外运车辆（土方运输车辆应符合相关规定）不带泥上路，投标人在投标报价时综合考虑在报价内，招标人不另行支付该部分费用）。建设单位、施工单位应当在施工工地出入口显著位置公示建筑垃圾处理方案主要信息，包括建设工程垃圾种类、产生量、外运处置去向等信息及各相关单位名称、联系人及联系电话等。</w:t>
      </w:r>
    </w:p>
    <w:p w14:paraId="5247F26A">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 xml:space="preserve">.4 </w:t>
      </w:r>
      <w:r>
        <w:rPr>
          <w:rFonts w:hint="eastAsia" w:ascii="宋体" w:hAnsi="宋体" w:eastAsia="宋体" w:cs="宋体"/>
          <w:color w:val="auto"/>
          <w:sz w:val="24"/>
          <w:szCs w:val="24"/>
          <w:highlight w:val="none"/>
          <w:shd w:val="clear" w:color="auto" w:fill="FFFFFF"/>
        </w:rPr>
        <w:t>工程竣工验收后15日内，中标人应按城建档案馆的要求（质量、数量），将编制成册的施工档案资料（含声像档案和电子档案）提供给招标人、城建档案馆、住建管理局、管养单位及监理单位，并承担档案涉及的所有费用（制作标准和相关要求按城建档案馆的有关规定执行）。中标人提交符合城建档案馆要求的竣工资料经招标人确认签收后，即可办理工程结算手续。</w:t>
      </w:r>
    </w:p>
    <w:p w14:paraId="0C655EFC">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.5</w:t>
      </w:r>
      <w:r>
        <w:rPr>
          <w:rFonts w:hint="eastAsia" w:ascii="宋体" w:hAnsi="宋体" w:eastAsia="宋体" w:cs="宋体"/>
          <w:color w:val="auto"/>
          <w:sz w:val="24"/>
          <w:szCs w:val="24"/>
          <w:highlight w:val="none"/>
          <w:shd w:val="clear" w:color="auto" w:fill="FFFFFF"/>
        </w:rPr>
        <w:t>（一）用人单位应当在建设项目动工前，在建设项目所在地</w:t>
      </w:r>
      <w:r>
        <w:rPr>
          <w:rFonts w:hint="eastAsia" w:ascii="宋体" w:hAnsi="宋体" w:eastAsia="宋体" w:cs="宋体"/>
          <w:color w:val="auto"/>
          <w:sz w:val="24"/>
          <w:szCs w:val="24"/>
          <w:highlight w:val="none"/>
          <w:shd w:val="clear" w:color="auto" w:fill="FFFFFF"/>
          <w:lang w:val="en-US" w:eastAsia="zh-CN"/>
        </w:rPr>
        <w:t>符合招标人要求的</w:t>
      </w:r>
      <w:r>
        <w:rPr>
          <w:rFonts w:hint="eastAsia" w:ascii="宋体" w:hAnsi="宋体" w:eastAsia="宋体" w:cs="宋体"/>
          <w:color w:val="auto"/>
          <w:sz w:val="24"/>
          <w:szCs w:val="24"/>
          <w:highlight w:val="none"/>
          <w:shd w:val="clear" w:color="auto" w:fill="FFFFFF"/>
        </w:rPr>
        <w:t>银行设立工人工资支付专用账户。</w:t>
      </w:r>
    </w:p>
    <w:p w14:paraId="6129E7E1">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（二）用人单位应当在用工之日起15日内为每一位工人办理个人银行账户。</w:t>
      </w:r>
    </w:p>
    <w:p w14:paraId="4E3CC787">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（三）用人单位应当指定专人负责建设项目施工现场台账管理，真实、准确记录工人名册、劳务合同、劳动合同、工程进度、工时台账、劳务承包款和工人工资支付等信息，并保存两年以上备查。</w:t>
      </w:r>
    </w:p>
    <w:p w14:paraId="7327A14E">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14:paraId="02DC67D3">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用人单位未建立、保存用工管理台账，或者伪造相关台账的，按照《广东省劳动保障监察条例》第五十条的规定，由人力资源社会保障部门责令改正，并可处以二千元以上二万元以下的人民币罚款。</w:t>
      </w:r>
    </w:p>
    <w:p w14:paraId="06835395">
      <w:pPr>
        <w:pStyle w:val="36"/>
        <w:snapToGrid w:val="0"/>
        <w:spacing w:line="360" w:lineRule="auto"/>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val="0"/>
          <w:bCs w:val="0"/>
          <w:snapToGrid w:val="0"/>
          <w:color w:val="auto"/>
          <w:kern w:val="0"/>
          <w:sz w:val="24"/>
          <w:szCs w:val="24"/>
          <w:highlight w:val="none"/>
        </w:rPr>
        <w:t>（五）每次申请工程进度款要提供上期工人工资发放明细表、上期工人工资发放公示等材料，并将应付工程款的30%（且不低于当月应发工人工资的金额）作为工人工资拨入到中标人设立的工人工资支付专用账户。</w:t>
      </w:r>
    </w:p>
    <w:p w14:paraId="0EC59835">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 xml:space="preserve">.6 </w:t>
      </w:r>
      <w:r>
        <w:rPr>
          <w:rFonts w:hint="eastAsia" w:ascii="宋体" w:hAnsi="宋体" w:eastAsia="宋体" w:cs="宋体"/>
          <w:color w:val="auto"/>
          <w:sz w:val="24"/>
          <w:szCs w:val="24"/>
          <w:highlight w:val="none"/>
          <w:shd w:val="clear" w:color="auto" w:fill="FFFFFF"/>
        </w:rPr>
        <w:t>中标人应做好周边设施（含军用光缆、燃气、供电、供水、排水、排污、人行道、路灯、治安监控、交通电警等）的成品保护并及时与周边设施的权属单位协调解决，如因中标人原因导致上述设施发生损坏，中标人无条件按招标人规定的期限内修复，涉及成品保护费、索赔等一切费用全部由中标人自行解决。</w:t>
      </w:r>
    </w:p>
    <w:p w14:paraId="0B29B5A7">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.7</w:t>
      </w:r>
      <w:r>
        <w:rPr>
          <w:rFonts w:hint="eastAsia" w:ascii="宋体" w:hAnsi="宋体" w:eastAsia="宋体" w:cs="宋体"/>
          <w:color w:val="auto"/>
          <w:sz w:val="24"/>
          <w:szCs w:val="24"/>
          <w:highlight w:val="none"/>
          <w:shd w:val="clear" w:color="auto" w:fill="FFFFFF"/>
        </w:rPr>
        <w:t>中标人中标后必须按规定及时缴交工人工资保证金、环保噪声排污费等。</w:t>
      </w:r>
    </w:p>
    <w:p w14:paraId="619E056E">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8</w:t>
      </w:r>
      <w:r>
        <w:rPr>
          <w:rFonts w:hint="eastAsia" w:ascii="宋体" w:hAnsi="宋体" w:eastAsia="宋体" w:cs="宋体"/>
          <w:color w:val="auto"/>
          <w:sz w:val="24"/>
          <w:szCs w:val="24"/>
          <w:highlight w:val="none"/>
          <w:shd w:val="clear" w:color="auto" w:fill="FFFFFF"/>
        </w:rPr>
        <w:t>工程质量保修期按《中华人民共和国建筑法》、《建设工程质量管理条例》等相关规定实施。</w:t>
      </w:r>
    </w:p>
    <w:p w14:paraId="0C746642">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w:t>
      </w:r>
      <w:r>
        <w:rPr>
          <w:rFonts w:hint="eastAsia" w:ascii="宋体" w:hAnsi="宋体" w:eastAsia="宋体" w:cs="宋体"/>
          <w:b/>
          <w:bCs/>
          <w:color w:val="auto"/>
          <w:sz w:val="24"/>
          <w:szCs w:val="24"/>
          <w:highlight w:val="none"/>
          <w:shd w:val="clear" w:color="auto" w:fill="FFFFFF"/>
          <w:lang w:val="en-US" w:eastAsia="zh-CN"/>
        </w:rPr>
        <w:t>9</w:t>
      </w:r>
      <w:r>
        <w:rPr>
          <w:rFonts w:hint="eastAsia" w:ascii="宋体" w:hAnsi="宋体" w:eastAsia="宋体" w:cs="宋体"/>
          <w:color w:val="auto"/>
          <w:sz w:val="24"/>
          <w:szCs w:val="24"/>
          <w:highlight w:val="none"/>
          <w:shd w:val="clear" w:color="auto" w:fill="FFFFFF"/>
        </w:rPr>
        <w:t xml:space="preserve"> 如项目实施过程中发生了工程变更及工程签证，中标人需根据招标人发布的《工程变更管理办法》和《工程签证管理办法》完善工程变更签证相关程序。其纳入变更管理属于需要进一步办理审批的，应按照规定程序办理变更审批手续。因施工单位主要责任造成的工程变更调整原则上不予审批，由施工单位自行承担相关责任和费用</w:t>
      </w:r>
    </w:p>
    <w:p w14:paraId="6BC10B7A">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0</w:t>
      </w:r>
      <w:r>
        <w:rPr>
          <w:rFonts w:hint="eastAsia" w:ascii="宋体" w:hAnsi="宋体" w:eastAsia="宋体" w:cs="宋体"/>
          <w:color w:val="auto"/>
          <w:sz w:val="24"/>
          <w:szCs w:val="24"/>
          <w:highlight w:val="none"/>
          <w:shd w:val="clear" w:color="auto" w:fill="FFFFFF"/>
        </w:rPr>
        <w:t xml:space="preserve"> 中标人需按相关规定要求，设置本工程符合相关要求的永久性标牌及规划公示牌，投标人在投标报价时综合考虑在报价内，招标人不另行支付该部分费用。</w:t>
      </w:r>
    </w:p>
    <w:p w14:paraId="68778A07">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1</w:t>
      </w:r>
      <w:r>
        <w:rPr>
          <w:rFonts w:hint="eastAsia" w:ascii="宋体" w:hAnsi="宋体" w:eastAsia="宋体" w:cs="宋体"/>
          <w:color w:val="auto"/>
          <w:sz w:val="24"/>
          <w:szCs w:val="24"/>
          <w:highlight w:val="none"/>
          <w:shd w:val="clear" w:color="auto" w:fill="FFFFFF"/>
        </w:rPr>
        <w:t xml:space="preserve"> 中标人应在项目所在地住建管理部门办理诚信登记，招标人将严格按住建管理部门诚信登记管理办法对中标人履约情况进行考核。</w:t>
      </w:r>
    </w:p>
    <w:p w14:paraId="41A7BB68">
      <w:pPr>
        <w:pStyle w:val="36"/>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2</w:t>
      </w:r>
      <w:r>
        <w:rPr>
          <w:rFonts w:hint="eastAsia" w:ascii="宋体" w:hAnsi="宋体" w:eastAsia="宋体" w:cs="宋体"/>
          <w:color w:val="auto"/>
          <w:sz w:val="24"/>
          <w:szCs w:val="24"/>
          <w:highlight w:val="none"/>
          <w:shd w:val="clear" w:color="auto" w:fill="FFFFFF"/>
        </w:rPr>
        <w:t xml:space="preserve"> 中标人应按住房和城乡建设管理局、人力资源和社会保障局等职能部门对用工实名制的相关规定,落实工人及相关软硬件设施要求。</w:t>
      </w:r>
    </w:p>
    <w:p w14:paraId="1A26121F">
      <w:pPr>
        <w:pStyle w:val="36"/>
        <w:snapToGrid w:val="0"/>
        <w:spacing w:line="360" w:lineRule="auto"/>
        <w:ind w:firstLine="482" w:firstLineChars="200"/>
        <w:rPr>
          <w:rFonts w:hint="eastAsia" w:ascii="宋体" w:hAnsi="宋体" w:eastAsia="宋体" w:cs="宋体"/>
          <w:b w:val="0"/>
          <w:bCs w:val="0"/>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3</w:t>
      </w:r>
      <w:r>
        <w:rPr>
          <w:rFonts w:hint="eastAsia" w:ascii="宋体" w:hAnsi="宋体" w:eastAsia="宋体" w:cs="宋体"/>
          <w:color w:val="auto"/>
          <w:sz w:val="24"/>
          <w:szCs w:val="24"/>
          <w:highlight w:val="none"/>
          <w:shd w:val="clear" w:color="auto" w:fill="FFFFFF"/>
        </w:rPr>
        <w:t xml:space="preserve"> 如采用银行保函方式缴纳履约保证金，在保函到期前一个月，中标人须主动办理续期手续或提交新的银行保函；如中标人未及时主动办理续期手续或提交新的银行保函，招标人有权按履约保证金金额的扣留进度款（工人工资除外）作为</w:t>
      </w:r>
      <w:r>
        <w:rPr>
          <w:rFonts w:hint="eastAsia" w:ascii="宋体" w:hAnsi="宋体" w:eastAsia="宋体" w:cs="宋体"/>
          <w:b w:val="0"/>
          <w:bCs w:val="0"/>
          <w:color w:val="auto"/>
          <w:sz w:val="24"/>
          <w:szCs w:val="24"/>
          <w:highlight w:val="none"/>
          <w:shd w:val="clear" w:color="auto" w:fill="FFFFFF"/>
        </w:rPr>
        <w:t>履约保证金，直至中标人提交新的银行保函或达到履约保证金退还条件。</w:t>
      </w:r>
    </w:p>
    <w:p w14:paraId="3789AE9F">
      <w:pPr>
        <w:pStyle w:val="36"/>
        <w:snapToGrid w:val="0"/>
        <w:spacing w:line="360" w:lineRule="auto"/>
        <w:ind w:firstLine="482" w:firstLineChars="200"/>
        <w:rPr>
          <w:rFonts w:hint="eastAsia" w:ascii="宋体" w:hAnsi="宋体" w:eastAsia="宋体" w:cs="宋体"/>
          <w:bCs/>
          <w:color w:val="auto"/>
          <w:sz w:val="24"/>
          <w:szCs w:val="24"/>
          <w:highlight w:val="none"/>
          <w:lang w:bidi="ar"/>
        </w:rPr>
      </w:pP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.1</w:t>
      </w:r>
      <w:r>
        <w:rPr>
          <w:rFonts w:hint="eastAsia" w:ascii="宋体" w:hAnsi="宋体" w:eastAsia="宋体" w:cs="宋体"/>
          <w:b/>
          <w:bCs/>
          <w:color w:val="auto"/>
          <w:sz w:val="24"/>
          <w:szCs w:val="24"/>
          <w:highlight w:val="none"/>
          <w:shd w:val="clear" w:color="auto" w:fill="FFFFFF"/>
          <w:lang w:val="en-US" w:eastAsia="zh-CN"/>
        </w:rPr>
        <w:t>4</w:t>
      </w:r>
      <w:r>
        <w:rPr>
          <w:rFonts w:hint="eastAsia" w:ascii="宋体" w:hAnsi="宋体" w:eastAsia="宋体" w:cs="宋体"/>
          <w:b/>
          <w:bCs/>
          <w:color w:val="auto"/>
          <w:sz w:val="24"/>
          <w:szCs w:val="24"/>
          <w:highlight w:val="none"/>
          <w:shd w:val="clear" w:color="auto" w:fill="FFFFFF"/>
        </w:rPr>
        <w:t xml:space="preserve"> </w:t>
      </w:r>
      <w:r>
        <w:rPr>
          <w:rFonts w:hint="eastAsia" w:ascii="宋体" w:hAnsi="宋体" w:eastAsia="宋体" w:cs="宋体"/>
          <w:color w:val="auto"/>
          <w:sz w:val="24"/>
          <w:szCs w:val="24"/>
          <w:highlight w:val="none"/>
          <w:lang w:val="zh-CN"/>
        </w:rPr>
        <w:t>依据人力资源社会保障部等十部门印发的《工程建设领域农民工工资专用账户管理暂行办法》（人社部发〔2021〕53号）</w:t>
      </w:r>
      <w:r>
        <w:rPr>
          <w:rFonts w:hint="eastAsia" w:ascii="宋体" w:hAnsi="宋体" w:eastAsia="宋体" w:cs="宋体"/>
          <w:b w:val="0"/>
          <w:bCs w:val="0"/>
          <w:color w:val="auto"/>
          <w:sz w:val="24"/>
          <w:szCs w:val="24"/>
          <w:highlight w:val="none"/>
          <w:shd w:val="clear" w:color="auto" w:fill="FFFFFF"/>
        </w:rPr>
        <w:t>文件规定，中标人中标后，须到银行设立工人工资支付专用账户，用于支付工人工资。发包人支付工程款时，将按工程款（不含工人工资）和工人工资两部分分开支付，工人工资支付至专用账户。中标人应建立劳动用工管理台</w:t>
      </w:r>
      <w:r>
        <w:rPr>
          <w:rFonts w:hint="eastAsia" w:ascii="宋体" w:hAnsi="宋体" w:eastAsia="宋体" w:cs="宋体"/>
          <w:b w:val="0"/>
          <w:bCs w:val="0"/>
          <w:color w:val="auto"/>
          <w:sz w:val="24"/>
          <w:szCs w:val="24"/>
          <w:highlight w:val="none"/>
          <w:lang w:bidi="ar"/>
        </w:rPr>
        <w:t>账，并按</w:t>
      </w:r>
      <w:r>
        <w:rPr>
          <w:rFonts w:hint="eastAsia" w:ascii="宋体" w:hAnsi="宋体" w:eastAsia="宋体" w:cs="宋体"/>
          <w:bCs/>
          <w:color w:val="auto"/>
          <w:sz w:val="24"/>
          <w:szCs w:val="24"/>
          <w:highlight w:val="none"/>
          <w:lang w:bidi="ar"/>
        </w:rPr>
        <w:t>月将工人工资支付明细表等资料报发包人备案。备案内容包括但不限于以下内容（以相关部门的要求为准）：（1）工资发放表、付款凭证（有总包单位项目负责人签名或盖章确认）；（2）施工许可证（或开工报告）、工程项目总承包、专业分包、劳务分包合同；（3）建设单位支付工程款凭证；（4）花名册及身份证复印件；（5）劳动合同：（6）委托书（写明委托代发工资情况）；（7）缴纳保证金的凭证；（8）总包企业或承包企业设立工资专用账户的凭证；（9）维权信息告示牌情况。</w:t>
      </w:r>
    </w:p>
    <w:p w14:paraId="0FBEE672">
      <w:pPr>
        <w:pStyle w:val="36"/>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Cs/>
          <w:color w:val="auto"/>
          <w:sz w:val="24"/>
          <w:szCs w:val="24"/>
          <w:highlight w:val="none"/>
          <w:lang w:bidi="ar"/>
        </w:rPr>
      </w:pPr>
      <w:r>
        <w:rPr>
          <w:rFonts w:hint="eastAsia" w:ascii="宋体" w:hAnsi="宋体" w:eastAsia="宋体" w:cs="宋体"/>
          <w:color w:val="auto"/>
          <w:sz w:val="24"/>
          <w:szCs w:val="24"/>
          <w:highlight w:val="none"/>
          <w:lang w:val="zh-CN"/>
        </w:rPr>
        <w:t>根据韶关市人力资源和社会保障局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韶关市住房和城乡建设管理局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韶关市交通运输局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韶关市水务局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韶关市金融工作局</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zh-CN"/>
        </w:rPr>
        <w:t>国家金融监督管理总局韶关监管分局关于印发《韶关市工程建设领域农民工工资保证金管理实施细则》的通知(韶人社</w:t>
      </w:r>
      <w:r>
        <w:rPr>
          <w:rFonts w:hint="eastAsia" w:ascii="宋体" w:hAnsi="宋体" w:eastAsia="宋体" w:cs="宋体"/>
          <w:color w:val="auto"/>
          <w:sz w:val="24"/>
          <w:szCs w:val="24"/>
          <w:highlight w:val="none"/>
          <w:lang w:val="en-US" w:eastAsia="zh-CN"/>
        </w:rPr>
        <w:t>规[</w:t>
      </w:r>
      <w:r>
        <w:rPr>
          <w:rFonts w:hint="eastAsia" w:ascii="宋体" w:hAnsi="宋体" w:eastAsia="宋体" w:cs="宋体"/>
          <w:color w:val="auto"/>
          <w:sz w:val="24"/>
          <w:szCs w:val="24"/>
          <w:highlight w:val="none"/>
          <w:lang w:val="zh-CN"/>
        </w:rPr>
        <w:t>202</w:t>
      </w:r>
      <w:r>
        <w:rPr>
          <w:rFonts w:hint="eastAsia" w:ascii="宋体" w:hAnsi="宋体" w:eastAsia="宋体" w:cs="宋体"/>
          <w:color w:val="auto"/>
          <w:sz w:val="24"/>
          <w:szCs w:val="24"/>
          <w:highlight w:val="none"/>
          <w:lang w:val="en-US" w:eastAsia="zh-CN"/>
        </w:rPr>
        <w:t>3]2</w:t>
      </w:r>
      <w:r>
        <w:rPr>
          <w:rFonts w:hint="eastAsia" w:ascii="宋体" w:hAnsi="宋体" w:eastAsia="宋体" w:cs="宋体"/>
          <w:color w:val="auto"/>
          <w:sz w:val="24"/>
          <w:szCs w:val="24"/>
          <w:highlight w:val="none"/>
          <w:lang w:val="zh-CN"/>
        </w:rPr>
        <w:t>号)</w:t>
      </w:r>
      <w:r>
        <w:rPr>
          <w:rFonts w:hint="eastAsia" w:ascii="宋体" w:hAnsi="宋体" w:eastAsia="宋体" w:cs="宋体"/>
          <w:bCs/>
          <w:color w:val="auto"/>
          <w:sz w:val="24"/>
          <w:szCs w:val="24"/>
          <w:highlight w:val="none"/>
          <w:lang w:bidi="ar"/>
        </w:rPr>
        <w:t>文件规定，中标人中标后，应将工人工资保证金存入银行专用存款账户。逾期未交纳的，招标人将扣留与本项目工人工资保证金等额的工程款（工人工资除外），直至中标人按《韶关市建设领域施工企业工人工资支付保证金管理办法》相关文件要求缴纳工人工资保证金。在中标人未按要求缴纳工人工资保证金期间，招标人扣留的工程款将作为工人工资保证金的预备资金，招标人有权将该部分资金用于处理该项目工人工资拖欠等情况的问题。</w:t>
      </w:r>
    </w:p>
    <w:p w14:paraId="2F701272">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val="0"/>
          <w:bCs w:val="0"/>
          <w:snapToGrid w:val="0"/>
          <w:color w:val="auto"/>
          <w:kern w:val="0"/>
          <w:sz w:val="24"/>
          <w:szCs w:val="24"/>
          <w:highlight w:val="none"/>
        </w:rPr>
        <w:t>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w:t>
      </w:r>
      <w:r>
        <w:rPr>
          <w:rFonts w:hint="eastAsia" w:ascii="宋体" w:hAnsi="宋体" w:eastAsia="宋体" w:cs="宋体"/>
          <w:color w:val="auto"/>
          <w:sz w:val="24"/>
          <w:szCs w:val="24"/>
          <w:highlight w:val="none"/>
          <w:lang w:bidi="ar"/>
        </w:rPr>
        <w:t>所垫付的民工工资2倍向发包人支付违约金。</w:t>
      </w:r>
    </w:p>
    <w:p w14:paraId="389051A6">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5</w:t>
      </w:r>
      <w:r>
        <w:rPr>
          <w:rFonts w:hint="eastAsia" w:ascii="宋体" w:hAnsi="宋体" w:eastAsia="宋体" w:cs="宋体"/>
          <w:color w:val="auto"/>
          <w:sz w:val="24"/>
          <w:szCs w:val="24"/>
          <w:highlight w:val="none"/>
          <w:lang w:bidi="ar"/>
        </w:rPr>
        <w:t>中标人应当确保施工扬尘污染防治措施费用和用工实名管理费用专款专用，在财务管理中单独列出施工扬尘污染防治措施费用和用工实名管理费用使用清单报招标人备案核查。</w:t>
      </w:r>
    </w:p>
    <w:p w14:paraId="1133FBF0">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6</w:t>
      </w:r>
      <w:r>
        <w:rPr>
          <w:rFonts w:hint="eastAsia" w:ascii="宋体" w:hAnsi="宋体" w:eastAsia="宋体" w:cs="宋体"/>
          <w:color w:val="auto"/>
          <w:sz w:val="24"/>
          <w:szCs w:val="24"/>
          <w:highlight w:val="none"/>
          <w:lang w:bidi="ar"/>
        </w:rPr>
        <w:t>中标人需按相关规定要求，设置本工程符合相关要求的永久性标牌及规划公示牌，投标人在投标报价时综合考虑在报价内，招标人不另行支付该部分费用。</w:t>
      </w:r>
    </w:p>
    <w:p w14:paraId="31483E7B">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17</w:t>
      </w:r>
      <w:r>
        <w:rPr>
          <w:rFonts w:hint="eastAsia" w:ascii="宋体" w:hAnsi="宋体" w:eastAsia="宋体" w:cs="宋体"/>
          <w:color w:val="auto"/>
          <w:sz w:val="24"/>
          <w:szCs w:val="24"/>
          <w:highlight w:val="none"/>
          <w:lang w:bidi="ar"/>
        </w:rPr>
        <w:t xml:space="preserve"> 中标人须为招标人、监理、全过程造价咨询单位提供现场办公管理的便利。按工程需要配置办公室、会议室、监理休息室及办公家具、生活设施，配备满足工程监理工作需要的办公设备（电脑、打印机、复印机、传真机、办公用品等）。中标人不得以任何理由提出任何费用及补偿要求。</w:t>
      </w:r>
    </w:p>
    <w:p w14:paraId="4129B0D5">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18 </w:t>
      </w:r>
      <w:r>
        <w:rPr>
          <w:rFonts w:hint="eastAsia" w:ascii="宋体" w:hAnsi="宋体" w:eastAsia="宋体" w:cs="宋体"/>
          <w:color w:val="auto"/>
          <w:sz w:val="24"/>
          <w:szCs w:val="24"/>
          <w:highlight w:val="none"/>
          <w:lang w:bidi="ar"/>
        </w:rPr>
        <w:t>中标人需在签订合同后5个工作日内向招标人免费提交投标文件副本</w:t>
      </w:r>
      <w:r>
        <w:rPr>
          <w:rFonts w:hint="eastAsia" w:ascii="宋体" w:hAnsi="宋体" w:eastAsia="宋体" w:cs="宋体"/>
          <w:color w:val="auto"/>
          <w:sz w:val="24"/>
          <w:szCs w:val="24"/>
          <w:highlight w:val="none"/>
          <w:lang w:eastAsia="zh-CN" w:bidi="ar"/>
        </w:rPr>
        <w:t>五</w:t>
      </w:r>
      <w:r>
        <w:rPr>
          <w:rFonts w:hint="eastAsia" w:ascii="宋体" w:hAnsi="宋体" w:eastAsia="宋体" w:cs="宋体"/>
          <w:color w:val="auto"/>
          <w:sz w:val="24"/>
          <w:szCs w:val="24"/>
          <w:highlight w:val="none"/>
          <w:lang w:bidi="ar"/>
        </w:rPr>
        <w:t>份。</w:t>
      </w:r>
    </w:p>
    <w:p w14:paraId="1F0C48C8">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19</w:t>
      </w:r>
      <w:r>
        <w:rPr>
          <w:rFonts w:hint="eastAsia" w:ascii="宋体" w:hAnsi="宋体" w:eastAsia="宋体" w:cs="宋体"/>
          <w:color w:val="auto"/>
          <w:sz w:val="24"/>
          <w:szCs w:val="24"/>
          <w:highlight w:val="none"/>
          <w:lang w:bidi="ar"/>
        </w:rPr>
        <w:t xml:space="preserve"> 中标人中标后招标人将对项目经理、法人代表或其授权委托人进行廉政谈话。</w:t>
      </w:r>
    </w:p>
    <w:p w14:paraId="45E89133">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20 </w:t>
      </w:r>
      <w:r>
        <w:rPr>
          <w:rFonts w:hint="eastAsia" w:ascii="宋体" w:hAnsi="宋体" w:eastAsia="宋体" w:cs="宋体"/>
          <w:color w:val="auto"/>
          <w:sz w:val="24"/>
          <w:szCs w:val="24"/>
          <w:highlight w:val="none"/>
          <w:lang w:bidi="ar"/>
        </w:rPr>
        <w:t>中标人应已详细了解本项目的前期工作，同时也应已勘察施工现场、周围环境、地形、地貌、水文、交通等情况。中标人投标报价应已充分考虑在施工中由于招标人原因造成停工或工期延误等因素所产生的相关费用，招标人不予另计费；中标人不得以不完全了解项目的前期工作及现场情况为理由，提出因外界因素造成停工或工期延误的额外付款要求；对此类要求，招标人不作任何考虑及答复。</w:t>
      </w:r>
    </w:p>
    <w:p w14:paraId="3049589D">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14.21</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如因招标人原因（自然灾害等不可抗力因素除外），工程不能按期开工，或开工后全部停滞，工期按相关规定予以顺延。停工发生后，若可复工时，中标人应在收到招标人发出的复工通知书后3日内开始复工。</w:t>
      </w:r>
    </w:p>
    <w:p w14:paraId="3D2E5DF8">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2</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中标人须为招标人提供现场管理的交通便利（开工至质保期满）。中标人不得以任何理由提出任何费用及补偿要求。</w:t>
      </w:r>
    </w:p>
    <w:p w14:paraId="0823A903">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3</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中标人必须做好施工场地地下地上管线和邻近建筑物、构筑物（包括文物保护建筑）、名树名木（如有）的保护工作。</w:t>
      </w:r>
    </w:p>
    <w:p w14:paraId="1063DD06">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color w:val="auto"/>
          <w:sz w:val="24"/>
          <w:szCs w:val="24"/>
          <w:highlight w:val="none"/>
          <w:lang w:bidi="ar"/>
        </w:rPr>
        <w:t>中标单位必须在中标通知书发出之日起一个月内完成现场临时设施（施工用水用电、围蔽、板房、洗车槽、相关公示牌等）施工，因中标人原因导致逾期的，逾期第壹天起每天按2000元作违约处理。</w:t>
      </w:r>
    </w:p>
    <w:p w14:paraId="7D7FFC4E">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.2</w:t>
      </w:r>
      <w:r>
        <w:rPr>
          <w:rFonts w:hint="eastAsia" w:ascii="宋体" w:hAnsi="宋体" w:eastAsia="宋体" w:cs="宋体"/>
          <w:b/>
          <w:bCs/>
          <w:color w:val="auto"/>
          <w:sz w:val="24"/>
          <w:szCs w:val="24"/>
          <w:highlight w:val="none"/>
          <w:lang w:val="en-US" w:eastAsia="zh-CN" w:bidi="ar"/>
        </w:rPr>
        <w:t xml:space="preserve">5 </w:t>
      </w:r>
      <w:r>
        <w:rPr>
          <w:rFonts w:hint="eastAsia" w:ascii="宋体" w:hAnsi="宋体" w:eastAsia="宋体" w:cs="宋体"/>
          <w:color w:val="auto"/>
          <w:sz w:val="24"/>
          <w:szCs w:val="24"/>
          <w:highlight w:val="none"/>
          <w:lang w:bidi="ar"/>
        </w:rPr>
        <w:t>为保证施工现场的环境卫生，中标人在本工程施工过程中，所有的车辆必须按招标人规定的行车路线行驶。并负责施工现场及受施工影响周边道路的卫生。</w:t>
      </w:r>
    </w:p>
    <w:p w14:paraId="7B02C5C2">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26</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招标人有权根据本项目建设的实际情况调整建设规模或减少建设内容，如出现因特殊原因取消某子项目的建设，则该子项目未完成的工作内容及费用相应扣减，中标人应在投标报价中综合考虑该因素，中标后不得因此向招标人提出额外的费用补偿或索赔</w:t>
      </w:r>
      <w:r>
        <w:rPr>
          <w:rFonts w:hint="eastAsia" w:ascii="宋体" w:hAnsi="宋体" w:eastAsia="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并且必须按调整后的规模及内容完成工程建设。</w:t>
      </w:r>
    </w:p>
    <w:p w14:paraId="52D8CB65">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27 </w:t>
      </w:r>
      <w:r>
        <w:rPr>
          <w:rFonts w:hint="eastAsia" w:ascii="宋体" w:hAnsi="宋体" w:eastAsia="宋体" w:cs="宋体"/>
          <w:color w:val="auto"/>
          <w:sz w:val="24"/>
          <w:szCs w:val="24"/>
          <w:highlight w:val="none"/>
          <w:lang w:bidi="ar"/>
        </w:rPr>
        <w:t>中标人在施工过程中应及时发现现场缺项漏项变更签证等影响造价的事项，应及时跟招标人报告（书面、微信等），</w:t>
      </w:r>
      <w:r>
        <w:rPr>
          <w:rFonts w:hint="eastAsia" w:ascii="宋体" w:hAnsi="宋体" w:eastAsia="宋体" w:cs="宋体"/>
          <w:color w:val="auto"/>
          <w:sz w:val="24"/>
          <w:szCs w:val="24"/>
          <w:highlight w:val="none"/>
          <w:lang w:eastAsia="zh-CN" w:bidi="ar"/>
        </w:rPr>
        <w:t>并按照招标人的程序确认后才能进行施工，</w:t>
      </w:r>
      <w:r>
        <w:rPr>
          <w:rFonts w:hint="eastAsia" w:ascii="宋体" w:hAnsi="宋体" w:eastAsia="宋体" w:cs="宋体"/>
          <w:color w:val="auto"/>
          <w:sz w:val="24"/>
          <w:szCs w:val="24"/>
          <w:highlight w:val="none"/>
          <w:lang w:bidi="ar"/>
        </w:rPr>
        <w:t>若因中标人不及时报告</w:t>
      </w:r>
      <w:r>
        <w:rPr>
          <w:rFonts w:hint="eastAsia" w:ascii="宋体" w:hAnsi="宋体" w:eastAsia="宋体" w:cs="宋体"/>
          <w:color w:val="auto"/>
          <w:sz w:val="24"/>
          <w:szCs w:val="24"/>
          <w:highlight w:val="none"/>
          <w:lang w:eastAsia="zh-CN" w:bidi="ar"/>
        </w:rPr>
        <w:t>擅自施工，</w:t>
      </w:r>
      <w:r>
        <w:rPr>
          <w:rFonts w:hint="eastAsia" w:ascii="宋体" w:hAnsi="宋体" w:eastAsia="宋体" w:cs="宋体"/>
          <w:color w:val="auto"/>
          <w:sz w:val="24"/>
          <w:szCs w:val="24"/>
          <w:highlight w:val="none"/>
          <w:lang w:bidi="ar"/>
        </w:rPr>
        <w:t>导致的不良后果，由中标人承担。</w:t>
      </w:r>
    </w:p>
    <w:p w14:paraId="30597FF5">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28</w:t>
      </w:r>
      <w:r>
        <w:rPr>
          <w:rFonts w:hint="eastAsia" w:ascii="宋体" w:hAnsi="宋体" w:eastAsia="宋体" w:cs="宋体"/>
          <w:color w:val="auto"/>
          <w:sz w:val="24"/>
          <w:szCs w:val="24"/>
          <w:highlight w:val="none"/>
          <w:lang w:val="en-US" w:eastAsia="zh-CN" w:bidi="ar"/>
        </w:rPr>
        <w:t xml:space="preserve"> 因项目用地的不可控因素，造成建设用地延期交付，导致产生的费用不予补偿，仅顺延工期。</w:t>
      </w:r>
    </w:p>
    <w:p w14:paraId="7ECB9942">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29 </w:t>
      </w:r>
      <w:r>
        <w:rPr>
          <w:rFonts w:hint="eastAsia" w:ascii="宋体" w:hAnsi="宋体" w:eastAsia="宋体" w:cs="宋体"/>
          <w:color w:val="auto"/>
          <w:sz w:val="24"/>
          <w:szCs w:val="24"/>
          <w:highlight w:val="none"/>
          <w:lang w:val="en-US" w:eastAsia="zh-CN" w:bidi="ar"/>
        </w:rPr>
        <w:t>中标人须参与图纸会审并及时提出涉及设计修改或变更方面的相关方案或意见，否则由此造成的后果由中标人自行负责。</w:t>
      </w:r>
    </w:p>
    <w:p w14:paraId="69A10442">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w:t>
      </w:r>
      <w:r>
        <w:rPr>
          <w:rFonts w:hint="eastAsia" w:ascii="宋体" w:hAnsi="宋体" w:eastAsia="宋体" w:cs="宋体"/>
          <w:color w:val="auto"/>
          <w:sz w:val="24"/>
          <w:szCs w:val="24"/>
          <w:highlight w:val="none"/>
          <w:lang w:val="en-US" w:eastAsia="zh-CN" w:bidi="ar"/>
        </w:rPr>
        <w:t xml:space="preserve"> 对于招标工程量清单、招标控制价发生的以下事项，招标人有权在合同签订前按以下原则进行修订：</w:t>
      </w:r>
    </w:p>
    <w:p w14:paraId="010288E4">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14.30.1</w:t>
      </w:r>
      <w:r>
        <w:rPr>
          <w:rFonts w:hint="eastAsia" w:ascii="宋体" w:hAnsi="宋体" w:eastAsia="宋体" w:cs="宋体"/>
          <w:color w:val="auto"/>
          <w:sz w:val="24"/>
          <w:szCs w:val="24"/>
          <w:highlight w:val="none"/>
          <w:lang w:val="en-US" w:eastAsia="zh-CN" w:bidi="ar"/>
        </w:rPr>
        <w:t xml:space="preserve"> 招标工程量清单描述有误：招标人有权修正工程量清单描述错误部分，工程量清单综合单价以投标人报价为准。</w:t>
      </w:r>
    </w:p>
    <w:p w14:paraId="368B766F">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14.30.2</w:t>
      </w:r>
      <w:r>
        <w:rPr>
          <w:rFonts w:hint="eastAsia" w:ascii="宋体" w:hAnsi="宋体" w:eastAsia="宋体" w:cs="宋体"/>
          <w:color w:val="auto"/>
          <w:sz w:val="24"/>
          <w:szCs w:val="24"/>
          <w:highlight w:val="none"/>
          <w:lang w:val="en-US" w:eastAsia="zh-CN" w:bidi="ar"/>
        </w:rPr>
        <w:t xml:space="preserve"> 招标工程量计量错误：以实际发生工程量为准，工程量清单综合单价以投标人报价为准。</w:t>
      </w:r>
    </w:p>
    <w:p w14:paraId="18E0E323">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14.30.3</w:t>
      </w:r>
      <w:r>
        <w:rPr>
          <w:rFonts w:hint="eastAsia" w:ascii="宋体" w:hAnsi="宋体" w:eastAsia="宋体" w:cs="宋体"/>
          <w:color w:val="auto"/>
          <w:sz w:val="24"/>
          <w:szCs w:val="24"/>
          <w:highlight w:val="none"/>
          <w:lang w:val="en-US" w:eastAsia="zh-CN" w:bidi="ar"/>
        </w:rPr>
        <w:t xml:space="preserve"> 相同子目综合单价在不同单位工程中单价不一致：以投标报价低价为准。</w:t>
      </w:r>
    </w:p>
    <w:p w14:paraId="1361271D">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 xml:space="preserve">14.30.4 </w:t>
      </w:r>
      <w:r>
        <w:rPr>
          <w:rFonts w:hint="eastAsia" w:ascii="宋体" w:hAnsi="宋体" w:eastAsia="宋体" w:cs="宋体"/>
          <w:color w:val="auto"/>
          <w:sz w:val="24"/>
          <w:szCs w:val="24"/>
          <w:highlight w:val="none"/>
          <w:lang w:val="en-US" w:eastAsia="zh-CN" w:bidi="ar"/>
        </w:rPr>
        <w:t>招标工程量清单漏项（图纸有而清单漏项）：按工程量按实计算，综合单价以招标人委托的第三方造价咨询公司按本项目招标控制价编制原则编制，并按投标总价下浮率下浮计算。</w:t>
      </w:r>
    </w:p>
    <w:p w14:paraId="22836D52">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14.31</w:t>
      </w:r>
      <w:r>
        <w:rPr>
          <w:rFonts w:hint="eastAsia" w:ascii="宋体" w:hAnsi="宋体" w:eastAsia="宋体" w:cs="宋体"/>
          <w:color w:val="auto"/>
          <w:sz w:val="24"/>
          <w:szCs w:val="24"/>
          <w:highlight w:val="none"/>
          <w:lang w:val="en-US" w:eastAsia="zh-CN" w:bidi="ar"/>
        </w:rPr>
        <w:t xml:space="preserve"> </w:t>
      </w:r>
      <w:r>
        <w:rPr>
          <w:rFonts w:hint="eastAsia" w:ascii="宋体" w:hAnsi="宋体" w:eastAsia="宋体" w:cs="宋体"/>
          <w:color w:val="auto"/>
          <w:sz w:val="24"/>
          <w:szCs w:val="24"/>
          <w:highlight w:val="none"/>
          <w:lang w:bidi="ar"/>
        </w:rPr>
        <w:t>施工合同签订备案后，承包人应一个月内将安全防护、文明施工措施项目费、工人工资保证金、工程排污费等涉及办理建筑工程施工许可证的缴费项目，缴纳至相应管理部门，办结相关手续，并提供缴费凭据等相关资料复印件给发包人，到商业银行办理安全防护、文明施工措施费及工人工资专用账户，同时承包人应向发包人提供符合韶关市相关行业行政主管部门规定的有效劳务分包合同。</w:t>
      </w:r>
    </w:p>
    <w:p w14:paraId="79BD32F7">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val="en-US" w:eastAsia="zh-CN" w:bidi="ar"/>
        </w:rPr>
        <w:t>14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32 </w:t>
      </w:r>
      <w:r>
        <w:rPr>
          <w:rFonts w:hint="eastAsia" w:ascii="宋体" w:hAnsi="宋体" w:eastAsia="宋体" w:cs="宋体"/>
          <w:color w:val="auto"/>
          <w:sz w:val="24"/>
          <w:szCs w:val="24"/>
          <w:highlight w:val="none"/>
          <w:lang w:bidi="ar"/>
        </w:rPr>
        <w:t>承包人应充分考虑施工对接情况，为本工程的其他参建单位提供工作便利、配合及服务（如水源、电源接口等），并有针对性地组织施工；承包人与为本工程的其他参建单位就协调、配合、服务等不能达成一致的，由监理工程师协调，并遵照监理工程师指令执行；承包人应负责统筹安排本工程范围内的各项工程的协调与配合，确保工程建设有序进行。承包人由此增加的费用应认为已包括在承包人的投标报价之中，发包人不另行支付。</w:t>
      </w:r>
    </w:p>
    <w:p w14:paraId="0F1E6214">
      <w:pPr>
        <w:pStyle w:val="36"/>
        <w:wordWrap w:val="0"/>
        <w:adjustRightInd w:val="0"/>
        <w:snapToGrid w:val="0"/>
        <w:spacing w:line="360" w:lineRule="auto"/>
        <w:ind w:firstLine="560"/>
        <w:rPr>
          <w:rFonts w:hint="eastAsia" w:ascii="宋体" w:hAnsi="宋体" w:eastAsia="宋体" w:cs="宋体"/>
          <w:color w:val="auto"/>
          <w:sz w:val="24"/>
          <w:szCs w:val="24"/>
          <w:highlight w:val="none"/>
          <w:lang w:bidi="ar"/>
        </w:rPr>
      </w:pPr>
      <w:r>
        <w:rPr>
          <w:rFonts w:hint="eastAsia" w:ascii="宋体" w:hAnsi="宋体" w:eastAsia="宋体" w:cs="宋体"/>
          <w:b/>
          <w:bCs/>
          <w:color w:val="auto"/>
          <w:sz w:val="24"/>
          <w:szCs w:val="24"/>
          <w:highlight w:val="none"/>
          <w:lang w:bidi="ar"/>
        </w:rPr>
        <w:t>1</w:t>
      </w:r>
      <w:r>
        <w:rPr>
          <w:rFonts w:hint="eastAsia" w:ascii="宋体" w:hAnsi="宋体" w:eastAsia="宋体" w:cs="宋体"/>
          <w:b/>
          <w:bCs/>
          <w:color w:val="auto"/>
          <w:sz w:val="24"/>
          <w:szCs w:val="24"/>
          <w:highlight w:val="none"/>
          <w:lang w:val="en-US" w:eastAsia="zh-CN" w:bidi="ar"/>
        </w:rPr>
        <w:t>4</w:t>
      </w:r>
      <w:r>
        <w:rPr>
          <w:rFonts w:hint="eastAsia" w:ascii="宋体" w:hAnsi="宋体" w:eastAsia="宋体" w:cs="宋体"/>
          <w:b/>
          <w:bCs/>
          <w:color w:val="auto"/>
          <w:sz w:val="24"/>
          <w:szCs w:val="24"/>
          <w:highlight w:val="none"/>
          <w:lang w:bidi="ar"/>
        </w:rPr>
        <w:t>.</w:t>
      </w:r>
      <w:r>
        <w:rPr>
          <w:rFonts w:hint="eastAsia" w:ascii="宋体" w:hAnsi="宋体" w:eastAsia="宋体" w:cs="宋体"/>
          <w:b/>
          <w:bCs/>
          <w:color w:val="auto"/>
          <w:sz w:val="24"/>
          <w:szCs w:val="24"/>
          <w:highlight w:val="none"/>
          <w:lang w:val="en-US" w:eastAsia="zh-CN" w:bidi="ar"/>
        </w:rPr>
        <w:t xml:space="preserve">33 </w:t>
      </w:r>
      <w:r>
        <w:rPr>
          <w:rFonts w:hint="eastAsia" w:ascii="宋体" w:hAnsi="宋体" w:eastAsia="宋体" w:cs="宋体"/>
          <w:color w:val="auto"/>
          <w:sz w:val="24"/>
          <w:szCs w:val="24"/>
          <w:highlight w:val="none"/>
          <w:lang w:bidi="ar"/>
        </w:rPr>
        <w:t>工程完工后，为了本项目整体竣工验收的需要，承包人必须在发包人的统筹安排下，与为本项目其他工程服务的单位进行协同配合，做好竣工验收的各项工作，交付的工程必须符合各专业工程管养单位的相关要求。</w:t>
      </w:r>
    </w:p>
    <w:p w14:paraId="261D3301">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14.34 </w:t>
      </w:r>
      <w:r>
        <w:rPr>
          <w:rFonts w:hint="eastAsia" w:ascii="宋体" w:hAnsi="宋体" w:eastAsia="宋体" w:cs="宋体"/>
          <w:color w:val="auto"/>
          <w:sz w:val="24"/>
          <w:szCs w:val="24"/>
          <w:highlight w:val="none"/>
          <w:lang w:val="en-US" w:eastAsia="zh-CN" w:bidi="ar"/>
        </w:rPr>
        <w:t>本工程评标专家酬劳由中标人支付，该费用不再另行报价，由投标人在投标报价时综合考虑在内。中标人在领取中标通知书前须向招标代理机构评标专家酬劳。</w:t>
      </w:r>
    </w:p>
    <w:p w14:paraId="32222D77">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14.35 </w:t>
      </w:r>
      <w:r>
        <w:rPr>
          <w:rFonts w:hint="eastAsia" w:ascii="宋体" w:hAnsi="宋体" w:eastAsia="宋体" w:cs="宋体"/>
          <w:color w:val="auto"/>
          <w:sz w:val="24"/>
          <w:szCs w:val="24"/>
          <w:highlight w:val="none"/>
          <w:lang w:val="en-US" w:eastAsia="zh-CN" w:bidi="ar"/>
        </w:rPr>
        <w:t>发包人仅在征地红线范围内提供场地，其他一切场地费用由承包人自行负责（含临时道路），因实施合同工程的需要，承包人须占用场地外的道路及修建场外用地、设施等，均由承包人自行负责。承包人自行办理所需的申请手续，并承担一切所需的费用，承包人须负责保持场内外的临时道路畅通，提供指示牌、警告告示、灯号及所需之交通指导员等一切安全措施以保障行人安全及车辆安全行驶，并承担因其失责引起之所有索偿。基坑开挖期间，承包人须于基坑至工地出入口设置挖运土（石）方的专用便道，便道须作填硬质渣土或浇混凝土路面等加硬处理，以确保雨天仍能安全施工。该费用已包含在合同单价中；超大件和超重件运输所需的一切费用包括但不限于道路和桥梁临时加固改造费用等均由承包人自行负责。</w:t>
      </w:r>
    </w:p>
    <w:p w14:paraId="24A5F30F">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14.36</w:t>
      </w:r>
      <w:r>
        <w:rPr>
          <w:rFonts w:hint="eastAsia" w:ascii="宋体" w:hAnsi="宋体" w:eastAsia="宋体" w:cs="宋体"/>
          <w:color w:val="auto"/>
          <w:sz w:val="24"/>
          <w:szCs w:val="24"/>
          <w:highlight w:val="none"/>
          <w:lang w:val="en-US" w:eastAsia="zh-CN" w:bidi="ar"/>
        </w:rPr>
        <w:t xml:space="preserve"> 承包人应对所有现场作业、所有施工方法和全部工程的完备性、稳定性和安全性负责，负责施工场地安全保卫工作，防止因工程施工造成的人身伤害和财产损失，提供和维修施工照明、围栏设施及要约标志以满足现场实际需要。</w:t>
      </w:r>
    </w:p>
    <w:p w14:paraId="38B047E6">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14.37</w:t>
      </w:r>
      <w:r>
        <w:rPr>
          <w:rFonts w:hint="eastAsia" w:ascii="宋体" w:hAnsi="宋体" w:eastAsia="宋体" w:cs="宋体"/>
          <w:color w:val="auto"/>
          <w:sz w:val="24"/>
          <w:szCs w:val="24"/>
          <w:highlight w:val="none"/>
          <w:lang w:val="en-US" w:eastAsia="zh-CN" w:bidi="ar"/>
        </w:rPr>
        <w:t xml:space="preserve"> 遵守国家、广东省及韶关市现行的法律、条例、规定和通知，并办理所需的申请和支付有关的法定费用和税项（包括但不限于营业税及其附加税/增值税及其附加税或其他任何因履行合同需由承包商承担的相关税金）。包括但不限于施工场地交通、余泥排放、环境保护、安全防护、文明施工、施工噪音管理、夜间施工、排水许可、施工爆破许可等的申请及支付有关费用。</w:t>
      </w:r>
    </w:p>
    <w:p w14:paraId="59914E1C">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14.38</w:t>
      </w:r>
      <w:r>
        <w:rPr>
          <w:rFonts w:hint="eastAsia" w:ascii="宋体" w:hAnsi="宋体" w:eastAsia="宋体" w:cs="宋体"/>
          <w:color w:val="auto"/>
          <w:sz w:val="24"/>
          <w:szCs w:val="24"/>
          <w:highlight w:val="none"/>
          <w:lang w:val="en-US" w:eastAsia="zh-CN" w:bidi="ar"/>
        </w:rPr>
        <w:t xml:space="preserve"> 遵守政府部门有关环境卫生的管理规定，保证施工场地的清洁和交工前施工现场的清理，并承担因自身责任造成的损失和罚款。</w:t>
      </w:r>
    </w:p>
    <w:p w14:paraId="431EA3D2">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14.39</w:t>
      </w:r>
      <w:r>
        <w:rPr>
          <w:rFonts w:hint="eastAsia" w:ascii="宋体" w:hAnsi="宋体" w:eastAsia="宋体" w:cs="宋体"/>
          <w:color w:val="auto"/>
          <w:sz w:val="24"/>
          <w:szCs w:val="24"/>
          <w:highlight w:val="none"/>
          <w:lang w:val="en-US" w:eastAsia="zh-CN" w:bidi="ar"/>
        </w:rPr>
        <w:t xml:space="preserve"> 工程完工后，应按照合同约定提交竣工验收申请报告、竣工图纸和资料及竣工结算文件。本项目的工程竣工图亦须由承包人负责编制及提交，相关费用和利润视作已考虑在合同价款内。</w:t>
      </w:r>
    </w:p>
    <w:p w14:paraId="66873622">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14.40 </w:t>
      </w:r>
      <w:r>
        <w:rPr>
          <w:rFonts w:hint="eastAsia" w:ascii="宋体" w:hAnsi="宋体" w:eastAsia="宋体" w:cs="宋体"/>
          <w:color w:val="auto"/>
          <w:sz w:val="24"/>
          <w:szCs w:val="24"/>
          <w:highlight w:val="none"/>
          <w:lang w:val="en-US" w:eastAsia="zh-CN" w:bidi="ar"/>
        </w:rPr>
        <w:t>自行办理本工程施工所需的道路占用手续（包括开路口），负责有关申请及维持占用道路所需的一切费用，并负责本工程的红线外的一切场地使用费用。</w:t>
      </w:r>
    </w:p>
    <w:p w14:paraId="5E27658A">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14.41</w:t>
      </w:r>
      <w:r>
        <w:rPr>
          <w:rFonts w:hint="eastAsia" w:ascii="宋体" w:hAnsi="宋体" w:eastAsia="宋体" w:cs="宋体"/>
          <w:color w:val="auto"/>
          <w:sz w:val="24"/>
          <w:szCs w:val="24"/>
          <w:highlight w:val="none"/>
          <w:lang w:val="en-US" w:eastAsia="zh-CN" w:bidi="ar"/>
        </w:rPr>
        <w:t xml:space="preserve"> 对于承包人或其指定分包人所雇用的工人或任何其它人员的伤亡或赔偿，承包人应保证发包人免负该等责任，且保证发包人不负担涉及这类伤亡与赔偿或与此有关的索赔和诉讼，损害赔偿、诉讼费、赔偿费及其它费用均由承包人自行负责，另承包人由于伤亡事故而造成本工程停工的，发包人将不予顺延工期，其所有损失由承包人自负。但由于发包人或监理工程师的行为失误所造成的伤亡除外。</w:t>
      </w:r>
    </w:p>
    <w:p w14:paraId="602FFB26">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14.42 </w:t>
      </w:r>
      <w:r>
        <w:rPr>
          <w:rFonts w:hint="eastAsia" w:ascii="宋体" w:hAnsi="宋体" w:eastAsia="宋体" w:cs="宋体"/>
          <w:color w:val="auto"/>
          <w:sz w:val="24"/>
          <w:szCs w:val="24"/>
          <w:highlight w:val="none"/>
          <w:lang w:val="en-US" w:eastAsia="zh-CN" w:bidi="ar"/>
        </w:rPr>
        <w:t>应发包人要求对所有隐蔽工程施工进行录像并刻录成光盘，于工程验收时一并提交。</w:t>
      </w:r>
    </w:p>
    <w:p w14:paraId="279A2CB1">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14.43</w:t>
      </w:r>
      <w:r>
        <w:rPr>
          <w:rFonts w:hint="eastAsia" w:ascii="宋体" w:hAnsi="宋体" w:eastAsia="宋体" w:cs="宋体"/>
          <w:color w:val="auto"/>
          <w:sz w:val="24"/>
          <w:szCs w:val="24"/>
          <w:highlight w:val="none"/>
          <w:lang w:val="en-US" w:eastAsia="zh-CN" w:bidi="ar"/>
        </w:rPr>
        <w:t xml:space="preserve"> 本工程竣工交付予发包人，或合同终止之日起30天内时，承包人应将全部场地清理干净退还发包人。如承包人逾期未退还场地，承包人须按每天5元/m2向发包人缴纳场地占用费。</w:t>
      </w:r>
    </w:p>
    <w:p w14:paraId="2984EDE1">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14.44 </w:t>
      </w:r>
      <w:r>
        <w:rPr>
          <w:rFonts w:hint="eastAsia" w:ascii="宋体" w:hAnsi="宋体" w:eastAsia="宋体" w:cs="宋体"/>
          <w:color w:val="auto"/>
          <w:sz w:val="24"/>
          <w:szCs w:val="24"/>
          <w:highlight w:val="none"/>
          <w:lang w:val="en-US" w:eastAsia="zh-CN" w:bidi="ar"/>
        </w:rPr>
        <w:t>承包人必须参加各专业工程的图纸会审，对于专业工程与土建工程有冲突的地方，有义务提出修改建议和解决方案，否则，因此产生的费用将不予签证和工程设计变更。</w:t>
      </w:r>
    </w:p>
    <w:p w14:paraId="36F8BF5F">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14.45</w:t>
      </w:r>
      <w:r>
        <w:rPr>
          <w:rFonts w:hint="eastAsia" w:ascii="宋体" w:hAnsi="宋体" w:eastAsia="宋体" w:cs="宋体"/>
          <w:color w:val="auto"/>
          <w:sz w:val="24"/>
          <w:szCs w:val="24"/>
          <w:highlight w:val="none"/>
          <w:lang w:val="en-US" w:eastAsia="zh-CN" w:bidi="ar"/>
        </w:rPr>
        <w:t xml:space="preserve"> 承包人应根据发包人提供的正式变更资料及时进行工程变更，工程变更完成并由监理工程师和发包人书面确认后，承包人在30天内向发包人和造价工程师提出工程变更预算(包括经确认完成的变更证明资料及相应图纸、计算明细及单价组成等)，在30天内未提交的，视为变更不涉及费用的增加和工期的延长。承包人需按发包人的要求在每月20日前对设计变更及现场签证的事项台账及预算台账进行更新填报，若承包人漏报，发包人将视为该工作或签证不涉及费用的增加及工期的延长。承包人不得高估冒算，承包人预（结）算的送审价高出发包人审定价20%，承包人按以下方式承担违约金：违约金＝(承包人预（结）算送审造价－发包人预（结）算审定价×1.2)×10%，在预（结）算款项中以违约金形式扣除。</w:t>
      </w:r>
    </w:p>
    <w:p w14:paraId="504EC47F">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14.46</w:t>
      </w:r>
      <w:r>
        <w:rPr>
          <w:rFonts w:hint="eastAsia" w:ascii="宋体" w:hAnsi="宋体" w:eastAsia="宋体" w:cs="宋体"/>
          <w:color w:val="auto"/>
          <w:sz w:val="24"/>
          <w:szCs w:val="24"/>
          <w:highlight w:val="none"/>
          <w:lang w:val="en-US" w:eastAsia="zh-CN" w:bidi="ar"/>
        </w:rPr>
        <w:t xml:space="preserve"> 在展开任何工作或订购任何材料设备前，承包人须核实图纸上及现场所有尺寸，及审核现场、图纸、标准、规范之间有没有不符，若发现有任何错漏、疏忽或偏差，必须立即以书面形式通知发包人和监理工程师，由发包人给予指示。发包人的任何指示皆不会免除或减轻承包人按合同所承担的义务和责任。发包人不负责承包人未有充分审核而引致的虚耗材料设备、工作或进度拖延。</w:t>
      </w:r>
    </w:p>
    <w:p w14:paraId="47398582">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14.47</w:t>
      </w:r>
      <w:r>
        <w:rPr>
          <w:rFonts w:hint="eastAsia" w:ascii="宋体" w:hAnsi="宋体" w:eastAsia="宋体" w:cs="宋体"/>
          <w:color w:val="auto"/>
          <w:sz w:val="24"/>
          <w:szCs w:val="24"/>
          <w:highlight w:val="none"/>
          <w:lang w:val="en-US" w:eastAsia="zh-CN" w:bidi="ar"/>
        </w:rPr>
        <w:t xml:space="preserve"> 合同价款已包括探明、打碎及移去所有在施工期间所遇到的地下障碍物如石块、结构混凝土、素混凝土、砖块、坟头等，及用经认可的土壤回填于空位内，合同价款亦已包括因上述障碍物而引致工人及机械窝工的费用及其它一切费用。</w:t>
      </w:r>
    </w:p>
    <w:p w14:paraId="129BD866">
      <w:pPr>
        <w:pStyle w:val="36"/>
        <w:wordWrap w:val="0"/>
        <w:adjustRightInd w:val="0"/>
        <w:snapToGrid w:val="0"/>
        <w:spacing w:line="360" w:lineRule="auto"/>
        <w:ind w:firstLine="560"/>
        <w:rPr>
          <w:rFonts w:hint="eastAsia" w:ascii="宋体" w:hAnsi="宋体" w:eastAsia="宋体" w:cs="宋体"/>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14.48</w:t>
      </w:r>
      <w:r>
        <w:rPr>
          <w:rFonts w:hint="eastAsia" w:ascii="宋体" w:hAnsi="宋体" w:eastAsia="宋体" w:cs="宋体"/>
          <w:color w:val="auto"/>
          <w:sz w:val="24"/>
          <w:szCs w:val="24"/>
          <w:highlight w:val="none"/>
          <w:lang w:val="en-US" w:eastAsia="zh-CN" w:bidi="ar"/>
        </w:rPr>
        <w:t xml:space="preserve"> 合同履行期间，除分部分项工程量清单内人工及模板人工（不包含机械费中的人工）与分部分项工程清单内的商品混凝土、商品砂浆、钢筋、结构用型钢、砌体、在约定的条件下可调整价差外，合同价款及单价不会因任何物价或汇率的变动而作调整。</w:t>
      </w:r>
    </w:p>
    <w:p w14:paraId="43E2910D">
      <w:pPr>
        <w:pStyle w:val="36"/>
        <w:wordWrap w:val="0"/>
        <w:adjustRightInd w:val="0"/>
        <w:snapToGrid w:val="0"/>
        <w:spacing w:line="360" w:lineRule="auto"/>
        <w:ind w:firstLine="56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bidi="ar"/>
        </w:rPr>
        <w:t>14.49</w:t>
      </w:r>
      <w:r>
        <w:rPr>
          <w:rFonts w:hint="eastAsia" w:ascii="宋体" w:hAnsi="宋体" w:eastAsia="宋体" w:cs="宋体"/>
          <w:color w:val="auto"/>
          <w:sz w:val="24"/>
          <w:szCs w:val="24"/>
          <w:highlight w:val="none"/>
          <w:lang w:val="en-US" w:eastAsia="zh-CN" w:bidi="ar"/>
        </w:rPr>
        <w:t xml:space="preserve"> 承包人应积极配合发包人进行与自行施工范围有关的变更、签证“一月一清”工作。</w:t>
      </w:r>
    </w:p>
    <w:p w14:paraId="387C6D7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17" w:name="_Toc22494"/>
      <w:bookmarkStart w:id="218" w:name="_Toc9877"/>
      <w:r>
        <w:rPr>
          <w:rFonts w:hint="eastAsia" w:ascii="宋体" w:hAnsi="宋体" w:eastAsia="宋体" w:cs="宋体"/>
          <w:b/>
          <w:bCs/>
          <w:color w:val="auto"/>
          <w:spacing w:val="-11"/>
          <w:sz w:val="24"/>
          <w:szCs w:val="24"/>
          <w:highlight w:val="none"/>
          <w:lang w:val="en-US" w:eastAsia="zh-CN"/>
        </w:rPr>
        <w:t>15.违约及质量保证条款</w:t>
      </w:r>
      <w:bookmarkEnd w:id="217"/>
    </w:p>
    <w:p w14:paraId="6C4CDE94">
      <w:pPr>
        <w:pStyle w:val="36"/>
        <w:wordWrap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r>
        <w:rPr>
          <w:rFonts w:hint="eastAsia" w:ascii="宋体" w:hAnsi="宋体" w:eastAsia="宋体" w:cs="宋体"/>
          <w:b/>
          <w:bCs/>
          <w:color w:val="auto"/>
          <w:sz w:val="24"/>
          <w:szCs w:val="24"/>
          <w:highlight w:val="none"/>
          <w:lang w:val="en-US" w:eastAsia="zh-CN" w:bidi="ar"/>
        </w:rPr>
        <w:t xml:space="preserve">15.1 </w:t>
      </w:r>
      <w:r>
        <w:rPr>
          <w:rFonts w:hint="eastAsia" w:ascii="宋体" w:hAnsi="宋体" w:eastAsia="宋体" w:cs="宋体"/>
          <w:b w:val="0"/>
          <w:bCs w:val="0"/>
          <w:color w:val="auto"/>
          <w:sz w:val="24"/>
          <w:szCs w:val="24"/>
          <w:highlight w:val="none"/>
          <w:lang w:val="en-US" w:eastAsia="zh-CN" w:bidi="ar"/>
        </w:rPr>
        <w:t>工程移交延误违约</w:t>
      </w:r>
      <w:bookmarkEnd w:id="218"/>
    </w:p>
    <w:p w14:paraId="0D7B8051">
      <w:pPr>
        <w:pStyle w:val="36"/>
        <w:snapToGrid w:val="0"/>
        <w:spacing w:line="360" w:lineRule="auto"/>
        <w:ind w:firstLine="560"/>
        <w:rPr>
          <w:rFonts w:hint="eastAsia" w:ascii="宋体" w:hAnsi="宋体" w:eastAsia="宋体" w:cs="宋体"/>
          <w:b w:val="0"/>
          <w:bCs w:val="0"/>
          <w:snapToGrid w:val="0"/>
          <w:color w:val="auto"/>
          <w:kern w:val="0"/>
          <w:sz w:val="24"/>
          <w:szCs w:val="24"/>
          <w:highlight w:val="none"/>
          <w:lang w:val="en-US" w:eastAsia="zh-CN"/>
        </w:rPr>
      </w:pPr>
      <w:r>
        <w:rPr>
          <w:rFonts w:hint="eastAsia" w:ascii="宋体" w:hAnsi="宋体" w:eastAsia="宋体" w:cs="宋体"/>
          <w:b/>
          <w:bCs/>
          <w:snapToGrid w:val="0"/>
          <w:color w:val="auto"/>
          <w:kern w:val="0"/>
          <w:sz w:val="24"/>
          <w:szCs w:val="24"/>
          <w:highlight w:val="none"/>
          <w:lang w:val="en-US" w:eastAsia="zh-CN"/>
        </w:rPr>
        <w:t>15.1.1</w:t>
      </w:r>
      <w:r>
        <w:rPr>
          <w:rFonts w:hint="eastAsia" w:ascii="宋体" w:hAnsi="宋体" w:eastAsia="宋体" w:cs="宋体"/>
          <w:b w:val="0"/>
          <w:bCs w:val="0"/>
          <w:snapToGrid w:val="0"/>
          <w:color w:val="auto"/>
          <w:kern w:val="0"/>
          <w:sz w:val="24"/>
          <w:szCs w:val="24"/>
          <w:highlight w:val="none"/>
          <w:lang w:val="en-US" w:eastAsia="zh-CN"/>
        </w:rPr>
        <w:t>因承包人原因，工程没有按期竣工时，承包人须在逾期第壹天起每天按合同价的</w:t>
      </w:r>
      <w:r>
        <w:rPr>
          <w:rFonts w:hint="eastAsia" w:ascii="宋体" w:hAnsi="宋体" w:eastAsia="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lang w:val="en-US" w:eastAsia="zh-CN"/>
        </w:rPr>
        <w:t>向发包人返纳逾期竣工违约金。逾期竣工违约金的最高限额为合同价款的</w:t>
      </w:r>
      <w:r>
        <w:rPr>
          <w:rFonts w:hint="eastAsia" w:ascii="宋体" w:hAnsi="宋体" w:eastAsia="宋体" w:cs="宋体"/>
          <w:b w:val="0"/>
          <w:bCs w:val="0"/>
          <w:snapToGrid w:val="0"/>
          <w:color w:val="auto"/>
          <w:kern w:val="0"/>
          <w:sz w:val="24"/>
          <w:szCs w:val="24"/>
          <w:highlight w:val="none"/>
          <w:u w:val="single"/>
          <w:lang w:val="en-US" w:eastAsia="zh-CN"/>
        </w:rPr>
        <w:t>1%</w:t>
      </w:r>
      <w:r>
        <w:rPr>
          <w:rFonts w:hint="eastAsia" w:ascii="宋体" w:hAnsi="宋体" w:eastAsia="宋体" w:cs="宋体"/>
          <w:b w:val="0"/>
          <w:bCs w:val="0"/>
          <w:snapToGrid w:val="0"/>
          <w:color w:val="auto"/>
          <w:kern w:val="0"/>
          <w:sz w:val="24"/>
          <w:szCs w:val="24"/>
          <w:highlight w:val="none"/>
          <w:lang w:val="en-US" w:eastAsia="zh-CN"/>
        </w:rPr>
        <w:t>。</w:t>
      </w:r>
    </w:p>
    <w:p w14:paraId="0C5D91D8">
      <w:pPr>
        <w:spacing w:line="360" w:lineRule="auto"/>
        <w:ind w:firstLine="475" w:firstLineChars="19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.1.2</w:t>
      </w:r>
      <w:r>
        <w:rPr>
          <w:rFonts w:hint="eastAsia" w:ascii="宋体" w:hAnsi="宋体" w:eastAsia="宋体" w:cs="宋体"/>
          <w:iCs/>
          <w:color w:val="auto"/>
          <w:sz w:val="24"/>
          <w:szCs w:val="24"/>
          <w:highlight w:val="none"/>
        </w:rPr>
        <w:t>承包人需提供各子项目的年度、季度、月、周施工计划报监理单位及发包人确认，在计划实施过程中，发包人及监理单位对承包人实际工期按周、月、季度进行检查、分析、评价，如与实际施工进度发生偏离的，由监理单位书面提醒承包人采取措施，如提醒后承包人未采取有效措施按施工计划按时完成的，</w:t>
      </w:r>
      <w:r>
        <w:rPr>
          <w:rFonts w:hint="eastAsia" w:ascii="宋体" w:hAnsi="宋体" w:eastAsia="宋体" w:cs="宋体"/>
          <w:color w:val="auto"/>
          <w:sz w:val="24"/>
          <w:szCs w:val="24"/>
          <w:highlight w:val="none"/>
        </w:rPr>
        <w:t>每次按2000元缴纳违约金给发包人，在结算中一并扣除。</w:t>
      </w:r>
    </w:p>
    <w:p w14:paraId="538FADF2">
      <w:pPr>
        <w:pStyle w:val="36"/>
        <w:snapToGrid w:val="0"/>
        <w:spacing w:line="360" w:lineRule="auto"/>
        <w:ind w:firstLine="560"/>
        <w:rPr>
          <w:rFonts w:hint="eastAsia" w:ascii="宋体" w:hAnsi="宋体" w:eastAsia="宋体" w:cs="宋体"/>
          <w:color w:val="auto"/>
          <w:sz w:val="24"/>
          <w:szCs w:val="24"/>
          <w:highlight w:val="none"/>
        </w:rPr>
      </w:pPr>
      <w:r>
        <w:rPr>
          <w:rFonts w:hint="eastAsia" w:ascii="宋体" w:hAnsi="宋体" w:eastAsia="宋体" w:cs="宋体"/>
          <w:b/>
          <w:bCs/>
          <w:snapToGrid w:val="0"/>
          <w:color w:val="auto"/>
          <w:kern w:val="0"/>
          <w:sz w:val="24"/>
          <w:szCs w:val="24"/>
          <w:highlight w:val="none"/>
          <w:lang w:val="en-US" w:eastAsia="zh-CN"/>
        </w:rPr>
        <w:t>15</w:t>
      </w:r>
      <w:r>
        <w:rPr>
          <w:rFonts w:hint="eastAsia" w:ascii="宋体" w:hAnsi="宋体" w:eastAsia="宋体" w:cs="宋体"/>
          <w:b/>
          <w:bCs/>
          <w:snapToGrid w:val="0"/>
          <w:color w:val="auto"/>
          <w:kern w:val="0"/>
          <w:sz w:val="24"/>
          <w:szCs w:val="24"/>
          <w:highlight w:val="none"/>
        </w:rPr>
        <w:t>.1.3</w:t>
      </w:r>
      <w:r>
        <w:rPr>
          <w:rFonts w:hint="eastAsia" w:ascii="宋体" w:hAnsi="宋体" w:eastAsia="宋体" w:cs="宋体"/>
          <w:color w:val="auto"/>
          <w:sz w:val="24"/>
          <w:szCs w:val="24"/>
          <w:highlight w:val="none"/>
        </w:rPr>
        <w:t>承包人在进场后7天内提交施工进度计划，并注明主要施工节点时间，送监理单位及发包人审核后，作为工期考核的阶段性指标。</w:t>
      </w:r>
    </w:p>
    <w:p w14:paraId="11486E20">
      <w:pPr>
        <w:pStyle w:val="36"/>
        <w:keepNext w:val="0"/>
        <w:keepLines w:val="0"/>
        <w:pageBreakBefore w:val="0"/>
        <w:widowControl/>
        <w:wordWrap w:val="0"/>
        <w:overflowPunct/>
        <w:bidi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bookmarkStart w:id="219" w:name="_Toc25518"/>
      <w:r>
        <w:rPr>
          <w:rFonts w:hint="eastAsia" w:ascii="宋体" w:hAnsi="宋体" w:eastAsia="宋体" w:cs="宋体"/>
          <w:b/>
          <w:bCs/>
          <w:color w:val="auto"/>
          <w:sz w:val="24"/>
          <w:szCs w:val="24"/>
          <w:highlight w:val="none"/>
          <w:lang w:val="en-US" w:eastAsia="zh-CN" w:bidi="ar"/>
        </w:rPr>
        <w:t xml:space="preserve">15.2 </w:t>
      </w:r>
      <w:r>
        <w:rPr>
          <w:rFonts w:hint="eastAsia" w:ascii="宋体" w:hAnsi="宋体" w:eastAsia="宋体" w:cs="宋体"/>
          <w:b w:val="0"/>
          <w:bCs w:val="0"/>
          <w:color w:val="auto"/>
          <w:sz w:val="24"/>
          <w:szCs w:val="24"/>
          <w:highlight w:val="none"/>
          <w:lang w:val="en-US" w:eastAsia="zh-CN" w:bidi="ar"/>
        </w:rPr>
        <w:t>质量违约</w:t>
      </w:r>
      <w:bookmarkEnd w:id="219"/>
    </w:p>
    <w:p w14:paraId="1D9615D2">
      <w:pPr>
        <w:keepNext w:val="0"/>
        <w:keepLines w:val="0"/>
        <w:pageBreakBefore w:val="0"/>
        <w:widowControl w:val="0"/>
        <w:kinsoku w:val="0"/>
        <w:wordWrap/>
        <w:overflowPunct/>
        <w:autoSpaceDE w:val="0"/>
        <w:autoSpaceDN w:val="0"/>
        <w:bidi w:val="0"/>
        <w:adjustRightInd w:val="0"/>
        <w:snapToGrid w:val="0"/>
        <w:spacing w:line="360" w:lineRule="auto"/>
        <w:ind w:firstLine="475" w:firstLineChars="19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材料违约处理：若发现材料不符合国家标准或发包人在技术规范中规定的标准，视为承包人违约，按现行《建设工程质量管理条例》处理。</w:t>
      </w:r>
    </w:p>
    <w:p w14:paraId="181B02AC">
      <w:pPr>
        <w:pStyle w:val="37"/>
        <w:keepNext w:val="0"/>
        <w:keepLines w:val="0"/>
        <w:pageBreakBefore w:val="0"/>
        <w:widowControl w:val="0"/>
        <w:kinsoku w:val="0"/>
        <w:wordWrap/>
        <w:overflowPunct/>
        <w:autoSpaceDE w:val="0"/>
        <w:autoSpaceDN w:val="0"/>
        <w:bidi w:val="0"/>
        <w:adjustRightInd w:val="0"/>
        <w:snapToGrid w:val="0"/>
        <w:spacing w:line="360" w:lineRule="auto"/>
        <w:ind w:firstLine="490"/>
        <w:textAlignment w:val="baseline"/>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lang w:val="en-US" w:eastAsia="zh-CN"/>
        </w:rPr>
        <w:t>15</w:t>
      </w:r>
      <w:r>
        <w:rPr>
          <w:rFonts w:hint="eastAsia" w:ascii="宋体" w:hAnsi="宋体" w:eastAsia="宋体" w:cs="宋体"/>
          <w:b/>
          <w:color w:val="auto"/>
          <w:sz w:val="24"/>
          <w:szCs w:val="24"/>
          <w:highlight w:val="none"/>
        </w:rPr>
        <w:t>.2.1.1</w:t>
      </w:r>
      <w:r>
        <w:rPr>
          <w:rFonts w:hint="eastAsia" w:ascii="宋体" w:hAnsi="宋体" w:eastAsia="宋体" w:cs="宋体"/>
          <w:b/>
          <w:color w:val="auto"/>
          <w:sz w:val="24"/>
          <w:szCs w:val="24"/>
          <w:highlight w:val="none"/>
          <w:lang w:val="en-US" w:eastAsia="zh-CN"/>
        </w:rPr>
        <w:t xml:space="preserve"> </w:t>
      </w:r>
      <w:r>
        <w:rPr>
          <w:rFonts w:hint="eastAsia" w:ascii="宋体" w:hAnsi="宋体" w:eastAsia="宋体" w:cs="宋体"/>
          <w:color w:val="auto"/>
          <w:sz w:val="24"/>
          <w:szCs w:val="24"/>
          <w:highlight w:val="none"/>
        </w:rPr>
        <w:t>成品采购项目在采购前，承包人必须先行书面征求监理人、发包人的同意并一起看样定版后方能实施。未经监理人、发包人同意擅自先行采购和实施的，否则因不符合设计要求返工造成的费用由承包人承担。</w:t>
      </w:r>
    </w:p>
    <w:p w14:paraId="633665CF">
      <w:pPr>
        <w:keepNext w:val="0"/>
        <w:keepLines w:val="0"/>
        <w:pageBreakBefore w:val="0"/>
        <w:widowControl w:val="0"/>
        <w:kinsoku w:val="0"/>
        <w:wordWrap/>
        <w:overflowPunct/>
        <w:autoSpaceDE w:val="0"/>
        <w:autoSpaceDN w:val="0"/>
        <w:bidi w:val="0"/>
        <w:adjustRightInd w:val="0"/>
        <w:snapToGrid w:val="0"/>
        <w:spacing w:line="360" w:lineRule="auto"/>
        <w:ind w:firstLine="475" w:firstLineChars="197"/>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.2.2</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工程质量违约：</w:t>
      </w:r>
    </w:p>
    <w:p w14:paraId="589C1495">
      <w:pPr>
        <w:keepNext w:val="0"/>
        <w:keepLines w:val="0"/>
        <w:pageBreakBefore w:val="0"/>
        <w:widowControl w:val="0"/>
        <w:kinsoku w:val="0"/>
        <w:wordWrap/>
        <w:overflowPunct/>
        <w:autoSpaceDE w:val="0"/>
        <w:autoSpaceDN w:val="0"/>
        <w:bidi w:val="0"/>
        <w:adjustRightInd w:val="0"/>
        <w:snapToGrid w:val="0"/>
        <w:spacing w:line="360" w:lineRule="auto"/>
        <w:ind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.2.2.1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在施工过程中经监理单位日常巡查或抽检发现未达到合格标准，责令承包人进行整改，如未按规定时间进行整改或整改不到位的，每次按5000元缴纳违约金给发包人，在进度款或结算款中一并扣除。</w:t>
      </w:r>
    </w:p>
    <w:p w14:paraId="204A6E6F">
      <w:pPr>
        <w:keepNext w:val="0"/>
        <w:keepLines w:val="0"/>
        <w:pageBreakBefore w:val="0"/>
        <w:widowControl w:val="0"/>
        <w:kinsoku w:val="0"/>
        <w:wordWrap/>
        <w:overflowPunct/>
        <w:autoSpaceDE w:val="0"/>
        <w:autoSpaceDN w:val="0"/>
        <w:bidi w:val="0"/>
        <w:adjustRightInd w:val="0"/>
        <w:snapToGrid w:val="0"/>
        <w:spacing w:line="360" w:lineRule="auto"/>
        <w:ind w:firstLine="482" w:firstLineChars="200"/>
        <w:textAlignment w:val="baseline"/>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.2.2.2</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工程质量标准须</w:t>
      </w:r>
      <w:r>
        <w:rPr>
          <w:rFonts w:hint="eastAsia" w:ascii="宋体" w:hAnsi="宋体" w:eastAsia="宋体" w:cs="宋体"/>
          <w:color w:val="auto"/>
          <w:sz w:val="24"/>
          <w:szCs w:val="24"/>
          <w:highlight w:val="none"/>
          <w:lang w:eastAsia="zh-CN"/>
        </w:rPr>
        <w:t>达到《建筑工程施工质量验收统一标准》(GB50300-2013)和《建筑与市政工程施工质量控制通用规范》（GB55032-2022）合格</w:t>
      </w:r>
      <w:r>
        <w:rPr>
          <w:rFonts w:hint="eastAsia" w:ascii="宋体" w:hAnsi="宋体" w:eastAsia="宋体" w:cs="宋体"/>
          <w:bCs/>
          <w:color w:val="auto"/>
          <w:sz w:val="24"/>
          <w:szCs w:val="24"/>
          <w:highlight w:val="none"/>
        </w:rPr>
        <w:t>。</w:t>
      </w:r>
      <w:r>
        <w:rPr>
          <w:rFonts w:hint="eastAsia" w:ascii="宋体" w:hAnsi="宋体" w:eastAsia="宋体" w:cs="宋体"/>
          <w:color w:val="auto"/>
          <w:sz w:val="24"/>
          <w:szCs w:val="24"/>
          <w:highlight w:val="none"/>
        </w:rPr>
        <w:t>如未达到合格标准，除无偿返工至合格外，还要按合同价款的1%向招标人支付质量违约金，工期不予顺延。</w:t>
      </w:r>
    </w:p>
    <w:p w14:paraId="7E9A0895">
      <w:pPr>
        <w:pStyle w:val="36"/>
        <w:wordWrap w:val="0"/>
        <w:adjustRightInd w:val="0"/>
        <w:snapToGrid w:val="0"/>
        <w:spacing w:line="360" w:lineRule="auto"/>
        <w:ind w:firstLine="560"/>
        <w:rPr>
          <w:rFonts w:hint="eastAsia" w:ascii="宋体" w:hAnsi="宋体" w:eastAsia="宋体" w:cs="宋体"/>
          <w:b w:val="0"/>
          <w:bCs w:val="0"/>
          <w:color w:val="auto"/>
          <w:sz w:val="24"/>
          <w:szCs w:val="24"/>
          <w:highlight w:val="none"/>
          <w:lang w:val="en-US" w:eastAsia="zh-CN" w:bidi="ar"/>
        </w:rPr>
      </w:pPr>
      <w:bookmarkStart w:id="220" w:name="_Toc6857"/>
      <w:r>
        <w:rPr>
          <w:rFonts w:hint="eastAsia" w:ascii="宋体" w:hAnsi="宋体" w:eastAsia="宋体" w:cs="宋体"/>
          <w:b/>
          <w:bCs/>
          <w:color w:val="auto"/>
          <w:sz w:val="24"/>
          <w:szCs w:val="24"/>
          <w:highlight w:val="none"/>
          <w:lang w:val="en-US" w:eastAsia="zh-CN" w:bidi="ar"/>
        </w:rPr>
        <w:t xml:space="preserve">15.3 </w:t>
      </w:r>
      <w:r>
        <w:rPr>
          <w:rFonts w:hint="eastAsia" w:ascii="宋体" w:hAnsi="宋体" w:eastAsia="宋体" w:cs="宋体"/>
          <w:b w:val="0"/>
          <w:bCs w:val="0"/>
          <w:color w:val="auto"/>
          <w:sz w:val="24"/>
          <w:szCs w:val="24"/>
          <w:highlight w:val="none"/>
          <w:lang w:val="en-US" w:eastAsia="zh-CN" w:bidi="ar"/>
        </w:rPr>
        <w:t>重大责任事故违约</w:t>
      </w:r>
      <w:bookmarkEnd w:id="220"/>
    </w:p>
    <w:p w14:paraId="2C4DF0E6">
      <w:pPr>
        <w:spacing w:line="360" w:lineRule="auto"/>
        <w:ind w:firstLine="475" w:firstLineChars="197"/>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rPr>
        <w:t>.3.1</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color w:val="auto"/>
          <w:sz w:val="24"/>
          <w:szCs w:val="24"/>
          <w:highlight w:val="none"/>
        </w:rPr>
        <w:t>承包人因违反国家安全质量法规及合同有关条款约定,出现火灾、坍塌、人员重伤、死亡等重大责任事故,则承包人应承担全部损失,并按相关法规接受行政处罚；如造成发包人及对第三人利益的损害,该等损害赔偿责任均由承包人承担。</w:t>
      </w:r>
    </w:p>
    <w:p w14:paraId="71FC9DF1">
      <w:pPr>
        <w:pStyle w:val="36"/>
        <w:wordWrap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bookmarkStart w:id="221" w:name="_Toc8249"/>
      <w:r>
        <w:rPr>
          <w:rFonts w:hint="eastAsia" w:ascii="宋体" w:hAnsi="宋体" w:eastAsia="宋体" w:cs="宋体"/>
          <w:b/>
          <w:bCs/>
          <w:color w:val="auto"/>
          <w:sz w:val="24"/>
          <w:szCs w:val="24"/>
          <w:highlight w:val="none"/>
          <w:lang w:val="en-US" w:eastAsia="zh-CN" w:bidi="ar"/>
        </w:rPr>
        <w:t xml:space="preserve">15.4 </w:t>
      </w:r>
      <w:r>
        <w:rPr>
          <w:rFonts w:hint="eastAsia" w:ascii="宋体" w:hAnsi="宋体" w:eastAsia="宋体" w:cs="宋体"/>
          <w:b w:val="0"/>
          <w:bCs w:val="0"/>
          <w:color w:val="auto"/>
          <w:sz w:val="24"/>
          <w:szCs w:val="24"/>
          <w:highlight w:val="none"/>
          <w:lang w:val="en-US" w:eastAsia="zh-CN" w:bidi="ar"/>
        </w:rPr>
        <w:t>用工违约</w:t>
      </w:r>
      <w:bookmarkEnd w:id="221"/>
    </w:p>
    <w:p w14:paraId="1FA6EAFA">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.4.1</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在合同履行期间，如经查实承包人拖欠或克扣农民工或劳务工工资，导致劳资纠纷或发生危及公共安全或正常社会秩序的事件的，按承包人违约处理，按人民币10000元/次从工程进度款中扣除。承包人必须无条件确保民工工资得到及时发放，无拖欠民工工资现象，并采取发包人认为切实可行的措施确保无劳资纠纷事件发生，如发生承包人拖欠民工工资并且向政府或发包人索要承包人拖欠工资的，发包人有权使用工人工资保证金或在剩余进度款范围内代承包人向民工支付工资，承包人对发包人垫付工资的人员范围和工资数额均不得提异议。发包人代支的工资除了从当期工程款内直接扣除外,承包人须按照发包人所垫付的民工工资2倍向发包人支付违约金。违约金在下期进度款中扣除。未在下期进度款扣除或承包人在发包人处已经无款可扣的，起计逾期支付利息。发包人可以在承包人其他任何款项中扣除所垫付的工资和相应的违约金与利息。承包人对提供的资料真实性负责，如发现虚假不实情况，承包人须向发包人支付违约金20000元/次。</w:t>
      </w:r>
    </w:p>
    <w:p w14:paraId="64BF36BB">
      <w:pPr>
        <w:spacing w:line="360" w:lineRule="auto"/>
        <w:ind w:firstLine="475" w:firstLineChars="197"/>
        <w:rPr>
          <w:rFonts w:hint="eastAsia" w:ascii="宋体" w:hAnsi="宋体" w:eastAsia="宋体" w:cs="宋体"/>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.4.2</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承包人应积极落实有关部门关于用工实名制管理工作的要求，未按规定落实农民工工资专户及实用工实名制要求，经有关部门警告或处罚的，按违约金人民币10000元/次从工程进度款中扣除。</w:t>
      </w:r>
    </w:p>
    <w:p w14:paraId="7A158BB3">
      <w:pPr>
        <w:pStyle w:val="36"/>
        <w:wordWrap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bookmarkStart w:id="222" w:name="_Toc28116"/>
      <w:r>
        <w:rPr>
          <w:rFonts w:hint="eastAsia" w:ascii="宋体" w:hAnsi="宋体" w:eastAsia="宋体" w:cs="宋体"/>
          <w:b/>
          <w:bCs/>
          <w:color w:val="auto"/>
          <w:sz w:val="24"/>
          <w:szCs w:val="24"/>
          <w:highlight w:val="none"/>
          <w:lang w:val="en-US" w:eastAsia="zh-CN" w:bidi="ar"/>
        </w:rPr>
        <w:t xml:space="preserve">15.5 </w:t>
      </w:r>
      <w:r>
        <w:rPr>
          <w:rFonts w:hint="eastAsia" w:ascii="宋体" w:hAnsi="宋体" w:eastAsia="宋体" w:cs="宋体"/>
          <w:b w:val="0"/>
          <w:bCs w:val="0"/>
          <w:color w:val="auto"/>
          <w:sz w:val="24"/>
          <w:szCs w:val="24"/>
          <w:highlight w:val="none"/>
          <w:lang w:val="en-US" w:eastAsia="zh-CN" w:bidi="ar"/>
        </w:rPr>
        <w:t>安全文明施工违约</w:t>
      </w:r>
      <w:bookmarkEnd w:id="222"/>
    </w:p>
    <w:p w14:paraId="46AC7959">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.5.1</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承包人应严格遵守国家、省、市有关防火、爆破和施工安全以及文明施工、深夜施工、环卫和城市管理等规定，建立规章制度和防护措施，并组织施工。</w:t>
      </w:r>
    </w:p>
    <w:p w14:paraId="729C277B">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.5.2</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现场施工人员存在野蛮施工行为，经现场发包人（含监理单位）管理人员确认后，承包人须按10000元/次缴纳违约金；如因野蛮施工行为，引起投诉或网络问政的，承包人须按5000元/次缴纳违约金；并承担因野蛮施工行为所造成的全部责任。</w:t>
      </w:r>
    </w:p>
    <w:p w14:paraId="12C9CB6B">
      <w:pPr>
        <w:keepNext w:val="0"/>
        <w:keepLines w:val="0"/>
        <w:pageBreakBefore w:val="0"/>
        <w:widowControl w:val="0"/>
        <w:kinsoku w:val="0"/>
        <w:wordWrap/>
        <w:overflowPunct/>
        <w:topLinePunct w:val="0"/>
        <w:autoSpaceDE w:val="0"/>
        <w:autoSpaceDN w:val="0"/>
        <w:bidi w:val="0"/>
        <w:adjustRightInd w:val="0"/>
        <w:snapToGrid w:val="0"/>
        <w:spacing w:line="360" w:lineRule="auto"/>
        <w:ind w:firstLine="482" w:firstLineChars="200"/>
        <w:textAlignment w:val="baseline"/>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.5.3</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承包人必须接受发包人及监理单位组织的安全、文明施工的检查，检查中的不合格项目、安全隐患必须在规定的时间内整改完成，否则每拖延一天处以10000元人民币违约金，直至整改合格。</w:t>
      </w:r>
    </w:p>
    <w:p w14:paraId="51E817EA">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.5.4</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承包人施工现场发生工伤或其他责任事故的，承包人按下列标准缴纳违约金：</w:t>
      </w:r>
    </w:p>
    <w:p w14:paraId="0E86324F">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①一次事故或全年累计死亡3人及以上：项目部必须撤换项目经理、主管安全副经理和安全主管，一次或全年累计缴纳违约金100万元人民币；</w:t>
      </w:r>
    </w:p>
    <w:p w14:paraId="754DC732">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②一次事故或全年累计死亡2人：安全第一责任人在韶关市地区建设范围内公开检查；承包人必须撤换项目主管安全副经理或安全主管；一次或全年累计缴纳违约金60万元人民币；</w:t>
      </w:r>
    </w:p>
    <w:p w14:paraId="6C672175">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③全年死亡1人：安全第一责任人在韶关市地区建设范围内公开检查，并报其上级单位；承包人必须撤换项目安全主管；缴纳违约金30万元人民币。</w:t>
      </w:r>
    </w:p>
    <w:p w14:paraId="1A320279">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④重伤事故、造成10人及以上集体中毒住院、经济损失重大的火灾、设备及交通事故，缴纳违约金30万元人民币。</w:t>
      </w:r>
    </w:p>
    <w:p w14:paraId="68B62119">
      <w:pPr>
        <w:spacing w:line="360" w:lineRule="auto"/>
        <w:ind w:firstLine="472" w:firstLineChars="197"/>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⑤因施工造成的道路交通中断、通讯中断、管线漏水漏气等全部责任事故，由承包人承担责任，并缴纳违约金1万元人民币。</w:t>
      </w:r>
    </w:p>
    <w:p w14:paraId="62930D9D">
      <w:pPr>
        <w:pStyle w:val="36"/>
        <w:wordWrap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bookmarkStart w:id="223" w:name="_Toc4275"/>
      <w:r>
        <w:rPr>
          <w:rFonts w:hint="eastAsia" w:ascii="宋体" w:hAnsi="宋体" w:eastAsia="宋体" w:cs="宋体"/>
          <w:b/>
          <w:bCs/>
          <w:color w:val="auto"/>
          <w:sz w:val="24"/>
          <w:szCs w:val="24"/>
          <w:highlight w:val="none"/>
          <w:lang w:val="en-US" w:eastAsia="zh-CN" w:bidi="ar"/>
        </w:rPr>
        <w:t xml:space="preserve">15.6 </w:t>
      </w:r>
      <w:r>
        <w:rPr>
          <w:rFonts w:hint="eastAsia" w:ascii="宋体" w:hAnsi="宋体" w:eastAsia="宋体" w:cs="宋体"/>
          <w:b w:val="0"/>
          <w:bCs w:val="0"/>
          <w:color w:val="auto"/>
          <w:sz w:val="24"/>
          <w:szCs w:val="24"/>
          <w:highlight w:val="none"/>
          <w:lang w:val="en-US" w:eastAsia="zh-CN" w:bidi="ar"/>
        </w:rPr>
        <w:t>其他违约</w:t>
      </w:r>
      <w:bookmarkEnd w:id="223"/>
    </w:p>
    <w:p w14:paraId="3F885637">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.6.1</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安排在施工场地的主要管理人员（主要指项目经理、项目技术负责人和专职安全生产管理人员）应与承包人投标文件承诺的名单一致，并保持相对稳定。未经总监理工程师批准，上述人员不应无故不到位或被替换。如果擅自更换项目负责人或项目技术负责人，承包人每更换一人次，需支付20000元违约金给发包人，如果擅自更换主要施工管理人员，每更换一人次，承包人需支付10000元违约金给发包人。若确实无法到位或需替换，需经总监理工程师审核并报发包人批准后，承包人可安排同等资历的人员替换；考勤采用人脸识别打卡每月累计不到位次数超过10天，按5000元/人/天缴纳违约金给发包人；在日常检查及相关会议中主要管理人员不到岗，按违约金人民币1000元/人/次从工程进度款中扣除。</w:t>
      </w:r>
    </w:p>
    <w:p w14:paraId="70AAA128">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.6.2</w:t>
      </w:r>
      <w:r>
        <w:rPr>
          <w:rFonts w:hint="eastAsia" w:ascii="宋体" w:hAnsi="宋体" w:eastAsia="宋体" w:cs="宋体"/>
          <w:bCs/>
          <w:color w:val="auto"/>
          <w:sz w:val="24"/>
          <w:szCs w:val="24"/>
          <w:highlight w:val="none"/>
        </w:rPr>
        <w:t xml:space="preserve"> 承包人施工资料必须与形象进度同步，如发包人在日常检查中发现不同步的现象的，视为违约并按违约金人民币1000元/次从工程进度款中扣除。</w:t>
      </w:r>
    </w:p>
    <w:p w14:paraId="7E2B002B">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.6.3</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发包人要求承包人替换项目部中不称职人员或能力有异议，而承包人不予替换，视为承包人违约，承包人须按承包人项目部主要管理人员（主要指项目经理、项目技术负责人和专职安全生产管理人员）20000元/人次缴纳违约金给发包人。</w:t>
      </w:r>
    </w:p>
    <w:p w14:paraId="1454ACB7">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.6.4</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发包人对上述约定中的规定并不免除承包人接受国家、地方政府相关部门依法对承包人的处罚。</w:t>
      </w:r>
    </w:p>
    <w:p w14:paraId="131B29AE">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.6.5</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承包人没有正当合理的理由中途退场，可扣除承包人已递交的所有履约保证金作为违约金。</w:t>
      </w:r>
    </w:p>
    <w:p w14:paraId="18C370B0">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.6.6</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有下列情况之一的，承包人在一年内不得参与发包人的任何工程任务，并勒令从现施工的工地退场，同时按违约金人民币50000元从工程进度款中扣除：</w:t>
      </w:r>
    </w:p>
    <w:p w14:paraId="13573040">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A、路面沉降、开裂超过规范要求并造成不良社会影响的；</w:t>
      </w:r>
    </w:p>
    <w:p w14:paraId="2D6F4834">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B、发生重大责任安全事故的；</w:t>
      </w:r>
    </w:p>
    <w:p w14:paraId="3C314A72">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C、不能在合同规定的期限内竣工的；</w:t>
      </w:r>
    </w:p>
    <w:p w14:paraId="6C9E5A92">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D、承包人所承担的施工任务在施工期间，由于工程质量或工程进度原因，监理单位发出10个以上﹙含10个﹚停工令的；</w:t>
      </w:r>
    </w:p>
    <w:p w14:paraId="571A4F11">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E、质量监督部门在抽检时发出5个以上（含5个）由于工程质量原因通报的；</w:t>
      </w:r>
    </w:p>
    <w:p w14:paraId="3C08B80A">
      <w:pPr>
        <w:spacing w:line="360" w:lineRule="auto"/>
        <w:ind w:firstLine="480" w:firstLineChars="200"/>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F、业主组织的质量大检查发现由于工程质量原因而通报二次以上（含二次）的；</w:t>
      </w:r>
    </w:p>
    <w:p w14:paraId="300ADEC7">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.6.7</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必须严格塔吊、起重机等机械设备及货梯、提升机等机电设备的安装、拆卸和使用运行管理。必须落实持证上岗、专人操作、专人检查，严格落实每天操作前和操作后的检查，检查发现未落实相关措施和规定的，按违约金人民币2000元/次从工程进度款中扣除。</w:t>
      </w:r>
    </w:p>
    <w:p w14:paraId="0F1810E3">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.6.8</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承包人应加强生活用电管理，检查发现私拉乱接电线的，承包人须按人民币500元/次缴纳违约金给发包人。</w:t>
      </w:r>
    </w:p>
    <w:p w14:paraId="168FAA31">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.6.9</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承包人应加强建设范围内因雨季造成临时积水部位的管理，防止发生淹亡、溺亡事故，若因措施不严造成的后果全部由承包人承担。</w:t>
      </w:r>
    </w:p>
    <w:p w14:paraId="67A9EE07">
      <w:pPr>
        <w:spacing w:line="360" w:lineRule="auto"/>
        <w:ind w:firstLine="482" w:firstLineChars="200"/>
        <w:rPr>
          <w:rFonts w:hint="eastAsia" w:ascii="宋体" w:hAnsi="宋体" w:eastAsia="宋体" w:cs="宋体"/>
          <w:bCs/>
          <w:color w:val="auto"/>
          <w:sz w:val="24"/>
          <w:szCs w:val="24"/>
          <w:highlight w:val="none"/>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rPr>
        <w:t>.6.10</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rPr>
        <w:t>国家发生疫情或其他重大风险期间，承包人不执行有关部门关于特殊时期管控规定、不落实相关措施的，承包人须按人民币1000元/人/次缴纳违约金给发包人。</w:t>
      </w:r>
    </w:p>
    <w:p w14:paraId="6F9DB328">
      <w:pPr>
        <w:spacing w:line="360" w:lineRule="auto"/>
        <w:ind w:firstLine="352" w:firstLineChars="147"/>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承包人因上述违约行为而须缴纳的违约金在工程进度款中或结算时一并扣除。</w:t>
      </w:r>
    </w:p>
    <w:p w14:paraId="1A93E041">
      <w:pPr>
        <w:pStyle w:val="7"/>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val="0"/>
          <w:color w:val="auto"/>
          <w:sz w:val="24"/>
          <w:szCs w:val="24"/>
          <w:highlight w:val="none"/>
          <w:lang w:val="en-US" w:eastAsia="zh-CN"/>
        </w:rPr>
        <w:t>15</w:t>
      </w:r>
      <w:r>
        <w:rPr>
          <w:rFonts w:hint="eastAsia" w:ascii="宋体" w:hAnsi="宋体" w:eastAsia="宋体" w:cs="宋体"/>
          <w:b/>
          <w:bCs w:val="0"/>
          <w:color w:val="auto"/>
          <w:sz w:val="24"/>
          <w:szCs w:val="24"/>
          <w:highlight w:val="none"/>
          <w:lang w:eastAsia="zh-CN"/>
        </w:rPr>
        <w:t>.7</w:t>
      </w:r>
      <w:r>
        <w:rPr>
          <w:rFonts w:hint="eastAsia" w:ascii="宋体" w:hAnsi="宋体" w:eastAsia="宋体" w:cs="宋体"/>
          <w:b/>
          <w:bCs w:val="0"/>
          <w:color w:val="auto"/>
          <w:sz w:val="24"/>
          <w:szCs w:val="24"/>
          <w:highlight w:val="none"/>
          <w:lang w:val="en-US" w:eastAsia="zh-CN"/>
        </w:rPr>
        <w:t xml:space="preserve"> </w:t>
      </w:r>
      <w:r>
        <w:rPr>
          <w:rFonts w:hint="eastAsia" w:ascii="宋体" w:hAnsi="宋体" w:eastAsia="宋体" w:cs="宋体"/>
          <w:bCs/>
          <w:color w:val="auto"/>
          <w:sz w:val="24"/>
          <w:szCs w:val="24"/>
          <w:highlight w:val="none"/>
          <w:lang w:eastAsia="zh-CN"/>
        </w:rPr>
        <w:t>专业工程发包：</w:t>
      </w:r>
      <w:r>
        <w:rPr>
          <w:rFonts w:hint="eastAsia" w:ascii="宋体" w:hAnsi="宋体" w:eastAsia="宋体" w:cs="宋体"/>
          <w:bCs/>
          <w:color w:val="auto"/>
          <w:sz w:val="24"/>
          <w:szCs w:val="24"/>
          <w:highlight w:val="none"/>
        </w:rPr>
        <w:t>合同范围内的工程未经发包人同意一律不得发包，一经发现，取消承包人的承包资格，由此引起的一切经济损失和法律责任由承包人自行承担。若有专业工程必须发包的，发包人不另行支付总包服务费；其发包合同由承包人与对方签订，发包人不参与承包人与对方之间的结算，该部分工程的造价仍按承包人与发包人签订的合同的有关条款进行结算。注：本项目包含电力部分及电力附属部分内容，应由执有电力相关专业资质的单位承接，若达到必须招标规模标准的，由中标人招标，招标人参与管理，确定电力专业工程承包人和合同价格。</w:t>
      </w:r>
    </w:p>
    <w:p w14:paraId="4678F62D">
      <w:pPr>
        <w:pStyle w:val="36"/>
        <w:wordWrap w:val="0"/>
        <w:adjustRightInd w:val="0"/>
        <w:snapToGrid w:val="0"/>
        <w:spacing w:line="360" w:lineRule="auto"/>
        <w:ind w:firstLine="560"/>
        <w:rPr>
          <w:rFonts w:hint="eastAsia" w:ascii="宋体" w:hAnsi="宋体" w:eastAsia="宋体" w:cs="宋体"/>
          <w:b/>
          <w:bCs/>
          <w:color w:val="auto"/>
          <w:sz w:val="24"/>
          <w:szCs w:val="24"/>
          <w:highlight w:val="none"/>
          <w:lang w:val="en-US" w:eastAsia="zh-CN" w:bidi="ar"/>
        </w:rPr>
      </w:pPr>
      <w:bookmarkStart w:id="224" w:name="_Toc21685"/>
      <w:r>
        <w:rPr>
          <w:rFonts w:hint="eastAsia" w:ascii="宋体" w:hAnsi="宋体" w:eastAsia="宋体" w:cs="宋体"/>
          <w:b/>
          <w:bCs/>
          <w:color w:val="auto"/>
          <w:sz w:val="24"/>
          <w:szCs w:val="24"/>
          <w:highlight w:val="none"/>
          <w:lang w:val="en-US" w:eastAsia="zh-CN" w:bidi="ar"/>
        </w:rPr>
        <w:t xml:space="preserve">15.8  </w:t>
      </w:r>
      <w:r>
        <w:rPr>
          <w:rFonts w:hint="eastAsia" w:ascii="宋体" w:hAnsi="宋体" w:eastAsia="宋体" w:cs="宋体"/>
          <w:b w:val="0"/>
          <w:bCs w:val="0"/>
          <w:color w:val="auto"/>
          <w:sz w:val="24"/>
          <w:szCs w:val="24"/>
          <w:highlight w:val="none"/>
          <w:lang w:val="en-US" w:eastAsia="zh-CN" w:bidi="ar"/>
        </w:rPr>
        <w:t>质量保证</w:t>
      </w:r>
      <w:bookmarkEnd w:id="224"/>
    </w:p>
    <w:p w14:paraId="73C841B6">
      <w:pPr>
        <w:wordWrap w:val="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.8.1</w:t>
      </w:r>
      <w:r>
        <w:rPr>
          <w:rFonts w:hint="eastAsia" w:ascii="宋体" w:hAnsi="宋体" w:eastAsia="宋体" w:cs="宋体"/>
          <w:color w:val="auto"/>
          <w:sz w:val="24"/>
          <w:szCs w:val="24"/>
          <w:highlight w:val="none"/>
          <w:lang w:eastAsia="zh-CN"/>
        </w:rPr>
        <w:t xml:space="preserve"> 本招标项目缺陷责任期为</w:t>
      </w:r>
      <w:r>
        <w:rPr>
          <w:rFonts w:hint="eastAsia" w:ascii="宋体" w:hAnsi="宋体" w:eastAsia="宋体" w:cs="宋体"/>
          <w:color w:val="auto"/>
          <w:sz w:val="24"/>
          <w:szCs w:val="24"/>
          <w:highlight w:val="none"/>
          <w:u w:val="single"/>
          <w:lang w:val="en-US" w:eastAsia="zh-CN"/>
        </w:rPr>
        <w:t xml:space="preserve"> 2 </w:t>
      </w:r>
      <w:r>
        <w:rPr>
          <w:rFonts w:hint="eastAsia" w:ascii="宋体" w:hAnsi="宋体" w:eastAsia="宋体" w:cs="宋体"/>
          <w:color w:val="auto"/>
          <w:sz w:val="24"/>
          <w:szCs w:val="24"/>
          <w:highlight w:val="none"/>
          <w:lang w:eastAsia="zh-CN"/>
        </w:rPr>
        <w:t>年（自通过竣工验收之日起计），在此期间预留金额为结算价 3%的质量保证。</w:t>
      </w:r>
    </w:p>
    <w:p w14:paraId="4136F31C">
      <w:pPr>
        <w:wordWrap w:val="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.8.2</w:t>
      </w:r>
      <w:r>
        <w:rPr>
          <w:rFonts w:hint="eastAsia" w:ascii="宋体" w:hAnsi="宋体" w:eastAsia="宋体" w:cs="宋体"/>
          <w:color w:val="auto"/>
          <w:sz w:val="24"/>
          <w:szCs w:val="24"/>
          <w:highlight w:val="none"/>
          <w:lang w:eastAsia="zh-CN"/>
        </w:rPr>
        <w:t xml:space="preserve"> 质量保证的形式包括质量保证金、质量保证担保、质量保证保险三种，由承包人自主选择。（1）采用质量保证金形式的，在结清审定总造价时一次性扣留相应金额作为质量保证金。（2）采用质量保证担保或质量保证保险的，承包人应在竣工验收时向发包人提交有效的商业保函、银行保函或保险合同（或保险单）原件，商业保函、银行保函或保险合同（或保险单）的有效期不得短于缺陷责任期。</w:t>
      </w:r>
    </w:p>
    <w:p w14:paraId="365BFA4C">
      <w:pPr>
        <w:wordWrap w:val="0"/>
        <w:spacing w:line="360" w:lineRule="auto"/>
        <w:ind w:firstLine="482" w:firstLineChars="200"/>
        <w:rPr>
          <w:rFonts w:hint="eastAsia" w:ascii="宋体" w:hAnsi="宋体" w:eastAsia="宋体" w:cs="宋体"/>
          <w:color w:val="auto"/>
          <w:sz w:val="24"/>
          <w:szCs w:val="24"/>
          <w:highlight w:val="none"/>
          <w:lang w:eastAsia="zh-CN"/>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 xml:space="preserve">.8.3 </w:t>
      </w:r>
      <w:r>
        <w:rPr>
          <w:rFonts w:hint="eastAsia" w:ascii="宋体" w:hAnsi="宋体" w:eastAsia="宋体" w:cs="宋体"/>
          <w:color w:val="auto"/>
          <w:sz w:val="24"/>
          <w:szCs w:val="24"/>
          <w:highlight w:val="none"/>
          <w:lang w:eastAsia="zh-CN"/>
        </w:rPr>
        <w:t>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由他人原因造成的缺陷，发包人负责组织维修，承包人不承担费用，且发包人不得从质量保证中扣除费用。</w:t>
      </w:r>
    </w:p>
    <w:p w14:paraId="354BEC50">
      <w:pPr>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lang w:val="en-US" w:eastAsia="zh-CN"/>
        </w:rPr>
        <w:t>15</w:t>
      </w:r>
      <w:r>
        <w:rPr>
          <w:rFonts w:hint="eastAsia" w:ascii="宋体" w:hAnsi="宋体" w:eastAsia="宋体" w:cs="宋体"/>
          <w:b/>
          <w:bCs/>
          <w:color w:val="auto"/>
          <w:sz w:val="24"/>
          <w:szCs w:val="24"/>
          <w:highlight w:val="none"/>
          <w:lang w:eastAsia="zh-CN"/>
        </w:rPr>
        <w:t xml:space="preserve">.8.4 </w:t>
      </w:r>
      <w:r>
        <w:rPr>
          <w:rFonts w:hint="eastAsia" w:ascii="宋体" w:hAnsi="宋体" w:eastAsia="宋体" w:cs="宋体"/>
          <w:color w:val="auto"/>
          <w:sz w:val="24"/>
          <w:szCs w:val="24"/>
          <w:highlight w:val="none"/>
          <w:lang w:eastAsia="zh-CN"/>
        </w:rPr>
        <w:t>缺陷责任期内，承包人应认真履行合同约定的责任。缺陷责任期到期后，承包人向发包人申请退还质量保证，发包人应按照《建设工程质量保证金管理办法》有关规定将质量保证退还给承包人。</w:t>
      </w:r>
    </w:p>
    <w:p w14:paraId="00E0933F">
      <w:pPr>
        <w:spacing w:line="360" w:lineRule="auto"/>
        <w:ind w:firstLine="482" w:firstLineChars="200"/>
        <w:rPr>
          <w:rFonts w:hint="eastAsia" w:ascii="宋体" w:hAnsi="宋体" w:eastAsia="宋体" w:cs="宋体"/>
          <w:color w:val="auto"/>
          <w:lang w:val="en-US" w:eastAsia="zh-CN"/>
        </w:rPr>
      </w:pPr>
      <w:r>
        <w:rPr>
          <w:rFonts w:hint="eastAsia" w:ascii="宋体" w:hAnsi="宋体" w:eastAsia="宋体" w:cs="宋体"/>
          <w:b/>
          <w:bCs/>
          <w:color w:val="auto"/>
          <w:sz w:val="24"/>
          <w:szCs w:val="24"/>
          <w:highlight w:val="none"/>
          <w:lang w:val="en-US" w:eastAsia="zh-CN"/>
        </w:rPr>
        <w:t>16</w:t>
      </w:r>
      <w:r>
        <w:rPr>
          <w:rFonts w:hint="eastAsia" w:ascii="宋体" w:hAnsi="宋体" w:eastAsia="宋体" w:cs="宋体"/>
          <w:color w:val="auto"/>
          <w:sz w:val="24"/>
          <w:szCs w:val="24"/>
          <w:highlight w:val="none"/>
          <w:lang w:val="en-US" w:eastAsia="zh-CN"/>
        </w:rPr>
        <w:t>.  工程结算工作</w:t>
      </w:r>
    </w:p>
    <w:p w14:paraId="141278FA">
      <w:pPr>
        <w:spacing w:line="360" w:lineRule="auto"/>
        <w:ind w:firstLine="480" w:firstLineChars="200"/>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施工方应全力配合业主方完成工程结算工作，须于工程竣工验收合格之日起30个日历天内提交完整结算资料(含竣工图纸、工程量计算书等全套文件)。收到完整资料后90个日历日内完成审核，逾期未完成审核的，财政评审部门直接依据现有资料出具审定结论，无正当理由超期90日以上的，将列入失信名单。</w:t>
      </w:r>
    </w:p>
    <w:p w14:paraId="58D94BAD">
      <w:pPr>
        <w:rPr>
          <w:rFonts w:hint="eastAsia" w:ascii="宋体" w:hAnsi="宋体" w:eastAsia="宋体" w:cs="宋体"/>
          <w:lang w:val="en-US" w:eastAsia="zh-CN"/>
        </w:rPr>
      </w:pPr>
    </w:p>
    <w:p w14:paraId="7FCFD948">
      <w:pPr>
        <w:rPr>
          <w:rFonts w:hint="eastAsia" w:ascii="宋体" w:hAnsi="宋体" w:eastAsia="宋体" w:cs="宋体"/>
          <w:lang w:val="en-US" w:eastAsia="zh-CN"/>
        </w:rPr>
      </w:pPr>
    </w:p>
    <w:p w14:paraId="2E939D59">
      <w:pPr>
        <w:rPr>
          <w:rFonts w:hint="eastAsia" w:ascii="宋体" w:hAnsi="宋体" w:eastAsia="宋体" w:cs="宋体"/>
          <w:lang w:val="en-US" w:eastAsia="zh-CN"/>
        </w:rPr>
      </w:pPr>
    </w:p>
    <w:p w14:paraId="0E31E7B9">
      <w:pPr>
        <w:rPr>
          <w:rFonts w:hint="eastAsia" w:ascii="宋体" w:hAnsi="宋体" w:eastAsia="宋体" w:cs="宋体"/>
          <w:lang w:val="en-US" w:eastAsia="zh-CN"/>
        </w:rPr>
      </w:pPr>
    </w:p>
    <w:p w14:paraId="3F731866">
      <w:pPr>
        <w:rPr>
          <w:rFonts w:hint="eastAsia" w:ascii="宋体" w:hAnsi="宋体" w:eastAsia="宋体" w:cs="宋体"/>
          <w:lang w:val="en-US" w:eastAsia="zh-CN"/>
        </w:rPr>
      </w:pPr>
    </w:p>
    <w:p w14:paraId="173DB6B5">
      <w:pPr>
        <w:rPr>
          <w:rFonts w:hint="eastAsia" w:ascii="宋体" w:hAnsi="宋体" w:eastAsia="宋体" w:cs="宋体"/>
          <w:lang w:val="en-US" w:eastAsia="zh-CN"/>
        </w:rPr>
      </w:pPr>
    </w:p>
    <w:p w14:paraId="6A975D24">
      <w:pPr>
        <w:rPr>
          <w:rFonts w:hint="eastAsia" w:ascii="宋体" w:hAnsi="宋体" w:eastAsia="宋体" w:cs="宋体"/>
          <w:lang w:val="en-US" w:eastAsia="zh-CN"/>
        </w:rPr>
      </w:pPr>
    </w:p>
    <w:p w14:paraId="0E5278BB">
      <w:pPr>
        <w:rPr>
          <w:rFonts w:hint="eastAsia" w:ascii="宋体" w:hAnsi="宋体" w:eastAsia="宋体" w:cs="宋体"/>
          <w:lang w:val="en-US" w:eastAsia="zh-CN"/>
        </w:rPr>
      </w:pPr>
    </w:p>
    <w:p w14:paraId="05418F16">
      <w:pPr>
        <w:rPr>
          <w:rFonts w:hint="eastAsia" w:ascii="宋体" w:hAnsi="宋体" w:eastAsia="宋体" w:cs="宋体"/>
          <w:lang w:val="en-US" w:eastAsia="zh-CN"/>
        </w:rPr>
      </w:pPr>
    </w:p>
    <w:p w14:paraId="0E7CDE14">
      <w:pPr>
        <w:rPr>
          <w:rFonts w:hint="eastAsia" w:ascii="宋体" w:hAnsi="宋体" w:eastAsia="宋体" w:cs="宋体"/>
          <w:lang w:val="en-US" w:eastAsia="zh-CN"/>
        </w:rPr>
      </w:pPr>
    </w:p>
    <w:p w14:paraId="4F337BC7">
      <w:pPr>
        <w:rPr>
          <w:rFonts w:hint="eastAsia" w:ascii="宋体" w:hAnsi="宋体" w:eastAsia="宋体" w:cs="宋体"/>
          <w:lang w:val="en-US" w:eastAsia="zh-CN"/>
        </w:rPr>
      </w:pPr>
    </w:p>
    <w:p w14:paraId="18341E03">
      <w:pPr>
        <w:rPr>
          <w:rFonts w:hint="eastAsia" w:ascii="宋体" w:hAnsi="宋体" w:eastAsia="宋体" w:cs="宋体"/>
          <w:lang w:val="en-US" w:eastAsia="zh-CN"/>
        </w:rPr>
      </w:pPr>
    </w:p>
    <w:p w14:paraId="08C5D025">
      <w:pPr>
        <w:rPr>
          <w:rFonts w:hint="eastAsia" w:ascii="宋体" w:hAnsi="宋体" w:eastAsia="宋体" w:cs="宋体"/>
          <w:lang w:val="en-US" w:eastAsia="zh-CN"/>
        </w:rPr>
      </w:pPr>
    </w:p>
    <w:p w14:paraId="60E4F355">
      <w:pPr>
        <w:rPr>
          <w:rFonts w:hint="eastAsia" w:ascii="宋体" w:hAnsi="宋体" w:eastAsia="宋体" w:cs="宋体"/>
          <w:lang w:val="en-US" w:eastAsia="zh-CN"/>
        </w:rPr>
      </w:pPr>
    </w:p>
    <w:p w14:paraId="16DC5CE9">
      <w:pPr>
        <w:rPr>
          <w:rFonts w:hint="eastAsia" w:ascii="宋体" w:hAnsi="宋体" w:eastAsia="宋体" w:cs="宋体"/>
          <w:lang w:val="en-US" w:eastAsia="zh-CN"/>
        </w:rPr>
      </w:pPr>
    </w:p>
    <w:p w14:paraId="73C0D8BB">
      <w:pPr>
        <w:rPr>
          <w:rFonts w:hint="eastAsia" w:ascii="宋体" w:hAnsi="宋体" w:eastAsia="宋体" w:cs="宋体"/>
          <w:lang w:val="en-US" w:eastAsia="zh-CN"/>
        </w:rPr>
      </w:pPr>
    </w:p>
    <w:p w14:paraId="25030356">
      <w:pPr>
        <w:rPr>
          <w:rFonts w:hint="eastAsia" w:ascii="宋体" w:hAnsi="宋体" w:eastAsia="宋体" w:cs="宋体"/>
          <w:lang w:val="en-US" w:eastAsia="zh-CN"/>
        </w:rPr>
      </w:pPr>
    </w:p>
    <w:p w14:paraId="78ECDF99">
      <w:pPr>
        <w:rPr>
          <w:rFonts w:hint="eastAsia" w:ascii="宋体" w:hAnsi="宋体" w:eastAsia="宋体" w:cs="宋体"/>
          <w:lang w:val="en-US" w:eastAsia="zh-CN"/>
        </w:rPr>
      </w:pPr>
    </w:p>
    <w:p w14:paraId="54299BD2">
      <w:pPr>
        <w:rPr>
          <w:rFonts w:hint="eastAsia" w:ascii="宋体" w:hAnsi="宋体" w:eastAsia="宋体" w:cs="宋体"/>
          <w:lang w:val="en-US" w:eastAsia="zh-CN"/>
        </w:rPr>
      </w:pPr>
    </w:p>
    <w:p w14:paraId="53B52D89">
      <w:pPr>
        <w:pStyle w:val="3"/>
        <w:tabs>
          <w:tab w:val="left" w:pos="885"/>
        </w:tabs>
        <w:wordWrap w:val="0"/>
        <w:autoSpaceDE/>
        <w:autoSpaceDN/>
        <w:snapToGrid w:val="0"/>
        <w:spacing w:line="360" w:lineRule="auto"/>
        <w:ind w:left="885" w:hanging="885"/>
        <w:jc w:val="center"/>
        <w:rPr>
          <w:rFonts w:hint="eastAsia" w:ascii="宋体" w:hAnsi="宋体" w:eastAsia="宋体" w:cs="宋体"/>
          <w:b/>
          <w:snapToGrid w:val="0"/>
          <w:color w:val="auto"/>
          <w:kern w:val="0"/>
          <w:highlight w:val="none"/>
        </w:rPr>
      </w:pPr>
      <w:bookmarkStart w:id="225" w:name="_Toc10521"/>
      <w:bookmarkStart w:id="226" w:name="_Toc27525"/>
      <w:r>
        <w:rPr>
          <w:rFonts w:hint="eastAsia" w:ascii="宋体" w:hAnsi="宋体" w:eastAsia="宋体" w:cs="宋体"/>
          <w:b/>
          <w:snapToGrid w:val="0"/>
          <w:color w:val="auto"/>
          <w:sz w:val="24"/>
          <w:highlight w:val="none"/>
        </w:rPr>
        <w:t>第四章</w:t>
      </w:r>
      <w:bookmarkStart w:id="227" w:name="_Hlt87793853"/>
      <w:bookmarkEnd w:id="227"/>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技术要求</w:t>
      </w:r>
      <w:bookmarkEnd w:id="225"/>
      <w:bookmarkEnd w:id="226"/>
      <w:bookmarkStart w:id="228" w:name="_Hlt69265216"/>
      <w:bookmarkEnd w:id="228"/>
      <w:bookmarkStart w:id="229" w:name="_Hlt68774758"/>
      <w:bookmarkEnd w:id="229"/>
      <w:bookmarkStart w:id="230" w:name="_Hlt75685840"/>
      <w:bookmarkEnd w:id="230"/>
      <w:bookmarkStart w:id="231" w:name="_Hlt80411122"/>
      <w:bookmarkEnd w:id="231"/>
      <w:bookmarkStart w:id="232" w:name="_Hlt66104926"/>
      <w:bookmarkEnd w:id="232"/>
      <w:bookmarkStart w:id="233" w:name="_Hlt69357851"/>
      <w:bookmarkEnd w:id="233"/>
      <w:bookmarkStart w:id="234" w:name="_Hlt87793370"/>
      <w:bookmarkEnd w:id="234"/>
      <w:bookmarkStart w:id="235" w:name="_Hlt69358207"/>
      <w:bookmarkEnd w:id="235"/>
      <w:bookmarkStart w:id="236" w:name="_Hlt69116854"/>
      <w:bookmarkEnd w:id="236"/>
      <w:bookmarkStart w:id="237" w:name="_Hlt87793346"/>
      <w:bookmarkEnd w:id="237"/>
      <w:bookmarkStart w:id="238" w:name="_Hlt69359335"/>
      <w:bookmarkEnd w:id="238"/>
    </w:p>
    <w:p w14:paraId="734D1832">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39" w:name="_Toc26090"/>
      <w:bookmarkStart w:id="240" w:name="_Toc17047"/>
      <w:r>
        <w:rPr>
          <w:rFonts w:hint="eastAsia" w:ascii="宋体" w:hAnsi="宋体" w:eastAsia="宋体" w:cs="宋体"/>
          <w:b/>
          <w:bCs/>
          <w:color w:val="auto"/>
          <w:spacing w:val="-11"/>
          <w:sz w:val="24"/>
          <w:szCs w:val="24"/>
          <w:highlight w:val="none"/>
          <w:lang w:val="en-US" w:eastAsia="zh-CN"/>
        </w:rPr>
        <w:t>1.房屋建筑工程建设项目</w:t>
      </w:r>
      <w:bookmarkEnd w:id="239"/>
      <w:bookmarkEnd w:id="240"/>
    </w:p>
    <w:p w14:paraId="218F8398">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bookmarkStart w:id="241" w:name="_Hlt69358458"/>
      <w:bookmarkEnd w:id="241"/>
      <w:bookmarkStart w:id="242" w:name="_Hlt69116858"/>
      <w:bookmarkEnd w:id="242"/>
      <w:bookmarkStart w:id="243" w:name="_Hlt69359086"/>
      <w:bookmarkEnd w:id="243"/>
      <w:bookmarkStart w:id="244" w:name="_Hlt69359245"/>
      <w:bookmarkEnd w:id="244"/>
      <w:bookmarkStart w:id="245" w:name="_Hlt78709799"/>
      <w:bookmarkEnd w:id="245"/>
      <w:bookmarkStart w:id="246" w:name="_Hlt69635252"/>
      <w:bookmarkEnd w:id="246"/>
      <w:bookmarkStart w:id="247" w:name="_Hlt69359243"/>
      <w:bookmarkEnd w:id="247"/>
      <w:r>
        <w:rPr>
          <w:rFonts w:hint="eastAsia" w:ascii="宋体" w:hAnsi="宋体" w:eastAsia="宋体" w:cs="宋体"/>
          <w:bCs/>
          <w:snapToGrid w:val="0"/>
          <w:color w:val="auto"/>
          <w:kern w:val="0"/>
          <w:sz w:val="24"/>
          <w:szCs w:val="24"/>
          <w:highlight w:val="none"/>
        </w:rPr>
        <w:t>房屋建筑工程建设项目必须执行的现行技术规范，包括且不限于：</w:t>
      </w:r>
    </w:p>
    <w:p w14:paraId="4E5A4EB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（1）《建筑工程施工质量验收统一标准》；</w:t>
      </w:r>
    </w:p>
    <w:p w14:paraId="51C3229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（2）《建筑地基基础工程施工质量验收规范》；</w:t>
      </w:r>
    </w:p>
    <w:p w14:paraId="35B95C0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（3）《砌体工程施工质量验收规范》；</w:t>
      </w:r>
    </w:p>
    <w:p w14:paraId="43D0081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（4）《混凝土结构工程施工质量验收规范》；</w:t>
      </w:r>
    </w:p>
    <w:p w14:paraId="6C4C169B">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（5）《屋面工程质量验收规范》；</w:t>
      </w:r>
    </w:p>
    <w:p w14:paraId="6612E9C8">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（6）《地下防水工程质量验收规范》；</w:t>
      </w:r>
    </w:p>
    <w:p w14:paraId="070A69D2">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（7）《建筑地面工程施工质量验收规范》；</w:t>
      </w:r>
    </w:p>
    <w:p w14:paraId="18D7882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（8）《建筑装饰装修工程施工质量验收规范》；</w:t>
      </w:r>
    </w:p>
    <w:p w14:paraId="5AA4B15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（9）《建筑给排水及采暖工程施工质量验收规范》；</w:t>
      </w:r>
    </w:p>
    <w:p w14:paraId="2A65A6B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（10）《建筑电气工程施工质量验收规范》；</w:t>
      </w:r>
    </w:p>
    <w:p w14:paraId="6DBB2AD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（11）《住建部绿色建筑评价标准》；</w:t>
      </w:r>
    </w:p>
    <w:p w14:paraId="3DA12AF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（12）《建筑节能与可再生能源利用通用规范》（GB55015-2021）；</w:t>
      </w:r>
    </w:p>
    <w:p w14:paraId="398E5EF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8" w:name="_Toc2709"/>
      <w:r>
        <w:rPr>
          <w:rFonts w:hint="eastAsia" w:ascii="宋体" w:hAnsi="宋体" w:eastAsia="宋体" w:cs="宋体"/>
          <w:bCs/>
          <w:snapToGrid w:val="0"/>
          <w:color w:val="auto"/>
          <w:kern w:val="0"/>
          <w:sz w:val="24"/>
          <w:szCs w:val="24"/>
          <w:highlight w:val="none"/>
          <w:lang w:val="en-US" w:eastAsia="zh-CN"/>
        </w:rPr>
        <w:t>（13）《建筑环境通用规范》；</w:t>
      </w:r>
      <w:bookmarkEnd w:id="248"/>
    </w:p>
    <w:p w14:paraId="031802A8">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（14）《建筑与市政工程无障碍通用规范》 GB 55019-2021；</w:t>
      </w:r>
    </w:p>
    <w:p w14:paraId="3D94675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49" w:name="_Toc11217"/>
      <w:r>
        <w:rPr>
          <w:rFonts w:hint="eastAsia" w:ascii="宋体" w:hAnsi="宋体" w:eastAsia="宋体" w:cs="宋体"/>
          <w:bCs/>
          <w:snapToGrid w:val="0"/>
          <w:color w:val="auto"/>
          <w:kern w:val="0"/>
          <w:sz w:val="24"/>
          <w:szCs w:val="24"/>
          <w:highlight w:val="none"/>
          <w:lang w:val="en-US" w:eastAsia="zh-CN"/>
        </w:rPr>
        <w:t>（15）《建筑防火通用规范》GB 55037-2022；</w:t>
      </w:r>
      <w:bookmarkEnd w:id="249"/>
    </w:p>
    <w:p w14:paraId="2947DFF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（16）《建筑与市政工程抗震通用规范》GB55002-2001；</w:t>
      </w:r>
    </w:p>
    <w:p w14:paraId="46BF576B">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（17）《建筑与市政地基基础通用规范》GB55003-2001；</w:t>
      </w:r>
    </w:p>
    <w:p w14:paraId="098A9110">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（18）《广东省住房和城乡建设厅绿色施工导则》；</w:t>
      </w:r>
    </w:p>
    <w:p w14:paraId="1DDCA89D">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（19）《广东省建筑工程绿色施工评价标准》；</w:t>
      </w:r>
    </w:p>
    <w:p w14:paraId="663B1A0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（20）《广东省建筑节能与绿色建筑工程施工质量验收规范》；</w:t>
      </w:r>
    </w:p>
    <w:p w14:paraId="4804FA7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lang w:val="en-US" w:eastAsia="zh-CN"/>
        </w:rPr>
        <w:t>（21）其他现行国家、广东省关于房建工程的施工及验收规范、定额、规程、标准。</w:t>
      </w:r>
    </w:p>
    <w:p w14:paraId="59DEDCF1">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50" w:name="_Toc30825"/>
      <w:bookmarkStart w:id="251" w:name="_Toc30106"/>
      <w:r>
        <w:rPr>
          <w:rFonts w:hint="eastAsia" w:ascii="宋体" w:hAnsi="宋体" w:eastAsia="宋体" w:cs="宋体"/>
          <w:b/>
          <w:bCs/>
          <w:color w:val="auto"/>
          <w:spacing w:val="-11"/>
          <w:sz w:val="24"/>
          <w:szCs w:val="24"/>
          <w:highlight w:val="none"/>
          <w:lang w:val="en-US" w:eastAsia="zh-CN"/>
        </w:rPr>
        <w:t>2.市政基础设施工程建设项目</w:t>
      </w:r>
      <w:bookmarkEnd w:id="250"/>
      <w:bookmarkEnd w:id="251"/>
    </w:p>
    <w:p w14:paraId="2CEB27A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市政基础设施工程建设项目必须执行的现行技术规范，包括且不限于：</w:t>
      </w:r>
    </w:p>
    <w:p w14:paraId="558C1C0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（1）《公路路基施工技术规范》；</w:t>
      </w:r>
    </w:p>
    <w:p w14:paraId="482B841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（2）《市政道路工程质量检验评定标准》；</w:t>
      </w:r>
    </w:p>
    <w:p w14:paraId="524F194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（3）《市政排水管渠工程质量检验评定标准》；</w:t>
      </w:r>
    </w:p>
    <w:p w14:paraId="607991AD">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（4）《给水排水管道工程施工及验收规范》；</w:t>
      </w:r>
    </w:p>
    <w:p w14:paraId="52AF8649">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2" w:name="_Toc28136"/>
      <w:r>
        <w:rPr>
          <w:rFonts w:hint="eastAsia" w:ascii="宋体" w:hAnsi="宋体" w:eastAsia="宋体" w:cs="宋体"/>
          <w:bCs/>
          <w:snapToGrid w:val="0"/>
          <w:color w:val="auto"/>
          <w:kern w:val="0"/>
          <w:sz w:val="24"/>
          <w:szCs w:val="24"/>
          <w:highlight w:val="none"/>
          <w:lang w:val="en-US" w:eastAsia="zh-CN"/>
        </w:rPr>
        <w:t>（5）《城市道路路基工程施工及验收规范》；</w:t>
      </w:r>
      <w:bookmarkEnd w:id="252"/>
    </w:p>
    <w:p w14:paraId="25D5746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3" w:name="_Toc30468"/>
      <w:r>
        <w:rPr>
          <w:rFonts w:hint="eastAsia" w:ascii="宋体" w:hAnsi="宋体" w:eastAsia="宋体" w:cs="宋体"/>
          <w:bCs/>
          <w:snapToGrid w:val="0"/>
          <w:color w:val="auto"/>
          <w:kern w:val="0"/>
          <w:sz w:val="24"/>
          <w:szCs w:val="24"/>
          <w:highlight w:val="none"/>
          <w:lang w:val="en-US" w:eastAsia="zh-CN"/>
        </w:rPr>
        <w:t>（6）《水泥砼路面施工及验收规范》；</w:t>
      </w:r>
      <w:bookmarkEnd w:id="253"/>
      <w:bookmarkStart w:id="254" w:name="_Toc27799"/>
    </w:p>
    <w:p w14:paraId="74C6897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（7）《公路水泥砼路面施工技术规范》；</w:t>
      </w:r>
      <w:bookmarkEnd w:id="254"/>
    </w:p>
    <w:p w14:paraId="19CC251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5" w:name="_Toc12308"/>
      <w:r>
        <w:rPr>
          <w:rFonts w:hint="eastAsia" w:ascii="宋体" w:hAnsi="宋体" w:eastAsia="宋体" w:cs="宋体"/>
          <w:bCs/>
          <w:snapToGrid w:val="0"/>
          <w:color w:val="auto"/>
          <w:kern w:val="0"/>
          <w:sz w:val="24"/>
          <w:szCs w:val="24"/>
          <w:highlight w:val="none"/>
          <w:lang w:val="en-US" w:eastAsia="zh-CN"/>
        </w:rPr>
        <w:t>（8）《埋地硬聚氯乙烯排水管道工程技术规程》；</w:t>
      </w:r>
      <w:bookmarkEnd w:id="255"/>
    </w:p>
    <w:p w14:paraId="34D4253E">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6" w:name="_Toc13357"/>
      <w:r>
        <w:rPr>
          <w:rFonts w:hint="eastAsia" w:ascii="宋体" w:hAnsi="宋体" w:eastAsia="宋体" w:cs="宋体"/>
          <w:bCs/>
          <w:snapToGrid w:val="0"/>
          <w:color w:val="auto"/>
          <w:kern w:val="0"/>
          <w:sz w:val="24"/>
          <w:szCs w:val="24"/>
          <w:highlight w:val="none"/>
          <w:lang w:val="en-US" w:eastAsia="zh-CN"/>
        </w:rPr>
        <w:t>（9）《沥青路面施工及验收规范》；</w:t>
      </w:r>
      <w:bookmarkEnd w:id="256"/>
    </w:p>
    <w:p w14:paraId="010FCBBB">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7" w:name="_Toc19104"/>
      <w:r>
        <w:rPr>
          <w:rFonts w:hint="eastAsia" w:ascii="宋体" w:hAnsi="宋体" w:eastAsia="宋体" w:cs="宋体"/>
          <w:bCs/>
          <w:snapToGrid w:val="0"/>
          <w:color w:val="auto"/>
          <w:kern w:val="0"/>
          <w:sz w:val="24"/>
          <w:szCs w:val="24"/>
          <w:highlight w:val="none"/>
          <w:lang w:val="en-US" w:eastAsia="zh-CN"/>
        </w:rPr>
        <w:t>（10）《广东省市政工程施工质量技术资料统一用表》。</w:t>
      </w:r>
      <w:bookmarkEnd w:id="257"/>
    </w:p>
    <w:p w14:paraId="6F64952B">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8" w:name="_Toc13247"/>
      <w:r>
        <w:rPr>
          <w:rFonts w:hint="eastAsia" w:ascii="宋体" w:hAnsi="宋体" w:eastAsia="宋体" w:cs="宋体"/>
          <w:bCs/>
          <w:snapToGrid w:val="0"/>
          <w:color w:val="auto"/>
          <w:kern w:val="0"/>
          <w:sz w:val="24"/>
          <w:szCs w:val="24"/>
          <w:highlight w:val="none"/>
          <w:lang w:val="en-US" w:eastAsia="zh-CN"/>
        </w:rPr>
        <w:t>（11）《建筑与市政工程无障碍通用规范》 GB 55019-2021；</w:t>
      </w:r>
      <w:bookmarkEnd w:id="258"/>
    </w:p>
    <w:p w14:paraId="1E71A5A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59" w:name="_Toc29931"/>
      <w:r>
        <w:rPr>
          <w:rFonts w:hint="eastAsia" w:ascii="宋体" w:hAnsi="宋体" w:eastAsia="宋体" w:cs="宋体"/>
          <w:bCs/>
          <w:snapToGrid w:val="0"/>
          <w:color w:val="auto"/>
          <w:kern w:val="0"/>
          <w:sz w:val="24"/>
          <w:szCs w:val="24"/>
          <w:highlight w:val="none"/>
          <w:lang w:val="en-US" w:eastAsia="zh-CN"/>
        </w:rPr>
        <w:t>（12）《建筑防火通用规范》GB 55037-2022</w:t>
      </w:r>
      <w:bookmarkEnd w:id="259"/>
      <w:r>
        <w:rPr>
          <w:rFonts w:hint="eastAsia" w:ascii="宋体" w:hAnsi="宋体" w:eastAsia="宋体" w:cs="宋体"/>
          <w:bCs/>
          <w:snapToGrid w:val="0"/>
          <w:color w:val="auto"/>
          <w:kern w:val="0"/>
          <w:sz w:val="24"/>
          <w:szCs w:val="24"/>
          <w:highlight w:val="none"/>
          <w:lang w:val="en-US" w:eastAsia="zh-CN"/>
        </w:rPr>
        <w:t>；</w:t>
      </w:r>
    </w:p>
    <w:p w14:paraId="0A32268F">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0" w:name="_Toc30206"/>
      <w:r>
        <w:rPr>
          <w:rFonts w:hint="eastAsia" w:ascii="宋体" w:hAnsi="宋体" w:eastAsia="宋体" w:cs="宋体"/>
          <w:bCs/>
          <w:snapToGrid w:val="0"/>
          <w:color w:val="auto"/>
          <w:kern w:val="0"/>
          <w:sz w:val="24"/>
          <w:szCs w:val="24"/>
          <w:highlight w:val="none"/>
          <w:lang w:val="en-US" w:eastAsia="zh-CN"/>
        </w:rPr>
        <w:t>（13）《建筑与市政工程抗震通用规范》GB55002-2001</w:t>
      </w:r>
      <w:bookmarkEnd w:id="260"/>
      <w:r>
        <w:rPr>
          <w:rFonts w:hint="eastAsia" w:ascii="宋体" w:hAnsi="宋体" w:eastAsia="宋体" w:cs="宋体"/>
          <w:bCs/>
          <w:snapToGrid w:val="0"/>
          <w:color w:val="auto"/>
          <w:kern w:val="0"/>
          <w:sz w:val="24"/>
          <w:szCs w:val="24"/>
          <w:highlight w:val="none"/>
          <w:lang w:val="en-US" w:eastAsia="zh-CN"/>
        </w:rPr>
        <w:t>；</w:t>
      </w:r>
    </w:p>
    <w:p w14:paraId="298D3072">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1" w:name="_Toc13940"/>
      <w:r>
        <w:rPr>
          <w:rFonts w:hint="eastAsia" w:ascii="宋体" w:hAnsi="宋体" w:eastAsia="宋体" w:cs="宋体"/>
          <w:bCs/>
          <w:snapToGrid w:val="0"/>
          <w:color w:val="auto"/>
          <w:kern w:val="0"/>
          <w:sz w:val="24"/>
          <w:szCs w:val="24"/>
          <w:highlight w:val="none"/>
          <w:lang w:val="en-US" w:eastAsia="zh-CN"/>
        </w:rPr>
        <w:t>（14）《建筑与市政地基基础通用规范》GB55003-200</w:t>
      </w:r>
      <w:bookmarkEnd w:id="261"/>
      <w:r>
        <w:rPr>
          <w:rFonts w:hint="eastAsia" w:ascii="宋体" w:hAnsi="宋体" w:eastAsia="宋体" w:cs="宋体"/>
          <w:bCs/>
          <w:snapToGrid w:val="0"/>
          <w:color w:val="auto"/>
          <w:kern w:val="0"/>
          <w:sz w:val="24"/>
          <w:szCs w:val="24"/>
          <w:highlight w:val="none"/>
          <w:lang w:val="en-US" w:eastAsia="zh-CN"/>
        </w:rPr>
        <w:t>；</w:t>
      </w:r>
    </w:p>
    <w:p w14:paraId="7F5C686A">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2" w:name="_Toc13747"/>
      <w:r>
        <w:rPr>
          <w:rFonts w:hint="eastAsia" w:ascii="宋体" w:hAnsi="宋体" w:eastAsia="宋体" w:cs="宋体"/>
          <w:bCs/>
          <w:snapToGrid w:val="0"/>
          <w:color w:val="auto"/>
          <w:kern w:val="0"/>
          <w:sz w:val="24"/>
          <w:szCs w:val="24"/>
          <w:highlight w:val="none"/>
          <w:lang w:val="en-US" w:eastAsia="zh-CN"/>
        </w:rPr>
        <w:t>（15）《城市道路照明设计标准》（CJJ45-2015）；</w:t>
      </w:r>
      <w:bookmarkEnd w:id="262"/>
    </w:p>
    <w:p w14:paraId="0F139841">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3" w:name="_Toc4862"/>
      <w:r>
        <w:rPr>
          <w:rFonts w:hint="eastAsia" w:ascii="宋体" w:hAnsi="宋体" w:eastAsia="宋体" w:cs="宋体"/>
          <w:bCs/>
          <w:snapToGrid w:val="0"/>
          <w:color w:val="auto"/>
          <w:kern w:val="0"/>
          <w:sz w:val="24"/>
          <w:szCs w:val="24"/>
          <w:highlight w:val="none"/>
          <w:lang w:val="en-US" w:eastAsia="zh-CN"/>
        </w:rPr>
        <w:t>（16）《低压配电设计规范》（GB50054-2011）；</w:t>
      </w:r>
      <w:bookmarkEnd w:id="263"/>
    </w:p>
    <w:p w14:paraId="521230EA">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4" w:name="_Toc21300"/>
      <w:r>
        <w:rPr>
          <w:rFonts w:hint="eastAsia" w:ascii="宋体" w:hAnsi="宋体" w:eastAsia="宋体" w:cs="宋体"/>
          <w:bCs/>
          <w:snapToGrid w:val="0"/>
          <w:color w:val="auto"/>
          <w:kern w:val="0"/>
          <w:sz w:val="24"/>
          <w:szCs w:val="24"/>
          <w:highlight w:val="none"/>
          <w:lang w:val="en-US" w:eastAsia="zh-CN"/>
        </w:rPr>
        <w:t>（17）《城市道路照明工程施工及验收规程》（CJJ89-2012）；</w:t>
      </w:r>
      <w:bookmarkEnd w:id="264"/>
    </w:p>
    <w:p w14:paraId="5DA9A4A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5" w:name="_Toc3776"/>
      <w:r>
        <w:rPr>
          <w:rFonts w:hint="eastAsia" w:ascii="宋体" w:hAnsi="宋体" w:eastAsia="宋体" w:cs="宋体"/>
          <w:bCs/>
          <w:snapToGrid w:val="0"/>
          <w:color w:val="auto"/>
          <w:kern w:val="0"/>
          <w:sz w:val="24"/>
          <w:szCs w:val="24"/>
          <w:highlight w:val="none"/>
          <w:lang w:val="en-US" w:eastAsia="zh-CN"/>
        </w:rPr>
        <w:t>（18）《LED 道路照明工程技术规范》（DB44/T 1898-2016）；</w:t>
      </w:r>
      <w:bookmarkEnd w:id="265"/>
    </w:p>
    <w:p w14:paraId="026D962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6" w:name="_Toc6724"/>
      <w:r>
        <w:rPr>
          <w:rFonts w:hint="eastAsia" w:ascii="宋体" w:hAnsi="宋体" w:eastAsia="宋体" w:cs="宋体"/>
          <w:bCs/>
          <w:snapToGrid w:val="0"/>
          <w:color w:val="auto"/>
          <w:kern w:val="0"/>
          <w:sz w:val="24"/>
          <w:szCs w:val="24"/>
          <w:highlight w:val="none"/>
          <w:lang w:val="en-US" w:eastAsia="zh-CN"/>
        </w:rPr>
        <w:t>（19）《灯具第 1 部分：一般要求与试验》（GB7000.1-2015）；</w:t>
      </w:r>
      <w:bookmarkEnd w:id="266"/>
    </w:p>
    <w:p w14:paraId="62E09E9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7" w:name="_Toc25902"/>
      <w:r>
        <w:rPr>
          <w:rFonts w:hint="eastAsia" w:ascii="宋体" w:hAnsi="宋体" w:eastAsia="宋体" w:cs="宋体"/>
          <w:bCs/>
          <w:snapToGrid w:val="0"/>
          <w:color w:val="auto"/>
          <w:kern w:val="0"/>
          <w:sz w:val="24"/>
          <w:szCs w:val="24"/>
          <w:highlight w:val="none"/>
          <w:lang w:val="en-US" w:eastAsia="zh-CN"/>
        </w:rPr>
        <w:t>（20）《电缆工程电缆设计标准》（GB50217-2018）；</w:t>
      </w:r>
      <w:bookmarkEnd w:id="267"/>
    </w:p>
    <w:p w14:paraId="2D969733">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68" w:name="_Toc1090"/>
      <w:r>
        <w:rPr>
          <w:rFonts w:hint="eastAsia" w:ascii="宋体" w:hAnsi="宋体" w:eastAsia="宋体" w:cs="宋体"/>
          <w:bCs/>
          <w:snapToGrid w:val="0"/>
          <w:color w:val="auto"/>
          <w:kern w:val="0"/>
          <w:sz w:val="24"/>
          <w:szCs w:val="24"/>
          <w:highlight w:val="none"/>
          <w:lang w:val="en-US" w:eastAsia="zh-CN"/>
        </w:rPr>
        <w:t>（21）其他现行国家、广东省关于市政工程的技术及验收规范、定额、规程、标准。</w:t>
      </w:r>
      <w:bookmarkEnd w:id="268"/>
    </w:p>
    <w:p w14:paraId="7F176370">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69" w:name="_Toc3836"/>
      <w:bookmarkStart w:id="270" w:name="_Toc11550"/>
      <w:r>
        <w:rPr>
          <w:rFonts w:hint="eastAsia" w:ascii="宋体" w:hAnsi="宋体" w:eastAsia="宋体" w:cs="宋体"/>
          <w:b/>
          <w:bCs/>
          <w:color w:val="auto"/>
          <w:spacing w:val="-11"/>
          <w:sz w:val="24"/>
          <w:szCs w:val="24"/>
          <w:highlight w:val="none"/>
          <w:lang w:val="en-US" w:eastAsia="zh-CN"/>
        </w:rPr>
        <w:t>3.备查要求</w:t>
      </w:r>
      <w:bookmarkEnd w:id="269"/>
      <w:bookmarkEnd w:id="270"/>
    </w:p>
    <w:p w14:paraId="7C248B02">
      <w:pPr>
        <w:wordWrap w:val="0"/>
        <w:adjustRightInd w:val="0"/>
        <w:snapToGrid w:val="0"/>
        <w:spacing w:line="360" w:lineRule="auto"/>
        <w:ind w:firstLine="560"/>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人必须在施工现场准备至少一套上述规范，</w:t>
      </w:r>
      <w:r>
        <w:rPr>
          <w:rFonts w:hint="eastAsia" w:ascii="宋体" w:hAnsi="宋体" w:eastAsia="宋体" w:cs="宋体"/>
          <w:snapToGrid w:val="0"/>
          <w:color w:val="auto"/>
          <w:kern w:val="0"/>
          <w:sz w:val="24"/>
          <w:szCs w:val="24"/>
          <w:highlight w:val="none"/>
        </w:rPr>
        <w:t>发包</w:t>
      </w:r>
      <w:r>
        <w:rPr>
          <w:rFonts w:hint="eastAsia" w:ascii="宋体" w:hAnsi="宋体" w:eastAsia="宋体" w:cs="宋体"/>
          <w:bCs/>
          <w:snapToGrid w:val="0"/>
          <w:color w:val="auto"/>
          <w:kern w:val="0"/>
          <w:sz w:val="24"/>
          <w:szCs w:val="24"/>
          <w:highlight w:val="none"/>
        </w:rPr>
        <w:t>人和监理单位可随时检查</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人的上述规范，并监督</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人按规范要求执行</w:t>
      </w:r>
      <w:bookmarkStart w:id="271" w:name="_Hlt69670335"/>
      <w:bookmarkEnd w:id="271"/>
      <w:r>
        <w:rPr>
          <w:rFonts w:hint="eastAsia" w:ascii="宋体" w:hAnsi="宋体" w:eastAsia="宋体" w:cs="宋体"/>
          <w:bCs/>
          <w:snapToGrid w:val="0"/>
          <w:color w:val="auto"/>
          <w:kern w:val="0"/>
          <w:sz w:val="24"/>
          <w:szCs w:val="24"/>
          <w:highlight w:val="none"/>
          <w:lang w:eastAsia="zh-CN"/>
        </w:rPr>
        <w:t>。</w:t>
      </w:r>
    </w:p>
    <w:p w14:paraId="272C0D8A">
      <w:pPr>
        <w:rPr>
          <w:rFonts w:hint="eastAsia" w:ascii="宋体" w:hAnsi="宋体" w:eastAsia="宋体" w:cs="宋体"/>
          <w:lang w:eastAsia="zh-CN"/>
        </w:rPr>
      </w:pPr>
    </w:p>
    <w:p w14:paraId="5DF324EC">
      <w:pPr>
        <w:rPr>
          <w:rFonts w:hint="eastAsia" w:ascii="宋体" w:hAnsi="宋体" w:eastAsia="宋体" w:cs="宋体"/>
          <w:lang w:eastAsia="zh-CN"/>
        </w:rPr>
      </w:pPr>
    </w:p>
    <w:p w14:paraId="19FEA4E7">
      <w:pPr>
        <w:rPr>
          <w:rFonts w:hint="eastAsia" w:ascii="宋体" w:hAnsi="宋体" w:eastAsia="宋体" w:cs="宋体"/>
          <w:lang w:eastAsia="zh-CN"/>
        </w:rPr>
      </w:pPr>
    </w:p>
    <w:p w14:paraId="58FBF145">
      <w:pPr>
        <w:rPr>
          <w:rFonts w:hint="eastAsia" w:ascii="宋体" w:hAnsi="宋体" w:eastAsia="宋体" w:cs="宋体"/>
          <w:lang w:eastAsia="zh-CN"/>
        </w:rPr>
      </w:pPr>
    </w:p>
    <w:p w14:paraId="69EF7EFC">
      <w:pPr>
        <w:rPr>
          <w:rFonts w:hint="eastAsia" w:ascii="宋体" w:hAnsi="宋体" w:eastAsia="宋体" w:cs="宋体"/>
          <w:lang w:eastAsia="zh-CN"/>
        </w:rPr>
      </w:pPr>
    </w:p>
    <w:p w14:paraId="0BE24F3A">
      <w:pPr>
        <w:rPr>
          <w:rFonts w:hint="eastAsia" w:ascii="宋体" w:hAnsi="宋体" w:eastAsia="宋体" w:cs="宋体"/>
          <w:lang w:eastAsia="zh-CN"/>
        </w:rPr>
      </w:pPr>
    </w:p>
    <w:p w14:paraId="291010C6">
      <w:pPr>
        <w:rPr>
          <w:rFonts w:hint="eastAsia" w:ascii="宋体" w:hAnsi="宋体" w:eastAsia="宋体" w:cs="宋体"/>
          <w:lang w:eastAsia="zh-CN"/>
        </w:rPr>
      </w:pPr>
    </w:p>
    <w:p w14:paraId="79499EC9">
      <w:pPr>
        <w:rPr>
          <w:rFonts w:hint="eastAsia" w:ascii="宋体" w:hAnsi="宋体" w:eastAsia="宋体" w:cs="宋体"/>
          <w:lang w:eastAsia="zh-CN"/>
        </w:rPr>
      </w:pPr>
    </w:p>
    <w:p w14:paraId="5963324A">
      <w:pPr>
        <w:rPr>
          <w:rFonts w:hint="eastAsia" w:ascii="宋体" w:hAnsi="宋体" w:eastAsia="宋体" w:cs="宋体"/>
          <w:lang w:eastAsia="zh-CN"/>
        </w:rPr>
      </w:pPr>
    </w:p>
    <w:p w14:paraId="3E051E01">
      <w:pPr>
        <w:rPr>
          <w:rFonts w:hint="eastAsia" w:ascii="宋体" w:hAnsi="宋体" w:eastAsia="宋体" w:cs="宋体"/>
          <w:lang w:eastAsia="zh-CN"/>
        </w:rPr>
      </w:pPr>
    </w:p>
    <w:p w14:paraId="3296A7D0">
      <w:pPr>
        <w:rPr>
          <w:rFonts w:hint="eastAsia" w:ascii="宋体" w:hAnsi="宋体" w:eastAsia="宋体" w:cs="宋体"/>
          <w:lang w:eastAsia="zh-CN"/>
        </w:rPr>
      </w:pPr>
    </w:p>
    <w:p w14:paraId="73A36266">
      <w:pPr>
        <w:rPr>
          <w:rFonts w:hint="eastAsia" w:ascii="宋体" w:hAnsi="宋体" w:eastAsia="宋体" w:cs="宋体"/>
          <w:lang w:eastAsia="zh-CN"/>
        </w:rPr>
      </w:pPr>
    </w:p>
    <w:p w14:paraId="5D5C3951">
      <w:pPr>
        <w:rPr>
          <w:rFonts w:hint="eastAsia" w:ascii="宋体" w:hAnsi="宋体" w:eastAsia="宋体" w:cs="宋体"/>
          <w:lang w:eastAsia="zh-CN"/>
        </w:rPr>
      </w:pPr>
    </w:p>
    <w:p w14:paraId="4E10EEC1">
      <w:pPr>
        <w:rPr>
          <w:rFonts w:hint="eastAsia" w:ascii="宋体" w:hAnsi="宋体" w:eastAsia="宋体" w:cs="宋体"/>
          <w:lang w:eastAsia="zh-CN"/>
        </w:rPr>
      </w:pPr>
    </w:p>
    <w:p w14:paraId="187BE5FD">
      <w:pPr>
        <w:rPr>
          <w:rFonts w:hint="eastAsia" w:ascii="宋体" w:hAnsi="宋体" w:eastAsia="宋体" w:cs="宋体"/>
          <w:lang w:eastAsia="zh-CN"/>
        </w:rPr>
      </w:pPr>
    </w:p>
    <w:p w14:paraId="65F8FDE4">
      <w:pPr>
        <w:rPr>
          <w:rFonts w:hint="eastAsia" w:ascii="宋体" w:hAnsi="宋体" w:eastAsia="宋体" w:cs="宋体"/>
          <w:lang w:eastAsia="zh-CN"/>
        </w:rPr>
      </w:pPr>
    </w:p>
    <w:p w14:paraId="27B8E0EE">
      <w:pPr>
        <w:rPr>
          <w:rFonts w:hint="eastAsia" w:ascii="宋体" w:hAnsi="宋体" w:eastAsia="宋体" w:cs="宋体"/>
          <w:lang w:eastAsia="zh-CN"/>
        </w:rPr>
      </w:pPr>
    </w:p>
    <w:p w14:paraId="744B5637">
      <w:pPr>
        <w:rPr>
          <w:rFonts w:hint="eastAsia" w:ascii="宋体" w:hAnsi="宋体" w:eastAsia="宋体" w:cs="宋体"/>
          <w:lang w:eastAsia="zh-CN"/>
        </w:rPr>
      </w:pPr>
    </w:p>
    <w:p w14:paraId="3BBD4F7B">
      <w:pPr>
        <w:pStyle w:val="3"/>
        <w:keepNext w:val="0"/>
        <w:keepLines w:val="0"/>
        <w:pageBreakBefore w:val="0"/>
        <w:widowControl w:val="0"/>
        <w:tabs>
          <w:tab w:val="left" w:pos="885"/>
        </w:tabs>
        <w:kinsoku/>
        <w:wordWrap w:val="0"/>
        <w:overflowPunct/>
        <w:topLinePunct w:val="0"/>
        <w:autoSpaceDE/>
        <w:autoSpaceDN/>
        <w:bidi w:val="0"/>
        <w:adjustRightInd w:val="0"/>
        <w:snapToGrid w:val="0"/>
        <w:spacing w:line="360" w:lineRule="auto"/>
        <w:jc w:val="center"/>
        <w:textAlignment w:val="auto"/>
        <w:rPr>
          <w:rFonts w:hint="eastAsia" w:ascii="宋体" w:hAnsi="宋体" w:eastAsia="宋体" w:cs="宋体"/>
          <w:b/>
          <w:snapToGrid w:val="0"/>
          <w:color w:val="auto"/>
          <w:sz w:val="24"/>
          <w:highlight w:val="none"/>
        </w:rPr>
      </w:pPr>
      <w:bookmarkStart w:id="272" w:name="_Toc30652"/>
      <w:bookmarkStart w:id="273" w:name="_Toc26952"/>
      <w:r>
        <w:rPr>
          <w:rFonts w:hint="eastAsia" w:ascii="宋体" w:hAnsi="宋体" w:eastAsia="宋体" w:cs="宋体"/>
          <w:b/>
          <w:snapToGrid w:val="0"/>
          <w:color w:val="auto"/>
          <w:sz w:val="24"/>
          <w:highlight w:val="none"/>
        </w:rPr>
        <w:t>第五章</w:t>
      </w:r>
      <w:bookmarkStart w:id="274" w:name="_Hlt87793860"/>
      <w:bookmarkEnd w:id="274"/>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图纸和招标工程</w:t>
      </w:r>
      <w:bookmarkStart w:id="275" w:name="_Hlt69669215"/>
      <w:bookmarkEnd w:id="275"/>
      <w:r>
        <w:rPr>
          <w:rFonts w:hint="eastAsia" w:ascii="宋体" w:hAnsi="宋体" w:eastAsia="宋体" w:cs="宋体"/>
          <w:b/>
          <w:snapToGrid w:val="0"/>
          <w:color w:val="auto"/>
          <w:sz w:val="24"/>
          <w:highlight w:val="none"/>
        </w:rPr>
        <w:t>量清单</w:t>
      </w:r>
      <w:bookmarkEnd w:id="272"/>
      <w:bookmarkEnd w:id="273"/>
    </w:p>
    <w:p w14:paraId="30EC7900">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ascii="宋体" w:hAnsi="宋体" w:eastAsia="宋体" w:cs="宋体"/>
          <w:b/>
          <w:bCs/>
          <w:snapToGrid w:val="0"/>
          <w:color w:val="auto"/>
          <w:kern w:val="0"/>
          <w:sz w:val="24"/>
          <w:szCs w:val="24"/>
          <w:highlight w:val="none"/>
        </w:rPr>
      </w:pPr>
      <w:bookmarkStart w:id="276" w:name="_Hlt66104919"/>
      <w:bookmarkEnd w:id="276"/>
      <w:bookmarkStart w:id="277" w:name="_Hlt75747203"/>
      <w:bookmarkEnd w:id="277"/>
      <w:bookmarkStart w:id="278" w:name="_Hlt87793868"/>
      <w:bookmarkEnd w:id="278"/>
      <w:bookmarkStart w:id="279" w:name="_Hlt69669182"/>
      <w:bookmarkEnd w:id="279"/>
      <w:r>
        <w:rPr>
          <w:rFonts w:hint="eastAsia" w:ascii="宋体" w:hAnsi="宋体" w:eastAsia="宋体" w:cs="宋体"/>
          <w:b w:val="0"/>
          <w:bCs w:val="0"/>
          <w:snapToGrid w:val="0"/>
          <w:color w:val="auto"/>
          <w:kern w:val="0"/>
          <w:sz w:val="24"/>
          <w:szCs w:val="24"/>
          <w:highlight w:val="none"/>
          <w:lang w:val="en-US" w:eastAsia="zh-CN"/>
        </w:rPr>
        <w:t>□有，另附复印件        ☑有，自行网上下载(浏览)         □无</w:t>
      </w:r>
    </w:p>
    <w:p w14:paraId="301EE95D">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80" w:name="_Toc2389"/>
      <w:r>
        <w:rPr>
          <w:rFonts w:hint="eastAsia" w:ascii="宋体" w:hAnsi="宋体" w:eastAsia="宋体" w:cs="宋体"/>
          <w:b/>
          <w:bCs/>
          <w:color w:val="auto"/>
          <w:spacing w:val="-11"/>
          <w:sz w:val="24"/>
          <w:szCs w:val="24"/>
          <w:highlight w:val="none"/>
          <w:lang w:val="en-US" w:eastAsia="zh-CN"/>
        </w:rPr>
        <w:t>1.图纸</w:t>
      </w:r>
      <w:bookmarkEnd w:id="280"/>
    </w:p>
    <w:p w14:paraId="07760D9D">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本招标文件随文另附施工图（电子文件）各一套。（注：在投标截止时间15天以前补充公告形式发布）</w:t>
      </w:r>
    </w:p>
    <w:p w14:paraId="055C8AC2">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281" w:name="_Toc30082"/>
      <w:r>
        <w:rPr>
          <w:rFonts w:hint="eastAsia" w:ascii="宋体" w:hAnsi="宋体" w:eastAsia="宋体" w:cs="宋体"/>
          <w:b/>
          <w:bCs/>
          <w:color w:val="auto"/>
          <w:spacing w:val="-11"/>
          <w:sz w:val="24"/>
          <w:szCs w:val="24"/>
          <w:highlight w:val="none"/>
          <w:lang w:val="en-US" w:eastAsia="zh-CN"/>
        </w:rPr>
        <w:t>2.招标工程量清单</w:t>
      </w:r>
      <w:bookmarkEnd w:id="281"/>
    </w:p>
    <w:p w14:paraId="6D1595F6">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Cs/>
          <w:snapToGrid w:val="0"/>
          <w:color w:val="auto"/>
          <w:kern w:val="0"/>
          <w:sz w:val="24"/>
          <w:szCs w:val="24"/>
          <w:highlight w:val="none"/>
          <w:lang w:val="en-US" w:eastAsia="zh-CN"/>
        </w:rPr>
        <w:t>2.1 本招标文件随文另附招标工程量清单（电子文件）一套。</w:t>
      </w:r>
    </w:p>
    <w:p w14:paraId="52DCD214">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2" w:name="_Toc7961"/>
      <w:r>
        <w:rPr>
          <w:rFonts w:hint="eastAsia" w:ascii="宋体" w:hAnsi="宋体" w:eastAsia="宋体" w:cs="宋体"/>
          <w:bCs/>
          <w:snapToGrid w:val="0"/>
          <w:color w:val="auto"/>
          <w:kern w:val="0"/>
          <w:sz w:val="24"/>
          <w:szCs w:val="24"/>
          <w:highlight w:val="none"/>
          <w:lang w:val="en-US" w:eastAsia="zh-CN"/>
        </w:rPr>
        <w:t>2.2 本工程按照以下依据编制招标工程量清单、招标控制价：</w:t>
      </w:r>
      <w:bookmarkEnd w:id="282"/>
    </w:p>
    <w:p w14:paraId="2CDCC34F">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3" w:name="_Toc32626"/>
      <w:r>
        <w:rPr>
          <w:rFonts w:hint="eastAsia" w:ascii="宋体" w:hAnsi="宋体" w:eastAsia="宋体" w:cs="宋体"/>
          <w:bCs/>
          <w:snapToGrid w:val="0"/>
          <w:color w:val="auto"/>
          <w:kern w:val="0"/>
          <w:sz w:val="24"/>
          <w:szCs w:val="24"/>
          <w:highlight w:val="none"/>
          <w:lang w:val="en-US" w:eastAsia="zh-CN"/>
        </w:rPr>
        <w:t>（1）《建设工程工程量清单计价规范》（GB50500—2013）；</w:t>
      </w:r>
      <w:bookmarkEnd w:id="283"/>
    </w:p>
    <w:p w14:paraId="01774E4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4" w:name="_Toc32632"/>
      <w:r>
        <w:rPr>
          <w:rFonts w:hint="eastAsia" w:ascii="宋体" w:hAnsi="宋体" w:eastAsia="宋体" w:cs="宋体"/>
          <w:bCs/>
          <w:snapToGrid w:val="0"/>
          <w:color w:val="auto"/>
          <w:kern w:val="0"/>
          <w:sz w:val="24"/>
          <w:szCs w:val="24"/>
          <w:highlight w:val="none"/>
          <w:lang w:val="en-US" w:eastAsia="zh-CN"/>
        </w:rPr>
        <w:t>（2）投标人应对招标人提供的工程量清单进行认真细致的复核。这种复核包括对招标人提供的工程量清单中的子目编码、子目名称、子目特征描述、计量单位、工程量的准确性以及可能存在的任何书写、打印错误进行检查和复核，特别是对“分部分项工程量清单与计价表”中每个工作子目的工程量进行重新计算和校核。如果投标人经过检查和复核以后认为招标人提供的工程量清单存在差异，则投标人应将此类差异的详细情况连同按“投标须知”规定提交的要求招标人澄清的其他问题一起提交给招标人，招标人将根据实际情况决定是否颁发工程量清单、招标控制价的补充和(或)修改文件。</w:t>
      </w:r>
      <w:bookmarkEnd w:id="284"/>
      <w:r>
        <w:rPr>
          <w:rFonts w:hint="eastAsia" w:ascii="宋体" w:hAnsi="宋体" w:eastAsia="宋体" w:cs="宋体"/>
          <w:bCs/>
          <w:snapToGrid w:val="0"/>
          <w:color w:val="auto"/>
          <w:kern w:val="0"/>
          <w:sz w:val="24"/>
          <w:szCs w:val="24"/>
          <w:highlight w:val="none"/>
          <w:lang w:val="en-US" w:eastAsia="zh-CN"/>
        </w:rPr>
        <w:t xml:space="preserve"> </w:t>
      </w:r>
    </w:p>
    <w:p w14:paraId="0496BAE5">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5" w:name="_Toc12902"/>
      <w:r>
        <w:rPr>
          <w:rFonts w:hint="eastAsia" w:ascii="宋体" w:hAnsi="宋体" w:eastAsia="宋体" w:cs="宋体"/>
          <w:bCs/>
          <w:snapToGrid w:val="0"/>
          <w:color w:val="auto"/>
          <w:kern w:val="0"/>
          <w:sz w:val="24"/>
          <w:szCs w:val="24"/>
          <w:highlight w:val="none"/>
          <w:lang w:val="en-US" w:eastAsia="zh-CN"/>
        </w:rPr>
        <w:t>（3）本招标工程量清单措施项目中的绿色施工安全防护措施费、暂列金额、暂估价不得作为竞争性费用，投标报价必须按本招标工程量清单规定的金额填报。</w:t>
      </w:r>
      <w:bookmarkEnd w:id="285"/>
    </w:p>
    <w:p w14:paraId="2D3BD3AE">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6" w:name="_Toc32266"/>
      <w:r>
        <w:rPr>
          <w:rFonts w:hint="eastAsia" w:ascii="宋体" w:hAnsi="宋体" w:eastAsia="宋体" w:cs="宋体"/>
          <w:bCs/>
          <w:snapToGrid w:val="0"/>
          <w:color w:val="auto"/>
          <w:kern w:val="0"/>
          <w:sz w:val="24"/>
          <w:szCs w:val="24"/>
          <w:highlight w:val="none"/>
          <w:lang w:val="en-US" w:eastAsia="zh-CN"/>
        </w:rPr>
        <w:t>（4）投标报价使用的表格格式须按照 GB50500-2013《建设工程工程量清单计价规范》。</w:t>
      </w:r>
      <w:bookmarkEnd w:id="286"/>
    </w:p>
    <w:p w14:paraId="3F52F0C8">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7" w:name="_Toc13700"/>
      <w:r>
        <w:rPr>
          <w:rFonts w:hint="eastAsia" w:ascii="宋体" w:hAnsi="宋体" w:eastAsia="宋体" w:cs="宋体"/>
          <w:bCs/>
          <w:snapToGrid w:val="0"/>
          <w:color w:val="auto"/>
          <w:kern w:val="0"/>
          <w:sz w:val="24"/>
          <w:szCs w:val="24"/>
          <w:highlight w:val="none"/>
          <w:lang w:val="en-US" w:eastAsia="zh-CN"/>
        </w:rPr>
        <w:t>（5）《广东省建设工程计价依据（2018）》。具体包括：《广东省房屋建筑与装饰工程综合定额（2018）》《广东省市政工程综合定额（2018）》《广东省通用安装工程综合定额（2018）》《广东省园林绿化工程综合定额（2018）》《广东省建设工程施工机具台班费用编制规则（2018）》等；</w:t>
      </w:r>
      <w:bookmarkEnd w:id="287"/>
    </w:p>
    <w:p w14:paraId="49B1030A">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8" w:name="_Toc10455"/>
      <w:r>
        <w:rPr>
          <w:rFonts w:hint="eastAsia" w:ascii="宋体" w:hAnsi="宋体" w:eastAsia="宋体" w:cs="宋体"/>
          <w:bCs/>
          <w:snapToGrid w:val="0"/>
          <w:color w:val="auto"/>
          <w:kern w:val="0"/>
          <w:sz w:val="24"/>
          <w:szCs w:val="24"/>
          <w:highlight w:val="none"/>
          <w:lang w:val="en-US" w:eastAsia="zh-CN"/>
        </w:rPr>
        <w:t>（6）施工图及相关资料；</w:t>
      </w:r>
      <w:bookmarkEnd w:id="288"/>
    </w:p>
    <w:p w14:paraId="2E0315EC">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89" w:name="_Toc1743"/>
      <w:r>
        <w:rPr>
          <w:rFonts w:hint="eastAsia" w:ascii="宋体" w:hAnsi="宋体" w:eastAsia="宋体" w:cs="宋体"/>
          <w:bCs/>
          <w:snapToGrid w:val="0"/>
          <w:color w:val="auto"/>
          <w:kern w:val="0"/>
          <w:sz w:val="24"/>
          <w:szCs w:val="24"/>
          <w:highlight w:val="none"/>
          <w:lang w:val="en-US" w:eastAsia="zh-CN"/>
        </w:rPr>
        <w:t>（7）招标文件；</w:t>
      </w:r>
      <w:bookmarkEnd w:id="289"/>
    </w:p>
    <w:p w14:paraId="5357C6CC">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90" w:name="_Toc30083"/>
      <w:r>
        <w:rPr>
          <w:rFonts w:hint="eastAsia" w:ascii="宋体" w:hAnsi="宋体" w:eastAsia="宋体" w:cs="宋体"/>
          <w:bCs/>
          <w:snapToGrid w:val="0"/>
          <w:color w:val="auto"/>
          <w:kern w:val="0"/>
          <w:sz w:val="24"/>
          <w:szCs w:val="24"/>
          <w:highlight w:val="none"/>
          <w:lang w:val="en-US" w:eastAsia="zh-CN"/>
        </w:rPr>
        <w:t>（8）施工现场情况、地勘水文资料、工程特点及常规施工方案；</w:t>
      </w:r>
      <w:bookmarkEnd w:id="290"/>
    </w:p>
    <w:p w14:paraId="416327A7">
      <w:pPr>
        <w:wordWrap w:val="0"/>
        <w:adjustRightInd w:val="0"/>
        <w:snapToGrid w:val="0"/>
        <w:spacing w:line="360" w:lineRule="auto"/>
        <w:ind w:firstLine="480" w:firstLineChars="200"/>
        <w:rPr>
          <w:rFonts w:hint="eastAsia" w:ascii="宋体" w:hAnsi="宋体" w:eastAsia="宋体" w:cs="宋体"/>
          <w:bCs/>
          <w:snapToGrid w:val="0"/>
          <w:color w:val="auto"/>
          <w:kern w:val="0"/>
          <w:sz w:val="24"/>
          <w:szCs w:val="24"/>
          <w:highlight w:val="none"/>
          <w:lang w:val="en-US" w:eastAsia="zh-CN"/>
        </w:rPr>
      </w:pPr>
      <w:bookmarkStart w:id="291" w:name="_Toc15937"/>
      <w:r>
        <w:rPr>
          <w:rFonts w:hint="eastAsia" w:ascii="宋体" w:hAnsi="宋体" w:eastAsia="宋体" w:cs="宋体"/>
          <w:bCs/>
          <w:snapToGrid w:val="0"/>
          <w:color w:val="auto"/>
          <w:kern w:val="0"/>
          <w:sz w:val="24"/>
          <w:szCs w:val="24"/>
          <w:highlight w:val="none"/>
          <w:lang w:val="en-US" w:eastAsia="zh-CN"/>
        </w:rPr>
        <w:t>（9）与建设工程有关的标准、规范、技术资料、材料设备信息价或市场价格等。</w:t>
      </w:r>
      <w:bookmarkEnd w:id="291"/>
    </w:p>
    <w:p w14:paraId="312D3A83">
      <w:pPr>
        <w:rPr>
          <w:rFonts w:hint="eastAsia" w:ascii="宋体" w:hAnsi="宋体" w:eastAsia="宋体" w:cs="宋体"/>
          <w:lang w:val="en-US" w:eastAsia="zh-CN"/>
        </w:rPr>
      </w:pPr>
    </w:p>
    <w:p w14:paraId="52A4AAD7">
      <w:pPr>
        <w:rPr>
          <w:rFonts w:hint="eastAsia" w:ascii="宋体" w:hAnsi="宋体" w:eastAsia="宋体" w:cs="宋体"/>
          <w:lang w:val="en-US" w:eastAsia="zh-CN"/>
        </w:rPr>
      </w:pPr>
    </w:p>
    <w:p w14:paraId="140BCE1C">
      <w:pPr>
        <w:rPr>
          <w:rFonts w:hint="eastAsia" w:ascii="宋体" w:hAnsi="宋体" w:eastAsia="宋体" w:cs="宋体"/>
          <w:lang w:val="en-US" w:eastAsia="zh-CN"/>
        </w:rPr>
      </w:pPr>
    </w:p>
    <w:p w14:paraId="4A87BCA8">
      <w:pPr>
        <w:rPr>
          <w:rFonts w:hint="eastAsia" w:ascii="宋体" w:hAnsi="宋体" w:eastAsia="宋体" w:cs="宋体"/>
          <w:lang w:val="en-US" w:eastAsia="zh-CN"/>
        </w:rPr>
      </w:pPr>
    </w:p>
    <w:p w14:paraId="055BD2B2">
      <w:pPr>
        <w:rPr>
          <w:rFonts w:hint="eastAsia" w:ascii="宋体" w:hAnsi="宋体" w:eastAsia="宋体" w:cs="宋体"/>
          <w:lang w:val="en-US" w:eastAsia="zh-CN"/>
        </w:rPr>
      </w:pPr>
    </w:p>
    <w:p w14:paraId="4811ADCA">
      <w:pPr>
        <w:rPr>
          <w:rFonts w:hint="eastAsia" w:ascii="宋体" w:hAnsi="宋体" w:eastAsia="宋体" w:cs="宋体"/>
          <w:lang w:val="en-US" w:eastAsia="zh-CN"/>
        </w:rPr>
      </w:pPr>
    </w:p>
    <w:p w14:paraId="4947C4AC">
      <w:pPr>
        <w:pStyle w:val="3"/>
        <w:wordWrap w:val="0"/>
        <w:autoSpaceDE/>
        <w:autoSpaceDN/>
        <w:snapToGrid w:val="0"/>
        <w:spacing w:line="360" w:lineRule="auto"/>
        <w:jc w:val="center"/>
        <w:rPr>
          <w:rFonts w:hint="eastAsia" w:ascii="宋体" w:hAnsi="宋体" w:eastAsia="宋体" w:cs="宋体"/>
          <w:color w:val="auto"/>
          <w:highlight w:val="none"/>
        </w:rPr>
      </w:pPr>
      <w:bookmarkStart w:id="292" w:name="_Toc6239"/>
      <w:bookmarkStart w:id="293" w:name="_Toc11826"/>
      <w:r>
        <w:rPr>
          <w:rFonts w:hint="eastAsia" w:ascii="宋体" w:hAnsi="宋体" w:eastAsia="宋体" w:cs="宋体"/>
          <w:b/>
          <w:snapToGrid w:val="0"/>
          <w:color w:val="auto"/>
          <w:sz w:val="24"/>
          <w:highlight w:val="none"/>
        </w:rPr>
        <w:t>第六章</w:t>
      </w:r>
      <w:bookmarkStart w:id="294" w:name="_Hlt75747044"/>
      <w:bookmarkEnd w:id="294"/>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投标文件格式</w:t>
      </w:r>
      <w:bookmarkEnd w:id="292"/>
      <w:bookmarkEnd w:id="293"/>
      <w:bookmarkStart w:id="295" w:name="_附件一：投标函"/>
      <w:bookmarkEnd w:id="295"/>
      <w:bookmarkStart w:id="296" w:name="_附件四：工期承诺书"/>
      <w:bookmarkEnd w:id="296"/>
      <w:bookmarkStart w:id="297" w:name="_附件五：综合评审合理低价法"/>
      <w:bookmarkEnd w:id="297"/>
      <w:bookmarkStart w:id="298" w:name="_附件一：对招标文件条款自愿接受承诺书"/>
      <w:bookmarkEnd w:id="298"/>
      <w:bookmarkStart w:id="299" w:name="_附件二：工期承诺书"/>
      <w:bookmarkEnd w:id="299"/>
      <w:bookmarkStart w:id="300" w:name="_附件二：近三年度主要施工项目（竣工及在建）一览表"/>
      <w:bookmarkEnd w:id="300"/>
      <w:bookmarkStart w:id="301" w:name="_Toc137621693"/>
      <w:bookmarkStart w:id="302" w:name="_Toc200338097"/>
      <w:bookmarkStart w:id="303" w:name="_Toc66849200"/>
      <w:bookmarkStart w:id="304" w:name="_Hlt66847557"/>
    </w:p>
    <w:p w14:paraId="35D43320">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05" w:name="_Toc9708"/>
      <w:bookmarkStart w:id="306" w:name="_Toc5248"/>
      <w:r>
        <w:rPr>
          <w:rFonts w:hint="eastAsia" w:ascii="宋体" w:hAnsi="宋体" w:eastAsia="宋体" w:cs="宋体"/>
          <w:b/>
          <w:bCs/>
          <w:color w:val="auto"/>
          <w:spacing w:val="-11"/>
          <w:sz w:val="24"/>
          <w:szCs w:val="24"/>
          <w:highlight w:val="none"/>
          <w:lang w:val="en-US" w:eastAsia="zh-CN"/>
        </w:rPr>
        <w:t>格式一   封面</w:t>
      </w:r>
      <w:bookmarkEnd w:id="305"/>
      <w:bookmarkEnd w:id="306"/>
    </w:p>
    <w:p w14:paraId="2C41E55F">
      <w:pPr>
        <w:pStyle w:val="60"/>
        <w:widowControl w:val="0"/>
        <w:wordWrap w:val="0"/>
        <w:adjustRightInd w:val="0"/>
        <w:snapToGrid w:val="0"/>
        <w:spacing w:line="360" w:lineRule="auto"/>
        <w:rPr>
          <w:rFonts w:hint="eastAsia" w:ascii="宋体" w:hAnsi="宋体" w:eastAsia="宋体" w:cs="宋体"/>
          <w:b/>
          <w:snapToGrid w:val="0"/>
          <w:color w:val="auto"/>
          <w:sz w:val="24"/>
          <w:highlight w:val="none"/>
        </w:rPr>
      </w:pPr>
    </w:p>
    <w:p w14:paraId="64F599D5">
      <w:pPr>
        <w:pStyle w:val="60"/>
        <w:widowControl w:val="0"/>
        <w:wordWrap w:val="0"/>
        <w:adjustRightInd w:val="0"/>
        <w:snapToGrid w:val="0"/>
        <w:spacing w:line="360" w:lineRule="auto"/>
        <w:jc w:val="both"/>
        <w:rPr>
          <w:rFonts w:hint="eastAsia" w:ascii="宋体" w:hAnsi="宋体" w:eastAsia="宋体" w:cs="宋体"/>
          <w:b/>
          <w:snapToGrid w:val="0"/>
          <w:color w:val="auto"/>
          <w:sz w:val="24"/>
          <w:highlight w:val="none"/>
        </w:rPr>
      </w:pPr>
    </w:p>
    <w:p w14:paraId="264A32FC">
      <w:pPr>
        <w:pStyle w:val="60"/>
        <w:widowControl w:val="0"/>
        <w:wordWrap w:val="0"/>
        <w:adjustRightInd w:val="0"/>
        <w:snapToGrid w:val="0"/>
        <w:spacing w:line="360" w:lineRule="auto"/>
        <w:rPr>
          <w:rFonts w:hint="eastAsia" w:ascii="宋体" w:hAnsi="宋体" w:eastAsia="宋体" w:cs="宋体"/>
          <w:b/>
          <w:snapToGrid w:val="0"/>
          <w:color w:val="auto"/>
          <w:sz w:val="24"/>
          <w:highlight w:val="none"/>
        </w:rPr>
      </w:pPr>
    </w:p>
    <w:p w14:paraId="01047916">
      <w:pPr>
        <w:pStyle w:val="60"/>
        <w:widowControl w:val="0"/>
        <w:wordWrap w:val="0"/>
        <w:adjustRightInd w:val="0"/>
        <w:snapToGrid w:val="0"/>
        <w:spacing w:line="360" w:lineRule="auto"/>
        <w:rPr>
          <w:rFonts w:hint="eastAsia" w:ascii="宋体" w:hAnsi="宋体" w:eastAsia="宋体" w:cs="宋体"/>
          <w:b/>
          <w:snapToGrid w:val="0"/>
          <w:color w:val="auto"/>
          <w:sz w:val="24"/>
          <w:highlight w:val="none"/>
        </w:rPr>
      </w:pPr>
    </w:p>
    <w:p w14:paraId="68318CBB">
      <w:pPr>
        <w:keepNext w:val="0"/>
        <w:keepLines w:val="0"/>
        <w:widowControl/>
        <w:suppressLineNumbers w:val="0"/>
        <w:spacing w:line="360" w:lineRule="auto"/>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（项目名称）</w:t>
      </w:r>
      <w:r>
        <w:rPr>
          <w:rFonts w:hint="eastAsia" w:ascii="宋体" w:hAnsi="宋体" w:eastAsia="宋体" w:cs="宋体"/>
          <w:b/>
          <w:snapToGrid w:val="0"/>
          <w:color w:val="auto"/>
          <w:sz w:val="48"/>
          <w:szCs w:val="48"/>
          <w:highlight w:val="none"/>
          <w:lang w:val="en-US" w:eastAsia="zh-CN"/>
        </w:rPr>
        <w:t>工程施工</w:t>
      </w:r>
      <w:r>
        <w:rPr>
          <w:rFonts w:hint="eastAsia" w:ascii="宋体" w:hAnsi="宋体" w:eastAsia="宋体" w:cs="宋体"/>
          <w:b/>
          <w:snapToGrid w:val="0"/>
          <w:color w:val="auto"/>
          <w:sz w:val="48"/>
          <w:szCs w:val="48"/>
          <w:highlight w:val="none"/>
        </w:rPr>
        <w:t>招标</w:t>
      </w:r>
    </w:p>
    <w:p w14:paraId="3BFA3CCF">
      <w:pPr>
        <w:pStyle w:val="60"/>
        <w:widowControl w:val="0"/>
        <w:wordWrap w:val="0"/>
        <w:adjustRightInd w:val="0"/>
        <w:snapToGrid w:val="0"/>
        <w:spacing w:line="360" w:lineRule="auto"/>
        <w:ind w:firstLine="0"/>
        <w:jc w:val="center"/>
        <w:rPr>
          <w:rFonts w:hint="eastAsia" w:ascii="宋体" w:hAnsi="宋体" w:eastAsia="宋体" w:cs="宋体"/>
          <w:b/>
          <w:snapToGrid w:val="0"/>
          <w:color w:val="auto"/>
          <w:sz w:val="32"/>
          <w:highlight w:val="none"/>
        </w:rPr>
      </w:pPr>
    </w:p>
    <w:p w14:paraId="539028DF">
      <w:pPr>
        <w:pStyle w:val="60"/>
        <w:widowControl w:val="0"/>
        <w:wordWrap w:val="0"/>
        <w:adjustRightInd w:val="0"/>
        <w:snapToGrid w:val="0"/>
        <w:spacing w:line="360" w:lineRule="auto"/>
        <w:ind w:firstLine="0"/>
        <w:jc w:val="center"/>
        <w:rPr>
          <w:rFonts w:hint="eastAsia" w:ascii="宋体" w:hAnsi="宋体" w:eastAsia="宋体" w:cs="宋体"/>
          <w:b/>
          <w:snapToGrid w:val="0"/>
          <w:color w:val="auto"/>
          <w:sz w:val="72"/>
          <w:highlight w:val="none"/>
        </w:rPr>
      </w:pPr>
      <w:r>
        <w:rPr>
          <w:rFonts w:hint="eastAsia" w:ascii="宋体" w:hAnsi="宋体" w:eastAsia="宋体" w:cs="宋体"/>
          <w:b/>
          <w:snapToGrid w:val="0"/>
          <w:color w:val="auto"/>
          <w:sz w:val="72"/>
          <w:highlight w:val="none"/>
        </w:rPr>
        <w:t>投  标  文  件</w:t>
      </w:r>
    </w:p>
    <w:p w14:paraId="44CCF37F">
      <w:pPr>
        <w:pStyle w:val="60"/>
        <w:widowControl w:val="0"/>
        <w:wordWrap w:val="0"/>
        <w:adjustRightInd w:val="0"/>
        <w:snapToGrid w:val="0"/>
        <w:spacing w:line="360" w:lineRule="auto"/>
        <w:ind w:firstLine="0"/>
        <w:jc w:val="center"/>
        <w:rPr>
          <w:rFonts w:hint="eastAsia" w:ascii="宋体" w:hAnsi="宋体" w:eastAsia="宋体" w:cs="宋体"/>
          <w:b/>
          <w:snapToGrid w:val="0"/>
          <w:color w:val="auto"/>
          <w:sz w:val="32"/>
          <w:highlight w:val="none"/>
        </w:rPr>
      </w:pPr>
    </w:p>
    <w:p w14:paraId="1CBA27F3">
      <w:pPr>
        <w:pStyle w:val="60"/>
        <w:widowControl w:val="0"/>
        <w:wordWrap w:val="0"/>
        <w:adjustRightInd w:val="0"/>
        <w:snapToGrid w:val="0"/>
        <w:spacing w:line="360" w:lineRule="auto"/>
        <w:ind w:firstLine="0"/>
        <w:jc w:val="center"/>
        <w:rPr>
          <w:rFonts w:hint="eastAsia" w:ascii="宋体" w:hAnsi="宋体" w:eastAsia="宋体" w:cs="宋体"/>
          <w:b/>
          <w:snapToGrid w:val="0"/>
          <w:color w:val="auto"/>
          <w:sz w:val="48"/>
          <w:szCs w:val="48"/>
          <w:highlight w:val="none"/>
        </w:rPr>
      </w:pPr>
      <w:r>
        <w:rPr>
          <w:rFonts w:hint="eastAsia" w:ascii="宋体" w:hAnsi="宋体" w:eastAsia="宋体" w:cs="宋体"/>
          <w:b/>
          <w:snapToGrid w:val="0"/>
          <w:color w:val="auto"/>
          <w:sz w:val="48"/>
          <w:szCs w:val="48"/>
          <w:highlight w:val="none"/>
        </w:rPr>
        <w:t>（商务标书／经济标书／施工组织设计）</w:t>
      </w:r>
    </w:p>
    <w:p w14:paraId="3D95CC72">
      <w:pPr>
        <w:pStyle w:val="60"/>
        <w:widowControl w:val="0"/>
        <w:wordWrap w:val="0"/>
        <w:adjustRightInd w:val="0"/>
        <w:snapToGrid w:val="0"/>
        <w:spacing w:line="360" w:lineRule="auto"/>
        <w:rPr>
          <w:rFonts w:hint="eastAsia" w:ascii="宋体" w:hAnsi="宋体" w:eastAsia="宋体" w:cs="宋体"/>
          <w:b/>
          <w:snapToGrid w:val="0"/>
          <w:color w:val="auto"/>
          <w:highlight w:val="none"/>
        </w:rPr>
      </w:pPr>
    </w:p>
    <w:p w14:paraId="71A1C0CC">
      <w:pPr>
        <w:pStyle w:val="60"/>
        <w:widowControl w:val="0"/>
        <w:wordWrap w:val="0"/>
        <w:adjustRightInd w:val="0"/>
        <w:snapToGrid w:val="0"/>
        <w:spacing w:line="360" w:lineRule="auto"/>
        <w:rPr>
          <w:rFonts w:hint="eastAsia" w:ascii="宋体" w:hAnsi="宋体" w:eastAsia="宋体" w:cs="宋体"/>
          <w:b/>
          <w:snapToGrid w:val="0"/>
          <w:color w:val="auto"/>
          <w:sz w:val="32"/>
          <w:highlight w:val="none"/>
        </w:rPr>
      </w:pPr>
    </w:p>
    <w:p w14:paraId="56947D7C">
      <w:pPr>
        <w:pStyle w:val="60"/>
        <w:widowControl w:val="0"/>
        <w:wordWrap w:val="0"/>
        <w:adjustRightInd w:val="0"/>
        <w:snapToGrid w:val="0"/>
        <w:spacing w:line="360" w:lineRule="auto"/>
        <w:rPr>
          <w:rFonts w:hint="eastAsia" w:ascii="宋体" w:hAnsi="宋体" w:eastAsia="宋体" w:cs="宋体"/>
          <w:b/>
          <w:snapToGrid w:val="0"/>
          <w:color w:val="auto"/>
          <w:sz w:val="32"/>
          <w:highlight w:val="none"/>
        </w:rPr>
      </w:pPr>
    </w:p>
    <w:p w14:paraId="452183E4">
      <w:pPr>
        <w:pStyle w:val="60"/>
        <w:widowControl w:val="0"/>
        <w:wordWrap w:val="0"/>
        <w:adjustRightInd w:val="0"/>
        <w:snapToGrid w:val="0"/>
        <w:spacing w:line="360" w:lineRule="auto"/>
        <w:rPr>
          <w:rFonts w:hint="eastAsia" w:ascii="宋体" w:hAnsi="宋体" w:eastAsia="宋体" w:cs="宋体"/>
          <w:b/>
          <w:snapToGrid w:val="0"/>
          <w:color w:val="auto"/>
          <w:sz w:val="32"/>
          <w:highlight w:val="none"/>
        </w:rPr>
      </w:pPr>
    </w:p>
    <w:p w14:paraId="63A9DDCA">
      <w:pPr>
        <w:pStyle w:val="6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投标人：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（盖单位章）</w:t>
      </w:r>
    </w:p>
    <w:p w14:paraId="06234196">
      <w:pPr>
        <w:pStyle w:val="60"/>
        <w:widowControl w:val="0"/>
        <w:wordWrap w:val="0"/>
        <w:adjustRightInd w:val="0"/>
        <w:snapToGrid w:val="0"/>
        <w:spacing w:line="360" w:lineRule="auto"/>
        <w:ind w:firstLine="0"/>
        <w:jc w:val="both"/>
        <w:rPr>
          <w:rFonts w:hint="eastAsia" w:ascii="宋体" w:hAnsi="宋体" w:eastAsia="宋体" w:cs="宋体"/>
          <w:bCs/>
          <w:snapToGrid w:val="0"/>
          <w:color w:val="auto"/>
          <w:sz w:val="32"/>
          <w:highlight w:val="none"/>
        </w:rPr>
      </w:pPr>
    </w:p>
    <w:p w14:paraId="2D081AA0">
      <w:pPr>
        <w:pStyle w:val="6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rPr>
        <w:t>法定代表人或其委托代理人：</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（签字或盖章）</w:t>
      </w:r>
    </w:p>
    <w:p w14:paraId="56D1462D">
      <w:pPr>
        <w:pStyle w:val="60"/>
        <w:widowControl w:val="0"/>
        <w:wordWrap w:val="0"/>
        <w:adjustRightInd w:val="0"/>
        <w:snapToGrid w:val="0"/>
        <w:spacing w:line="360" w:lineRule="auto"/>
        <w:ind w:firstLine="0"/>
        <w:jc w:val="both"/>
        <w:rPr>
          <w:rFonts w:hint="eastAsia" w:ascii="宋体" w:hAnsi="宋体" w:eastAsia="宋体" w:cs="宋体"/>
          <w:bCs/>
          <w:snapToGrid w:val="0"/>
          <w:color w:val="auto"/>
          <w:sz w:val="32"/>
          <w:highlight w:val="none"/>
          <w:u w:val="single"/>
        </w:rPr>
      </w:pPr>
    </w:p>
    <w:p w14:paraId="673B1733">
      <w:pPr>
        <w:pStyle w:val="60"/>
        <w:widowControl w:val="0"/>
        <w:wordWrap w:val="0"/>
        <w:adjustRightInd w:val="0"/>
        <w:snapToGrid w:val="0"/>
        <w:spacing w:line="360" w:lineRule="auto"/>
        <w:ind w:firstLine="0"/>
        <w:jc w:val="center"/>
        <w:rPr>
          <w:rFonts w:hint="eastAsia" w:ascii="宋体" w:hAnsi="宋体" w:eastAsia="宋体" w:cs="宋体"/>
          <w:bCs/>
          <w:snapToGrid w:val="0"/>
          <w:color w:val="auto"/>
          <w:sz w:val="32"/>
          <w:highlight w:val="none"/>
        </w:rPr>
      </w:pP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年</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月</w:t>
      </w:r>
      <w:r>
        <w:rPr>
          <w:rFonts w:hint="eastAsia" w:ascii="宋体" w:hAnsi="宋体" w:eastAsia="宋体" w:cs="宋体"/>
          <w:bCs/>
          <w:snapToGrid w:val="0"/>
          <w:color w:val="auto"/>
          <w:sz w:val="32"/>
          <w:highlight w:val="none"/>
          <w:u w:val="single"/>
        </w:rPr>
        <w:t xml:space="preserve">      </w:t>
      </w:r>
      <w:r>
        <w:rPr>
          <w:rFonts w:hint="eastAsia" w:ascii="宋体" w:hAnsi="宋体" w:eastAsia="宋体" w:cs="宋体"/>
          <w:bCs/>
          <w:snapToGrid w:val="0"/>
          <w:color w:val="auto"/>
          <w:sz w:val="32"/>
          <w:highlight w:val="none"/>
        </w:rPr>
        <w:t>日</w:t>
      </w:r>
    </w:p>
    <w:p w14:paraId="2F36BE3D">
      <w:pPr>
        <w:rPr>
          <w:rFonts w:hint="eastAsia" w:ascii="宋体" w:hAnsi="宋体" w:eastAsia="宋体" w:cs="宋体"/>
        </w:rPr>
      </w:pPr>
      <w:bookmarkStart w:id="307" w:name="_Toc15092"/>
      <w:bookmarkStart w:id="308" w:name="_Toc104711098"/>
      <w:bookmarkStart w:id="309" w:name="_Toc106418843"/>
    </w:p>
    <w:p w14:paraId="6832A50E">
      <w:pPr>
        <w:rPr>
          <w:rFonts w:hint="eastAsia" w:ascii="宋体" w:hAnsi="宋体" w:eastAsia="宋体" w:cs="宋体"/>
        </w:rPr>
      </w:pPr>
    </w:p>
    <w:p w14:paraId="4E5A5E31">
      <w:pPr>
        <w:rPr>
          <w:rFonts w:hint="eastAsia" w:ascii="宋体" w:hAnsi="宋体" w:eastAsia="宋体" w:cs="宋体"/>
        </w:rPr>
      </w:pPr>
    </w:p>
    <w:p w14:paraId="024AE31D">
      <w:pPr>
        <w:rPr>
          <w:rFonts w:hint="eastAsia" w:ascii="宋体" w:hAnsi="宋体" w:eastAsia="宋体" w:cs="宋体"/>
        </w:rPr>
      </w:pPr>
    </w:p>
    <w:p w14:paraId="33966578">
      <w:pPr>
        <w:rPr>
          <w:rFonts w:hint="eastAsia" w:ascii="宋体" w:hAnsi="宋体" w:eastAsia="宋体" w:cs="宋体"/>
        </w:rPr>
      </w:pPr>
    </w:p>
    <w:p w14:paraId="7100C261">
      <w:pPr>
        <w:rPr>
          <w:rFonts w:hint="eastAsia" w:ascii="宋体" w:hAnsi="宋体" w:eastAsia="宋体" w:cs="宋体"/>
        </w:rPr>
      </w:pPr>
    </w:p>
    <w:p w14:paraId="4FDFF029">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10" w:name="_Toc19730"/>
      <w:r>
        <w:rPr>
          <w:rFonts w:hint="eastAsia" w:ascii="宋体" w:hAnsi="宋体" w:eastAsia="宋体" w:cs="宋体"/>
          <w:b/>
          <w:bCs/>
          <w:color w:val="auto"/>
          <w:spacing w:val="-11"/>
          <w:sz w:val="24"/>
          <w:szCs w:val="24"/>
          <w:highlight w:val="none"/>
          <w:lang w:val="en-US" w:eastAsia="zh-CN"/>
        </w:rPr>
        <w:t>格式</w:t>
      </w:r>
      <w:bookmarkStart w:id="311" w:name="_Hlt97526007"/>
      <w:bookmarkEnd w:id="311"/>
      <w:r>
        <w:rPr>
          <w:rFonts w:hint="eastAsia" w:ascii="宋体" w:hAnsi="宋体" w:eastAsia="宋体" w:cs="宋体"/>
          <w:b/>
          <w:bCs/>
          <w:color w:val="auto"/>
          <w:spacing w:val="-11"/>
          <w:sz w:val="24"/>
          <w:szCs w:val="24"/>
          <w:highlight w:val="none"/>
          <w:lang w:val="en-US" w:eastAsia="zh-CN"/>
        </w:rPr>
        <w:t>二   投标函</w:t>
      </w:r>
      <w:bookmarkEnd w:id="307"/>
      <w:bookmarkEnd w:id="310"/>
    </w:p>
    <w:p w14:paraId="07C295E9">
      <w:pPr>
        <w:wordWrap w:val="0"/>
        <w:adjustRightInd w:val="0"/>
        <w:snapToGrid w:val="0"/>
        <w:spacing w:before="260" w:after="260" w:line="360" w:lineRule="auto"/>
        <w:jc w:val="center"/>
        <w:rPr>
          <w:rFonts w:hint="eastAsia" w:ascii="宋体" w:hAnsi="宋体" w:eastAsia="宋体" w:cs="宋体"/>
          <w:b/>
          <w:snapToGrid w:val="0"/>
          <w:color w:val="auto"/>
          <w:kern w:val="0"/>
          <w:sz w:val="30"/>
          <w:highlight w:val="none"/>
        </w:rPr>
      </w:pPr>
      <w:r>
        <w:rPr>
          <w:rFonts w:hint="eastAsia" w:ascii="宋体" w:hAnsi="宋体" w:eastAsia="宋体" w:cs="宋体"/>
          <w:b/>
          <w:snapToGrid w:val="0"/>
          <w:color w:val="auto"/>
          <w:kern w:val="0"/>
          <w:sz w:val="30"/>
          <w:highlight w:val="none"/>
        </w:rPr>
        <w:t>投  标  函</w:t>
      </w:r>
      <w:bookmarkEnd w:id="308"/>
      <w:bookmarkEnd w:id="309"/>
    </w:p>
    <w:p w14:paraId="37577B2E">
      <w:pPr>
        <w:wordWrap w:val="0"/>
        <w:adjustRightInd w:val="0"/>
        <w:snapToGrid w:val="0"/>
        <w:spacing w:line="360" w:lineRule="auto"/>
        <w:jc w:val="center"/>
        <w:rPr>
          <w:rFonts w:hint="eastAsia" w:ascii="宋体" w:hAnsi="宋体" w:eastAsia="宋体" w:cs="宋体"/>
          <w:b/>
          <w:snapToGrid w:val="0"/>
          <w:color w:val="auto"/>
          <w:kern w:val="0"/>
          <w:highlight w:val="none"/>
        </w:rPr>
      </w:pPr>
    </w:p>
    <w:p w14:paraId="72CE9446">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（招标人名称）</w:t>
      </w:r>
    </w:p>
    <w:p w14:paraId="1BB50ABC">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1. </w:t>
      </w:r>
      <w:r>
        <w:rPr>
          <w:rFonts w:hint="eastAsia" w:ascii="宋体" w:hAnsi="宋体" w:eastAsia="宋体" w:cs="宋体"/>
          <w:snapToGrid w:val="0"/>
          <w:color w:val="auto"/>
          <w:kern w:val="0"/>
          <w:szCs w:val="22"/>
          <w:highlight w:val="none"/>
        </w:rPr>
        <w:t>我方</w:t>
      </w:r>
      <w:r>
        <w:rPr>
          <w:rFonts w:hint="eastAsia" w:ascii="宋体" w:hAnsi="宋体" w:eastAsia="宋体" w:cs="宋体"/>
          <w:snapToGrid w:val="0"/>
          <w:color w:val="auto"/>
          <w:kern w:val="0"/>
          <w:highlight w:val="none"/>
        </w:rPr>
        <w:t>考察现场并充分研究</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（项目名称）（以下简称“本项目”）招标文件</w:t>
      </w:r>
      <w:r>
        <w:rPr>
          <w:rFonts w:hint="eastAsia" w:ascii="宋体" w:hAnsi="宋体" w:eastAsia="宋体" w:cs="宋体"/>
          <w:snapToGrid w:val="0"/>
          <w:color w:val="auto"/>
          <w:kern w:val="0"/>
          <w:szCs w:val="22"/>
          <w:highlight w:val="none"/>
        </w:rPr>
        <w:t>所有内容后</w:t>
      </w:r>
      <w:r>
        <w:rPr>
          <w:rFonts w:hint="eastAsia" w:ascii="宋体" w:hAnsi="宋体" w:eastAsia="宋体" w:cs="宋体"/>
          <w:snapToGrid w:val="0"/>
          <w:color w:val="auto"/>
          <w:kern w:val="0"/>
          <w:highlight w:val="none"/>
        </w:rPr>
        <w:t>，结合自身资质、能力和特点，愿意接受招标文件的全部内容和条件，兹以人民币（大写）：</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szCs w:val="22"/>
          <w:highlight w:val="none"/>
        </w:rPr>
        <w:t>的投标总价</w:t>
      </w:r>
      <w:r>
        <w:rPr>
          <w:rFonts w:hint="eastAsia" w:ascii="宋体" w:hAnsi="宋体" w:eastAsia="宋体" w:cs="宋体"/>
          <w:snapToGrid w:val="0"/>
          <w:color w:val="auto"/>
          <w:kern w:val="0"/>
          <w:highlight w:val="none"/>
        </w:rPr>
        <w:t>竞投本项目施工。</w:t>
      </w:r>
    </w:p>
    <w:p w14:paraId="7CC51F54">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在我方的上述投标总价中，包括：绿色施工安全防护措施费¥</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r>
        <w:rPr>
          <w:rFonts w:hint="eastAsia" w:ascii="宋体" w:hAnsi="宋体" w:eastAsia="宋体" w:cs="宋体"/>
          <w:color w:val="auto"/>
          <w:kern w:val="0"/>
          <w:szCs w:val="24"/>
          <w:highlight w:val="none"/>
          <w:lang w:bidi="ar"/>
        </w:rPr>
        <w:t>暂列金额</w:t>
      </w:r>
      <w:r>
        <w:rPr>
          <w:rFonts w:hint="eastAsia" w:ascii="宋体" w:hAnsi="宋体" w:eastAsia="宋体" w:cs="宋体"/>
          <w:snapToGrid w:val="0"/>
          <w:color w:val="auto"/>
          <w:kern w:val="0"/>
          <w:highlight w:val="none"/>
        </w:rPr>
        <w:t>¥</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，暂估价¥</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u w:val="single"/>
          <w:lang w:val="en-US" w:eastAsia="zh-CN"/>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w:t>
      </w:r>
    </w:p>
    <w:p w14:paraId="53D8C7E3">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2. 如果我方中标，我方保证按照合同约定的开工日期开始本项目的施工，</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个日历天内竣工，并确保工程质量达到</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标准和维修其中的任何缺陷。</w:t>
      </w:r>
    </w:p>
    <w:p w14:paraId="6B88A785">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3. 本投标函在你方接收我方递交的投标文件之日起、到招标文件规定的投标有效期期满前对我方具有约束力。我方随时准备接受你方发出的中标通知书。</w:t>
      </w:r>
    </w:p>
    <w:p w14:paraId="23012583">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4</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我方在此声明，我方不存在本项目招标文件第一章第三节第</w:t>
      </w:r>
      <w:r>
        <w:rPr>
          <w:rFonts w:hint="eastAsia" w:ascii="宋体" w:hAnsi="宋体" w:eastAsia="宋体" w:cs="宋体"/>
          <w:b/>
          <w:bCs/>
          <w:snapToGrid w:val="0"/>
          <w:color w:val="auto"/>
          <w:kern w:val="0"/>
          <w:highlight w:val="none"/>
        </w:rPr>
        <w:t>2.4</w:t>
      </w:r>
      <w:r>
        <w:rPr>
          <w:rFonts w:hint="eastAsia" w:ascii="宋体" w:hAnsi="宋体" w:eastAsia="宋体" w:cs="宋体"/>
          <w:snapToGrid w:val="0"/>
          <w:color w:val="auto"/>
          <w:kern w:val="0"/>
          <w:highlight w:val="none"/>
        </w:rPr>
        <w:t>条“禁止投标条款”所列出的任何一种情形，并愿意承担因我方就此弄虚作假所引起的一切法律后果。</w:t>
      </w:r>
    </w:p>
    <w:p w14:paraId="4AA735D9">
      <w:pPr>
        <w:wordWrap w:val="0"/>
        <w:adjustRightInd w:val="0"/>
        <w:snapToGrid w:val="0"/>
        <w:spacing w:line="360" w:lineRule="auto"/>
        <w:ind w:firstLine="570"/>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5</w:t>
      </w:r>
      <w:r>
        <w:rPr>
          <w:rFonts w:hint="eastAsia" w:ascii="宋体" w:hAnsi="宋体" w:eastAsia="宋体" w:cs="宋体"/>
          <w:snapToGrid w:val="0"/>
          <w:color w:val="auto"/>
          <w:kern w:val="0"/>
          <w:highlight w:val="none"/>
          <w:lang w:eastAsia="zh-CN"/>
        </w:rPr>
        <w:t>.</w:t>
      </w:r>
      <w:r>
        <w:rPr>
          <w:rFonts w:hint="eastAsia" w:ascii="宋体" w:hAnsi="宋体" w:eastAsia="宋体" w:cs="宋体"/>
          <w:snapToGrid w:val="0"/>
          <w:color w:val="auto"/>
          <w:kern w:val="0"/>
          <w:highlight w:val="none"/>
        </w:rPr>
        <w:t>我方在此承诺，所递交投标文件的全部内容均为真实、有效、准确的，并愿意承担因我方就此弄虚作假所引起的一切法律后果，同时理解和同意有可能被要求提供更多的资料。</w:t>
      </w:r>
    </w:p>
    <w:p w14:paraId="72DE2632">
      <w:pPr>
        <w:wordWrap w:val="0"/>
        <w:adjustRightInd w:val="0"/>
        <w:snapToGrid w:val="0"/>
        <w:spacing w:line="360" w:lineRule="auto"/>
        <w:ind w:firstLine="570"/>
        <w:rPr>
          <w:rFonts w:hint="eastAsia" w:ascii="宋体" w:hAnsi="宋体" w:eastAsia="宋体" w:cs="宋体"/>
          <w:snapToGrid w:val="0"/>
          <w:color w:val="auto"/>
          <w:kern w:val="0"/>
          <w:highlight w:val="none"/>
        </w:rPr>
      </w:pPr>
      <w:bookmarkStart w:id="312" w:name="_Hlt68771070"/>
      <w:bookmarkEnd w:id="312"/>
      <w:r>
        <w:rPr>
          <w:rFonts w:hint="eastAsia" w:ascii="宋体" w:hAnsi="宋体" w:eastAsia="宋体" w:cs="宋体"/>
          <w:snapToGrid w:val="0"/>
          <w:color w:val="auto"/>
          <w:kern w:val="0"/>
          <w:highlight w:val="none"/>
        </w:rPr>
        <w:t xml:space="preserve">6. 我方理解你方不一定要接纳收到的最低投标总价或任何投标总价的投标人中标，也不要求你方解释我方是否中标的原因。  </w:t>
      </w:r>
    </w:p>
    <w:p w14:paraId="286754D7">
      <w:pPr>
        <w:wordWrap w:val="0"/>
        <w:adjustRightInd w:val="0"/>
        <w:snapToGrid w:val="0"/>
        <w:spacing w:line="360" w:lineRule="auto"/>
        <w:rPr>
          <w:rFonts w:hint="eastAsia" w:ascii="宋体" w:hAnsi="宋体" w:eastAsia="宋体" w:cs="宋体"/>
          <w:snapToGrid w:val="0"/>
          <w:color w:val="auto"/>
          <w:kern w:val="0"/>
          <w:highlight w:val="none"/>
        </w:rPr>
      </w:pPr>
    </w:p>
    <w:p w14:paraId="4C19F572">
      <w:pPr>
        <w:wordWrap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投标人：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（盖单位章）</w:t>
      </w:r>
    </w:p>
    <w:p w14:paraId="02FADCC8">
      <w:pPr>
        <w:wordWrap w:val="0"/>
        <w:adjustRightInd w:val="0"/>
        <w:snapToGrid w:val="0"/>
        <w:spacing w:line="360" w:lineRule="auto"/>
        <w:jc w:val="both"/>
        <w:rPr>
          <w:rFonts w:hint="eastAsia" w:ascii="宋体" w:hAnsi="宋体" w:eastAsia="宋体" w:cs="宋体"/>
          <w:snapToGrid w:val="0"/>
          <w:color w:val="auto"/>
          <w:kern w:val="0"/>
          <w:highlight w:val="none"/>
        </w:rPr>
      </w:pPr>
    </w:p>
    <w:p w14:paraId="21A9E1B3">
      <w:pPr>
        <w:wordWrap w:val="0"/>
        <w:adjustRightInd w:val="0"/>
        <w:snapToGrid w:val="0"/>
        <w:spacing w:line="360" w:lineRule="auto"/>
        <w:ind w:firstLine="420" w:firstLineChars="200"/>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法定代表人或其委托代理人：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（签字或盖章）</w:t>
      </w:r>
    </w:p>
    <w:p w14:paraId="64C5BD80">
      <w:pPr>
        <w:wordWrap w:val="0"/>
        <w:adjustRightInd w:val="0"/>
        <w:snapToGrid w:val="0"/>
        <w:spacing w:line="360" w:lineRule="auto"/>
        <w:ind w:firstLine="420" w:firstLineChars="200"/>
        <w:jc w:val="right"/>
        <w:rPr>
          <w:rFonts w:hint="eastAsia" w:ascii="宋体" w:hAnsi="宋体" w:eastAsia="宋体" w:cs="宋体"/>
          <w:snapToGrid w:val="0"/>
          <w:color w:val="auto"/>
          <w:kern w:val="0"/>
          <w:highlight w:val="none"/>
        </w:rPr>
      </w:pPr>
    </w:p>
    <w:p w14:paraId="16BA2C90">
      <w:pPr>
        <w:wordWrap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5723254A">
      <w:pPr>
        <w:rPr>
          <w:rFonts w:hint="eastAsia" w:ascii="宋体" w:hAnsi="宋体" w:eastAsia="宋体" w:cs="宋体"/>
        </w:rPr>
      </w:pPr>
    </w:p>
    <w:p w14:paraId="651C624D">
      <w:pPr>
        <w:rPr>
          <w:rFonts w:hint="eastAsia" w:ascii="宋体" w:hAnsi="宋体" w:eastAsia="宋体" w:cs="宋体"/>
        </w:rPr>
      </w:pPr>
    </w:p>
    <w:p w14:paraId="2AB6725F">
      <w:pPr>
        <w:rPr>
          <w:rFonts w:hint="eastAsia" w:ascii="宋体" w:hAnsi="宋体" w:eastAsia="宋体" w:cs="宋体"/>
        </w:rPr>
      </w:pPr>
    </w:p>
    <w:p w14:paraId="55FAC9DF">
      <w:pPr>
        <w:rPr>
          <w:rFonts w:hint="eastAsia" w:ascii="宋体" w:hAnsi="宋体" w:eastAsia="宋体" w:cs="宋体"/>
        </w:rPr>
      </w:pPr>
    </w:p>
    <w:p w14:paraId="197EDB44">
      <w:pPr>
        <w:rPr>
          <w:rFonts w:hint="eastAsia" w:ascii="宋体" w:hAnsi="宋体" w:eastAsia="宋体" w:cs="宋体"/>
        </w:rPr>
      </w:pPr>
    </w:p>
    <w:p w14:paraId="3C10911C">
      <w:pPr>
        <w:rPr>
          <w:rFonts w:hint="eastAsia" w:ascii="宋体" w:hAnsi="宋体" w:eastAsia="宋体" w:cs="宋体"/>
        </w:rPr>
      </w:pPr>
    </w:p>
    <w:p w14:paraId="797BAF72">
      <w:pPr>
        <w:rPr>
          <w:rFonts w:hint="eastAsia" w:ascii="宋体" w:hAnsi="宋体" w:eastAsia="宋体" w:cs="宋体"/>
        </w:rPr>
      </w:pPr>
    </w:p>
    <w:p w14:paraId="458AF8B9">
      <w:pPr>
        <w:rPr>
          <w:rFonts w:hint="eastAsia" w:ascii="宋体" w:hAnsi="宋体" w:eastAsia="宋体" w:cs="宋体"/>
        </w:rPr>
      </w:pPr>
    </w:p>
    <w:p w14:paraId="797ED5A1">
      <w:pPr>
        <w:rPr>
          <w:rFonts w:hint="eastAsia" w:ascii="宋体" w:hAnsi="宋体" w:eastAsia="宋体" w:cs="宋体"/>
        </w:rPr>
      </w:pPr>
    </w:p>
    <w:p w14:paraId="5C1E69FC">
      <w:pPr>
        <w:rPr>
          <w:rFonts w:hint="eastAsia" w:ascii="宋体" w:hAnsi="宋体" w:eastAsia="宋体" w:cs="宋体"/>
        </w:rPr>
      </w:pPr>
    </w:p>
    <w:p w14:paraId="53BA4DC2">
      <w:pPr>
        <w:rPr>
          <w:rFonts w:hint="eastAsia" w:ascii="宋体" w:hAnsi="宋体" w:eastAsia="宋体" w:cs="宋体"/>
        </w:rPr>
      </w:pPr>
    </w:p>
    <w:p w14:paraId="6F3792C5">
      <w:pPr>
        <w:rPr>
          <w:rFonts w:hint="eastAsia" w:ascii="宋体" w:hAnsi="宋体" w:eastAsia="宋体" w:cs="宋体"/>
        </w:rPr>
      </w:pPr>
    </w:p>
    <w:p w14:paraId="32CD095F">
      <w:pPr>
        <w:rPr>
          <w:rFonts w:hint="eastAsia" w:ascii="宋体" w:hAnsi="宋体" w:eastAsia="宋体" w:cs="宋体"/>
        </w:rPr>
      </w:pPr>
    </w:p>
    <w:p w14:paraId="747A1937">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13" w:name="_Toc6212"/>
      <w:bookmarkStart w:id="314" w:name="_Toc4499"/>
      <w:r>
        <w:rPr>
          <w:rFonts w:hint="eastAsia" w:ascii="宋体" w:hAnsi="宋体" w:eastAsia="宋体" w:cs="宋体"/>
          <w:b/>
          <w:bCs/>
          <w:color w:val="auto"/>
          <w:spacing w:val="-11"/>
          <w:sz w:val="24"/>
          <w:szCs w:val="24"/>
          <w:highlight w:val="none"/>
          <w:lang w:val="en-US" w:eastAsia="zh-CN"/>
        </w:rPr>
        <w:t>格式三   各项承诺一览表</w:t>
      </w:r>
      <w:bookmarkEnd w:id="313"/>
      <w:bookmarkEnd w:id="314"/>
    </w:p>
    <w:p w14:paraId="1E50F52C">
      <w:pPr>
        <w:wordWrap w:val="0"/>
        <w:adjustRightInd w:val="0"/>
        <w:snapToGrid w:val="0"/>
        <w:spacing w:before="260" w:after="260" w:line="360" w:lineRule="auto"/>
        <w:jc w:val="center"/>
        <w:rPr>
          <w:rFonts w:hint="eastAsia" w:ascii="宋体" w:hAnsi="宋体" w:eastAsia="宋体" w:cs="宋体"/>
          <w:b/>
          <w:snapToGrid w:val="0"/>
          <w:color w:val="auto"/>
          <w:kern w:val="0"/>
          <w:sz w:val="30"/>
          <w:highlight w:val="none"/>
        </w:rPr>
      </w:pPr>
      <w:r>
        <w:rPr>
          <w:rFonts w:hint="eastAsia" w:ascii="宋体" w:hAnsi="宋体" w:eastAsia="宋体" w:cs="宋体"/>
          <w:b/>
          <w:snapToGrid w:val="0"/>
          <w:color w:val="auto"/>
          <w:kern w:val="0"/>
          <w:sz w:val="30"/>
          <w:highlight w:val="none"/>
        </w:rPr>
        <w:t>各项承诺一览表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16"/>
        <w:gridCol w:w="1573"/>
        <w:gridCol w:w="2923"/>
        <w:gridCol w:w="4019"/>
      </w:tblGrid>
      <w:tr w14:paraId="606D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716" w:type="dxa"/>
            <w:noWrap w:val="0"/>
            <w:vAlign w:val="center"/>
          </w:tcPr>
          <w:p w14:paraId="42B41F15">
            <w:pPr>
              <w:pStyle w:val="61"/>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序号</w:t>
            </w:r>
          </w:p>
        </w:tc>
        <w:tc>
          <w:tcPr>
            <w:tcW w:w="1573" w:type="dxa"/>
            <w:noWrap w:val="0"/>
            <w:vAlign w:val="center"/>
          </w:tcPr>
          <w:p w14:paraId="28B2AB86">
            <w:pPr>
              <w:pStyle w:val="61"/>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承诺事项</w:t>
            </w:r>
          </w:p>
        </w:tc>
        <w:tc>
          <w:tcPr>
            <w:tcW w:w="2923" w:type="dxa"/>
            <w:noWrap w:val="0"/>
            <w:vAlign w:val="center"/>
          </w:tcPr>
          <w:p w14:paraId="17F76C2A">
            <w:pPr>
              <w:pStyle w:val="61"/>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承诺内容</w:t>
            </w:r>
          </w:p>
        </w:tc>
        <w:tc>
          <w:tcPr>
            <w:tcW w:w="4019" w:type="dxa"/>
            <w:noWrap w:val="0"/>
            <w:vAlign w:val="center"/>
          </w:tcPr>
          <w:p w14:paraId="688DFD5B">
            <w:pPr>
              <w:pStyle w:val="61"/>
              <w:wordWrap w:val="0"/>
              <w:adjustRightInd w:val="0"/>
              <w:snapToGrid w:val="0"/>
              <w:spacing w:line="360" w:lineRule="auto"/>
              <w:jc w:val="center"/>
              <w:rPr>
                <w:rFonts w:hint="eastAsia" w:ascii="宋体" w:hAnsi="宋体" w:eastAsia="宋体" w:cs="宋体"/>
                <w:bCs/>
                <w:snapToGrid w:val="0"/>
                <w:color w:val="auto"/>
                <w:kern w:val="0"/>
                <w:szCs w:val="21"/>
                <w:highlight w:val="none"/>
              </w:rPr>
            </w:pPr>
            <w:r>
              <w:rPr>
                <w:rFonts w:hint="eastAsia" w:ascii="宋体" w:hAnsi="宋体" w:eastAsia="宋体" w:cs="宋体"/>
                <w:bCs/>
                <w:snapToGrid w:val="0"/>
                <w:color w:val="auto"/>
                <w:kern w:val="0"/>
                <w:szCs w:val="21"/>
                <w:highlight w:val="none"/>
              </w:rPr>
              <w:t>违约承诺</w:t>
            </w:r>
          </w:p>
        </w:tc>
      </w:tr>
      <w:tr w14:paraId="04D20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716" w:type="dxa"/>
            <w:noWrap w:val="0"/>
            <w:vAlign w:val="center"/>
          </w:tcPr>
          <w:p w14:paraId="5958BEF9">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73" w:type="dxa"/>
            <w:noWrap w:val="0"/>
            <w:vAlign w:val="center"/>
          </w:tcPr>
          <w:p w14:paraId="3487A474">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自愿接受招标</w:t>
            </w:r>
          </w:p>
          <w:p w14:paraId="0BED1AE0">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文件条款的承诺</w:t>
            </w:r>
          </w:p>
        </w:tc>
        <w:tc>
          <w:tcPr>
            <w:tcW w:w="2923" w:type="dxa"/>
            <w:noWrap w:val="0"/>
            <w:vAlign w:val="center"/>
          </w:tcPr>
          <w:p w14:paraId="02708758">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我方自愿接受招标文件的所有条款，所递交的投标文件已经充分响应招标文件的实质性要求。</w:t>
            </w:r>
          </w:p>
        </w:tc>
        <w:tc>
          <w:tcPr>
            <w:tcW w:w="4019" w:type="dxa"/>
            <w:noWrap w:val="0"/>
            <w:vAlign w:val="center"/>
          </w:tcPr>
          <w:p w14:paraId="74CEC527">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如果我方的投标文件未响应、违反、偏离招标文件的实质性要求，我方接受招标人或其授权的招标代理机构或其组建的评标委员会依据招标文件作出的相应处理，包括否决投标。</w:t>
            </w:r>
          </w:p>
        </w:tc>
      </w:tr>
      <w:tr w14:paraId="636A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26" w:hRule="atLeast"/>
          <w:jc w:val="center"/>
        </w:trPr>
        <w:tc>
          <w:tcPr>
            <w:tcW w:w="716" w:type="dxa"/>
            <w:noWrap w:val="0"/>
            <w:vAlign w:val="center"/>
          </w:tcPr>
          <w:p w14:paraId="4C234E39">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73" w:type="dxa"/>
            <w:noWrap w:val="0"/>
            <w:vAlign w:val="center"/>
          </w:tcPr>
          <w:p w14:paraId="7B709FA7">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无禁止投标</w:t>
            </w:r>
          </w:p>
          <w:p w14:paraId="0EC178BC">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情形的承诺</w:t>
            </w:r>
          </w:p>
        </w:tc>
        <w:tc>
          <w:tcPr>
            <w:tcW w:w="2923" w:type="dxa"/>
            <w:noWrap w:val="0"/>
            <w:vAlign w:val="center"/>
          </w:tcPr>
          <w:p w14:paraId="1C927612">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我方不存在招标文件第一章第三节第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w:t>
            </w:r>
          </w:p>
        </w:tc>
        <w:tc>
          <w:tcPr>
            <w:tcW w:w="4019" w:type="dxa"/>
            <w:noWrap w:val="0"/>
            <w:vAlign w:val="center"/>
          </w:tcPr>
          <w:p w14:paraId="414B34FF">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如果我方有招标文件第一章第三节第</w:t>
            </w:r>
            <w:r>
              <w:rPr>
                <w:rFonts w:hint="eastAsia" w:ascii="宋体" w:hAnsi="宋体" w:eastAsia="宋体" w:cs="宋体"/>
                <w:b/>
                <w:bCs/>
                <w:snapToGrid w:val="0"/>
                <w:color w:val="auto"/>
                <w:kern w:val="0"/>
                <w:sz w:val="21"/>
                <w:szCs w:val="21"/>
                <w:highlight w:val="none"/>
              </w:rPr>
              <w:t>2.4</w:t>
            </w:r>
            <w:r>
              <w:rPr>
                <w:rFonts w:hint="eastAsia" w:ascii="宋体" w:hAnsi="宋体" w:eastAsia="宋体" w:cs="宋体"/>
                <w:snapToGrid w:val="0"/>
                <w:color w:val="auto"/>
                <w:kern w:val="0"/>
                <w:sz w:val="21"/>
                <w:szCs w:val="21"/>
                <w:highlight w:val="none"/>
              </w:rPr>
              <w:t>条“禁止投标条款”规定的任何一种情形，我方接受招标人或其授权的招标代理机构或其组建的评标委员会依据招标文件作出的相应处理以及有关监督部门作出的行政处罚，并承担由此引起的一切法律后果。</w:t>
            </w:r>
          </w:p>
        </w:tc>
      </w:tr>
      <w:tr w14:paraId="35F60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13" w:hRule="atLeast"/>
          <w:jc w:val="center"/>
        </w:trPr>
        <w:tc>
          <w:tcPr>
            <w:tcW w:w="716" w:type="dxa"/>
            <w:noWrap w:val="0"/>
            <w:vAlign w:val="center"/>
          </w:tcPr>
          <w:p w14:paraId="248211D3">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73" w:type="dxa"/>
            <w:noWrap w:val="0"/>
            <w:vAlign w:val="center"/>
          </w:tcPr>
          <w:p w14:paraId="5115D9C4">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自觉抵制围标</w:t>
            </w:r>
          </w:p>
          <w:p w14:paraId="7D11496D">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串标和弄虚</w:t>
            </w:r>
          </w:p>
          <w:p w14:paraId="4288B067">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作假行为的承诺</w:t>
            </w:r>
          </w:p>
        </w:tc>
        <w:tc>
          <w:tcPr>
            <w:tcW w:w="2923" w:type="dxa"/>
            <w:noWrap w:val="0"/>
            <w:vAlign w:val="center"/>
          </w:tcPr>
          <w:p w14:paraId="3709780C">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我方合法正当、诚实守信地参与投标，不组织、不参加围标串标违法行为，不通过弄虚作假行为骗取中标。</w:t>
            </w:r>
          </w:p>
        </w:tc>
        <w:tc>
          <w:tcPr>
            <w:tcW w:w="4019" w:type="dxa"/>
            <w:noWrap w:val="0"/>
            <w:vAlign w:val="center"/>
          </w:tcPr>
          <w:p w14:paraId="6E87702E">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组织或参加围标串标违法行为或通过弄虚作假行为骗取中标，我方接受招标人或其授权的招标代理机构或其组建的评标委员会依据招标文件作出的相应处理以及有关监督部门作出的行政处罚，并承担由此引起的一切法律后果。</w:t>
            </w:r>
          </w:p>
        </w:tc>
      </w:tr>
      <w:tr w14:paraId="7414E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93" w:hRule="atLeast"/>
          <w:jc w:val="center"/>
        </w:trPr>
        <w:tc>
          <w:tcPr>
            <w:tcW w:w="716" w:type="dxa"/>
            <w:noWrap w:val="0"/>
            <w:vAlign w:val="center"/>
          </w:tcPr>
          <w:p w14:paraId="31EAA839">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573" w:type="dxa"/>
            <w:noWrap w:val="0"/>
            <w:vAlign w:val="center"/>
          </w:tcPr>
          <w:p w14:paraId="346FC519">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p w14:paraId="7AC888FE">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任职承诺</w:t>
            </w:r>
          </w:p>
        </w:tc>
        <w:tc>
          <w:tcPr>
            <w:tcW w:w="2923" w:type="dxa"/>
            <w:noWrap w:val="0"/>
            <w:vAlign w:val="center"/>
          </w:tcPr>
          <w:p w14:paraId="124AC659">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我方拟派项目经理现阶段没有担任任何在施（包括已中标未开工、已开工未竣工）建设工程项目的项目经理。</w:t>
            </w:r>
          </w:p>
        </w:tc>
        <w:tc>
          <w:tcPr>
            <w:tcW w:w="4019" w:type="dxa"/>
            <w:noWrap w:val="0"/>
            <w:vAlign w:val="center"/>
          </w:tcPr>
          <w:p w14:paraId="6293E7F5">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拟派项目经理在本项目招标投标活动期间有担任其他任何在施（包括已中标未开工、已开工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0F90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 w:hRule="atLeast"/>
          <w:jc w:val="center"/>
        </w:trPr>
        <w:tc>
          <w:tcPr>
            <w:tcW w:w="716" w:type="dxa"/>
            <w:noWrap w:val="0"/>
            <w:vAlign w:val="center"/>
          </w:tcPr>
          <w:p w14:paraId="1EDFD2C6">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573" w:type="dxa"/>
            <w:noWrap w:val="0"/>
            <w:vAlign w:val="center"/>
          </w:tcPr>
          <w:p w14:paraId="53216285">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575AB90A">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真实性承诺</w:t>
            </w:r>
          </w:p>
        </w:tc>
        <w:tc>
          <w:tcPr>
            <w:tcW w:w="2923" w:type="dxa"/>
            <w:noWrap w:val="0"/>
            <w:vAlign w:val="center"/>
          </w:tcPr>
          <w:p w14:paraId="42AB3134">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我方所递交投标文件的全部内容均为真实、有效、准确的。</w:t>
            </w:r>
          </w:p>
        </w:tc>
        <w:tc>
          <w:tcPr>
            <w:tcW w:w="4019" w:type="dxa"/>
            <w:noWrap w:val="0"/>
            <w:vAlign w:val="center"/>
          </w:tcPr>
          <w:p w14:paraId="51609CB5">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如果我方递交的投标文件任何内容不真实或无效或不准确，我方接受招标人或其授权的招标代理机构或其组建的评标委员会依据招标文件作出的相应处理，包括否决投标。</w:t>
            </w:r>
          </w:p>
        </w:tc>
      </w:tr>
      <w:tr w14:paraId="7C189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4" w:hRule="atLeast"/>
          <w:jc w:val="center"/>
        </w:trPr>
        <w:tc>
          <w:tcPr>
            <w:tcW w:w="716" w:type="dxa"/>
            <w:noWrap w:val="0"/>
            <w:vAlign w:val="center"/>
          </w:tcPr>
          <w:p w14:paraId="6B31AF3E">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573" w:type="dxa"/>
            <w:noWrap w:val="0"/>
            <w:vAlign w:val="center"/>
          </w:tcPr>
          <w:p w14:paraId="05E969B8">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投标文件</w:t>
            </w:r>
          </w:p>
          <w:p w14:paraId="7291B7F4">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信息公开承诺</w:t>
            </w:r>
          </w:p>
        </w:tc>
        <w:tc>
          <w:tcPr>
            <w:tcW w:w="2923" w:type="dxa"/>
            <w:noWrap w:val="0"/>
            <w:vAlign w:val="center"/>
          </w:tcPr>
          <w:p w14:paraId="1B9704D9">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我方提供完整的电子文件。如果我方成为本项目中标候选人，我方同意并授权招标人在评标结果公示期内公开我方商务标书的全部内容。</w:t>
            </w:r>
          </w:p>
        </w:tc>
        <w:tc>
          <w:tcPr>
            <w:tcW w:w="4019" w:type="dxa"/>
            <w:tcBorders>
              <w:bottom w:val="single" w:color="auto" w:sz="4" w:space="0"/>
            </w:tcBorders>
            <w:noWrap w:val="0"/>
            <w:vAlign w:val="center"/>
            <mc:AlternateContent>
              <mc:Choice Requires="wpsCustomData">
                <wpsCustomData:diagonals>
                  <wpsCustomData:diagonal from="20000" to="0">
                    <wpsCustomData:border w:val="single" w:color="auto" w:sz="4" w:space="0"/>
                  </wpsCustomData:diagonal>
                </wpsCustomData:diagonals>
              </mc:Choice>
            </mc:AlternateContent>
          </w:tcPr>
          <w:p w14:paraId="78231BCB">
            <w:pPr>
              <w:pStyle w:val="62"/>
              <w:wordWrap w:val="0"/>
              <w:adjustRightInd w:val="0"/>
              <w:snapToGrid w:val="0"/>
              <w:spacing w:line="360" w:lineRule="auto"/>
              <w:ind w:firstLine="0" w:firstLineChars="0"/>
              <w:jc w:val="left"/>
              <mc:AlternateContent>
                <mc:Choice Requires="wpsCustomData">
                  <wpsCustomData:diagonalParaType/>
                </mc:Choice>
              </mc:AlternateContent>
              <w:rPr>
                <w:rFonts w:hint="eastAsia" w:ascii="宋体" w:hAnsi="宋体" w:eastAsia="宋体" w:cs="宋体"/>
                <w:snapToGrid w:val="0"/>
                <w:color w:val="auto"/>
                <w:kern w:val="0"/>
                <w:sz w:val="21"/>
                <w:szCs w:val="21"/>
                <w:highlight w:val="none"/>
              </w:rPr>
            </w:pPr>
          </w:p>
          <w:p w14:paraId="4CC2F0D7">
            <w:pPr>
              <w:pStyle w:val="62"/>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75F82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11" w:hRule="atLeast"/>
          <w:jc w:val="center"/>
        </w:trPr>
        <w:tc>
          <w:tcPr>
            <w:tcW w:w="716" w:type="dxa"/>
            <w:noWrap w:val="0"/>
            <w:vAlign w:val="center"/>
          </w:tcPr>
          <w:p w14:paraId="043514C3">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573" w:type="dxa"/>
            <w:noWrap w:val="0"/>
            <w:vAlign w:val="center"/>
          </w:tcPr>
          <w:p w14:paraId="235F3116">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对不正常报价</w:t>
            </w:r>
          </w:p>
          <w:p w14:paraId="59E6BB78">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的确认承诺</w:t>
            </w:r>
          </w:p>
        </w:tc>
        <w:tc>
          <w:tcPr>
            <w:tcW w:w="2923" w:type="dxa"/>
            <w:noWrap w:val="0"/>
            <w:vAlign w:val="center"/>
          </w:tcPr>
          <w:p w14:paraId="04907DD5">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如果我方中标，我方接受招标人在合同订立期间依据招标文件有关条款约定对我方已标价工程量清单中不正常报价的修正或认定，并按要求签署《不正常报价清单》加以确认。</w:t>
            </w:r>
          </w:p>
        </w:tc>
        <w:tc>
          <w:tcPr>
            <w:tcW w:w="4019" w:type="dxa"/>
            <w:tcBorders>
              <w:tr2bl w:val="single" w:color="auto" w:sz="4" w:space="0"/>
            </w:tcBorders>
            <w:noWrap w:val="0"/>
            <w:vAlign w:val="center"/>
          </w:tcPr>
          <w:p w14:paraId="70E0D9D1">
            <w:pPr>
              <w:pStyle w:val="62"/>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p w14:paraId="189C95F2">
            <w:pPr>
              <w:pStyle w:val="62"/>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p>
        </w:tc>
      </w:tr>
      <w:tr w14:paraId="6BFCD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6" w:hRule="atLeast"/>
          <w:jc w:val="center"/>
        </w:trPr>
        <w:tc>
          <w:tcPr>
            <w:tcW w:w="716" w:type="dxa"/>
            <w:noWrap w:val="0"/>
            <w:vAlign w:val="center"/>
          </w:tcPr>
          <w:p w14:paraId="727DA8FA">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1573" w:type="dxa"/>
            <w:noWrap w:val="0"/>
            <w:vAlign w:val="center"/>
          </w:tcPr>
          <w:p w14:paraId="0D21C7D0">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按时提交履约</w:t>
            </w:r>
          </w:p>
          <w:p w14:paraId="18281251">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保证的承诺</w:t>
            </w:r>
          </w:p>
        </w:tc>
        <w:tc>
          <w:tcPr>
            <w:tcW w:w="2923" w:type="dxa"/>
            <w:noWrap w:val="0"/>
            <w:vAlign w:val="center"/>
          </w:tcPr>
          <w:p w14:paraId="0EFF3052">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如果我方中标，我方保证在招标文件规定的时限内全额提交履约保证。</w:t>
            </w:r>
          </w:p>
        </w:tc>
        <w:tc>
          <w:tcPr>
            <w:tcW w:w="4019" w:type="dxa"/>
            <w:noWrap w:val="0"/>
            <w:vAlign w:val="center"/>
          </w:tcPr>
          <w:p w14:paraId="5019C284">
            <w:pPr>
              <w:pStyle w:val="62"/>
              <w:wordWrap w:val="0"/>
              <w:adjustRightInd w:val="0"/>
              <w:snapToGrid w:val="0"/>
              <w:spacing w:line="360" w:lineRule="auto"/>
              <w:ind w:firstLine="0" w:firstLineChars="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 xml:space="preserve">    如果我方未在招标文件规定的时限内全额提交履约保证，我方接受招标人依据招标文件作出的相应处理以及有关监督部门作出的行政处罚，并承担由此引起的一切法律后果。</w:t>
            </w:r>
          </w:p>
        </w:tc>
      </w:tr>
      <w:tr w14:paraId="2DDEA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98" w:hRule="atLeast"/>
          <w:jc w:val="center"/>
        </w:trPr>
        <w:tc>
          <w:tcPr>
            <w:tcW w:w="716" w:type="dxa"/>
            <w:noWrap w:val="0"/>
            <w:vAlign w:val="center"/>
          </w:tcPr>
          <w:p w14:paraId="105C35A9">
            <w:pPr>
              <w:pStyle w:val="61"/>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1573" w:type="dxa"/>
            <w:noWrap w:val="0"/>
            <w:vAlign w:val="center"/>
          </w:tcPr>
          <w:p w14:paraId="01E74381">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按时签订合同</w:t>
            </w:r>
          </w:p>
          <w:p w14:paraId="07DC4A37">
            <w:pPr>
              <w:pStyle w:val="62"/>
              <w:wordWrap w:val="0"/>
              <w:adjustRightInd w:val="0"/>
              <w:snapToGrid w:val="0"/>
              <w:spacing w:line="360" w:lineRule="auto"/>
              <w:ind w:firstLine="0" w:firstLineChars="0"/>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的承诺</w:t>
            </w:r>
          </w:p>
        </w:tc>
        <w:tc>
          <w:tcPr>
            <w:tcW w:w="2923" w:type="dxa"/>
            <w:noWrap w:val="0"/>
            <w:vAlign w:val="center"/>
          </w:tcPr>
          <w:p w14:paraId="5A06FEEF">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如果我方中标，我方保证在招标文件规定的时限内与招标人签订合同，不提出违背或超出招标文件、中标文件的要求。</w:t>
            </w:r>
          </w:p>
        </w:tc>
        <w:tc>
          <w:tcPr>
            <w:tcW w:w="4019" w:type="dxa"/>
            <w:noWrap w:val="0"/>
            <w:vAlign w:val="center"/>
          </w:tcPr>
          <w:p w14:paraId="1FD7AE5E">
            <w:pPr>
              <w:pStyle w:val="62"/>
              <w:wordWrap w:val="0"/>
              <w:adjustRightInd w:val="0"/>
              <w:snapToGrid w:val="0"/>
              <w:spacing w:line="360" w:lineRule="auto"/>
              <w:ind w:firstLine="420" w:firstLineChars="200"/>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如果我方未在招标文件规定的时限内与招标人签订合同，或我方在签订合同过程中提出违背或超出招标文件、中标文件的要求。我方接受招标人依据招标文件作出的相应处理以及有关监督部门作出的行政处罚，并承担由此引起的一切法律后果。</w:t>
            </w:r>
          </w:p>
        </w:tc>
      </w:tr>
    </w:tbl>
    <w:p w14:paraId="24D3237B">
      <w:pPr>
        <w:pStyle w:val="61"/>
        <w:wordWrap w:val="0"/>
        <w:adjustRightInd w:val="0"/>
        <w:snapToGrid w:val="0"/>
        <w:spacing w:line="360" w:lineRule="auto"/>
        <w:jc w:val="left"/>
        <w:rPr>
          <w:rFonts w:hint="eastAsia" w:ascii="宋体" w:hAnsi="宋体" w:eastAsia="宋体" w:cs="宋体"/>
          <w:snapToGrid w:val="0"/>
          <w:color w:val="auto"/>
          <w:kern w:val="0"/>
          <w:highlight w:val="none"/>
        </w:rPr>
      </w:pPr>
    </w:p>
    <w:p w14:paraId="046F0F03">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p>
    <w:p w14:paraId="484E4F6D">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投标人：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（盖单位章）</w:t>
      </w:r>
    </w:p>
    <w:p w14:paraId="0F7A98C2">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p>
    <w:p w14:paraId="2229334B">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p>
    <w:p w14:paraId="6E81400B">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法定代表人或其委托代理人：</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（签字或盖章）</w:t>
      </w:r>
    </w:p>
    <w:p w14:paraId="26E5072B">
      <w:pPr>
        <w:pStyle w:val="14"/>
        <w:wordWrap w:val="0"/>
        <w:adjustRightInd w:val="0"/>
        <w:snapToGrid w:val="0"/>
        <w:spacing w:line="360" w:lineRule="auto"/>
        <w:ind w:firstLine="420" w:firstLineChars="200"/>
        <w:rPr>
          <w:rFonts w:hint="eastAsia" w:ascii="宋体" w:hAnsi="宋体" w:eastAsia="宋体" w:cs="宋体"/>
          <w:snapToGrid w:val="0"/>
          <w:color w:val="auto"/>
          <w:kern w:val="0"/>
          <w:szCs w:val="24"/>
          <w:highlight w:val="none"/>
        </w:rPr>
      </w:pPr>
    </w:p>
    <w:p w14:paraId="74AA5DC2">
      <w:pPr>
        <w:pStyle w:val="14"/>
        <w:wordWrap w:val="0"/>
        <w:adjustRightInd w:val="0"/>
        <w:snapToGrid w:val="0"/>
        <w:spacing w:line="360" w:lineRule="auto"/>
        <w:ind w:firstLine="420" w:firstLineChars="200"/>
        <w:jc w:val="right"/>
        <w:rPr>
          <w:rFonts w:hint="eastAsia" w:ascii="宋体" w:hAnsi="宋体" w:eastAsia="宋体" w:cs="宋体"/>
          <w:snapToGrid w:val="0"/>
          <w:color w:val="auto"/>
          <w:kern w:val="0"/>
          <w:szCs w:val="24"/>
          <w:highlight w:val="none"/>
        </w:rPr>
      </w:pPr>
      <w:r>
        <w:rPr>
          <w:rFonts w:hint="eastAsia" w:ascii="宋体" w:hAnsi="宋体" w:eastAsia="宋体" w:cs="宋体"/>
          <w:snapToGrid w:val="0"/>
          <w:color w:val="auto"/>
          <w:kern w:val="0"/>
          <w:szCs w:val="24"/>
          <w:highlight w:val="none"/>
        </w:rPr>
        <w:t xml:space="preserve">                      </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年</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月</w:t>
      </w:r>
      <w:r>
        <w:rPr>
          <w:rFonts w:hint="eastAsia" w:ascii="宋体" w:hAnsi="宋体" w:eastAsia="宋体" w:cs="宋体"/>
          <w:snapToGrid w:val="0"/>
          <w:color w:val="auto"/>
          <w:kern w:val="0"/>
          <w:szCs w:val="24"/>
          <w:highlight w:val="none"/>
          <w:u w:val="single"/>
        </w:rPr>
        <w:t xml:space="preserve">    </w:t>
      </w:r>
      <w:r>
        <w:rPr>
          <w:rFonts w:hint="eastAsia" w:ascii="宋体" w:hAnsi="宋体" w:eastAsia="宋体" w:cs="宋体"/>
          <w:snapToGrid w:val="0"/>
          <w:color w:val="auto"/>
          <w:kern w:val="0"/>
          <w:szCs w:val="24"/>
          <w:highlight w:val="none"/>
        </w:rPr>
        <w:t>日</w:t>
      </w:r>
    </w:p>
    <w:p w14:paraId="5C841019">
      <w:pPr>
        <w:rPr>
          <w:rFonts w:hint="eastAsia" w:ascii="宋体" w:hAnsi="宋体" w:eastAsia="宋体" w:cs="宋体"/>
        </w:rPr>
      </w:pPr>
    </w:p>
    <w:p w14:paraId="628D37FD">
      <w:pPr>
        <w:rPr>
          <w:rFonts w:hint="eastAsia" w:ascii="宋体" w:hAnsi="宋体" w:eastAsia="宋体" w:cs="宋体"/>
        </w:rPr>
      </w:pPr>
    </w:p>
    <w:p w14:paraId="05699BF2">
      <w:pPr>
        <w:rPr>
          <w:rFonts w:hint="eastAsia" w:ascii="宋体" w:hAnsi="宋体" w:eastAsia="宋体" w:cs="宋体"/>
        </w:rPr>
      </w:pPr>
    </w:p>
    <w:p w14:paraId="74DED8EF">
      <w:pPr>
        <w:rPr>
          <w:rFonts w:hint="eastAsia" w:ascii="宋体" w:hAnsi="宋体" w:eastAsia="宋体" w:cs="宋体"/>
        </w:rPr>
      </w:pPr>
    </w:p>
    <w:p w14:paraId="255CDE9C">
      <w:pPr>
        <w:rPr>
          <w:rFonts w:hint="eastAsia" w:ascii="宋体" w:hAnsi="宋体" w:eastAsia="宋体" w:cs="宋体"/>
        </w:rPr>
      </w:pPr>
    </w:p>
    <w:p w14:paraId="6C88DCBC">
      <w:pPr>
        <w:rPr>
          <w:rFonts w:hint="eastAsia" w:ascii="宋体" w:hAnsi="宋体" w:eastAsia="宋体" w:cs="宋体"/>
        </w:rPr>
      </w:pPr>
    </w:p>
    <w:p w14:paraId="716F8935">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15" w:name="_Toc27327"/>
      <w:bookmarkStart w:id="316" w:name="_Toc10088"/>
      <w:r>
        <w:rPr>
          <w:rFonts w:hint="eastAsia" w:ascii="宋体" w:hAnsi="宋体" w:eastAsia="宋体" w:cs="宋体"/>
          <w:b/>
          <w:bCs/>
          <w:color w:val="auto"/>
          <w:spacing w:val="-11"/>
          <w:sz w:val="24"/>
          <w:szCs w:val="24"/>
          <w:highlight w:val="none"/>
          <w:lang w:val="en-US" w:eastAsia="zh-CN"/>
        </w:rPr>
        <w:t>格式四   授权委托书</w:t>
      </w:r>
      <w:bookmarkEnd w:id="315"/>
      <w:bookmarkEnd w:id="316"/>
    </w:p>
    <w:p w14:paraId="66087581">
      <w:pPr>
        <w:wordWrap w:val="0"/>
        <w:adjustRightInd w:val="0"/>
        <w:snapToGrid w:val="0"/>
        <w:spacing w:before="260" w:after="260" w:line="360" w:lineRule="auto"/>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授权委托书</w:t>
      </w:r>
    </w:p>
    <w:p w14:paraId="68A237FF">
      <w:pPr>
        <w:wordWrap w:val="0"/>
        <w:adjustRightInd w:val="0"/>
        <w:snapToGrid w:val="0"/>
        <w:spacing w:line="360" w:lineRule="auto"/>
        <w:rPr>
          <w:rFonts w:hint="eastAsia" w:ascii="宋体" w:hAnsi="宋体" w:eastAsia="宋体" w:cs="宋体"/>
          <w:snapToGrid w:val="0"/>
          <w:color w:val="auto"/>
          <w:kern w:val="0"/>
          <w:szCs w:val="28"/>
          <w:highlight w:val="none"/>
        </w:rPr>
      </w:pPr>
    </w:p>
    <w:p w14:paraId="572DC2E8">
      <w:pPr>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本人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（投标人名称）的法定代表人，现委托</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（姓名）为我方代理人。代理人根据授权，以我方名义签署、澄清、说明、补正、递交、撤回、修改</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（项目名称）投标文件、签订合同和处理有关事宜，其法律后果由我方承担。</w:t>
      </w:r>
    </w:p>
    <w:p w14:paraId="5B8DDD93">
      <w:pPr>
        <w:wordWrap w:val="0"/>
        <w:adjustRightInd w:val="0"/>
        <w:snapToGrid w:val="0"/>
        <w:spacing w:line="360" w:lineRule="auto"/>
        <w:ind w:firstLine="420" w:firstLineChars="200"/>
        <w:rPr>
          <w:rFonts w:hint="eastAsia" w:ascii="宋体" w:hAnsi="宋体" w:eastAsia="宋体" w:cs="宋体"/>
          <w:b w:val="0"/>
          <w:bCs w:val="0"/>
          <w:i w:val="0"/>
          <w:iCs w:val="0"/>
          <w:snapToGrid w:val="0"/>
          <w:color w:val="auto"/>
          <w:kern w:val="0"/>
          <w:szCs w:val="21"/>
          <w:highlight w:val="none"/>
        </w:rPr>
      </w:pPr>
      <w:r>
        <w:rPr>
          <w:rFonts w:hint="eastAsia" w:ascii="宋体" w:hAnsi="宋体" w:eastAsia="宋体" w:cs="宋体"/>
          <w:b w:val="0"/>
          <w:bCs w:val="0"/>
          <w:i w:val="0"/>
          <w:iCs w:val="0"/>
          <w:snapToGrid w:val="0"/>
          <w:color w:val="auto"/>
          <w:kern w:val="0"/>
          <w:szCs w:val="21"/>
          <w:highlight w:val="none"/>
        </w:rPr>
        <w:t>委托期限：</w:t>
      </w:r>
      <w:r>
        <w:rPr>
          <w:rFonts w:hint="eastAsia" w:ascii="宋体" w:hAnsi="宋体" w:eastAsia="宋体" w:cs="宋体"/>
          <w:b w:val="0"/>
          <w:bCs w:val="0"/>
          <w:i w:val="0"/>
          <w:iCs w:val="0"/>
          <w:snapToGrid w:val="0"/>
          <w:color w:val="auto"/>
          <w:kern w:val="0"/>
          <w:szCs w:val="21"/>
          <w:highlight w:val="none"/>
          <w:lang w:val="en-US" w:eastAsia="zh-CN"/>
        </w:rPr>
        <w:t>至</w:t>
      </w:r>
      <w:r>
        <w:rPr>
          <w:rFonts w:hint="eastAsia" w:ascii="宋体" w:hAnsi="宋体" w:eastAsia="宋体" w:cs="宋体"/>
          <w:b w:val="0"/>
          <w:bCs w:val="0"/>
          <w:i w:val="0"/>
          <w:iCs w:val="0"/>
          <w:snapToGrid w:val="0"/>
          <w:color w:val="auto"/>
          <w:kern w:val="0"/>
          <w:szCs w:val="21"/>
          <w:highlight w:val="none"/>
          <w:u w:val="single"/>
        </w:rPr>
        <w:t xml:space="preserve">     </w:t>
      </w:r>
      <w:r>
        <w:rPr>
          <w:rFonts w:hint="eastAsia" w:ascii="宋体" w:hAnsi="宋体" w:eastAsia="宋体" w:cs="宋体"/>
          <w:b w:val="0"/>
          <w:bCs w:val="0"/>
          <w:i w:val="0"/>
          <w:iCs w:val="0"/>
          <w:snapToGrid w:val="0"/>
          <w:color w:val="auto"/>
          <w:kern w:val="0"/>
          <w:szCs w:val="21"/>
          <w:highlight w:val="none"/>
          <w:lang w:val="en-US" w:eastAsia="zh-CN"/>
        </w:rPr>
        <w:t>年</w:t>
      </w:r>
      <w:r>
        <w:rPr>
          <w:rFonts w:hint="eastAsia" w:ascii="宋体" w:hAnsi="宋体" w:eastAsia="宋体" w:cs="宋体"/>
          <w:b w:val="0"/>
          <w:bCs w:val="0"/>
          <w:i w:val="0"/>
          <w:iCs w:val="0"/>
          <w:snapToGrid w:val="0"/>
          <w:color w:val="auto"/>
          <w:kern w:val="0"/>
          <w:szCs w:val="21"/>
          <w:highlight w:val="none"/>
          <w:u w:val="single"/>
        </w:rPr>
        <w:t xml:space="preserve">     </w:t>
      </w:r>
      <w:r>
        <w:rPr>
          <w:rFonts w:hint="eastAsia" w:ascii="宋体" w:hAnsi="宋体" w:eastAsia="宋体" w:cs="宋体"/>
          <w:b w:val="0"/>
          <w:bCs w:val="0"/>
          <w:i w:val="0"/>
          <w:iCs w:val="0"/>
          <w:snapToGrid w:val="0"/>
          <w:color w:val="auto"/>
          <w:kern w:val="0"/>
          <w:szCs w:val="21"/>
          <w:highlight w:val="none"/>
          <w:lang w:val="en-US" w:eastAsia="zh-CN"/>
        </w:rPr>
        <w:t>月</w:t>
      </w:r>
      <w:r>
        <w:rPr>
          <w:rFonts w:hint="eastAsia" w:ascii="宋体" w:hAnsi="宋体" w:eastAsia="宋体" w:cs="宋体"/>
          <w:b w:val="0"/>
          <w:bCs w:val="0"/>
          <w:i w:val="0"/>
          <w:iCs w:val="0"/>
          <w:snapToGrid w:val="0"/>
          <w:color w:val="auto"/>
          <w:kern w:val="0"/>
          <w:szCs w:val="21"/>
          <w:highlight w:val="none"/>
          <w:u w:val="single"/>
        </w:rPr>
        <w:t xml:space="preserve">     </w:t>
      </w:r>
      <w:r>
        <w:rPr>
          <w:rFonts w:hint="eastAsia" w:ascii="宋体" w:hAnsi="宋体" w:eastAsia="宋体" w:cs="宋体"/>
          <w:b w:val="0"/>
          <w:bCs w:val="0"/>
          <w:i w:val="0"/>
          <w:iCs w:val="0"/>
          <w:snapToGrid w:val="0"/>
          <w:color w:val="auto"/>
          <w:kern w:val="0"/>
          <w:szCs w:val="21"/>
          <w:highlight w:val="none"/>
          <w:lang w:val="en-US" w:eastAsia="zh-CN"/>
        </w:rPr>
        <w:t>日</w:t>
      </w:r>
      <w:r>
        <w:rPr>
          <w:rFonts w:hint="eastAsia" w:ascii="宋体" w:hAnsi="宋体" w:eastAsia="宋体" w:cs="宋体"/>
          <w:b w:val="0"/>
          <w:bCs w:val="0"/>
          <w:i w:val="0"/>
          <w:iCs w:val="0"/>
          <w:snapToGrid w:val="0"/>
          <w:color w:val="auto"/>
          <w:kern w:val="0"/>
          <w:szCs w:val="21"/>
          <w:highlight w:val="none"/>
          <w:u w:val="single"/>
          <w:lang w:val="en-US" w:eastAsia="zh-CN"/>
        </w:rPr>
        <w:t>（不得短于招标文件规定的投标有效期）</w:t>
      </w:r>
      <w:r>
        <w:rPr>
          <w:rFonts w:hint="eastAsia" w:ascii="宋体" w:hAnsi="宋体" w:eastAsia="宋体" w:cs="宋体"/>
          <w:b w:val="0"/>
          <w:bCs w:val="0"/>
          <w:i w:val="0"/>
          <w:iCs w:val="0"/>
          <w:snapToGrid w:val="0"/>
          <w:color w:val="auto"/>
          <w:kern w:val="0"/>
          <w:szCs w:val="21"/>
          <w:highlight w:val="none"/>
          <w:lang w:val="en-US" w:eastAsia="zh-CN"/>
        </w:rPr>
        <w:t>。</w:t>
      </w:r>
    </w:p>
    <w:p w14:paraId="756D8030">
      <w:pPr>
        <w:wordWrap w:val="0"/>
        <w:adjustRightInd w:val="0"/>
        <w:snapToGrid w:val="0"/>
        <w:spacing w:line="360" w:lineRule="auto"/>
        <w:ind w:firstLine="422" w:firstLineChars="200"/>
        <w:rPr>
          <w:rFonts w:hint="eastAsia" w:ascii="宋体" w:hAnsi="宋体" w:eastAsia="宋体" w:cs="宋体"/>
          <w:b/>
          <w:bCs/>
          <w:i w:val="0"/>
          <w:iCs w:val="0"/>
          <w:snapToGrid w:val="0"/>
          <w:color w:val="auto"/>
          <w:kern w:val="0"/>
          <w:szCs w:val="21"/>
          <w:highlight w:val="none"/>
        </w:rPr>
      </w:pPr>
    </w:p>
    <w:p w14:paraId="2A192204">
      <w:pPr>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代理人无转委托权。</w:t>
      </w:r>
    </w:p>
    <w:p w14:paraId="0415E772">
      <w:pPr>
        <w:wordWrap w:val="0"/>
        <w:adjustRightInd w:val="0"/>
        <w:snapToGrid w:val="0"/>
        <w:spacing w:line="360" w:lineRule="auto"/>
        <w:ind w:firstLine="420" w:firstLineChars="200"/>
        <w:rPr>
          <w:rFonts w:hint="eastAsia" w:ascii="宋体" w:hAnsi="宋体" w:eastAsia="宋体" w:cs="宋体"/>
          <w:snapToGrid w:val="0"/>
          <w:color w:val="auto"/>
          <w:kern w:val="0"/>
          <w:szCs w:val="21"/>
          <w:highlight w:val="none"/>
        </w:rPr>
      </w:pPr>
    </w:p>
    <w:p w14:paraId="1C8A9DF5">
      <w:pPr>
        <w:wordWrap w:val="0"/>
        <w:adjustRightInd w:val="0"/>
        <w:snapToGrid w:val="0"/>
        <w:spacing w:line="360" w:lineRule="auto"/>
        <w:ind w:firstLine="420" w:firstLineChars="200"/>
        <w:rPr>
          <w:rFonts w:hint="eastAsia" w:ascii="宋体" w:hAnsi="宋体" w:eastAsia="宋体" w:cs="宋体"/>
          <w:snapToGrid w:val="0"/>
          <w:color w:val="auto"/>
          <w:kern w:val="0"/>
          <w:szCs w:val="21"/>
          <w:highlight w:val="none"/>
        </w:rPr>
      </w:pPr>
    </w:p>
    <w:p w14:paraId="6259FD5E">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投  标  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6A252D18">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13BADAF4">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56C03AB1">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委托代理人：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188ECF2A">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p>
    <w:p w14:paraId="4D7910DF">
      <w:pPr>
        <w:wordWrap w:val="0"/>
        <w:adjustRightInd w:val="0"/>
        <w:snapToGrid w:val="0"/>
        <w:spacing w:line="360" w:lineRule="auto"/>
        <w:ind w:firstLine="420" w:firstLineChars="2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日</w:t>
      </w:r>
    </w:p>
    <w:p w14:paraId="096BD1BF">
      <w:pPr>
        <w:rPr>
          <w:rFonts w:hint="eastAsia" w:ascii="宋体" w:hAnsi="宋体" w:eastAsia="宋体" w:cs="宋体"/>
        </w:rPr>
      </w:pPr>
    </w:p>
    <w:p w14:paraId="10596A54">
      <w:pPr>
        <w:rPr>
          <w:rFonts w:hint="eastAsia" w:ascii="宋体" w:hAnsi="宋体" w:eastAsia="宋体" w:cs="宋体"/>
        </w:rPr>
      </w:pPr>
    </w:p>
    <w:p w14:paraId="0C542C18">
      <w:pPr>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1312" behindDoc="0" locked="0" layoutInCell="1" allowOverlap="1">
                <wp:simplePos x="0" y="0"/>
                <wp:positionH relativeFrom="column">
                  <wp:posOffset>1466850</wp:posOffset>
                </wp:positionH>
                <wp:positionV relativeFrom="paragraph">
                  <wp:posOffset>33020</wp:posOffset>
                </wp:positionV>
                <wp:extent cx="3190875" cy="1584325"/>
                <wp:effectExtent l="4445" t="4445" r="5080" b="11430"/>
                <wp:wrapNone/>
                <wp:docPr id="3" name="自选图形 19"/>
                <wp:cNvGraphicFramePr/>
                <a:graphic xmlns:a="http://schemas.openxmlformats.org/drawingml/2006/main">
                  <a:graphicData uri="http://schemas.microsoft.com/office/word/2010/wordprocessingShape">
                    <wps:wsp>
                      <wps:cNvSpPr/>
                      <wps:spPr>
                        <a:xfrm>
                          <a:off x="0" y="0"/>
                          <a:ext cx="319087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35ED4BC5">
                            <w:pPr>
                              <w:jc w:val="center"/>
                              <w:rPr>
                                <w:rFonts w:hint="eastAsia"/>
                                <w:szCs w:val="21"/>
                              </w:rPr>
                            </w:pPr>
                          </w:p>
                          <w:p w14:paraId="201C270E">
                            <w:pPr>
                              <w:jc w:val="both"/>
                              <w:rPr>
                                <w:rFonts w:hint="eastAsia"/>
                                <w:szCs w:val="21"/>
                              </w:rPr>
                            </w:pPr>
                          </w:p>
                          <w:p w14:paraId="6CB2FB26">
                            <w:pPr>
                              <w:jc w:val="center"/>
                              <w:rPr>
                                <w:szCs w:val="21"/>
                              </w:rPr>
                            </w:pPr>
                            <w:r>
                              <w:rPr>
                                <w:rFonts w:hint="eastAsia"/>
                                <w:szCs w:val="21"/>
                              </w:rPr>
                              <w:t>委托代理人身份证彩色扫描件正、反面</w:t>
                            </w:r>
                          </w:p>
                        </w:txbxContent>
                      </wps:txbx>
                      <wps:bodyPr wrap="square" upright="1"/>
                    </wps:wsp>
                  </a:graphicData>
                </a:graphic>
              </wp:anchor>
            </w:drawing>
          </mc:Choice>
          <mc:Fallback>
            <w:pict>
              <v:shape id="自选图形 19" o:spid="_x0000_s1026" o:spt="176" type="#_x0000_t176" style="position:absolute;left:0pt;margin-left:115.5pt;margin-top:2.6pt;height:124.75pt;width:251.25pt;z-index:251661312;mso-width-relative:page;mso-height-relative:page;" fillcolor="#FFFFFF" filled="t" stroked="t"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Gsn06zYAAAACQEAAA8AAAAAAAAAAQAgAAAAIgAAAGRycy9kb3ducmV2LnhtbFBLAQIUABQAAAAI&#10;AIdO4kBaUS9UJgIAAFQEAAAOAAAAAAAAAAEAIAAAACcBAABkcnMvZTJvRG9jLnhtbFBLBQYAAAAA&#10;BgAGAFkBAAC/BQAAAAA=&#10;">
                <v:fill on="t" focussize="0,0"/>
                <v:stroke color="#000000" joinstyle="miter"/>
                <v:imagedata o:title=""/>
                <o:lock v:ext="edit" aspectratio="f"/>
                <v:textbox>
                  <w:txbxContent>
                    <w:p w14:paraId="35ED4BC5">
                      <w:pPr>
                        <w:jc w:val="center"/>
                        <w:rPr>
                          <w:rFonts w:hint="eastAsia"/>
                          <w:szCs w:val="21"/>
                        </w:rPr>
                      </w:pPr>
                    </w:p>
                    <w:p w14:paraId="201C270E">
                      <w:pPr>
                        <w:jc w:val="both"/>
                        <w:rPr>
                          <w:rFonts w:hint="eastAsia"/>
                          <w:szCs w:val="21"/>
                        </w:rPr>
                      </w:pPr>
                    </w:p>
                    <w:p w14:paraId="6CB2FB26">
                      <w:pPr>
                        <w:jc w:val="center"/>
                        <w:rPr>
                          <w:szCs w:val="21"/>
                        </w:rPr>
                      </w:pPr>
                      <w:r>
                        <w:rPr>
                          <w:rFonts w:hint="eastAsia"/>
                          <w:szCs w:val="21"/>
                        </w:rPr>
                        <w:t>委托代理人身份证彩色扫描件正、反面</w:t>
                      </w:r>
                    </w:p>
                  </w:txbxContent>
                </v:textbox>
              </v:shape>
            </w:pict>
          </mc:Fallback>
        </mc:AlternateContent>
      </w:r>
    </w:p>
    <w:p w14:paraId="61BED0D8">
      <w:pPr>
        <w:rPr>
          <w:rFonts w:hint="eastAsia" w:ascii="宋体" w:hAnsi="宋体" w:eastAsia="宋体" w:cs="宋体"/>
        </w:rPr>
      </w:pPr>
    </w:p>
    <w:p w14:paraId="6DCC7A25">
      <w:pPr>
        <w:rPr>
          <w:rFonts w:hint="eastAsia" w:ascii="宋体" w:hAnsi="宋体" w:eastAsia="宋体" w:cs="宋体"/>
        </w:rPr>
      </w:pPr>
    </w:p>
    <w:p w14:paraId="6A1F5D3C">
      <w:pPr>
        <w:rPr>
          <w:rFonts w:hint="eastAsia" w:ascii="宋体" w:hAnsi="宋体" w:eastAsia="宋体" w:cs="宋体"/>
        </w:rPr>
      </w:pPr>
    </w:p>
    <w:p w14:paraId="02ECA28D">
      <w:pPr>
        <w:rPr>
          <w:rFonts w:hint="eastAsia" w:ascii="宋体" w:hAnsi="宋体" w:eastAsia="宋体" w:cs="宋体"/>
        </w:rPr>
      </w:pPr>
    </w:p>
    <w:p w14:paraId="683343FB">
      <w:pPr>
        <w:rPr>
          <w:rFonts w:hint="eastAsia" w:ascii="宋体" w:hAnsi="宋体" w:eastAsia="宋体" w:cs="宋体"/>
        </w:rPr>
      </w:pPr>
    </w:p>
    <w:p w14:paraId="3E5D6803">
      <w:pPr>
        <w:rPr>
          <w:rFonts w:hint="eastAsia" w:ascii="宋体" w:hAnsi="宋体" w:eastAsia="宋体" w:cs="宋体"/>
        </w:rPr>
      </w:pPr>
    </w:p>
    <w:p w14:paraId="3D6B16A0">
      <w:pPr>
        <w:rPr>
          <w:rFonts w:hint="eastAsia" w:ascii="宋体" w:hAnsi="宋体" w:eastAsia="宋体" w:cs="宋体"/>
        </w:rPr>
      </w:pPr>
    </w:p>
    <w:p w14:paraId="6B336B49">
      <w:pPr>
        <w:rPr>
          <w:rFonts w:hint="eastAsia" w:ascii="宋体" w:hAnsi="宋体" w:eastAsia="宋体" w:cs="宋体"/>
        </w:rPr>
      </w:pPr>
    </w:p>
    <w:p w14:paraId="6A08C93E">
      <w:pPr>
        <w:rPr>
          <w:rFonts w:hint="eastAsia" w:ascii="宋体" w:hAnsi="宋体" w:eastAsia="宋体" w:cs="宋体"/>
        </w:rPr>
      </w:pPr>
    </w:p>
    <w:p w14:paraId="77315177">
      <w:pPr>
        <w:rPr>
          <w:rFonts w:hint="eastAsia" w:ascii="宋体" w:hAnsi="宋体" w:eastAsia="宋体" w:cs="宋体"/>
        </w:rPr>
      </w:pPr>
    </w:p>
    <w:p w14:paraId="47167783">
      <w:pPr>
        <w:rPr>
          <w:rFonts w:hint="eastAsia" w:ascii="宋体" w:hAnsi="宋体" w:eastAsia="宋体" w:cs="宋体"/>
        </w:rPr>
      </w:pPr>
    </w:p>
    <w:p w14:paraId="3E918856">
      <w:pPr>
        <w:rPr>
          <w:rFonts w:hint="eastAsia" w:ascii="宋体" w:hAnsi="宋体" w:eastAsia="宋体" w:cs="宋体"/>
        </w:rPr>
      </w:pPr>
    </w:p>
    <w:p w14:paraId="67BC31A3">
      <w:pPr>
        <w:rPr>
          <w:rFonts w:hint="eastAsia" w:ascii="宋体" w:hAnsi="宋体" w:eastAsia="宋体" w:cs="宋体"/>
        </w:rPr>
      </w:pPr>
    </w:p>
    <w:p w14:paraId="5DEF4393">
      <w:pPr>
        <w:rPr>
          <w:rFonts w:hint="eastAsia" w:ascii="宋体" w:hAnsi="宋体" w:eastAsia="宋体" w:cs="宋体"/>
        </w:rPr>
      </w:pPr>
    </w:p>
    <w:p w14:paraId="0F7FAC28">
      <w:pPr>
        <w:rPr>
          <w:rFonts w:hint="eastAsia" w:ascii="宋体" w:hAnsi="宋体" w:eastAsia="宋体" w:cs="宋体"/>
        </w:rPr>
      </w:pPr>
    </w:p>
    <w:p w14:paraId="0EFBE34F">
      <w:pPr>
        <w:rPr>
          <w:rFonts w:hint="eastAsia" w:ascii="宋体" w:hAnsi="宋体" w:eastAsia="宋体" w:cs="宋体"/>
        </w:rPr>
      </w:pPr>
    </w:p>
    <w:p w14:paraId="196529BF">
      <w:pPr>
        <w:rPr>
          <w:rFonts w:hint="eastAsia" w:ascii="宋体" w:hAnsi="宋体" w:eastAsia="宋体" w:cs="宋体"/>
        </w:rPr>
      </w:pPr>
    </w:p>
    <w:p w14:paraId="4FC40903">
      <w:pPr>
        <w:rPr>
          <w:rFonts w:hint="eastAsia" w:ascii="宋体" w:hAnsi="宋体" w:eastAsia="宋体" w:cs="宋体"/>
        </w:rPr>
      </w:pPr>
    </w:p>
    <w:p w14:paraId="3E17E85F">
      <w:pPr>
        <w:rPr>
          <w:rFonts w:hint="eastAsia" w:ascii="宋体" w:hAnsi="宋体" w:eastAsia="宋体" w:cs="宋体"/>
        </w:rPr>
      </w:pPr>
    </w:p>
    <w:p w14:paraId="3705CA0A">
      <w:pPr>
        <w:rPr>
          <w:rFonts w:hint="eastAsia" w:ascii="宋体" w:hAnsi="宋体" w:eastAsia="宋体" w:cs="宋体"/>
        </w:rPr>
      </w:pPr>
    </w:p>
    <w:p w14:paraId="14B86FF1">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17" w:name="_Toc24252"/>
      <w:bookmarkStart w:id="318" w:name="_Toc18510"/>
      <w:r>
        <w:rPr>
          <w:rFonts w:hint="eastAsia" w:ascii="宋体" w:hAnsi="宋体" w:eastAsia="宋体" w:cs="宋体"/>
          <w:b/>
          <w:bCs/>
          <w:color w:val="auto"/>
          <w:spacing w:val="-11"/>
          <w:sz w:val="24"/>
          <w:szCs w:val="24"/>
          <w:highlight w:val="none"/>
          <w:lang w:val="en-US" w:eastAsia="zh-CN"/>
        </w:rPr>
        <w:t>格式五   法定代表人身份证明</w:t>
      </w:r>
      <w:bookmarkEnd w:id="317"/>
      <w:bookmarkEnd w:id="318"/>
    </w:p>
    <w:p w14:paraId="09613183">
      <w:pPr>
        <w:wordWrap w:val="0"/>
        <w:adjustRightInd w:val="0"/>
        <w:snapToGrid w:val="0"/>
        <w:spacing w:before="260" w:after="260" w:line="360" w:lineRule="auto"/>
        <w:jc w:val="center"/>
        <w:rPr>
          <w:rFonts w:hint="eastAsia" w:ascii="宋体" w:hAnsi="宋体" w:eastAsia="宋体" w:cs="宋体"/>
          <w:b/>
          <w:snapToGrid w:val="0"/>
          <w:color w:val="auto"/>
          <w:kern w:val="0"/>
          <w:highlight w:val="none"/>
        </w:rPr>
      </w:pPr>
      <w:r>
        <w:rPr>
          <w:rFonts w:hint="eastAsia" w:ascii="宋体" w:hAnsi="宋体" w:eastAsia="宋体" w:cs="宋体"/>
          <w:b/>
          <w:snapToGrid w:val="0"/>
          <w:color w:val="auto"/>
          <w:kern w:val="0"/>
          <w:sz w:val="30"/>
          <w:highlight w:val="none"/>
        </w:rPr>
        <w:t>法定代表人身份证明</w:t>
      </w:r>
    </w:p>
    <w:p w14:paraId="58A9CFE4">
      <w:pPr>
        <w:wordWrap w:val="0"/>
        <w:adjustRightInd w:val="0"/>
        <w:snapToGrid w:val="0"/>
        <w:spacing w:line="360" w:lineRule="auto"/>
        <w:rPr>
          <w:rFonts w:hint="eastAsia" w:ascii="宋体" w:hAnsi="宋体" w:eastAsia="宋体" w:cs="宋体"/>
          <w:snapToGrid w:val="0"/>
          <w:color w:val="auto"/>
          <w:kern w:val="0"/>
          <w:szCs w:val="21"/>
          <w:highlight w:val="none"/>
        </w:rPr>
      </w:pPr>
    </w:p>
    <w:p w14:paraId="540C6373">
      <w:pPr>
        <w:wordWrap w:val="0"/>
        <w:adjustRightInd w:val="0"/>
        <w:snapToGrid w:val="0"/>
        <w:spacing w:line="360" w:lineRule="auto"/>
        <w:rPr>
          <w:rFonts w:hint="eastAsia" w:ascii="宋体" w:hAnsi="宋体" w:eastAsia="宋体" w:cs="宋体"/>
          <w:snapToGrid w:val="0"/>
          <w:color w:val="auto"/>
          <w:kern w:val="0"/>
          <w:szCs w:val="21"/>
          <w:highlight w:val="none"/>
          <w:u w:val="single"/>
        </w:rPr>
      </w:pPr>
      <w:r>
        <w:rPr>
          <w:rFonts w:hint="eastAsia" w:ascii="宋体" w:hAnsi="宋体" w:eastAsia="宋体" w:cs="宋体"/>
          <w:snapToGrid w:val="0"/>
          <w:color w:val="auto"/>
          <w:kern w:val="0"/>
          <w:szCs w:val="21"/>
          <w:highlight w:val="none"/>
        </w:rPr>
        <w:t>投标人名称：</w:t>
      </w:r>
      <w:r>
        <w:rPr>
          <w:rFonts w:hint="eastAsia" w:ascii="宋体" w:hAnsi="宋体" w:eastAsia="宋体" w:cs="宋体"/>
          <w:snapToGrid w:val="0"/>
          <w:color w:val="auto"/>
          <w:kern w:val="0"/>
          <w:szCs w:val="21"/>
          <w:highlight w:val="none"/>
          <w:u w:val="single"/>
        </w:rPr>
        <w:t xml:space="preserve">                  </w:t>
      </w:r>
    </w:p>
    <w:p w14:paraId="3AB35966">
      <w:pPr>
        <w:wordWrap w:val="0"/>
        <w:adjustRightInd w:val="0"/>
        <w:snapToGrid w:val="0"/>
        <w:spacing w:line="360" w:lineRule="auto"/>
        <w:ind w:firstLine="1050" w:firstLineChars="500"/>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姓名：</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性别：</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年龄：</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职务：</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系</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（投标人名称）的法定代表人。</w:t>
      </w:r>
    </w:p>
    <w:p w14:paraId="7481C7F6">
      <w:pPr>
        <w:wordWrap w:val="0"/>
        <w:adjustRightInd w:val="0"/>
        <w:snapToGrid w:val="0"/>
        <w:spacing w:line="36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特此证明。</w:t>
      </w:r>
    </w:p>
    <w:p w14:paraId="14AE9157">
      <w:pPr>
        <w:wordWrap w:val="0"/>
        <w:adjustRightInd w:val="0"/>
        <w:snapToGrid w:val="0"/>
        <w:spacing w:line="360" w:lineRule="auto"/>
        <w:rPr>
          <w:rFonts w:hint="eastAsia" w:ascii="宋体" w:hAnsi="宋体" w:eastAsia="宋体" w:cs="宋体"/>
          <w:snapToGrid w:val="0"/>
          <w:color w:val="auto"/>
          <w:kern w:val="0"/>
          <w:szCs w:val="21"/>
          <w:highlight w:val="none"/>
        </w:rPr>
      </w:pPr>
    </w:p>
    <w:p w14:paraId="13D37778">
      <w:pPr>
        <w:wordWrap w:val="0"/>
        <w:adjustRightInd w:val="0"/>
        <w:snapToGrid w:val="0"/>
        <w:spacing w:line="360" w:lineRule="auto"/>
        <w:rPr>
          <w:rFonts w:hint="eastAsia" w:ascii="宋体" w:hAnsi="宋体" w:eastAsia="宋体" w:cs="宋体"/>
          <w:snapToGrid w:val="0"/>
          <w:color w:val="auto"/>
          <w:kern w:val="0"/>
          <w:szCs w:val="21"/>
          <w:highlight w:val="none"/>
        </w:rPr>
      </w:pPr>
    </w:p>
    <w:p w14:paraId="51B836BE">
      <w:pPr>
        <w:wordWrap w:val="0"/>
        <w:adjustRightInd w:val="0"/>
        <w:snapToGrid w:val="0"/>
        <w:spacing w:line="360" w:lineRule="auto"/>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（盖单位章）</w:t>
      </w:r>
    </w:p>
    <w:p w14:paraId="3BD0D72E">
      <w:pPr>
        <w:wordWrap w:val="0"/>
        <w:adjustRightInd w:val="0"/>
        <w:snapToGrid w:val="0"/>
        <w:spacing w:line="360" w:lineRule="auto"/>
        <w:jc w:val="right"/>
        <w:rPr>
          <w:rFonts w:hint="eastAsia" w:ascii="宋体" w:hAnsi="宋体" w:eastAsia="宋体" w:cs="宋体"/>
          <w:snapToGrid w:val="0"/>
          <w:color w:val="auto"/>
          <w:kern w:val="0"/>
          <w:szCs w:val="21"/>
          <w:highlight w:val="none"/>
        </w:rPr>
      </w:pPr>
    </w:p>
    <w:p w14:paraId="26453FAF">
      <w:pPr>
        <w:wordWrap w:val="0"/>
        <w:adjustRightInd w:val="0"/>
        <w:snapToGrid w:val="0"/>
        <w:spacing w:line="360" w:lineRule="auto"/>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法定代表人：</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（签字或盖章）</w:t>
      </w:r>
    </w:p>
    <w:p w14:paraId="77CFA69C">
      <w:pPr>
        <w:wordWrap w:val="0"/>
        <w:adjustRightInd w:val="0"/>
        <w:snapToGrid w:val="0"/>
        <w:spacing w:line="360" w:lineRule="auto"/>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4B16DAD1">
      <w:pPr>
        <w:wordWrap w:val="0"/>
        <w:adjustRightInd w:val="0"/>
        <w:snapToGrid w:val="0"/>
        <w:spacing w:line="360" w:lineRule="auto"/>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年</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月</w:t>
      </w:r>
      <w:r>
        <w:rPr>
          <w:rFonts w:hint="eastAsia" w:ascii="宋体" w:hAnsi="宋体" w:eastAsia="宋体" w:cs="宋体"/>
          <w:snapToGrid w:val="0"/>
          <w:color w:val="auto"/>
          <w:kern w:val="0"/>
          <w:szCs w:val="21"/>
          <w:highlight w:val="none"/>
          <w:u w:val="single"/>
        </w:rPr>
        <w:t xml:space="preserve">      </w:t>
      </w:r>
      <w:r>
        <w:rPr>
          <w:rFonts w:hint="eastAsia" w:ascii="宋体" w:hAnsi="宋体" w:eastAsia="宋体" w:cs="宋体"/>
          <w:snapToGrid w:val="0"/>
          <w:color w:val="auto"/>
          <w:kern w:val="0"/>
          <w:szCs w:val="21"/>
          <w:highlight w:val="none"/>
        </w:rPr>
        <w:t xml:space="preserve">日       </w:t>
      </w:r>
    </w:p>
    <w:p w14:paraId="36F7072C">
      <w:pPr>
        <w:wordWrap w:val="0"/>
        <w:adjustRightInd w:val="0"/>
        <w:snapToGrid w:val="0"/>
        <w:spacing w:line="360" w:lineRule="auto"/>
        <w:ind w:firstLine="210" w:firstLineChars="100"/>
        <w:jc w:val="right"/>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 xml:space="preserve">     </w:t>
      </w:r>
    </w:p>
    <w:p w14:paraId="0919DBBA">
      <w:pPr>
        <w:rPr>
          <w:rFonts w:hint="eastAsia" w:ascii="宋体" w:hAnsi="宋体" w:eastAsia="宋体" w:cs="宋体"/>
        </w:rPr>
      </w:pPr>
      <w:r>
        <w:rPr>
          <w:rFonts w:hint="eastAsia" w:ascii="宋体" w:hAnsi="宋体" w:eastAsia="宋体" w:cs="宋体"/>
          <w:snapToGrid w:val="0"/>
          <w:color w:val="auto"/>
          <w:kern w:val="0"/>
          <w:szCs w:val="21"/>
          <w:highlight w:val="none"/>
        </w:rPr>
        <w:t xml:space="preserve">  </w:t>
      </w:r>
      <w:r>
        <w:rPr>
          <w:rFonts w:hint="eastAsia" w:ascii="宋体" w:hAnsi="宋体" w:eastAsia="宋体" w:cs="宋体"/>
          <w:i/>
          <w:iCs/>
          <w:snapToGrid w:val="0"/>
          <w:color w:val="auto"/>
          <w:kern w:val="0"/>
          <w:szCs w:val="21"/>
          <w:highlight w:val="none"/>
        </w:rPr>
        <w:t xml:space="preserve"> </w:t>
      </w:r>
    </w:p>
    <w:p w14:paraId="12653D35">
      <w:pPr>
        <w:rPr>
          <w:rFonts w:hint="eastAsia" w:ascii="宋体" w:hAnsi="宋体" w:eastAsia="宋体" w:cs="宋体"/>
        </w:rPr>
      </w:pPr>
    </w:p>
    <w:p w14:paraId="4C25B00A">
      <w:pPr>
        <w:rPr>
          <w:rFonts w:hint="eastAsia" w:ascii="宋体" w:hAnsi="宋体" w:eastAsia="宋体" w:cs="宋体"/>
        </w:rPr>
      </w:pPr>
    </w:p>
    <w:p w14:paraId="26C1E0A4">
      <w:pPr>
        <w:rPr>
          <w:rFonts w:hint="eastAsia" w:ascii="宋体" w:hAnsi="宋体" w:eastAsia="宋体" w:cs="宋体"/>
        </w:rPr>
      </w:pPr>
      <w:r>
        <w:rPr>
          <w:rFonts w:hint="eastAsia" w:ascii="宋体" w:hAnsi="宋体" w:eastAsia="宋体" w:cs="宋体"/>
        </w:rPr>
        <mc:AlternateContent>
          <mc:Choice Requires="wps">
            <w:drawing>
              <wp:anchor distT="0" distB="0" distL="114300" distR="114300" simplePos="0" relativeHeight="251660288" behindDoc="0" locked="0" layoutInCell="1" allowOverlap="1">
                <wp:simplePos x="0" y="0"/>
                <wp:positionH relativeFrom="column">
                  <wp:posOffset>1619250</wp:posOffset>
                </wp:positionH>
                <wp:positionV relativeFrom="paragraph">
                  <wp:posOffset>20320</wp:posOffset>
                </wp:positionV>
                <wp:extent cx="2825115" cy="1584325"/>
                <wp:effectExtent l="4445" t="4445" r="8890" b="11430"/>
                <wp:wrapNone/>
                <wp:docPr id="2" name="自选图形 18"/>
                <wp:cNvGraphicFramePr/>
                <a:graphic xmlns:a="http://schemas.openxmlformats.org/drawingml/2006/main">
                  <a:graphicData uri="http://schemas.microsoft.com/office/word/2010/wordprocessingShape">
                    <wps:wsp>
                      <wps:cNvSpPr/>
                      <wps:spPr>
                        <a:xfrm>
                          <a:off x="0" y="0"/>
                          <a:ext cx="2825115" cy="1584325"/>
                        </a:xfrm>
                        <a:prstGeom prst="flowChartAlternateProcess">
                          <a:avLst/>
                        </a:prstGeom>
                        <a:solidFill>
                          <a:srgbClr val="FFFFFF"/>
                        </a:solidFill>
                        <a:ln w="9525" cap="flat" cmpd="sng">
                          <a:solidFill>
                            <a:srgbClr val="000000"/>
                          </a:solidFill>
                          <a:prstDash val="solid"/>
                          <a:miter/>
                          <a:headEnd type="none" w="med" len="med"/>
                          <a:tailEnd type="none" w="med" len="med"/>
                        </a:ln>
                      </wps:spPr>
                      <wps:txbx>
                        <w:txbxContent>
                          <w:p w14:paraId="532125E3">
                            <w:pPr>
                              <w:jc w:val="both"/>
                              <w:rPr>
                                <w:rFonts w:hint="eastAsia"/>
                                <w:szCs w:val="21"/>
                              </w:rPr>
                            </w:pPr>
                          </w:p>
                          <w:p w14:paraId="2F711A31">
                            <w:pPr>
                              <w:jc w:val="center"/>
                              <w:rPr>
                                <w:rFonts w:hint="eastAsia"/>
                                <w:szCs w:val="21"/>
                              </w:rPr>
                            </w:pPr>
                          </w:p>
                          <w:p w14:paraId="20F0F4F4">
                            <w:pPr>
                              <w:jc w:val="center"/>
                              <w:rPr>
                                <w:szCs w:val="21"/>
                              </w:rPr>
                            </w:pPr>
                            <w:r>
                              <w:rPr>
                                <w:rFonts w:hint="eastAsia"/>
                                <w:szCs w:val="21"/>
                              </w:rPr>
                              <w:t>法定代表人身份证彩色扫描件正、反面</w:t>
                            </w:r>
                          </w:p>
                        </w:txbxContent>
                      </wps:txbx>
                      <wps:bodyPr wrap="square" upright="1"/>
                    </wps:wsp>
                  </a:graphicData>
                </a:graphic>
              </wp:anchor>
            </w:drawing>
          </mc:Choice>
          <mc:Fallback>
            <w:pict>
              <v:shape id="自选图形 18" o:spid="_x0000_s1026" o:spt="176" type="#_x0000_t176" style="position:absolute;left:0pt;margin-left:127.5pt;margin-top:1.6pt;height:124.75pt;width:222.45pt;z-index:251660288;mso-width-relative:page;mso-height-relative:page;" fillcolor="#FFFFFF" filled="t" stroked="t"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HhXUptgAAAAJAQAADwAAAAAAAAABACAAAAAiAAAAZHJzL2Rvd25yZXYueG1sUEsBAhQAFAAAAAgA&#10;h07iQP2aoBQlAgAAVAQAAA4AAAAAAAAAAQAgAAAAJwEAAGRycy9lMm9Eb2MueG1sUEsFBgAAAAAG&#10;AAYAWQEAAL4FAAAAAA==&#10;">
                <v:fill on="t" focussize="0,0"/>
                <v:stroke color="#000000" joinstyle="miter"/>
                <v:imagedata o:title=""/>
                <o:lock v:ext="edit" aspectratio="f"/>
                <v:textbox>
                  <w:txbxContent>
                    <w:p w14:paraId="532125E3">
                      <w:pPr>
                        <w:jc w:val="both"/>
                        <w:rPr>
                          <w:rFonts w:hint="eastAsia"/>
                          <w:szCs w:val="21"/>
                        </w:rPr>
                      </w:pPr>
                    </w:p>
                    <w:p w14:paraId="2F711A31">
                      <w:pPr>
                        <w:jc w:val="center"/>
                        <w:rPr>
                          <w:rFonts w:hint="eastAsia"/>
                          <w:szCs w:val="21"/>
                        </w:rPr>
                      </w:pPr>
                    </w:p>
                    <w:p w14:paraId="20F0F4F4">
                      <w:pPr>
                        <w:jc w:val="center"/>
                        <w:rPr>
                          <w:szCs w:val="21"/>
                        </w:rPr>
                      </w:pPr>
                      <w:r>
                        <w:rPr>
                          <w:rFonts w:hint="eastAsia"/>
                          <w:szCs w:val="21"/>
                        </w:rPr>
                        <w:t>法定代表人身份证彩色扫描件正、反面</w:t>
                      </w:r>
                    </w:p>
                  </w:txbxContent>
                </v:textbox>
              </v:shape>
            </w:pict>
          </mc:Fallback>
        </mc:AlternateContent>
      </w:r>
    </w:p>
    <w:p w14:paraId="6BB36E90">
      <w:pPr>
        <w:rPr>
          <w:rFonts w:hint="eastAsia" w:ascii="宋体" w:hAnsi="宋体" w:eastAsia="宋体" w:cs="宋体"/>
        </w:rPr>
      </w:pPr>
    </w:p>
    <w:p w14:paraId="001E54A3">
      <w:pPr>
        <w:rPr>
          <w:rFonts w:hint="eastAsia" w:ascii="宋体" w:hAnsi="宋体" w:eastAsia="宋体" w:cs="宋体"/>
        </w:rPr>
      </w:pPr>
    </w:p>
    <w:p w14:paraId="632F3628">
      <w:pPr>
        <w:rPr>
          <w:rFonts w:hint="eastAsia" w:ascii="宋体" w:hAnsi="宋体" w:eastAsia="宋体" w:cs="宋体"/>
        </w:rPr>
      </w:pPr>
    </w:p>
    <w:p w14:paraId="330D22E7">
      <w:pPr>
        <w:rPr>
          <w:rFonts w:hint="eastAsia" w:ascii="宋体" w:hAnsi="宋体" w:eastAsia="宋体" w:cs="宋体"/>
        </w:rPr>
      </w:pPr>
    </w:p>
    <w:p w14:paraId="4BB9672C">
      <w:pPr>
        <w:rPr>
          <w:rFonts w:hint="eastAsia" w:ascii="宋体" w:hAnsi="宋体" w:eastAsia="宋体" w:cs="宋体"/>
        </w:rPr>
      </w:pPr>
    </w:p>
    <w:p w14:paraId="2994404E">
      <w:pPr>
        <w:rPr>
          <w:rFonts w:hint="eastAsia" w:ascii="宋体" w:hAnsi="宋体" w:eastAsia="宋体" w:cs="宋体"/>
        </w:rPr>
      </w:pPr>
    </w:p>
    <w:p w14:paraId="5F31FA10">
      <w:pPr>
        <w:rPr>
          <w:rFonts w:hint="eastAsia" w:ascii="宋体" w:hAnsi="宋体" w:eastAsia="宋体" w:cs="宋体"/>
        </w:rPr>
      </w:pPr>
    </w:p>
    <w:p w14:paraId="6144B3B2">
      <w:pPr>
        <w:rPr>
          <w:rFonts w:hint="eastAsia" w:ascii="宋体" w:hAnsi="宋体" w:eastAsia="宋体" w:cs="宋体"/>
        </w:rPr>
      </w:pPr>
    </w:p>
    <w:p w14:paraId="33375A46">
      <w:pPr>
        <w:rPr>
          <w:rFonts w:hint="eastAsia" w:ascii="宋体" w:hAnsi="宋体" w:eastAsia="宋体" w:cs="宋体"/>
        </w:rPr>
      </w:pPr>
    </w:p>
    <w:p w14:paraId="6A658622">
      <w:pPr>
        <w:rPr>
          <w:rFonts w:hint="eastAsia" w:ascii="宋体" w:hAnsi="宋体" w:eastAsia="宋体" w:cs="宋体"/>
        </w:rPr>
      </w:pPr>
    </w:p>
    <w:p w14:paraId="24F286FA">
      <w:pPr>
        <w:rPr>
          <w:rFonts w:hint="eastAsia" w:ascii="宋体" w:hAnsi="宋体" w:eastAsia="宋体" w:cs="宋体"/>
        </w:rPr>
      </w:pPr>
    </w:p>
    <w:p w14:paraId="693204F3">
      <w:pPr>
        <w:rPr>
          <w:rFonts w:hint="eastAsia" w:ascii="宋体" w:hAnsi="宋体" w:eastAsia="宋体" w:cs="宋体"/>
        </w:rPr>
      </w:pPr>
    </w:p>
    <w:p w14:paraId="32FB5CA0">
      <w:pPr>
        <w:rPr>
          <w:rFonts w:hint="eastAsia" w:ascii="宋体" w:hAnsi="宋体" w:eastAsia="宋体" w:cs="宋体"/>
        </w:rPr>
      </w:pPr>
    </w:p>
    <w:p w14:paraId="573B2C2E">
      <w:pPr>
        <w:rPr>
          <w:rFonts w:hint="eastAsia" w:ascii="宋体" w:hAnsi="宋体" w:eastAsia="宋体" w:cs="宋体"/>
        </w:rPr>
      </w:pPr>
    </w:p>
    <w:p w14:paraId="6755B165">
      <w:pPr>
        <w:rPr>
          <w:rFonts w:hint="eastAsia" w:ascii="宋体" w:hAnsi="宋体" w:eastAsia="宋体" w:cs="宋体"/>
        </w:rPr>
      </w:pPr>
    </w:p>
    <w:p w14:paraId="55A5C2D2">
      <w:pPr>
        <w:rPr>
          <w:rFonts w:hint="eastAsia" w:ascii="宋体" w:hAnsi="宋体" w:eastAsia="宋体" w:cs="宋体"/>
        </w:rPr>
      </w:pPr>
    </w:p>
    <w:p w14:paraId="14382192">
      <w:pPr>
        <w:rPr>
          <w:rFonts w:hint="eastAsia" w:ascii="宋体" w:hAnsi="宋体" w:eastAsia="宋体" w:cs="宋体"/>
        </w:rPr>
      </w:pPr>
    </w:p>
    <w:p w14:paraId="7AB00C9F">
      <w:pPr>
        <w:rPr>
          <w:rFonts w:hint="eastAsia" w:ascii="宋体" w:hAnsi="宋体" w:eastAsia="宋体" w:cs="宋体"/>
        </w:rPr>
      </w:pPr>
    </w:p>
    <w:p w14:paraId="2ACFF5F0">
      <w:pPr>
        <w:rPr>
          <w:rFonts w:hint="eastAsia" w:ascii="宋体" w:hAnsi="宋体" w:eastAsia="宋体" w:cs="宋体"/>
        </w:rPr>
      </w:pPr>
    </w:p>
    <w:p w14:paraId="3D27C896">
      <w:pPr>
        <w:rPr>
          <w:rFonts w:hint="eastAsia" w:ascii="宋体" w:hAnsi="宋体" w:eastAsia="宋体" w:cs="宋体"/>
        </w:rPr>
      </w:pPr>
    </w:p>
    <w:p w14:paraId="5DAD38EF">
      <w:pPr>
        <w:rPr>
          <w:rFonts w:hint="eastAsia" w:ascii="宋体" w:hAnsi="宋体" w:eastAsia="宋体" w:cs="宋体"/>
        </w:rPr>
      </w:pPr>
    </w:p>
    <w:p w14:paraId="1EBEE754">
      <w:pPr>
        <w:rPr>
          <w:rFonts w:hint="eastAsia" w:ascii="宋体" w:hAnsi="宋体" w:eastAsia="宋体" w:cs="宋体"/>
        </w:rPr>
      </w:pPr>
    </w:p>
    <w:p w14:paraId="09679D34">
      <w:pPr>
        <w:rPr>
          <w:rFonts w:hint="eastAsia" w:ascii="宋体" w:hAnsi="宋体" w:eastAsia="宋体" w:cs="宋体"/>
        </w:rPr>
      </w:pPr>
    </w:p>
    <w:p w14:paraId="54EDEFDB">
      <w:pPr>
        <w:rPr>
          <w:rFonts w:hint="eastAsia" w:ascii="宋体" w:hAnsi="宋体" w:eastAsia="宋体" w:cs="宋体"/>
        </w:rPr>
      </w:pPr>
    </w:p>
    <w:p w14:paraId="143AB60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19" w:name="_Toc102"/>
      <w:bookmarkStart w:id="320" w:name="_Toc22808"/>
      <w:r>
        <w:rPr>
          <w:rFonts w:hint="eastAsia" w:ascii="宋体" w:hAnsi="宋体" w:eastAsia="宋体" w:cs="宋体"/>
          <w:b/>
          <w:bCs/>
          <w:color w:val="auto"/>
          <w:spacing w:val="-11"/>
          <w:sz w:val="24"/>
          <w:szCs w:val="24"/>
          <w:highlight w:val="none"/>
          <w:lang w:val="en-US" w:eastAsia="zh-CN"/>
        </w:rPr>
        <w:t>格式六    投标人基本情况表</w:t>
      </w:r>
      <w:bookmarkEnd w:id="319"/>
      <w:bookmarkEnd w:id="320"/>
    </w:p>
    <w:p w14:paraId="53B6A321">
      <w:pPr>
        <w:pStyle w:val="60"/>
        <w:widowControl w:val="0"/>
        <w:wordWrap w:val="0"/>
        <w:adjustRightInd w:val="0"/>
        <w:snapToGrid w:val="0"/>
        <w:spacing w:before="260" w:after="260" w:line="240" w:lineRule="auto"/>
        <w:ind w:firstLine="0"/>
        <w:jc w:val="center"/>
        <w:rPr>
          <w:rFonts w:hint="eastAsia" w:ascii="宋体" w:hAnsi="宋体" w:eastAsia="宋体" w:cs="宋体"/>
          <w:snapToGrid w:val="0"/>
          <w:color w:val="auto"/>
          <w:sz w:val="24"/>
          <w:highlight w:val="none"/>
        </w:rPr>
      </w:pPr>
      <w:r>
        <w:rPr>
          <w:rFonts w:hint="eastAsia" w:ascii="宋体" w:hAnsi="宋体" w:eastAsia="宋体" w:cs="宋体"/>
          <w:b/>
          <w:snapToGrid w:val="0"/>
          <w:color w:val="auto"/>
          <w:sz w:val="30"/>
          <w:highlight w:val="none"/>
        </w:rPr>
        <w:t>投标人基本情况表</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5"/>
        <w:gridCol w:w="897"/>
        <w:gridCol w:w="1689"/>
        <w:gridCol w:w="803"/>
        <w:gridCol w:w="286"/>
        <w:gridCol w:w="960"/>
        <w:gridCol w:w="260"/>
        <w:gridCol w:w="709"/>
        <w:gridCol w:w="1416"/>
      </w:tblGrid>
      <w:tr w14:paraId="14092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485" w:type="dxa"/>
            <w:noWrap w:val="0"/>
            <w:vAlign w:val="center"/>
          </w:tcPr>
          <w:p w14:paraId="1F5E6A1E">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投标人名称</w:t>
            </w:r>
          </w:p>
        </w:tc>
        <w:tc>
          <w:tcPr>
            <w:tcW w:w="7020" w:type="dxa"/>
            <w:gridSpan w:val="8"/>
            <w:noWrap w:val="0"/>
            <w:vAlign w:val="center"/>
          </w:tcPr>
          <w:p w14:paraId="338CD7A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50CEA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485" w:type="dxa"/>
            <w:noWrap w:val="0"/>
            <w:vAlign w:val="center"/>
          </w:tcPr>
          <w:p w14:paraId="4F3A345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注册地址</w:t>
            </w:r>
          </w:p>
        </w:tc>
        <w:tc>
          <w:tcPr>
            <w:tcW w:w="3389" w:type="dxa"/>
            <w:gridSpan w:val="3"/>
            <w:noWrap w:val="0"/>
            <w:vAlign w:val="center"/>
          </w:tcPr>
          <w:p w14:paraId="4824853B">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6" w:type="dxa"/>
            <w:gridSpan w:val="2"/>
            <w:noWrap w:val="0"/>
            <w:vAlign w:val="center"/>
          </w:tcPr>
          <w:p w14:paraId="0762499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邮政编码</w:t>
            </w:r>
          </w:p>
        </w:tc>
        <w:tc>
          <w:tcPr>
            <w:tcW w:w="2385" w:type="dxa"/>
            <w:gridSpan w:val="3"/>
            <w:noWrap w:val="0"/>
            <w:vAlign w:val="center"/>
          </w:tcPr>
          <w:p w14:paraId="29AEF494">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28191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exact"/>
          <w:jc w:val="center"/>
        </w:trPr>
        <w:tc>
          <w:tcPr>
            <w:tcW w:w="1485" w:type="dxa"/>
            <w:vMerge w:val="restart"/>
            <w:noWrap w:val="0"/>
            <w:vAlign w:val="center"/>
          </w:tcPr>
          <w:p w14:paraId="005A109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联系方式</w:t>
            </w:r>
          </w:p>
        </w:tc>
        <w:tc>
          <w:tcPr>
            <w:tcW w:w="897" w:type="dxa"/>
            <w:noWrap w:val="0"/>
            <w:vAlign w:val="center"/>
          </w:tcPr>
          <w:p w14:paraId="1CDD002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联系人</w:t>
            </w:r>
          </w:p>
        </w:tc>
        <w:tc>
          <w:tcPr>
            <w:tcW w:w="2492" w:type="dxa"/>
            <w:gridSpan w:val="2"/>
            <w:noWrap w:val="0"/>
            <w:vAlign w:val="center"/>
          </w:tcPr>
          <w:p w14:paraId="7A1F704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6" w:type="dxa"/>
            <w:gridSpan w:val="2"/>
            <w:noWrap w:val="0"/>
            <w:vAlign w:val="center"/>
          </w:tcPr>
          <w:p w14:paraId="7B9A7A9B">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  话</w:t>
            </w:r>
          </w:p>
        </w:tc>
        <w:tc>
          <w:tcPr>
            <w:tcW w:w="2385" w:type="dxa"/>
            <w:gridSpan w:val="3"/>
            <w:noWrap w:val="0"/>
            <w:vAlign w:val="center"/>
          </w:tcPr>
          <w:p w14:paraId="66A6231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0A0DB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485" w:type="dxa"/>
            <w:vMerge w:val="continue"/>
            <w:noWrap w:val="0"/>
            <w:vAlign w:val="center"/>
          </w:tcPr>
          <w:p w14:paraId="2F52E13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897" w:type="dxa"/>
            <w:noWrap w:val="0"/>
            <w:vAlign w:val="center"/>
          </w:tcPr>
          <w:p w14:paraId="4AF67B2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传  真</w:t>
            </w:r>
          </w:p>
        </w:tc>
        <w:tc>
          <w:tcPr>
            <w:tcW w:w="2492" w:type="dxa"/>
            <w:gridSpan w:val="2"/>
            <w:noWrap w:val="0"/>
            <w:vAlign w:val="center"/>
          </w:tcPr>
          <w:p w14:paraId="63F7C35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246" w:type="dxa"/>
            <w:gridSpan w:val="2"/>
            <w:noWrap w:val="0"/>
            <w:vAlign w:val="center"/>
          </w:tcPr>
          <w:p w14:paraId="1E86FE0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电子邮箱</w:t>
            </w:r>
          </w:p>
        </w:tc>
        <w:tc>
          <w:tcPr>
            <w:tcW w:w="2385" w:type="dxa"/>
            <w:gridSpan w:val="3"/>
            <w:noWrap w:val="0"/>
            <w:vAlign w:val="center"/>
          </w:tcPr>
          <w:p w14:paraId="0D1A343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4CC48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exact"/>
          <w:jc w:val="center"/>
        </w:trPr>
        <w:tc>
          <w:tcPr>
            <w:tcW w:w="1485" w:type="dxa"/>
            <w:noWrap w:val="0"/>
            <w:vAlign w:val="center"/>
          </w:tcPr>
          <w:p w14:paraId="1D074B8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单位性质</w:t>
            </w:r>
          </w:p>
        </w:tc>
        <w:tc>
          <w:tcPr>
            <w:tcW w:w="7020" w:type="dxa"/>
            <w:gridSpan w:val="8"/>
            <w:noWrap w:val="0"/>
            <w:vAlign w:val="center"/>
          </w:tcPr>
          <w:p w14:paraId="17E2BE7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379DC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1485" w:type="dxa"/>
            <w:noWrap w:val="0"/>
            <w:vAlign w:val="center"/>
          </w:tcPr>
          <w:p w14:paraId="61900B6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法定代表人</w:t>
            </w:r>
          </w:p>
        </w:tc>
        <w:tc>
          <w:tcPr>
            <w:tcW w:w="897" w:type="dxa"/>
            <w:noWrap w:val="0"/>
            <w:vAlign w:val="center"/>
          </w:tcPr>
          <w:p w14:paraId="0DD2431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姓名</w:t>
            </w:r>
          </w:p>
        </w:tc>
        <w:tc>
          <w:tcPr>
            <w:tcW w:w="1689" w:type="dxa"/>
            <w:noWrap w:val="0"/>
            <w:vAlign w:val="center"/>
          </w:tcPr>
          <w:p w14:paraId="6B968462">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noWrap w:val="0"/>
            <w:vAlign w:val="center"/>
          </w:tcPr>
          <w:p w14:paraId="58E84C41">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技术职称</w:t>
            </w:r>
          </w:p>
        </w:tc>
        <w:tc>
          <w:tcPr>
            <w:tcW w:w="1220" w:type="dxa"/>
            <w:gridSpan w:val="2"/>
            <w:noWrap w:val="0"/>
            <w:vAlign w:val="center"/>
          </w:tcPr>
          <w:p w14:paraId="33B8317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709" w:type="dxa"/>
            <w:noWrap w:val="0"/>
            <w:vAlign w:val="center"/>
          </w:tcPr>
          <w:p w14:paraId="6E6CA87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电话</w:t>
            </w:r>
          </w:p>
        </w:tc>
        <w:tc>
          <w:tcPr>
            <w:tcW w:w="1416" w:type="dxa"/>
            <w:noWrap w:val="0"/>
            <w:vAlign w:val="center"/>
          </w:tcPr>
          <w:p w14:paraId="6C8B591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643C4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485" w:type="dxa"/>
            <w:noWrap w:val="0"/>
            <w:vAlign w:val="center"/>
          </w:tcPr>
          <w:p w14:paraId="0A8DF084">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成立时间</w:t>
            </w:r>
          </w:p>
        </w:tc>
        <w:tc>
          <w:tcPr>
            <w:tcW w:w="2586" w:type="dxa"/>
            <w:gridSpan w:val="2"/>
            <w:noWrap w:val="0"/>
            <w:vAlign w:val="center"/>
          </w:tcPr>
          <w:p w14:paraId="5104AEE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4434" w:type="dxa"/>
            <w:gridSpan w:val="6"/>
            <w:noWrap w:val="0"/>
            <w:vAlign w:val="center"/>
          </w:tcPr>
          <w:p w14:paraId="21133CC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员工总人数（个）：</w:t>
            </w:r>
          </w:p>
        </w:tc>
      </w:tr>
      <w:tr w14:paraId="17A0F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exact"/>
          <w:jc w:val="center"/>
        </w:trPr>
        <w:tc>
          <w:tcPr>
            <w:tcW w:w="1485" w:type="dxa"/>
            <w:noWrap w:val="0"/>
            <w:vAlign w:val="center"/>
          </w:tcPr>
          <w:p w14:paraId="7DAA4B3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企业资质</w:t>
            </w:r>
          </w:p>
          <w:p w14:paraId="3060BCD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类型和等级</w:t>
            </w:r>
          </w:p>
        </w:tc>
        <w:tc>
          <w:tcPr>
            <w:tcW w:w="2586" w:type="dxa"/>
            <w:gridSpan w:val="2"/>
            <w:noWrap w:val="0"/>
            <w:vAlign w:val="center"/>
          </w:tcPr>
          <w:p w14:paraId="69FFFC2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restart"/>
            <w:noWrap w:val="0"/>
            <w:vAlign w:val="center"/>
          </w:tcPr>
          <w:p w14:paraId="2951E8B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其中</w:t>
            </w:r>
          </w:p>
        </w:tc>
        <w:tc>
          <w:tcPr>
            <w:tcW w:w="1929" w:type="dxa"/>
            <w:gridSpan w:val="3"/>
            <w:noWrap w:val="0"/>
            <w:vAlign w:val="center"/>
          </w:tcPr>
          <w:p w14:paraId="10A76B0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项目经理</w:t>
            </w:r>
          </w:p>
        </w:tc>
        <w:tc>
          <w:tcPr>
            <w:tcW w:w="1416" w:type="dxa"/>
            <w:noWrap w:val="0"/>
            <w:vAlign w:val="center"/>
          </w:tcPr>
          <w:p w14:paraId="31D0B562">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3829F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exact"/>
          <w:jc w:val="center"/>
        </w:trPr>
        <w:tc>
          <w:tcPr>
            <w:tcW w:w="1485" w:type="dxa"/>
            <w:noWrap w:val="0"/>
            <w:vAlign w:val="center"/>
          </w:tcPr>
          <w:p w14:paraId="5B9824B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营业执照号</w:t>
            </w:r>
          </w:p>
        </w:tc>
        <w:tc>
          <w:tcPr>
            <w:tcW w:w="2586" w:type="dxa"/>
            <w:gridSpan w:val="2"/>
            <w:noWrap w:val="0"/>
            <w:vAlign w:val="center"/>
          </w:tcPr>
          <w:p w14:paraId="791A985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4D71DDB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6D1569DE">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高级职称人员</w:t>
            </w:r>
          </w:p>
        </w:tc>
        <w:tc>
          <w:tcPr>
            <w:tcW w:w="1416" w:type="dxa"/>
            <w:noWrap w:val="0"/>
            <w:vAlign w:val="center"/>
          </w:tcPr>
          <w:p w14:paraId="7D0B54C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4C3BA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exact"/>
          <w:jc w:val="center"/>
        </w:trPr>
        <w:tc>
          <w:tcPr>
            <w:tcW w:w="1485" w:type="dxa"/>
            <w:noWrap w:val="0"/>
            <w:vAlign w:val="center"/>
          </w:tcPr>
          <w:p w14:paraId="13245F5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注册资金</w:t>
            </w:r>
          </w:p>
        </w:tc>
        <w:tc>
          <w:tcPr>
            <w:tcW w:w="2586" w:type="dxa"/>
            <w:gridSpan w:val="2"/>
            <w:noWrap w:val="0"/>
            <w:vAlign w:val="center"/>
          </w:tcPr>
          <w:p w14:paraId="4BBE96E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7B0EB2E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1D277CA6">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中级职称人员</w:t>
            </w:r>
          </w:p>
        </w:tc>
        <w:tc>
          <w:tcPr>
            <w:tcW w:w="1416" w:type="dxa"/>
            <w:noWrap w:val="0"/>
            <w:vAlign w:val="center"/>
          </w:tcPr>
          <w:p w14:paraId="5DB1AC0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3802F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exact"/>
          <w:jc w:val="center"/>
        </w:trPr>
        <w:tc>
          <w:tcPr>
            <w:tcW w:w="1485" w:type="dxa"/>
            <w:noWrap w:val="0"/>
            <w:vAlign w:val="center"/>
          </w:tcPr>
          <w:p w14:paraId="10815DEC">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基本账户</w:t>
            </w:r>
          </w:p>
          <w:p w14:paraId="0FBBE56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开户银行</w:t>
            </w:r>
          </w:p>
        </w:tc>
        <w:tc>
          <w:tcPr>
            <w:tcW w:w="2586" w:type="dxa"/>
            <w:gridSpan w:val="2"/>
            <w:noWrap w:val="0"/>
            <w:vAlign w:val="center"/>
          </w:tcPr>
          <w:p w14:paraId="7177D23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102FD1A0">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03E2601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初级职称人员</w:t>
            </w:r>
          </w:p>
        </w:tc>
        <w:tc>
          <w:tcPr>
            <w:tcW w:w="1416" w:type="dxa"/>
            <w:noWrap w:val="0"/>
            <w:vAlign w:val="center"/>
          </w:tcPr>
          <w:p w14:paraId="59C9DAB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454D8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exact"/>
          <w:jc w:val="center"/>
        </w:trPr>
        <w:tc>
          <w:tcPr>
            <w:tcW w:w="1485" w:type="dxa"/>
            <w:noWrap w:val="0"/>
            <w:vAlign w:val="center"/>
          </w:tcPr>
          <w:p w14:paraId="7059B49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基本账户</w:t>
            </w:r>
          </w:p>
          <w:p w14:paraId="44767438">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银行账号</w:t>
            </w:r>
          </w:p>
        </w:tc>
        <w:tc>
          <w:tcPr>
            <w:tcW w:w="2586" w:type="dxa"/>
            <w:gridSpan w:val="2"/>
            <w:noWrap w:val="0"/>
            <w:vAlign w:val="center"/>
          </w:tcPr>
          <w:p w14:paraId="375D0989">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089" w:type="dxa"/>
            <w:gridSpan w:val="2"/>
            <w:vMerge w:val="continue"/>
            <w:noWrap w:val="0"/>
            <w:vAlign w:val="center"/>
          </w:tcPr>
          <w:p w14:paraId="65205087">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c>
          <w:tcPr>
            <w:tcW w:w="1929" w:type="dxa"/>
            <w:gridSpan w:val="3"/>
            <w:noWrap w:val="0"/>
            <w:vAlign w:val="center"/>
          </w:tcPr>
          <w:p w14:paraId="573D8441">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技术员</w:t>
            </w:r>
          </w:p>
        </w:tc>
        <w:tc>
          <w:tcPr>
            <w:tcW w:w="1416" w:type="dxa"/>
            <w:noWrap w:val="0"/>
            <w:vAlign w:val="center"/>
          </w:tcPr>
          <w:p w14:paraId="3B0533B3">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r w14:paraId="64912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exact"/>
          <w:jc w:val="center"/>
        </w:trPr>
        <w:tc>
          <w:tcPr>
            <w:tcW w:w="1485" w:type="dxa"/>
            <w:noWrap w:val="0"/>
            <w:vAlign w:val="center"/>
          </w:tcPr>
          <w:p w14:paraId="6BDB8E90">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经营范围</w:t>
            </w:r>
          </w:p>
        </w:tc>
        <w:tc>
          <w:tcPr>
            <w:tcW w:w="7020" w:type="dxa"/>
            <w:gridSpan w:val="8"/>
            <w:noWrap w:val="0"/>
            <w:vAlign w:val="center"/>
          </w:tcPr>
          <w:p w14:paraId="2CA0F450">
            <w:pPr>
              <w:pStyle w:val="63"/>
              <w:wordWrap w:val="0"/>
              <w:adjustRightInd w:val="0"/>
              <w:snapToGrid w:val="0"/>
              <w:spacing w:line="360" w:lineRule="auto"/>
              <w:jc w:val="left"/>
              <w:rPr>
                <w:rFonts w:hint="eastAsia" w:ascii="宋体" w:hAnsi="宋体" w:eastAsia="宋体" w:cs="宋体"/>
                <w:snapToGrid w:val="0"/>
                <w:color w:val="auto"/>
                <w:kern w:val="0"/>
                <w:szCs w:val="21"/>
                <w:highlight w:val="none"/>
              </w:rPr>
            </w:pPr>
          </w:p>
        </w:tc>
      </w:tr>
      <w:tr w14:paraId="52E8E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9" w:hRule="atLeast"/>
          <w:jc w:val="center"/>
        </w:trPr>
        <w:tc>
          <w:tcPr>
            <w:tcW w:w="1485" w:type="dxa"/>
            <w:noWrap w:val="0"/>
            <w:vAlign w:val="center"/>
          </w:tcPr>
          <w:p w14:paraId="4E31F12A">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关联企业情况</w:t>
            </w:r>
          </w:p>
        </w:tc>
        <w:tc>
          <w:tcPr>
            <w:tcW w:w="7020" w:type="dxa"/>
            <w:gridSpan w:val="8"/>
            <w:noWrap w:val="0"/>
            <w:vAlign w:val="center"/>
          </w:tcPr>
          <w:p w14:paraId="61991BD2">
            <w:pPr>
              <w:pStyle w:val="63"/>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包括但不限于与投标人存在以下关系的不同单位：</w:t>
            </w:r>
          </w:p>
          <w:p w14:paraId="25823A94">
            <w:pPr>
              <w:pStyle w:val="63"/>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1</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法定代表人为同一人的。</w:t>
            </w:r>
          </w:p>
          <w:p w14:paraId="4A80F19E">
            <w:pPr>
              <w:pStyle w:val="63"/>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2</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存在控股、管理关系的。</w:t>
            </w:r>
          </w:p>
          <w:p w14:paraId="546624C5">
            <w:pPr>
              <w:pStyle w:val="63"/>
              <w:wordWrap w:val="0"/>
              <w:adjustRightInd w:val="0"/>
              <w:snapToGrid w:val="0"/>
              <w:spacing w:line="240" w:lineRule="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3</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主要人员相互任职的。</w:t>
            </w:r>
          </w:p>
        </w:tc>
      </w:tr>
      <w:tr w14:paraId="116F9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485" w:type="dxa"/>
            <w:noWrap w:val="0"/>
            <w:vAlign w:val="center"/>
          </w:tcPr>
          <w:p w14:paraId="584EA065">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备注</w:t>
            </w:r>
          </w:p>
        </w:tc>
        <w:tc>
          <w:tcPr>
            <w:tcW w:w="7020" w:type="dxa"/>
            <w:gridSpan w:val="8"/>
            <w:noWrap w:val="0"/>
            <w:vAlign w:val="center"/>
          </w:tcPr>
          <w:p w14:paraId="124B712D">
            <w:pPr>
              <w:pStyle w:val="63"/>
              <w:wordWrap w:val="0"/>
              <w:adjustRightInd w:val="0"/>
              <w:snapToGrid w:val="0"/>
              <w:spacing w:line="360" w:lineRule="auto"/>
              <w:jc w:val="center"/>
              <w:rPr>
                <w:rFonts w:hint="eastAsia" w:ascii="宋体" w:hAnsi="宋体" w:eastAsia="宋体" w:cs="宋体"/>
                <w:snapToGrid w:val="0"/>
                <w:color w:val="auto"/>
                <w:kern w:val="0"/>
                <w:szCs w:val="21"/>
                <w:highlight w:val="none"/>
              </w:rPr>
            </w:pPr>
          </w:p>
        </w:tc>
      </w:tr>
    </w:tbl>
    <w:p w14:paraId="4939D955">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说明：</w:t>
      </w:r>
    </w:p>
    <w:p w14:paraId="2014D061">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Cs w:val="21"/>
          <w:highlight w:val="none"/>
        </w:rPr>
      </w:pPr>
      <w:bookmarkStart w:id="321" w:name="_Toc32526"/>
      <w:r>
        <w:rPr>
          <w:rFonts w:hint="eastAsia" w:ascii="宋体" w:hAnsi="宋体" w:eastAsia="宋体" w:cs="宋体"/>
          <w:snapToGrid w:val="0"/>
          <w:color w:val="auto"/>
          <w:kern w:val="0"/>
          <w:szCs w:val="21"/>
          <w:highlight w:val="none"/>
        </w:rPr>
        <w:t>1</w:t>
      </w:r>
      <w:r>
        <w:rPr>
          <w:rFonts w:hint="eastAsia" w:ascii="宋体" w:hAnsi="宋体" w:eastAsia="宋体" w:cs="宋体"/>
          <w:snapToGrid w:val="0"/>
          <w:color w:val="auto"/>
          <w:kern w:val="0"/>
          <w:szCs w:val="21"/>
          <w:highlight w:val="none"/>
          <w:lang w:eastAsia="zh-CN"/>
        </w:rPr>
        <w:t>.</w:t>
      </w:r>
      <w:r>
        <w:rPr>
          <w:rFonts w:hint="eastAsia" w:ascii="宋体" w:hAnsi="宋体" w:eastAsia="宋体" w:cs="宋体"/>
          <w:snapToGrid w:val="0"/>
          <w:color w:val="auto"/>
          <w:kern w:val="0"/>
          <w:szCs w:val="21"/>
          <w:highlight w:val="none"/>
        </w:rPr>
        <w:t>《投标人基本情况表》后应附以下资料：</w:t>
      </w:r>
      <w:bookmarkEnd w:id="321"/>
    </w:p>
    <w:p w14:paraId="5FC0DE77">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szCs w:val="21"/>
          <w:highlight w:val="none"/>
        </w:rPr>
      </w:pPr>
      <w:r>
        <w:rPr>
          <w:rFonts w:hint="eastAsia" w:ascii="宋体" w:hAnsi="宋体" w:eastAsia="宋体" w:cs="宋体"/>
          <w:snapToGrid w:val="0"/>
          <w:color w:val="auto"/>
          <w:kern w:val="0"/>
          <w:szCs w:val="21"/>
          <w:highlight w:val="none"/>
        </w:rPr>
        <w:t>（1）企业营业执照、资质证书、安全生产许可证的</w:t>
      </w:r>
      <w:r>
        <w:rPr>
          <w:rFonts w:hint="eastAsia" w:ascii="宋体" w:hAnsi="宋体" w:eastAsia="宋体" w:cs="宋体"/>
          <w:snapToGrid w:val="0"/>
          <w:color w:val="auto"/>
          <w:kern w:val="0"/>
          <w:szCs w:val="21"/>
          <w:highlight w:val="none"/>
          <w:lang w:val="en-US" w:eastAsia="zh-CN"/>
        </w:rPr>
        <w:t>（因推行电子证照，企业的营业执照、资质证书等可以提供电子证照。为实时掌握项目投标单位的是否具备企业安全生产条件，企业的安全生产许可证需提供企业实时网页查询页，实时查询页的打印时间应在项目招标公告发布之日起至开标前。企业的安全生产许可证实时网页查询路径：登录“中华人民共和国住房和城乡建设部”，进入 “全国工程质量安全监管信息平台公共服务门户”版块，具体网址为：https://zlaq.mohurd.gov.cn，进入后点击“安全生产许可证信息”，输入企业名称和统一社会信用代码即可查询。如中标后，投标单位安全生产许可证发生被暂扣情形，需双方另行协商）</w:t>
      </w:r>
      <w:r>
        <w:rPr>
          <w:rFonts w:hint="eastAsia" w:ascii="宋体" w:hAnsi="宋体" w:eastAsia="宋体" w:cs="宋体"/>
          <w:snapToGrid w:val="0"/>
          <w:color w:val="auto"/>
          <w:kern w:val="0"/>
          <w:szCs w:val="21"/>
          <w:highlight w:val="none"/>
        </w:rPr>
        <w:t>；</w:t>
      </w:r>
    </w:p>
    <w:p w14:paraId="07D556BE">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Cs w:val="21"/>
          <w:highlight w:val="none"/>
        </w:rPr>
        <w:t>（2）“进粤企业和人员诚信信</w:t>
      </w:r>
      <w:r>
        <w:rPr>
          <w:rFonts w:hint="eastAsia" w:ascii="宋体" w:hAnsi="宋体" w:eastAsia="宋体" w:cs="宋体"/>
          <w:snapToGrid w:val="0"/>
          <w:color w:val="auto"/>
          <w:kern w:val="0"/>
          <w:highlight w:val="none"/>
        </w:rPr>
        <w:t>息登记平台”企业信息情况打印页彩色扫描件或网页截图。（适用于省外建筑企业）；</w:t>
      </w:r>
    </w:p>
    <w:p w14:paraId="0280223A">
      <w:pPr>
        <w:pStyle w:val="63"/>
        <w:keepNext w:val="0"/>
        <w:keepLines w:val="0"/>
        <w:pageBreakBefore w:val="0"/>
        <w:widowControl w:val="0"/>
        <w:kinsoku/>
        <w:wordWrap w:val="0"/>
        <w:overflowPunct/>
        <w:topLinePunct w:val="0"/>
        <w:autoSpaceDE/>
        <w:autoSpaceDN/>
        <w:bidi w:val="0"/>
        <w:adjustRightInd w:val="0"/>
        <w:snapToGrid w:val="0"/>
        <w:spacing w:line="360" w:lineRule="auto"/>
        <w:ind w:firstLine="420" w:firstLineChars="200"/>
        <w:textAlignment w:val="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szCs w:val="21"/>
          <w:highlight w:val="none"/>
        </w:rPr>
        <w:t>（3）</w:t>
      </w:r>
      <w:r>
        <w:rPr>
          <w:rFonts w:hint="eastAsia" w:ascii="宋体" w:hAnsi="宋体" w:eastAsia="宋体" w:cs="宋体"/>
          <w:snapToGrid w:val="0"/>
          <w:color w:val="auto"/>
          <w:kern w:val="0"/>
          <w:highlight w:val="none"/>
        </w:rPr>
        <w:t>《法人和非法人组织公共信用信息报告》(在“信用中国”网站企业查询界面中下载) 。</w:t>
      </w:r>
    </w:p>
    <w:p w14:paraId="17DD4076">
      <w:pPr>
        <w:pStyle w:val="63"/>
        <w:keepNext w:val="0"/>
        <w:keepLines w:val="0"/>
        <w:pageBreakBefore w:val="0"/>
        <w:widowControl w:val="0"/>
        <w:kinsoku/>
        <w:wordWrap w:val="0"/>
        <w:overflowPunct/>
        <w:topLinePunct w:val="0"/>
        <w:autoSpaceDE/>
        <w:autoSpaceDN/>
        <w:bidi w:val="0"/>
        <w:adjustRightInd w:val="0"/>
        <w:snapToGrid w:val="0"/>
        <w:spacing w:line="360" w:lineRule="auto"/>
        <w:textAlignment w:val="auto"/>
        <w:rPr>
          <w:rFonts w:hint="eastAsia" w:ascii="宋体" w:hAnsi="宋体" w:eastAsia="宋体" w:cs="宋体"/>
          <w:snapToGrid w:val="0"/>
          <w:color w:val="auto"/>
          <w:kern w:val="0"/>
          <w:highlight w:val="none"/>
        </w:rPr>
      </w:pPr>
    </w:p>
    <w:p w14:paraId="426AAF63">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22" w:name="_Toc8882"/>
      <w:bookmarkStart w:id="323" w:name="_Toc15417"/>
      <w:r>
        <w:rPr>
          <w:rFonts w:hint="eastAsia" w:ascii="宋体" w:hAnsi="宋体" w:eastAsia="宋体" w:cs="宋体"/>
          <w:b/>
          <w:bCs/>
          <w:color w:val="auto"/>
          <w:spacing w:val="-11"/>
          <w:sz w:val="24"/>
          <w:szCs w:val="24"/>
          <w:highlight w:val="none"/>
          <w:lang w:val="en-US" w:eastAsia="zh-CN"/>
        </w:rPr>
        <w:t>格式七   项目经理简历表</w:t>
      </w:r>
      <w:bookmarkEnd w:id="322"/>
      <w:bookmarkEnd w:id="323"/>
    </w:p>
    <w:tbl>
      <w:tblPr>
        <w:tblStyle w:val="24"/>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CB61F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B56E75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7A85DF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183A75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D4225F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0CA00F7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119A79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69C63A1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D5BABF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5A3C9DB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096336A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24FF960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7BA84EC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484DC2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3E0CC2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41E1C2C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5C4DCE3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5E576ED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B9EDB8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95D64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23C2143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以项目经理身份参与过的主要业绩（已完工项目）</w:t>
            </w:r>
          </w:p>
        </w:tc>
      </w:tr>
      <w:tr w14:paraId="3413ECE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63FE25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00952E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1C1CBA6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EC89A3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A7962D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A928A3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6653FD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926741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345822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3AD82C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49ADCE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309924B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2DC386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2475D5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2ABFA7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6520A4C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A91C04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7A2077B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518EA9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0AF2ECC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280BA6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9C3E40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2E7052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582ABA0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6DB0CB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0856575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C2617E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1F5CA84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1CB66F2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5F1A1B4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375A391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05F9564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24D199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2E536B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bl>
    <w:p w14:paraId="6CEDCDC0">
      <w:pPr>
        <w:jc w:val="center"/>
        <w:rPr>
          <w:rFonts w:hint="eastAsia" w:ascii="宋体" w:hAnsi="宋体" w:eastAsia="宋体" w:cs="宋体"/>
          <w:b/>
          <w:bCs/>
          <w:sz w:val="30"/>
          <w:szCs w:val="30"/>
        </w:rPr>
      </w:pPr>
      <w:bookmarkStart w:id="324" w:name="_Toc30114"/>
      <w:r>
        <w:rPr>
          <w:rFonts w:hint="eastAsia" w:ascii="宋体" w:hAnsi="宋体" w:eastAsia="宋体" w:cs="宋体"/>
          <w:b/>
          <w:bCs/>
          <w:sz w:val="30"/>
          <w:szCs w:val="30"/>
        </w:rPr>
        <w:t>项目经理简历表</w:t>
      </w:r>
      <w:bookmarkEnd w:id="324"/>
    </w:p>
    <w:p w14:paraId="5C260890">
      <w:pPr>
        <w:wordWrap w:val="0"/>
        <w:adjustRightInd w:val="0"/>
        <w:snapToGrid w:val="0"/>
        <w:spacing w:line="360" w:lineRule="auto"/>
        <w:ind w:firstLine="570"/>
        <w:rPr>
          <w:rFonts w:hint="eastAsia" w:ascii="宋体" w:hAnsi="宋体" w:eastAsia="宋体" w:cs="宋体"/>
          <w:snapToGrid w:val="0"/>
          <w:color w:val="auto"/>
          <w:kern w:val="0"/>
          <w:szCs w:val="28"/>
          <w:highlight w:val="none"/>
        </w:rPr>
      </w:pPr>
    </w:p>
    <w:p w14:paraId="7A758A19">
      <w:pPr>
        <w:pStyle w:val="61"/>
        <w:wordWrap w:val="0"/>
        <w:adjustRightInd w:val="0"/>
        <w:snapToGrid w:val="0"/>
        <w:spacing w:line="360" w:lineRule="auto"/>
        <w:jc w:val="right"/>
        <w:rPr>
          <w:rFonts w:hint="eastAsia" w:ascii="宋体" w:hAnsi="宋体" w:eastAsia="宋体" w:cs="宋体"/>
          <w:snapToGrid w:val="0"/>
          <w:color w:val="auto"/>
          <w:kern w:val="0"/>
          <w:highlight w:val="none"/>
        </w:rPr>
      </w:pPr>
    </w:p>
    <w:p w14:paraId="0CE73ABD">
      <w:pPr>
        <w:pStyle w:val="61"/>
        <w:wordWrap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项目经理：</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113DCC34">
      <w:pPr>
        <w:pStyle w:val="61"/>
        <w:wordWrap w:val="0"/>
        <w:adjustRightInd w:val="0"/>
        <w:snapToGrid w:val="0"/>
        <w:spacing w:line="360" w:lineRule="auto"/>
        <w:jc w:val="right"/>
        <w:rPr>
          <w:rFonts w:hint="eastAsia" w:ascii="宋体" w:hAnsi="宋体" w:eastAsia="宋体" w:cs="宋体"/>
          <w:snapToGrid w:val="0"/>
          <w:color w:val="auto"/>
          <w:kern w:val="0"/>
          <w:highlight w:val="none"/>
        </w:rPr>
      </w:pPr>
    </w:p>
    <w:p w14:paraId="3F546439">
      <w:pPr>
        <w:pStyle w:val="61"/>
        <w:wordWrap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6A2A543C">
      <w:pPr>
        <w:wordWrap w:val="0"/>
        <w:adjustRightInd w:val="0"/>
        <w:snapToGrid w:val="0"/>
        <w:spacing w:line="360" w:lineRule="auto"/>
        <w:ind w:firstLine="570"/>
        <w:rPr>
          <w:rFonts w:hint="eastAsia" w:ascii="宋体" w:hAnsi="宋体" w:eastAsia="宋体" w:cs="宋体"/>
          <w:snapToGrid w:val="0"/>
          <w:color w:val="auto"/>
          <w:kern w:val="0"/>
          <w:szCs w:val="28"/>
          <w:highlight w:val="none"/>
        </w:rPr>
      </w:pPr>
    </w:p>
    <w:p w14:paraId="59A691F7">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说明：《项目经理简历表》后应附拟派项目经理以下资料：</w:t>
      </w:r>
    </w:p>
    <w:p w14:paraId="5C22EF16">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bookmarkStart w:id="325" w:name="_Toc950"/>
      <w:r>
        <w:rPr>
          <w:rFonts w:hint="eastAsia" w:ascii="宋体" w:hAnsi="宋体" w:eastAsia="宋体" w:cs="宋体"/>
          <w:snapToGrid w:val="0"/>
          <w:color w:val="auto"/>
          <w:kern w:val="0"/>
          <w:sz w:val="21"/>
          <w:szCs w:val="28"/>
          <w:highlight w:val="none"/>
        </w:rPr>
        <w:t>1</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身份证彩色扫描件；</w:t>
      </w:r>
      <w:bookmarkEnd w:id="325"/>
    </w:p>
    <w:p w14:paraId="137698AC">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w:t>
      </w:r>
      <w:r>
        <w:rPr>
          <w:rFonts w:hint="eastAsia" w:ascii="宋体" w:hAnsi="宋体" w:eastAsia="宋体" w:cs="宋体"/>
          <w:snapToGrid w:val="0"/>
          <w:color w:val="auto"/>
          <w:kern w:val="0"/>
          <w:sz w:val="21"/>
          <w:szCs w:val="21"/>
          <w:highlight w:val="none"/>
        </w:rPr>
        <w:t xml:space="preserve">   2</w:t>
      </w:r>
      <w:r>
        <w:rPr>
          <w:rFonts w:hint="eastAsia" w:ascii="宋体" w:hAnsi="宋体" w:eastAsia="宋体" w:cs="宋体"/>
          <w:snapToGrid w:val="0"/>
          <w:color w:val="auto"/>
          <w:kern w:val="0"/>
          <w:sz w:val="21"/>
          <w:szCs w:val="21"/>
          <w:highlight w:val="none"/>
          <w:lang w:eastAsia="zh-CN"/>
        </w:rPr>
        <w:t>.</w:t>
      </w:r>
      <w:r>
        <w:rPr>
          <w:rFonts w:hint="eastAsia" w:ascii="宋体" w:hAnsi="宋体" w:eastAsia="宋体" w:cs="宋体"/>
          <w:snapToGrid w:val="0"/>
          <w:color w:val="auto"/>
          <w:kern w:val="0"/>
          <w:sz w:val="21"/>
          <w:szCs w:val="21"/>
          <w:highlight w:val="none"/>
        </w:rPr>
        <w:t>建造师电子注册证书（在使用有效期内的有效电子证书）；</w:t>
      </w:r>
    </w:p>
    <w:p w14:paraId="2F647E35">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3</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B类安全生产考核合格证书彩色扫描件或广东省建筑施工企业管理人员安全生产考核系统考核合格信息；</w:t>
      </w:r>
    </w:p>
    <w:p w14:paraId="6A6DA73D">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4</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至少一个月，其中必须有2025年</w:t>
      </w:r>
      <w:r>
        <w:rPr>
          <w:rFonts w:hint="eastAsia" w:ascii="宋体" w:hAnsi="宋体" w:eastAsia="宋体" w:cs="宋体"/>
          <w:snapToGrid w:val="0"/>
          <w:color w:val="auto"/>
          <w:kern w:val="0"/>
          <w:sz w:val="21"/>
          <w:szCs w:val="28"/>
          <w:highlight w:val="none"/>
          <w:lang w:val="en-US" w:eastAsia="zh-CN"/>
        </w:rPr>
        <w:t>5</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）彩色扫描件。拟派项目经理为退休返聘人员无法提供社保证明的，提供退休证和劳动合同彩色扫描件。</w:t>
      </w:r>
    </w:p>
    <w:p w14:paraId="1A0A328B">
      <w:pPr>
        <w:wordWrap w:val="0"/>
        <w:adjustRightInd w:val="0"/>
        <w:snapToGrid w:val="0"/>
        <w:spacing w:line="360" w:lineRule="auto"/>
        <w:ind w:firstLine="420" w:firstLineChars="200"/>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szCs w:val="28"/>
          <w:highlight w:val="none"/>
        </w:rPr>
        <w:t>5</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highlight w:val="none"/>
        </w:rPr>
        <w:t>“进粤企业和人员诚信信息登记平台”个人（项目经理等）信息情况截图。（适用于省外建筑企业）</w:t>
      </w:r>
    </w:p>
    <w:p w14:paraId="3BC740CB">
      <w:pPr>
        <w:rPr>
          <w:rFonts w:hint="eastAsia" w:ascii="宋体" w:hAnsi="宋体" w:eastAsia="宋体" w:cs="宋体"/>
        </w:rPr>
      </w:pPr>
    </w:p>
    <w:p w14:paraId="78BD32D6">
      <w:pPr>
        <w:rPr>
          <w:rFonts w:hint="eastAsia" w:ascii="宋体" w:hAnsi="宋体" w:eastAsia="宋体" w:cs="宋体"/>
        </w:rPr>
      </w:pPr>
    </w:p>
    <w:p w14:paraId="5A2A6006">
      <w:pPr>
        <w:rPr>
          <w:rFonts w:hint="eastAsia" w:ascii="宋体" w:hAnsi="宋体" w:eastAsia="宋体" w:cs="宋体"/>
        </w:rPr>
      </w:pPr>
    </w:p>
    <w:p w14:paraId="79CFF234">
      <w:pPr>
        <w:rPr>
          <w:rFonts w:hint="eastAsia" w:ascii="宋体" w:hAnsi="宋体" w:eastAsia="宋体" w:cs="宋体"/>
        </w:rPr>
      </w:pPr>
    </w:p>
    <w:p w14:paraId="161307C0">
      <w:pPr>
        <w:rPr>
          <w:rFonts w:hint="eastAsia" w:ascii="宋体" w:hAnsi="宋体" w:eastAsia="宋体" w:cs="宋体"/>
        </w:rPr>
      </w:pPr>
    </w:p>
    <w:p w14:paraId="53B5F7AD">
      <w:pPr>
        <w:rPr>
          <w:rFonts w:hint="eastAsia" w:ascii="宋体" w:hAnsi="宋体" w:eastAsia="宋体" w:cs="宋体"/>
        </w:rPr>
      </w:pPr>
    </w:p>
    <w:p w14:paraId="18551E3D">
      <w:pPr>
        <w:rPr>
          <w:rFonts w:hint="eastAsia" w:ascii="宋体" w:hAnsi="宋体" w:eastAsia="宋体" w:cs="宋体"/>
        </w:rPr>
      </w:pPr>
    </w:p>
    <w:p w14:paraId="582DBCE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26" w:name="_Toc25955"/>
      <w:bookmarkStart w:id="327" w:name="_Toc17035"/>
      <w:r>
        <w:rPr>
          <w:rFonts w:hint="eastAsia" w:ascii="宋体" w:hAnsi="宋体" w:eastAsia="宋体" w:cs="宋体"/>
          <w:b/>
          <w:bCs/>
          <w:color w:val="auto"/>
          <w:spacing w:val="-11"/>
          <w:sz w:val="24"/>
          <w:szCs w:val="24"/>
          <w:highlight w:val="none"/>
          <w:lang w:val="en-US" w:eastAsia="zh-CN"/>
        </w:rPr>
        <w:t>格式八   项目经理任职声明</w:t>
      </w:r>
      <w:bookmarkEnd w:id="326"/>
      <w:bookmarkEnd w:id="327"/>
    </w:p>
    <w:p w14:paraId="6509A88D">
      <w:pPr>
        <w:wordWrap w:val="0"/>
        <w:adjustRightInd w:val="0"/>
        <w:snapToGrid w:val="0"/>
        <w:spacing w:before="260" w:after="260" w:line="360" w:lineRule="auto"/>
        <w:jc w:val="center"/>
        <w:rPr>
          <w:rFonts w:hint="eastAsia" w:ascii="宋体" w:hAnsi="宋体" w:eastAsia="宋体" w:cs="宋体"/>
          <w:snapToGrid w:val="0"/>
          <w:color w:val="auto"/>
          <w:kern w:val="0"/>
          <w:szCs w:val="28"/>
          <w:highlight w:val="none"/>
        </w:rPr>
      </w:pPr>
      <w:r>
        <w:rPr>
          <w:rFonts w:hint="eastAsia" w:ascii="宋体" w:hAnsi="宋体" w:eastAsia="宋体" w:cs="宋体"/>
          <w:b/>
          <w:snapToGrid w:val="0"/>
          <w:color w:val="auto"/>
          <w:kern w:val="0"/>
          <w:sz w:val="30"/>
          <w:highlight w:val="none"/>
        </w:rPr>
        <w:t>项目经理任职声明</w:t>
      </w:r>
    </w:p>
    <w:p w14:paraId="73DA9097">
      <w:pPr>
        <w:wordWrap w:val="0"/>
        <w:adjustRightInd w:val="0"/>
        <w:snapToGrid w:val="0"/>
        <w:spacing w:line="360" w:lineRule="auto"/>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（招标人名称）：</w:t>
      </w:r>
    </w:p>
    <w:p w14:paraId="699AA83C">
      <w:pPr>
        <w:wordWrap w:val="0"/>
        <w:adjustRightInd w:val="0"/>
        <w:snapToGrid w:val="0"/>
        <w:spacing w:line="360" w:lineRule="auto"/>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我方在此声明，我方拟派往</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（项目名称）的项目经理</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（项目经理姓名）现阶段没有担任任何在施（包括已中标未开工、已开工未竣工）建设工程项目的项目经理。</w:t>
      </w:r>
    </w:p>
    <w:p w14:paraId="5575BC8B">
      <w:pPr>
        <w:wordWrap w:val="0"/>
        <w:adjustRightInd w:val="0"/>
        <w:snapToGrid w:val="0"/>
        <w:spacing w:line="360" w:lineRule="auto"/>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我方保证上述信息的真实和准确，并愿意承担因我方就此弄虚作假所引起的一切法律后果。</w:t>
      </w:r>
    </w:p>
    <w:p w14:paraId="60348B3F">
      <w:pPr>
        <w:wordWrap w:val="0"/>
        <w:adjustRightInd w:val="0"/>
        <w:snapToGrid w:val="0"/>
        <w:spacing w:line="360" w:lineRule="auto"/>
        <w:ind w:firstLine="480"/>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w:t>
      </w:r>
    </w:p>
    <w:p w14:paraId="10BE7076">
      <w:pPr>
        <w:wordWrap w:val="0"/>
        <w:adjustRightInd w:val="0"/>
        <w:snapToGrid w:val="0"/>
        <w:spacing w:line="360" w:lineRule="auto"/>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特此承诺　　</w:t>
      </w:r>
    </w:p>
    <w:p w14:paraId="5BFD446E">
      <w:pPr>
        <w:rPr>
          <w:rFonts w:hint="eastAsia" w:ascii="宋体" w:hAnsi="宋体" w:eastAsia="宋体" w:cs="宋体"/>
        </w:rPr>
      </w:pPr>
      <w:r>
        <w:rPr>
          <w:rFonts w:hint="eastAsia" w:ascii="宋体" w:hAnsi="宋体" w:eastAsia="宋体" w:cs="宋体"/>
          <w:snapToGrid w:val="0"/>
          <w:color w:val="auto"/>
          <w:kern w:val="0"/>
          <w:szCs w:val="28"/>
          <w:highlight w:val="none"/>
        </w:rPr>
        <w:t>　</w:t>
      </w:r>
    </w:p>
    <w:p w14:paraId="37BD09A4">
      <w:pPr>
        <w:rPr>
          <w:rFonts w:hint="eastAsia" w:ascii="宋体" w:hAnsi="宋体" w:eastAsia="宋体" w:cs="宋体"/>
        </w:rPr>
      </w:pPr>
      <w:r>
        <w:rPr>
          <w:rFonts w:hint="eastAsia" w:ascii="宋体" w:hAnsi="宋体" w:eastAsia="宋体" w:cs="宋体"/>
        </w:rPr>
        <w:t>　</w:t>
      </w:r>
    </w:p>
    <w:p w14:paraId="38BA62EC">
      <w:pPr>
        <w:wordWrap w:val="0"/>
        <w:adjustRightInd w:val="0"/>
        <w:snapToGrid w:val="0"/>
        <w:spacing w:line="360" w:lineRule="auto"/>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投标人：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（盖单位章）</w:t>
      </w:r>
    </w:p>
    <w:p w14:paraId="2D3E5E4F">
      <w:pPr>
        <w:wordWrap w:val="0"/>
        <w:adjustRightInd w:val="0"/>
        <w:snapToGrid w:val="0"/>
        <w:spacing w:line="360" w:lineRule="auto"/>
        <w:jc w:val="right"/>
        <w:rPr>
          <w:rFonts w:hint="eastAsia" w:ascii="宋体" w:hAnsi="宋体" w:eastAsia="宋体" w:cs="宋体"/>
          <w:snapToGrid w:val="0"/>
          <w:color w:val="auto"/>
          <w:kern w:val="0"/>
          <w:szCs w:val="28"/>
          <w:highlight w:val="none"/>
        </w:rPr>
      </w:pPr>
    </w:p>
    <w:p w14:paraId="4EE621C8">
      <w:pPr>
        <w:wordWrap w:val="0"/>
        <w:adjustRightInd w:val="0"/>
        <w:snapToGrid w:val="0"/>
        <w:spacing w:line="360" w:lineRule="auto"/>
        <w:jc w:val="right"/>
        <w:rPr>
          <w:rFonts w:hint="eastAsia" w:ascii="宋体" w:hAnsi="宋体" w:eastAsia="宋体" w:cs="宋体"/>
          <w:snapToGrid w:val="0"/>
          <w:color w:val="auto"/>
          <w:kern w:val="0"/>
          <w:szCs w:val="28"/>
          <w:highlight w:val="none"/>
        </w:rPr>
      </w:pPr>
    </w:p>
    <w:p w14:paraId="1BD82FD6">
      <w:pPr>
        <w:wordWrap w:val="0"/>
        <w:adjustRightInd w:val="0"/>
        <w:snapToGrid w:val="0"/>
        <w:spacing w:line="360" w:lineRule="auto"/>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法定代表人或其委托代理人：</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（签字或盖章）</w:t>
      </w:r>
    </w:p>
    <w:p w14:paraId="3E30BC6E">
      <w:pPr>
        <w:wordWrap w:val="0"/>
        <w:adjustRightInd w:val="0"/>
        <w:snapToGrid w:val="0"/>
        <w:spacing w:line="360" w:lineRule="auto"/>
        <w:jc w:val="right"/>
        <w:rPr>
          <w:rFonts w:hint="eastAsia" w:ascii="宋体" w:hAnsi="宋体" w:eastAsia="宋体" w:cs="宋体"/>
          <w:snapToGrid w:val="0"/>
          <w:color w:val="auto"/>
          <w:kern w:val="0"/>
          <w:szCs w:val="28"/>
          <w:highlight w:val="none"/>
        </w:rPr>
      </w:pPr>
    </w:p>
    <w:p w14:paraId="2EEA4A8A">
      <w:pPr>
        <w:wordWrap w:val="0"/>
        <w:adjustRightInd w:val="0"/>
        <w:snapToGrid w:val="0"/>
        <w:spacing w:line="360" w:lineRule="auto"/>
        <w:jc w:val="right"/>
        <w:rPr>
          <w:rFonts w:hint="eastAsia" w:ascii="宋体" w:hAnsi="宋体" w:eastAsia="宋体" w:cs="宋体"/>
          <w:snapToGrid w:val="0"/>
          <w:color w:val="auto"/>
          <w:kern w:val="0"/>
          <w:szCs w:val="28"/>
          <w:highlight w:val="none"/>
        </w:rPr>
      </w:pPr>
      <w:r>
        <w:rPr>
          <w:rFonts w:hint="eastAsia" w:ascii="宋体" w:hAnsi="宋体" w:eastAsia="宋体" w:cs="宋体"/>
          <w:snapToGrid w:val="0"/>
          <w:color w:val="auto"/>
          <w:kern w:val="0"/>
          <w:szCs w:val="28"/>
          <w:highlight w:val="none"/>
        </w:rPr>
        <w:t xml:space="preserve">                            </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年</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月</w:t>
      </w:r>
      <w:r>
        <w:rPr>
          <w:rFonts w:hint="eastAsia" w:ascii="宋体" w:hAnsi="宋体" w:eastAsia="宋体" w:cs="宋体"/>
          <w:snapToGrid w:val="0"/>
          <w:color w:val="auto"/>
          <w:kern w:val="0"/>
          <w:szCs w:val="28"/>
          <w:highlight w:val="none"/>
          <w:u w:val="single"/>
        </w:rPr>
        <w:t xml:space="preserve">        </w:t>
      </w:r>
      <w:r>
        <w:rPr>
          <w:rFonts w:hint="eastAsia" w:ascii="宋体" w:hAnsi="宋体" w:eastAsia="宋体" w:cs="宋体"/>
          <w:snapToGrid w:val="0"/>
          <w:color w:val="auto"/>
          <w:kern w:val="0"/>
          <w:szCs w:val="28"/>
          <w:highlight w:val="none"/>
        </w:rPr>
        <w:t>日</w:t>
      </w:r>
    </w:p>
    <w:p w14:paraId="1CBEEDFF">
      <w:pPr>
        <w:rPr>
          <w:rFonts w:hint="eastAsia" w:ascii="宋体" w:hAnsi="宋体" w:eastAsia="宋体" w:cs="宋体"/>
        </w:rPr>
      </w:pPr>
    </w:p>
    <w:p w14:paraId="4C3B3340">
      <w:pPr>
        <w:rPr>
          <w:rFonts w:hint="eastAsia" w:ascii="宋体" w:hAnsi="宋体" w:eastAsia="宋体" w:cs="宋体"/>
        </w:rPr>
      </w:pPr>
    </w:p>
    <w:p w14:paraId="3085189B">
      <w:pPr>
        <w:rPr>
          <w:rFonts w:hint="eastAsia" w:ascii="宋体" w:hAnsi="宋体" w:eastAsia="宋体" w:cs="宋体"/>
        </w:rPr>
      </w:pPr>
    </w:p>
    <w:p w14:paraId="28919134">
      <w:pPr>
        <w:rPr>
          <w:rFonts w:hint="eastAsia" w:ascii="宋体" w:hAnsi="宋体" w:eastAsia="宋体" w:cs="宋体"/>
        </w:rPr>
      </w:pPr>
    </w:p>
    <w:p w14:paraId="6F63443F">
      <w:pPr>
        <w:rPr>
          <w:rFonts w:hint="eastAsia" w:ascii="宋体" w:hAnsi="宋体" w:eastAsia="宋体" w:cs="宋体"/>
        </w:rPr>
      </w:pPr>
    </w:p>
    <w:p w14:paraId="7826462E">
      <w:pPr>
        <w:rPr>
          <w:rFonts w:hint="eastAsia" w:ascii="宋体" w:hAnsi="宋体" w:eastAsia="宋体" w:cs="宋体"/>
        </w:rPr>
      </w:pPr>
    </w:p>
    <w:p w14:paraId="47844A6D">
      <w:pPr>
        <w:rPr>
          <w:rFonts w:hint="eastAsia" w:ascii="宋体" w:hAnsi="宋体" w:eastAsia="宋体" w:cs="宋体"/>
        </w:rPr>
      </w:pPr>
    </w:p>
    <w:p w14:paraId="0AC09AE7">
      <w:pPr>
        <w:rPr>
          <w:rFonts w:hint="eastAsia" w:ascii="宋体" w:hAnsi="宋体" w:eastAsia="宋体" w:cs="宋体"/>
        </w:rPr>
      </w:pPr>
    </w:p>
    <w:p w14:paraId="08929D72">
      <w:pPr>
        <w:rPr>
          <w:rFonts w:hint="eastAsia" w:ascii="宋体" w:hAnsi="宋体" w:eastAsia="宋体" w:cs="宋体"/>
        </w:rPr>
      </w:pPr>
    </w:p>
    <w:p w14:paraId="7B5D25EE">
      <w:pPr>
        <w:rPr>
          <w:rFonts w:hint="eastAsia" w:ascii="宋体" w:hAnsi="宋体" w:eastAsia="宋体" w:cs="宋体"/>
        </w:rPr>
      </w:pPr>
    </w:p>
    <w:p w14:paraId="3341094E">
      <w:pPr>
        <w:rPr>
          <w:rFonts w:hint="eastAsia" w:ascii="宋体" w:hAnsi="宋体" w:eastAsia="宋体" w:cs="宋体"/>
        </w:rPr>
      </w:pPr>
    </w:p>
    <w:p w14:paraId="37995BE5">
      <w:pPr>
        <w:rPr>
          <w:rFonts w:hint="eastAsia" w:ascii="宋体" w:hAnsi="宋体" w:eastAsia="宋体" w:cs="宋体"/>
        </w:rPr>
      </w:pPr>
    </w:p>
    <w:p w14:paraId="3F9FE769">
      <w:pPr>
        <w:rPr>
          <w:rFonts w:hint="eastAsia" w:ascii="宋体" w:hAnsi="宋体" w:eastAsia="宋体" w:cs="宋体"/>
        </w:rPr>
      </w:pPr>
    </w:p>
    <w:p w14:paraId="6B60A7C9">
      <w:pPr>
        <w:rPr>
          <w:rFonts w:hint="eastAsia" w:ascii="宋体" w:hAnsi="宋体" w:eastAsia="宋体" w:cs="宋体"/>
        </w:rPr>
      </w:pPr>
    </w:p>
    <w:p w14:paraId="217BAFFE">
      <w:pPr>
        <w:rPr>
          <w:rFonts w:hint="eastAsia" w:ascii="宋体" w:hAnsi="宋体" w:eastAsia="宋体" w:cs="宋体"/>
        </w:rPr>
      </w:pPr>
    </w:p>
    <w:p w14:paraId="35AEEA01">
      <w:pPr>
        <w:rPr>
          <w:rFonts w:hint="eastAsia" w:ascii="宋体" w:hAnsi="宋体" w:eastAsia="宋体" w:cs="宋体"/>
        </w:rPr>
      </w:pPr>
    </w:p>
    <w:p w14:paraId="377F15E3">
      <w:pPr>
        <w:rPr>
          <w:rFonts w:hint="eastAsia" w:ascii="宋体" w:hAnsi="宋体" w:eastAsia="宋体" w:cs="宋体"/>
        </w:rPr>
      </w:pPr>
    </w:p>
    <w:p w14:paraId="262F290D">
      <w:pPr>
        <w:rPr>
          <w:rFonts w:hint="eastAsia" w:ascii="宋体" w:hAnsi="宋体" w:eastAsia="宋体" w:cs="宋体"/>
        </w:rPr>
      </w:pPr>
    </w:p>
    <w:p w14:paraId="2C8F7B84">
      <w:pPr>
        <w:rPr>
          <w:rFonts w:hint="eastAsia" w:ascii="宋体" w:hAnsi="宋体" w:eastAsia="宋体" w:cs="宋体"/>
        </w:rPr>
      </w:pPr>
    </w:p>
    <w:p w14:paraId="06F11753">
      <w:pPr>
        <w:rPr>
          <w:rFonts w:hint="eastAsia" w:ascii="宋体" w:hAnsi="宋体" w:eastAsia="宋体" w:cs="宋体"/>
        </w:rPr>
      </w:pPr>
    </w:p>
    <w:p w14:paraId="6089CE80">
      <w:pPr>
        <w:rPr>
          <w:rFonts w:hint="eastAsia" w:ascii="宋体" w:hAnsi="宋体" w:eastAsia="宋体" w:cs="宋体"/>
        </w:rPr>
      </w:pPr>
    </w:p>
    <w:p w14:paraId="2331CFC2">
      <w:pPr>
        <w:rPr>
          <w:rFonts w:hint="eastAsia" w:ascii="宋体" w:hAnsi="宋体" w:eastAsia="宋体" w:cs="宋体"/>
        </w:rPr>
      </w:pPr>
    </w:p>
    <w:p w14:paraId="1BAA40A1">
      <w:pPr>
        <w:rPr>
          <w:rFonts w:hint="eastAsia" w:ascii="宋体" w:hAnsi="宋体" w:eastAsia="宋体" w:cs="宋体"/>
        </w:rPr>
      </w:pPr>
    </w:p>
    <w:p w14:paraId="1AA3FA13">
      <w:pPr>
        <w:rPr>
          <w:rFonts w:hint="eastAsia" w:ascii="宋体" w:hAnsi="宋体" w:eastAsia="宋体" w:cs="宋体"/>
        </w:rPr>
      </w:pPr>
    </w:p>
    <w:p w14:paraId="7451E2F5">
      <w:pPr>
        <w:rPr>
          <w:rFonts w:hint="eastAsia" w:ascii="宋体" w:hAnsi="宋体" w:eastAsia="宋体" w:cs="宋体"/>
        </w:rPr>
      </w:pPr>
    </w:p>
    <w:p w14:paraId="7EE4AA48">
      <w:pPr>
        <w:rPr>
          <w:rFonts w:hint="eastAsia" w:ascii="宋体" w:hAnsi="宋体" w:eastAsia="宋体" w:cs="宋体"/>
        </w:rPr>
      </w:pPr>
    </w:p>
    <w:p w14:paraId="2707167B">
      <w:pPr>
        <w:rPr>
          <w:rFonts w:hint="eastAsia" w:ascii="宋体" w:hAnsi="宋体" w:eastAsia="宋体" w:cs="宋体"/>
        </w:rPr>
      </w:pPr>
    </w:p>
    <w:p w14:paraId="4B8AAD12">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28" w:name="_Toc8772"/>
      <w:bookmarkStart w:id="329" w:name="_Toc4068"/>
      <w:r>
        <w:rPr>
          <w:rFonts w:hint="eastAsia" w:ascii="宋体" w:hAnsi="宋体" w:eastAsia="宋体" w:cs="宋体"/>
          <w:b/>
          <w:bCs/>
          <w:color w:val="auto"/>
          <w:spacing w:val="-11"/>
          <w:sz w:val="24"/>
          <w:szCs w:val="24"/>
          <w:highlight w:val="none"/>
          <w:lang w:val="en-US" w:eastAsia="zh-CN"/>
        </w:rPr>
        <w:t>格式九   项目技术负责人简历表</w:t>
      </w:r>
      <w:bookmarkEnd w:id="328"/>
      <w:bookmarkEnd w:id="329"/>
    </w:p>
    <w:tbl>
      <w:tblPr>
        <w:tblStyle w:val="24"/>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5F00A1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5F005AA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34B5C25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2100075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  别</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5E8C331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68E7004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   龄</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DE8732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5CC5B1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68FB1AA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0"/>
            <w:vAlign w:val="center"/>
          </w:tcPr>
          <w:p w14:paraId="4F88072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294" w:type="dxa"/>
            <w:tcBorders>
              <w:top w:val="single" w:color="auto" w:sz="6" w:space="0"/>
              <w:left w:val="single" w:color="auto" w:sz="6" w:space="0"/>
              <w:bottom w:val="single" w:color="auto" w:sz="6" w:space="0"/>
              <w:right w:val="single" w:color="auto" w:sz="6" w:space="0"/>
            </w:tcBorders>
            <w:noWrap w:val="0"/>
            <w:vAlign w:val="center"/>
          </w:tcPr>
          <w:p w14:paraId="74DF9C1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  称</w:t>
            </w:r>
          </w:p>
        </w:tc>
        <w:tc>
          <w:tcPr>
            <w:tcW w:w="1946" w:type="dxa"/>
            <w:tcBorders>
              <w:top w:val="single" w:color="auto" w:sz="6" w:space="0"/>
              <w:left w:val="single" w:color="auto" w:sz="6" w:space="0"/>
              <w:bottom w:val="single" w:color="auto" w:sz="6" w:space="0"/>
              <w:right w:val="single" w:color="auto" w:sz="6" w:space="0"/>
            </w:tcBorders>
            <w:noWrap w:val="0"/>
            <w:vAlign w:val="center"/>
          </w:tcPr>
          <w:p w14:paraId="31F6F54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0"/>
            <w:vAlign w:val="center"/>
          </w:tcPr>
          <w:p w14:paraId="2A2AD93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学   历</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61B398F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B59E0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0"/>
            <w:vAlign w:val="center"/>
          </w:tcPr>
          <w:p w14:paraId="1EE6442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0"/>
            <w:vAlign w:val="center"/>
          </w:tcPr>
          <w:p w14:paraId="098466A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0"/>
            <w:vAlign w:val="center"/>
          </w:tcPr>
          <w:p w14:paraId="7444F55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E754BA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165619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0"/>
            <w:vAlign w:val="center"/>
          </w:tcPr>
          <w:p w14:paraId="104EB15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以项目技术负责人身份参与过的主要业绩（已完工项目）</w:t>
            </w:r>
          </w:p>
        </w:tc>
      </w:tr>
      <w:tr w14:paraId="763CE6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2E3735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0DE7A2D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0F15C6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3988C70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0"/>
            <w:vAlign w:val="center"/>
          </w:tcPr>
          <w:p w14:paraId="710AE0A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0"/>
            <w:vAlign w:val="center"/>
          </w:tcPr>
          <w:p w14:paraId="516F6DF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质量等级</w:t>
            </w:r>
          </w:p>
        </w:tc>
      </w:tr>
      <w:tr w14:paraId="74706B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31C0AF0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7F073AC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80E1BF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256F4D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5BC93EE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18D9E38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B949A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0D28FB2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3D49D72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F199F2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5C84DDC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6CB8329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73C7E88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3E75E6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64C2D1F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0F5D4B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2DB15AD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64D9472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4DE736F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515641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5EC02FF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20C1A9E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19262A6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6A39511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DB9CFE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1721B06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2F26481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60FE21B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0"/>
            <w:vAlign w:val="center"/>
          </w:tcPr>
          <w:p w14:paraId="79844E9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0"/>
            <w:vAlign w:val="center"/>
          </w:tcPr>
          <w:p w14:paraId="4025EFA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0"/>
            <w:vAlign w:val="center"/>
          </w:tcPr>
          <w:p w14:paraId="7EFD264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0"/>
            <w:vAlign w:val="center"/>
          </w:tcPr>
          <w:p w14:paraId="1580E22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706" w:type="dxa"/>
            <w:tcBorders>
              <w:top w:val="single" w:color="auto" w:sz="6" w:space="0"/>
              <w:left w:val="single" w:color="auto" w:sz="6" w:space="0"/>
              <w:bottom w:val="single" w:color="auto" w:sz="6" w:space="0"/>
              <w:right w:val="single" w:color="auto" w:sz="6" w:space="0"/>
            </w:tcBorders>
            <w:noWrap w:val="0"/>
            <w:vAlign w:val="center"/>
          </w:tcPr>
          <w:p w14:paraId="2BA089E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327" w:type="dxa"/>
            <w:tcBorders>
              <w:top w:val="single" w:color="auto" w:sz="6" w:space="0"/>
              <w:left w:val="single" w:color="auto" w:sz="6" w:space="0"/>
              <w:bottom w:val="single" w:color="auto" w:sz="6" w:space="0"/>
              <w:right w:val="single" w:color="auto" w:sz="6" w:space="0"/>
            </w:tcBorders>
            <w:noWrap w:val="0"/>
            <w:vAlign w:val="center"/>
          </w:tcPr>
          <w:p w14:paraId="311AA13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bl>
    <w:p w14:paraId="6A4A1EF9">
      <w:pPr>
        <w:jc w:val="center"/>
        <w:rPr>
          <w:rFonts w:hint="eastAsia" w:ascii="宋体" w:hAnsi="宋体" w:eastAsia="宋体" w:cs="宋体"/>
          <w:b/>
          <w:bCs/>
          <w:sz w:val="30"/>
          <w:szCs w:val="30"/>
        </w:rPr>
      </w:pPr>
      <w:r>
        <w:rPr>
          <w:rFonts w:hint="eastAsia" w:ascii="宋体" w:hAnsi="宋体" w:eastAsia="宋体" w:cs="宋体"/>
          <w:b/>
          <w:bCs/>
          <w:sz w:val="30"/>
          <w:szCs w:val="30"/>
        </w:rPr>
        <w:t>项目技术负责人简历表</w:t>
      </w:r>
    </w:p>
    <w:p w14:paraId="228E9C15">
      <w:pPr>
        <w:wordWrap w:val="0"/>
        <w:adjustRightInd w:val="0"/>
        <w:snapToGrid w:val="0"/>
        <w:spacing w:line="360" w:lineRule="auto"/>
        <w:ind w:firstLine="570"/>
        <w:rPr>
          <w:rFonts w:hint="eastAsia" w:ascii="宋体" w:hAnsi="宋体" w:eastAsia="宋体" w:cs="宋体"/>
          <w:snapToGrid w:val="0"/>
          <w:color w:val="auto"/>
          <w:kern w:val="0"/>
          <w:szCs w:val="28"/>
          <w:highlight w:val="none"/>
        </w:rPr>
      </w:pPr>
    </w:p>
    <w:p w14:paraId="458C4862">
      <w:pPr>
        <w:pStyle w:val="61"/>
        <w:wordWrap w:val="0"/>
        <w:adjustRightInd w:val="0"/>
        <w:snapToGrid w:val="0"/>
        <w:spacing w:line="360" w:lineRule="auto"/>
        <w:jc w:val="right"/>
        <w:rPr>
          <w:rFonts w:hint="eastAsia" w:ascii="宋体" w:hAnsi="宋体" w:eastAsia="宋体" w:cs="宋体"/>
          <w:snapToGrid w:val="0"/>
          <w:color w:val="auto"/>
          <w:kern w:val="0"/>
          <w:highlight w:val="none"/>
        </w:rPr>
      </w:pPr>
    </w:p>
    <w:p w14:paraId="3C1852E4">
      <w:pPr>
        <w:pStyle w:val="61"/>
        <w:wordWrap w:val="0"/>
        <w:adjustRightInd w:val="0"/>
        <w:snapToGrid w:val="0"/>
        <w:spacing w:line="360" w:lineRule="auto"/>
        <w:jc w:val="right"/>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项目技术负责人：</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（签字）</w:t>
      </w:r>
    </w:p>
    <w:p w14:paraId="755BB5DB">
      <w:pPr>
        <w:pStyle w:val="61"/>
        <w:wordWrap w:val="0"/>
        <w:adjustRightInd w:val="0"/>
        <w:snapToGrid w:val="0"/>
        <w:spacing w:line="360" w:lineRule="auto"/>
        <w:jc w:val="right"/>
        <w:rPr>
          <w:rFonts w:hint="eastAsia" w:ascii="宋体" w:hAnsi="宋体" w:eastAsia="宋体" w:cs="宋体"/>
          <w:snapToGrid w:val="0"/>
          <w:color w:val="auto"/>
          <w:kern w:val="0"/>
          <w:highlight w:val="none"/>
        </w:rPr>
      </w:pPr>
    </w:p>
    <w:p w14:paraId="6D0F59C6">
      <w:pPr>
        <w:pStyle w:val="61"/>
        <w:wordWrap w:val="0"/>
        <w:adjustRightInd w:val="0"/>
        <w:snapToGrid w:val="0"/>
        <w:spacing w:line="360" w:lineRule="auto"/>
        <w:jc w:val="center"/>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年</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月</w:t>
      </w:r>
      <w:r>
        <w:rPr>
          <w:rFonts w:hint="eastAsia" w:ascii="宋体" w:hAnsi="宋体" w:eastAsia="宋体" w:cs="宋体"/>
          <w:snapToGrid w:val="0"/>
          <w:color w:val="auto"/>
          <w:kern w:val="0"/>
          <w:highlight w:val="none"/>
          <w:u w:val="single"/>
        </w:rPr>
        <w:t xml:space="preserve">     </w:t>
      </w:r>
      <w:r>
        <w:rPr>
          <w:rFonts w:hint="eastAsia" w:ascii="宋体" w:hAnsi="宋体" w:eastAsia="宋体" w:cs="宋体"/>
          <w:snapToGrid w:val="0"/>
          <w:color w:val="auto"/>
          <w:kern w:val="0"/>
          <w:highlight w:val="none"/>
        </w:rPr>
        <w:t>日</w:t>
      </w:r>
    </w:p>
    <w:p w14:paraId="5CE31011">
      <w:pPr>
        <w:wordWrap w:val="0"/>
        <w:adjustRightInd w:val="0"/>
        <w:snapToGrid w:val="0"/>
        <w:spacing w:line="360" w:lineRule="auto"/>
        <w:rPr>
          <w:rFonts w:hint="eastAsia" w:ascii="宋体" w:hAnsi="宋体" w:eastAsia="宋体" w:cs="宋体"/>
          <w:snapToGrid w:val="0"/>
          <w:color w:val="auto"/>
          <w:kern w:val="0"/>
          <w:szCs w:val="28"/>
          <w:highlight w:val="none"/>
        </w:rPr>
      </w:pPr>
    </w:p>
    <w:p w14:paraId="7459C7E0">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说明：《项目技术负责人简历表》后应附拟派项目技术负责人以下资料：</w:t>
      </w:r>
    </w:p>
    <w:p w14:paraId="2A5C91F2">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1</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身份证彩色扫描件；</w:t>
      </w:r>
    </w:p>
    <w:p w14:paraId="4F1CEC20">
      <w:pPr>
        <w:wordWrap w:val="0"/>
        <w:adjustRightInd w:val="0"/>
        <w:snapToGrid w:val="0"/>
        <w:spacing w:line="360" w:lineRule="auto"/>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 xml:space="preserve">    2</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职称证彩色扫描件；</w:t>
      </w:r>
    </w:p>
    <w:p w14:paraId="7B9E03D8">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w:t>
      </w:r>
      <w:r>
        <w:rPr>
          <w:rFonts w:hint="eastAsia" w:ascii="宋体" w:hAnsi="宋体" w:eastAsia="宋体" w:cs="宋体"/>
          <w:snapToGrid w:val="0"/>
          <w:color w:val="auto"/>
          <w:kern w:val="0"/>
          <w:sz w:val="21"/>
          <w:szCs w:val="28"/>
          <w:highlight w:val="none"/>
          <w:lang w:eastAsia="zh-CN"/>
        </w:rPr>
        <w:t>.</w:t>
      </w:r>
      <w:r>
        <w:rPr>
          <w:rFonts w:hint="eastAsia" w:ascii="宋体" w:hAnsi="宋体" w:eastAsia="宋体" w:cs="宋体"/>
          <w:snapToGrid w:val="0"/>
          <w:color w:val="auto"/>
          <w:kern w:val="0"/>
          <w:sz w:val="21"/>
          <w:szCs w:val="28"/>
          <w:highlight w:val="none"/>
        </w:rPr>
        <w:t>在本单位缴纳社保的证明（</w:t>
      </w:r>
      <w:r>
        <w:rPr>
          <w:rFonts w:hint="eastAsia" w:ascii="宋体" w:hAnsi="宋体" w:eastAsia="宋体" w:cs="宋体"/>
          <w:snapToGrid w:val="0"/>
          <w:color w:val="auto"/>
          <w:kern w:val="0"/>
          <w:sz w:val="21"/>
          <w:szCs w:val="28"/>
          <w:highlight w:val="none"/>
          <w:lang w:eastAsia="zh-CN"/>
        </w:rPr>
        <w:t>至少一个月，其中必须有2025年</w:t>
      </w:r>
      <w:r>
        <w:rPr>
          <w:rFonts w:hint="eastAsia" w:ascii="宋体" w:hAnsi="宋体" w:eastAsia="宋体" w:cs="宋体"/>
          <w:snapToGrid w:val="0"/>
          <w:color w:val="auto"/>
          <w:kern w:val="0"/>
          <w:sz w:val="21"/>
          <w:szCs w:val="28"/>
          <w:highlight w:val="none"/>
          <w:lang w:val="en-US" w:eastAsia="zh-CN"/>
        </w:rPr>
        <w:t>5</w:t>
      </w:r>
      <w:r>
        <w:rPr>
          <w:rFonts w:hint="eastAsia" w:ascii="宋体" w:hAnsi="宋体" w:eastAsia="宋体" w:cs="宋体"/>
          <w:snapToGrid w:val="0"/>
          <w:color w:val="auto"/>
          <w:kern w:val="0"/>
          <w:sz w:val="21"/>
          <w:szCs w:val="28"/>
          <w:highlight w:val="none"/>
          <w:lang w:eastAsia="zh-CN"/>
        </w:rPr>
        <w:t>月</w:t>
      </w:r>
      <w:r>
        <w:rPr>
          <w:rFonts w:hint="eastAsia" w:ascii="宋体" w:hAnsi="宋体" w:eastAsia="宋体" w:cs="宋体"/>
          <w:snapToGrid w:val="0"/>
          <w:color w:val="auto"/>
          <w:kern w:val="0"/>
          <w:sz w:val="21"/>
          <w:szCs w:val="28"/>
          <w:highlight w:val="none"/>
        </w:rPr>
        <w:t>）彩色扫描件。拟派项目技术负责人为退休返聘人员无法提供社保证明的，提供退休证和劳动合同彩色扫描件。</w:t>
      </w:r>
    </w:p>
    <w:p w14:paraId="25EDB8F3">
      <w:pPr>
        <w:wordWrap w:val="0"/>
        <w:adjustRightInd w:val="0"/>
        <w:snapToGrid w:val="0"/>
        <w:spacing w:line="360" w:lineRule="auto"/>
        <w:ind w:firstLine="420" w:firstLineChars="200"/>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highlight w:val="none"/>
          <w:lang w:val="en-US" w:eastAsia="zh-CN"/>
        </w:rPr>
        <w:t>4.</w:t>
      </w:r>
      <w:r>
        <w:rPr>
          <w:rFonts w:hint="eastAsia" w:ascii="宋体" w:hAnsi="宋体" w:eastAsia="宋体" w:cs="宋体"/>
          <w:snapToGrid w:val="0"/>
          <w:color w:val="auto"/>
          <w:kern w:val="0"/>
          <w:sz w:val="21"/>
          <w:highlight w:val="none"/>
        </w:rPr>
        <w:t>“进粤企业和人员诚信信息登记平台”个人信息情况截图。（适用于省外建筑企业）</w:t>
      </w:r>
    </w:p>
    <w:p w14:paraId="0956FBE8">
      <w:pPr>
        <w:rPr>
          <w:rFonts w:hint="eastAsia" w:ascii="宋体" w:hAnsi="宋体" w:eastAsia="宋体" w:cs="宋体"/>
          <w:color w:val="auto"/>
        </w:rPr>
      </w:pPr>
    </w:p>
    <w:p w14:paraId="371F329B">
      <w:pPr>
        <w:rPr>
          <w:rFonts w:hint="eastAsia" w:ascii="宋体" w:hAnsi="宋体" w:eastAsia="宋体" w:cs="宋体"/>
          <w:color w:val="auto"/>
        </w:rPr>
      </w:pPr>
    </w:p>
    <w:p w14:paraId="1480D69F">
      <w:pPr>
        <w:rPr>
          <w:rFonts w:hint="eastAsia" w:ascii="宋体" w:hAnsi="宋体" w:eastAsia="宋体" w:cs="宋体"/>
          <w:color w:val="auto"/>
        </w:rPr>
      </w:pPr>
    </w:p>
    <w:p w14:paraId="3C0655B6">
      <w:pPr>
        <w:rPr>
          <w:rFonts w:hint="eastAsia" w:ascii="宋体" w:hAnsi="宋体" w:eastAsia="宋体" w:cs="宋体"/>
          <w:color w:val="auto"/>
        </w:rPr>
      </w:pPr>
    </w:p>
    <w:p w14:paraId="5247B84D">
      <w:pPr>
        <w:rPr>
          <w:rFonts w:hint="eastAsia" w:ascii="宋体" w:hAnsi="宋体" w:eastAsia="宋体" w:cs="宋体"/>
          <w:color w:val="auto"/>
        </w:rPr>
      </w:pPr>
    </w:p>
    <w:p w14:paraId="4BD7C232">
      <w:pPr>
        <w:rPr>
          <w:rFonts w:hint="eastAsia" w:ascii="宋体" w:hAnsi="宋体" w:eastAsia="宋体" w:cs="宋体"/>
          <w:color w:val="auto"/>
        </w:rPr>
      </w:pPr>
    </w:p>
    <w:p w14:paraId="21BBE282">
      <w:pPr>
        <w:rPr>
          <w:rFonts w:hint="eastAsia" w:ascii="宋体" w:hAnsi="宋体" w:eastAsia="宋体" w:cs="宋体"/>
          <w:color w:val="auto"/>
        </w:rPr>
      </w:pPr>
    </w:p>
    <w:p w14:paraId="3DBC95A9">
      <w:pPr>
        <w:rPr>
          <w:rFonts w:hint="eastAsia" w:ascii="宋体" w:hAnsi="宋体" w:eastAsia="宋体" w:cs="宋体"/>
          <w:color w:val="auto"/>
        </w:rPr>
      </w:pPr>
    </w:p>
    <w:p w14:paraId="228DC66D">
      <w:pPr>
        <w:rPr>
          <w:rFonts w:hint="eastAsia" w:ascii="宋体" w:hAnsi="宋体" w:eastAsia="宋体" w:cs="宋体"/>
          <w:color w:val="auto"/>
        </w:rPr>
      </w:pPr>
    </w:p>
    <w:bookmarkEnd w:id="301"/>
    <w:bookmarkEnd w:id="302"/>
    <w:p w14:paraId="29CBAFA0">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30" w:name="_Toc14261309"/>
      <w:bookmarkStart w:id="331" w:name="_Toc20506"/>
      <w:bookmarkStart w:id="332" w:name="_Toc6074"/>
      <w:bookmarkStart w:id="333" w:name="_Toc30872"/>
      <w:bookmarkStart w:id="334" w:name="_Toc8264"/>
      <w:bookmarkStart w:id="335" w:name="_Toc200338098"/>
      <w:r>
        <w:rPr>
          <w:rFonts w:hint="eastAsia" w:ascii="宋体" w:hAnsi="宋体" w:eastAsia="宋体" w:cs="宋体"/>
          <w:b/>
          <w:bCs/>
          <w:color w:val="auto"/>
          <w:spacing w:val="-11"/>
          <w:sz w:val="24"/>
          <w:szCs w:val="24"/>
          <w:highlight w:val="none"/>
          <w:lang w:val="en-US" w:eastAsia="zh-CN"/>
        </w:rPr>
        <w:t>格式</w:t>
      </w:r>
      <w:bookmarkStart w:id="336" w:name="_Hlt287950384"/>
      <w:bookmarkEnd w:id="336"/>
      <w:r>
        <w:rPr>
          <w:rFonts w:hint="eastAsia" w:ascii="宋体" w:hAnsi="宋体" w:eastAsia="宋体" w:cs="宋体"/>
          <w:b/>
          <w:bCs/>
          <w:color w:val="auto"/>
          <w:spacing w:val="-11"/>
          <w:sz w:val="24"/>
          <w:szCs w:val="24"/>
          <w:highlight w:val="none"/>
          <w:lang w:val="en-US" w:eastAsia="zh-CN"/>
        </w:rPr>
        <w:t>十   项目管理机构组成表</w:t>
      </w:r>
      <w:bookmarkEnd w:id="330"/>
      <w:bookmarkEnd w:id="331"/>
      <w:bookmarkEnd w:id="332"/>
      <w:bookmarkEnd w:id="333"/>
    </w:p>
    <w:p w14:paraId="62B89F36">
      <w:pPr>
        <w:jc w:val="center"/>
        <w:rPr>
          <w:rFonts w:hint="eastAsia" w:ascii="宋体" w:hAnsi="宋体" w:eastAsia="宋体" w:cs="宋体"/>
          <w:b/>
          <w:bCs/>
          <w:color w:val="auto"/>
          <w:sz w:val="30"/>
          <w:szCs w:val="30"/>
        </w:rPr>
      </w:pPr>
      <w:bookmarkStart w:id="337" w:name="_Toc23063"/>
      <w:bookmarkStart w:id="338" w:name="_Toc14261751"/>
      <w:r>
        <w:rPr>
          <w:rFonts w:hint="eastAsia" w:ascii="宋体" w:hAnsi="宋体" w:eastAsia="宋体" w:cs="宋体"/>
          <w:b/>
          <w:bCs/>
          <w:color w:val="auto"/>
          <w:sz w:val="30"/>
          <w:szCs w:val="30"/>
        </w:rPr>
        <w:t>项目管理机构组成表</w:t>
      </w:r>
      <w:bookmarkEnd w:id="337"/>
      <w:bookmarkEnd w:id="338"/>
    </w:p>
    <w:tbl>
      <w:tblPr>
        <w:tblStyle w:val="24"/>
        <w:tblW w:w="8938"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3"/>
        <w:gridCol w:w="1421"/>
        <w:gridCol w:w="1355"/>
        <w:gridCol w:w="900"/>
        <w:gridCol w:w="817"/>
        <w:gridCol w:w="1538"/>
        <w:gridCol w:w="2164"/>
      </w:tblGrid>
      <w:tr w14:paraId="310AF6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60" w:hRule="atLeast"/>
        </w:trPr>
        <w:tc>
          <w:tcPr>
            <w:tcW w:w="743" w:type="dxa"/>
            <w:tcBorders>
              <w:top w:val="single" w:color="auto" w:sz="6" w:space="0"/>
              <w:left w:val="single" w:color="auto" w:sz="6" w:space="0"/>
              <w:bottom w:val="single" w:color="auto" w:sz="6" w:space="0"/>
              <w:right w:val="single" w:color="auto" w:sz="6" w:space="0"/>
            </w:tcBorders>
            <w:noWrap w:val="0"/>
            <w:vAlign w:val="center"/>
          </w:tcPr>
          <w:p w14:paraId="6319B8C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序号</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2E0A2AA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职务</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93B419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姓名</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7F69596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性别</w:t>
            </w:r>
          </w:p>
        </w:tc>
        <w:tc>
          <w:tcPr>
            <w:tcW w:w="817" w:type="dxa"/>
            <w:tcBorders>
              <w:top w:val="single" w:color="auto" w:sz="6" w:space="0"/>
              <w:left w:val="single" w:color="auto" w:sz="6" w:space="0"/>
              <w:bottom w:val="single" w:color="auto" w:sz="6" w:space="0"/>
              <w:right w:val="single" w:color="auto" w:sz="6" w:space="0"/>
            </w:tcBorders>
            <w:noWrap w:val="0"/>
            <w:vAlign w:val="center"/>
          </w:tcPr>
          <w:p w14:paraId="71EAF56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年龄</w:t>
            </w: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2C21F3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职称</w:t>
            </w: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135D58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备注</w:t>
            </w:r>
          </w:p>
        </w:tc>
      </w:tr>
      <w:tr w14:paraId="7CFC50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3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6F3F43F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510B71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项目经理</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F2CB22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969241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D7334A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ED2356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6302414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650360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91"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1337B263">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156049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项目技术</w:t>
            </w:r>
          </w:p>
          <w:p w14:paraId="77E88E5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负责人</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6A6B0E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4958496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075410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27AAD5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2D6DBD1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1130F1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3" w:hRule="exact"/>
        </w:trPr>
        <w:tc>
          <w:tcPr>
            <w:tcW w:w="743" w:type="dxa"/>
            <w:tcBorders>
              <w:top w:val="single" w:color="auto" w:sz="6" w:space="0"/>
              <w:left w:val="single" w:color="auto" w:sz="6" w:space="0"/>
              <w:right w:val="single" w:color="auto" w:sz="6" w:space="0"/>
            </w:tcBorders>
            <w:noWrap w:val="0"/>
            <w:vAlign w:val="center"/>
          </w:tcPr>
          <w:p w14:paraId="6B01F99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1421" w:type="dxa"/>
            <w:tcBorders>
              <w:top w:val="single" w:color="auto" w:sz="6" w:space="0"/>
              <w:left w:val="single" w:color="auto" w:sz="6" w:space="0"/>
              <w:right w:val="single" w:color="auto" w:sz="6" w:space="0"/>
            </w:tcBorders>
            <w:noWrap w:val="0"/>
            <w:vAlign w:val="center"/>
          </w:tcPr>
          <w:p w14:paraId="70D401B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专职安全员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7C2A049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8D771C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656AA8AB">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0B22661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C8F325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56F738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24905C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5660B00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施工员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64789C3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66529B5">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45DEDF9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EE8788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3CB84C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2199F42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0DEA964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0A0B31A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质量员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227F6B8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34FC9FD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AD807F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29B2733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CE1706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7BD3E7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76981A5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13BC5B1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材料员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CBFA0D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5C354AD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14132BC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472891D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5DDC65F0">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3164DEC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EE05B1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c>
          <w:tcPr>
            <w:tcW w:w="1421" w:type="dxa"/>
            <w:tcBorders>
              <w:top w:val="single" w:color="auto" w:sz="6" w:space="0"/>
              <w:left w:val="single" w:color="auto" w:sz="6" w:space="0"/>
              <w:bottom w:val="single" w:color="auto" w:sz="6" w:space="0"/>
              <w:right w:val="single" w:color="auto" w:sz="6" w:space="0"/>
            </w:tcBorders>
            <w:noWrap w:val="0"/>
            <w:vAlign w:val="center"/>
          </w:tcPr>
          <w:p w14:paraId="4E16E694">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资料员</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356539FA">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272489FD">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3906DA7C">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7DA4AC71">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15D5E92E">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r w14:paraId="4A782F2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67" w:hRule="exact"/>
        </w:trPr>
        <w:tc>
          <w:tcPr>
            <w:tcW w:w="743" w:type="dxa"/>
            <w:tcBorders>
              <w:top w:val="single" w:color="auto" w:sz="6" w:space="0"/>
              <w:left w:val="single" w:color="auto" w:sz="6" w:space="0"/>
              <w:bottom w:val="single" w:color="auto" w:sz="6" w:space="0"/>
              <w:right w:val="single" w:color="auto" w:sz="6" w:space="0"/>
            </w:tcBorders>
            <w:noWrap w:val="0"/>
            <w:vAlign w:val="center"/>
          </w:tcPr>
          <w:p w14:paraId="2FE2FC8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421" w:type="dxa"/>
            <w:tcBorders>
              <w:top w:val="single" w:color="auto" w:sz="6" w:space="0"/>
              <w:left w:val="single" w:color="auto" w:sz="6" w:space="0"/>
              <w:bottom w:val="single" w:color="auto" w:sz="6" w:space="0"/>
              <w:right w:val="single" w:color="auto" w:sz="6" w:space="0"/>
            </w:tcBorders>
            <w:noWrap w:val="0"/>
            <w:vAlign w:val="center"/>
          </w:tcPr>
          <w:p w14:paraId="3535A707">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w:t>
            </w:r>
          </w:p>
        </w:tc>
        <w:tc>
          <w:tcPr>
            <w:tcW w:w="1355" w:type="dxa"/>
            <w:tcBorders>
              <w:top w:val="single" w:color="auto" w:sz="6" w:space="0"/>
              <w:left w:val="single" w:color="auto" w:sz="6" w:space="0"/>
              <w:bottom w:val="single" w:color="auto" w:sz="6" w:space="0"/>
              <w:right w:val="single" w:color="auto" w:sz="6" w:space="0"/>
            </w:tcBorders>
            <w:noWrap w:val="0"/>
            <w:vAlign w:val="center"/>
          </w:tcPr>
          <w:p w14:paraId="0B152D92">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center"/>
          </w:tcPr>
          <w:p w14:paraId="1F730818">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817" w:type="dxa"/>
            <w:tcBorders>
              <w:top w:val="single" w:color="auto" w:sz="6" w:space="0"/>
              <w:left w:val="single" w:color="auto" w:sz="6" w:space="0"/>
              <w:bottom w:val="single" w:color="auto" w:sz="6" w:space="0"/>
              <w:right w:val="single" w:color="auto" w:sz="6" w:space="0"/>
            </w:tcBorders>
            <w:noWrap w:val="0"/>
            <w:vAlign w:val="center"/>
          </w:tcPr>
          <w:p w14:paraId="0A73660F">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1538" w:type="dxa"/>
            <w:tcBorders>
              <w:top w:val="single" w:color="auto" w:sz="6" w:space="0"/>
              <w:left w:val="single" w:color="auto" w:sz="6" w:space="0"/>
              <w:bottom w:val="single" w:color="auto" w:sz="6" w:space="0"/>
              <w:right w:val="single" w:color="auto" w:sz="6" w:space="0"/>
            </w:tcBorders>
            <w:noWrap w:val="0"/>
            <w:vAlign w:val="center"/>
          </w:tcPr>
          <w:p w14:paraId="16D4FEB9">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c>
          <w:tcPr>
            <w:tcW w:w="2164" w:type="dxa"/>
            <w:tcBorders>
              <w:top w:val="single" w:color="auto" w:sz="6" w:space="0"/>
              <w:left w:val="single" w:color="auto" w:sz="6" w:space="0"/>
              <w:bottom w:val="single" w:color="auto" w:sz="6" w:space="0"/>
              <w:right w:val="single" w:color="auto" w:sz="6" w:space="0"/>
            </w:tcBorders>
            <w:noWrap w:val="0"/>
            <w:vAlign w:val="center"/>
          </w:tcPr>
          <w:p w14:paraId="74CC08A6">
            <w:pPr>
              <w:wordWrap w:val="0"/>
              <w:adjustRightInd w:val="0"/>
              <w:snapToGrid w:val="0"/>
              <w:spacing w:line="360" w:lineRule="auto"/>
              <w:jc w:val="center"/>
              <w:rPr>
                <w:rFonts w:hint="eastAsia" w:ascii="宋体" w:hAnsi="宋体" w:eastAsia="宋体" w:cs="宋体"/>
                <w:snapToGrid w:val="0"/>
                <w:color w:val="auto"/>
                <w:kern w:val="0"/>
                <w:sz w:val="21"/>
                <w:szCs w:val="21"/>
                <w:highlight w:val="none"/>
              </w:rPr>
            </w:pPr>
          </w:p>
        </w:tc>
      </w:tr>
    </w:tbl>
    <w:p w14:paraId="08D0A145">
      <w:pPr>
        <w:pStyle w:val="60"/>
        <w:widowControl w:val="0"/>
        <w:wordWrap w:val="0"/>
        <w:adjustRightInd w:val="0"/>
        <w:snapToGrid w:val="0"/>
        <w:spacing w:line="360" w:lineRule="auto"/>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t>说明：</w:t>
      </w:r>
    </w:p>
    <w:p w14:paraId="31EA20B3">
      <w:pPr>
        <w:pStyle w:val="60"/>
        <w:widowControl w:val="0"/>
        <w:wordWrap w:val="0"/>
        <w:adjustRightInd w:val="0"/>
        <w:snapToGrid w:val="0"/>
        <w:spacing w:line="360" w:lineRule="auto"/>
        <w:rPr>
          <w:rFonts w:hint="eastAsia" w:ascii="宋体" w:hAnsi="宋体" w:eastAsia="宋体" w:cs="宋体"/>
          <w:snapToGrid w:val="0"/>
          <w:color w:val="auto"/>
          <w:sz w:val="21"/>
          <w:szCs w:val="28"/>
          <w:highlight w:val="none"/>
        </w:rPr>
      </w:pPr>
      <w:r>
        <w:rPr>
          <w:rFonts w:hint="eastAsia" w:ascii="宋体" w:hAnsi="宋体" w:eastAsia="宋体" w:cs="宋体"/>
          <w:snapToGrid w:val="0"/>
          <w:color w:val="auto"/>
          <w:sz w:val="21"/>
          <w:highlight w:val="none"/>
        </w:rPr>
        <w:t>1</w:t>
      </w:r>
      <w:r>
        <w:rPr>
          <w:rFonts w:hint="eastAsia" w:ascii="宋体" w:hAnsi="宋体" w:eastAsia="宋体" w:cs="宋体"/>
          <w:snapToGrid w:val="0"/>
          <w:color w:val="auto"/>
          <w:sz w:val="21"/>
          <w:szCs w:val="28"/>
          <w:highlight w:val="none"/>
          <w:lang w:eastAsia="zh-CN"/>
        </w:rPr>
        <w:t>.</w:t>
      </w:r>
      <w:r>
        <w:rPr>
          <w:rFonts w:hint="eastAsia" w:ascii="宋体" w:hAnsi="宋体" w:eastAsia="宋体" w:cs="宋体"/>
          <w:snapToGrid w:val="0"/>
          <w:color w:val="auto"/>
          <w:sz w:val="21"/>
          <w:highlight w:val="none"/>
        </w:rPr>
        <w:t>《项目管理机构组成表》后应附表中拟派人员（项目经理、项目技术负责人</w:t>
      </w:r>
      <w:r>
        <w:rPr>
          <w:rFonts w:hint="eastAsia" w:ascii="宋体" w:hAnsi="宋体" w:eastAsia="宋体" w:cs="宋体"/>
          <w:snapToGrid w:val="0"/>
          <w:color w:val="auto"/>
          <w:sz w:val="21"/>
          <w:highlight w:val="none"/>
          <w:lang w:val="en-US" w:eastAsia="zh-CN"/>
        </w:rPr>
        <w:t>除外</w:t>
      </w:r>
      <w:r>
        <w:rPr>
          <w:rFonts w:hint="eastAsia" w:ascii="宋体" w:hAnsi="宋体" w:eastAsia="宋体" w:cs="宋体"/>
          <w:snapToGrid w:val="0"/>
          <w:color w:val="auto"/>
          <w:sz w:val="21"/>
          <w:highlight w:val="none"/>
        </w:rPr>
        <w:t>）以下资料：</w:t>
      </w:r>
    </w:p>
    <w:p w14:paraId="55F8A514">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（1）身份证彩色扫描件；</w:t>
      </w:r>
    </w:p>
    <w:p w14:paraId="5F3551B1">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（2）</w:t>
      </w:r>
      <w:r>
        <w:rPr>
          <w:rFonts w:hint="eastAsia" w:ascii="宋体" w:hAnsi="宋体" w:eastAsia="宋体" w:cs="宋体"/>
          <w:snapToGrid w:val="0"/>
          <w:color w:val="auto"/>
          <w:kern w:val="0"/>
          <w:sz w:val="21"/>
          <w:szCs w:val="28"/>
          <w:highlight w:val="none"/>
          <w:lang w:val="en-US" w:eastAsia="zh-CN"/>
        </w:rPr>
        <w:t>职称证彩色扫描件（如有）</w:t>
      </w:r>
      <w:r>
        <w:rPr>
          <w:rFonts w:hint="eastAsia" w:ascii="宋体" w:hAnsi="宋体" w:eastAsia="宋体" w:cs="宋体"/>
          <w:snapToGrid w:val="0"/>
          <w:color w:val="auto"/>
          <w:kern w:val="0"/>
          <w:sz w:val="21"/>
          <w:szCs w:val="28"/>
          <w:highlight w:val="none"/>
        </w:rPr>
        <w:t>；</w:t>
      </w:r>
    </w:p>
    <w:p w14:paraId="7FD54262">
      <w:pPr>
        <w:wordWrap w:val="0"/>
        <w:adjustRightInd w:val="0"/>
        <w:snapToGrid w:val="0"/>
        <w:spacing w:line="360" w:lineRule="auto"/>
        <w:ind w:firstLine="420" w:firstLineChars="200"/>
        <w:rPr>
          <w:rFonts w:hint="eastAsia" w:ascii="宋体" w:hAnsi="宋体" w:eastAsia="宋体" w:cs="宋体"/>
          <w:snapToGrid w:val="0"/>
          <w:color w:val="auto"/>
          <w:kern w:val="0"/>
          <w:sz w:val="21"/>
          <w:szCs w:val="28"/>
          <w:highlight w:val="none"/>
        </w:rPr>
      </w:pPr>
      <w:r>
        <w:rPr>
          <w:rFonts w:hint="eastAsia" w:ascii="宋体" w:hAnsi="宋体" w:eastAsia="宋体" w:cs="宋体"/>
          <w:snapToGrid w:val="0"/>
          <w:color w:val="auto"/>
          <w:kern w:val="0"/>
          <w:sz w:val="21"/>
          <w:szCs w:val="28"/>
          <w:highlight w:val="none"/>
        </w:rPr>
        <w:t>（3）在本单位缴纳社保的证明（</w:t>
      </w:r>
      <w:r>
        <w:rPr>
          <w:rFonts w:hint="eastAsia" w:ascii="宋体" w:hAnsi="宋体" w:eastAsia="宋体" w:cs="宋体"/>
          <w:snapToGrid w:val="0"/>
          <w:color w:val="auto"/>
          <w:kern w:val="0"/>
          <w:sz w:val="21"/>
          <w:szCs w:val="20"/>
          <w:highlight w:val="none"/>
          <w:lang w:val="en-US" w:eastAsia="zh-CN" w:bidi="ar-SA"/>
        </w:rPr>
        <w:t>至少一个月，其中必须有2025年5月）彩</w:t>
      </w:r>
      <w:r>
        <w:rPr>
          <w:rFonts w:hint="eastAsia" w:ascii="宋体" w:hAnsi="宋体" w:eastAsia="宋体" w:cs="宋体"/>
          <w:snapToGrid w:val="0"/>
          <w:color w:val="auto"/>
          <w:kern w:val="0"/>
          <w:sz w:val="21"/>
          <w:szCs w:val="28"/>
          <w:highlight w:val="none"/>
        </w:rPr>
        <w:t>色扫描件。拟派人员为退休返聘人员无法提供社保证明的，提供退休证和劳动合同彩色扫描件。</w:t>
      </w:r>
    </w:p>
    <w:p w14:paraId="6817F90A">
      <w:pPr>
        <w:wordWrap w:val="0"/>
        <w:adjustRightInd w:val="0"/>
        <w:snapToGrid w:val="0"/>
        <w:spacing w:line="360" w:lineRule="auto"/>
        <w:ind w:firstLine="420" w:firstLineChars="200"/>
        <w:rPr>
          <w:rFonts w:hint="eastAsia" w:ascii="宋体" w:hAnsi="宋体" w:eastAsia="宋体" w:cs="宋体"/>
          <w:snapToGrid w:val="0"/>
          <w:color w:val="auto"/>
          <w:kern w:val="0"/>
          <w:sz w:val="21"/>
          <w:highlight w:val="none"/>
        </w:rPr>
      </w:pPr>
      <w:r>
        <w:rPr>
          <w:rFonts w:hint="eastAsia" w:ascii="宋体" w:hAnsi="宋体" w:eastAsia="宋体" w:cs="宋体"/>
          <w:snapToGrid w:val="0"/>
          <w:color w:val="auto"/>
          <w:kern w:val="0"/>
          <w:sz w:val="21"/>
          <w:highlight w:val="none"/>
          <w:lang w:eastAsia="zh-CN"/>
        </w:rPr>
        <w:t>（</w:t>
      </w:r>
      <w:r>
        <w:rPr>
          <w:rFonts w:hint="eastAsia" w:ascii="宋体" w:hAnsi="宋体" w:eastAsia="宋体" w:cs="宋体"/>
          <w:snapToGrid w:val="0"/>
          <w:color w:val="auto"/>
          <w:kern w:val="0"/>
          <w:sz w:val="21"/>
          <w:highlight w:val="none"/>
          <w:lang w:val="en-US" w:eastAsia="zh-CN"/>
        </w:rPr>
        <w:t>4）</w:t>
      </w:r>
      <w:r>
        <w:rPr>
          <w:rFonts w:hint="eastAsia" w:ascii="宋体" w:hAnsi="宋体" w:eastAsia="宋体" w:cs="宋体"/>
          <w:snapToGrid w:val="0"/>
          <w:color w:val="auto"/>
          <w:kern w:val="0"/>
          <w:sz w:val="21"/>
          <w:highlight w:val="none"/>
        </w:rPr>
        <w:t>“进粤企业和人员诚信信息登记平台”个人信息情况截图。（适用于省外建筑企业）</w:t>
      </w:r>
    </w:p>
    <w:p w14:paraId="4667087B">
      <w:pPr>
        <w:rPr>
          <w:rFonts w:hint="eastAsia" w:ascii="宋体" w:hAnsi="宋体" w:eastAsia="宋体" w:cs="宋体"/>
          <w:color w:val="auto"/>
        </w:rPr>
      </w:pPr>
    </w:p>
    <w:p w14:paraId="74B6BA64">
      <w:pPr>
        <w:rPr>
          <w:rFonts w:hint="eastAsia" w:ascii="宋体" w:hAnsi="宋体" w:eastAsia="宋体" w:cs="宋体"/>
          <w:color w:val="auto"/>
        </w:rPr>
      </w:pPr>
    </w:p>
    <w:bookmarkEnd w:id="334"/>
    <w:bookmarkEnd w:id="335"/>
    <w:p w14:paraId="2C1C66D0">
      <w:pPr>
        <w:rPr>
          <w:rFonts w:hint="eastAsia" w:ascii="宋体" w:hAnsi="宋体" w:eastAsia="宋体" w:cs="宋体"/>
          <w:color w:val="auto"/>
        </w:rPr>
      </w:pPr>
      <w:bookmarkStart w:id="339" w:name="_Toc36804690"/>
    </w:p>
    <w:p w14:paraId="5D18D537">
      <w:pPr>
        <w:rPr>
          <w:rFonts w:hint="eastAsia" w:ascii="宋体" w:hAnsi="宋体" w:eastAsia="宋体" w:cs="宋体"/>
          <w:color w:val="auto"/>
        </w:rPr>
      </w:pPr>
    </w:p>
    <w:p w14:paraId="74EF7274">
      <w:pPr>
        <w:rPr>
          <w:rFonts w:hint="eastAsia" w:ascii="宋体" w:hAnsi="宋体" w:eastAsia="宋体" w:cs="宋体"/>
          <w:color w:val="auto"/>
        </w:rPr>
      </w:pPr>
    </w:p>
    <w:p w14:paraId="0E056B22">
      <w:pPr>
        <w:rPr>
          <w:rFonts w:hint="eastAsia" w:ascii="宋体" w:hAnsi="宋体" w:eastAsia="宋体" w:cs="宋体"/>
          <w:color w:val="auto"/>
        </w:rPr>
      </w:pPr>
    </w:p>
    <w:p w14:paraId="644B6F4D">
      <w:pPr>
        <w:rPr>
          <w:rFonts w:hint="eastAsia" w:ascii="宋体" w:hAnsi="宋体" w:eastAsia="宋体" w:cs="宋体"/>
          <w:color w:val="auto"/>
        </w:rPr>
      </w:pPr>
    </w:p>
    <w:p w14:paraId="0100F5D5">
      <w:pPr>
        <w:rPr>
          <w:rFonts w:hint="eastAsia" w:ascii="宋体" w:hAnsi="宋体" w:eastAsia="宋体" w:cs="宋体"/>
          <w:color w:val="auto"/>
        </w:rPr>
      </w:pPr>
    </w:p>
    <w:p w14:paraId="23A9867A">
      <w:pPr>
        <w:rPr>
          <w:rFonts w:hint="eastAsia" w:ascii="宋体" w:hAnsi="宋体" w:eastAsia="宋体" w:cs="宋体"/>
          <w:color w:val="auto"/>
        </w:rPr>
      </w:pPr>
    </w:p>
    <w:p w14:paraId="14C67C6C">
      <w:pPr>
        <w:rPr>
          <w:rFonts w:hint="eastAsia" w:ascii="宋体" w:hAnsi="宋体" w:eastAsia="宋体" w:cs="宋体"/>
          <w:color w:val="auto"/>
        </w:rPr>
      </w:pPr>
    </w:p>
    <w:p w14:paraId="1C1BD0BE">
      <w:pPr>
        <w:rPr>
          <w:rFonts w:hint="eastAsia" w:ascii="宋体" w:hAnsi="宋体" w:eastAsia="宋体" w:cs="宋体"/>
          <w:color w:val="auto"/>
        </w:rPr>
      </w:pPr>
    </w:p>
    <w:p w14:paraId="1B77EE0B">
      <w:pPr>
        <w:rPr>
          <w:rFonts w:hint="eastAsia" w:ascii="宋体" w:hAnsi="宋体" w:eastAsia="宋体" w:cs="宋体"/>
          <w:color w:val="auto"/>
        </w:rPr>
      </w:pPr>
    </w:p>
    <w:p w14:paraId="18DCF815">
      <w:pPr>
        <w:rPr>
          <w:rFonts w:hint="eastAsia" w:ascii="宋体" w:hAnsi="宋体" w:eastAsia="宋体" w:cs="宋体"/>
        </w:rPr>
      </w:pPr>
    </w:p>
    <w:p w14:paraId="436BB0BF">
      <w:pPr>
        <w:rPr>
          <w:rFonts w:hint="eastAsia" w:ascii="宋体" w:hAnsi="宋体" w:eastAsia="宋体" w:cs="宋体"/>
        </w:rPr>
      </w:pPr>
    </w:p>
    <w:p w14:paraId="59AF0E7F">
      <w:pPr>
        <w:rPr>
          <w:rFonts w:hint="eastAsia" w:ascii="宋体" w:hAnsi="宋体" w:eastAsia="宋体" w:cs="宋体"/>
        </w:rPr>
      </w:pPr>
    </w:p>
    <w:p w14:paraId="493B07A4">
      <w:pPr>
        <w:rPr>
          <w:rFonts w:hint="eastAsia" w:ascii="宋体" w:hAnsi="宋体" w:eastAsia="宋体" w:cs="宋体"/>
        </w:rPr>
      </w:pPr>
    </w:p>
    <w:p w14:paraId="33F88684">
      <w:pPr>
        <w:rPr>
          <w:rFonts w:hint="eastAsia" w:ascii="宋体" w:hAnsi="宋体" w:eastAsia="宋体" w:cs="宋体"/>
        </w:rPr>
      </w:pPr>
    </w:p>
    <w:p w14:paraId="21A8B33C">
      <w:pPr>
        <w:rPr>
          <w:rFonts w:hint="eastAsia" w:ascii="宋体" w:hAnsi="宋体" w:eastAsia="宋体" w:cs="宋体"/>
        </w:rPr>
      </w:pPr>
    </w:p>
    <w:p w14:paraId="038F0315">
      <w:pPr>
        <w:rPr>
          <w:rFonts w:hint="eastAsia" w:ascii="宋体" w:hAnsi="宋体" w:eastAsia="宋体" w:cs="宋体"/>
        </w:rPr>
      </w:pPr>
    </w:p>
    <w:p w14:paraId="17688EDC">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40" w:name="_Toc14131"/>
      <w:r>
        <w:rPr>
          <w:rFonts w:hint="eastAsia" w:ascii="宋体" w:hAnsi="宋体" w:eastAsia="宋体" w:cs="宋体"/>
          <w:b/>
          <w:bCs/>
          <w:color w:val="auto"/>
          <w:spacing w:val="-11"/>
          <w:sz w:val="24"/>
          <w:szCs w:val="24"/>
          <w:highlight w:val="none"/>
          <w:lang w:val="en-US" w:eastAsia="zh-CN"/>
        </w:rPr>
        <w:t>格式十一   建造师查询页（有效期+建造师签字）</w:t>
      </w:r>
      <w:bookmarkEnd w:id="340"/>
    </w:p>
    <w:p w14:paraId="7D361745">
      <w:pPr>
        <w:rPr>
          <w:rFonts w:hint="eastAsia" w:ascii="宋体" w:hAnsi="宋体" w:eastAsia="宋体" w:cs="宋体"/>
          <w:snapToGrid w:val="0"/>
          <w:color w:val="auto"/>
          <w:sz w:val="21"/>
          <w:highlight w:val="none"/>
        </w:rPr>
      </w:pPr>
      <w:r>
        <w:rPr>
          <w:rFonts w:hint="eastAsia" w:ascii="宋体" w:hAnsi="宋体" w:eastAsia="宋体" w:cs="宋体"/>
          <w:snapToGrid w:val="0"/>
          <w:color w:val="auto"/>
          <w:sz w:val="21"/>
          <w:highlight w:val="none"/>
        </w:rPr>
        <w:drawing>
          <wp:inline distT="0" distB="0" distL="114300" distR="114300">
            <wp:extent cx="6073775" cy="8491220"/>
            <wp:effectExtent l="0" t="0" r="3175" b="5080"/>
            <wp:docPr id="4" name="图片 113" descr="b7c3fa9a6b84aa75afaa6419d149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3" descr="b7c3fa9a6b84aa75afaa6419d149817"/>
                    <pic:cNvPicPr>
                      <a:picLocks noChangeAspect="1"/>
                    </pic:cNvPicPr>
                  </pic:nvPicPr>
                  <pic:blipFill>
                    <a:blip r:embed="rId32"/>
                    <a:stretch>
                      <a:fillRect/>
                    </a:stretch>
                  </pic:blipFill>
                  <pic:spPr>
                    <a:xfrm>
                      <a:off x="0" y="0"/>
                      <a:ext cx="6073775" cy="8491220"/>
                    </a:xfrm>
                    <a:prstGeom prst="rect">
                      <a:avLst/>
                    </a:prstGeom>
                    <a:noFill/>
                    <a:ln>
                      <a:noFill/>
                    </a:ln>
                  </pic:spPr>
                </pic:pic>
              </a:graphicData>
            </a:graphic>
          </wp:inline>
        </w:drawing>
      </w:r>
    </w:p>
    <w:p w14:paraId="5233E5D8">
      <w:pPr>
        <w:rPr>
          <w:rFonts w:hint="eastAsia" w:ascii="宋体" w:hAnsi="宋体" w:eastAsia="宋体" w:cs="宋体"/>
          <w:snapToGrid w:val="0"/>
          <w:color w:val="auto"/>
          <w:sz w:val="21"/>
          <w:highlight w:val="none"/>
        </w:rPr>
      </w:pPr>
    </w:p>
    <w:p w14:paraId="5FBC33E1">
      <w:pPr>
        <w:rPr>
          <w:rFonts w:hint="eastAsia" w:ascii="宋体" w:hAnsi="宋体" w:eastAsia="宋体" w:cs="宋体"/>
          <w:snapToGrid w:val="0"/>
          <w:color w:val="auto"/>
          <w:sz w:val="21"/>
          <w:highlight w:val="none"/>
        </w:rPr>
      </w:pPr>
    </w:p>
    <w:p w14:paraId="3B43CCC4">
      <w:pPr>
        <w:rPr>
          <w:rFonts w:hint="eastAsia" w:ascii="宋体" w:hAnsi="宋体" w:eastAsia="宋体" w:cs="宋体"/>
          <w:color w:val="auto"/>
          <w:highlight w:val="none"/>
        </w:rPr>
      </w:pPr>
      <w:r>
        <w:rPr>
          <w:rFonts w:hint="eastAsia" w:ascii="宋体" w:hAnsi="宋体" w:eastAsia="宋体" w:cs="宋体"/>
          <w:color w:val="auto"/>
          <w:highlight w:val="none"/>
        </w:rPr>
        <w:drawing>
          <wp:inline distT="0" distB="0" distL="114300" distR="114300">
            <wp:extent cx="6088380" cy="6311265"/>
            <wp:effectExtent l="0" t="0" r="7620" b="13335"/>
            <wp:docPr id="5"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14"/>
                    <pic:cNvPicPr>
                      <a:picLocks noChangeAspect="1"/>
                    </pic:cNvPicPr>
                  </pic:nvPicPr>
                  <pic:blipFill>
                    <a:blip r:embed="rId33"/>
                    <a:stretch>
                      <a:fillRect/>
                    </a:stretch>
                  </pic:blipFill>
                  <pic:spPr>
                    <a:xfrm>
                      <a:off x="0" y="0"/>
                      <a:ext cx="6088380" cy="6311265"/>
                    </a:xfrm>
                    <a:prstGeom prst="rect">
                      <a:avLst/>
                    </a:prstGeom>
                    <a:noFill/>
                    <a:ln>
                      <a:noFill/>
                    </a:ln>
                  </pic:spPr>
                </pic:pic>
              </a:graphicData>
            </a:graphic>
          </wp:inline>
        </w:drawing>
      </w:r>
    </w:p>
    <w:p w14:paraId="50E74E37">
      <w:pPr>
        <w:rPr>
          <w:rFonts w:hint="eastAsia" w:ascii="宋体" w:hAnsi="宋体" w:eastAsia="宋体" w:cs="宋体"/>
          <w:color w:val="auto"/>
          <w:highlight w:val="none"/>
        </w:rPr>
      </w:pPr>
    </w:p>
    <w:p w14:paraId="24137043">
      <w:pPr>
        <w:rPr>
          <w:rFonts w:hint="eastAsia" w:ascii="宋体" w:hAnsi="宋体" w:eastAsia="宋体" w:cs="宋体"/>
        </w:rPr>
      </w:pPr>
    </w:p>
    <w:p w14:paraId="77AA41E2">
      <w:pPr>
        <w:rPr>
          <w:rFonts w:hint="eastAsia" w:ascii="宋体" w:hAnsi="宋体" w:eastAsia="宋体" w:cs="宋体"/>
        </w:rPr>
      </w:pPr>
    </w:p>
    <w:p w14:paraId="2CBC0C8B">
      <w:pPr>
        <w:rPr>
          <w:rFonts w:hint="eastAsia" w:ascii="宋体" w:hAnsi="宋体" w:eastAsia="宋体" w:cs="宋体"/>
        </w:rPr>
      </w:pPr>
    </w:p>
    <w:p w14:paraId="44EC900C">
      <w:pPr>
        <w:rPr>
          <w:rFonts w:hint="eastAsia" w:ascii="宋体" w:hAnsi="宋体" w:eastAsia="宋体" w:cs="宋体"/>
        </w:rPr>
      </w:pPr>
    </w:p>
    <w:p w14:paraId="00EC1A2A">
      <w:pPr>
        <w:rPr>
          <w:rFonts w:hint="eastAsia" w:ascii="宋体" w:hAnsi="宋体" w:eastAsia="宋体" w:cs="宋体"/>
        </w:rPr>
      </w:pPr>
    </w:p>
    <w:p w14:paraId="2F8241EE">
      <w:pPr>
        <w:rPr>
          <w:rFonts w:hint="eastAsia" w:ascii="宋体" w:hAnsi="宋体" w:eastAsia="宋体" w:cs="宋体"/>
        </w:rPr>
      </w:pPr>
    </w:p>
    <w:p w14:paraId="798C45DD">
      <w:pPr>
        <w:rPr>
          <w:rFonts w:hint="eastAsia" w:ascii="宋体" w:hAnsi="宋体" w:eastAsia="宋体" w:cs="宋体"/>
        </w:rPr>
      </w:pPr>
    </w:p>
    <w:p w14:paraId="36C9709B">
      <w:pPr>
        <w:rPr>
          <w:rFonts w:hint="eastAsia" w:ascii="宋体" w:hAnsi="宋体" w:eastAsia="宋体" w:cs="宋体"/>
        </w:rPr>
      </w:pPr>
    </w:p>
    <w:p w14:paraId="4B6CCB7E">
      <w:pPr>
        <w:rPr>
          <w:rFonts w:hint="eastAsia" w:ascii="宋体" w:hAnsi="宋体" w:eastAsia="宋体" w:cs="宋体"/>
        </w:rPr>
      </w:pPr>
    </w:p>
    <w:p w14:paraId="07F606DA">
      <w:pPr>
        <w:rPr>
          <w:rFonts w:hint="eastAsia" w:ascii="宋体" w:hAnsi="宋体" w:eastAsia="宋体" w:cs="宋体"/>
        </w:rPr>
      </w:pPr>
    </w:p>
    <w:p w14:paraId="4AE815E4">
      <w:pPr>
        <w:rPr>
          <w:rFonts w:hint="eastAsia" w:ascii="宋体" w:hAnsi="宋体" w:eastAsia="宋体" w:cs="宋体"/>
        </w:rPr>
      </w:pPr>
    </w:p>
    <w:p w14:paraId="6FD2E8AF">
      <w:pPr>
        <w:rPr>
          <w:rFonts w:hint="eastAsia" w:ascii="宋体" w:hAnsi="宋体" w:eastAsia="宋体" w:cs="宋体"/>
        </w:rPr>
      </w:pPr>
    </w:p>
    <w:p w14:paraId="69D3EEE5">
      <w:pPr>
        <w:rPr>
          <w:rFonts w:hint="eastAsia" w:ascii="宋体" w:hAnsi="宋体" w:eastAsia="宋体" w:cs="宋体"/>
        </w:rPr>
      </w:pPr>
    </w:p>
    <w:p w14:paraId="7ECC2CAE">
      <w:pPr>
        <w:rPr>
          <w:rFonts w:hint="eastAsia" w:ascii="宋体" w:hAnsi="宋体" w:eastAsia="宋体" w:cs="宋体"/>
        </w:rPr>
      </w:pPr>
    </w:p>
    <w:p w14:paraId="566192B7">
      <w:pPr>
        <w:rPr>
          <w:rFonts w:hint="eastAsia" w:ascii="宋体" w:hAnsi="宋体" w:eastAsia="宋体" w:cs="宋体"/>
        </w:rPr>
      </w:pPr>
    </w:p>
    <w:p w14:paraId="184A4199">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41" w:name="_Toc16953"/>
      <w:bookmarkStart w:id="342" w:name="_Toc4208"/>
      <w:r>
        <w:rPr>
          <w:rFonts w:hint="eastAsia" w:ascii="宋体" w:hAnsi="宋体" w:eastAsia="宋体" w:cs="宋体"/>
          <w:b/>
          <w:bCs/>
          <w:color w:val="auto"/>
          <w:spacing w:val="-11"/>
          <w:sz w:val="24"/>
          <w:szCs w:val="24"/>
          <w:highlight w:val="none"/>
          <w:lang w:val="en-US" w:eastAsia="zh-CN"/>
        </w:rPr>
        <w:t>格式十二</w:t>
      </w:r>
      <w:bookmarkEnd w:id="341"/>
      <w:r>
        <w:rPr>
          <w:rFonts w:hint="eastAsia" w:ascii="宋体" w:hAnsi="宋体" w:eastAsia="宋体" w:cs="宋体"/>
          <w:b/>
          <w:bCs/>
          <w:color w:val="auto"/>
          <w:spacing w:val="-11"/>
          <w:sz w:val="24"/>
          <w:szCs w:val="24"/>
          <w:highlight w:val="none"/>
          <w:lang w:val="en-US" w:eastAsia="zh-CN"/>
        </w:rPr>
        <w:t xml:space="preserve">   危险性较大的分部分项工程清单及超过一定规模的危险性较大的分部分项工程清单</w:t>
      </w:r>
      <w:bookmarkEnd w:id="342"/>
    </w:p>
    <w:p w14:paraId="3C04293C">
      <w:pPr>
        <w:pStyle w:val="8"/>
        <w:spacing w:before="101" w:line="360" w:lineRule="auto"/>
        <w:ind w:left="3259" w:right="41" w:hanging="3213"/>
        <w:rPr>
          <w:rFonts w:hint="eastAsia" w:ascii="宋体" w:hAnsi="宋体" w:eastAsia="宋体" w:cs="宋体"/>
          <w:color w:val="auto"/>
          <w:sz w:val="28"/>
          <w:szCs w:val="28"/>
          <w:highlight w:val="none"/>
        </w:rPr>
      </w:pPr>
      <w:r>
        <w:rPr>
          <w:rFonts w:hint="eastAsia" w:ascii="宋体" w:hAnsi="宋体" w:eastAsia="宋体" w:cs="宋体"/>
          <w:b/>
          <w:bCs/>
          <w:color w:val="auto"/>
          <w:spacing w:val="7"/>
          <w:sz w:val="28"/>
          <w:szCs w:val="28"/>
          <w:highlight w:val="none"/>
        </w:rPr>
        <w:t>危险性较大的分部分项工程清单及超过一定规模的危险性较大的</w:t>
      </w:r>
      <w:r>
        <w:rPr>
          <w:rFonts w:hint="eastAsia" w:ascii="宋体" w:hAnsi="宋体" w:eastAsia="宋体" w:cs="宋体"/>
          <w:b/>
          <w:bCs/>
          <w:color w:val="auto"/>
          <w:spacing w:val="5"/>
          <w:sz w:val="28"/>
          <w:szCs w:val="28"/>
          <w:highlight w:val="none"/>
        </w:rPr>
        <w:t>分部分项工程清单</w:t>
      </w:r>
    </w:p>
    <w:p w14:paraId="0F06CFE4">
      <w:pPr>
        <w:pStyle w:val="8"/>
        <w:spacing w:before="6" w:line="360" w:lineRule="auto"/>
        <w:ind w:left="5" w:firstLine="492"/>
        <w:rPr>
          <w:rFonts w:hint="eastAsia" w:ascii="宋体" w:hAnsi="宋体" w:eastAsia="宋体" w:cs="宋体"/>
          <w:color w:val="auto"/>
          <w:highlight w:val="none"/>
        </w:rPr>
      </w:pPr>
      <w:r>
        <w:rPr>
          <w:rFonts w:hint="eastAsia" w:ascii="宋体" w:hAnsi="宋体" w:eastAsia="宋体" w:cs="宋体"/>
          <w:color w:val="auto"/>
          <w:spacing w:val="-1"/>
          <w:highlight w:val="none"/>
        </w:rPr>
        <w:t>1、根据中华人民共和国住房和城乡建设部令第37号《危险性较大的分部分项工程</w:t>
      </w:r>
      <w:r>
        <w:rPr>
          <w:rFonts w:hint="eastAsia" w:ascii="宋体" w:hAnsi="宋体" w:eastAsia="宋体" w:cs="宋体"/>
          <w:color w:val="auto"/>
          <w:spacing w:val="8"/>
          <w:highlight w:val="none"/>
        </w:rPr>
        <w:t xml:space="preserve"> </w:t>
      </w:r>
      <w:r>
        <w:rPr>
          <w:rFonts w:hint="eastAsia" w:ascii="宋体" w:hAnsi="宋体" w:eastAsia="宋体" w:cs="宋体"/>
          <w:color w:val="auto"/>
          <w:spacing w:val="-2"/>
          <w:highlight w:val="none"/>
        </w:rPr>
        <w:t>安全管理规定》（以下简称“37号文</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2"/>
          <w:highlight w:val="none"/>
        </w:rPr>
        <w:t>”</w:t>
      </w:r>
      <w:r>
        <w:rPr>
          <w:rFonts w:hint="eastAsia" w:ascii="宋体" w:hAnsi="宋体" w:eastAsia="宋体" w:cs="宋体"/>
          <w:color w:val="auto"/>
          <w:spacing w:val="-11"/>
          <w:highlight w:val="none"/>
        </w:rPr>
        <w:t>），</w:t>
      </w:r>
      <w:r>
        <w:rPr>
          <w:rFonts w:hint="eastAsia" w:ascii="宋体" w:hAnsi="宋体" w:eastAsia="宋体" w:cs="宋体"/>
          <w:color w:val="auto"/>
          <w:spacing w:val="-2"/>
          <w:highlight w:val="none"/>
        </w:rPr>
        <w:t>投标人在投标时须补充完善危大工程清单并</w:t>
      </w:r>
      <w:r>
        <w:rPr>
          <w:rFonts w:hint="eastAsia" w:ascii="宋体" w:hAnsi="宋体" w:eastAsia="宋体" w:cs="宋体"/>
          <w:color w:val="auto"/>
          <w:highlight w:val="none"/>
        </w:rPr>
        <w:t xml:space="preserve"> </w:t>
      </w:r>
      <w:r>
        <w:rPr>
          <w:rFonts w:hint="eastAsia" w:ascii="宋体" w:hAnsi="宋体" w:eastAsia="宋体" w:cs="宋体"/>
          <w:color w:val="auto"/>
          <w:spacing w:val="-2"/>
          <w:highlight w:val="none"/>
        </w:rPr>
        <w:t>明确相应的安全管理措施。</w:t>
      </w:r>
    </w:p>
    <w:p w14:paraId="66587309">
      <w:pPr>
        <w:pStyle w:val="8"/>
        <w:spacing w:before="208" w:line="360" w:lineRule="auto"/>
        <w:ind w:left="1" w:firstLine="481"/>
        <w:rPr>
          <w:rFonts w:hint="eastAsia" w:ascii="宋体" w:hAnsi="宋体" w:eastAsia="宋体" w:cs="宋体"/>
          <w:color w:val="auto"/>
          <w:highlight w:val="none"/>
        </w:rPr>
      </w:pPr>
      <w:r>
        <w:rPr>
          <w:rFonts w:hint="eastAsia" w:ascii="宋体" w:hAnsi="宋体" w:eastAsia="宋体" w:cs="宋体"/>
          <w:color w:val="auto"/>
          <w:spacing w:val="-2"/>
          <w:highlight w:val="none"/>
        </w:rPr>
        <w:t>2、招标人根据设计文件的要求及37号文、粤建规范〔2019〕2号文的规定列出“危</w:t>
      </w:r>
      <w:r>
        <w:rPr>
          <w:rFonts w:hint="eastAsia" w:ascii="宋体" w:hAnsi="宋体" w:eastAsia="宋体" w:cs="宋体"/>
          <w:color w:val="auto"/>
          <w:spacing w:val="18"/>
          <w:highlight w:val="none"/>
        </w:rPr>
        <w:t xml:space="preserve"> </w:t>
      </w:r>
      <w:r>
        <w:rPr>
          <w:rFonts w:hint="eastAsia" w:ascii="宋体" w:hAnsi="宋体" w:eastAsia="宋体" w:cs="宋体"/>
          <w:color w:val="auto"/>
          <w:spacing w:val="-2"/>
          <w:highlight w:val="none"/>
        </w:rPr>
        <w:t>险性较大的分部分项工程清单及超过一定规模的危</w:t>
      </w:r>
      <w:r>
        <w:rPr>
          <w:rFonts w:hint="eastAsia" w:ascii="宋体" w:hAnsi="宋体" w:eastAsia="宋体" w:cs="宋体"/>
          <w:color w:val="auto"/>
          <w:spacing w:val="-3"/>
          <w:highlight w:val="none"/>
        </w:rPr>
        <w:t>险性较大的分部分项工程清单</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3"/>
          <w:highlight w:val="none"/>
        </w:rPr>
        <w:t>”中与</w:t>
      </w:r>
      <w:r>
        <w:rPr>
          <w:rFonts w:hint="eastAsia" w:ascii="宋体" w:hAnsi="宋体" w:eastAsia="宋体" w:cs="宋体"/>
          <w:color w:val="auto"/>
          <w:highlight w:val="none"/>
        </w:rPr>
        <w:t xml:space="preserve"> </w:t>
      </w:r>
      <w:r>
        <w:rPr>
          <w:rFonts w:hint="eastAsia" w:ascii="宋体" w:hAnsi="宋体" w:eastAsia="宋体" w:cs="宋体"/>
          <w:color w:val="auto"/>
          <w:spacing w:val="-5"/>
          <w:highlight w:val="none"/>
        </w:rPr>
        <w:t>本招标项目相关的清单项，具体详见第5点“打</w:t>
      </w:r>
      <w:r>
        <w:rPr>
          <w:rFonts w:hint="eastAsia" w:ascii="宋体" w:hAnsi="宋体" w:eastAsia="宋体" w:cs="宋体"/>
          <w:color w:val="auto"/>
          <w:spacing w:val="-34"/>
          <w:highlight w:val="none"/>
        </w:rPr>
        <w:t xml:space="preserve"> </w:t>
      </w:r>
      <w:r>
        <w:rPr>
          <w:rFonts w:hint="eastAsia" w:ascii="宋体" w:hAnsi="宋体" w:eastAsia="宋体" w:cs="宋体"/>
          <w:color w:val="auto"/>
          <w:spacing w:val="-5"/>
          <w:highlight w:val="none"/>
        </w:rPr>
        <w:t>√</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5"/>
          <w:highlight w:val="none"/>
        </w:rPr>
        <w:t>”标识。</w:t>
      </w:r>
    </w:p>
    <w:p w14:paraId="688A95F4">
      <w:pPr>
        <w:pStyle w:val="8"/>
        <w:spacing w:before="208" w:line="360" w:lineRule="auto"/>
        <w:ind w:left="3" w:right="72" w:firstLine="488"/>
        <w:rPr>
          <w:rFonts w:hint="eastAsia" w:ascii="宋体" w:hAnsi="宋体" w:eastAsia="宋体" w:cs="宋体"/>
          <w:color w:val="auto"/>
          <w:highlight w:val="none"/>
        </w:rPr>
      </w:pPr>
      <w:r>
        <w:rPr>
          <w:rFonts w:hint="eastAsia" w:ascii="宋体" w:hAnsi="宋体" w:eastAsia="宋体" w:cs="宋体"/>
          <w:color w:val="auto"/>
          <w:spacing w:val="-3"/>
          <w:highlight w:val="none"/>
        </w:rPr>
        <w:t>（1）投标单位同意建设单位在清单中标识的该</w:t>
      </w:r>
      <w:r>
        <w:rPr>
          <w:rFonts w:hint="eastAsia" w:ascii="宋体" w:hAnsi="宋体" w:eastAsia="宋体" w:cs="宋体"/>
          <w:color w:val="auto"/>
          <w:spacing w:val="-4"/>
          <w:highlight w:val="none"/>
        </w:rPr>
        <w:t>项请在对应项打“</w:t>
      </w:r>
      <w:r>
        <w:rPr>
          <w:rFonts w:hint="eastAsia" w:ascii="宋体" w:hAnsi="宋体" w:eastAsia="宋体" w:cs="宋体"/>
          <w:color w:val="auto"/>
          <w:spacing w:val="-51"/>
          <w:highlight w:val="none"/>
        </w:rPr>
        <w:t xml:space="preserve"> </w:t>
      </w:r>
      <w:r>
        <w:rPr>
          <w:rFonts w:hint="eastAsia" w:ascii="宋体" w:hAnsi="宋体" w:eastAsia="宋体" w:cs="宋体"/>
          <w:color w:val="auto"/>
          <w:spacing w:val="-4"/>
          <w:highlight w:val="none"/>
        </w:rPr>
        <w:t>√</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4"/>
          <w:highlight w:val="none"/>
        </w:rPr>
        <w:t>”标识，并与</w:t>
      </w:r>
      <w:r>
        <w:rPr>
          <w:rFonts w:hint="eastAsia" w:ascii="宋体" w:hAnsi="宋体" w:eastAsia="宋体" w:cs="宋体"/>
          <w:color w:val="auto"/>
          <w:highlight w:val="none"/>
        </w:rPr>
        <w:t xml:space="preserve"> </w:t>
      </w:r>
      <w:r>
        <w:rPr>
          <w:rFonts w:hint="eastAsia" w:ascii="宋体" w:hAnsi="宋体" w:eastAsia="宋体" w:cs="宋体"/>
          <w:color w:val="auto"/>
          <w:spacing w:val="-1"/>
          <w:highlight w:val="none"/>
        </w:rPr>
        <w:t>投标文件中提供相应的安全管理措施。</w:t>
      </w:r>
    </w:p>
    <w:p w14:paraId="10A3F36C">
      <w:pPr>
        <w:pStyle w:val="8"/>
        <w:spacing w:before="206" w:line="360" w:lineRule="auto"/>
        <w:ind w:left="2" w:right="72" w:firstLine="489"/>
        <w:rPr>
          <w:rFonts w:hint="eastAsia" w:ascii="宋体" w:hAnsi="宋体" w:eastAsia="宋体" w:cs="宋体"/>
          <w:color w:val="auto"/>
          <w:highlight w:val="none"/>
        </w:rPr>
      </w:pPr>
      <w:r>
        <w:rPr>
          <w:rFonts w:hint="eastAsia" w:ascii="宋体" w:hAnsi="宋体" w:eastAsia="宋体" w:cs="宋体"/>
          <w:color w:val="auto"/>
          <w:spacing w:val="-3"/>
          <w:highlight w:val="none"/>
        </w:rPr>
        <w:t>（2）投标单位对清单中认为需要补充的该项请</w:t>
      </w:r>
      <w:r>
        <w:rPr>
          <w:rFonts w:hint="eastAsia" w:ascii="宋体" w:hAnsi="宋体" w:eastAsia="宋体" w:cs="宋体"/>
          <w:color w:val="auto"/>
          <w:spacing w:val="-4"/>
          <w:highlight w:val="none"/>
        </w:rPr>
        <w:t>在对应项打“</w:t>
      </w:r>
      <w:r>
        <w:rPr>
          <w:rFonts w:hint="eastAsia" w:ascii="宋体" w:hAnsi="宋体" w:eastAsia="宋体" w:cs="宋体"/>
          <w:color w:val="auto"/>
          <w:spacing w:val="-51"/>
          <w:highlight w:val="none"/>
        </w:rPr>
        <w:t xml:space="preserve"> </w:t>
      </w:r>
      <w:r>
        <w:rPr>
          <w:rFonts w:hint="eastAsia" w:ascii="宋体" w:hAnsi="宋体" w:eastAsia="宋体" w:cs="宋体"/>
          <w:color w:val="auto"/>
          <w:spacing w:val="-4"/>
          <w:highlight w:val="none"/>
        </w:rPr>
        <w:t>√</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4"/>
          <w:highlight w:val="none"/>
        </w:rPr>
        <w:t>”标识，并与投标</w:t>
      </w:r>
      <w:r>
        <w:rPr>
          <w:rFonts w:hint="eastAsia" w:ascii="宋体" w:hAnsi="宋体" w:eastAsia="宋体" w:cs="宋体"/>
          <w:color w:val="auto"/>
          <w:highlight w:val="none"/>
        </w:rPr>
        <w:t xml:space="preserve"> </w:t>
      </w:r>
      <w:r>
        <w:rPr>
          <w:rFonts w:hint="eastAsia" w:ascii="宋体" w:hAnsi="宋体" w:eastAsia="宋体" w:cs="宋体"/>
          <w:color w:val="auto"/>
          <w:spacing w:val="-1"/>
          <w:highlight w:val="none"/>
        </w:rPr>
        <w:t>文件中提供相应的安全管理措施。</w:t>
      </w:r>
    </w:p>
    <w:p w14:paraId="31E03A44">
      <w:pPr>
        <w:pStyle w:val="8"/>
        <w:spacing w:before="208" w:line="360" w:lineRule="auto"/>
        <w:ind w:right="72" w:firstLine="492"/>
        <w:rPr>
          <w:rFonts w:hint="eastAsia" w:ascii="宋体" w:hAnsi="宋体" w:eastAsia="宋体" w:cs="宋体"/>
          <w:color w:val="auto"/>
          <w:highlight w:val="none"/>
        </w:rPr>
      </w:pPr>
      <w:r>
        <w:rPr>
          <w:rFonts w:hint="eastAsia" w:ascii="宋体" w:hAnsi="宋体" w:eastAsia="宋体" w:cs="宋体"/>
          <w:color w:val="auto"/>
          <w:spacing w:val="-3"/>
          <w:highlight w:val="none"/>
        </w:rPr>
        <w:t>（3）投标单位不同意建设单位在清单中标识的该项请在对应项打“</w:t>
      </w:r>
      <w:r>
        <w:rPr>
          <w:rFonts w:hint="eastAsia" w:ascii="宋体" w:hAnsi="宋体" w:eastAsia="宋体" w:cs="宋体"/>
          <w:color w:val="auto"/>
          <w:spacing w:val="-66"/>
          <w:highlight w:val="none"/>
        </w:rPr>
        <w:t xml:space="preserve"> </w:t>
      </w:r>
      <w:r>
        <w:rPr>
          <w:rFonts w:hint="eastAsia" w:ascii="宋体" w:hAnsi="宋体" w:eastAsia="宋体" w:cs="宋体"/>
          <w:color w:val="auto"/>
          <w:spacing w:val="-3"/>
          <w:highlight w:val="none"/>
        </w:rPr>
        <w:t>×</w:t>
      </w:r>
      <w:r>
        <w:rPr>
          <w:rFonts w:hint="eastAsia" w:ascii="宋体" w:hAnsi="宋体" w:eastAsia="宋体" w:cs="宋体"/>
          <w:color w:val="auto"/>
          <w:spacing w:val="-88"/>
          <w:highlight w:val="none"/>
        </w:rPr>
        <w:t xml:space="preserve"> </w:t>
      </w:r>
      <w:r>
        <w:rPr>
          <w:rFonts w:hint="eastAsia" w:ascii="宋体" w:hAnsi="宋体" w:eastAsia="宋体" w:cs="宋体"/>
          <w:color w:val="auto"/>
          <w:spacing w:val="-3"/>
          <w:highlight w:val="none"/>
        </w:rPr>
        <w:t>”标识，并</w:t>
      </w:r>
      <w:r>
        <w:rPr>
          <w:rFonts w:hint="eastAsia" w:ascii="宋体" w:hAnsi="宋体" w:eastAsia="宋体" w:cs="宋体"/>
          <w:color w:val="auto"/>
          <w:highlight w:val="none"/>
        </w:rPr>
        <w:t xml:space="preserve"> </w:t>
      </w:r>
      <w:r>
        <w:rPr>
          <w:rFonts w:hint="eastAsia" w:ascii="宋体" w:hAnsi="宋体" w:eastAsia="宋体" w:cs="宋体"/>
          <w:color w:val="auto"/>
          <w:spacing w:val="-1"/>
          <w:highlight w:val="none"/>
        </w:rPr>
        <w:t>在备注栏填上相关说明。</w:t>
      </w:r>
    </w:p>
    <w:p w14:paraId="4EFDC912">
      <w:pPr>
        <w:pStyle w:val="8"/>
        <w:spacing w:before="210" w:line="360" w:lineRule="auto"/>
        <w:ind w:firstLine="484"/>
        <w:jc w:val="both"/>
        <w:rPr>
          <w:rFonts w:hint="eastAsia" w:ascii="宋体" w:hAnsi="宋体" w:eastAsia="宋体" w:cs="宋体"/>
          <w:color w:val="auto"/>
          <w:highlight w:val="none"/>
        </w:rPr>
      </w:pPr>
      <w:r>
        <w:rPr>
          <w:rFonts w:hint="eastAsia" w:ascii="宋体" w:hAnsi="宋体" w:eastAsia="宋体" w:cs="宋体"/>
          <w:b/>
          <w:bCs/>
          <w:color w:val="auto"/>
          <w:spacing w:val="-4"/>
          <w:highlight w:val="none"/>
          <w:u w:val="single" w:color="auto"/>
        </w:rPr>
        <w:t>3、投标单位应当在投标时根据招标人提供的下述第5点清单，</w:t>
      </w:r>
      <w:r>
        <w:rPr>
          <w:rFonts w:hint="eastAsia" w:ascii="宋体" w:hAnsi="宋体" w:eastAsia="宋体" w:cs="宋体"/>
          <w:b/>
          <w:bCs/>
          <w:color w:val="auto"/>
          <w:spacing w:val="-5"/>
          <w:highlight w:val="none"/>
          <w:u w:val="single" w:color="auto"/>
        </w:rPr>
        <w:t>在投标施工组织中回</w:t>
      </w:r>
      <w:r>
        <w:rPr>
          <w:rFonts w:hint="eastAsia" w:ascii="宋体" w:hAnsi="宋体" w:eastAsia="宋体" w:cs="宋体"/>
          <w:b/>
          <w:bCs/>
          <w:color w:val="auto"/>
          <w:spacing w:val="-4"/>
          <w:highlight w:val="none"/>
          <w:u w:val="single" w:color="auto"/>
        </w:rPr>
        <w:t>应建设单位提供的危大工程清单，补充相应的安全管理措施。（为减轻标书编制</w:t>
      </w:r>
      <w:r>
        <w:rPr>
          <w:rFonts w:hint="eastAsia" w:ascii="宋体" w:hAnsi="宋体" w:eastAsia="宋体" w:cs="宋体"/>
          <w:b/>
          <w:bCs/>
          <w:color w:val="auto"/>
          <w:spacing w:val="-5"/>
          <w:highlight w:val="none"/>
          <w:u w:val="single" w:color="auto"/>
        </w:rPr>
        <w:t>的工作</w:t>
      </w:r>
      <w:r>
        <w:rPr>
          <w:rFonts w:hint="eastAsia" w:ascii="宋体" w:hAnsi="宋体" w:eastAsia="宋体" w:cs="宋体"/>
          <w:b/>
          <w:bCs/>
          <w:color w:val="auto"/>
          <w:spacing w:val="-2"/>
          <w:highlight w:val="none"/>
          <w:u w:val="single" w:color="auto"/>
        </w:rPr>
        <w:t>量，投标单位回应的危大工程清单该部分的页数应控制在3页内）</w:t>
      </w:r>
    </w:p>
    <w:p w14:paraId="06901094">
      <w:pPr>
        <w:pStyle w:val="8"/>
        <w:spacing w:before="37" w:line="360" w:lineRule="auto"/>
        <w:ind w:left="1" w:firstLine="478"/>
        <w:rPr>
          <w:rFonts w:hint="eastAsia" w:ascii="宋体" w:hAnsi="宋体" w:eastAsia="宋体" w:cs="宋体"/>
          <w:color w:val="auto"/>
          <w:highlight w:val="none"/>
        </w:rPr>
      </w:pPr>
      <w:r>
        <w:rPr>
          <w:rFonts w:hint="eastAsia" w:ascii="宋体" w:hAnsi="宋体" w:eastAsia="宋体" w:cs="宋体"/>
          <w:color w:val="auto"/>
          <w:highlight w:val="none"/>
        </w:rPr>
        <w:t>4、对于超过一定规模的危大工程，中标单位应当组织召开</w:t>
      </w:r>
      <w:r>
        <w:rPr>
          <w:rFonts w:hint="eastAsia" w:ascii="宋体" w:hAnsi="宋体" w:eastAsia="宋体" w:cs="宋体"/>
          <w:color w:val="auto"/>
          <w:spacing w:val="-1"/>
          <w:highlight w:val="none"/>
        </w:rPr>
        <w:t>专家论证会对专项施工</w:t>
      </w:r>
      <w:r>
        <w:rPr>
          <w:rFonts w:hint="eastAsia" w:ascii="宋体" w:hAnsi="宋体" w:eastAsia="宋体" w:cs="宋体"/>
          <w:color w:val="auto"/>
          <w:highlight w:val="none"/>
        </w:rPr>
        <w:t xml:space="preserve"> </w:t>
      </w:r>
      <w:r>
        <w:rPr>
          <w:rFonts w:hint="eastAsia" w:ascii="宋体" w:hAnsi="宋体" w:eastAsia="宋体" w:cs="宋体"/>
          <w:color w:val="auto"/>
          <w:spacing w:val="-2"/>
          <w:highlight w:val="none"/>
        </w:rPr>
        <w:t>方案进行论证。实行施工总承包的，由施工总承包单位组织召开专家论证会。专家论证</w:t>
      </w:r>
      <w:r>
        <w:rPr>
          <w:rFonts w:hint="eastAsia" w:ascii="宋体" w:hAnsi="宋体" w:eastAsia="宋体" w:cs="宋体"/>
          <w:color w:val="auto"/>
          <w:spacing w:val="16"/>
          <w:highlight w:val="none"/>
        </w:rPr>
        <w:t xml:space="preserve"> </w:t>
      </w:r>
      <w:r>
        <w:rPr>
          <w:rFonts w:hint="eastAsia" w:ascii="宋体" w:hAnsi="宋体" w:eastAsia="宋体" w:cs="宋体"/>
          <w:color w:val="auto"/>
          <w:spacing w:val="-1"/>
          <w:highlight w:val="none"/>
        </w:rPr>
        <w:t>前专项施工方案应当通过施工总承包单位审核和总监理工程师审查。</w:t>
      </w:r>
    </w:p>
    <w:p w14:paraId="3C5F3DD9">
      <w:pPr>
        <w:pStyle w:val="8"/>
        <w:spacing w:before="205" w:line="360" w:lineRule="auto"/>
        <w:ind w:firstLine="484"/>
        <w:rPr>
          <w:rFonts w:hint="eastAsia" w:ascii="宋体" w:hAnsi="宋体" w:eastAsia="宋体" w:cs="宋体"/>
          <w:color w:val="auto"/>
          <w:highlight w:val="none"/>
        </w:rPr>
      </w:pPr>
      <w:r>
        <w:rPr>
          <w:rFonts w:hint="eastAsia" w:ascii="宋体" w:hAnsi="宋体" w:eastAsia="宋体" w:cs="宋体"/>
          <w:color w:val="auto"/>
          <w:spacing w:val="2"/>
          <w:highlight w:val="none"/>
        </w:rPr>
        <w:t>5、危险性较大的分部分项工程清单及超过一</w:t>
      </w:r>
      <w:r>
        <w:rPr>
          <w:rFonts w:hint="eastAsia" w:ascii="宋体" w:hAnsi="宋体" w:eastAsia="宋体" w:cs="宋体"/>
          <w:color w:val="auto"/>
          <w:spacing w:val="1"/>
          <w:highlight w:val="none"/>
        </w:rPr>
        <w:t>定规模的危险性较大的分部分项工程</w:t>
      </w:r>
      <w:r>
        <w:rPr>
          <w:rFonts w:hint="eastAsia" w:ascii="宋体" w:hAnsi="宋体" w:eastAsia="宋体" w:cs="宋体"/>
          <w:color w:val="auto"/>
          <w:spacing w:val="-4"/>
          <w:highlight w:val="none"/>
        </w:rPr>
        <w:t>清单：</w:t>
      </w:r>
    </w:p>
    <w:p w14:paraId="4D834F10">
      <w:pPr>
        <w:spacing w:line="360" w:lineRule="auto"/>
        <w:rPr>
          <w:rFonts w:hint="eastAsia" w:ascii="宋体" w:hAnsi="宋体" w:eastAsia="宋体" w:cs="宋体"/>
          <w:color w:val="auto"/>
          <w:highlight w:val="none"/>
        </w:rPr>
      </w:pPr>
    </w:p>
    <w:p w14:paraId="673C8107">
      <w:pPr>
        <w:keepNext w:val="0"/>
        <w:keepLines w:val="0"/>
        <w:pageBreakBefore w:val="0"/>
        <w:widowControl w:val="0"/>
        <w:kinsoku/>
        <w:wordWrap w:val="0"/>
        <w:overflowPunct/>
        <w:topLinePunct w:val="0"/>
        <w:autoSpaceDE/>
        <w:autoSpaceDN/>
        <w:bidi w:val="0"/>
        <w:adjustRightInd w:val="0"/>
        <w:snapToGrid w:val="0"/>
        <w:spacing w:line="360" w:lineRule="auto"/>
        <w:ind w:firstLine="482" w:firstLineChars="200"/>
        <w:textAlignment w:val="auto"/>
        <w:rPr>
          <w:rFonts w:hint="eastAsia" w:ascii="宋体" w:hAnsi="宋体" w:eastAsia="宋体" w:cs="宋体"/>
          <w:b/>
          <w:bCs w:val="0"/>
          <w:snapToGrid w:val="0"/>
          <w:color w:val="auto"/>
          <w:kern w:val="0"/>
          <w:sz w:val="24"/>
          <w:szCs w:val="24"/>
          <w:highlight w:val="none"/>
          <w:u w:val="single"/>
          <w:lang w:val="en-US" w:eastAsia="zh-CN"/>
        </w:rPr>
      </w:pPr>
      <w:r>
        <w:rPr>
          <w:rFonts w:hint="eastAsia" w:ascii="宋体" w:hAnsi="宋体" w:eastAsia="宋体" w:cs="宋体"/>
          <w:b/>
          <w:bCs w:val="0"/>
          <w:snapToGrid w:val="0"/>
          <w:color w:val="auto"/>
          <w:kern w:val="0"/>
          <w:sz w:val="24"/>
          <w:szCs w:val="24"/>
          <w:highlight w:val="none"/>
          <w:u w:val="single"/>
          <w:lang w:val="en-US" w:eastAsia="zh-CN"/>
        </w:rPr>
        <w:t>本工程招标控制价、招标工程量清单及危大工程量清单（若有），在开标前15天另行发布于相关网站，各投标人可在全国公共资源交易平台 （广东省 · 韶关市）（https://ygp.gdzwfw.gov.cn/ggzy-portal/#/440200/index）等网站上自行下载。</w:t>
      </w:r>
    </w:p>
    <w:p w14:paraId="29C516F6">
      <w:pPr>
        <w:rPr>
          <w:rFonts w:hint="eastAsia" w:ascii="宋体" w:hAnsi="宋体" w:eastAsia="宋体" w:cs="宋体"/>
          <w:lang w:val="en-US" w:eastAsia="zh-CN"/>
        </w:rPr>
      </w:pPr>
    </w:p>
    <w:p w14:paraId="7F8521A1">
      <w:pPr>
        <w:rPr>
          <w:rFonts w:hint="eastAsia" w:ascii="宋体" w:hAnsi="宋体" w:eastAsia="宋体" w:cs="宋体"/>
          <w:lang w:val="en-US" w:eastAsia="zh-CN"/>
        </w:rPr>
      </w:pPr>
    </w:p>
    <w:p w14:paraId="58A8B20C">
      <w:pPr>
        <w:rPr>
          <w:rFonts w:hint="eastAsia" w:ascii="宋体" w:hAnsi="宋体" w:eastAsia="宋体" w:cs="宋体"/>
          <w:lang w:val="en-US" w:eastAsia="zh-CN"/>
        </w:rPr>
      </w:pPr>
    </w:p>
    <w:p w14:paraId="4E773BE7">
      <w:pPr>
        <w:rPr>
          <w:rFonts w:hint="eastAsia" w:ascii="宋体" w:hAnsi="宋体" w:eastAsia="宋体" w:cs="宋体"/>
          <w:lang w:val="en-US" w:eastAsia="zh-CN"/>
        </w:rPr>
      </w:pPr>
    </w:p>
    <w:p w14:paraId="28E4F02E">
      <w:pPr>
        <w:rPr>
          <w:rFonts w:hint="eastAsia" w:ascii="宋体" w:hAnsi="宋体" w:eastAsia="宋体" w:cs="宋体"/>
          <w:lang w:val="en-US" w:eastAsia="zh-CN"/>
        </w:rPr>
      </w:pPr>
    </w:p>
    <w:p w14:paraId="5D27FC03">
      <w:pPr>
        <w:rPr>
          <w:rFonts w:hint="eastAsia" w:ascii="宋体" w:hAnsi="宋体" w:eastAsia="宋体" w:cs="宋体"/>
          <w:lang w:val="en-US" w:eastAsia="zh-CN"/>
        </w:rPr>
      </w:pPr>
    </w:p>
    <w:p w14:paraId="123DB22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43" w:name="_Toc13446"/>
      <w:bookmarkStart w:id="344" w:name="_Toc6639"/>
      <w:bookmarkStart w:id="345" w:name="_Toc2046"/>
      <w:r>
        <w:rPr>
          <w:rFonts w:hint="eastAsia" w:ascii="宋体" w:hAnsi="宋体" w:eastAsia="宋体" w:cs="宋体"/>
          <w:b/>
          <w:bCs/>
          <w:color w:val="auto"/>
          <w:spacing w:val="-11"/>
          <w:sz w:val="24"/>
          <w:szCs w:val="24"/>
          <w:highlight w:val="none"/>
          <w:lang w:val="en-US" w:eastAsia="zh-CN"/>
        </w:rPr>
        <w:t>格式十三</w:t>
      </w:r>
      <w:bookmarkEnd w:id="343"/>
      <w:bookmarkEnd w:id="344"/>
      <w:r>
        <w:rPr>
          <w:rFonts w:hint="eastAsia" w:ascii="宋体" w:hAnsi="宋体" w:eastAsia="宋体" w:cs="宋体"/>
          <w:b/>
          <w:bCs/>
          <w:color w:val="auto"/>
          <w:spacing w:val="-11"/>
          <w:sz w:val="24"/>
          <w:szCs w:val="24"/>
          <w:highlight w:val="none"/>
          <w:lang w:val="en-US" w:eastAsia="zh-CN"/>
        </w:rPr>
        <w:t xml:space="preserve">   投标保证金信用承诺函</w:t>
      </w:r>
      <w:bookmarkEnd w:id="345"/>
    </w:p>
    <w:p w14:paraId="0A711391">
      <w:pPr>
        <w:pStyle w:val="8"/>
        <w:spacing w:before="140" w:line="360" w:lineRule="auto"/>
        <w:ind w:left="2338"/>
        <w:rPr>
          <w:rFonts w:hint="eastAsia" w:ascii="宋体" w:hAnsi="宋体" w:eastAsia="宋体" w:cs="宋体"/>
          <w:color w:val="auto"/>
          <w:sz w:val="36"/>
          <w:szCs w:val="36"/>
          <w:highlight w:val="none"/>
        </w:rPr>
      </w:pPr>
      <w:r>
        <w:rPr>
          <w:rFonts w:hint="eastAsia" w:ascii="宋体" w:hAnsi="宋体" w:eastAsia="宋体" w:cs="宋体"/>
          <w:b/>
          <w:bCs/>
          <w:color w:val="auto"/>
          <w:spacing w:val="4"/>
          <w:position w:val="3"/>
          <w:sz w:val="36"/>
          <w:szCs w:val="36"/>
          <w:highlight w:val="none"/>
        </w:rPr>
        <w:t>投标保证金信用承诺函</w:t>
      </w:r>
    </w:p>
    <w:p w14:paraId="325EB536">
      <w:pPr>
        <w:spacing w:line="360" w:lineRule="auto"/>
        <w:rPr>
          <w:rFonts w:hint="eastAsia" w:ascii="宋体" w:hAnsi="宋体" w:eastAsia="宋体" w:cs="宋体"/>
          <w:color w:val="auto"/>
          <w:sz w:val="21"/>
          <w:highlight w:val="none"/>
        </w:rPr>
      </w:pPr>
    </w:p>
    <w:p w14:paraId="32ED0890">
      <w:pPr>
        <w:pStyle w:val="8"/>
        <w:spacing w:before="101" w:line="360" w:lineRule="auto"/>
        <w:ind w:firstLine="450" w:firstLineChars="200"/>
        <w:jc w:val="both"/>
        <w:rPr>
          <w:rFonts w:hint="eastAsia" w:ascii="宋体" w:hAnsi="宋体" w:eastAsia="宋体" w:cs="宋体"/>
          <w:color w:val="auto"/>
          <w:highlight w:val="none"/>
        </w:rPr>
      </w:pPr>
      <w:r>
        <w:rPr>
          <w:rFonts w:hint="eastAsia" w:ascii="宋体" w:hAnsi="宋体" w:eastAsia="宋体" w:cs="宋体"/>
          <w:b/>
          <w:bCs/>
          <w:color w:val="auto"/>
          <w:spacing w:val="7"/>
          <w:highlight w:val="none"/>
        </w:rPr>
        <w:t>一、</w:t>
      </w:r>
      <w:r>
        <w:rPr>
          <w:rFonts w:hint="eastAsia" w:ascii="宋体" w:hAnsi="宋体" w:eastAsia="宋体" w:cs="宋体"/>
          <w:color w:val="auto"/>
          <w:spacing w:val="7"/>
          <w:highlight w:val="none"/>
        </w:rPr>
        <w:t>我单位参加</w:t>
      </w:r>
      <w:r>
        <w:rPr>
          <w:rFonts w:hint="eastAsia" w:ascii="宋体" w:hAnsi="宋体" w:eastAsia="宋体" w:cs="宋体"/>
          <w:color w:val="auto"/>
          <w:spacing w:val="7"/>
          <w:highlight w:val="none"/>
          <w:u w:val="single" w:color="auto"/>
        </w:rPr>
        <w:t xml:space="preserve">  （工程项目名称）  </w:t>
      </w:r>
      <w:r>
        <w:rPr>
          <w:rFonts w:hint="eastAsia" w:ascii="宋体" w:hAnsi="宋体" w:eastAsia="宋体" w:cs="宋体"/>
          <w:color w:val="auto"/>
          <w:spacing w:val="-116"/>
          <w:highlight w:val="none"/>
        </w:rPr>
        <w:t xml:space="preserve"> </w:t>
      </w:r>
      <w:r>
        <w:rPr>
          <w:rFonts w:hint="eastAsia" w:ascii="宋体" w:hAnsi="宋体" w:eastAsia="宋体" w:cs="宋体"/>
          <w:color w:val="auto"/>
          <w:spacing w:val="7"/>
          <w:highlight w:val="none"/>
        </w:rPr>
        <w:t>的投标活动，</w:t>
      </w:r>
      <w:r>
        <w:rPr>
          <w:rFonts w:hint="eastAsia" w:ascii="宋体" w:hAnsi="宋体" w:eastAsia="宋体" w:cs="宋体"/>
          <w:color w:val="auto"/>
          <w:spacing w:val="6"/>
          <w:highlight w:val="none"/>
        </w:rPr>
        <w:t>现承</w:t>
      </w:r>
      <w:r>
        <w:rPr>
          <w:rFonts w:hint="eastAsia" w:ascii="宋体" w:hAnsi="宋体" w:eastAsia="宋体" w:cs="宋体"/>
          <w:color w:val="auto"/>
          <w:spacing w:val="9"/>
          <w:highlight w:val="none"/>
        </w:rPr>
        <w:t>诺：将严格按照法律法规规定参与交易活动，按照招标文件要求依法履行投标人义务；我方若出现违反《中华人民共和国招标投标法》、《中华人民共和国招标投标法实施条例》、《电子招标投标办法》等有关法律法规的行为，将于投标有效期内全额付清</w:t>
      </w:r>
      <w:r>
        <w:rPr>
          <w:rFonts w:hint="eastAsia" w:ascii="宋体" w:hAnsi="宋体" w:eastAsia="宋体" w:cs="宋体"/>
          <w:color w:val="auto"/>
          <w:spacing w:val="7"/>
          <w:highlight w:val="none"/>
        </w:rPr>
        <w:t>招标文件规定的投标保证金</w:t>
      </w:r>
      <w:r>
        <w:rPr>
          <w:rFonts w:hint="eastAsia" w:ascii="宋体" w:hAnsi="宋体" w:eastAsia="宋体" w:cs="宋体"/>
          <w:color w:val="auto"/>
          <w:spacing w:val="-153"/>
          <w:highlight w:val="none"/>
        </w:rPr>
        <w:t xml:space="preserve"> </w:t>
      </w:r>
      <w:r>
        <w:rPr>
          <w:rFonts w:hint="eastAsia" w:ascii="宋体" w:hAnsi="宋体" w:eastAsia="宋体" w:cs="宋体"/>
          <w:color w:val="auto"/>
          <w:spacing w:val="5"/>
          <w:highlight w:val="none"/>
          <w:u w:val="single" w:color="auto"/>
        </w:rPr>
        <w:t xml:space="preserve">     </w:t>
      </w:r>
      <w:r>
        <w:rPr>
          <w:rFonts w:hint="eastAsia" w:ascii="宋体" w:hAnsi="宋体" w:eastAsia="宋体" w:cs="宋体"/>
          <w:color w:val="auto"/>
          <w:spacing w:val="-138"/>
          <w:highlight w:val="none"/>
        </w:rPr>
        <w:t xml:space="preserve"> </w:t>
      </w:r>
      <w:r>
        <w:rPr>
          <w:rFonts w:hint="eastAsia" w:ascii="宋体" w:hAnsi="宋体" w:eastAsia="宋体" w:cs="宋体"/>
          <w:color w:val="auto"/>
          <w:spacing w:val="7"/>
          <w:highlight w:val="none"/>
        </w:rPr>
        <w:t>元。</w:t>
      </w:r>
    </w:p>
    <w:p w14:paraId="5B8BD4E7">
      <w:pPr>
        <w:pStyle w:val="8"/>
        <w:spacing w:before="48" w:line="360" w:lineRule="auto"/>
        <w:ind w:firstLine="456" w:firstLineChars="200"/>
        <w:jc w:val="both"/>
        <w:rPr>
          <w:rFonts w:hint="eastAsia" w:ascii="宋体" w:hAnsi="宋体" w:eastAsia="宋体" w:cs="宋体"/>
          <w:color w:val="auto"/>
          <w:highlight w:val="none"/>
        </w:rPr>
      </w:pPr>
      <w:r>
        <w:rPr>
          <w:rFonts w:hint="eastAsia" w:ascii="宋体" w:hAnsi="宋体" w:eastAsia="宋体" w:cs="宋体"/>
          <w:color w:val="auto"/>
          <w:spacing w:val="9"/>
          <w:highlight w:val="none"/>
        </w:rPr>
        <w:t>二、至投标文件提交当天，本公司无严重不良信用记录或存在曾作出虚假承诺的情形，且不属于韶关市建筑市场信用管理平</w:t>
      </w:r>
      <w:r>
        <w:rPr>
          <w:rFonts w:hint="eastAsia" w:ascii="宋体" w:hAnsi="宋体" w:eastAsia="宋体" w:cs="宋体"/>
          <w:color w:val="auto"/>
          <w:spacing w:val="5"/>
          <w:highlight w:val="none"/>
        </w:rPr>
        <w:t>台公布的信用等级为</w:t>
      </w:r>
      <w:r>
        <w:rPr>
          <w:rFonts w:hint="eastAsia" w:ascii="宋体" w:hAnsi="宋体" w:eastAsia="宋体" w:cs="宋体"/>
          <w:color w:val="auto"/>
          <w:spacing w:val="-62"/>
          <w:highlight w:val="none"/>
        </w:rPr>
        <w:t xml:space="preserve"> </w:t>
      </w:r>
      <w:r>
        <w:rPr>
          <w:rFonts w:hint="eastAsia" w:ascii="宋体" w:hAnsi="宋体" w:eastAsia="宋体" w:cs="宋体"/>
          <w:color w:val="auto"/>
          <w:spacing w:val="5"/>
          <w:highlight w:val="none"/>
        </w:rPr>
        <w:t>B</w:t>
      </w:r>
      <w:r>
        <w:rPr>
          <w:rFonts w:hint="eastAsia" w:ascii="宋体" w:hAnsi="宋体" w:eastAsia="宋体" w:cs="宋体"/>
          <w:color w:val="auto"/>
          <w:spacing w:val="-57"/>
          <w:highlight w:val="none"/>
        </w:rPr>
        <w:t xml:space="preserve"> </w:t>
      </w:r>
      <w:r>
        <w:rPr>
          <w:rFonts w:hint="eastAsia" w:ascii="宋体" w:hAnsi="宋体" w:eastAsia="宋体" w:cs="宋体"/>
          <w:color w:val="auto"/>
          <w:spacing w:val="5"/>
          <w:highlight w:val="none"/>
        </w:rPr>
        <w:t>级、C</w:t>
      </w:r>
      <w:r>
        <w:rPr>
          <w:rFonts w:hint="eastAsia" w:ascii="宋体" w:hAnsi="宋体" w:eastAsia="宋体" w:cs="宋体"/>
          <w:color w:val="auto"/>
          <w:spacing w:val="-57"/>
          <w:highlight w:val="none"/>
        </w:rPr>
        <w:t xml:space="preserve"> </w:t>
      </w:r>
      <w:r>
        <w:rPr>
          <w:rFonts w:hint="eastAsia" w:ascii="宋体" w:hAnsi="宋体" w:eastAsia="宋体" w:cs="宋体"/>
          <w:color w:val="auto"/>
          <w:spacing w:val="5"/>
          <w:highlight w:val="none"/>
        </w:rPr>
        <w:t>级、D</w:t>
      </w:r>
      <w:r>
        <w:rPr>
          <w:rFonts w:hint="eastAsia" w:ascii="宋体" w:hAnsi="宋体" w:eastAsia="宋体" w:cs="宋体"/>
          <w:color w:val="auto"/>
          <w:spacing w:val="-57"/>
          <w:highlight w:val="none"/>
        </w:rPr>
        <w:t xml:space="preserve"> </w:t>
      </w:r>
      <w:r>
        <w:rPr>
          <w:rFonts w:hint="eastAsia" w:ascii="宋体" w:hAnsi="宋体" w:eastAsia="宋体" w:cs="宋体"/>
          <w:color w:val="auto"/>
          <w:spacing w:val="5"/>
          <w:highlight w:val="none"/>
        </w:rPr>
        <w:t>级的企业。</w:t>
      </w:r>
    </w:p>
    <w:p w14:paraId="507C7C48">
      <w:pPr>
        <w:pStyle w:val="8"/>
        <w:spacing w:before="52" w:line="360" w:lineRule="auto"/>
        <w:ind w:left="6" w:right="2" w:firstLine="638"/>
        <w:rPr>
          <w:rFonts w:hint="eastAsia" w:ascii="宋体" w:hAnsi="宋体" w:eastAsia="宋体" w:cs="宋体"/>
          <w:color w:val="auto"/>
          <w:highlight w:val="none"/>
        </w:rPr>
      </w:pPr>
      <w:r>
        <w:rPr>
          <w:rFonts w:hint="eastAsia" w:ascii="宋体" w:hAnsi="宋体" w:eastAsia="宋体" w:cs="宋体"/>
          <w:color w:val="auto"/>
          <w:spacing w:val="9"/>
          <w:highlight w:val="none"/>
        </w:rPr>
        <w:t>本企业对以上承诺和声明负责。如有虚假，愿接受行政主管</w:t>
      </w:r>
      <w:r>
        <w:rPr>
          <w:rFonts w:hint="eastAsia" w:ascii="宋体" w:hAnsi="宋体" w:eastAsia="宋体" w:cs="宋体"/>
          <w:color w:val="auto"/>
          <w:spacing w:val="8"/>
          <w:highlight w:val="none"/>
        </w:rPr>
        <w:t>部门作出的处罚，并承担以下后果：</w:t>
      </w:r>
    </w:p>
    <w:p w14:paraId="06227EEC">
      <w:pPr>
        <w:pStyle w:val="8"/>
        <w:spacing w:before="48" w:line="360" w:lineRule="auto"/>
        <w:ind w:left="656"/>
        <w:rPr>
          <w:rFonts w:hint="eastAsia" w:ascii="宋体" w:hAnsi="宋体" w:eastAsia="宋体" w:cs="宋体"/>
          <w:color w:val="auto"/>
          <w:highlight w:val="none"/>
        </w:rPr>
      </w:pPr>
      <w:r>
        <w:rPr>
          <w:rFonts w:hint="eastAsia" w:ascii="宋体" w:hAnsi="宋体" w:eastAsia="宋体" w:cs="宋体"/>
          <w:color w:val="auto"/>
          <w:spacing w:val="8"/>
          <w:highlight w:val="none"/>
        </w:rPr>
        <w:t>（一）取消本单位在本项目中的投标资格或中标资格；</w:t>
      </w:r>
    </w:p>
    <w:p w14:paraId="3217AACC">
      <w:pPr>
        <w:pStyle w:val="8"/>
        <w:spacing w:before="64" w:line="360" w:lineRule="auto"/>
        <w:ind w:left="656"/>
        <w:rPr>
          <w:rFonts w:hint="eastAsia" w:ascii="宋体" w:hAnsi="宋体" w:eastAsia="宋体" w:cs="宋体"/>
          <w:color w:val="auto"/>
          <w:highlight w:val="none"/>
        </w:rPr>
      </w:pPr>
      <w:r>
        <w:rPr>
          <w:rFonts w:hint="eastAsia" w:ascii="宋体" w:hAnsi="宋体" w:eastAsia="宋体" w:cs="宋体"/>
          <w:color w:val="auto"/>
          <w:spacing w:val="8"/>
          <w:highlight w:val="none"/>
        </w:rPr>
        <w:t>（二）将本单位不良行为纳入信用信息管理系统；</w:t>
      </w:r>
    </w:p>
    <w:p w14:paraId="4FD92377">
      <w:pPr>
        <w:pStyle w:val="8"/>
        <w:spacing w:before="60" w:line="360" w:lineRule="auto"/>
        <w:ind w:left="41" w:right="2" w:firstLine="615"/>
        <w:rPr>
          <w:rFonts w:hint="eastAsia" w:ascii="宋体" w:hAnsi="宋体" w:eastAsia="宋体" w:cs="宋体"/>
          <w:color w:val="auto"/>
          <w:highlight w:val="none"/>
        </w:rPr>
      </w:pPr>
      <w:r>
        <w:rPr>
          <w:rFonts w:hint="eastAsia" w:ascii="宋体" w:hAnsi="宋体" w:eastAsia="宋体" w:cs="宋体"/>
          <w:color w:val="auto"/>
          <w:spacing w:val="9"/>
          <w:highlight w:val="none"/>
        </w:rPr>
        <w:t>（三）主动在产生不良行为所在的各县（市、区）行</w:t>
      </w:r>
      <w:r>
        <w:rPr>
          <w:rFonts w:hint="eastAsia" w:ascii="宋体" w:hAnsi="宋体" w:eastAsia="宋体" w:cs="宋体"/>
          <w:color w:val="auto"/>
          <w:spacing w:val="8"/>
          <w:highlight w:val="none"/>
        </w:rPr>
        <w:t>政区域</w:t>
      </w:r>
      <w:r>
        <w:rPr>
          <w:rFonts w:hint="eastAsia" w:ascii="宋体" w:hAnsi="宋体" w:eastAsia="宋体" w:cs="宋体"/>
          <w:color w:val="auto"/>
          <w:spacing w:val="6"/>
          <w:highlight w:val="none"/>
        </w:rPr>
        <w:t>内不参加房建市政工程项目的投标活动一年；</w:t>
      </w:r>
    </w:p>
    <w:p w14:paraId="2F7D485E">
      <w:pPr>
        <w:pStyle w:val="8"/>
        <w:spacing w:before="60" w:line="360" w:lineRule="auto"/>
        <w:ind w:left="41" w:right="2" w:firstLine="615"/>
        <w:rPr>
          <w:rFonts w:hint="eastAsia" w:ascii="宋体" w:hAnsi="宋体" w:eastAsia="宋体" w:cs="宋体"/>
          <w:color w:val="auto"/>
          <w:spacing w:val="9"/>
          <w:highlight w:val="none"/>
        </w:rPr>
      </w:pPr>
      <w:bookmarkStart w:id="346" w:name="_Toc30964"/>
      <w:r>
        <w:rPr>
          <w:rFonts w:hint="eastAsia" w:ascii="宋体" w:hAnsi="宋体" w:eastAsia="宋体" w:cs="宋体"/>
          <w:color w:val="auto"/>
          <w:spacing w:val="9"/>
          <w:highlight w:val="none"/>
        </w:rPr>
        <w:t>（四）应付的赔偿责任和相应法律责任。</w:t>
      </w:r>
      <w:bookmarkEnd w:id="346"/>
    </w:p>
    <w:p w14:paraId="2719E688">
      <w:pPr>
        <w:spacing w:line="360" w:lineRule="auto"/>
        <w:rPr>
          <w:rFonts w:hint="eastAsia" w:ascii="宋体" w:hAnsi="宋体" w:eastAsia="宋体" w:cs="宋体"/>
          <w:color w:val="auto"/>
          <w:sz w:val="21"/>
          <w:highlight w:val="none"/>
        </w:rPr>
      </w:pPr>
    </w:p>
    <w:p w14:paraId="1679D32F">
      <w:pPr>
        <w:pStyle w:val="8"/>
        <w:spacing w:before="101" w:line="360" w:lineRule="auto"/>
        <w:ind w:left="845"/>
        <w:rPr>
          <w:rFonts w:hint="eastAsia" w:ascii="宋体" w:hAnsi="宋体" w:eastAsia="宋体" w:cs="宋体"/>
          <w:color w:val="auto"/>
          <w:sz w:val="21"/>
          <w:highlight w:val="none"/>
        </w:rPr>
      </w:pPr>
      <w:r>
        <w:rPr>
          <w:rFonts w:hint="eastAsia" w:ascii="宋体" w:hAnsi="宋体" w:eastAsia="宋体" w:cs="宋体"/>
          <w:color w:val="auto"/>
          <w:spacing w:val="7"/>
          <w:highlight w:val="none"/>
        </w:rPr>
        <w:t>单位名称（公章</w:t>
      </w:r>
      <w:r>
        <w:rPr>
          <w:rFonts w:hint="eastAsia" w:ascii="宋体" w:hAnsi="宋体" w:eastAsia="宋体" w:cs="宋体"/>
          <w:color w:val="auto"/>
          <w:spacing w:val="1"/>
          <w:highlight w:val="none"/>
        </w:rPr>
        <w:t>）：</w:t>
      </w:r>
    </w:p>
    <w:p w14:paraId="4C878D69">
      <w:pPr>
        <w:pStyle w:val="8"/>
        <w:spacing w:before="101" w:line="360" w:lineRule="auto"/>
        <w:ind w:left="850"/>
        <w:rPr>
          <w:rFonts w:hint="eastAsia" w:ascii="宋体" w:hAnsi="宋体" w:eastAsia="宋体" w:cs="宋体"/>
          <w:color w:val="auto"/>
          <w:sz w:val="21"/>
          <w:highlight w:val="none"/>
        </w:rPr>
      </w:pPr>
      <w:r>
        <w:rPr>
          <w:rFonts w:hint="eastAsia" w:ascii="宋体" w:hAnsi="宋体" w:eastAsia="宋体" w:cs="宋体"/>
          <w:color w:val="auto"/>
          <w:spacing w:val="6"/>
          <w:highlight w:val="none"/>
        </w:rPr>
        <w:t>统一社会信用代码：</w:t>
      </w:r>
    </w:p>
    <w:p w14:paraId="1AA79C9D">
      <w:pPr>
        <w:pStyle w:val="8"/>
        <w:spacing w:before="101" w:line="360" w:lineRule="auto"/>
        <w:ind w:left="844" w:right="5000"/>
        <w:rPr>
          <w:rFonts w:hint="eastAsia" w:ascii="宋体" w:hAnsi="宋体" w:eastAsia="宋体" w:cs="宋体"/>
          <w:color w:val="auto"/>
          <w:highlight w:val="none"/>
        </w:rPr>
      </w:pPr>
      <w:r>
        <w:rPr>
          <w:rFonts w:hint="eastAsia" w:ascii="宋体" w:hAnsi="宋体" w:eastAsia="宋体" w:cs="宋体"/>
          <w:color w:val="auto"/>
          <w:spacing w:val="8"/>
          <w:highlight w:val="none"/>
        </w:rPr>
        <w:t>法定代表人（签字</w:t>
      </w:r>
      <w:r>
        <w:rPr>
          <w:rFonts w:hint="eastAsia" w:ascii="宋体" w:hAnsi="宋体" w:eastAsia="宋体" w:cs="宋体"/>
          <w:color w:val="auto"/>
          <w:spacing w:val="-29"/>
          <w:highlight w:val="none"/>
        </w:rPr>
        <w:t>）：</w:t>
      </w:r>
      <w:r>
        <w:rPr>
          <w:rFonts w:hint="eastAsia" w:ascii="宋体" w:hAnsi="宋体" w:eastAsia="宋体" w:cs="宋体"/>
          <w:color w:val="auto"/>
          <w:highlight w:val="none"/>
        </w:rPr>
        <w:t xml:space="preserve"> </w:t>
      </w:r>
    </w:p>
    <w:p w14:paraId="2E962505">
      <w:pPr>
        <w:pStyle w:val="8"/>
        <w:spacing w:before="101" w:line="360" w:lineRule="auto"/>
        <w:ind w:left="844" w:right="5000"/>
        <w:rPr>
          <w:rFonts w:hint="eastAsia" w:ascii="宋体" w:hAnsi="宋体" w:eastAsia="宋体" w:cs="宋体"/>
          <w:color w:val="auto"/>
          <w:spacing w:val="-6"/>
          <w:highlight w:val="none"/>
        </w:rPr>
      </w:pPr>
      <w:r>
        <w:rPr>
          <w:rFonts w:hint="eastAsia" w:ascii="宋体" w:hAnsi="宋体" w:eastAsia="宋体" w:cs="宋体"/>
          <w:color w:val="auto"/>
          <w:spacing w:val="-6"/>
          <w:highlight w:val="none"/>
        </w:rPr>
        <w:t>年</w:t>
      </w:r>
      <w:r>
        <w:rPr>
          <w:rFonts w:hint="eastAsia" w:ascii="宋体" w:hAnsi="宋体" w:eastAsia="宋体" w:cs="宋体"/>
          <w:color w:val="auto"/>
          <w:spacing w:val="12"/>
          <w:highlight w:val="none"/>
        </w:rPr>
        <w:t xml:space="preserve">   </w:t>
      </w:r>
      <w:r>
        <w:rPr>
          <w:rFonts w:hint="eastAsia" w:ascii="宋体" w:hAnsi="宋体" w:eastAsia="宋体" w:cs="宋体"/>
          <w:color w:val="auto"/>
          <w:spacing w:val="-6"/>
          <w:highlight w:val="none"/>
        </w:rPr>
        <w:t>月</w:t>
      </w:r>
      <w:r>
        <w:rPr>
          <w:rFonts w:hint="eastAsia" w:ascii="宋体" w:hAnsi="宋体" w:eastAsia="宋体" w:cs="宋体"/>
          <w:color w:val="auto"/>
          <w:spacing w:val="39"/>
          <w:highlight w:val="none"/>
        </w:rPr>
        <w:t xml:space="preserve">  </w:t>
      </w:r>
      <w:r>
        <w:rPr>
          <w:rFonts w:hint="eastAsia" w:ascii="宋体" w:hAnsi="宋体" w:eastAsia="宋体" w:cs="宋体"/>
          <w:color w:val="auto"/>
          <w:spacing w:val="-6"/>
          <w:highlight w:val="none"/>
        </w:rPr>
        <w:t>日</w:t>
      </w:r>
    </w:p>
    <w:p w14:paraId="01374E41">
      <w:pPr>
        <w:rPr>
          <w:rFonts w:hint="eastAsia" w:ascii="宋体" w:hAnsi="宋体" w:eastAsia="宋体" w:cs="宋体"/>
        </w:rPr>
      </w:pPr>
    </w:p>
    <w:p w14:paraId="5088FFF0">
      <w:pPr>
        <w:rPr>
          <w:rFonts w:hint="eastAsia" w:ascii="宋体" w:hAnsi="宋体" w:eastAsia="宋体" w:cs="宋体"/>
        </w:rPr>
      </w:pPr>
    </w:p>
    <w:p w14:paraId="5EB4D332">
      <w:pPr>
        <w:rPr>
          <w:rFonts w:hint="eastAsia" w:ascii="宋体" w:hAnsi="宋体" w:eastAsia="宋体" w:cs="宋体"/>
        </w:rPr>
      </w:pPr>
    </w:p>
    <w:p w14:paraId="6860374C">
      <w:pPr>
        <w:rPr>
          <w:rFonts w:hint="eastAsia" w:ascii="宋体" w:hAnsi="宋体" w:eastAsia="宋体" w:cs="宋体"/>
        </w:rPr>
      </w:pPr>
    </w:p>
    <w:p w14:paraId="59829509">
      <w:pPr>
        <w:rPr>
          <w:rFonts w:hint="eastAsia" w:ascii="宋体" w:hAnsi="宋体" w:eastAsia="宋体" w:cs="宋体"/>
        </w:rPr>
      </w:pPr>
    </w:p>
    <w:p w14:paraId="218BF21A">
      <w:pPr>
        <w:rPr>
          <w:rFonts w:hint="eastAsia" w:ascii="宋体" w:hAnsi="宋体" w:eastAsia="宋体" w:cs="宋体"/>
        </w:rPr>
      </w:pPr>
    </w:p>
    <w:p w14:paraId="59129C04">
      <w:pPr>
        <w:rPr>
          <w:rFonts w:hint="eastAsia" w:ascii="宋体" w:hAnsi="宋体" w:eastAsia="宋体" w:cs="宋体"/>
        </w:rPr>
      </w:pPr>
    </w:p>
    <w:p w14:paraId="565B7FB3">
      <w:pPr>
        <w:rPr>
          <w:rFonts w:hint="eastAsia" w:ascii="宋体" w:hAnsi="宋体" w:eastAsia="宋体" w:cs="宋体"/>
        </w:rPr>
      </w:pPr>
    </w:p>
    <w:p w14:paraId="236DD346">
      <w:pPr>
        <w:rPr>
          <w:rFonts w:hint="eastAsia" w:ascii="宋体" w:hAnsi="宋体" w:eastAsia="宋体" w:cs="宋体"/>
        </w:rPr>
      </w:pPr>
    </w:p>
    <w:p w14:paraId="1AF2FE0F">
      <w:pPr>
        <w:rPr>
          <w:rFonts w:hint="eastAsia" w:ascii="宋体" w:hAnsi="宋体" w:eastAsia="宋体" w:cs="宋体"/>
        </w:rPr>
      </w:pPr>
    </w:p>
    <w:p w14:paraId="3581ADBE">
      <w:pPr>
        <w:rPr>
          <w:rFonts w:hint="eastAsia" w:ascii="宋体" w:hAnsi="宋体" w:eastAsia="宋体" w:cs="宋体"/>
        </w:rPr>
      </w:pPr>
    </w:p>
    <w:p w14:paraId="60CFB303">
      <w:pPr>
        <w:rPr>
          <w:rFonts w:hint="eastAsia" w:ascii="宋体" w:hAnsi="宋体" w:eastAsia="宋体" w:cs="宋体"/>
        </w:rPr>
      </w:pPr>
    </w:p>
    <w:p w14:paraId="1E8F4E39">
      <w:pPr>
        <w:rPr>
          <w:rFonts w:hint="eastAsia" w:ascii="宋体" w:hAnsi="宋体" w:eastAsia="宋体" w:cs="宋体"/>
        </w:rPr>
      </w:pPr>
    </w:p>
    <w:p w14:paraId="64428F04">
      <w:pPr>
        <w:rPr>
          <w:rFonts w:hint="eastAsia" w:ascii="宋体" w:hAnsi="宋体" w:eastAsia="宋体" w:cs="宋体"/>
        </w:rPr>
      </w:pPr>
    </w:p>
    <w:p w14:paraId="4DF9EF1E">
      <w:pPr>
        <w:rPr>
          <w:rFonts w:hint="eastAsia" w:ascii="宋体" w:hAnsi="宋体" w:eastAsia="宋体" w:cs="宋体"/>
        </w:rPr>
      </w:pPr>
    </w:p>
    <w:p w14:paraId="1AE19DCB">
      <w:pPr>
        <w:rPr>
          <w:rFonts w:hint="eastAsia" w:ascii="宋体" w:hAnsi="宋体" w:eastAsia="宋体" w:cs="宋体"/>
        </w:rPr>
      </w:pPr>
    </w:p>
    <w:p w14:paraId="654C7359">
      <w:pPr>
        <w:rPr>
          <w:rFonts w:hint="eastAsia" w:ascii="宋体" w:hAnsi="宋体" w:eastAsia="宋体" w:cs="宋体"/>
        </w:rPr>
      </w:pPr>
    </w:p>
    <w:p w14:paraId="292F7B78">
      <w:pPr>
        <w:spacing w:before="151" w:line="360" w:lineRule="auto"/>
        <w:ind w:left="476"/>
        <w:outlineLvl w:val="2"/>
        <w:rPr>
          <w:rFonts w:hint="eastAsia" w:ascii="宋体" w:hAnsi="宋体" w:eastAsia="宋体" w:cs="宋体"/>
          <w:b/>
          <w:bCs/>
          <w:color w:val="auto"/>
          <w:spacing w:val="-11"/>
          <w:sz w:val="24"/>
          <w:szCs w:val="24"/>
          <w:highlight w:val="none"/>
          <w:lang w:val="en-US" w:eastAsia="zh-CN"/>
        </w:rPr>
      </w:pPr>
      <w:bookmarkStart w:id="347" w:name="_Toc4336"/>
      <w:bookmarkStart w:id="348" w:name="_Toc4144"/>
      <w:r>
        <w:rPr>
          <w:rFonts w:hint="eastAsia" w:ascii="宋体" w:hAnsi="宋体" w:eastAsia="宋体" w:cs="宋体"/>
          <w:b/>
          <w:bCs/>
          <w:color w:val="auto"/>
          <w:spacing w:val="-11"/>
          <w:sz w:val="24"/>
          <w:szCs w:val="24"/>
          <w:highlight w:val="none"/>
          <w:lang w:val="en-US" w:eastAsia="zh-CN"/>
        </w:rPr>
        <w:t>格式十四   原件一览表</w:t>
      </w:r>
      <w:bookmarkEnd w:id="339"/>
      <w:bookmarkEnd w:id="347"/>
      <w:bookmarkEnd w:id="348"/>
    </w:p>
    <w:tbl>
      <w:tblPr>
        <w:tblStyle w:val="24"/>
        <w:tblpPr w:leftFromText="180" w:rightFromText="180" w:vertAnchor="text" w:horzAnchor="page" w:tblpX="1285"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1080"/>
        <w:gridCol w:w="1598"/>
        <w:gridCol w:w="247"/>
        <w:gridCol w:w="1655"/>
        <w:gridCol w:w="1625"/>
        <w:gridCol w:w="754"/>
        <w:gridCol w:w="958"/>
        <w:gridCol w:w="1698"/>
      </w:tblGrid>
      <w:tr w14:paraId="20BF2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463" w:hRule="atLeast"/>
        </w:trPr>
        <w:tc>
          <w:tcPr>
            <w:tcW w:w="9615" w:type="dxa"/>
            <w:gridSpan w:val="8"/>
            <w:shd w:val="clear" w:color="000000" w:fill="FFFFFF"/>
            <w:noWrap w:val="0"/>
            <w:tcMar>
              <w:left w:w="108" w:type="dxa"/>
              <w:right w:w="108" w:type="dxa"/>
            </w:tcMar>
            <w:vAlign w:val="center"/>
          </w:tcPr>
          <w:p w14:paraId="1F5E68B5">
            <w:pPr>
              <w:spacing w:line="360" w:lineRule="auto"/>
              <w:jc w:val="center"/>
              <w:rPr>
                <w:rFonts w:hint="eastAsia" w:ascii="宋体" w:hAnsi="宋体" w:eastAsia="宋体" w:cs="宋体"/>
                <w:color w:val="auto"/>
                <w:highlight w:val="none"/>
              </w:rPr>
            </w:pPr>
            <w:r>
              <w:rPr>
                <w:rFonts w:hint="eastAsia" w:ascii="宋体" w:hAnsi="宋体" w:eastAsia="宋体" w:cs="宋体"/>
                <w:b/>
                <w:color w:val="auto"/>
                <w:highlight w:val="none"/>
              </w:rPr>
              <w:t>原件一览表</w:t>
            </w:r>
          </w:p>
        </w:tc>
      </w:tr>
      <w:tr w14:paraId="16AE9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678" w:type="dxa"/>
            <w:gridSpan w:val="2"/>
            <w:shd w:val="clear" w:color="000000" w:fill="FFFFFF"/>
            <w:noWrap w:val="0"/>
            <w:tcMar>
              <w:left w:w="108" w:type="dxa"/>
              <w:right w:w="108" w:type="dxa"/>
            </w:tcMar>
            <w:vAlign w:val="center"/>
          </w:tcPr>
          <w:p w14:paraId="18F342B7">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工程名称</w:t>
            </w:r>
          </w:p>
        </w:tc>
        <w:tc>
          <w:tcPr>
            <w:tcW w:w="6937" w:type="dxa"/>
            <w:gridSpan w:val="6"/>
            <w:shd w:val="clear" w:color="000000" w:fill="FFFFFF"/>
            <w:noWrap w:val="0"/>
            <w:tcMar>
              <w:left w:w="108" w:type="dxa"/>
              <w:right w:w="108" w:type="dxa"/>
            </w:tcMar>
            <w:vAlign w:val="center"/>
          </w:tcPr>
          <w:p w14:paraId="22905ACF">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w:t>
            </w:r>
          </w:p>
        </w:tc>
      </w:tr>
      <w:tr w14:paraId="2C437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678" w:type="dxa"/>
            <w:gridSpan w:val="2"/>
            <w:shd w:val="clear" w:color="000000" w:fill="FFFFFF"/>
            <w:noWrap w:val="0"/>
            <w:tcMar>
              <w:left w:w="108" w:type="dxa"/>
              <w:right w:w="108" w:type="dxa"/>
            </w:tcMar>
            <w:vAlign w:val="center"/>
          </w:tcPr>
          <w:p w14:paraId="20050ADD">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                (请务必填写单位全称)</w:t>
            </w:r>
          </w:p>
        </w:tc>
        <w:tc>
          <w:tcPr>
            <w:tcW w:w="6937" w:type="dxa"/>
            <w:gridSpan w:val="6"/>
            <w:shd w:val="clear" w:color="000000" w:fill="FFFFFF"/>
            <w:noWrap w:val="0"/>
            <w:tcMar>
              <w:left w:w="108" w:type="dxa"/>
              <w:right w:w="108" w:type="dxa"/>
            </w:tcMar>
            <w:vAlign w:val="center"/>
          </w:tcPr>
          <w:p w14:paraId="110EB8D7">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2AFDD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2678" w:type="dxa"/>
            <w:gridSpan w:val="2"/>
            <w:shd w:val="clear" w:color="000000" w:fill="FFFFFF"/>
            <w:noWrap w:val="0"/>
            <w:tcMar>
              <w:left w:w="108" w:type="dxa"/>
              <w:right w:w="108" w:type="dxa"/>
            </w:tcMar>
            <w:vAlign w:val="center"/>
          </w:tcPr>
          <w:p w14:paraId="4E7684AD">
            <w:pPr>
              <w:spacing w:line="36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投标人法定代表人或其</w:t>
            </w:r>
          </w:p>
          <w:p w14:paraId="3825BA07">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委托代理人签名</w:t>
            </w:r>
          </w:p>
        </w:tc>
        <w:tc>
          <w:tcPr>
            <w:tcW w:w="3527" w:type="dxa"/>
            <w:gridSpan w:val="3"/>
            <w:shd w:val="clear" w:color="000000" w:fill="FFFFFF"/>
            <w:noWrap w:val="0"/>
            <w:tcMar>
              <w:left w:w="108" w:type="dxa"/>
              <w:right w:w="108" w:type="dxa"/>
            </w:tcMar>
            <w:vAlign w:val="center"/>
          </w:tcPr>
          <w:p w14:paraId="0B9FFC52">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c>
          <w:tcPr>
            <w:tcW w:w="754" w:type="dxa"/>
            <w:shd w:val="clear" w:color="000000" w:fill="FFFFFF"/>
            <w:noWrap w:val="0"/>
            <w:tcMar>
              <w:left w:w="108" w:type="dxa"/>
              <w:right w:w="108" w:type="dxa"/>
            </w:tcMar>
            <w:vAlign w:val="center"/>
          </w:tcPr>
          <w:p w14:paraId="09C1EA23">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手机号码</w:t>
            </w:r>
          </w:p>
        </w:tc>
        <w:tc>
          <w:tcPr>
            <w:tcW w:w="2656" w:type="dxa"/>
            <w:gridSpan w:val="2"/>
            <w:shd w:val="clear" w:color="000000" w:fill="FFFFFF"/>
            <w:noWrap w:val="0"/>
            <w:tcMar>
              <w:left w:w="108" w:type="dxa"/>
              <w:right w:w="108" w:type="dxa"/>
            </w:tcMar>
            <w:vAlign w:val="center"/>
          </w:tcPr>
          <w:p w14:paraId="2492265B">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37317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9615" w:type="dxa"/>
            <w:gridSpan w:val="8"/>
            <w:shd w:val="clear" w:color="000000" w:fill="FFFFFF"/>
            <w:noWrap w:val="0"/>
            <w:tcMar>
              <w:left w:w="108" w:type="dxa"/>
              <w:right w:w="108" w:type="dxa"/>
            </w:tcMar>
            <w:vAlign w:val="center"/>
          </w:tcPr>
          <w:p w14:paraId="1C803DF6">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递交的证明材料原件如下：</w:t>
            </w:r>
          </w:p>
        </w:tc>
      </w:tr>
      <w:tr w14:paraId="1F2F7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auto" w:fill="FFFFFF"/>
            <w:noWrap w:val="0"/>
            <w:tcMar>
              <w:left w:w="108" w:type="dxa"/>
              <w:right w:w="108" w:type="dxa"/>
            </w:tcMar>
            <w:vAlign w:val="center"/>
          </w:tcPr>
          <w:p w14:paraId="179FC51E">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5125" w:type="dxa"/>
            <w:gridSpan w:val="4"/>
            <w:shd w:val="clear" w:color="auto" w:fill="FFFFFF"/>
            <w:noWrap w:val="0"/>
            <w:tcMar>
              <w:left w:w="108" w:type="dxa"/>
              <w:right w:w="108" w:type="dxa"/>
            </w:tcMar>
            <w:vAlign w:val="center"/>
          </w:tcPr>
          <w:p w14:paraId="55F90331">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证明材料原件名称</w:t>
            </w:r>
          </w:p>
        </w:tc>
        <w:tc>
          <w:tcPr>
            <w:tcW w:w="1712" w:type="dxa"/>
            <w:gridSpan w:val="2"/>
            <w:shd w:val="clear" w:color="auto" w:fill="FFFFFF"/>
            <w:noWrap w:val="0"/>
            <w:tcMar>
              <w:left w:w="108" w:type="dxa"/>
              <w:right w:w="108" w:type="dxa"/>
            </w:tcMar>
            <w:vAlign w:val="center"/>
          </w:tcPr>
          <w:p w14:paraId="419D8088">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单位</w:t>
            </w:r>
          </w:p>
        </w:tc>
        <w:tc>
          <w:tcPr>
            <w:tcW w:w="1698" w:type="dxa"/>
            <w:shd w:val="clear" w:color="auto" w:fill="FFFFFF"/>
            <w:noWrap w:val="0"/>
            <w:tcMar>
              <w:left w:w="108" w:type="dxa"/>
              <w:right w:w="108" w:type="dxa"/>
            </w:tcMar>
            <w:vAlign w:val="center"/>
          </w:tcPr>
          <w:p w14:paraId="6F0681CF">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数量</w:t>
            </w:r>
          </w:p>
        </w:tc>
      </w:tr>
      <w:tr w14:paraId="7276D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2318BD31">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5125" w:type="dxa"/>
            <w:gridSpan w:val="4"/>
            <w:shd w:val="clear" w:color="000000" w:fill="FFFFFF"/>
            <w:noWrap w:val="0"/>
            <w:tcMar>
              <w:left w:w="108" w:type="dxa"/>
              <w:right w:w="108" w:type="dxa"/>
            </w:tcMar>
            <w:vAlign w:val="center"/>
          </w:tcPr>
          <w:p w14:paraId="3A1D0CDF">
            <w:pPr>
              <w:spacing w:line="360" w:lineRule="auto"/>
              <w:jc w:val="center"/>
              <w:rPr>
                <w:rFonts w:hint="eastAsia" w:ascii="宋体" w:hAnsi="宋体" w:eastAsia="宋体" w:cs="宋体"/>
                <w:color w:val="auto"/>
                <w:sz w:val="21"/>
                <w:szCs w:val="21"/>
                <w:highlight w:val="none"/>
              </w:rPr>
            </w:pPr>
          </w:p>
        </w:tc>
        <w:tc>
          <w:tcPr>
            <w:tcW w:w="1712" w:type="dxa"/>
            <w:gridSpan w:val="2"/>
            <w:shd w:val="clear" w:color="000000" w:fill="FFFFFF"/>
            <w:noWrap w:val="0"/>
            <w:tcMar>
              <w:left w:w="108" w:type="dxa"/>
              <w:right w:w="108" w:type="dxa"/>
            </w:tcMar>
            <w:vAlign w:val="center"/>
          </w:tcPr>
          <w:p w14:paraId="7D63B079">
            <w:pPr>
              <w:spacing w:line="360" w:lineRule="auto"/>
              <w:jc w:val="center"/>
              <w:rPr>
                <w:rFonts w:hint="eastAsia" w:ascii="宋体" w:hAnsi="宋体" w:eastAsia="宋体" w:cs="宋体"/>
                <w:color w:val="auto"/>
                <w:sz w:val="21"/>
                <w:szCs w:val="21"/>
                <w:highlight w:val="none"/>
              </w:rPr>
            </w:pPr>
          </w:p>
        </w:tc>
        <w:tc>
          <w:tcPr>
            <w:tcW w:w="1698" w:type="dxa"/>
            <w:shd w:val="clear" w:color="000000" w:fill="FFFFFF"/>
            <w:noWrap w:val="0"/>
            <w:tcMar>
              <w:left w:w="108" w:type="dxa"/>
              <w:right w:w="108" w:type="dxa"/>
            </w:tcMar>
            <w:vAlign w:val="center"/>
          </w:tcPr>
          <w:p w14:paraId="2C5FBD43">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6E0C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0C62BB9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5125" w:type="dxa"/>
            <w:gridSpan w:val="4"/>
            <w:shd w:val="clear" w:color="000000" w:fill="FFFFFF"/>
            <w:noWrap w:val="0"/>
            <w:tcMar>
              <w:left w:w="108" w:type="dxa"/>
              <w:right w:w="108" w:type="dxa"/>
            </w:tcMar>
            <w:vAlign w:val="center"/>
          </w:tcPr>
          <w:p w14:paraId="40C55F34">
            <w:pPr>
              <w:spacing w:line="360" w:lineRule="auto"/>
              <w:jc w:val="center"/>
              <w:rPr>
                <w:rFonts w:hint="eastAsia" w:ascii="宋体" w:hAnsi="宋体" w:eastAsia="宋体" w:cs="宋体"/>
                <w:color w:val="auto"/>
                <w:sz w:val="21"/>
                <w:szCs w:val="21"/>
                <w:highlight w:val="none"/>
              </w:rPr>
            </w:pPr>
          </w:p>
        </w:tc>
        <w:tc>
          <w:tcPr>
            <w:tcW w:w="1712" w:type="dxa"/>
            <w:gridSpan w:val="2"/>
            <w:shd w:val="clear" w:color="000000" w:fill="FFFFFF"/>
            <w:noWrap w:val="0"/>
            <w:tcMar>
              <w:left w:w="108" w:type="dxa"/>
              <w:right w:w="108" w:type="dxa"/>
            </w:tcMar>
            <w:vAlign w:val="center"/>
          </w:tcPr>
          <w:p w14:paraId="467917E8">
            <w:pPr>
              <w:spacing w:line="360" w:lineRule="auto"/>
              <w:jc w:val="center"/>
              <w:rPr>
                <w:rFonts w:hint="eastAsia" w:ascii="宋体" w:hAnsi="宋体" w:eastAsia="宋体" w:cs="宋体"/>
                <w:color w:val="auto"/>
                <w:sz w:val="21"/>
                <w:szCs w:val="21"/>
                <w:highlight w:val="none"/>
              </w:rPr>
            </w:pPr>
          </w:p>
        </w:tc>
        <w:tc>
          <w:tcPr>
            <w:tcW w:w="1698" w:type="dxa"/>
            <w:shd w:val="clear" w:color="000000" w:fill="FFFFFF"/>
            <w:noWrap w:val="0"/>
            <w:tcMar>
              <w:left w:w="108" w:type="dxa"/>
              <w:right w:w="108" w:type="dxa"/>
            </w:tcMar>
            <w:vAlign w:val="center"/>
          </w:tcPr>
          <w:p w14:paraId="2B854666">
            <w:pPr>
              <w:spacing w:line="360" w:lineRule="auto"/>
              <w:jc w:val="center"/>
              <w:rPr>
                <w:rFonts w:hint="eastAsia" w:ascii="宋体" w:hAnsi="宋体" w:eastAsia="宋体" w:cs="宋体"/>
                <w:color w:val="auto"/>
                <w:sz w:val="21"/>
                <w:szCs w:val="21"/>
                <w:highlight w:val="none"/>
              </w:rPr>
            </w:pPr>
          </w:p>
        </w:tc>
      </w:tr>
      <w:tr w14:paraId="22F0C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22C7621D">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5125" w:type="dxa"/>
            <w:gridSpan w:val="4"/>
            <w:shd w:val="clear" w:color="000000" w:fill="FFFFFF"/>
            <w:noWrap w:val="0"/>
            <w:tcMar>
              <w:left w:w="108" w:type="dxa"/>
              <w:right w:w="108" w:type="dxa"/>
            </w:tcMar>
            <w:vAlign w:val="center"/>
          </w:tcPr>
          <w:p w14:paraId="1870EB1E">
            <w:pPr>
              <w:spacing w:line="360" w:lineRule="auto"/>
              <w:jc w:val="center"/>
              <w:rPr>
                <w:rFonts w:hint="eastAsia" w:ascii="宋体" w:hAnsi="宋体" w:eastAsia="宋体" w:cs="宋体"/>
                <w:color w:val="auto"/>
                <w:sz w:val="21"/>
                <w:szCs w:val="21"/>
                <w:highlight w:val="none"/>
              </w:rPr>
            </w:pPr>
          </w:p>
        </w:tc>
        <w:tc>
          <w:tcPr>
            <w:tcW w:w="1712" w:type="dxa"/>
            <w:gridSpan w:val="2"/>
            <w:shd w:val="clear" w:color="000000" w:fill="FFFFFF"/>
            <w:noWrap w:val="0"/>
            <w:tcMar>
              <w:left w:w="108" w:type="dxa"/>
              <w:right w:w="108" w:type="dxa"/>
            </w:tcMar>
            <w:vAlign w:val="center"/>
          </w:tcPr>
          <w:p w14:paraId="0CF1B759">
            <w:pPr>
              <w:spacing w:line="360" w:lineRule="auto"/>
              <w:jc w:val="center"/>
              <w:rPr>
                <w:rFonts w:hint="eastAsia" w:ascii="宋体" w:hAnsi="宋体" w:eastAsia="宋体" w:cs="宋体"/>
                <w:color w:val="auto"/>
                <w:sz w:val="21"/>
                <w:szCs w:val="21"/>
                <w:highlight w:val="none"/>
              </w:rPr>
            </w:pPr>
          </w:p>
        </w:tc>
        <w:tc>
          <w:tcPr>
            <w:tcW w:w="1698" w:type="dxa"/>
            <w:shd w:val="clear" w:color="000000" w:fill="FFFFFF"/>
            <w:noWrap w:val="0"/>
            <w:tcMar>
              <w:left w:w="108" w:type="dxa"/>
              <w:right w:w="108" w:type="dxa"/>
            </w:tcMar>
            <w:vAlign w:val="center"/>
          </w:tcPr>
          <w:p w14:paraId="3469BE28">
            <w:pPr>
              <w:spacing w:line="360" w:lineRule="auto"/>
              <w:jc w:val="center"/>
              <w:rPr>
                <w:rFonts w:hint="eastAsia" w:ascii="宋体" w:hAnsi="宋体" w:eastAsia="宋体" w:cs="宋体"/>
                <w:color w:val="auto"/>
                <w:sz w:val="21"/>
                <w:szCs w:val="21"/>
                <w:highlight w:val="none"/>
              </w:rPr>
            </w:pPr>
          </w:p>
        </w:tc>
      </w:tr>
      <w:tr w14:paraId="664D0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37" w:hRule="atLeast"/>
        </w:trPr>
        <w:tc>
          <w:tcPr>
            <w:tcW w:w="1080" w:type="dxa"/>
            <w:shd w:val="clear" w:color="000000" w:fill="FFFFFF"/>
            <w:noWrap w:val="0"/>
            <w:tcMar>
              <w:left w:w="108" w:type="dxa"/>
              <w:right w:w="108" w:type="dxa"/>
            </w:tcMar>
            <w:vAlign w:val="center"/>
          </w:tcPr>
          <w:p w14:paraId="2C5423B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5125" w:type="dxa"/>
            <w:gridSpan w:val="4"/>
            <w:shd w:val="clear" w:color="000000" w:fill="FFFFFF"/>
            <w:noWrap w:val="0"/>
            <w:tcMar>
              <w:left w:w="108" w:type="dxa"/>
              <w:right w:w="108" w:type="dxa"/>
            </w:tcMar>
            <w:vAlign w:val="center"/>
          </w:tcPr>
          <w:p w14:paraId="5F8B82ED">
            <w:pPr>
              <w:spacing w:line="360" w:lineRule="auto"/>
              <w:jc w:val="center"/>
              <w:rPr>
                <w:rFonts w:hint="eastAsia" w:ascii="宋体" w:hAnsi="宋体" w:eastAsia="宋体" w:cs="宋体"/>
                <w:color w:val="auto"/>
                <w:sz w:val="21"/>
                <w:szCs w:val="21"/>
                <w:highlight w:val="none"/>
              </w:rPr>
            </w:pPr>
          </w:p>
        </w:tc>
        <w:tc>
          <w:tcPr>
            <w:tcW w:w="1712" w:type="dxa"/>
            <w:gridSpan w:val="2"/>
            <w:shd w:val="clear" w:color="000000" w:fill="FFFFFF"/>
            <w:noWrap w:val="0"/>
            <w:tcMar>
              <w:left w:w="108" w:type="dxa"/>
              <w:right w:w="108" w:type="dxa"/>
            </w:tcMar>
            <w:vAlign w:val="center"/>
          </w:tcPr>
          <w:p w14:paraId="4B7E6AEF">
            <w:pPr>
              <w:spacing w:line="360" w:lineRule="auto"/>
              <w:jc w:val="center"/>
              <w:rPr>
                <w:rFonts w:hint="eastAsia" w:ascii="宋体" w:hAnsi="宋体" w:eastAsia="宋体" w:cs="宋体"/>
                <w:color w:val="auto"/>
                <w:sz w:val="21"/>
                <w:szCs w:val="21"/>
                <w:highlight w:val="none"/>
              </w:rPr>
            </w:pPr>
          </w:p>
        </w:tc>
        <w:tc>
          <w:tcPr>
            <w:tcW w:w="1698" w:type="dxa"/>
            <w:shd w:val="clear" w:color="000000" w:fill="FFFFFF"/>
            <w:noWrap w:val="0"/>
            <w:tcMar>
              <w:left w:w="108" w:type="dxa"/>
              <w:right w:w="108" w:type="dxa"/>
            </w:tcMar>
            <w:vAlign w:val="center"/>
          </w:tcPr>
          <w:p w14:paraId="2DC14E33">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w:t>
            </w:r>
          </w:p>
        </w:tc>
      </w:tr>
      <w:tr w14:paraId="1262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778" w:hRule="atLeast"/>
        </w:trPr>
        <w:tc>
          <w:tcPr>
            <w:tcW w:w="1080" w:type="dxa"/>
            <w:shd w:val="clear" w:color="auto" w:fill="FFFFFF"/>
            <w:noWrap w:val="0"/>
            <w:tcMar>
              <w:left w:w="108" w:type="dxa"/>
              <w:right w:w="108" w:type="dxa"/>
            </w:tcMar>
            <w:vAlign w:val="center"/>
          </w:tcPr>
          <w:p w14:paraId="222C4310">
            <w:pPr>
              <w:spacing w:line="360" w:lineRule="auto"/>
              <w:ind w:left="8" w:hanging="9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注意：</w:t>
            </w:r>
          </w:p>
        </w:tc>
        <w:tc>
          <w:tcPr>
            <w:tcW w:w="8535" w:type="dxa"/>
            <w:gridSpan w:val="7"/>
            <w:shd w:val="clear" w:color="auto" w:fill="FFFFFF"/>
            <w:noWrap w:val="0"/>
            <w:tcMar>
              <w:left w:w="108" w:type="dxa"/>
              <w:right w:w="108" w:type="dxa"/>
            </w:tcMar>
            <w:vAlign w:val="center"/>
          </w:tcPr>
          <w:p w14:paraId="6FEC3244">
            <w:pPr>
              <w:spacing w:line="360" w:lineRule="auto"/>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1FCC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653" w:hRule="atLeast"/>
        </w:trPr>
        <w:tc>
          <w:tcPr>
            <w:tcW w:w="2925" w:type="dxa"/>
            <w:gridSpan w:val="3"/>
            <w:shd w:val="clear" w:color="000000" w:fill="FFFFFF"/>
            <w:noWrap w:val="0"/>
            <w:tcMar>
              <w:left w:w="108" w:type="dxa"/>
              <w:right w:w="108" w:type="dxa"/>
            </w:tcMar>
            <w:vAlign w:val="center"/>
          </w:tcPr>
          <w:p w14:paraId="03326EDC">
            <w:pPr>
              <w:spacing w:line="360" w:lineRule="auto"/>
              <w:jc w:val="center"/>
              <w:rPr>
                <w:rFonts w:hint="eastAsia" w:ascii="宋体" w:hAnsi="宋体" w:eastAsia="宋体" w:cs="宋体"/>
                <w:color w:val="auto"/>
                <w:sz w:val="21"/>
                <w:szCs w:val="21"/>
                <w:highlight w:val="none"/>
              </w:rPr>
            </w:pPr>
          </w:p>
          <w:p w14:paraId="5D7850E3">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接收原件经办人(招标代理)：</w:t>
            </w:r>
          </w:p>
        </w:tc>
        <w:tc>
          <w:tcPr>
            <w:tcW w:w="1655" w:type="dxa"/>
            <w:shd w:val="clear" w:color="000000" w:fill="FFFFFF"/>
            <w:noWrap w:val="0"/>
            <w:tcMar>
              <w:left w:w="108" w:type="dxa"/>
              <w:right w:w="108" w:type="dxa"/>
            </w:tcMar>
            <w:vAlign w:val="center"/>
          </w:tcPr>
          <w:p w14:paraId="04093F2E">
            <w:pPr>
              <w:spacing w:line="360" w:lineRule="auto"/>
              <w:jc w:val="center"/>
              <w:rPr>
                <w:rFonts w:hint="eastAsia" w:ascii="宋体" w:hAnsi="宋体" w:eastAsia="宋体" w:cs="宋体"/>
                <w:color w:val="auto"/>
                <w:sz w:val="21"/>
                <w:szCs w:val="21"/>
                <w:highlight w:val="none"/>
              </w:rPr>
            </w:pPr>
          </w:p>
        </w:tc>
        <w:tc>
          <w:tcPr>
            <w:tcW w:w="1625" w:type="dxa"/>
            <w:shd w:val="clear" w:color="000000" w:fill="FFFFFF"/>
            <w:noWrap w:val="0"/>
            <w:tcMar>
              <w:left w:w="108" w:type="dxa"/>
              <w:right w:w="108" w:type="dxa"/>
            </w:tcMar>
            <w:vAlign w:val="center"/>
          </w:tcPr>
          <w:p w14:paraId="6D09C81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接收时间：</w:t>
            </w:r>
          </w:p>
        </w:tc>
        <w:tc>
          <w:tcPr>
            <w:tcW w:w="3410" w:type="dxa"/>
            <w:gridSpan w:val="3"/>
            <w:shd w:val="clear" w:color="000000" w:fill="FFFFFF"/>
            <w:noWrap w:val="0"/>
            <w:tcMar>
              <w:left w:w="108" w:type="dxa"/>
              <w:right w:w="108" w:type="dxa"/>
            </w:tcMar>
            <w:vAlign w:val="center"/>
          </w:tcPr>
          <w:p w14:paraId="328608F6">
            <w:pPr>
              <w:spacing w:line="360" w:lineRule="auto"/>
              <w:ind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   时  分</w:t>
            </w:r>
          </w:p>
        </w:tc>
      </w:tr>
      <w:tr w14:paraId="42FF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990" w:hRule="atLeast"/>
        </w:trPr>
        <w:tc>
          <w:tcPr>
            <w:tcW w:w="2925" w:type="dxa"/>
            <w:gridSpan w:val="3"/>
            <w:shd w:val="clear" w:color="000000" w:fill="FFFFFF"/>
            <w:noWrap w:val="0"/>
            <w:tcMar>
              <w:left w:w="108" w:type="dxa"/>
              <w:right w:w="108" w:type="dxa"/>
            </w:tcMar>
            <w:vAlign w:val="center"/>
          </w:tcPr>
          <w:p w14:paraId="33E1DEA2">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退还原件接收人(投标人)：</w:t>
            </w:r>
          </w:p>
        </w:tc>
        <w:tc>
          <w:tcPr>
            <w:tcW w:w="1655" w:type="dxa"/>
            <w:shd w:val="clear" w:color="000000" w:fill="FFFFFF"/>
            <w:noWrap w:val="0"/>
            <w:tcMar>
              <w:left w:w="108" w:type="dxa"/>
              <w:right w:w="108" w:type="dxa"/>
            </w:tcMar>
            <w:vAlign w:val="center"/>
          </w:tcPr>
          <w:p w14:paraId="55B339A2">
            <w:pPr>
              <w:spacing w:line="360" w:lineRule="auto"/>
              <w:jc w:val="center"/>
              <w:rPr>
                <w:rFonts w:hint="eastAsia" w:ascii="宋体" w:hAnsi="宋体" w:eastAsia="宋体" w:cs="宋体"/>
                <w:color w:val="auto"/>
                <w:sz w:val="21"/>
                <w:szCs w:val="21"/>
                <w:highlight w:val="none"/>
              </w:rPr>
            </w:pPr>
          </w:p>
        </w:tc>
        <w:tc>
          <w:tcPr>
            <w:tcW w:w="1625" w:type="dxa"/>
            <w:shd w:val="clear" w:color="000000" w:fill="FFFFFF"/>
            <w:noWrap w:val="0"/>
            <w:tcMar>
              <w:left w:w="108" w:type="dxa"/>
              <w:right w:w="108" w:type="dxa"/>
            </w:tcMar>
            <w:vAlign w:val="center"/>
          </w:tcPr>
          <w:p w14:paraId="3A803726">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退还时间：</w:t>
            </w:r>
          </w:p>
        </w:tc>
        <w:tc>
          <w:tcPr>
            <w:tcW w:w="3410" w:type="dxa"/>
            <w:gridSpan w:val="3"/>
            <w:shd w:val="clear" w:color="000000" w:fill="FFFFFF"/>
            <w:noWrap w:val="0"/>
            <w:tcMar>
              <w:left w:w="108" w:type="dxa"/>
              <w:right w:w="108" w:type="dxa"/>
            </w:tcMar>
            <w:vAlign w:val="center"/>
          </w:tcPr>
          <w:p w14:paraId="4FBE05ED">
            <w:pPr>
              <w:spacing w:line="360" w:lineRule="auto"/>
              <w:ind w:firstLine="630" w:firstLineChars="3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   月   日   时   分</w:t>
            </w:r>
          </w:p>
        </w:tc>
      </w:tr>
    </w:tbl>
    <w:p w14:paraId="22DF0E64">
      <w:pPr>
        <w:spacing w:line="360" w:lineRule="auto"/>
        <w:contextualSpacing/>
        <w:jc w:val="left"/>
        <w:rPr>
          <w:rFonts w:hint="eastAsia" w:ascii="宋体" w:hAnsi="宋体" w:eastAsia="宋体" w:cs="宋体"/>
          <w:color w:val="auto"/>
          <w:highlight w:val="none"/>
        </w:rPr>
      </w:pPr>
    </w:p>
    <w:p w14:paraId="4512EC5E">
      <w:pPr>
        <w:rPr>
          <w:rFonts w:hint="eastAsia" w:ascii="宋体" w:hAnsi="宋体" w:eastAsia="宋体" w:cs="宋体"/>
        </w:rPr>
      </w:pPr>
    </w:p>
    <w:p w14:paraId="7590B877">
      <w:pPr>
        <w:rPr>
          <w:rFonts w:hint="eastAsia" w:ascii="宋体" w:hAnsi="宋体" w:eastAsia="宋体" w:cs="宋体"/>
        </w:rPr>
      </w:pPr>
    </w:p>
    <w:p w14:paraId="7A69F993">
      <w:pPr>
        <w:rPr>
          <w:rFonts w:hint="eastAsia" w:ascii="宋体" w:hAnsi="宋体" w:eastAsia="宋体" w:cs="宋体"/>
        </w:rPr>
      </w:pPr>
    </w:p>
    <w:p w14:paraId="7EE4E867">
      <w:pPr>
        <w:rPr>
          <w:rFonts w:hint="eastAsia" w:ascii="宋体" w:hAnsi="宋体" w:eastAsia="宋体" w:cs="宋体"/>
        </w:rPr>
      </w:pPr>
    </w:p>
    <w:p w14:paraId="07574570">
      <w:pPr>
        <w:rPr>
          <w:rFonts w:hint="eastAsia" w:ascii="宋体" w:hAnsi="宋体" w:eastAsia="宋体" w:cs="宋体"/>
        </w:rPr>
      </w:pPr>
    </w:p>
    <w:p w14:paraId="0C4FB503">
      <w:pPr>
        <w:rPr>
          <w:rFonts w:hint="eastAsia" w:ascii="宋体" w:hAnsi="宋体" w:eastAsia="宋体" w:cs="宋体"/>
        </w:rPr>
      </w:pPr>
    </w:p>
    <w:p w14:paraId="0CD18182">
      <w:pPr>
        <w:rPr>
          <w:rFonts w:hint="eastAsia" w:ascii="宋体" w:hAnsi="宋体" w:eastAsia="宋体" w:cs="宋体"/>
        </w:rPr>
      </w:pPr>
    </w:p>
    <w:p w14:paraId="2A265FDA">
      <w:pPr>
        <w:rPr>
          <w:rFonts w:hint="eastAsia" w:ascii="宋体" w:hAnsi="宋体" w:eastAsia="宋体" w:cs="宋体"/>
        </w:rPr>
      </w:pPr>
    </w:p>
    <w:bookmarkEnd w:id="303"/>
    <w:bookmarkEnd w:id="304"/>
    <w:p w14:paraId="551B1C1D">
      <w:pPr>
        <w:pStyle w:val="3"/>
        <w:wordWrap w:val="0"/>
        <w:autoSpaceDE/>
        <w:autoSpaceDN/>
        <w:snapToGrid w:val="0"/>
        <w:spacing w:line="360" w:lineRule="auto"/>
        <w:jc w:val="center"/>
        <w:rPr>
          <w:rFonts w:hint="eastAsia" w:ascii="宋体" w:hAnsi="宋体" w:eastAsia="宋体" w:cs="宋体"/>
          <w:snapToGrid w:val="0"/>
          <w:color w:val="auto"/>
          <w:kern w:val="0"/>
          <w:highlight w:val="none"/>
        </w:rPr>
      </w:pPr>
      <w:bookmarkStart w:id="349" w:name="_附件十六：措施项目清单计价表"/>
      <w:bookmarkEnd w:id="349"/>
      <w:bookmarkStart w:id="350" w:name="_Hlt87793582"/>
      <w:bookmarkEnd w:id="350"/>
      <w:bookmarkStart w:id="351" w:name="_附件二十一：土建工程、电气工程、给排水工程工程清单项目费汇总表"/>
      <w:bookmarkEnd w:id="351"/>
      <w:bookmarkStart w:id="352" w:name="_Hlt87783244"/>
      <w:bookmarkEnd w:id="352"/>
      <w:bookmarkStart w:id="353" w:name="_Toc1967"/>
      <w:bookmarkStart w:id="354" w:name="_Toc132687128"/>
      <w:bookmarkStart w:id="355" w:name="_Toc133160683"/>
      <w:bookmarkStart w:id="356" w:name="_Toc137444778"/>
      <w:bookmarkStart w:id="357" w:name="_Toc13722"/>
      <w:bookmarkStart w:id="358" w:name="_Toc142468134"/>
      <w:bookmarkStart w:id="359" w:name="_Toc244"/>
      <w:bookmarkStart w:id="360" w:name="_Toc133815902"/>
      <w:bookmarkStart w:id="361" w:name="_Toc78794873"/>
      <w:r>
        <w:rPr>
          <w:rFonts w:hint="eastAsia" w:ascii="宋体" w:hAnsi="宋体" w:eastAsia="宋体" w:cs="宋体"/>
          <w:b/>
          <w:snapToGrid w:val="0"/>
          <w:color w:val="auto"/>
          <w:sz w:val="24"/>
          <w:highlight w:val="none"/>
        </w:rPr>
        <w:t>第七章</w:t>
      </w:r>
      <w:r>
        <w:rPr>
          <w:rFonts w:hint="eastAsia" w:ascii="宋体" w:hAnsi="宋体" w:eastAsia="宋体" w:cs="宋体"/>
          <w:b/>
          <w:snapToGrid w:val="0"/>
          <w:color w:val="auto"/>
          <w:sz w:val="24"/>
          <w:highlight w:val="none"/>
          <w:lang w:val="en-US" w:eastAsia="zh-CN"/>
        </w:rPr>
        <w:t xml:space="preserve">   </w:t>
      </w:r>
      <w:r>
        <w:rPr>
          <w:rFonts w:hint="eastAsia" w:ascii="宋体" w:hAnsi="宋体" w:eastAsia="宋体" w:cs="宋体"/>
          <w:b/>
          <w:snapToGrid w:val="0"/>
          <w:color w:val="auto"/>
          <w:sz w:val="24"/>
          <w:highlight w:val="none"/>
        </w:rPr>
        <w:t>建设工程施工合同</w:t>
      </w:r>
      <w:bookmarkEnd w:id="353"/>
      <w:bookmarkEnd w:id="354"/>
      <w:bookmarkEnd w:id="355"/>
      <w:bookmarkEnd w:id="356"/>
      <w:bookmarkEnd w:id="357"/>
      <w:bookmarkEnd w:id="358"/>
      <w:bookmarkEnd w:id="359"/>
    </w:p>
    <w:p w14:paraId="7DA73BEC">
      <w:pPr>
        <w:wordWrap w:val="0"/>
        <w:adjustRightInd w:val="0"/>
        <w:snapToGrid w:val="0"/>
        <w:spacing w:line="360" w:lineRule="auto"/>
        <w:rPr>
          <w:rFonts w:hint="eastAsia" w:ascii="宋体" w:hAnsi="宋体" w:eastAsia="宋体" w:cs="宋体"/>
          <w:snapToGrid w:val="0"/>
          <w:color w:val="auto"/>
          <w:kern w:val="0"/>
          <w:highlight w:val="none"/>
        </w:rPr>
      </w:pPr>
      <w:r>
        <w:rPr>
          <w:rFonts w:hint="eastAsia" w:ascii="宋体" w:hAnsi="宋体" w:eastAsia="宋体" w:cs="宋体"/>
          <w:snapToGrid w:val="0"/>
          <w:color w:val="auto"/>
          <w:kern w:val="0"/>
          <w:highlight w:val="none"/>
        </w:rPr>
        <w:t xml:space="preserve">    （略），</w:t>
      </w:r>
      <w:bookmarkEnd w:id="360"/>
      <w:bookmarkEnd w:id="361"/>
      <w:r>
        <w:rPr>
          <w:rFonts w:hint="eastAsia" w:ascii="宋体" w:hAnsi="宋体" w:eastAsia="宋体" w:cs="宋体"/>
          <w:snapToGrid w:val="0"/>
          <w:color w:val="auto"/>
          <w:kern w:val="0"/>
          <w:highlight w:val="none"/>
        </w:rPr>
        <w:t>按《广东省建设工程标准施工合同》（2009年版）或《建设工程施工合同（示范文本）》（GF—2017—0201）执行。</w:t>
      </w:r>
    </w:p>
    <w:p w14:paraId="7A471E72">
      <w:pPr>
        <w:spacing w:before="78" w:line="360" w:lineRule="auto"/>
        <w:ind w:firstLine="480"/>
        <w:rPr>
          <w:rFonts w:hint="eastAsia" w:ascii="宋体" w:hAnsi="宋体" w:eastAsia="宋体" w:cs="宋体"/>
          <w:color w:val="auto"/>
          <w:sz w:val="24"/>
          <w:szCs w:val="24"/>
          <w:highlight w:val="none"/>
        </w:rPr>
      </w:pPr>
    </w:p>
    <w:sectPr>
      <w:footerReference r:id="rId4" w:type="default"/>
      <w:pgSz w:w="11906" w:h="16839"/>
      <w:pgMar w:top="1134" w:right="1134" w:bottom="1134" w:left="1134" w:header="850" w:footer="850" w:gutter="0"/>
      <w:pgBorders>
        <w:top w:val="none" w:sz="0" w:space="0"/>
        <w:left w:val="none" w:sz="0" w:space="0"/>
        <w:bottom w:val="none" w:sz="0" w:space="0"/>
        <w:right w:val="none" w:sz="0" w:space="0"/>
      </w:pgBorders>
      <w:pgNumType w:fmt="decimal" w:start="1"/>
      <w:cols w:space="0" w:num="1"/>
      <w:rtlGutter w:val="0"/>
      <w:docGrid w:linePitch="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panose1 w:val="02020509000000000000"/>
    <w:charset w:val="88"/>
    <w:family w:val="modern"/>
    <w:pitch w:val="default"/>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9C086">
    <w:pPr>
      <w:pStyle w:val="16"/>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8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ED21ABA">
                          <w:pPr>
                            <w:pStyle w:val="16"/>
                          </w:pPr>
                          <w:r>
                            <w:fldChar w:fldCharType="begin"/>
                          </w:r>
                          <w:r>
                            <w:instrText xml:space="preserve"> PAGE  \* MERGEFORMAT </w:instrText>
                          </w:r>
                          <w:r>
                            <w:fldChar w:fldCharType="separate"/>
                          </w:r>
                          <w:r>
                            <w:t>102</w:t>
                          </w:r>
                          <w:r>
                            <w:fldChar w:fldCharType="end"/>
                          </w:r>
                        </w:p>
                      </w:txbxContent>
                    </wps:txbx>
                    <wps:bodyPr vert="horz" wrap="none" lIns="0" tIns="0" rIns="0" bIns="0" anchor="t" anchorCtr="0" upright="0">
                      <a:spAutoFit/>
                    </wps:bodyPr>
                  </wps:wsp>
                </a:graphicData>
              </a:graphic>
            </wp:anchor>
          </w:drawing>
        </mc:Choice>
        <mc:Fallback>
          <w:pict>
            <v:shape id="文本框 84"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HCWDBN8BAADAAwAADgAAAAAA&#10;AAABACAAAAAeAQAAZHJzL2Uyb0RvYy54bWxQSwUGAAAAAAYABgBZAQAAbwUAAAAA&#10;">
              <v:fill on="f" focussize="0,0"/>
              <v:stroke on="f"/>
              <v:imagedata o:title=""/>
              <o:lock v:ext="edit" aspectratio="f"/>
              <v:textbox inset="0mm,0mm,0mm,0mm" style="mso-fit-shape-to-text:t;">
                <w:txbxContent>
                  <w:p w14:paraId="0ED21ABA">
                    <w:pPr>
                      <w:pStyle w:val="16"/>
                    </w:pPr>
                    <w:r>
                      <w:fldChar w:fldCharType="begin"/>
                    </w:r>
                    <w:r>
                      <w:instrText xml:space="preserve"> PAGE  \* MERGEFORMAT </w:instrText>
                    </w:r>
                    <w:r>
                      <w:fldChar w:fldCharType="separate"/>
                    </w:r>
                    <w:r>
                      <w:t>102</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2DB66">
    <w:pPr>
      <w:pStyle w:val="8"/>
      <w:spacing w:line="14" w:lineRule="auto"/>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6C9BDCA"/>
    <w:multiLevelType w:val="singleLevel"/>
    <w:tmpl w:val="E6C9BDC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500"/>
  <w:hyphenationZone w:val="360"/>
  <w:displayHorizontalDrawingGridEvery w:val="1"/>
  <w:displayVerticalDrawingGridEvery w:val="1"/>
  <w:noPunctuationKerning w:val="1"/>
  <w:characterSpacingControl w:val="doNotCompress"/>
  <w:hdrShapeDefaults>
    <o:shapelayout v:ext="edit">
      <o:idmap v:ext="edit" data="2"/>
    </o:shapelayout>
  </w:hdrShapeDefaults>
  <w:compat>
    <w:spaceForUL/>
    <w:doNotLeaveBackslashAlone/>
    <w:ulTrailSpace/>
    <w:doNotExpandShiftReturn/>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M3MGIxMTBiNDNjZjYzNDdjYzI5YTAwYjZmMGE0NTMifQ=="/>
    <w:docVar w:name="KSO_WPS_MARK_KEY" w:val="6f1ed6e0-1a31-40b8-b5e7-63682a01dd85"/>
  </w:docVars>
  <w:rsids>
    <w:rsidRoot w:val="00D93B1F"/>
    <w:rsid w:val="002271DC"/>
    <w:rsid w:val="00375761"/>
    <w:rsid w:val="0061778C"/>
    <w:rsid w:val="007902EC"/>
    <w:rsid w:val="008145AB"/>
    <w:rsid w:val="00A47D6E"/>
    <w:rsid w:val="00B311AF"/>
    <w:rsid w:val="00D93B1F"/>
    <w:rsid w:val="00DD4CCE"/>
    <w:rsid w:val="00E365EF"/>
    <w:rsid w:val="014D560B"/>
    <w:rsid w:val="024149A6"/>
    <w:rsid w:val="024A3A67"/>
    <w:rsid w:val="03695DE7"/>
    <w:rsid w:val="04182A85"/>
    <w:rsid w:val="0462389C"/>
    <w:rsid w:val="048C3708"/>
    <w:rsid w:val="05023882"/>
    <w:rsid w:val="053D5C48"/>
    <w:rsid w:val="057E0DE3"/>
    <w:rsid w:val="05DC138F"/>
    <w:rsid w:val="06C1202B"/>
    <w:rsid w:val="082B68AC"/>
    <w:rsid w:val="08897E49"/>
    <w:rsid w:val="097F6AA4"/>
    <w:rsid w:val="09C86F91"/>
    <w:rsid w:val="0A2166A1"/>
    <w:rsid w:val="0A4A5BF8"/>
    <w:rsid w:val="0A9B6453"/>
    <w:rsid w:val="0AA51080"/>
    <w:rsid w:val="0B0A655D"/>
    <w:rsid w:val="0B1F549C"/>
    <w:rsid w:val="0B293A5F"/>
    <w:rsid w:val="0C8A1D9B"/>
    <w:rsid w:val="0CA1581F"/>
    <w:rsid w:val="0D7F57E0"/>
    <w:rsid w:val="0D9A5BFA"/>
    <w:rsid w:val="0DB241E0"/>
    <w:rsid w:val="0DBF556A"/>
    <w:rsid w:val="0EA0228A"/>
    <w:rsid w:val="0EF27F68"/>
    <w:rsid w:val="0F0806AD"/>
    <w:rsid w:val="0F0E2D86"/>
    <w:rsid w:val="10091ED2"/>
    <w:rsid w:val="10C36704"/>
    <w:rsid w:val="12445622"/>
    <w:rsid w:val="12940347"/>
    <w:rsid w:val="12EA61CA"/>
    <w:rsid w:val="132959D5"/>
    <w:rsid w:val="132E3428"/>
    <w:rsid w:val="13864617"/>
    <w:rsid w:val="15033573"/>
    <w:rsid w:val="154E1149"/>
    <w:rsid w:val="15881947"/>
    <w:rsid w:val="160D2073"/>
    <w:rsid w:val="162A4334"/>
    <w:rsid w:val="16951380"/>
    <w:rsid w:val="17422EB4"/>
    <w:rsid w:val="175B58E8"/>
    <w:rsid w:val="17E94CA2"/>
    <w:rsid w:val="183B5119"/>
    <w:rsid w:val="19067AD5"/>
    <w:rsid w:val="19143FA0"/>
    <w:rsid w:val="19636CD6"/>
    <w:rsid w:val="19A327C1"/>
    <w:rsid w:val="1AF84A59"/>
    <w:rsid w:val="1B1B5C83"/>
    <w:rsid w:val="1B3A75C2"/>
    <w:rsid w:val="1B520060"/>
    <w:rsid w:val="1BB83309"/>
    <w:rsid w:val="1BC872C4"/>
    <w:rsid w:val="1CF0262F"/>
    <w:rsid w:val="1D962329"/>
    <w:rsid w:val="1E162BB9"/>
    <w:rsid w:val="1E2A7432"/>
    <w:rsid w:val="1EC75611"/>
    <w:rsid w:val="20060769"/>
    <w:rsid w:val="20895274"/>
    <w:rsid w:val="210802D8"/>
    <w:rsid w:val="21315CC2"/>
    <w:rsid w:val="214C004F"/>
    <w:rsid w:val="21BC6555"/>
    <w:rsid w:val="23113827"/>
    <w:rsid w:val="240259E5"/>
    <w:rsid w:val="24B95358"/>
    <w:rsid w:val="257D5945"/>
    <w:rsid w:val="25EF3DCB"/>
    <w:rsid w:val="26F57B3D"/>
    <w:rsid w:val="27FC7AB5"/>
    <w:rsid w:val="281318C7"/>
    <w:rsid w:val="28136333"/>
    <w:rsid w:val="298B2C60"/>
    <w:rsid w:val="298D5819"/>
    <w:rsid w:val="29957EB6"/>
    <w:rsid w:val="2A170EE6"/>
    <w:rsid w:val="2AA35349"/>
    <w:rsid w:val="2B2C33CC"/>
    <w:rsid w:val="2B6F5066"/>
    <w:rsid w:val="2B7946DC"/>
    <w:rsid w:val="2C1C51EE"/>
    <w:rsid w:val="2C7D05EC"/>
    <w:rsid w:val="2CC71519"/>
    <w:rsid w:val="2CE86152"/>
    <w:rsid w:val="2DE60A9D"/>
    <w:rsid w:val="2E521472"/>
    <w:rsid w:val="2E7E14C9"/>
    <w:rsid w:val="2EEB0EA8"/>
    <w:rsid w:val="2EF20488"/>
    <w:rsid w:val="2F5B695D"/>
    <w:rsid w:val="30120709"/>
    <w:rsid w:val="306C7DC6"/>
    <w:rsid w:val="30800BE7"/>
    <w:rsid w:val="31F33790"/>
    <w:rsid w:val="32A55E11"/>
    <w:rsid w:val="333A41AC"/>
    <w:rsid w:val="3525070E"/>
    <w:rsid w:val="35444468"/>
    <w:rsid w:val="354971CF"/>
    <w:rsid w:val="35DB7EC8"/>
    <w:rsid w:val="36716471"/>
    <w:rsid w:val="371D1E1A"/>
    <w:rsid w:val="37F963E3"/>
    <w:rsid w:val="38351E66"/>
    <w:rsid w:val="386D5023"/>
    <w:rsid w:val="38D26C34"/>
    <w:rsid w:val="390A0223"/>
    <w:rsid w:val="395D4987"/>
    <w:rsid w:val="3B653D90"/>
    <w:rsid w:val="3C1852A6"/>
    <w:rsid w:val="3C3B1478"/>
    <w:rsid w:val="3D844B7C"/>
    <w:rsid w:val="3EF67200"/>
    <w:rsid w:val="3F233925"/>
    <w:rsid w:val="3FAD641B"/>
    <w:rsid w:val="3FB44612"/>
    <w:rsid w:val="3FE01B1C"/>
    <w:rsid w:val="40046D13"/>
    <w:rsid w:val="40CA5C2D"/>
    <w:rsid w:val="42154762"/>
    <w:rsid w:val="43041937"/>
    <w:rsid w:val="43DD3E5A"/>
    <w:rsid w:val="44355C57"/>
    <w:rsid w:val="443A6632"/>
    <w:rsid w:val="45287D24"/>
    <w:rsid w:val="454964D0"/>
    <w:rsid w:val="45DF68CB"/>
    <w:rsid w:val="45E5269D"/>
    <w:rsid w:val="460A64D2"/>
    <w:rsid w:val="46203E24"/>
    <w:rsid w:val="464C7C9B"/>
    <w:rsid w:val="46A967E4"/>
    <w:rsid w:val="474D04FA"/>
    <w:rsid w:val="477200AE"/>
    <w:rsid w:val="4785185A"/>
    <w:rsid w:val="47BE6D02"/>
    <w:rsid w:val="481B63B6"/>
    <w:rsid w:val="48F74BC1"/>
    <w:rsid w:val="49411970"/>
    <w:rsid w:val="496E7F48"/>
    <w:rsid w:val="4A1B1471"/>
    <w:rsid w:val="4B1362E3"/>
    <w:rsid w:val="4C6C5AF1"/>
    <w:rsid w:val="4C8C6E2A"/>
    <w:rsid w:val="4C917D41"/>
    <w:rsid w:val="4CC16D7F"/>
    <w:rsid w:val="4CE313E9"/>
    <w:rsid w:val="4D5679DC"/>
    <w:rsid w:val="4D866514"/>
    <w:rsid w:val="4DB4554A"/>
    <w:rsid w:val="4E037EE6"/>
    <w:rsid w:val="4E893884"/>
    <w:rsid w:val="4EDA51D8"/>
    <w:rsid w:val="4EF632AE"/>
    <w:rsid w:val="4F190832"/>
    <w:rsid w:val="4F292F55"/>
    <w:rsid w:val="50264C5C"/>
    <w:rsid w:val="504306EC"/>
    <w:rsid w:val="50B909AE"/>
    <w:rsid w:val="50C406E4"/>
    <w:rsid w:val="541C1980"/>
    <w:rsid w:val="546108D5"/>
    <w:rsid w:val="554178E8"/>
    <w:rsid w:val="55443DFC"/>
    <w:rsid w:val="557529F8"/>
    <w:rsid w:val="55781588"/>
    <w:rsid w:val="55B9763E"/>
    <w:rsid w:val="55F24830"/>
    <w:rsid w:val="56326745"/>
    <w:rsid w:val="566413BC"/>
    <w:rsid w:val="56A676EB"/>
    <w:rsid w:val="56F83D0C"/>
    <w:rsid w:val="572763EB"/>
    <w:rsid w:val="575B631B"/>
    <w:rsid w:val="57766A4D"/>
    <w:rsid w:val="577B28F1"/>
    <w:rsid w:val="57830607"/>
    <w:rsid w:val="57F4758F"/>
    <w:rsid w:val="585F0BD8"/>
    <w:rsid w:val="58871392"/>
    <w:rsid w:val="58C6175D"/>
    <w:rsid w:val="58CD2D07"/>
    <w:rsid w:val="59AD6BD6"/>
    <w:rsid w:val="5A3C3F0A"/>
    <w:rsid w:val="5A4D499A"/>
    <w:rsid w:val="5A537966"/>
    <w:rsid w:val="5A772246"/>
    <w:rsid w:val="5A7D0C9E"/>
    <w:rsid w:val="5ACE0C44"/>
    <w:rsid w:val="5AE90694"/>
    <w:rsid w:val="5AF466D4"/>
    <w:rsid w:val="5B0F405E"/>
    <w:rsid w:val="5B1433B1"/>
    <w:rsid w:val="5B325FEC"/>
    <w:rsid w:val="5B7052F9"/>
    <w:rsid w:val="5C13353F"/>
    <w:rsid w:val="5CFF3BED"/>
    <w:rsid w:val="5D861C18"/>
    <w:rsid w:val="5DCD3CEB"/>
    <w:rsid w:val="5DF72526"/>
    <w:rsid w:val="5E0B123F"/>
    <w:rsid w:val="5E9860A7"/>
    <w:rsid w:val="5EE52C75"/>
    <w:rsid w:val="5F321E6E"/>
    <w:rsid w:val="5FD54C27"/>
    <w:rsid w:val="605E28A2"/>
    <w:rsid w:val="6101712B"/>
    <w:rsid w:val="611F4E36"/>
    <w:rsid w:val="6166423A"/>
    <w:rsid w:val="6338060C"/>
    <w:rsid w:val="64044202"/>
    <w:rsid w:val="6507503C"/>
    <w:rsid w:val="6535464F"/>
    <w:rsid w:val="65384C44"/>
    <w:rsid w:val="659415BD"/>
    <w:rsid w:val="66B06A9E"/>
    <w:rsid w:val="66DD63E5"/>
    <w:rsid w:val="66EA3218"/>
    <w:rsid w:val="66F97A54"/>
    <w:rsid w:val="684C67C5"/>
    <w:rsid w:val="68DC416E"/>
    <w:rsid w:val="694C01BA"/>
    <w:rsid w:val="69656389"/>
    <w:rsid w:val="69D4452F"/>
    <w:rsid w:val="6A5C61DA"/>
    <w:rsid w:val="6A6E23B2"/>
    <w:rsid w:val="6A9C2A7B"/>
    <w:rsid w:val="6B713F07"/>
    <w:rsid w:val="6B8003A5"/>
    <w:rsid w:val="6B85333E"/>
    <w:rsid w:val="6B9B48D9"/>
    <w:rsid w:val="6C1C0677"/>
    <w:rsid w:val="6C7207B7"/>
    <w:rsid w:val="6D592EA5"/>
    <w:rsid w:val="6DAB380B"/>
    <w:rsid w:val="6DD97740"/>
    <w:rsid w:val="6E4C2A0A"/>
    <w:rsid w:val="6E551AFF"/>
    <w:rsid w:val="6EDA6400"/>
    <w:rsid w:val="702D1B02"/>
    <w:rsid w:val="708E757A"/>
    <w:rsid w:val="71593474"/>
    <w:rsid w:val="719B55D2"/>
    <w:rsid w:val="71B13050"/>
    <w:rsid w:val="728577B6"/>
    <w:rsid w:val="72CE73C6"/>
    <w:rsid w:val="72D311B2"/>
    <w:rsid w:val="733C302D"/>
    <w:rsid w:val="747F3DA7"/>
    <w:rsid w:val="74F02341"/>
    <w:rsid w:val="74FB14A6"/>
    <w:rsid w:val="74FC5B91"/>
    <w:rsid w:val="75156511"/>
    <w:rsid w:val="75AF7C6E"/>
    <w:rsid w:val="75B8488D"/>
    <w:rsid w:val="75CF6598"/>
    <w:rsid w:val="75FC6AC3"/>
    <w:rsid w:val="762001BB"/>
    <w:rsid w:val="76A21419"/>
    <w:rsid w:val="77354CF9"/>
    <w:rsid w:val="773D3837"/>
    <w:rsid w:val="77743287"/>
    <w:rsid w:val="77A26F92"/>
    <w:rsid w:val="77B318CB"/>
    <w:rsid w:val="78F3578F"/>
    <w:rsid w:val="7A3A25F4"/>
    <w:rsid w:val="7A6B598B"/>
    <w:rsid w:val="7AAE3295"/>
    <w:rsid w:val="7B046B46"/>
    <w:rsid w:val="7B252618"/>
    <w:rsid w:val="7B2F3B4A"/>
    <w:rsid w:val="7B610879"/>
    <w:rsid w:val="7BC7188B"/>
    <w:rsid w:val="7C853A45"/>
    <w:rsid w:val="7CBE03EA"/>
    <w:rsid w:val="7D1D47BD"/>
    <w:rsid w:val="7E533563"/>
    <w:rsid w:val="7E5714CF"/>
    <w:rsid w:val="7EF42459"/>
    <w:rsid w:val="7F777DF7"/>
    <w:rsid w:val="7FA55324"/>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99"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qFormat="1" w:uiPriority="99"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kinsoku w:val="0"/>
      <w:autoSpaceDE w:val="0"/>
      <w:autoSpaceDN w:val="0"/>
      <w:adjustRightInd w:val="0"/>
      <w:snapToGrid w:val="0"/>
      <w:textAlignment w:val="baseline"/>
    </w:pPr>
    <w:rPr>
      <w:rFonts w:ascii="Arial" w:hAnsi="Arial" w:eastAsia="Arial" w:cs="Arial"/>
      <w:snapToGrid w:val="0"/>
      <w:color w:val="000000"/>
      <w:sz w:val="21"/>
      <w:szCs w:val="21"/>
      <w:lang w:val="en-US" w:eastAsia="en-US" w:bidi="ar-SA"/>
    </w:rPr>
  </w:style>
  <w:style w:type="paragraph" w:styleId="3">
    <w:name w:val="heading 1"/>
    <w:basedOn w:val="1"/>
    <w:next w:val="1"/>
    <w:qFormat/>
    <w:uiPriority w:val="0"/>
    <w:pPr>
      <w:autoSpaceDE w:val="0"/>
      <w:autoSpaceDN w:val="0"/>
      <w:adjustRightInd w:val="0"/>
      <w:jc w:val="left"/>
      <w:outlineLvl w:val="0"/>
    </w:pPr>
    <w:rPr>
      <w:rFonts w:ascii="Times New Roman"/>
      <w:kern w:val="0"/>
      <w:sz w:val="30"/>
    </w:rPr>
  </w:style>
  <w:style w:type="paragraph" w:styleId="4">
    <w:name w:val="heading 2"/>
    <w:basedOn w:val="1"/>
    <w:next w:val="1"/>
    <w:qFormat/>
    <w:uiPriority w:val="0"/>
    <w:pPr>
      <w:spacing w:before="100" w:beforeAutospacing="1" w:after="100" w:afterAutospacing="1"/>
      <w:jc w:val="left"/>
      <w:outlineLvl w:val="1"/>
    </w:pPr>
    <w:rPr>
      <w:rFonts w:hint="eastAsia" w:ascii="宋体" w:hAnsi="宋体" w:eastAsia="宋体" w:cs="宋体"/>
      <w:b/>
      <w:bCs/>
      <w:kern w:val="0"/>
      <w:sz w:val="36"/>
      <w:szCs w:val="36"/>
      <w:lang w:val="en-US" w:eastAsia="zh-CN" w:bidi="ar"/>
    </w:rPr>
  </w:style>
  <w:style w:type="paragraph" w:styleId="5">
    <w:name w:val="heading 3"/>
    <w:basedOn w:val="6"/>
    <w:next w:val="6"/>
    <w:qFormat/>
    <w:uiPriority w:val="0"/>
    <w:pPr>
      <w:keepNext/>
      <w:keepLines/>
      <w:spacing w:before="120" w:beforeLines="0" w:beforeAutospacing="0" w:after="120" w:afterLines="0" w:afterAutospacing="0"/>
      <w:jc w:val="center"/>
      <w:outlineLvl w:val="2"/>
    </w:pPr>
    <w:rPr>
      <w:sz w:val="24"/>
    </w:rPr>
  </w:style>
  <w:style w:type="paragraph" w:styleId="2">
    <w:name w:val="heading 4"/>
    <w:basedOn w:val="1"/>
    <w:next w:val="1"/>
    <w:qFormat/>
    <w:uiPriority w:val="0"/>
    <w:pPr>
      <w:keepNext/>
      <w:keepLines/>
      <w:spacing w:line="374" w:lineRule="auto"/>
      <w:outlineLvl w:val="3"/>
    </w:pPr>
    <w:rPr>
      <w:rFonts w:ascii="Arial" w:hAnsi="Arial"/>
    </w:rPr>
  </w:style>
  <w:style w:type="character" w:default="1" w:styleId="26">
    <w:name w:val="Default Paragraph Font"/>
    <w:semiHidden/>
    <w:qFormat/>
    <w:uiPriority w:val="0"/>
  </w:style>
  <w:style w:type="table" w:default="1" w:styleId="24">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spacing w:line="360" w:lineRule="auto"/>
      <w:ind w:firstLine="200" w:firstLineChars="200"/>
    </w:pPr>
    <w:rPr>
      <w:rFonts w:ascii="Times New Roman" w:hAnsi="Times New Roman" w:eastAsia="宋体" w:cs="Times New Roman"/>
      <w:sz w:val="24"/>
    </w:rPr>
  </w:style>
  <w:style w:type="paragraph" w:styleId="7">
    <w:name w:val="annotation text"/>
    <w:basedOn w:val="1"/>
    <w:qFormat/>
    <w:uiPriority w:val="0"/>
    <w:pPr>
      <w:adjustRightInd w:val="0"/>
      <w:spacing w:line="360" w:lineRule="atLeast"/>
      <w:jc w:val="left"/>
      <w:textAlignment w:val="baseline"/>
    </w:pPr>
    <w:rPr>
      <w:kern w:val="0"/>
    </w:rPr>
  </w:style>
  <w:style w:type="paragraph" w:styleId="8">
    <w:name w:val="Body Text"/>
    <w:basedOn w:val="1"/>
    <w:semiHidden/>
    <w:qFormat/>
    <w:uiPriority w:val="0"/>
    <w:rPr>
      <w:rFonts w:ascii="Arial" w:hAnsi="Arial" w:eastAsia="Arial" w:cs="Arial"/>
      <w:sz w:val="21"/>
      <w:szCs w:val="21"/>
      <w:lang w:val="en-US" w:eastAsia="en-US" w:bidi="ar-SA"/>
    </w:rPr>
  </w:style>
  <w:style w:type="paragraph" w:styleId="9">
    <w:name w:val="Body Text Indent"/>
    <w:basedOn w:val="1"/>
    <w:next w:val="10"/>
    <w:qFormat/>
    <w:uiPriority w:val="0"/>
    <w:pPr>
      <w:spacing w:after="120" w:afterLines="0"/>
      <w:ind w:left="420" w:leftChars="200"/>
    </w:pPr>
  </w:style>
  <w:style w:type="paragraph" w:styleId="10">
    <w:name w:val="envelope return"/>
    <w:basedOn w:val="1"/>
    <w:qFormat/>
    <w:uiPriority w:val="99"/>
    <w:pPr>
      <w:snapToGrid w:val="0"/>
    </w:pPr>
    <w:rPr>
      <w:rFonts w:ascii="Arial" w:hAnsi="Arial"/>
    </w:rPr>
  </w:style>
  <w:style w:type="paragraph" w:styleId="11">
    <w:name w:val="toc 3"/>
    <w:basedOn w:val="1"/>
    <w:next w:val="1"/>
    <w:qFormat/>
    <w:uiPriority w:val="0"/>
    <w:pPr>
      <w:ind w:left="840" w:leftChars="400"/>
    </w:pPr>
  </w:style>
  <w:style w:type="paragraph" w:styleId="12">
    <w:name w:val="Plain Text"/>
    <w:basedOn w:val="1"/>
    <w:next w:val="13"/>
    <w:qFormat/>
    <w:uiPriority w:val="0"/>
    <w:pPr>
      <w:ind w:firstLine="200" w:firstLineChars="200"/>
    </w:pPr>
    <w:rPr>
      <w:rFonts w:ascii="宋体" w:hAnsi="Courier New"/>
      <w:szCs w:val="21"/>
    </w:rPr>
  </w:style>
  <w:style w:type="paragraph" w:customStyle="1" w:styleId="13">
    <w:name w:val="Default"/>
    <w:unhideWhenUsed/>
    <w:qFormat/>
    <w:uiPriority w:val="99"/>
    <w:pPr>
      <w:widowControl w:val="0"/>
      <w:autoSpaceDE w:val="0"/>
      <w:autoSpaceDN w:val="0"/>
      <w:adjustRightInd w:val="0"/>
    </w:pPr>
    <w:rPr>
      <w:rFonts w:hint="eastAsia" w:ascii="Arial Unicode MS" w:hAnsi="Arial Unicode MS" w:eastAsia="Arial Unicode MS" w:cs="Times New Roman"/>
      <w:color w:val="000000"/>
      <w:sz w:val="24"/>
      <w:lang w:val="en-US" w:eastAsia="zh-CN" w:bidi="ar-SA"/>
    </w:rPr>
  </w:style>
  <w:style w:type="paragraph" w:styleId="14">
    <w:name w:val="Body Text Indent 2"/>
    <w:basedOn w:val="1"/>
    <w:qFormat/>
    <w:uiPriority w:val="0"/>
    <w:pPr>
      <w:spacing w:line="480" w:lineRule="auto"/>
      <w:ind w:firstLine="561"/>
    </w:pPr>
    <w:rPr>
      <w:rFonts w:ascii="宋体"/>
    </w:rPr>
  </w:style>
  <w:style w:type="paragraph" w:styleId="15">
    <w:name w:val="Balloon Text"/>
    <w:basedOn w:val="1"/>
    <w:link w:val="28"/>
    <w:qFormat/>
    <w:uiPriority w:val="0"/>
    <w:rPr>
      <w:sz w:val="18"/>
      <w:szCs w:val="18"/>
    </w:rPr>
  </w:style>
  <w:style w:type="paragraph" w:styleId="16">
    <w:name w:val="footer"/>
    <w:basedOn w:val="1"/>
    <w:qFormat/>
    <w:uiPriority w:val="0"/>
    <w:pPr>
      <w:tabs>
        <w:tab w:val="center" w:pos="4153"/>
        <w:tab w:val="right" w:pos="8306"/>
      </w:tabs>
      <w:snapToGrid w:val="0"/>
      <w:jc w:val="left"/>
    </w:pPr>
    <w:rPr>
      <w:sz w:val="18"/>
    </w:rPr>
  </w:style>
  <w:style w:type="paragraph" w:styleId="17">
    <w:name w:val="header"/>
    <w:basedOn w:val="1"/>
    <w:link w:val="29"/>
    <w:qFormat/>
    <w:uiPriority w:val="0"/>
    <w:pPr>
      <w:pBdr>
        <w:bottom w:val="single" w:color="auto" w:sz="6" w:space="1"/>
      </w:pBdr>
      <w:tabs>
        <w:tab w:val="center" w:pos="4153"/>
        <w:tab w:val="right" w:pos="8306"/>
      </w:tabs>
      <w:jc w:val="center"/>
    </w:pPr>
    <w:rPr>
      <w:sz w:val="18"/>
      <w:szCs w:val="18"/>
    </w:rPr>
  </w:style>
  <w:style w:type="paragraph" w:styleId="18">
    <w:name w:val="toc 1"/>
    <w:basedOn w:val="1"/>
    <w:next w:val="1"/>
    <w:qFormat/>
    <w:uiPriority w:val="0"/>
  </w:style>
  <w:style w:type="paragraph" w:styleId="19">
    <w:name w:val="toc 2"/>
    <w:basedOn w:val="1"/>
    <w:next w:val="1"/>
    <w:qFormat/>
    <w:uiPriority w:val="0"/>
    <w:pPr>
      <w:ind w:left="420" w:leftChars="200"/>
    </w:pPr>
  </w:style>
  <w:style w:type="paragraph" w:styleId="20">
    <w:name w:val="Body Text 2"/>
    <w:basedOn w:val="1"/>
    <w:next w:val="8"/>
    <w:qFormat/>
    <w:uiPriority w:val="0"/>
    <w:pPr>
      <w:spacing w:line="500" w:lineRule="exact"/>
    </w:pPr>
    <w:rPr>
      <w:rFonts w:hint="default"/>
    </w:rPr>
  </w:style>
  <w:style w:type="paragraph" w:styleId="21">
    <w:name w:val="Normal (Web)"/>
    <w:basedOn w:val="1"/>
    <w:qFormat/>
    <w:uiPriority w:val="0"/>
    <w:pPr>
      <w:spacing w:beforeAutospacing="1" w:afterAutospacing="1"/>
      <w:jc w:val="left"/>
    </w:pPr>
    <w:rPr>
      <w:rFonts w:cs="Times New Roman"/>
      <w:kern w:val="0"/>
      <w:sz w:val="24"/>
    </w:rPr>
  </w:style>
  <w:style w:type="paragraph" w:styleId="22">
    <w:name w:val="Body Text First Indent"/>
    <w:basedOn w:val="8"/>
    <w:qFormat/>
    <w:uiPriority w:val="99"/>
    <w:pPr>
      <w:spacing w:line="240" w:lineRule="auto"/>
      <w:ind w:firstLine="420" w:firstLineChars="100"/>
    </w:pPr>
    <w:rPr>
      <w:rFonts w:ascii="Times New Roman" w:cs="Times New Roman"/>
      <w:sz w:val="20"/>
      <w:szCs w:val="20"/>
    </w:rPr>
  </w:style>
  <w:style w:type="paragraph" w:styleId="23">
    <w:name w:val="Body Text First Indent 2"/>
    <w:basedOn w:val="6"/>
    <w:unhideWhenUsed/>
    <w:qFormat/>
    <w:uiPriority w:val="99"/>
    <w:pPr>
      <w:tabs>
        <w:tab w:val="left" w:pos="0"/>
        <w:tab w:val="left" w:pos="8130"/>
      </w:tabs>
      <w:ind w:firstLine="420"/>
    </w:pPr>
  </w:style>
  <w:style w:type="table" w:styleId="25">
    <w:name w:val="Table Grid"/>
    <w:basedOn w:val="2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7">
    <w:name w:val="Hyperlink"/>
    <w:basedOn w:val="26"/>
    <w:qFormat/>
    <w:uiPriority w:val="0"/>
    <w:rPr>
      <w:color w:val="0000FF"/>
      <w:u w:val="single"/>
    </w:rPr>
  </w:style>
  <w:style w:type="character" w:customStyle="1" w:styleId="28">
    <w:name w:val="批注框文本 Char"/>
    <w:link w:val="15"/>
    <w:qFormat/>
    <w:uiPriority w:val="0"/>
    <w:rPr>
      <w:rFonts w:ascii="Arial" w:hAnsi="Arial" w:eastAsia="Arial" w:cs="Arial"/>
      <w:snapToGrid/>
      <w:color w:val="000000"/>
      <w:sz w:val="18"/>
      <w:szCs w:val="18"/>
      <w:lang w:eastAsia="en-US"/>
    </w:rPr>
  </w:style>
  <w:style w:type="character" w:customStyle="1" w:styleId="29">
    <w:name w:val="页眉 Char"/>
    <w:link w:val="17"/>
    <w:qFormat/>
    <w:uiPriority w:val="0"/>
    <w:rPr>
      <w:rFonts w:ascii="Arial" w:hAnsi="Arial" w:eastAsia="Arial" w:cs="Arial"/>
      <w:snapToGrid/>
      <w:color w:val="000000"/>
      <w:sz w:val="18"/>
      <w:szCs w:val="18"/>
      <w:lang w:eastAsia="en-US"/>
    </w:rPr>
  </w:style>
  <w:style w:type="paragraph" w:customStyle="1" w:styleId="30">
    <w:name w:val="章标题"/>
    <w:next w:val="1"/>
    <w:qFormat/>
    <w:uiPriority w:val="0"/>
    <w:pPr>
      <w:spacing w:before="50" w:after="50"/>
      <w:jc w:val="both"/>
      <w:outlineLvl w:val="1"/>
    </w:pPr>
    <w:rPr>
      <w:rFonts w:ascii="黑体" w:hAnsi="Calibri" w:eastAsia="黑体" w:cs="Times New Roman"/>
      <w:kern w:val="0"/>
      <w:sz w:val="21"/>
      <w:szCs w:val="20"/>
      <w:lang w:val="en-US" w:eastAsia="zh-CN" w:bidi="ar-SA"/>
    </w:rPr>
  </w:style>
  <w:style w:type="table" w:customStyle="1" w:styleId="31">
    <w:name w:val="Table Normal"/>
    <w:unhideWhenUsed/>
    <w:qFormat/>
    <w:uiPriority w:val="0"/>
    <w:rPr>
      <w:lang w:val="en-US" w:eastAsia="zh-CN" w:bidi="ar-SA"/>
    </w:rPr>
    <w:tblPr>
      <w:tblCellMar>
        <w:top w:w="0" w:type="dxa"/>
        <w:left w:w="0" w:type="dxa"/>
        <w:bottom w:w="0" w:type="dxa"/>
        <w:right w:w="0" w:type="dxa"/>
      </w:tblCellMar>
    </w:tblPr>
  </w:style>
  <w:style w:type="paragraph" w:customStyle="1" w:styleId="32">
    <w:name w:val="Table Text"/>
    <w:basedOn w:val="1"/>
    <w:semiHidden/>
    <w:qFormat/>
    <w:uiPriority w:val="0"/>
    <w:rPr>
      <w:rFonts w:ascii="Arial" w:hAnsi="Arial" w:eastAsia="Arial" w:cs="Arial"/>
      <w:sz w:val="21"/>
      <w:szCs w:val="21"/>
      <w:lang w:val="en-US" w:eastAsia="en-US" w:bidi="ar-SA"/>
    </w:rPr>
  </w:style>
  <w:style w:type="paragraph" w:customStyle="1" w:styleId="33">
    <w:name w:val="正文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4">
    <w:name w:val="正文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5">
    <w:name w:val="正文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36">
    <w:name w:val="正文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37">
    <w:name w:val="文一"/>
    <w:basedOn w:val="1"/>
    <w:qFormat/>
    <w:uiPriority w:val="0"/>
    <w:pPr>
      <w:topLinePunct/>
      <w:adjustRightInd w:val="0"/>
      <w:snapToGrid w:val="0"/>
      <w:ind w:firstLine="200" w:firstLineChars="200"/>
    </w:pPr>
    <w:rPr>
      <w:rFonts w:ascii="Calibri" w:hAnsi="Calibri"/>
      <w:snapToGrid w:val="0"/>
      <w:spacing w:val="4"/>
      <w:kern w:val="0"/>
      <w:szCs w:val="22"/>
    </w:rPr>
  </w:style>
  <w:style w:type="paragraph" w:customStyle="1" w:styleId="38">
    <w:name w:val="WPSOffice手动目录 1"/>
    <w:qFormat/>
    <w:uiPriority w:val="0"/>
    <w:rPr>
      <w:rFonts w:ascii="Times New Roman" w:hAnsi="Times New Roman" w:eastAsia="宋体" w:cs="Times New Roman"/>
      <w:lang w:val="en-US" w:eastAsia="zh-CN" w:bidi="ar-SA"/>
    </w:rPr>
  </w:style>
  <w:style w:type="paragraph" w:customStyle="1" w:styleId="39">
    <w:name w:val="WPSOffice手动目录 2"/>
    <w:qFormat/>
    <w:uiPriority w:val="0"/>
    <w:pPr>
      <w:ind w:leftChars="200"/>
    </w:pPr>
    <w:rPr>
      <w:rFonts w:ascii="Times New Roman" w:hAnsi="Times New Roman" w:eastAsia="宋体" w:cs="Times New Roman"/>
      <w:lang w:val="en-US" w:eastAsia="zh-CN" w:bidi="ar-SA"/>
    </w:rPr>
  </w:style>
  <w:style w:type="paragraph" w:customStyle="1" w:styleId="40">
    <w:name w:val="WPSOffice手动目录 3"/>
    <w:qFormat/>
    <w:uiPriority w:val="0"/>
    <w:pPr>
      <w:ind w:leftChars="400"/>
    </w:pPr>
    <w:rPr>
      <w:rFonts w:ascii="Times New Roman" w:hAnsi="Times New Roman" w:eastAsia="宋体" w:cs="Times New Roman"/>
      <w:lang w:val="en-US" w:eastAsia="zh-CN" w:bidi="ar-SA"/>
    </w:rPr>
  </w:style>
  <w:style w:type="paragraph" w:customStyle="1" w:styleId="41">
    <w:name w:val="正文缩进1"/>
    <w:basedOn w:val="1"/>
    <w:qFormat/>
    <w:uiPriority w:val="0"/>
    <w:pPr>
      <w:widowControl/>
      <w:ind w:firstLine="420"/>
      <w:jc w:val="left"/>
    </w:pPr>
    <w:rPr>
      <w:kern w:val="0"/>
    </w:rPr>
  </w:style>
  <w:style w:type="paragraph" w:customStyle="1" w:styleId="42">
    <w:name w:val="正文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3">
    <w:name w:val="正文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4">
    <w:name w:val="正文 New New New New New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5">
    <w:name w:val="样式 宋体 行距: 1.5 倍行距"/>
    <w:basedOn w:val="46"/>
    <w:next w:val="1"/>
    <w:qFormat/>
    <w:uiPriority w:val="99"/>
    <w:pPr>
      <w:jc w:val="center"/>
    </w:pPr>
    <w:rPr>
      <w:b/>
    </w:rPr>
  </w:style>
  <w:style w:type="paragraph" w:customStyle="1" w:styleId="46">
    <w:name w:val="正文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New"/>
    <w:next w:val="45"/>
    <w:qFormat/>
    <w:uiPriority w:val="0"/>
    <w:pPr>
      <w:widowControl w:val="0"/>
      <w:jc w:val="both"/>
    </w:pPr>
    <w:rPr>
      <w:rFonts w:ascii="Calibri" w:hAnsi="Calibri" w:eastAsia="宋体" w:cs="黑体"/>
      <w:kern w:val="2"/>
      <w:sz w:val="21"/>
      <w:szCs w:val="24"/>
      <w:lang w:val="en-US" w:eastAsia="zh-CN" w:bidi="ar-SA"/>
    </w:rPr>
  </w:style>
  <w:style w:type="paragraph" w:customStyle="1" w:styleId="47">
    <w:name w:val="UserStyle_43"/>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character" w:customStyle="1" w:styleId="48">
    <w:name w:val="NormalCharacter"/>
    <w:qFormat/>
    <w:uiPriority w:val="99"/>
  </w:style>
  <w:style w:type="paragraph" w:customStyle="1" w:styleId="49">
    <w:name w:val="普通(网站)1"/>
    <w:basedOn w:val="1"/>
    <w:qFormat/>
    <w:uiPriority w:val="0"/>
    <w:pPr>
      <w:spacing w:before="100" w:beforeAutospacing="1" w:after="100" w:afterAutospacing="1"/>
      <w:jc w:val="left"/>
    </w:pPr>
    <w:rPr>
      <w:rFonts w:ascii="宋体" w:hAnsi="宋体" w:eastAsia="宋体"/>
      <w:kern w:val="0"/>
      <w:sz w:val="24"/>
    </w:rPr>
  </w:style>
  <w:style w:type="paragraph" w:customStyle="1" w:styleId="50">
    <w:name w:val="Heading2"/>
    <w:basedOn w:val="1"/>
    <w:next w:val="1"/>
    <w:qFormat/>
    <w:uiPriority w:val="99"/>
    <w:pPr>
      <w:jc w:val="left"/>
    </w:pPr>
    <w:rPr>
      <w:kern w:val="0"/>
    </w:rPr>
  </w:style>
  <w:style w:type="paragraph" w:customStyle="1" w:styleId="51">
    <w:name w:val="AnnotationText"/>
    <w:basedOn w:val="1"/>
    <w:qFormat/>
    <w:uiPriority w:val="99"/>
    <w:pPr>
      <w:spacing w:line="360" w:lineRule="atLeast"/>
      <w:jc w:val="left"/>
    </w:pPr>
    <w:rPr>
      <w:kern w:val="0"/>
    </w:rPr>
  </w:style>
  <w:style w:type="paragraph" w:customStyle="1" w:styleId="52">
    <w:name w:val="UserStyle_44"/>
    <w:basedOn w:val="53"/>
    <w:qFormat/>
    <w:uiPriority w:val="99"/>
    <w:rPr>
      <w:sz w:val="24"/>
      <w:szCs w:val="24"/>
    </w:rPr>
  </w:style>
  <w:style w:type="paragraph" w:customStyle="1" w:styleId="53">
    <w:name w:val="UserStyle_33"/>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54">
    <w:name w:val="UserStyle_45"/>
    <w:qFormat/>
    <w:uiPriority w:val="99"/>
    <w:pPr>
      <w:spacing w:line="360" w:lineRule="auto"/>
      <w:jc w:val="both"/>
      <w:textAlignment w:val="baseline"/>
    </w:pPr>
    <w:rPr>
      <w:rFonts w:ascii="宋体" w:hAnsi="Times New Roman" w:eastAsia="宋体" w:cs="宋体"/>
      <w:kern w:val="2"/>
      <w:sz w:val="24"/>
      <w:szCs w:val="24"/>
      <w:lang w:val="en-US" w:eastAsia="zh-CN" w:bidi="ar-SA"/>
    </w:rPr>
  </w:style>
  <w:style w:type="paragraph" w:customStyle="1" w:styleId="55">
    <w:name w:val="List Paragraph"/>
    <w:basedOn w:val="1"/>
    <w:qFormat/>
    <w:uiPriority w:val="0"/>
    <w:pPr>
      <w:keepNext w:val="0"/>
      <w:keepLines w:val="0"/>
      <w:widowControl w:val="0"/>
      <w:suppressLineNumbers w:val="0"/>
      <w:spacing w:before="0" w:beforeLines="0" w:beforeAutospacing="0" w:after="0" w:afterLines="0" w:afterAutospacing="0" w:line="240" w:lineRule="auto"/>
      <w:ind w:left="0" w:right="0" w:firstLine="420" w:firstLineChars="200"/>
      <w:jc w:val="both"/>
    </w:pPr>
    <w:rPr>
      <w:rFonts w:hint="default" w:ascii="Calibri" w:hAnsi="Calibri" w:eastAsia="宋体" w:cs="Times New Roman"/>
      <w:kern w:val="2"/>
      <w:sz w:val="21"/>
      <w:szCs w:val="22"/>
      <w:lang w:val="en-US" w:eastAsia="zh-CN" w:bidi="ar"/>
    </w:rPr>
  </w:style>
  <w:style w:type="paragraph" w:customStyle="1" w:styleId="56">
    <w:name w:val="Heading1"/>
    <w:basedOn w:val="1"/>
    <w:next w:val="1"/>
    <w:qFormat/>
    <w:uiPriority w:val="99"/>
    <w:pPr>
      <w:jc w:val="left"/>
    </w:pPr>
    <w:rPr>
      <w:kern w:val="0"/>
      <w:sz w:val="30"/>
      <w:szCs w:val="30"/>
    </w:rPr>
  </w:style>
  <w:style w:type="paragraph" w:customStyle="1" w:styleId="57">
    <w:name w:val="UserStyle_19"/>
    <w:qFormat/>
    <w:uiPriority w:val="99"/>
    <w:pPr>
      <w:jc w:val="both"/>
      <w:textAlignment w:val="baseline"/>
    </w:pPr>
    <w:rPr>
      <w:rFonts w:ascii="Times New Roman" w:hAnsi="Times New Roman" w:eastAsia="宋体" w:cs="Times New Roman"/>
      <w:kern w:val="2"/>
      <w:sz w:val="21"/>
      <w:szCs w:val="21"/>
      <w:lang w:val="en-US" w:eastAsia="zh-CN" w:bidi="ar-SA"/>
    </w:rPr>
  </w:style>
  <w:style w:type="paragraph" w:customStyle="1" w:styleId="58">
    <w:name w:val="正文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59">
    <w:name w:val="标题 3 New New"/>
    <w:basedOn w:val="60"/>
    <w:next w:val="60"/>
    <w:qFormat/>
    <w:uiPriority w:val="0"/>
    <w:pPr>
      <w:keepNext/>
      <w:keepLines/>
      <w:spacing w:before="120" w:beforeLines="0" w:beforeAutospacing="0" w:after="120" w:afterLines="0" w:afterAutospacing="0"/>
      <w:jc w:val="center"/>
      <w:outlineLvl w:val="2"/>
    </w:pPr>
    <w:rPr>
      <w:rFonts w:ascii="Times New Roman"/>
      <w:sz w:val="24"/>
    </w:rPr>
  </w:style>
  <w:style w:type="paragraph" w:customStyle="1" w:styleId="60">
    <w:name w:val="正文缩进 New"/>
    <w:basedOn w:val="61"/>
    <w:qFormat/>
    <w:uiPriority w:val="0"/>
    <w:pPr>
      <w:widowControl/>
      <w:ind w:firstLine="420"/>
      <w:jc w:val="left"/>
    </w:pPr>
    <w:rPr>
      <w:kern w:val="0"/>
      <w:sz w:val="20"/>
    </w:rPr>
  </w:style>
  <w:style w:type="paragraph" w:customStyle="1" w:styleId="61">
    <w:name w:val="正文 New New New New New New New New New New New New New New New New New New New New New New New New New New New New New New New"/>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2">
    <w:name w:val="正文文本缩进 New"/>
    <w:basedOn w:val="61"/>
    <w:qFormat/>
    <w:uiPriority w:val="0"/>
    <w:pPr>
      <w:ind w:firstLine="560" w:firstLineChars="200"/>
    </w:pPr>
    <w:rPr>
      <w:rFonts w:ascii="宋体"/>
      <w:kern w:val="2"/>
      <w:sz w:val="24"/>
    </w:rPr>
  </w:style>
  <w:style w:type="paragraph" w:customStyle="1" w:styleId="63">
    <w:name w:val="正文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4">
    <w:name w:val="正文 New New New New New New New New New New"/>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65">
    <w:name w:val="正文文本1"/>
    <w:basedOn w:val="1"/>
    <w:qFormat/>
    <w:uiPriority w:val="0"/>
    <w:pPr>
      <w:spacing w:after="120"/>
    </w:pPr>
  </w:style>
  <w:style w:type="character" w:customStyle="1" w:styleId="66">
    <w:name w:val="正文文本 (2) + 间距 0 pt3"/>
    <w:basedOn w:val="26"/>
    <w:qFormat/>
    <w:uiPriority w:val="99"/>
    <w:rPr>
      <w:rFonts w:ascii="MingLiU" w:eastAsia="MingLiU" w:cs="MingLiU"/>
      <w:spacing w:val="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wmf"/><Relationship Id="rId8" Type="http://schemas.openxmlformats.org/officeDocument/2006/relationships/oleObject" Target="embeddings/oleObject1.bin"/><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16.png"/><Relationship Id="rId32" Type="http://schemas.openxmlformats.org/officeDocument/2006/relationships/image" Target="media/image15.png"/><Relationship Id="rId31" Type="http://schemas.openxmlformats.org/officeDocument/2006/relationships/image" Target="media/image14.wmf"/><Relationship Id="rId30" Type="http://schemas.openxmlformats.org/officeDocument/2006/relationships/oleObject" Target="embeddings/oleObject12.bin"/><Relationship Id="rId3" Type="http://schemas.openxmlformats.org/officeDocument/2006/relationships/header" Target="header1.xml"/><Relationship Id="rId29" Type="http://schemas.openxmlformats.org/officeDocument/2006/relationships/image" Target="media/image13.wmf"/><Relationship Id="rId28" Type="http://schemas.openxmlformats.org/officeDocument/2006/relationships/oleObject" Target="embeddings/oleObject11.bin"/><Relationship Id="rId27" Type="http://schemas.openxmlformats.org/officeDocument/2006/relationships/image" Target="media/image12.wmf"/><Relationship Id="rId26" Type="http://schemas.openxmlformats.org/officeDocument/2006/relationships/oleObject" Target="embeddings/oleObject10.bin"/><Relationship Id="rId25" Type="http://schemas.openxmlformats.org/officeDocument/2006/relationships/image" Target="media/image11.wmf"/><Relationship Id="rId24" Type="http://schemas.openxmlformats.org/officeDocument/2006/relationships/oleObject" Target="embeddings/oleObject9.bin"/><Relationship Id="rId23" Type="http://schemas.openxmlformats.org/officeDocument/2006/relationships/image" Target="media/image10.wmf"/><Relationship Id="rId22" Type="http://schemas.openxmlformats.org/officeDocument/2006/relationships/oleObject" Target="embeddings/oleObject8.bin"/><Relationship Id="rId21" Type="http://schemas.openxmlformats.org/officeDocument/2006/relationships/image" Target="media/image9.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6.bin"/><Relationship Id="rId17" Type="http://schemas.openxmlformats.org/officeDocument/2006/relationships/image" Target="media/image7.wmf"/><Relationship Id="rId16" Type="http://schemas.openxmlformats.org/officeDocument/2006/relationships/oleObject" Target="embeddings/oleObject5.bin"/><Relationship Id="rId15" Type="http://schemas.openxmlformats.org/officeDocument/2006/relationships/image" Target="media/image6.wmf"/><Relationship Id="rId14" Type="http://schemas.openxmlformats.org/officeDocument/2006/relationships/oleObject" Target="embeddings/oleObject4.bin"/><Relationship Id="rId13" Type="http://schemas.openxmlformats.org/officeDocument/2006/relationships/image" Target="media/image5.wmf"/><Relationship Id="rId12" Type="http://schemas.openxmlformats.org/officeDocument/2006/relationships/oleObject" Target="embeddings/oleObject3.bin"/><Relationship Id="rId11" Type="http://schemas.openxmlformats.org/officeDocument/2006/relationships/image" Target="media/image4.w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92</Pages>
  <Words>964</Words>
  <Characters>1096</Characters>
  <Lines>459</Lines>
  <Paragraphs>129</Paragraphs>
  <TotalTime>5</TotalTime>
  <ScaleCrop>false</ScaleCrop>
  <LinksUpToDate>false</LinksUpToDate>
  <CharactersWithSpaces>1269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2024-07-04T19:08:00Z</dcterms:created>
  <dc:creator>Administrator</dc:creator>
  <cp:lastModifiedBy>明正</cp:lastModifiedBy>
  <cp:lastPrinted>2024-10-31T01:02:00Z</cp:lastPrinted>
  <dcterms:modified xsi:type="dcterms:W3CDTF">2025-06-30T09:31:57Z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2024-07-30T11:15:44Z</vt:filetime>
  </property>
  <property fmtid="{D5CDD505-2E9C-101B-9397-08002B2CF9AE}" pid="4" name="KSOProductBuildVer">
    <vt:lpwstr>2052-12.1.0.21541</vt:lpwstr>
  </property>
  <property fmtid="{D5CDD505-2E9C-101B-9397-08002B2CF9AE}" pid="5" name="ICV">
    <vt:lpwstr>576AFC8A88034643ABECC5780F216476_13</vt:lpwstr>
  </property>
  <property fmtid="{D5CDD505-2E9C-101B-9397-08002B2CF9AE}" pid="6" name="KSOTemplateDocerSaveRecord">
    <vt:lpwstr>eyJoZGlkIjoiY2ZiMzI0MGUwZmU4OTk2OGQwYTNlYmNmYzRlNTVkMmIiLCJ1c2VySWQiOiIzMjI4NDYzOTkifQ==</vt:lpwstr>
  </property>
</Properties>
</file>