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C46ECF">
      <w:pPr>
        <w:pStyle w:val="47"/>
        <w:spacing w:line="360" w:lineRule="auto"/>
        <w:jc w:val="cente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pPr>
      <w:r>
        <w:rPr>
          <w:rFonts w:hint="eastAsia" w:ascii="宋体" w:hAnsi="宋体" w:eastAsia="宋体" w:cs="宋体"/>
          <w:b/>
          <w:bCs/>
          <w:color w:val="auto"/>
          <w:sz w:val="48"/>
          <w:szCs w:val="48"/>
          <w:highlight w:val="none"/>
          <w:lang w:eastAsia="zh-CN"/>
        </w:rPr>
        <w:t>曲江经济开发区东南片区基础设施建设项目（三期）-白土新建污水处理厂应急池工程施工</w:t>
      </w:r>
      <w:r>
        <w:rPr>
          <w:rFonts w:hint="eastAsia" w:ascii="宋体" w:hAnsi="宋体" w:eastAsia="宋体" w:cs="宋体"/>
          <w:b/>
          <w:bCs/>
          <w:color w:val="auto"/>
          <w:spacing w:val="26"/>
          <w:sz w:val="84"/>
          <w:szCs w:val="84"/>
          <w:highlight w:val="none"/>
          <w14:shadow w14:blurRad="50800" w14:dist="38100" w14:dir="2700000" w14:sx="100000" w14:sy="100000" w14:kx="0" w14:ky="0" w14:algn="tl">
            <w14:srgbClr w14:val="000000">
              <w14:alpha w14:val="60000"/>
            </w14:srgbClr>
          </w14:shadow>
        </w:rPr>
        <w:t>招标文件</w:t>
      </w:r>
    </w:p>
    <w:p w14:paraId="7DCD3DE8">
      <w:pPr>
        <w:pStyle w:val="47"/>
        <w:spacing w:line="360" w:lineRule="auto"/>
        <w:rPr>
          <w:rFonts w:hint="eastAsia" w:ascii="宋体" w:hAnsi="宋体" w:eastAsia="宋体" w:cs="宋体"/>
          <w:b/>
          <w:bCs/>
          <w:color w:val="auto"/>
          <w:spacing w:val="26"/>
          <w:sz w:val="52"/>
          <w:szCs w:val="52"/>
          <w:highlight w:val="none"/>
          <w14:shadow w14:blurRad="50800" w14:dist="38100" w14:dir="2700000" w14:sx="100000" w14:sy="100000" w14:kx="0" w14:ky="0" w14:algn="tl">
            <w14:srgbClr w14:val="000000">
              <w14:alpha w14:val="60000"/>
            </w14:srgbClr>
          </w14:shadow>
        </w:rPr>
      </w:pPr>
    </w:p>
    <w:tbl>
      <w:tblPr>
        <w:tblStyle w:val="14"/>
        <w:tblpPr w:leftFromText="180" w:rightFromText="180" w:vertAnchor="text" w:horzAnchor="page" w:tblpX="1312" w:tblpY="423"/>
        <w:tblOverlap w:val="never"/>
        <w:tblW w:w="9659" w:type="dxa"/>
        <w:tblInd w:w="0" w:type="dxa"/>
        <w:tblLayout w:type="fixed"/>
        <w:tblCellMar>
          <w:top w:w="0" w:type="dxa"/>
          <w:left w:w="0" w:type="dxa"/>
          <w:bottom w:w="0" w:type="dxa"/>
          <w:right w:w="0" w:type="dxa"/>
        </w:tblCellMar>
      </w:tblPr>
      <w:tblGrid>
        <w:gridCol w:w="4815"/>
        <w:gridCol w:w="4844"/>
      </w:tblGrid>
      <w:tr w14:paraId="603DDFDA">
        <w:tblPrEx>
          <w:tblCellMar>
            <w:top w:w="0" w:type="dxa"/>
            <w:left w:w="0" w:type="dxa"/>
            <w:bottom w:w="0" w:type="dxa"/>
            <w:right w:w="0" w:type="dxa"/>
          </w:tblCellMar>
        </w:tblPrEx>
        <w:trPr>
          <w:trHeight w:val="1057" w:hRule="atLeast"/>
        </w:trPr>
        <w:tc>
          <w:tcPr>
            <w:tcW w:w="4815" w:type="dxa"/>
            <w:noWrap w:val="0"/>
            <w:vAlign w:val="center"/>
          </w:tcPr>
          <w:p w14:paraId="1AA45157">
            <w:pPr>
              <w:pStyle w:val="48"/>
              <w:spacing w:line="240" w:lineRule="auto"/>
              <w:rPr>
                <w:rFonts w:hint="eastAsia" w:hAnsi="宋体" w:cs="宋体"/>
                <w:color w:val="auto"/>
                <w:sz w:val="28"/>
                <w:szCs w:val="28"/>
                <w:highlight w:val="none"/>
              </w:rPr>
            </w:pPr>
            <w:r>
              <w:rPr>
                <w:rFonts w:hint="eastAsia" w:hAnsi="宋体" w:cs="宋体"/>
                <w:color w:val="auto"/>
                <w:sz w:val="28"/>
                <w:szCs w:val="28"/>
                <w:highlight w:val="none"/>
              </w:rPr>
              <w:t xml:space="preserve"> 招        标        人（盖 章）：</w:t>
            </w:r>
          </w:p>
        </w:tc>
        <w:tc>
          <w:tcPr>
            <w:tcW w:w="4844" w:type="dxa"/>
            <w:noWrap w:val="0"/>
            <w:vAlign w:val="center"/>
          </w:tcPr>
          <w:p w14:paraId="29B0B35A">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广东韶关曲江经济开发区管理委员会</w:t>
            </w:r>
          </w:p>
        </w:tc>
      </w:tr>
      <w:tr w14:paraId="283EC587">
        <w:tblPrEx>
          <w:tblCellMar>
            <w:top w:w="0" w:type="dxa"/>
            <w:left w:w="0" w:type="dxa"/>
            <w:bottom w:w="0" w:type="dxa"/>
            <w:right w:w="0" w:type="dxa"/>
          </w:tblCellMar>
        </w:tblPrEx>
        <w:trPr>
          <w:trHeight w:val="1158" w:hRule="atLeast"/>
        </w:trPr>
        <w:tc>
          <w:tcPr>
            <w:tcW w:w="4815" w:type="dxa"/>
            <w:noWrap w:val="0"/>
            <w:vAlign w:val="center"/>
          </w:tcPr>
          <w:p w14:paraId="546E4F45">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招标人工作领导小组负责人（签字）：</w:t>
            </w:r>
          </w:p>
        </w:tc>
        <w:tc>
          <w:tcPr>
            <w:tcW w:w="4844" w:type="dxa"/>
            <w:noWrap w:val="0"/>
            <w:vAlign w:val="center"/>
          </w:tcPr>
          <w:p w14:paraId="7C232D38">
            <w:pPr>
              <w:pStyle w:val="48"/>
              <w:spacing w:line="240" w:lineRule="auto"/>
              <w:rPr>
                <w:rFonts w:hint="eastAsia" w:hAnsi="宋体" w:cs="宋体"/>
                <w:color w:val="auto"/>
                <w:sz w:val="28"/>
                <w:szCs w:val="28"/>
                <w:highlight w:val="none"/>
              </w:rPr>
            </w:pPr>
          </w:p>
        </w:tc>
      </w:tr>
      <w:tr w14:paraId="00F7A803">
        <w:tblPrEx>
          <w:tblCellMar>
            <w:top w:w="0" w:type="dxa"/>
            <w:left w:w="0" w:type="dxa"/>
            <w:bottom w:w="0" w:type="dxa"/>
            <w:right w:w="0" w:type="dxa"/>
          </w:tblCellMar>
        </w:tblPrEx>
        <w:trPr>
          <w:trHeight w:val="1083" w:hRule="atLeast"/>
        </w:trPr>
        <w:tc>
          <w:tcPr>
            <w:tcW w:w="4815" w:type="dxa"/>
            <w:noWrap w:val="0"/>
            <w:vAlign w:val="center"/>
          </w:tcPr>
          <w:p w14:paraId="11F17759">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代  理  机  构（盖 章）：</w:t>
            </w:r>
          </w:p>
        </w:tc>
        <w:tc>
          <w:tcPr>
            <w:tcW w:w="4844" w:type="dxa"/>
            <w:noWrap w:val="0"/>
            <w:vAlign w:val="center"/>
          </w:tcPr>
          <w:p w14:paraId="1D53D657">
            <w:pPr>
              <w:pStyle w:val="48"/>
              <w:spacing w:line="240" w:lineRule="auto"/>
              <w:rPr>
                <w:rFonts w:hint="eastAsia" w:hAnsi="宋体" w:eastAsia="宋体" w:cs="宋体"/>
                <w:color w:val="auto"/>
                <w:sz w:val="28"/>
                <w:szCs w:val="28"/>
                <w:highlight w:val="none"/>
                <w:lang w:eastAsia="zh-CN"/>
              </w:rPr>
            </w:pPr>
            <w:r>
              <w:rPr>
                <w:rFonts w:hint="eastAsia" w:hAnsi="宋体" w:cs="宋体"/>
                <w:color w:val="auto"/>
                <w:sz w:val="28"/>
                <w:szCs w:val="28"/>
                <w:highlight w:val="none"/>
                <w:lang w:eastAsia="zh-CN"/>
              </w:rPr>
              <w:t>广东合正项目管理有限公司</w:t>
            </w:r>
          </w:p>
        </w:tc>
      </w:tr>
      <w:tr w14:paraId="4DDEDF31">
        <w:tblPrEx>
          <w:tblCellMar>
            <w:top w:w="0" w:type="dxa"/>
            <w:left w:w="0" w:type="dxa"/>
            <w:bottom w:w="0" w:type="dxa"/>
            <w:right w:w="0" w:type="dxa"/>
          </w:tblCellMar>
        </w:tblPrEx>
        <w:trPr>
          <w:trHeight w:val="1192" w:hRule="atLeast"/>
        </w:trPr>
        <w:tc>
          <w:tcPr>
            <w:tcW w:w="4815" w:type="dxa"/>
            <w:noWrap w:val="0"/>
            <w:vAlign w:val="center"/>
          </w:tcPr>
          <w:p w14:paraId="11DFDA6F">
            <w:pPr>
              <w:pStyle w:val="48"/>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人 （签字）：</w:t>
            </w:r>
          </w:p>
        </w:tc>
        <w:tc>
          <w:tcPr>
            <w:tcW w:w="4844" w:type="dxa"/>
            <w:noWrap w:val="0"/>
            <w:vAlign w:val="center"/>
          </w:tcPr>
          <w:p w14:paraId="5E431CC2">
            <w:pPr>
              <w:pStyle w:val="48"/>
              <w:spacing w:line="240" w:lineRule="auto"/>
              <w:rPr>
                <w:rFonts w:hint="eastAsia" w:hAnsi="宋体" w:cs="宋体"/>
                <w:color w:val="auto"/>
                <w:sz w:val="28"/>
                <w:szCs w:val="28"/>
                <w:highlight w:val="none"/>
              </w:rPr>
            </w:pPr>
          </w:p>
        </w:tc>
      </w:tr>
      <w:tr w14:paraId="6C910399">
        <w:tblPrEx>
          <w:tblCellMar>
            <w:top w:w="0" w:type="dxa"/>
            <w:left w:w="0" w:type="dxa"/>
            <w:bottom w:w="0" w:type="dxa"/>
            <w:right w:w="0" w:type="dxa"/>
          </w:tblCellMar>
        </w:tblPrEx>
        <w:trPr>
          <w:trHeight w:val="1217" w:hRule="atLeast"/>
        </w:trPr>
        <w:tc>
          <w:tcPr>
            <w:tcW w:w="4815" w:type="dxa"/>
            <w:noWrap w:val="0"/>
            <w:vAlign w:val="center"/>
          </w:tcPr>
          <w:p w14:paraId="79310207">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招标代理机构项目负责人 （签字）：</w:t>
            </w:r>
          </w:p>
        </w:tc>
        <w:tc>
          <w:tcPr>
            <w:tcW w:w="4844" w:type="dxa"/>
            <w:noWrap w:val="0"/>
            <w:vAlign w:val="center"/>
          </w:tcPr>
          <w:p w14:paraId="70E9C3C5">
            <w:pPr>
              <w:pStyle w:val="48"/>
              <w:spacing w:line="240" w:lineRule="auto"/>
              <w:rPr>
                <w:rFonts w:hint="eastAsia" w:hAnsi="宋体" w:cs="宋体"/>
                <w:color w:val="auto"/>
                <w:sz w:val="28"/>
                <w:szCs w:val="28"/>
                <w:highlight w:val="none"/>
              </w:rPr>
            </w:pPr>
          </w:p>
        </w:tc>
      </w:tr>
      <w:tr w14:paraId="76E30F8E">
        <w:tblPrEx>
          <w:tblCellMar>
            <w:top w:w="0" w:type="dxa"/>
            <w:left w:w="0" w:type="dxa"/>
            <w:bottom w:w="0" w:type="dxa"/>
            <w:right w:w="0" w:type="dxa"/>
          </w:tblCellMar>
        </w:tblPrEx>
        <w:trPr>
          <w:trHeight w:val="950" w:hRule="atLeast"/>
        </w:trPr>
        <w:tc>
          <w:tcPr>
            <w:tcW w:w="4815" w:type="dxa"/>
            <w:noWrap w:val="0"/>
            <w:vAlign w:val="center"/>
          </w:tcPr>
          <w:p w14:paraId="64E894CD">
            <w:pPr>
              <w:pStyle w:val="48"/>
              <w:wordWrap w:val="0"/>
              <w:spacing w:line="240" w:lineRule="auto"/>
              <w:jc w:val="left"/>
              <w:rPr>
                <w:rFonts w:hint="eastAsia" w:hAnsi="宋体" w:cs="宋体"/>
                <w:color w:val="auto"/>
                <w:sz w:val="28"/>
                <w:highlight w:val="none"/>
              </w:rPr>
            </w:pPr>
            <w:r>
              <w:rPr>
                <w:rFonts w:hint="eastAsia" w:hAnsi="宋体" w:cs="宋体"/>
                <w:color w:val="auto"/>
                <w:sz w:val="28"/>
                <w:highlight w:val="none"/>
              </w:rPr>
              <w:t xml:space="preserve"> 招  标  文  件  编  制  日  期： </w:t>
            </w:r>
          </w:p>
        </w:tc>
        <w:tc>
          <w:tcPr>
            <w:tcW w:w="4844" w:type="dxa"/>
            <w:noWrap w:val="0"/>
            <w:vAlign w:val="center"/>
          </w:tcPr>
          <w:p w14:paraId="04C4C7AC">
            <w:pPr>
              <w:pStyle w:val="48"/>
              <w:spacing w:line="240" w:lineRule="auto"/>
              <w:rPr>
                <w:rFonts w:hint="eastAsia" w:hAnsi="宋体" w:cs="宋体"/>
                <w:color w:val="auto"/>
                <w:sz w:val="28"/>
                <w:highlight w:val="none"/>
              </w:rPr>
            </w:pPr>
            <w:r>
              <w:rPr>
                <w:rFonts w:hint="eastAsia" w:hAnsi="宋体" w:cs="宋体"/>
                <w:color w:val="auto"/>
                <w:sz w:val="28"/>
                <w:highlight w:val="none"/>
              </w:rPr>
              <w:t>202</w:t>
            </w:r>
            <w:r>
              <w:rPr>
                <w:rFonts w:hint="eastAsia" w:hAnsi="宋体" w:cs="宋体"/>
                <w:color w:val="auto"/>
                <w:sz w:val="28"/>
                <w:highlight w:val="none"/>
                <w:lang w:val="en-US" w:eastAsia="zh-CN"/>
              </w:rPr>
              <w:t>6</w:t>
            </w:r>
            <w:r>
              <w:rPr>
                <w:rFonts w:hint="eastAsia" w:hAnsi="宋体" w:cs="宋体"/>
                <w:color w:val="auto"/>
                <w:sz w:val="28"/>
                <w:highlight w:val="none"/>
              </w:rPr>
              <w:t>年</w:t>
            </w:r>
            <w:r>
              <w:rPr>
                <w:rFonts w:hint="eastAsia" w:hAnsi="宋体" w:cs="宋体"/>
                <w:color w:val="auto"/>
                <w:sz w:val="28"/>
                <w:highlight w:val="none"/>
                <w:lang w:val="en-US" w:eastAsia="zh-CN"/>
              </w:rPr>
              <w:t>7</w:t>
            </w:r>
            <w:r>
              <w:rPr>
                <w:rFonts w:hint="eastAsia" w:hAnsi="宋体" w:cs="宋体"/>
                <w:color w:val="auto"/>
                <w:sz w:val="28"/>
                <w:highlight w:val="none"/>
              </w:rPr>
              <w:t>月</w:t>
            </w:r>
          </w:p>
        </w:tc>
      </w:tr>
    </w:tbl>
    <w:p w14:paraId="78748F2F">
      <w:pPr>
        <w:pStyle w:val="2"/>
        <w:rPr>
          <w:rFonts w:hint="eastAsia" w:ascii="宋体" w:hAnsi="宋体" w:eastAsia="宋体" w:cs="宋体"/>
          <w:b/>
          <w:bCs/>
          <w:color w:val="auto"/>
          <w:kern w:val="2"/>
          <w:sz w:val="56"/>
          <w:szCs w:val="72"/>
          <w:highlight w:val="none"/>
          <w:u w:val="none"/>
          <w:lang w:val="en-US" w:eastAsia="zh-CN" w:bidi="ar-SA"/>
        </w:rPr>
      </w:pPr>
    </w:p>
    <w:p w14:paraId="6E29DB7F">
      <w:pPr>
        <w:rPr>
          <w:rFonts w:hint="eastAsia" w:ascii="宋体" w:hAnsi="宋体" w:eastAsia="宋体" w:cs="宋体"/>
          <w:b/>
          <w:bCs/>
          <w:color w:val="auto"/>
          <w:kern w:val="2"/>
          <w:sz w:val="56"/>
          <w:szCs w:val="72"/>
          <w:highlight w:val="none"/>
          <w:u w:val="none"/>
          <w:lang w:val="en-US" w:eastAsia="zh-CN" w:bidi="ar-SA"/>
        </w:rPr>
      </w:pPr>
    </w:p>
    <w:p w14:paraId="7A96D5DD">
      <w:pPr>
        <w:rPr>
          <w:rFonts w:hint="eastAsia" w:ascii="宋体" w:hAnsi="宋体" w:eastAsia="宋体" w:cs="宋体"/>
          <w:b/>
          <w:bCs/>
          <w:color w:val="auto"/>
          <w:kern w:val="2"/>
          <w:sz w:val="56"/>
          <w:szCs w:val="72"/>
          <w:highlight w:val="none"/>
          <w:u w:val="none"/>
          <w:lang w:val="en-US" w:eastAsia="zh-CN" w:bidi="ar-SA"/>
        </w:rPr>
        <w:sectPr>
          <w:headerReference r:id="rId3"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242E58A3">
      <w:pPr>
        <w:rPr>
          <w:rFonts w:hint="eastAsia" w:ascii="宋体" w:hAnsi="宋体" w:eastAsia="宋体" w:cs="宋体"/>
          <w:color w:val="auto"/>
          <w:highlight w:val="none"/>
        </w:rPr>
      </w:pPr>
    </w:p>
    <w:p w14:paraId="06400B0C">
      <w:pPr>
        <w:pStyle w:val="2"/>
        <w:rPr>
          <w:rFonts w:hint="eastAsia" w:ascii="宋体" w:hAnsi="宋体" w:eastAsia="宋体" w:cs="宋体"/>
          <w:color w:val="auto"/>
          <w:highlight w:val="none"/>
        </w:rPr>
      </w:pPr>
    </w:p>
    <w:p w14:paraId="016AE2D3">
      <w:pPr>
        <w:rPr>
          <w:rFonts w:hint="eastAsia" w:ascii="宋体" w:hAnsi="宋体" w:eastAsia="宋体" w:cs="宋体"/>
          <w:color w:val="auto"/>
          <w:highlight w:val="none"/>
        </w:rPr>
      </w:pPr>
    </w:p>
    <w:p w14:paraId="58C6CBA6">
      <w:pPr>
        <w:pStyle w:val="2"/>
        <w:rPr>
          <w:rFonts w:hint="eastAsia" w:ascii="宋体" w:hAnsi="宋体" w:eastAsia="宋体" w:cs="宋体"/>
          <w:color w:val="auto"/>
          <w:highlight w:val="none"/>
        </w:rPr>
      </w:pPr>
    </w:p>
    <w:p w14:paraId="0437F369">
      <w:pPr>
        <w:rPr>
          <w:rFonts w:hint="eastAsia" w:ascii="宋体" w:hAnsi="宋体" w:eastAsia="宋体" w:cs="宋体"/>
          <w:color w:val="auto"/>
          <w:highlight w:val="none"/>
        </w:rPr>
      </w:pPr>
    </w:p>
    <w:p w14:paraId="1D144B65">
      <w:pPr>
        <w:pStyle w:val="2"/>
        <w:rPr>
          <w:rFonts w:hint="eastAsia" w:ascii="宋体" w:hAnsi="宋体" w:eastAsia="宋体" w:cs="宋体"/>
          <w:color w:val="auto"/>
          <w:highlight w:val="none"/>
        </w:rPr>
      </w:pPr>
    </w:p>
    <w:p w14:paraId="152CE3DA">
      <w:pPr>
        <w:rPr>
          <w:rFonts w:hint="eastAsia" w:ascii="宋体" w:hAnsi="宋体" w:eastAsia="宋体" w:cs="宋体"/>
          <w:color w:val="auto"/>
          <w:highlight w:val="none"/>
        </w:rPr>
      </w:pPr>
    </w:p>
    <w:p w14:paraId="1DA39165">
      <w:pPr>
        <w:pStyle w:val="2"/>
        <w:rPr>
          <w:rFonts w:hint="eastAsia" w:ascii="宋体" w:hAnsi="宋体" w:eastAsia="宋体" w:cs="宋体"/>
          <w:color w:val="auto"/>
          <w:highlight w:val="none"/>
        </w:rPr>
      </w:pPr>
    </w:p>
    <w:p w14:paraId="507EDEAD">
      <w:pPr>
        <w:rPr>
          <w:rFonts w:hint="eastAsia" w:ascii="宋体" w:hAnsi="宋体" w:eastAsia="宋体" w:cs="宋体"/>
          <w:color w:val="auto"/>
          <w:highlight w:val="none"/>
        </w:rPr>
      </w:pPr>
    </w:p>
    <w:p w14:paraId="2E9C4E86">
      <w:pPr>
        <w:pStyle w:val="2"/>
        <w:rPr>
          <w:rFonts w:hint="eastAsia" w:ascii="宋体" w:hAnsi="宋体" w:eastAsia="宋体" w:cs="宋体"/>
          <w:color w:val="auto"/>
          <w:highlight w:val="none"/>
        </w:rPr>
      </w:pPr>
    </w:p>
    <w:p w14:paraId="1E4DB4F4">
      <w:pPr>
        <w:rPr>
          <w:rFonts w:hint="eastAsia" w:ascii="宋体" w:hAnsi="宋体" w:eastAsia="宋体" w:cs="宋体"/>
          <w:color w:val="auto"/>
          <w:highlight w:val="none"/>
        </w:rPr>
      </w:pPr>
    </w:p>
    <w:p w14:paraId="460CD78C">
      <w:pPr>
        <w:pStyle w:val="2"/>
        <w:rPr>
          <w:rFonts w:hint="eastAsia" w:ascii="宋体" w:hAnsi="宋体" w:eastAsia="宋体" w:cs="宋体"/>
          <w:color w:val="auto"/>
          <w:highlight w:val="none"/>
        </w:rPr>
      </w:pPr>
    </w:p>
    <w:p w14:paraId="517E42DE">
      <w:pPr>
        <w:rPr>
          <w:rFonts w:hint="eastAsia" w:ascii="宋体" w:hAnsi="宋体" w:eastAsia="宋体" w:cs="宋体"/>
          <w:color w:val="auto"/>
          <w:highlight w:val="none"/>
        </w:rPr>
      </w:pPr>
    </w:p>
    <w:p w14:paraId="4F122E4C">
      <w:pPr>
        <w:pStyle w:val="2"/>
        <w:rPr>
          <w:rFonts w:hint="eastAsia" w:ascii="宋体" w:hAnsi="宋体" w:eastAsia="宋体" w:cs="宋体"/>
          <w:color w:val="auto"/>
          <w:highlight w:val="none"/>
        </w:rPr>
      </w:pPr>
    </w:p>
    <w:p w14:paraId="1F9EBCBB">
      <w:pPr>
        <w:rPr>
          <w:rFonts w:hint="eastAsia" w:ascii="宋体" w:hAnsi="宋体" w:eastAsia="宋体" w:cs="宋体"/>
          <w:color w:val="auto"/>
          <w:highlight w:val="none"/>
        </w:rPr>
      </w:pPr>
    </w:p>
    <w:p w14:paraId="07290AB6">
      <w:pPr>
        <w:pStyle w:val="2"/>
        <w:rPr>
          <w:rFonts w:hint="eastAsia" w:ascii="宋体" w:hAnsi="宋体" w:eastAsia="宋体" w:cs="宋体"/>
          <w:color w:val="auto"/>
          <w:highlight w:val="none"/>
        </w:rPr>
      </w:pPr>
    </w:p>
    <w:p w14:paraId="4DBFB2FB">
      <w:pPr>
        <w:rPr>
          <w:rFonts w:hint="eastAsia" w:ascii="宋体" w:hAnsi="宋体" w:eastAsia="宋体" w:cs="宋体"/>
          <w:color w:val="auto"/>
          <w:highlight w:val="none"/>
        </w:rPr>
      </w:pPr>
    </w:p>
    <w:p w14:paraId="5B7EEA2D">
      <w:pPr>
        <w:pStyle w:val="2"/>
        <w:rPr>
          <w:rFonts w:hint="eastAsia" w:ascii="宋体" w:hAnsi="宋体" w:eastAsia="宋体" w:cs="宋体"/>
          <w:color w:val="auto"/>
          <w:highlight w:val="none"/>
        </w:rPr>
      </w:pPr>
    </w:p>
    <w:p w14:paraId="555D59F5">
      <w:pPr>
        <w:rPr>
          <w:rFonts w:hint="eastAsia" w:ascii="宋体" w:hAnsi="宋体" w:eastAsia="宋体" w:cs="宋体"/>
          <w:color w:val="auto"/>
          <w:highlight w:val="none"/>
        </w:rPr>
      </w:pPr>
    </w:p>
    <w:p w14:paraId="209826F2">
      <w:pPr>
        <w:pStyle w:val="2"/>
        <w:rPr>
          <w:rFonts w:hint="eastAsia" w:ascii="宋体" w:hAnsi="宋体" w:eastAsia="宋体" w:cs="宋体"/>
          <w:color w:val="auto"/>
          <w:highlight w:val="none"/>
        </w:rPr>
      </w:pPr>
    </w:p>
    <w:p w14:paraId="6D7691F7">
      <w:pPr>
        <w:rPr>
          <w:rFonts w:hint="eastAsia" w:ascii="宋体" w:hAnsi="宋体" w:eastAsia="宋体" w:cs="宋体"/>
          <w:color w:val="auto"/>
          <w:highlight w:val="none"/>
        </w:rPr>
      </w:pPr>
    </w:p>
    <w:p w14:paraId="5C7D8132">
      <w:pPr>
        <w:pStyle w:val="2"/>
        <w:rPr>
          <w:rFonts w:hint="eastAsia" w:ascii="宋体" w:hAnsi="宋体" w:eastAsia="宋体" w:cs="宋体"/>
          <w:color w:val="auto"/>
          <w:highlight w:val="none"/>
        </w:rPr>
      </w:pPr>
    </w:p>
    <w:p w14:paraId="30AF8E81">
      <w:pPr>
        <w:rPr>
          <w:rFonts w:hint="eastAsia" w:ascii="宋体" w:hAnsi="宋体" w:eastAsia="宋体" w:cs="宋体"/>
          <w:color w:val="auto"/>
          <w:highlight w:val="none"/>
        </w:rPr>
      </w:pPr>
    </w:p>
    <w:p w14:paraId="4EF15235">
      <w:pPr>
        <w:pStyle w:val="2"/>
        <w:rPr>
          <w:rFonts w:hint="eastAsia" w:ascii="宋体" w:hAnsi="宋体" w:eastAsia="宋体" w:cs="宋体"/>
          <w:color w:val="auto"/>
          <w:highlight w:val="none"/>
        </w:rPr>
      </w:pPr>
    </w:p>
    <w:p w14:paraId="3C812420">
      <w:pPr>
        <w:rPr>
          <w:rFonts w:hint="eastAsia" w:ascii="宋体" w:hAnsi="宋体" w:eastAsia="宋体" w:cs="宋体"/>
          <w:color w:val="auto"/>
          <w:highlight w:val="none"/>
        </w:rPr>
      </w:pPr>
    </w:p>
    <w:p w14:paraId="693910ED">
      <w:pPr>
        <w:pStyle w:val="2"/>
        <w:rPr>
          <w:rFonts w:hint="eastAsia" w:ascii="宋体" w:hAnsi="宋体" w:eastAsia="宋体" w:cs="宋体"/>
          <w:color w:val="auto"/>
          <w:highlight w:val="none"/>
        </w:rPr>
      </w:pPr>
    </w:p>
    <w:p w14:paraId="5A1CCC6F">
      <w:pPr>
        <w:rPr>
          <w:rFonts w:hint="eastAsia" w:ascii="宋体" w:hAnsi="宋体" w:eastAsia="宋体" w:cs="宋体"/>
          <w:color w:val="auto"/>
          <w:highlight w:val="none"/>
        </w:rPr>
      </w:pPr>
    </w:p>
    <w:p w14:paraId="1E3A47DB">
      <w:pPr>
        <w:pStyle w:val="2"/>
        <w:rPr>
          <w:rFonts w:hint="eastAsia" w:ascii="宋体" w:hAnsi="宋体" w:eastAsia="宋体" w:cs="宋体"/>
          <w:color w:val="auto"/>
          <w:highlight w:val="none"/>
        </w:rPr>
      </w:pPr>
    </w:p>
    <w:p w14:paraId="47A31D47">
      <w:pPr>
        <w:rPr>
          <w:rFonts w:hint="eastAsia" w:ascii="宋体" w:hAnsi="宋体" w:eastAsia="宋体" w:cs="宋体"/>
          <w:color w:val="auto"/>
          <w:highlight w:val="none"/>
        </w:rPr>
      </w:pPr>
    </w:p>
    <w:p w14:paraId="5CD331B2">
      <w:pPr>
        <w:pStyle w:val="2"/>
        <w:rPr>
          <w:rFonts w:hint="eastAsia" w:ascii="宋体" w:hAnsi="宋体" w:eastAsia="宋体" w:cs="宋体"/>
          <w:color w:val="auto"/>
          <w:highlight w:val="none"/>
        </w:rPr>
      </w:pPr>
    </w:p>
    <w:p w14:paraId="4DECD5B5">
      <w:pPr>
        <w:rPr>
          <w:rFonts w:hint="eastAsia" w:ascii="宋体" w:hAnsi="宋体" w:eastAsia="宋体" w:cs="宋体"/>
          <w:color w:val="auto"/>
          <w:highlight w:val="none"/>
        </w:rPr>
      </w:pPr>
    </w:p>
    <w:p w14:paraId="272CBF4C">
      <w:pPr>
        <w:pStyle w:val="2"/>
        <w:rPr>
          <w:rFonts w:hint="eastAsia" w:ascii="宋体" w:hAnsi="宋体" w:eastAsia="宋体" w:cs="宋体"/>
          <w:color w:val="auto"/>
          <w:highlight w:val="none"/>
        </w:rPr>
      </w:pPr>
    </w:p>
    <w:p w14:paraId="5C0E220F">
      <w:pPr>
        <w:rPr>
          <w:rFonts w:hint="eastAsia" w:ascii="宋体" w:hAnsi="宋体" w:eastAsia="宋体" w:cs="宋体"/>
          <w:color w:val="auto"/>
          <w:highlight w:val="none"/>
        </w:rPr>
      </w:pPr>
    </w:p>
    <w:p w14:paraId="3BADE11E">
      <w:pPr>
        <w:pStyle w:val="2"/>
        <w:rPr>
          <w:rFonts w:hint="eastAsia" w:ascii="宋体" w:hAnsi="宋体" w:eastAsia="宋体" w:cs="宋体"/>
          <w:color w:val="auto"/>
          <w:highlight w:val="none"/>
        </w:rPr>
      </w:pPr>
    </w:p>
    <w:p w14:paraId="74910C0E">
      <w:pPr>
        <w:rPr>
          <w:rFonts w:hint="eastAsia" w:ascii="宋体" w:hAnsi="宋体" w:eastAsia="宋体" w:cs="宋体"/>
          <w:color w:val="auto"/>
          <w:highlight w:val="none"/>
        </w:rPr>
      </w:pPr>
    </w:p>
    <w:p w14:paraId="0A2173D0">
      <w:pPr>
        <w:pStyle w:val="2"/>
        <w:rPr>
          <w:rFonts w:hint="eastAsia" w:ascii="宋体" w:hAnsi="宋体" w:eastAsia="宋体" w:cs="宋体"/>
          <w:color w:val="auto"/>
          <w:highlight w:val="none"/>
        </w:rPr>
      </w:pPr>
    </w:p>
    <w:p w14:paraId="237E1CCF">
      <w:pPr>
        <w:rPr>
          <w:rFonts w:hint="eastAsia" w:ascii="宋体" w:hAnsi="宋体" w:eastAsia="宋体" w:cs="宋体"/>
          <w:color w:val="auto"/>
          <w:highlight w:val="none"/>
        </w:rPr>
      </w:pPr>
    </w:p>
    <w:p w14:paraId="08A7E6B6">
      <w:pPr>
        <w:pStyle w:val="2"/>
        <w:rPr>
          <w:rFonts w:hint="eastAsia" w:ascii="宋体" w:hAnsi="宋体" w:eastAsia="宋体" w:cs="宋体"/>
          <w:color w:val="auto"/>
          <w:highlight w:val="none"/>
        </w:rPr>
      </w:pPr>
    </w:p>
    <w:p w14:paraId="2CD96D50">
      <w:pPr>
        <w:rPr>
          <w:rFonts w:hint="eastAsia" w:ascii="宋体" w:hAnsi="宋体" w:eastAsia="宋体" w:cs="宋体"/>
          <w:color w:val="auto"/>
          <w:highlight w:val="none"/>
        </w:rPr>
      </w:pPr>
    </w:p>
    <w:p w14:paraId="55A6A3F8">
      <w:pPr>
        <w:pStyle w:val="2"/>
        <w:rPr>
          <w:rFonts w:hint="eastAsia"/>
          <w:color w:val="auto"/>
          <w:highlight w:val="none"/>
        </w:rPr>
        <w:sectPr>
          <w:headerReference r:id="rId4" w:type="default"/>
          <w:footerReference r:id="rId5"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p>
    <w:p w14:paraId="48CEB0F6">
      <w:pPr>
        <w:rPr>
          <w:rFonts w:hint="eastAsia"/>
          <w:color w:val="auto"/>
          <w:highlight w:val="none"/>
        </w:rPr>
      </w:pPr>
    </w:p>
    <w:p w14:paraId="6EF33911">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目录</w:t>
      </w:r>
    </w:p>
    <w:p w14:paraId="3B9CCDC2">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"1-3"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_Toc30584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_Toc30584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55E0D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投标人须知前附表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_Toc1079 \h </w:instrText>
      </w:r>
      <w:r>
        <w:rPr>
          <w:color w:val="auto"/>
          <w:sz w:val="24"/>
          <w:szCs w:val="24"/>
          <w:highlight w:val="none"/>
        </w:rPr>
        <w:fldChar w:fldCharType="separate"/>
      </w:r>
      <w:r>
        <w:rPr>
          <w:color w:val="auto"/>
          <w:sz w:val="24"/>
          <w:szCs w:val="24"/>
          <w:highlight w:val="none"/>
        </w:rPr>
        <w:t>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42F6BD3">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_Toc14297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第二节 重要事项时间地点一览表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_Toc14297 \h </w:instrText>
      </w:r>
      <w:r>
        <w:rPr>
          <w:color w:val="auto"/>
          <w:sz w:val="24"/>
          <w:szCs w:val="24"/>
          <w:highlight w:val="none"/>
        </w:rPr>
        <w:fldChar w:fldCharType="separate"/>
      </w:r>
      <w:r>
        <w:rPr>
          <w:color w:val="auto"/>
          <w:sz w:val="24"/>
          <w:szCs w:val="24"/>
          <w:highlight w:val="none"/>
        </w:rPr>
        <w:t>11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E23004D">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_Toc9283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投标人须知正文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_Toc9283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9E5003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_Toc19017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4"/>
          <w:sz w:val="24"/>
          <w:szCs w:val="24"/>
          <w:highlight w:val="none"/>
        </w:rPr>
        <w:t>．项目概况、招标范围和标段划分、投标费用等</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_Toc19017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FBB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_Toc21208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2．</w:t>
      </w:r>
      <w:r>
        <w:rPr>
          <w:rFonts w:hint="eastAsia" w:ascii="宋体" w:hAnsi="宋体" w:eastAsia="宋体" w:cs="宋体"/>
          <w:bCs w:val="0"/>
          <w:color w:val="auto"/>
          <w:sz w:val="24"/>
          <w:szCs w:val="24"/>
          <w:highlight w:val="none"/>
          <w:lang w:eastAsia="zh-CN"/>
        </w:rPr>
        <w:t>投标人</w:t>
      </w:r>
      <w:r>
        <w:rPr>
          <w:rFonts w:hint="eastAsia" w:ascii="宋体" w:hAnsi="宋体" w:eastAsia="宋体" w:cs="宋体"/>
          <w:bCs w:val="0"/>
          <w:color w:val="auto"/>
          <w:sz w:val="24"/>
          <w:szCs w:val="24"/>
          <w:highlight w:val="none"/>
        </w:rPr>
        <w:t>资质要求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_Toc21208 \h </w:instrText>
      </w:r>
      <w:r>
        <w:rPr>
          <w:color w:val="auto"/>
          <w:sz w:val="24"/>
          <w:szCs w:val="24"/>
          <w:highlight w:val="none"/>
        </w:rPr>
        <w:fldChar w:fldCharType="separate"/>
      </w:r>
      <w:r>
        <w:rPr>
          <w:color w:val="auto"/>
          <w:sz w:val="24"/>
          <w:szCs w:val="24"/>
          <w:highlight w:val="none"/>
        </w:rPr>
        <w:t>12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8C265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_Toc21490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3．招标文件的获取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_Toc21490 \h </w:instrText>
      </w:r>
      <w:r>
        <w:rPr>
          <w:color w:val="auto"/>
          <w:sz w:val="24"/>
          <w:szCs w:val="24"/>
          <w:highlight w:val="none"/>
        </w:rPr>
        <w:fldChar w:fldCharType="separate"/>
      </w:r>
      <w:r>
        <w:rPr>
          <w:color w:val="auto"/>
          <w:sz w:val="24"/>
          <w:szCs w:val="24"/>
          <w:highlight w:val="none"/>
        </w:rPr>
        <w:t>14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AD9867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_Toc8255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8"/>
          <w:sz w:val="24"/>
          <w:szCs w:val="24"/>
          <w:highlight w:val="none"/>
          <w:lang w:val="en-US" w:eastAsia="zh-CN"/>
        </w:rPr>
        <w:t xml:space="preserve"> </w:t>
      </w:r>
      <w:r>
        <w:rPr>
          <w:rFonts w:hint="eastAsia" w:ascii="宋体" w:hAnsi="宋体" w:eastAsia="宋体" w:cs="宋体"/>
          <w:bCs/>
          <w:color w:val="auto"/>
          <w:spacing w:val="-8"/>
          <w:sz w:val="24"/>
          <w:szCs w:val="24"/>
          <w:highlight w:val="none"/>
        </w:rPr>
        <w:t>．工期要求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_Toc8255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8D7623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_Toc11449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5</w:t>
      </w:r>
      <w:r>
        <w:rPr>
          <w:rFonts w:hint="eastAsia" w:ascii="宋体" w:hAnsi="宋体" w:eastAsia="宋体" w:cs="宋体"/>
          <w:bCs/>
          <w:color w:val="auto"/>
          <w:spacing w:val="-5"/>
          <w:sz w:val="24"/>
          <w:szCs w:val="24"/>
          <w:highlight w:val="none"/>
          <w:lang w:val="en-US" w:eastAsia="zh-CN"/>
        </w:rPr>
        <w:t xml:space="preserve"> </w:t>
      </w:r>
      <w:r>
        <w:rPr>
          <w:rFonts w:hint="eastAsia" w:ascii="宋体" w:hAnsi="宋体" w:eastAsia="宋体" w:cs="宋体"/>
          <w:bCs/>
          <w:color w:val="auto"/>
          <w:spacing w:val="-5"/>
          <w:sz w:val="24"/>
          <w:szCs w:val="24"/>
          <w:highlight w:val="none"/>
        </w:rPr>
        <w:t>．质量标准和材料、机械要求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_Toc11449 \h </w:instrText>
      </w:r>
      <w:r>
        <w:rPr>
          <w:color w:val="auto"/>
          <w:sz w:val="24"/>
          <w:szCs w:val="24"/>
          <w:highlight w:val="none"/>
        </w:rPr>
        <w:fldChar w:fldCharType="separate"/>
      </w:r>
      <w:r>
        <w:rPr>
          <w:color w:val="auto"/>
          <w:sz w:val="24"/>
          <w:szCs w:val="24"/>
          <w:highlight w:val="none"/>
        </w:rPr>
        <w:t>16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3ADD1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_Toc21146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6</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bCs/>
          <w:color w:val="auto"/>
          <w:spacing w:val="-6"/>
          <w:sz w:val="24"/>
          <w:szCs w:val="24"/>
          <w:highlight w:val="none"/>
        </w:rPr>
        <w:t>．施工条件及现场踏勘</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_Toc21146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106652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_Toc24768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7</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5"/>
          <w:sz w:val="24"/>
          <w:szCs w:val="24"/>
          <w:highlight w:val="none"/>
        </w:rPr>
        <w:t>．招标文件的提问和答疑</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_Toc24768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9F7B6A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_Toc20958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8</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5"/>
          <w:sz w:val="24"/>
          <w:szCs w:val="24"/>
          <w:highlight w:val="none"/>
        </w:rPr>
        <w:t>．</w:t>
      </w:r>
      <w:r>
        <w:rPr>
          <w:rFonts w:hint="eastAsia" w:ascii="宋体" w:hAnsi="宋体" w:eastAsia="宋体" w:cs="宋体"/>
          <w:bCs/>
          <w:color w:val="auto"/>
          <w:spacing w:val="-1"/>
          <w:sz w:val="24"/>
          <w:szCs w:val="24"/>
          <w:highlight w:val="none"/>
          <w:lang w:eastAsia="zh-CN"/>
        </w:rPr>
        <w:t>最高投标限价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_Toc20958 \h </w:instrText>
      </w:r>
      <w:r>
        <w:rPr>
          <w:color w:val="auto"/>
          <w:sz w:val="24"/>
          <w:szCs w:val="24"/>
          <w:highlight w:val="none"/>
        </w:rPr>
        <w:fldChar w:fldCharType="separate"/>
      </w:r>
      <w:r>
        <w:rPr>
          <w:color w:val="auto"/>
          <w:sz w:val="24"/>
          <w:szCs w:val="24"/>
          <w:highlight w:val="none"/>
        </w:rPr>
        <w:t>17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7F9B4D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_Toc6911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9</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8"/>
          <w:sz w:val="24"/>
          <w:szCs w:val="24"/>
          <w:highlight w:val="none"/>
        </w:rPr>
        <w:t>．投标报价</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_Toc6911 \h </w:instrText>
      </w:r>
      <w:r>
        <w:rPr>
          <w:color w:val="auto"/>
          <w:sz w:val="24"/>
          <w:szCs w:val="24"/>
          <w:highlight w:val="none"/>
        </w:rPr>
        <w:fldChar w:fldCharType="separate"/>
      </w:r>
      <w:r>
        <w:rPr>
          <w:color w:val="auto"/>
          <w:sz w:val="24"/>
          <w:szCs w:val="24"/>
          <w:highlight w:val="none"/>
        </w:rPr>
        <w:t>19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573E1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_Toc23711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10</w:t>
      </w:r>
      <w:r>
        <w:rPr>
          <w:rFonts w:hint="eastAsia" w:ascii="宋体" w:hAnsi="宋体" w:eastAsia="宋体" w:cs="宋体"/>
          <w:bCs/>
          <w:color w:val="auto"/>
          <w:spacing w:val="-21"/>
          <w:sz w:val="24"/>
          <w:szCs w:val="24"/>
          <w:highlight w:val="none"/>
        </w:rPr>
        <w:t xml:space="preserve"> </w:t>
      </w:r>
      <w:r>
        <w:rPr>
          <w:rFonts w:hint="eastAsia" w:ascii="宋体" w:hAnsi="宋体" w:eastAsia="宋体" w:cs="宋体"/>
          <w:bCs/>
          <w:color w:val="auto"/>
          <w:spacing w:val="-6"/>
          <w:sz w:val="24"/>
          <w:szCs w:val="24"/>
          <w:highlight w:val="none"/>
        </w:rPr>
        <w:t>．投标文件的编制要求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_Toc23711 \h </w:instrText>
      </w:r>
      <w:r>
        <w:rPr>
          <w:color w:val="auto"/>
          <w:sz w:val="24"/>
          <w:szCs w:val="24"/>
          <w:highlight w:val="none"/>
        </w:rPr>
        <w:fldChar w:fldCharType="separate"/>
      </w:r>
      <w:r>
        <w:rPr>
          <w:color w:val="auto"/>
          <w:sz w:val="24"/>
          <w:szCs w:val="24"/>
          <w:highlight w:val="none"/>
        </w:rPr>
        <w:t>20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D48DC7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_Toc10599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11.</w:t>
      </w:r>
      <w:r>
        <w:rPr>
          <w:rFonts w:hint="eastAsia" w:ascii="宋体" w:hAnsi="宋体" w:eastAsia="宋体" w:cs="宋体"/>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_Toc10599 \h </w:instrText>
      </w:r>
      <w:r>
        <w:rPr>
          <w:color w:val="auto"/>
          <w:sz w:val="24"/>
          <w:szCs w:val="24"/>
          <w:highlight w:val="none"/>
        </w:rPr>
        <w:fldChar w:fldCharType="separate"/>
      </w:r>
      <w:r>
        <w:rPr>
          <w:color w:val="auto"/>
          <w:sz w:val="24"/>
          <w:szCs w:val="24"/>
          <w:highlight w:val="none"/>
        </w:rPr>
        <w:t>23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D3E4D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_Toc5126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lang w:val="en-US" w:eastAsia="zh-CN"/>
        </w:rPr>
        <w:t>12.</w:t>
      </w:r>
      <w:r>
        <w:rPr>
          <w:rFonts w:hint="eastAsia" w:ascii="宋体" w:hAnsi="宋体" w:eastAsia="宋体" w:cs="宋体"/>
          <w:bCs/>
          <w:color w:val="auto"/>
          <w:spacing w:val="22"/>
          <w:w w:val="101"/>
          <w:sz w:val="24"/>
          <w:szCs w:val="24"/>
          <w:highlight w:val="none"/>
        </w:rPr>
        <w:t xml:space="preserve"> </w:t>
      </w:r>
      <w:r>
        <w:rPr>
          <w:rFonts w:hint="eastAsia" w:ascii="宋体" w:hAnsi="宋体" w:eastAsia="宋体" w:cs="宋体"/>
          <w:bCs/>
          <w:color w:val="auto"/>
          <w:spacing w:val="-4"/>
          <w:sz w:val="24"/>
          <w:szCs w:val="24"/>
          <w:highlight w:val="none"/>
        </w:rPr>
        <w:t>电子投标及投标解密失败及突发情况的补救方案</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_Toc5126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7427C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_Toc3957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13</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7"/>
          <w:sz w:val="24"/>
          <w:szCs w:val="24"/>
          <w:highlight w:val="none"/>
        </w:rPr>
        <w:t>．投标文件的提交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_Toc3957 \h </w:instrText>
      </w:r>
      <w:r>
        <w:rPr>
          <w:color w:val="auto"/>
          <w:sz w:val="24"/>
          <w:szCs w:val="24"/>
          <w:highlight w:val="none"/>
        </w:rPr>
        <w:fldChar w:fldCharType="separate"/>
      </w:r>
      <w:r>
        <w:rPr>
          <w:color w:val="auto"/>
          <w:sz w:val="24"/>
          <w:szCs w:val="24"/>
          <w:highlight w:val="none"/>
        </w:rPr>
        <w:t>24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6683DD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_Toc8365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14</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．开标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_Toc8365 \h </w:instrText>
      </w:r>
      <w:r>
        <w:rPr>
          <w:color w:val="auto"/>
          <w:sz w:val="24"/>
          <w:szCs w:val="24"/>
          <w:highlight w:val="none"/>
        </w:rPr>
        <w:fldChar w:fldCharType="separate"/>
      </w:r>
      <w:r>
        <w:rPr>
          <w:color w:val="auto"/>
          <w:sz w:val="24"/>
          <w:szCs w:val="24"/>
          <w:highlight w:val="none"/>
        </w:rPr>
        <w:t>25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E81D0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15</w:t>
      </w:r>
      <w:r>
        <w:rPr>
          <w:rFonts w:hint="eastAsia" w:ascii="宋体" w:hAnsi="宋体" w:eastAsia="宋体" w:cs="宋体"/>
          <w:bCs/>
          <w:color w:val="auto"/>
          <w:spacing w:val="-28"/>
          <w:sz w:val="24"/>
          <w:szCs w:val="24"/>
          <w:highlight w:val="none"/>
        </w:rPr>
        <w:t xml:space="preserve"> </w:t>
      </w:r>
      <w:r>
        <w:rPr>
          <w:rFonts w:hint="eastAsia" w:ascii="宋体" w:hAnsi="宋体" w:eastAsia="宋体" w:cs="宋体"/>
          <w:bCs/>
          <w:color w:val="auto"/>
          <w:spacing w:val="-11"/>
          <w:sz w:val="24"/>
          <w:szCs w:val="24"/>
          <w:highlight w:val="none"/>
        </w:rPr>
        <w:t>．评标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_Toc554 \h </w:instrText>
      </w:r>
      <w:r>
        <w:rPr>
          <w:color w:val="auto"/>
          <w:sz w:val="24"/>
          <w:szCs w:val="24"/>
          <w:highlight w:val="none"/>
        </w:rPr>
        <w:fldChar w:fldCharType="separate"/>
      </w:r>
      <w:r>
        <w:rPr>
          <w:color w:val="auto"/>
          <w:sz w:val="24"/>
          <w:szCs w:val="24"/>
          <w:highlight w:val="none"/>
        </w:rPr>
        <w:t>26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199EAB8">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ind w:firstLine="436" w:firstLineChars="200"/>
        <w:textAlignment w:val="baseline"/>
        <w:rPr>
          <w:color w:val="auto"/>
          <w:sz w:val="24"/>
          <w:szCs w:val="24"/>
          <w:highlight w:val="none"/>
        </w:rPr>
      </w:pPr>
      <w:r>
        <w:rPr>
          <w:rFonts w:hint="eastAsia" w:ascii="宋体" w:hAnsi="宋体" w:eastAsia="宋体" w:cs="宋体"/>
          <w:bCs/>
          <w:snapToGrid w:val="0"/>
          <w:color w:val="auto"/>
          <w:spacing w:val="-11"/>
          <w:sz w:val="24"/>
          <w:szCs w:val="24"/>
          <w:highlight w:val="none"/>
          <w:lang w:val="en-US" w:eastAsia="en-US" w:bidi="ar-SA"/>
        </w:rPr>
        <w:t>16</w:t>
      </w:r>
      <w:r>
        <w:rPr>
          <w:rFonts w:hint="eastAsia" w:ascii="宋体" w:hAnsi="宋体" w:eastAsia="宋体" w:cs="宋体"/>
          <w:bCs/>
          <w:snapToGrid w:val="0"/>
          <w:color w:val="auto"/>
          <w:spacing w:val="-11"/>
          <w:sz w:val="24"/>
          <w:szCs w:val="24"/>
          <w:highlight w:val="none"/>
          <w:lang w:val="en-US" w:eastAsia="zh-CN" w:bidi="ar-SA"/>
        </w:rPr>
        <w:t>.  评标结果公示</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_Toc32569 </w:instrText>
      </w:r>
      <w:r>
        <w:rPr>
          <w:rFonts w:hint="eastAsia" w:ascii="宋体" w:hAnsi="宋体" w:eastAsia="宋体" w:cs="宋体"/>
          <w:color w:val="auto"/>
          <w:sz w:val="24"/>
          <w:szCs w:val="24"/>
          <w:highlight w:val="none"/>
        </w:rPr>
        <w:fldChar w:fldCharType="separate"/>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_Toc32569 \h </w:instrText>
      </w:r>
      <w:r>
        <w:rPr>
          <w:color w:val="auto"/>
          <w:sz w:val="24"/>
          <w:szCs w:val="24"/>
          <w:highlight w:val="none"/>
        </w:rPr>
        <w:fldChar w:fldCharType="separate"/>
      </w:r>
      <w:r>
        <w:rPr>
          <w:color w:val="auto"/>
          <w:sz w:val="24"/>
          <w:szCs w:val="24"/>
          <w:highlight w:val="none"/>
        </w:rPr>
        <w:t>37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E41134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_Toc16554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否决投标条件</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_Toc16554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34CC3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_Toc15082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．资格评审环节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_Toc15082 \h </w:instrText>
      </w:r>
      <w:r>
        <w:rPr>
          <w:color w:val="auto"/>
          <w:sz w:val="24"/>
          <w:szCs w:val="24"/>
          <w:highlight w:val="none"/>
        </w:rPr>
        <w:fldChar w:fldCharType="separate"/>
      </w:r>
      <w:r>
        <w:rPr>
          <w:color w:val="auto"/>
          <w:sz w:val="24"/>
          <w:szCs w:val="24"/>
          <w:highlight w:val="none"/>
        </w:rPr>
        <w:t>39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8592D7">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_Toc5925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．形式评审环节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_Toc5925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84F8B0">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_Toc19828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3</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6"/>
          <w:sz w:val="24"/>
          <w:szCs w:val="24"/>
          <w:highlight w:val="none"/>
        </w:rPr>
        <w:t>．响应性评审环节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_Toc19828 \h </w:instrText>
      </w:r>
      <w:r>
        <w:rPr>
          <w:color w:val="auto"/>
          <w:sz w:val="24"/>
          <w:szCs w:val="24"/>
          <w:highlight w:val="none"/>
        </w:rPr>
        <w:fldChar w:fldCharType="separate"/>
      </w:r>
      <w:r>
        <w:rPr>
          <w:color w:val="auto"/>
          <w:sz w:val="24"/>
          <w:szCs w:val="24"/>
          <w:highlight w:val="none"/>
        </w:rPr>
        <w:t>40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6972F3E">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_Toc1458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1"/>
          <w:sz w:val="24"/>
          <w:szCs w:val="24"/>
          <w:highlight w:val="none"/>
        </w:rPr>
        <w:t>4</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11"/>
          <w:sz w:val="24"/>
          <w:szCs w:val="24"/>
          <w:highlight w:val="none"/>
        </w:rPr>
        <w:t>．其他</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_Toc1458 \h </w:instrText>
      </w:r>
      <w:r>
        <w:rPr>
          <w:color w:val="auto"/>
          <w:sz w:val="24"/>
          <w:szCs w:val="24"/>
          <w:highlight w:val="none"/>
        </w:rPr>
        <w:fldChar w:fldCharType="separate"/>
      </w:r>
      <w:r>
        <w:rPr>
          <w:color w:val="auto"/>
          <w:sz w:val="24"/>
          <w:szCs w:val="24"/>
          <w:highlight w:val="none"/>
        </w:rPr>
        <w:t>41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354E14">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_Toc22243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五</w:t>
      </w:r>
      <w:r>
        <w:rPr>
          <w:rFonts w:hint="eastAsia" w:ascii="宋体" w:hAnsi="宋体" w:eastAsia="宋体" w:cs="宋体"/>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定标规定及细则（本项目采用票决数量法定标）</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_Toc22243 \h </w:instrText>
      </w:r>
      <w:r>
        <w:rPr>
          <w:color w:val="auto"/>
          <w:sz w:val="24"/>
          <w:szCs w:val="24"/>
          <w:highlight w:val="none"/>
        </w:rPr>
        <w:fldChar w:fldCharType="separate"/>
      </w:r>
      <w:r>
        <w:rPr>
          <w:color w:val="auto"/>
          <w:sz w:val="24"/>
          <w:szCs w:val="24"/>
          <w:highlight w:val="none"/>
        </w:rPr>
        <w:t>42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2AC5C81">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_Toc4926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w:t>
      </w:r>
      <w:r>
        <w:rPr>
          <w:rFonts w:hint="eastAsia" w:ascii="宋体" w:hAnsi="宋体" w:eastAsia="宋体" w:cs="宋体"/>
          <w:bCs/>
          <w:color w:val="auto"/>
          <w:spacing w:val="-3"/>
          <w:sz w:val="24"/>
          <w:szCs w:val="24"/>
          <w:highlight w:val="none"/>
          <w:lang w:val="en-US" w:eastAsia="zh-CN"/>
        </w:rPr>
        <w:t>六</w:t>
      </w:r>
      <w:r>
        <w:rPr>
          <w:rFonts w:hint="eastAsia" w:ascii="宋体" w:hAnsi="宋体" w:eastAsia="宋体" w:cs="宋体"/>
          <w:bCs/>
          <w:color w:val="auto"/>
          <w:spacing w:val="-3"/>
          <w:sz w:val="24"/>
          <w:szCs w:val="24"/>
          <w:highlight w:val="none"/>
        </w:rPr>
        <w:t>节 中标确认</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_Toc4926 \h </w:instrText>
      </w:r>
      <w:r>
        <w:rPr>
          <w:color w:val="auto"/>
          <w:sz w:val="24"/>
          <w:szCs w:val="24"/>
          <w:highlight w:val="none"/>
        </w:rPr>
        <w:fldChar w:fldCharType="separate"/>
      </w:r>
      <w:r>
        <w:rPr>
          <w:color w:val="auto"/>
          <w:sz w:val="24"/>
          <w:szCs w:val="24"/>
          <w:highlight w:val="none"/>
        </w:rPr>
        <w:t>45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46E0E0">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_Toc13655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Cs/>
          <w:color w:val="auto"/>
          <w:spacing w:val="-7"/>
          <w:sz w:val="24"/>
          <w:szCs w:val="24"/>
          <w:highlight w:val="none"/>
        </w:rPr>
        <w:t>中标人须知</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_Toc13655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8B1A00D">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9"/>
          <w:sz w:val="24"/>
          <w:szCs w:val="24"/>
          <w:highlight w:val="none"/>
        </w:rPr>
        <w:t>1</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9"/>
          <w:sz w:val="24"/>
          <w:szCs w:val="24"/>
          <w:highlight w:val="none"/>
        </w:rPr>
        <w:t>．中标通知书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_Toc21697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4134A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．中标结果公示</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_Toc979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FE0B9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_Toc13145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．履约保证</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_Toc13145 \h </w:instrText>
      </w:r>
      <w:r>
        <w:rPr>
          <w:color w:val="auto"/>
          <w:sz w:val="24"/>
          <w:szCs w:val="24"/>
          <w:highlight w:val="none"/>
        </w:rPr>
        <w:fldChar w:fldCharType="separate"/>
      </w:r>
      <w:r>
        <w:rPr>
          <w:color w:val="auto"/>
          <w:sz w:val="24"/>
          <w:szCs w:val="24"/>
          <w:highlight w:val="none"/>
        </w:rPr>
        <w:t>47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0A900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_Toc133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4</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8"/>
          <w:sz w:val="24"/>
          <w:szCs w:val="24"/>
          <w:highlight w:val="none"/>
        </w:rPr>
        <w:t>．合同订立</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_Toc133 \h </w:instrText>
      </w:r>
      <w:r>
        <w:rPr>
          <w:color w:val="auto"/>
          <w:sz w:val="24"/>
          <w:szCs w:val="24"/>
          <w:highlight w:val="none"/>
        </w:rPr>
        <w:fldChar w:fldCharType="separate"/>
      </w:r>
      <w:r>
        <w:rPr>
          <w:color w:val="auto"/>
          <w:sz w:val="24"/>
          <w:szCs w:val="24"/>
          <w:highlight w:val="none"/>
        </w:rPr>
        <w:t>48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F48F34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_Toc4089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5</w:t>
      </w:r>
      <w:r>
        <w:rPr>
          <w:rFonts w:hint="eastAsia" w:ascii="宋体" w:hAnsi="宋体" w:eastAsia="宋体" w:cs="宋体"/>
          <w:bCs/>
          <w:color w:val="auto"/>
          <w:spacing w:val="-29"/>
          <w:sz w:val="24"/>
          <w:szCs w:val="24"/>
          <w:highlight w:val="none"/>
        </w:rPr>
        <w:t xml:space="preserve"> </w:t>
      </w:r>
      <w:r>
        <w:rPr>
          <w:rFonts w:hint="eastAsia" w:ascii="宋体" w:hAnsi="宋体" w:eastAsia="宋体" w:cs="宋体"/>
          <w:bCs/>
          <w:color w:val="auto"/>
          <w:spacing w:val="-6"/>
          <w:sz w:val="24"/>
          <w:szCs w:val="24"/>
          <w:highlight w:val="none"/>
        </w:rPr>
        <w:t>．放弃中标的处理</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_Toc4089 \h </w:instrText>
      </w:r>
      <w:r>
        <w:rPr>
          <w:color w:val="auto"/>
          <w:sz w:val="24"/>
          <w:szCs w:val="24"/>
          <w:highlight w:val="none"/>
        </w:rPr>
        <w:fldChar w:fldCharType="separate"/>
      </w:r>
      <w:r>
        <w:rPr>
          <w:color w:val="auto"/>
          <w:sz w:val="24"/>
          <w:szCs w:val="24"/>
          <w:highlight w:val="none"/>
        </w:rPr>
        <w:t>49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DBD987">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_Toc7715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拟签订合同的主要条款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_Toc7715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BE2FC7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_Toc6603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1</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8"/>
          <w:sz w:val="24"/>
          <w:szCs w:val="24"/>
          <w:highlight w:val="none"/>
        </w:rPr>
        <w:t>．工程承包方式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_Toc6603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CD3982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_Toc24910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2</w:t>
      </w:r>
      <w:r>
        <w:rPr>
          <w:rFonts w:hint="eastAsia" w:ascii="宋体" w:hAnsi="宋体" w:eastAsia="宋体" w:cs="宋体"/>
          <w:bCs/>
          <w:color w:val="auto"/>
          <w:spacing w:val="-24"/>
          <w:sz w:val="24"/>
          <w:szCs w:val="24"/>
          <w:highlight w:val="none"/>
        </w:rPr>
        <w:t xml:space="preserve"> </w:t>
      </w:r>
      <w:r>
        <w:rPr>
          <w:rFonts w:hint="eastAsia" w:ascii="宋体" w:hAnsi="宋体" w:eastAsia="宋体" w:cs="宋体"/>
          <w:bCs/>
          <w:color w:val="auto"/>
          <w:spacing w:val="-7"/>
          <w:sz w:val="24"/>
          <w:szCs w:val="24"/>
          <w:highlight w:val="none"/>
        </w:rPr>
        <w:t>．工程结算原则</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_Toc24910 \h </w:instrText>
      </w:r>
      <w:r>
        <w:rPr>
          <w:color w:val="auto"/>
          <w:sz w:val="24"/>
          <w:szCs w:val="24"/>
          <w:highlight w:val="none"/>
        </w:rPr>
        <w:fldChar w:fldCharType="separate"/>
      </w:r>
      <w:r>
        <w:rPr>
          <w:color w:val="auto"/>
          <w:sz w:val="24"/>
          <w:szCs w:val="24"/>
          <w:highlight w:val="none"/>
        </w:rPr>
        <w:t>50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BAFD596">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_Toc5247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3. 工程付款办法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_Toc5247 \h </w:instrText>
      </w:r>
      <w:r>
        <w:rPr>
          <w:color w:val="auto"/>
          <w:sz w:val="24"/>
          <w:szCs w:val="24"/>
          <w:highlight w:val="none"/>
        </w:rPr>
        <w:fldChar w:fldCharType="separate"/>
      </w:r>
      <w:r>
        <w:rPr>
          <w:color w:val="auto"/>
          <w:sz w:val="24"/>
          <w:szCs w:val="24"/>
          <w:highlight w:val="none"/>
        </w:rPr>
        <w:t>56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E1CFE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_Toc29229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7"/>
          <w:sz w:val="24"/>
          <w:szCs w:val="24"/>
          <w:highlight w:val="none"/>
        </w:rPr>
        <w:t>4</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7"/>
          <w:sz w:val="24"/>
          <w:szCs w:val="24"/>
          <w:highlight w:val="none"/>
        </w:rPr>
        <w:t>．其他专用合同条款</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_Toc29229 \h </w:instrText>
      </w:r>
      <w:r>
        <w:rPr>
          <w:color w:val="auto"/>
          <w:sz w:val="24"/>
          <w:szCs w:val="24"/>
          <w:highlight w:val="none"/>
        </w:rPr>
        <w:fldChar w:fldCharType="separate"/>
      </w:r>
      <w:r>
        <w:rPr>
          <w:color w:val="auto"/>
          <w:sz w:val="24"/>
          <w:szCs w:val="24"/>
          <w:highlight w:val="none"/>
        </w:rPr>
        <w:t>57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13FEDCD">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_Toc30225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技术要求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_Toc30225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E6C3CE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1</w:t>
      </w:r>
      <w:r>
        <w:rPr>
          <w:rFonts w:hint="eastAsia" w:ascii="宋体" w:hAnsi="宋体" w:eastAsia="宋体" w:cs="宋体"/>
          <w:bCs/>
          <w:color w:val="auto"/>
          <w:spacing w:val="-23"/>
          <w:sz w:val="24"/>
          <w:szCs w:val="24"/>
          <w:highlight w:val="none"/>
        </w:rPr>
        <w:t xml:space="preserve"> </w:t>
      </w:r>
      <w:r>
        <w:rPr>
          <w:rFonts w:hint="eastAsia" w:ascii="宋体" w:hAnsi="宋体" w:eastAsia="宋体" w:cs="宋体"/>
          <w:bCs/>
          <w:color w:val="auto"/>
          <w:spacing w:val="-6"/>
          <w:sz w:val="24"/>
          <w:szCs w:val="24"/>
          <w:highlight w:val="none"/>
        </w:rPr>
        <w:t>．</w:t>
      </w:r>
      <w:r>
        <w:rPr>
          <w:rFonts w:hint="eastAsia" w:ascii="宋体" w:hAnsi="宋体" w:eastAsia="宋体" w:cs="宋体"/>
          <w:bCs/>
          <w:color w:val="auto"/>
          <w:spacing w:val="-1"/>
          <w:sz w:val="24"/>
          <w:szCs w:val="24"/>
          <w:highlight w:val="none"/>
        </w:rPr>
        <w:t>房屋建筑工程建设项目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_Toc19340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37607A4">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_Toc16340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2</w:t>
      </w:r>
      <w:r>
        <w:rPr>
          <w:rFonts w:hint="eastAsia" w:ascii="宋体" w:hAnsi="宋体" w:eastAsia="宋体" w:cs="宋体"/>
          <w:bCs/>
          <w:color w:val="auto"/>
          <w:spacing w:val="-18"/>
          <w:sz w:val="24"/>
          <w:szCs w:val="24"/>
          <w:highlight w:val="none"/>
        </w:rPr>
        <w:t xml:space="preserve"> </w:t>
      </w:r>
      <w:r>
        <w:rPr>
          <w:rFonts w:hint="eastAsia" w:ascii="宋体" w:hAnsi="宋体" w:eastAsia="宋体" w:cs="宋体"/>
          <w:bCs/>
          <w:color w:val="auto"/>
          <w:spacing w:val="-5"/>
          <w:sz w:val="24"/>
          <w:szCs w:val="24"/>
          <w:highlight w:val="none"/>
        </w:rPr>
        <w:t>．市政基础设施工程建设项目</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_Toc16340 \h </w:instrText>
      </w:r>
      <w:r>
        <w:rPr>
          <w:color w:val="auto"/>
          <w:sz w:val="24"/>
          <w:szCs w:val="24"/>
          <w:highlight w:val="none"/>
        </w:rPr>
        <w:fldChar w:fldCharType="separate"/>
      </w:r>
      <w:r>
        <w:rPr>
          <w:color w:val="auto"/>
          <w:sz w:val="24"/>
          <w:szCs w:val="24"/>
          <w:highlight w:val="none"/>
        </w:rPr>
        <w:t>65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8A29D9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_Toc31813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8"/>
          <w:sz w:val="24"/>
          <w:szCs w:val="24"/>
          <w:highlight w:val="none"/>
        </w:rPr>
        <w:t>3</w:t>
      </w:r>
      <w:r>
        <w:rPr>
          <w:rFonts w:hint="eastAsia" w:ascii="宋体" w:hAnsi="宋体" w:eastAsia="宋体" w:cs="宋体"/>
          <w:bCs/>
          <w:color w:val="auto"/>
          <w:spacing w:val="-25"/>
          <w:sz w:val="24"/>
          <w:szCs w:val="24"/>
          <w:highlight w:val="none"/>
        </w:rPr>
        <w:t xml:space="preserve"> </w:t>
      </w:r>
      <w:r>
        <w:rPr>
          <w:rFonts w:hint="eastAsia" w:ascii="宋体" w:hAnsi="宋体" w:eastAsia="宋体" w:cs="宋体"/>
          <w:bCs/>
          <w:color w:val="auto"/>
          <w:spacing w:val="-8"/>
          <w:sz w:val="24"/>
          <w:szCs w:val="24"/>
          <w:highlight w:val="none"/>
        </w:rPr>
        <w:t>．备查要求</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_Toc31813 \h </w:instrText>
      </w:r>
      <w:r>
        <w:rPr>
          <w:color w:val="auto"/>
          <w:sz w:val="24"/>
          <w:szCs w:val="24"/>
          <w:highlight w:val="none"/>
        </w:rPr>
        <w:fldChar w:fldCharType="separate"/>
      </w:r>
      <w:r>
        <w:rPr>
          <w:color w:val="auto"/>
          <w:sz w:val="24"/>
          <w:szCs w:val="24"/>
          <w:highlight w:val="none"/>
        </w:rPr>
        <w:t>66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5F70DBB">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Cs/>
          <w:color w:val="auto"/>
          <w:spacing w:val="-5"/>
          <w:sz w:val="24"/>
          <w:szCs w:val="24"/>
          <w:highlight w:val="none"/>
        </w:rPr>
        <w:t>图纸和招标工程量清单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_Toc21699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DD678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_Toc21706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14"/>
          <w:sz w:val="24"/>
          <w:szCs w:val="24"/>
          <w:highlight w:val="none"/>
        </w:rPr>
        <w:t>1</w:t>
      </w:r>
      <w:r>
        <w:rPr>
          <w:rFonts w:hint="eastAsia" w:ascii="宋体" w:hAnsi="宋体" w:eastAsia="宋体" w:cs="宋体"/>
          <w:bCs/>
          <w:color w:val="auto"/>
          <w:spacing w:val="-27"/>
          <w:sz w:val="24"/>
          <w:szCs w:val="24"/>
          <w:highlight w:val="none"/>
        </w:rPr>
        <w:t xml:space="preserve"> </w:t>
      </w:r>
      <w:r>
        <w:rPr>
          <w:rFonts w:hint="eastAsia" w:ascii="宋体" w:hAnsi="宋体" w:eastAsia="宋体" w:cs="宋体"/>
          <w:bCs/>
          <w:color w:val="auto"/>
          <w:spacing w:val="-14"/>
          <w:sz w:val="24"/>
          <w:szCs w:val="24"/>
          <w:highlight w:val="none"/>
        </w:rPr>
        <w:t>．图纸</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_Toc21706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3CF21C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_Toc24419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6"/>
          <w:sz w:val="24"/>
          <w:szCs w:val="24"/>
          <w:highlight w:val="none"/>
        </w:rPr>
        <w:t>2</w:t>
      </w:r>
      <w:r>
        <w:rPr>
          <w:rFonts w:hint="eastAsia" w:ascii="宋体" w:hAnsi="宋体" w:eastAsia="宋体" w:cs="宋体"/>
          <w:bCs/>
          <w:color w:val="auto"/>
          <w:spacing w:val="-26"/>
          <w:sz w:val="24"/>
          <w:szCs w:val="24"/>
          <w:highlight w:val="none"/>
        </w:rPr>
        <w:t xml:space="preserve"> </w:t>
      </w:r>
      <w:r>
        <w:rPr>
          <w:rFonts w:hint="eastAsia" w:ascii="宋体" w:hAnsi="宋体" w:eastAsia="宋体" w:cs="宋体"/>
          <w:bCs/>
          <w:color w:val="auto"/>
          <w:spacing w:val="-6"/>
          <w:sz w:val="24"/>
          <w:szCs w:val="24"/>
          <w:highlight w:val="none"/>
        </w:rPr>
        <w:t>．招标工程量清单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_Toc24419 \h </w:instrText>
      </w:r>
      <w:r>
        <w:rPr>
          <w:color w:val="auto"/>
          <w:sz w:val="24"/>
          <w:szCs w:val="24"/>
          <w:highlight w:val="none"/>
        </w:rPr>
        <w:fldChar w:fldCharType="separate"/>
      </w:r>
      <w:r>
        <w:rPr>
          <w:color w:val="auto"/>
          <w:sz w:val="24"/>
          <w:szCs w:val="24"/>
          <w:highlight w:val="none"/>
        </w:rPr>
        <w:t>67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4E0BD2F">
      <w:pPr>
        <w:pStyle w:val="9"/>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_Toc27130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投标文件格式</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_Toc27130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6025A8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_Toc11203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Cs/>
          <w:color w:val="auto"/>
          <w:spacing w:val="-4"/>
          <w:sz w:val="24"/>
          <w:szCs w:val="24"/>
          <w:highlight w:val="none"/>
        </w:rPr>
        <w:t>封面</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_Toc11203 \h </w:instrText>
      </w:r>
      <w:r>
        <w:rPr>
          <w:color w:val="auto"/>
          <w:sz w:val="24"/>
          <w:szCs w:val="24"/>
          <w:highlight w:val="none"/>
        </w:rPr>
        <w:fldChar w:fldCharType="separate"/>
      </w:r>
      <w:r>
        <w:rPr>
          <w:color w:val="auto"/>
          <w:sz w:val="24"/>
          <w:szCs w:val="24"/>
          <w:highlight w:val="none"/>
        </w:rPr>
        <w:t>68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39B5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_Toc24492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格式二 投标函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_Toc24492 \h </w:instrText>
      </w:r>
      <w:r>
        <w:rPr>
          <w:color w:val="auto"/>
          <w:sz w:val="24"/>
          <w:szCs w:val="24"/>
          <w:highlight w:val="none"/>
        </w:rPr>
        <w:fldChar w:fldCharType="separate"/>
      </w:r>
      <w:r>
        <w:rPr>
          <w:color w:val="auto"/>
          <w:sz w:val="24"/>
          <w:szCs w:val="24"/>
          <w:highlight w:val="none"/>
        </w:rPr>
        <w:t>69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6CADD78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_Toc15958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格式三 各项承诺一览表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_Toc15958 \h </w:instrText>
      </w:r>
      <w:r>
        <w:rPr>
          <w:color w:val="auto"/>
          <w:sz w:val="24"/>
          <w:szCs w:val="24"/>
          <w:highlight w:val="none"/>
        </w:rPr>
        <w:fldChar w:fldCharType="separate"/>
      </w:r>
      <w:r>
        <w:rPr>
          <w:color w:val="auto"/>
          <w:sz w:val="24"/>
          <w:szCs w:val="24"/>
          <w:highlight w:val="none"/>
        </w:rPr>
        <w:t>70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558C449">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_Toc16537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格式四 授权委托书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_Toc16537 \h </w:instrText>
      </w:r>
      <w:r>
        <w:rPr>
          <w:color w:val="auto"/>
          <w:sz w:val="24"/>
          <w:szCs w:val="24"/>
          <w:highlight w:val="none"/>
        </w:rPr>
        <w:fldChar w:fldCharType="separate"/>
      </w:r>
      <w:r>
        <w:rPr>
          <w:color w:val="auto"/>
          <w:sz w:val="24"/>
          <w:szCs w:val="24"/>
          <w:highlight w:val="none"/>
        </w:rPr>
        <w:t>72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CFB526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_Toc30394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格式五 法定代表人身份证明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_Toc30394 \h </w:instrText>
      </w:r>
      <w:r>
        <w:rPr>
          <w:color w:val="auto"/>
          <w:sz w:val="24"/>
          <w:szCs w:val="24"/>
          <w:highlight w:val="none"/>
        </w:rPr>
        <w:fldChar w:fldCharType="separate"/>
      </w:r>
      <w:r>
        <w:rPr>
          <w:color w:val="auto"/>
          <w:sz w:val="24"/>
          <w:szCs w:val="24"/>
          <w:highlight w:val="none"/>
        </w:rPr>
        <w:t>73</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1353593">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_Toc5771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格式六 联合体协议书</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_Toc5771 \h </w:instrText>
      </w:r>
      <w:r>
        <w:rPr>
          <w:color w:val="auto"/>
          <w:sz w:val="24"/>
          <w:szCs w:val="24"/>
          <w:highlight w:val="none"/>
        </w:rPr>
        <w:fldChar w:fldCharType="separate"/>
      </w:r>
      <w:r>
        <w:rPr>
          <w:color w:val="auto"/>
          <w:sz w:val="24"/>
          <w:szCs w:val="24"/>
          <w:highlight w:val="none"/>
        </w:rPr>
        <w:t>74</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4236CB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_Toc17838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格式七 投标人基本情况表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_Toc17838 \h </w:instrText>
      </w:r>
      <w:r>
        <w:rPr>
          <w:color w:val="auto"/>
          <w:sz w:val="24"/>
          <w:szCs w:val="24"/>
          <w:highlight w:val="none"/>
        </w:rPr>
        <w:fldChar w:fldCharType="separate"/>
      </w:r>
      <w:r>
        <w:rPr>
          <w:color w:val="auto"/>
          <w:sz w:val="24"/>
          <w:szCs w:val="24"/>
          <w:highlight w:val="none"/>
        </w:rPr>
        <w:t>75</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C1E61C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_Toc19699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格式八 项目经理简历表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_Toc19699 \h </w:instrText>
      </w:r>
      <w:r>
        <w:rPr>
          <w:color w:val="auto"/>
          <w:sz w:val="24"/>
          <w:szCs w:val="24"/>
          <w:highlight w:val="none"/>
        </w:rPr>
        <w:fldChar w:fldCharType="separate"/>
      </w:r>
      <w:r>
        <w:rPr>
          <w:color w:val="auto"/>
          <w:sz w:val="24"/>
          <w:szCs w:val="24"/>
          <w:highlight w:val="none"/>
        </w:rPr>
        <w:t>76</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F78039F">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_Toc30661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格式九 项目经理任职声明</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_Toc30661 \h </w:instrText>
      </w:r>
      <w:r>
        <w:rPr>
          <w:color w:val="auto"/>
          <w:sz w:val="24"/>
          <w:szCs w:val="24"/>
          <w:highlight w:val="none"/>
        </w:rPr>
        <w:fldChar w:fldCharType="separate"/>
      </w:r>
      <w:r>
        <w:rPr>
          <w:color w:val="auto"/>
          <w:sz w:val="24"/>
          <w:szCs w:val="24"/>
          <w:highlight w:val="none"/>
        </w:rPr>
        <w:t>77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DBA08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_Toc31071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 项目技术负责人简历表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_Toc31071 \h </w:instrText>
      </w:r>
      <w:r>
        <w:rPr>
          <w:color w:val="auto"/>
          <w:sz w:val="24"/>
          <w:szCs w:val="24"/>
          <w:highlight w:val="none"/>
        </w:rPr>
        <w:fldChar w:fldCharType="separate"/>
      </w:r>
      <w:r>
        <w:rPr>
          <w:color w:val="auto"/>
          <w:sz w:val="24"/>
          <w:szCs w:val="24"/>
          <w:highlight w:val="none"/>
        </w:rPr>
        <w:t>78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EECC155">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_Toc25235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格式十一 项目管理机构组成表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_Toc25235 \h </w:instrText>
      </w:r>
      <w:r>
        <w:rPr>
          <w:color w:val="auto"/>
          <w:sz w:val="24"/>
          <w:szCs w:val="24"/>
          <w:highlight w:val="none"/>
        </w:rPr>
        <w:fldChar w:fldCharType="separate"/>
      </w:r>
      <w:r>
        <w:rPr>
          <w:color w:val="auto"/>
          <w:sz w:val="24"/>
          <w:szCs w:val="24"/>
          <w:highlight w:val="none"/>
        </w:rPr>
        <w:t>79</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2F8F691">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_Toc16480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格式十二 建造师查询页（有效期+建造师签字）</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_Toc16480 \h </w:instrText>
      </w:r>
      <w:r>
        <w:rPr>
          <w:color w:val="auto"/>
          <w:sz w:val="24"/>
          <w:szCs w:val="24"/>
          <w:highlight w:val="none"/>
        </w:rPr>
        <w:fldChar w:fldCharType="separate"/>
      </w:r>
      <w:r>
        <w:rPr>
          <w:color w:val="auto"/>
          <w:sz w:val="24"/>
          <w:szCs w:val="24"/>
          <w:highlight w:val="none"/>
        </w:rPr>
        <w:t>80</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3777ED22">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_Toc28779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格式十三：</w:t>
      </w:r>
      <w:r>
        <w:rPr>
          <w:rFonts w:hint="eastAsia" w:ascii="宋体" w:hAnsi="宋体" w:eastAsia="宋体" w:cs="宋体"/>
          <w:bCs/>
          <w:color w:val="auto"/>
          <w:spacing w:val="7"/>
          <w:sz w:val="24"/>
          <w:szCs w:val="24"/>
          <w:highlight w:val="none"/>
        </w:rPr>
        <w:t>危险性较大的分部分项工程清单及超过一定规模的危险性较大的</w:t>
      </w:r>
      <w:r>
        <w:rPr>
          <w:rFonts w:hint="eastAsia" w:ascii="宋体" w:hAnsi="宋体" w:eastAsia="宋体" w:cs="宋体"/>
          <w:bCs/>
          <w:color w:val="auto"/>
          <w:spacing w:val="5"/>
          <w:sz w:val="24"/>
          <w:szCs w:val="24"/>
          <w:highlight w:val="none"/>
        </w:rPr>
        <w:t>分部分项工程清单</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_Toc28779 \h </w:instrText>
      </w:r>
      <w:r>
        <w:rPr>
          <w:color w:val="auto"/>
          <w:sz w:val="24"/>
          <w:szCs w:val="24"/>
          <w:highlight w:val="none"/>
        </w:rPr>
        <w:fldChar w:fldCharType="separate"/>
      </w:r>
      <w:r>
        <w:rPr>
          <w:color w:val="auto"/>
          <w:sz w:val="24"/>
          <w:szCs w:val="24"/>
          <w:highlight w:val="none"/>
        </w:rPr>
        <w:t>82</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F2B0A9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_Toc738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格式十四</w:t>
      </w:r>
      <w:r>
        <w:rPr>
          <w:rFonts w:hint="eastAsia" w:ascii="宋体" w:hAnsi="宋体" w:eastAsia="宋体" w:cs="宋体"/>
          <w:bCs/>
          <w:color w:val="auto"/>
          <w:spacing w:val="-4"/>
          <w:sz w:val="24"/>
          <w:szCs w:val="24"/>
          <w:highlight w:val="none"/>
          <w:lang w:val="en-US" w:eastAsia="zh-CN"/>
        </w:rPr>
        <w:t xml:space="preserve">  </w:t>
      </w:r>
      <w:r>
        <w:rPr>
          <w:rFonts w:hint="eastAsia" w:ascii="宋体" w:hAnsi="宋体" w:eastAsia="宋体" w:cs="宋体"/>
          <w:bCs/>
          <w:color w:val="auto"/>
          <w:spacing w:val="4"/>
          <w:position w:val="3"/>
          <w:sz w:val="24"/>
          <w:szCs w:val="24"/>
          <w:highlight w:val="none"/>
        </w:rPr>
        <w:t>投标保证金信用承诺函</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_Toc738 \h </w:instrText>
      </w:r>
      <w:r>
        <w:rPr>
          <w:color w:val="auto"/>
          <w:sz w:val="24"/>
          <w:szCs w:val="24"/>
          <w:highlight w:val="none"/>
        </w:rPr>
        <w:fldChar w:fldCharType="separate"/>
      </w:r>
      <w:r>
        <w:rPr>
          <w:color w:val="auto"/>
          <w:sz w:val="24"/>
          <w:szCs w:val="24"/>
          <w:highlight w:val="none"/>
        </w:rPr>
        <w:t>87</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23AC7AB">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_Toc9960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4"/>
          <w:sz w:val="24"/>
          <w:szCs w:val="24"/>
          <w:highlight w:val="none"/>
        </w:rPr>
        <w:t>格式十</w:t>
      </w:r>
      <w:r>
        <w:rPr>
          <w:rFonts w:hint="eastAsia" w:ascii="宋体" w:hAnsi="宋体" w:eastAsia="宋体" w:cs="宋体"/>
          <w:bCs/>
          <w:color w:val="auto"/>
          <w:spacing w:val="-4"/>
          <w:sz w:val="24"/>
          <w:szCs w:val="24"/>
          <w:highlight w:val="none"/>
          <w:lang w:eastAsia="zh-CN"/>
        </w:rPr>
        <w:t>五</w:t>
      </w:r>
      <w:r>
        <w:rPr>
          <w:rFonts w:hint="eastAsia" w:ascii="宋体" w:hAnsi="宋体" w:eastAsia="宋体" w:cs="宋体"/>
          <w:bCs/>
          <w:color w:val="auto"/>
          <w:spacing w:val="-4"/>
          <w:sz w:val="24"/>
          <w:szCs w:val="24"/>
          <w:highlight w:val="none"/>
        </w:rPr>
        <w:t xml:space="preserve">  原件一览表</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_Toc9960 \h </w:instrText>
      </w:r>
      <w:r>
        <w:rPr>
          <w:color w:val="auto"/>
          <w:sz w:val="24"/>
          <w:szCs w:val="24"/>
          <w:highlight w:val="none"/>
        </w:rPr>
        <w:fldChar w:fldCharType="separate"/>
      </w:r>
      <w:r>
        <w:rPr>
          <w:color w:val="auto"/>
          <w:sz w:val="24"/>
          <w:szCs w:val="24"/>
          <w:highlight w:val="none"/>
        </w:rPr>
        <w:t>88</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6A7CCA">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rFonts w:hint="eastAsia" w:ascii="宋体" w:hAnsi="宋体" w:eastAsia="宋体" w:cs="宋体"/>
          <w:bCs/>
          <w:color w:val="auto"/>
          <w:spacing w:val="-4"/>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_Toc7940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val="en-US" w:eastAsia="zh-CN"/>
        </w:rPr>
        <w:t>格式十六 助力项目承诺书</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_Toc7940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89</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336785D8">
      <w:pPr>
        <w:pStyle w:val="6"/>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HYPERLINK \l _Toc26323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lang w:eastAsia="zh-CN"/>
        </w:rPr>
        <w:t>格式十</w:t>
      </w:r>
      <w:r>
        <w:rPr>
          <w:rFonts w:hint="eastAsia" w:ascii="宋体" w:hAnsi="宋体" w:eastAsia="宋体" w:cs="宋体"/>
          <w:bCs/>
          <w:color w:val="auto"/>
          <w:spacing w:val="-4"/>
          <w:sz w:val="24"/>
          <w:szCs w:val="24"/>
          <w:highlight w:val="none"/>
          <w:lang w:val="en-US" w:eastAsia="zh-CN"/>
        </w:rPr>
        <w:t>七 定标因素评审资料</w:t>
      </w:r>
      <w:r>
        <w:rPr>
          <w:rFonts w:hint="eastAsia" w:ascii="宋体" w:hAnsi="宋体" w:eastAsia="宋体" w:cs="宋体"/>
          <w:bCs/>
          <w:color w:val="auto"/>
          <w:spacing w:val="-4"/>
          <w:sz w:val="24"/>
          <w:szCs w:val="24"/>
          <w:highlight w:val="none"/>
        </w:rPr>
        <w:tab/>
      </w:r>
      <w:r>
        <w:rPr>
          <w:rFonts w:hint="eastAsia" w:ascii="宋体" w:hAnsi="宋体" w:eastAsia="宋体" w:cs="宋体"/>
          <w:bCs/>
          <w:color w:val="auto"/>
          <w:spacing w:val="-4"/>
          <w:sz w:val="24"/>
          <w:szCs w:val="24"/>
          <w:highlight w:val="none"/>
        </w:rPr>
        <w:fldChar w:fldCharType="begin"/>
      </w:r>
      <w:r>
        <w:rPr>
          <w:rFonts w:hint="eastAsia" w:ascii="宋体" w:hAnsi="宋体" w:eastAsia="宋体" w:cs="宋体"/>
          <w:bCs/>
          <w:color w:val="auto"/>
          <w:spacing w:val="-4"/>
          <w:sz w:val="24"/>
          <w:szCs w:val="24"/>
          <w:highlight w:val="none"/>
        </w:rPr>
        <w:instrText xml:space="preserve"> PAGEREF _Toc26323 \h </w:instrText>
      </w:r>
      <w:r>
        <w:rPr>
          <w:rFonts w:hint="eastAsia" w:ascii="宋体" w:hAnsi="宋体" w:eastAsia="宋体" w:cs="宋体"/>
          <w:bCs/>
          <w:color w:val="auto"/>
          <w:spacing w:val="-4"/>
          <w:sz w:val="24"/>
          <w:szCs w:val="24"/>
          <w:highlight w:val="none"/>
        </w:rPr>
        <w:fldChar w:fldCharType="separate"/>
      </w:r>
      <w:r>
        <w:rPr>
          <w:rFonts w:hint="eastAsia" w:ascii="宋体" w:hAnsi="宋体" w:eastAsia="宋体" w:cs="宋体"/>
          <w:bCs/>
          <w:color w:val="auto"/>
          <w:spacing w:val="-4"/>
          <w:sz w:val="24"/>
          <w:szCs w:val="24"/>
          <w:highlight w:val="none"/>
        </w:rPr>
        <w:t>90</w:t>
      </w:r>
      <w:r>
        <w:rPr>
          <w:rFonts w:hint="eastAsia" w:ascii="宋体" w:hAnsi="宋体" w:eastAsia="宋体" w:cs="宋体"/>
          <w:bCs/>
          <w:color w:val="auto"/>
          <w:spacing w:val="-4"/>
          <w:sz w:val="24"/>
          <w:szCs w:val="24"/>
          <w:highlight w:val="none"/>
        </w:rPr>
        <w:fldChar w:fldCharType="end"/>
      </w:r>
      <w:r>
        <w:rPr>
          <w:rFonts w:hint="eastAsia" w:ascii="宋体" w:hAnsi="宋体" w:eastAsia="宋体" w:cs="宋体"/>
          <w:bCs/>
          <w:color w:val="auto"/>
          <w:spacing w:val="-4"/>
          <w:sz w:val="24"/>
          <w:szCs w:val="24"/>
          <w:highlight w:val="none"/>
        </w:rPr>
        <w:fldChar w:fldCharType="end"/>
      </w:r>
    </w:p>
    <w:p w14:paraId="620D3556">
      <w:pPr>
        <w:pStyle w:val="10"/>
        <w:keepNext w:val="0"/>
        <w:keepLines w:val="0"/>
        <w:pageBreakBefore w:val="0"/>
        <w:widowControl/>
        <w:tabs>
          <w:tab w:val="right" w:leader="dot" w:pos="9746"/>
        </w:tabs>
        <w:kinsoku w:val="0"/>
        <w:wordWrap/>
        <w:overflowPunct/>
        <w:topLinePunct w:val="0"/>
        <w:autoSpaceDE w:val="0"/>
        <w:autoSpaceDN w:val="0"/>
        <w:bidi w:val="0"/>
        <w:adjustRightInd w:val="0"/>
        <w:snapToGrid w:val="0"/>
        <w:spacing w:line="400" w:lineRule="exact"/>
        <w:textAlignment w:val="baseline"/>
        <w:rPr>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_Toc10482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Cs/>
          <w:color w:val="auto"/>
          <w:spacing w:val="-3"/>
          <w:sz w:val="24"/>
          <w:szCs w:val="24"/>
          <w:highlight w:val="none"/>
        </w:rPr>
        <w:t>建设工程施工合同</w:t>
      </w:r>
      <w:r>
        <w:rPr>
          <w:color w:val="auto"/>
          <w:sz w:val="24"/>
          <w:szCs w:val="24"/>
          <w:highlight w:val="none"/>
        </w:rPr>
        <w:tab/>
      </w:r>
      <w:r>
        <w:rPr>
          <w:color w:val="auto"/>
          <w:sz w:val="24"/>
          <w:szCs w:val="24"/>
          <w:highlight w:val="none"/>
        </w:rPr>
        <w:fldChar w:fldCharType="begin"/>
      </w:r>
      <w:r>
        <w:rPr>
          <w:color w:val="auto"/>
          <w:sz w:val="24"/>
          <w:szCs w:val="24"/>
          <w:highlight w:val="none"/>
        </w:rPr>
        <w:instrText xml:space="preserve"> PAGEREF _Toc10482 \h </w:instrText>
      </w:r>
      <w:r>
        <w:rPr>
          <w:color w:val="auto"/>
          <w:sz w:val="24"/>
          <w:szCs w:val="24"/>
          <w:highlight w:val="none"/>
        </w:rPr>
        <w:fldChar w:fldCharType="separate"/>
      </w:r>
      <w:r>
        <w:rPr>
          <w:color w:val="auto"/>
          <w:sz w:val="24"/>
          <w:szCs w:val="24"/>
          <w:highlight w:val="none"/>
        </w:rPr>
        <w:t>91</w:t>
      </w:r>
      <w:r>
        <w:rPr>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07B91383">
      <w:pPr>
        <w:keepNext w:val="0"/>
        <w:keepLines w:val="0"/>
        <w:pageBreakBefore w:val="0"/>
        <w:widowControl/>
        <w:kinsoku w:val="0"/>
        <w:wordWrap/>
        <w:overflowPunct/>
        <w:topLinePunct w:val="0"/>
        <w:autoSpaceDE w:val="0"/>
        <w:autoSpaceDN w:val="0"/>
        <w:bidi w:val="0"/>
        <w:adjustRightInd w:val="0"/>
        <w:snapToGrid w:val="0"/>
        <w:spacing w:line="400" w:lineRule="exact"/>
        <w:jc w:val="center"/>
        <w:textAlignment w:val="baseline"/>
        <w:rPr>
          <w:rFonts w:hint="eastAsia" w:ascii="宋体" w:hAnsi="宋体" w:eastAsia="宋体" w:cs="宋体"/>
          <w:color w:val="auto"/>
          <w:sz w:val="24"/>
          <w:szCs w:val="24"/>
          <w:highlight w:val="none"/>
        </w:rPr>
        <w:sectPr>
          <w:footerReference r:id="rId6" w:type="default"/>
          <w:pgSz w:w="11906" w:h="16839"/>
          <w:pgMar w:top="1440" w:right="1080" w:bottom="1440" w:left="1080" w:header="1200" w:footer="0" w:gutter="0"/>
          <w:pgBorders>
            <w:top w:val="none" w:sz="0" w:space="0"/>
            <w:left w:val="none" w:sz="0" w:space="0"/>
            <w:bottom w:val="none" w:sz="0" w:space="0"/>
            <w:right w:val="none" w:sz="0" w:space="0"/>
          </w:pgBorders>
          <w:pgNumType w:start="1"/>
          <w:cols w:space="720" w:num="1"/>
        </w:sectPr>
      </w:pPr>
      <w:r>
        <w:rPr>
          <w:rFonts w:hint="eastAsia" w:ascii="宋体" w:hAnsi="宋体" w:eastAsia="宋体" w:cs="宋体"/>
          <w:color w:val="auto"/>
          <w:sz w:val="24"/>
          <w:szCs w:val="24"/>
          <w:highlight w:val="none"/>
        </w:rPr>
        <w:fldChar w:fldCharType="end"/>
      </w:r>
    </w:p>
    <w:p w14:paraId="6FAD710A">
      <w:pPr>
        <w:pStyle w:val="5"/>
        <w:spacing w:line="272" w:lineRule="auto"/>
        <w:rPr>
          <w:rFonts w:hint="eastAsia" w:ascii="宋体" w:hAnsi="宋体" w:eastAsia="宋体" w:cs="宋体"/>
          <w:color w:val="auto"/>
          <w:highlight w:val="none"/>
        </w:rPr>
      </w:pPr>
    </w:p>
    <w:p w14:paraId="41787C92">
      <w:pPr>
        <w:spacing w:before="78" w:line="219" w:lineRule="auto"/>
        <w:ind w:left="3416"/>
        <w:outlineLvl w:val="0"/>
        <w:rPr>
          <w:rFonts w:hint="eastAsia" w:ascii="宋体" w:hAnsi="宋体" w:eastAsia="宋体" w:cs="宋体"/>
          <w:color w:val="auto"/>
          <w:sz w:val="24"/>
          <w:szCs w:val="24"/>
          <w:highlight w:val="none"/>
        </w:rPr>
      </w:pPr>
      <w:bookmarkStart w:id="0" w:name="bookmark1"/>
      <w:bookmarkEnd w:id="0"/>
      <w:bookmarkStart w:id="1" w:name="_Toc30584"/>
      <w:r>
        <w:rPr>
          <w:rFonts w:hint="eastAsia" w:ascii="宋体" w:hAnsi="宋体" w:eastAsia="宋体" w:cs="宋体"/>
          <w:b/>
          <w:bCs/>
          <w:color w:val="auto"/>
          <w:spacing w:val="-3"/>
          <w:sz w:val="24"/>
          <w:szCs w:val="24"/>
          <w:highlight w:val="none"/>
        </w:rPr>
        <w:t>第一章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w:t>
      </w:r>
      <w:bookmarkEnd w:id="1"/>
    </w:p>
    <w:p w14:paraId="225EA8A0">
      <w:pPr>
        <w:spacing w:before="156" w:line="219" w:lineRule="auto"/>
        <w:ind w:left="17"/>
        <w:outlineLvl w:val="1"/>
        <w:rPr>
          <w:rFonts w:hint="eastAsia" w:ascii="宋体" w:hAnsi="宋体" w:eastAsia="宋体" w:cs="宋体"/>
          <w:color w:val="auto"/>
          <w:sz w:val="24"/>
          <w:szCs w:val="24"/>
          <w:highlight w:val="none"/>
        </w:rPr>
      </w:pPr>
      <w:bookmarkStart w:id="2" w:name="bookmark3"/>
      <w:bookmarkEnd w:id="2"/>
      <w:bookmarkStart w:id="3" w:name="_Toc1079"/>
      <w:r>
        <w:rPr>
          <w:rFonts w:hint="eastAsia" w:ascii="宋体" w:hAnsi="宋体" w:eastAsia="宋体" w:cs="宋体"/>
          <w:b/>
          <w:bCs/>
          <w:color w:val="auto"/>
          <w:spacing w:val="-3"/>
          <w:sz w:val="24"/>
          <w:szCs w:val="24"/>
          <w:highlight w:val="none"/>
        </w:rPr>
        <w:t>第一节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投标人须知前附表</w:t>
      </w:r>
      <w:bookmarkEnd w:id="3"/>
    </w:p>
    <w:p w14:paraId="7D4C9041">
      <w:pPr>
        <w:spacing w:before="25"/>
        <w:rPr>
          <w:rFonts w:hint="eastAsia" w:ascii="宋体" w:hAnsi="宋体" w:eastAsia="宋体" w:cs="宋体"/>
          <w:color w:val="auto"/>
          <w:highlight w:val="none"/>
        </w:rPr>
      </w:pPr>
    </w:p>
    <w:tbl>
      <w:tblPr>
        <w:tblStyle w:val="14"/>
        <w:tblW w:w="998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2"/>
        <w:gridCol w:w="1860"/>
        <w:gridCol w:w="7544"/>
      </w:tblGrid>
      <w:tr w14:paraId="4538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8" w:hRule="atLeast"/>
        </w:trPr>
        <w:tc>
          <w:tcPr>
            <w:tcW w:w="582" w:type="dxa"/>
            <w:vAlign w:val="top"/>
          </w:tcPr>
          <w:p w14:paraId="6E71DC35">
            <w:pPr>
              <w:spacing w:before="203" w:line="209" w:lineRule="auto"/>
              <w:ind w:left="0" w:leftChars="0" w:firstLine="0" w:firstLineChars="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序号</w:t>
            </w:r>
          </w:p>
        </w:tc>
        <w:tc>
          <w:tcPr>
            <w:tcW w:w="1860" w:type="dxa"/>
            <w:vAlign w:val="center"/>
          </w:tcPr>
          <w:p w14:paraId="4C2E1B8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内容</w:t>
            </w:r>
          </w:p>
        </w:tc>
        <w:tc>
          <w:tcPr>
            <w:tcW w:w="7544" w:type="dxa"/>
            <w:vAlign w:val="center"/>
          </w:tcPr>
          <w:p w14:paraId="5AEE082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说明与要求</w:t>
            </w:r>
          </w:p>
        </w:tc>
      </w:tr>
      <w:tr w14:paraId="33E38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4" w:hRule="atLeast"/>
        </w:trPr>
        <w:tc>
          <w:tcPr>
            <w:tcW w:w="582" w:type="dxa"/>
            <w:vAlign w:val="center"/>
          </w:tcPr>
          <w:p w14:paraId="3743D7C8">
            <w:pPr>
              <w:spacing w:before="223" w:line="195" w:lineRule="auto"/>
              <w:jc w:val="center"/>
              <w:rPr>
                <w:rFonts w:hint="eastAsia" w:asciiTheme="minorEastAsia" w:hAnsiTheme="minorEastAsia" w:eastAsiaTheme="minorEastAsia" w:cstheme="minorEastAsia"/>
                <w:color w:val="auto"/>
                <w:sz w:val="21"/>
                <w:szCs w:val="21"/>
                <w:highlight w:val="none"/>
              </w:rPr>
            </w:pPr>
            <w:bookmarkStart w:id="4" w:name="OLE_LINK2" w:colFirst="2" w:colLast="2"/>
            <w:r>
              <w:rPr>
                <w:rFonts w:hint="eastAsia" w:asciiTheme="minorEastAsia" w:hAnsiTheme="minorEastAsia" w:eastAsiaTheme="minorEastAsia" w:cstheme="minorEastAsia"/>
                <w:color w:val="auto"/>
                <w:sz w:val="21"/>
                <w:szCs w:val="21"/>
                <w:highlight w:val="none"/>
              </w:rPr>
              <w:t>1</w:t>
            </w:r>
          </w:p>
        </w:tc>
        <w:tc>
          <w:tcPr>
            <w:tcW w:w="1860" w:type="dxa"/>
            <w:vAlign w:val="center"/>
          </w:tcPr>
          <w:p w14:paraId="2DAD04F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项目名称</w:t>
            </w:r>
          </w:p>
        </w:tc>
        <w:tc>
          <w:tcPr>
            <w:tcW w:w="7544" w:type="dxa"/>
            <w:vAlign w:val="center"/>
          </w:tcPr>
          <w:p w14:paraId="495090BD">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曲江经济开发区东南片区基础设施建设项目（三期）-白土新建污水处理厂应急池工程施工</w:t>
            </w:r>
          </w:p>
        </w:tc>
      </w:tr>
      <w:tr w14:paraId="443D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trPr>
        <w:tc>
          <w:tcPr>
            <w:tcW w:w="582" w:type="dxa"/>
            <w:vAlign w:val="center"/>
          </w:tcPr>
          <w:p w14:paraId="6B02EA2B">
            <w:pPr>
              <w:spacing w:before="22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1860" w:type="dxa"/>
            <w:vAlign w:val="center"/>
          </w:tcPr>
          <w:p w14:paraId="4498F624">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项目业主</w:t>
            </w:r>
          </w:p>
        </w:tc>
        <w:tc>
          <w:tcPr>
            <w:tcW w:w="7544" w:type="dxa"/>
            <w:vAlign w:val="center"/>
          </w:tcPr>
          <w:p w14:paraId="0533DE1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韶关市曲江区众益投资经营有限公司</w:t>
            </w:r>
          </w:p>
        </w:tc>
      </w:tr>
      <w:tr w14:paraId="5E88E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5" w:hRule="atLeast"/>
        </w:trPr>
        <w:tc>
          <w:tcPr>
            <w:tcW w:w="582" w:type="dxa"/>
            <w:vAlign w:val="center"/>
          </w:tcPr>
          <w:p w14:paraId="3A5F6D9F">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1860" w:type="dxa"/>
            <w:vAlign w:val="center"/>
          </w:tcPr>
          <w:p w14:paraId="157B504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项目批准部门及项目批准文号</w:t>
            </w:r>
          </w:p>
        </w:tc>
        <w:tc>
          <w:tcPr>
            <w:tcW w:w="7544" w:type="dxa"/>
            <w:vAlign w:val="center"/>
          </w:tcPr>
          <w:p w14:paraId="2C0F6B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韶关市曲江区发展和改革局</w:t>
            </w:r>
          </w:p>
          <w:p w14:paraId="667F29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曲发改投审〔2025〕16号、曲发改投审〔2026〕6号、曲发改投审〔2026〕45号、曲发改投审〔2026〕47号</w:t>
            </w:r>
          </w:p>
        </w:tc>
      </w:tr>
      <w:tr w14:paraId="2C58B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7E34B725">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1"/>
                <w:sz w:val="21"/>
                <w:szCs w:val="21"/>
                <w:highlight w:val="none"/>
              </w:rPr>
              <w:t>4</w:t>
            </w:r>
          </w:p>
        </w:tc>
        <w:tc>
          <w:tcPr>
            <w:tcW w:w="1860" w:type="dxa"/>
            <w:vAlign w:val="center"/>
          </w:tcPr>
          <w:p w14:paraId="1DD2D51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建设地点</w:t>
            </w:r>
          </w:p>
        </w:tc>
        <w:tc>
          <w:tcPr>
            <w:tcW w:w="7544" w:type="dxa"/>
            <w:tcMar>
              <w:top w:w="0" w:type="dxa"/>
              <w:left w:w="0" w:type="dxa"/>
              <w:bottom w:w="0" w:type="dxa"/>
              <w:right w:w="0" w:type="dxa"/>
            </w:tcMar>
            <w:vAlign w:val="center"/>
          </w:tcPr>
          <w:p w14:paraId="3520413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hAnsi="宋体" w:eastAsia="宋体" w:cs="Calibri"/>
                <w:bCs/>
                <w:color w:val="auto"/>
                <w:sz w:val="21"/>
                <w:szCs w:val="21"/>
                <w:highlight w:val="none"/>
                <w:lang w:val="en-US" w:eastAsia="zh-CN"/>
              </w:rPr>
              <w:t>韶关市曲江区</w:t>
            </w:r>
          </w:p>
        </w:tc>
      </w:tr>
      <w:tr w14:paraId="565E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3" w:hRule="atLeast"/>
        </w:trPr>
        <w:tc>
          <w:tcPr>
            <w:tcW w:w="582" w:type="dxa"/>
            <w:vAlign w:val="center"/>
          </w:tcPr>
          <w:p w14:paraId="318E89F5">
            <w:pPr>
              <w:spacing w:before="226"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1860" w:type="dxa"/>
            <w:vAlign w:val="center"/>
          </w:tcPr>
          <w:p w14:paraId="66CCEB4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项目代码</w:t>
            </w:r>
          </w:p>
        </w:tc>
        <w:tc>
          <w:tcPr>
            <w:tcW w:w="7544" w:type="dxa"/>
            <w:vAlign w:val="center"/>
          </w:tcPr>
          <w:p w14:paraId="4449217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Calibri"/>
                <w:bCs/>
                <w:color w:val="auto"/>
                <w:sz w:val="21"/>
                <w:szCs w:val="21"/>
                <w:highlight w:val="none"/>
                <w:lang w:eastAsia="zh-CN"/>
              </w:rPr>
              <w:t>2503-440205-04-01-898960</w:t>
            </w:r>
          </w:p>
        </w:tc>
      </w:tr>
      <w:tr w14:paraId="1E524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trPr>
        <w:tc>
          <w:tcPr>
            <w:tcW w:w="582" w:type="dxa"/>
            <w:vAlign w:val="center"/>
          </w:tcPr>
          <w:p w14:paraId="6D804121">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p>
        </w:tc>
        <w:tc>
          <w:tcPr>
            <w:tcW w:w="1860" w:type="dxa"/>
            <w:vAlign w:val="center"/>
          </w:tcPr>
          <w:p w14:paraId="2FD6DEE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资金来源及落实</w:t>
            </w:r>
          </w:p>
          <w:p w14:paraId="5A6B568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情况</w:t>
            </w:r>
          </w:p>
        </w:tc>
        <w:tc>
          <w:tcPr>
            <w:tcW w:w="7544" w:type="dxa"/>
            <w:vAlign w:val="center"/>
          </w:tcPr>
          <w:p w14:paraId="440E9E3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区财政统筹解决，100%</w:t>
            </w:r>
          </w:p>
        </w:tc>
      </w:tr>
      <w:tr w14:paraId="5766F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582" w:type="dxa"/>
            <w:vAlign w:val="center"/>
          </w:tcPr>
          <w:p w14:paraId="400528AE">
            <w:pPr>
              <w:spacing w:before="228" w:line="192"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w:t>
            </w:r>
          </w:p>
        </w:tc>
        <w:tc>
          <w:tcPr>
            <w:tcW w:w="1860" w:type="dxa"/>
            <w:vAlign w:val="center"/>
          </w:tcPr>
          <w:p w14:paraId="3CAF0EE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招标人</w:t>
            </w:r>
          </w:p>
        </w:tc>
        <w:tc>
          <w:tcPr>
            <w:tcW w:w="7544" w:type="dxa"/>
            <w:vAlign w:val="center"/>
          </w:tcPr>
          <w:p w14:paraId="5B71CC7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广东韶关曲江经济开发区管理委员会</w:t>
            </w:r>
          </w:p>
        </w:tc>
      </w:tr>
      <w:tr w14:paraId="6088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582" w:type="dxa"/>
            <w:vAlign w:val="center"/>
          </w:tcPr>
          <w:p w14:paraId="44304D14">
            <w:pPr>
              <w:spacing w:before="224"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8</w:t>
            </w:r>
          </w:p>
        </w:tc>
        <w:tc>
          <w:tcPr>
            <w:tcW w:w="1860" w:type="dxa"/>
            <w:vAlign w:val="center"/>
          </w:tcPr>
          <w:p w14:paraId="31C26FC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招标代理机构</w:t>
            </w:r>
          </w:p>
        </w:tc>
        <w:tc>
          <w:tcPr>
            <w:tcW w:w="7544" w:type="dxa"/>
            <w:vAlign w:val="center"/>
          </w:tcPr>
          <w:p w14:paraId="4E3C0A9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广东合正项目管理有限公司</w:t>
            </w:r>
          </w:p>
        </w:tc>
      </w:tr>
      <w:tr w14:paraId="07494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1" w:hRule="atLeast"/>
        </w:trPr>
        <w:tc>
          <w:tcPr>
            <w:tcW w:w="582" w:type="dxa"/>
            <w:vAlign w:val="center"/>
          </w:tcPr>
          <w:p w14:paraId="5A5AC857">
            <w:pPr>
              <w:spacing w:before="22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9</w:t>
            </w:r>
          </w:p>
        </w:tc>
        <w:tc>
          <w:tcPr>
            <w:tcW w:w="1860" w:type="dxa"/>
            <w:vAlign w:val="center"/>
          </w:tcPr>
          <w:p w14:paraId="11B17F7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c>
          <w:tcPr>
            <w:tcW w:w="7544" w:type="dxa"/>
            <w:vAlign w:val="center"/>
          </w:tcPr>
          <w:p w14:paraId="2E0AD3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中庚工程技术有限公司</w:t>
            </w:r>
          </w:p>
        </w:tc>
      </w:tr>
      <w:bookmarkEnd w:id="4"/>
      <w:tr w14:paraId="231FD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6" w:hRule="atLeast"/>
        </w:trPr>
        <w:tc>
          <w:tcPr>
            <w:tcW w:w="582" w:type="dxa"/>
            <w:vAlign w:val="center"/>
          </w:tcPr>
          <w:p w14:paraId="1D58DA3A">
            <w:pPr>
              <w:spacing w:before="245"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10</w:t>
            </w:r>
          </w:p>
        </w:tc>
        <w:tc>
          <w:tcPr>
            <w:tcW w:w="1860" w:type="dxa"/>
            <w:vAlign w:val="center"/>
          </w:tcPr>
          <w:p w14:paraId="1DD07B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造价咨询单位</w:t>
            </w:r>
          </w:p>
        </w:tc>
        <w:tc>
          <w:tcPr>
            <w:tcW w:w="7544" w:type="dxa"/>
            <w:vAlign w:val="center"/>
          </w:tcPr>
          <w:p w14:paraId="7A3C8A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□非全过程造价咨询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☑全过程造价咨询</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p>
        </w:tc>
      </w:tr>
      <w:tr w14:paraId="1B423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atLeast"/>
        </w:trPr>
        <w:tc>
          <w:tcPr>
            <w:tcW w:w="582" w:type="dxa"/>
            <w:vAlign w:val="center"/>
          </w:tcPr>
          <w:p w14:paraId="5392F3A2">
            <w:pPr>
              <w:spacing w:before="242"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11</w:t>
            </w:r>
          </w:p>
        </w:tc>
        <w:tc>
          <w:tcPr>
            <w:tcW w:w="1860" w:type="dxa"/>
            <w:vAlign w:val="center"/>
          </w:tcPr>
          <w:p w14:paraId="12C094C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监理单位</w:t>
            </w:r>
          </w:p>
        </w:tc>
        <w:tc>
          <w:tcPr>
            <w:tcW w:w="7544" w:type="dxa"/>
            <w:vAlign w:val="center"/>
          </w:tcPr>
          <w:p w14:paraId="03F5A6D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☑已确定监理单位</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□未确定监理单位</w:t>
            </w:r>
          </w:p>
        </w:tc>
      </w:tr>
      <w:tr w14:paraId="2402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1515EDE6">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lang w:eastAsia="zh-CN"/>
              </w:rPr>
              <w:t>1</w:t>
            </w:r>
            <w:r>
              <w:rPr>
                <w:rFonts w:hint="eastAsia" w:asciiTheme="minorEastAsia" w:hAnsiTheme="minorEastAsia" w:eastAsiaTheme="minorEastAsia" w:cstheme="minorEastAsia"/>
                <w:color w:val="auto"/>
                <w:spacing w:val="-8"/>
                <w:sz w:val="21"/>
                <w:szCs w:val="21"/>
                <w:highlight w:val="none"/>
              </w:rPr>
              <w:t>2</w:t>
            </w:r>
          </w:p>
        </w:tc>
        <w:tc>
          <w:tcPr>
            <w:tcW w:w="1860" w:type="dxa"/>
            <w:vAlign w:val="center"/>
          </w:tcPr>
          <w:p w14:paraId="3DF6750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建设内容和规模</w:t>
            </w:r>
          </w:p>
        </w:tc>
        <w:tc>
          <w:tcPr>
            <w:tcW w:w="7544" w:type="dxa"/>
            <w:vAlign w:val="center"/>
          </w:tcPr>
          <w:p w14:paraId="52FBCE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□建设规模：</w:t>
            </w:r>
            <w:r>
              <w:rPr>
                <w:rFonts w:hint="eastAsia" w:asciiTheme="minorEastAsia" w:hAnsiTheme="minorEastAsia" w:eastAsiaTheme="minorEastAsia" w:cstheme="minorEastAsia"/>
                <w:snapToGrid w:val="0"/>
                <w:color w:val="auto"/>
                <w:kern w:val="0"/>
                <w:sz w:val="21"/>
                <w:szCs w:val="21"/>
                <w:highlight w:val="none"/>
                <w:lang w:val="en-US" w:eastAsia="zh-CN"/>
              </w:rPr>
              <w:t>/</w:t>
            </w:r>
          </w:p>
          <w:p w14:paraId="2A4DC51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color w:val="auto"/>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☑建设内容：</w:t>
            </w:r>
            <w:r>
              <w:rPr>
                <w:rFonts w:hint="eastAsia" w:asciiTheme="minorEastAsia" w:hAnsiTheme="minorEastAsia" w:eastAsiaTheme="minorEastAsia" w:cstheme="minorEastAsia"/>
                <w:snapToGrid w:val="0"/>
                <w:color w:val="auto"/>
                <w:kern w:val="0"/>
                <w:sz w:val="21"/>
                <w:szCs w:val="21"/>
                <w:highlight w:val="none"/>
                <w:lang w:val="en-US" w:eastAsia="zh-CN"/>
              </w:rPr>
              <w:t>1.新建一座有效容积为7500立方米的应急池，配套建设进水、出水泵房，总建筑面积1394.45平方米；2.实施原临时池的环保清淤及地面硬化、区域生态的绿化修复工作。</w:t>
            </w:r>
          </w:p>
        </w:tc>
      </w:tr>
      <w:tr w14:paraId="304F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40" w:hRule="atLeast"/>
        </w:trPr>
        <w:tc>
          <w:tcPr>
            <w:tcW w:w="582" w:type="dxa"/>
            <w:vAlign w:val="center"/>
          </w:tcPr>
          <w:p w14:paraId="5D9D5ABA">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13</w:t>
            </w:r>
          </w:p>
        </w:tc>
        <w:tc>
          <w:tcPr>
            <w:tcW w:w="1860" w:type="dxa"/>
            <w:vAlign w:val="center"/>
          </w:tcPr>
          <w:p w14:paraId="280E556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项目总投资</w:t>
            </w:r>
          </w:p>
        </w:tc>
        <w:tc>
          <w:tcPr>
            <w:tcW w:w="7544" w:type="dxa"/>
            <w:vAlign w:val="center"/>
          </w:tcPr>
          <w:p w14:paraId="0C56FD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项目概算总投资1176.18万元，其中工程费用944.93万元。</w:t>
            </w:r>
          </w:p>
        </w:tc>
      </w:tr>
      <w:tr w14:paraId="6B2C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6" w:hRule="atLeast"/>
        </w:trPr>
        <w:tc>
          <w:tcPr>
            <w:tcW w:w="582" w:type="dxa"/>
            <w:vAlign w:val="center"/>
          </w:tcPr>
          <w:p w14:paraId="798375C9">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14</w:t>
            </w:r>
          </w:p>
        </w:tc>
        <w:tc>
          <w:tcPr>
            <w:tcW w:w="1860" w:type="dxa"/>
            <w:vAlign w:val="center"/>
          </w:tcPr>
          <w:p w14:paraId="2A6F498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招标范围</w:t>
            </w:r>
          </w:p>
        </w:tc>
        <w:tc>
          <w:tcPr>
            <w:tcW w:w="7544" w:type="dxa"/>
            <w:vAlign w:val="center"/>
          </w:tcPr>
          <w:p w14:paraId="3DE01C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按审查合格的施工图纸及工程量清单内容施工</w:t>
            </w:r>
          </w:p>
        </w:tc>
      </w:tr>
      <w:tr w14:paraId="13F3C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trPr>
        <w:tc>
          <w:tcPr>
            <w:tcW w:w="582" w:type="dxa"/>
            <w:vAlign w:val="center"/>
          </w:tcPr>
          <w:p w14:paraId="6EED9D8B">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15</w:t>
            </w:r>
          </w:p>
        </w:tc>
        <w:tc>
          <w:tcPr>
            <w:tcW w:w="1860" w:type="dxa"/>
            <w:vAlign w:val="center"/>
          </w:tcPr>
          <w:p w14:paraId="5CD69A5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标段划分</w:t>
            </w:r>
          </w:p>
        </w:tc>
        <w:tc>
          <w:tcPr>
            <w:tcW w:w="7544" w:type="dxa"/>
            <w:vAlign w:val="center"/>
          </w:tcPr>
          <w:p w14:paraId="71E5B42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本招标项目不划分标段。 </w:t>
            </w:r>
          </w:p>
        </w:tc>
      </w:tr>
      <w:tr w14:paraId="25035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5" w:hRule="atLeast"/>
        </w:trPr>
        <w:tc>
          <w:tcPr>
            <w:tcW w:w="582" w:type="dxa"/>
            <w:vAlign w:val="center"/>
          </w:tcPr>
          <w:p w14:paraId="650937A5">
            <w:pPr>
              <w:spacing w:before="57" w:line="195"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8"/>
                <w:sz w:val="21"/>
                <w:szCs w:val="21"/>
                <w:highlight w:val="none"/>
              </w:rPr>
              <w:t>16</w:t>
            </w:r>
          </w:p>
        </w:tc>
        <w:tc>
          <w:tcPr>
            <w:tcW w:w="1860" w:type="dxa"/>
            <w:vAlign w:val="center"/>
          </w:tcPr>
          <w:p w14:paraId="00B1E99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工期</w:t>
            </w:r>
          </w:p>
        </w:tc>
        <w:tc>
          <w:tcPr>
            <w:tcW w:w="7544" w:type="dxa"/>
            <w:vAlign w:val="top"/>
          </w:tcPr>
          <w:p w14:paraId="7C99F2E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本招标项目招标工期为</w:t>
            </w:r>
            <w:r>
              <w:rPr>
                <w:rFonts w:hint="eastAsia" w:asciiTheme="minorEastAsia" w:hAnsiTheme="minorEastAsia" w:eastAsiaTheme="minorEastAsia" w:cstheme="minorEastAsia"/>
                <w:snapToGrid w:val="0"/>
                <w:color w:val="auto"/>
                <w:kern w:val="0"/>
                <w:sz w:val="21"/>
                <w:szCs w:val="21"/>
                <w:highlight w:val="none"/>
                <w:lang w:val="en-US" w:eastAsia="zh-CN"/>
              </w:rPr>
              <w:t>150个日历天</w:t>
            </w:r>
            <w:r>
              <w:rPr>
                <w:rFonts w:hint="eastAsia" w:asciiTheme="minorEastAsia" w:hAnsiTheme="minorEastAsia" w:eastAsiaTheme="minorEastAsia" w:cstheme="minorEastAsia"/>
                <w:snapToGrid w:val="0"/>
                <w:color w:val="auto"/>
                <w:kern w:val="0"/>
                <w:sz w:val="21"/>
                <w:szCs w:val="21"/>
                <w:highlight w:val="none"/>
                <w:lang w:eastAsia="zh-CN"/>
              </w:rPr>
              <w:t>。具体如下：</w:t>
            </w:r>
          </w:p>
          <w:p w14:paraId="72F863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☑总工期：</w:t>
            </w:r>
            <w:r>
              <w:rPr>
                <w:rFonts w:hint="eastAsia" w:asciiTheme="minorEastAsia" w:hAnsiTheme="minorEastAsia" w:eastAsiaTheme="minorEastAsia" w:cstheme="minorEastAsia"/>
                <w:snapToGrid w:val="0"/>
                <w:color w:val="auto"/>
                <w:kern w:val="0"/>
                <w:sz w:val="21"/>
                <w:szCs w:val="21"/>
                <w:highlight w:val="none"/>
                <w:lang w:val="en-US" w:eastAsia="zh-CN"/>
              </w:rPr>
              <w:t>150</w:t>
            </w:r>
            <w:r>
              <w:rPr>
                <w:rFonts w:hint="eastAsia" w:asciiTheme="minorEastAsia" w:hAnsiTheme="minorEastAsia" w:eastAsiaTheme="minorEastAsia" w:cstheme="minorEastAsia"/>
                <w:snapToGrid w:val="0"/>
                <w:color w:val="auto"/>
                <w:kern w:val="0"/>
                <w:sz w:val="21"/>
                <w:szCs w:val="21"/>
                <w:highlight w:val="none"/>
                <w:lang w:eastAsia="zh-CN"/>
              </w:rPr>
              <w:t>天 （日历天）。</w:t>
            </w:r>
          </w:p>
          <w:p w14:paraId="4845D3F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□计划开工日期：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日（具体开工日期以合同为准）</w:t>
            </w:r>
          </w:p>
          <w:p w14:paraId="3EF82E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□计划竣工日期：</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年</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月</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日</w:t>
            </w:r>
          </w:p>
          <w:p w14:paraId="00A01DB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□除上述总工期外，发包人还要求以下阶段工期：        </w:t>
            </w:r>
          </w:p>
        </w:tc>
      </w:tr>
      <w:tr w14:paraId="7F94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90" w:hRule="atLeast"/>
        </w:trPr>
        <w:tc>
          <w:tcPr>
            <w:tcW w:w="582" w:type="dxa"/>
            <w:vAlign w:val="center"/>
          </w:tcPr>
          <w:p w14:paraId="47B272B4">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17</w:t>
            </w:r>
          </w:p>
        </w:tc>
        <w:tc>
          <w:tcPr>
            <w:tcW w:w="1860" w:type="dxa"/>
            <w:vAlign w:val="center"/>
          </w:tcPr>
          <w:p w14:paraId="29B95E6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p>
        </w:tc>
        <w:tc>
          <w:tcPr>
            <w:tcW w:w="7544" w:type="dxa"/>
            <w:vAlign w:val="top"/>
          </w:tcPr>
          <w:p w14:paraId="586BE7A6">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□质量目标：</w:t>
            </w:r>
            <w:r>
              <w:rPr>
                <w:rFonts w:hint="eastAsia" w:asciiTheme="minorEastAsia" w:hAnsiTheme="minorEastAsia" w:eastAsiaTheme="minorEastAsia" w:cstheme="minorEastAsia"/>
                <w:snapToGrid w:val="0"/>
                <w:color w:val="auto"/>
                <w:kern w:val="0"/>
                <w:sz w:val="21"/>
                <w:szCs w:val="21"/>
                <w:highlight w:val="none"/>
                <w:u w:val="single"/>
                <w:lang w:eastAsia="zh-CN"/>
              </w:rPr>
              <w:t>合格</w:t>
            </w:r>
          </w:p>
          <w:p w14:paraId="5B397B7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☑质量标准：</w:t>
            </w:r>
            <w:r>
              <w:rPr>
                <w:rFonts w:hint="eastAsia" w:ascii="宋体" w:hAnsi="宋体" w:eastAsia="宋体" w:cs="宋体"/>
                <w:snapToGrid w:val="0"/>
                <w:color w:val="auto"/>
                <w:kern w:val="0"/>
                <w:sz w:val="22"/>
                <w:szCs w:val="22"/>
                <w:highlight w:val="none"/>
                <w:lang w:val="en-US" w:eastAsia="zh-CN"/>
              </w:rPr>
              <w:t xml:space="preserve"> 达到《建筑工程施工质量验收统一标准》(GB50300-2013)并且合格。</w:t>
            </w:r>
          </w:p>
          <w:p w14:paraId="054D070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□优质工程要求：</w:t>
            </w:r>
            <w:r>
              <w:rPr>
                <w:rFonts w:hint="eastAsia" w:asciiTheme="minorEastAsia" w:hAnsiTheme="minorEastAsia" w:eastAsiaTheme="minorEastAsia" w:cstheme="minorEastAsia"/>
                <w:snapToGrid w:val="0"/>
                <w:color w:val="auto"/>
                <w:kern w:val="0"/>
                <w:sz w:val="21"/>
                <w:szCs w:val="21"/>
                <w:highlight w:val="none"/>
                <w:u w:val="single"/>
                <w:lang w:eastAsia="zh-CN"/>
              </w:rPr>
              <w:t>无</w:t>
            </w:r>
            <w:r>
              <w:rPr>
                <w:rFonts w:hint="eastAsia" w:asciiTheme="minorEastAsia" w:hAnsiTheme="minorEastAsia" w:eastAsiaTheme="minorEastAsia" w:cstheme="minorEastAsia"/>
                <w:snapToGrid w:val="0"/>
                <w:color w:val="auto"/>
                <w:kern w:val="0"/>
                <w:sz w:val="21"/>
                <w:szCs w:val="21"/>
                <w:highlight w:val="none"/>
                <w:lang w:eastAsia="zh-CN"/>
              </w:rPr>
              <w:t>....</w:t>
            </w:r>
          </w:p>
          <w:p w14:paraId="6B00BF1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工程优质费：☑无</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snapToGrid w:val="0"/>
                <w:color w:val="auto"/>
                <w:kern w:val="0"/>
                <w:sz w:val="21"/>
                <w:szCs w:val="21"/>
                <w:highlight w:val="none"/>
                <w:lang w:eastAsia="zh-CN"/>
              </w:rPr>
              <w:t>□有：</w:t>
            </w:r>
            <w:r>
              <w:rPr>
                <w:rFonts w:hint="eastAsia" w:asciiTheme="minorEastAsia" w:hAnsiTheme="minorEastAsia" w:eastAsiaTheme="minorEastAsia" w:cstheme="minorEastAsia"/>
                <w:snapToGrid w:val="0"/>
                <w:color w:val="auto"/>
                <w:kern w:val="0"/>
                <w:sz w:val="21"/>
                <w:szCs w:val="21"/>
                <w:highlight w:val="none"/>
                <w:lang w:val="en-US" w:eastAsia="zh-CN"/>
              </w:rPr>
              <w:t>/</w:t>
            </w:r>
          </w:p>
        </w:tc>
      </w:tr>
      <w:tr w14:paraId="2768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63" w:hRule="atLeast"/>
        </w:trPr>
        <w:tc>
          <w:tcPr>
            <w:tcW w:w="582" w:type="dxa"/>
            <w:vMerge w:val="restart"/>
            <w:vAlign w:val="center"/>
          </w:tcPr>
          <w:p w14:paraId="4BC67C17">
            <w:pPr>
              <w:spacing w:before="57"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18</w:t>
            </w:r>
          </w:p>
        </w:tc>
        <w:tc>
          <w:tcPr>
            <w:tcW w:w="1860" w:type="dxa"/>
            <w:vMerge w:val="restart"/>
            <w:vAlign w:val="center"/>
          </w:tcPr>
          <w:p w14:paraId="7C8582B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合同类型</w:t>
            </w:r>
          </w:p>
        </w:tc>
        <w:tc>
          <w:tcPr>
            <w:tcW w:w="7544" w:type="dxa"/>
            <w:vAlign w:val="top"/>
          </w:tcPr>
          <w:p w14:paraId="32295EB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☑单价合同：发承包双方约定以工程量清单及其综合单价进行合同价款计算、调整和确认的建设工程施工合同。</w:t>
            </w:r>
          </w:p>
          <w:p w14:paraId="2158BF3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注：实行工程量清单计价的工程，应采用单价合同方式，即合同中的工程量清单项目综合单价在合同约定的条件内固定不变（不正常报价除外，这部分按招标文件、合同约定的原则调整综合单价），超过合同约定条件时，依据合同约定进行调整；工程量清单项目及工程量依据承包人实际完成且应予计量的工程量确定。</w:t>
            </w:r>
          </w:p>
        </w:tc>
      </w:tr>
      <w:tr w14:paraId="219FD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8" w:hRule="atLeast"/>
        </w:trPr>
        <w:tc>
          <w:tcPr>
            <w:tcW w:w="582" w:type="dxa"/>
            <w:vMerge w:val="continue"/>
            <w:vAlign w:val="center"/>
          </w:tcPr>
          <w:p w14:paraId="2941AE80">
            <w:pPr>
              <w:spacing w:before="57" w:line="195" w:lineRule="auto"/>
              <w:jc w:val="center"/>
              <w:rPr>
                <w:rFonts w:hint="eastAsia" w:asciiTheme="minorEastAsia" w:hAnsiTheme="minorEastAsia" w:eastAsiaTheme="minorEastAsia" w:cstheme="minorEastAsia"/>
                <w:color w:val="auto"/>
                <w:spacing w:val="-8"/>
                <w:sz w:val="21"/>
                <w:szCs w:val="21"/>
                <w:highlight w:val="none"/>
              </w:rPr>
            </w:pPr>
          </w:p>
        </w:tc>
        <w:tc>
          <w:tcPr>
            <w:tcW w:w="1860" w:type="dxa"/>
            <w:vMerge w:val="continue"/>
            <w:vAlign w:val="center"/>
          </w:tcPr>
          <w:p w14:paraId="035DBDE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p>
        </w:tc>
        <w:tc>
          <w:tcPr>
            <w:tcW w:w="7544" w:type="dxa"/>
            <w:vAlign w:val="top"/>
          </w:tcPr>
          <w:p w14:paraId="7E667DD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□总价合同：发承包双方约定以施工图及其预算和有关条件进行合同价款计算、调整和确认的建设工程施工合同。 </w:t>
            </w:r>
          </w:p>
          <w:p w14:paraId="29EEDD8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注：总价合同是以施工图纸、规范为基础，在工程任务内容明确、发包人的要求条件清楚、计价依据和要求确定的条件下，发承包双方依据承包人编制的施工图预算商谈确定合同价款。当合同约定工程施工内容和有关条件不发生变化时，发包人付给承包人的工程价款总额保持不变。当工程施工内容和有关条件发生变化时，发承包双方根据变化情况和合同约定仅调整发生变化部分的工程价款，且对工程量变化引起的合同价款调整应遵循现行建设工程工程量清单计价规范原则。</w:t>
            </w:r>
          </w:p>
        </w:tc>
      </w:tr>
      <w:tr w14:paraId="0E6B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2" w:hRule="atLeast"/>
        </w:trPr>
        <w:tc>
          <w:tcPr>
            <w:tcW w:w="582" w:type="dxa"/>
            <w:vAlign w:val="center"/>
          </w:tcPr>
          <w:p w14:paraId="5972A2CD">
            <w:pPr>
              <w:spacing w:before="19"/>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8"/>
                <w:sz w:val="21"/>
                <w:szCs w:val="21"/>
                <w:highlight w:val="none"/>
              </w:rPr>
              <w:t>19</w:t>
            </w:r>
          </w:p>
        </w:tc>
        <w:tc>
          <w:tcPr>
            <w:tcW w:w="1860" w:type="dxa"/>
            <w:vAlign w:val="center"/>
          </w:tcPr>
          <w:p w14:paraId="2898AA7D">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房屋建筑工程绿色建筑标准</w:t>
            </w:r>
          </w:p>
        </w:tc>
        <w:tc>
          <w:tcPr>
            <w:tcW w:w="7544" w:type="dxa"/>
            <w:vAlign w:val="center"/>
          </w:tcPr>
          <w:p w14:paraId="43CBE360">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纳入绿色建设实施范围。</w:t>
            </w:r>
          </w:p>
        </w:tc>
      </w:tr>
      <w:tr w14:paraId="76353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582" w:type="dxa"/>
            <w:vAlign w:val="center"/>
          </w:tcPr>
          <w:p w14:paraId="73257DF0">
            <w:pPr>
              <w:spacing w:before="58" w:line="195"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19.</w:t>
            </w:r>
            <w:r>
              <w:rPr>
                <w:rFonts w:hint="eastAsia" w:asciiTheme="minorEastAsia" w:hAnsiTheme="minorEastAsia" w:eastAsiaTheme="minorEastAsia" w:cstheme="minorEastAsia"/>
                <w:color w:val="auto"/>
                <w:spacing w:val="-26"/>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1</w:t>
            </w:r>
          </w:p>
        </w:tc>
        <w:tc>
          <w:tcPr>
            <w:tcW w:w="1860" w:type="dxa"/>
            <w:vAlign w:val="center"/>
          </w:tcPr>
          <w:p w14:paraId="2598019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装配式建筑标准</w:t>
            </w:r>
          </w:p>
        </w:tc>
        <w:tc>
          <w:tcPr>
            <w:tcW w:w="7544" w:type="dxa"/>
            <w:vAlign w:val="center"/>
          </w:tcPr>
          <w:p w14:paraId="654C85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本招标项目</w:t>
            </w:r>
            <w:r>
              <w:rPr>
                <w:rFonts w:hint="eastAsia" w:asciiTheme="minorEastAsia" w:hAnsiTheme="minorEastAsia" w:eastAsiaTheme="minorEastAsia" w:cstheme="minorEastAsia"/>
                <w:snapToGrid w:val="0"/>
                <w:color w:val="auto"/>
                <w:kern w:val="0"/>
                <w:sz w:val="21"/>
                <w:szCs w:val="21"/>
                <w:highlight w:val="none"/>
                <w:u w:val="single"/>
                <w:lang w:val="en-US" w:eastAsia="zh-CN"/>
              </w:rPr>
              <w:t>不</w:t>
            </w:r>
            <w:r>
              <w:rPr>
                <w:rFonts w:hint="eastAsia" w:asciiTheme="minorEastAsia" w:hAnsiTheme="minorEastAsia" w:eastAsiaTheme="minorEastAsia" w:cstheme="minorEastAsia"/>
                <w:snapToGrid w:val="0"/>
                <w:color w:val="auto"/>
                <w:kern w:val="0"/>
                <w:sz w:val="21"/>
                <w:szCs w:val="21"/>
                <w:highlight w:val="none"/>
                <w:lang w:eastAsia="zh-CN"/>
              </w:rPr>
              <w:t>纳入装配式建造建设实施范围。</w:t>
            </w:r>
          </w:p>
        </w:tc>
      </w:tr>
      <w:tr w14:paraId="5ABB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82" w:type="dxa"/>
            <w:vAlign w:val="center"/>
          </w:tcPr>
          <w:p w14:paraId="6F56262D">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20</w:t>
            </w:r>
          </w:p>
        </w:tc>
        <w:tc>
          <w:tcPr>
            <w:tcW w:w="1860" w:type="dxa"/>
            <w:vAlign w:val="center"/>
          </w:tcPr>
          <w:p w14:paraId="7A9699B3">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w:t>
            </w:r>
          </w:p>
        </w:tc>
        <w:tc>
          <w:tcPr>
            <w:tcW w:w="7544" w:type="dxa"/>
            <w:vAlign w:val="center"/>
          </w:tcPr>
          <w:p w14:paraId="041C9A4A">
            <w:pPr>
              <w:pageBreakBefore w:val="0"/>
              <w:widowControl w:val="0"/>
              <w:kinsoku/>
              <w:wordWrap w:val="0"/>
              <w:overflowPunct/>
              <w:topLinePunct w:val="0"/>
              <w:autoSpaceDE/>
              <w:autoSpaceDN/>
              <w:bidi w:val="0"/>
              <w:adjustRightInd w:val="0"/>
              <w:snapToGrid w:val="0"/>
              <w:spacing w:line="400" w:lineRule="exact"/>
              <w:ind w:firstLine="210" w:firstLineChars="100"/>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发包人提供材料和工程设备： ☑无     □有：</w:t>
            </w:r>
          </w:p>
        </w:tc>
      </w:tr>
      <w:tr w14:paraId="09BD7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5" w:hRule="atLeast"/>
        </w:trPr>
        <w:tc>
          <w:tcPr>
            <w:tcW w:w="582" w:type="dxa"/>
            <w:vAlign w:val="center"/>
          </w:tcPr>
          <w:p w14:paraId="2A7C3934">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21</w:t>
            </w:r>
          </w:p>
        </w:tc>
        <w:tc>
          <w:tcPr>
            <w:tcW w:w="1860" w:type="dxa"/>
            <w:vAlign w:val="center"/>
          </w:tcPr>
          <w:p w14:paraId="2B19F4D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承包人提供材料和工程设备</w:t>
            </w:r>
          </w:p>
        </w:tc>
        <w:tc>
          <w:tcPr>
            <w:tcW w:w="7544" w:type="dxa"/>
            <w:vAlign w:val="top"/>
          </w:tcPr>
          <w:p w14:paraId="25B336F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除招标文件约定的发包人提供的甲供材料外，合同工程所需的材料和工程设备应由承包人负责采购、运输和保管，并对其采购的材料和工程设备提供质量证明文件，满足合同约定的质量标准。若承包人提供的材料和工程设备没有合格证明材料或经检测不符合合同约定 的质量标准，应立即更换，由此增加的费用和（或）工期延误由承包人承担。对发包人要求检测承包人己具有合格证明的材料、工程设备，但经检测证明该项材料、工程设备符合合同约定的质量标准的，发包人应承担由此增加的费用和（或）工期延误，并向承包人支付合理利润。</w:t>
            </w:r>
          </w:p>
          <w:p w14:paraId="11881E8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□其它说明：鼓励承包人积极采购环保产品进行施工。</w:t>
            </w:r>
          </w:p>
        </w:tc>
      </w:tr>
      <w:tr w14:paraId="4B49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80" w:hRule="atLeast"/>
        </w:trPr>
        <w:tc>
          <w:tcPr>
            <w:tcW w:w="582" w:type="dxa"/>
            <w:vAlign w:val="center"/>
          </w:tcPr>
          <w:p w14:paraId="5BDE6007">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22</w:t>
            </w:r>
          </w:p>
        </w:tc>
        <w:tc>
          <w:tcPr>
            <w:tcW w:w="1860" w:type="dxa"/>
            <w:vAlign w:val="center"/>
          </w:tcPr>
          <w:p w14:paraId="079BF0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最高投标限价</w:t>
            </w:r>
          </w:p>
        </w:tc>
        <w:tc>
          <w:tcPr>
            <w:tcW w:w="7544" w:type="dxa"/>
            <w:vAlign w:val="center"/>
          </w:tcPr>
          <w:p w14:paraId="00DC73E7">
            <w:pPr>
              <w:pageBreakBefore w:val="0"/>
              <w:widowControl w:val="0"/>
              <w:kinsoku/>
              <w:wordWrap w:val="0"/>
              <w:overflowPunct/>
              <w:topLinePunct w:val="0"/>
              <w:autoSpaceDE/>
              <w:autoSpaceDN/>
              <w:bidi w:val="0"/>
              <w:adjustRightInd w:val="0"/>
              <w:snapToGrid w:val="0"/>
              <w:spacing w:line="400" w:lineRule="exact"/>
              <w:ind w:left="0" w:leftChars="0" w:firstLine="401" w:firstLineChars="1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tc>
      </w:tr>
      <w:tr w14:paraId="4E4F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82" w:hRule="atLeast"/>
        </w:trPr>
        <w:tc>
          <w:tcPr>
            <w:tcW w:w="582" w:type="dxa"/>
            <w:vAlign w:val="center"/>
          </w:tcPr>
          <w:p w14:paraId="3E0E6845">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23</w:t>
            </w:r>
          </w:p>
        </w:tc>
        <w:tc>
          <w:tcPr>
            <w:tcW w:w="1860" w:type="dxa"/>
            <w:vAlign w:val="center"/>
          </w:tcPr>
          <w:p w14:paraId="0D0D0A1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投标人的投标报价</w:t>
            </w:r>
          </w:p>
        </w:tc>
        <w:tc>
          <w:tcPr>
            <w:tcW w:w="7544" w:type="dxa"/>
            <w:vAlign w:val="center"/>
          </w:tcPr>
          <w:p w14:paraId="713375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投标时响应招标文件要求所报出的对已标价工程量清单汇总后标明的总价。投标人在投标报价填写的工程量清单的项目编码、项目名称、项目特征、计量单位、工程数量必须与招标人招标文件中提供的一致，投标价不能低于工程成本、高于最高投标限价。</w:t>
            </w:r>
          </w:p>
          <w:p w14:paraId="01DD1AE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投标报价方式： ☑工程量清单报</w:t>
            </w:r>
          </w:p>
        </w:tc>
      </w:tr>
      <w:tr w14:paraId="664F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82" w:type="dxa"/>
            <w:vAlign w:val="center"/>
          </w:tcPr>
          <w:p w14:paraId="2B41BF8F">
            <w:pPr>
              <w:spacing w:before="69"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24</w:t>
            </w:r>
          </w:p>
        </w:tc>
        <w:tc>
          <w:tcPr>
            <w:tcW w:w="1860" w:type="dxa"/>
            <w:vAlign w:val="center"/>
          </w:tcPr>
          <w:p w14:paraId="1820F47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投标报价风险</w:t>
            </w:r>
          </w:p>
        </w:tc>
        <w:tc>
          <w:tcPr>
            <w:tcW w:w="7544" w:type="dxa"/>
            <w:vAlign w:val="center"/>
          </w:tcPr>
          <w:p w14:paraId="2E356AE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☑投标人依据招标文件约定自行考虑风险因素，一旦中标，投标报价（合同价）除合同另有约定外将不因市场变化而调整。</w:t>
            </w:r>
          </w:p>
          <w:p w14:paraId="0602711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☑投标报价中应包括工程量清单项目所发生的人工费、材料费、机具费、管理费、利润、措施项目费、其它项目费、税金、暂列金额、暂估价以及所有风险、责任等各项费用。</w:t>
            </w:r>
          </w:p>
          <w:p w14:paraId="6588B20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☑人工费、材料费、机具费、管理费、利润、措施项目费（不含</w:t>
            </w:r>
            <w:r>
              <w:rPr>
                <w:rFonts w:hint="eastAsia" w:asciiTheme="minorEastAsia" w:hAnsiTheme="minorEastAsia" w:eastAsiaTheme="minorEastAsia" w:cstheme="minorEastAsia"/>
                <w:snapToGrid w:val="0"/>
                <w:color w:val="auto"/>
                <w:kern w:val="0"/>
                <w:sz w:val="21"/>
                <w:szCs w:val="21"/>
                <w:highlight w:val="none"/>
                <w:lang w:val="en-US" w:eastAsia="zh-CN"/>
              </w:rPr>
              <w:t>安全生产措施费</w:t>
            </w:r>
            <w:r>
              <w:rPr>
                <w:rFonts w:hint="eastAsia" w:asciiTheme="minorEastAsia" w:hAnsiTheme="minorEastAsia" w:eastAsiaTheme="minorEastAsia" w:cstheme="minorEastAsia"/>
                <w:snapToGrid w:val="0"/>
                <w:color w:val="auto"/>
                <w:kern w:val="0"/>
                <w:sz w:val="21"/>
                <w:szCs w:val="21"/>
                <w:highlight w:val="none"/>
                <w:lang w:eastAsia="zh-CN"/>
              </w:rPr>
              <w:t>）投标人漏报或不报，招标人视为有关费用已包括在工程量清单项目的其它单价及合价中不予另外增加。</w:t>
            </w:r>
          </w:p>
          <w:p w14:paraId="648E63A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b/>
                <w:bCs/>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w:t>
            </w:r>
            <w:r>
              <w:rPr>
                <w:rFonts w:hint="eastAsia" w:asciiTheme="minorEastAsia" w:hAnsiTheme="minorEastAsia" w:eastAsiaTheme="minorEastAsia" w:cstheme="minorEastAsia"/>
                <w:b/>
                <w:bCs/>
                <w:snapToGrid w:val="0"/>
                <w:color w:val="auto"/>
                <w:kern w:val="0"/>
                <w:sz w:val="21"/>
                <w:szCs w:val="21"/>
                <w:highlight w:val="none"/>
                <w:lang w:eastAsia="zh-CN"/>
              </w:rPr>
              <w:t>措施项目中的安全生产措施应单独列项，费用不可竞争，且应符合《企业安全生产费用提取和使用管理办法》（财资〔2022〕136号）及我省有关文件规定。</w:t>
            </w:r>
          </w:p>
          <w:p w14:paraId="7D8A46B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☑投标人应按照招标文件提供的工程量清单逐项填写单价和合价，投标人未填写的项目，招标人将视为此项费用已包括在工程量清单项目的其它单价及合价中不予另外增加。</w:t>
            </w:r>
          </w:p>
          <w:p w14:paraId="58860A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☑投标人应按《建设工程工程量清单计价标准》（GB/T 50500-2024）规定的费率对预算包干费进行报价，若招标工程量清单明确说明不计算预算包干费或另外确定预算包干费费率的，则按招标工程量清单报价，若投标人不按规定报价的，则中标后无条件接受招标人对投标报价的调整。</w:t>
            </w:r>
          </w:p>
          <w:p w14:paraId="1EFA524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☑招标人向投标人提供的有关施工现场资料及数据，是招标人现有的能使投标人利用的资料，招标人对投标人据此作出的推论及理解概不负责。</w:t>
            </w:r>
          </w:p>
          <w:p w14:paraId="4E438C3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应依据招标人提供的所有资料和自己对现场查勘来编制投标文件，并对招标人提供的所有资料的理解、推断和应用负责。在投标人提交其投标文件之前，视为已经考虑了现场及其周围环境的影响，中标后，不得以不完全了解现场情况为理由提出追加款项或者延长工期等索赔的要求。</w:t>
            </w:r>
          </w:p>
          <w:p w14:paraId="3893664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☑错漏项的认定。中标人已标价工程量清单中，任一清单项目未填报价格或价格为零的，招标人将视为此项费用已包括在工程量清单项目的其它单价及合价中不予另外增加。</w:t>
            </w:r>
          </w:p>
        </w:tc>
      </w:tr>
      <w:tr w14:paraId="66E56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6414FDC8">
            <w:pPr>
              <w:spacing w:before="284" w:line="188" w:lineRule="auto"/>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3"/>
                <w:sz w:val="21"/>
                <w:szCs w:val="21"/>
                <w:highlight w:val="none"/>
              </w:rPr>
              <w:t>25</w:t>
            </w:r>
          </w:p>
        </w:tc>
        <w:tc>
          <w:tcPr>
            <w:tcW w:w="1860" w:type="dxa"/>
            <w:vAlign w:val="center"/>
          </w:tcPr>
          <w:p w14:paraId="4C71A8E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投标费用</w:t>
            </w:r>
          </w:p>
        </w:tc>
        <w:tc>
          <w:tcPr>
            <w:tcW w:w="7544" w:type="dxa"/>
            <w:vAlign w:val="center"/>
          </w:tcPr>
          <w:p w14:paraId="225B857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投标人自行承担编制与递交投标文件的一切费用。</w:t>
            </w:r>
          </w:p>
        </w:tc>
      </w:tr>
      <w:tr w14:paraId="68738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2" w:hRule="atLeast"/>
        </w:trPr>
        <w:tc>
          <w:tcPr>
            <w:tcW w:w="582" w:type="dxa"/>
            <w:vAlign w:val="center"/>
          </w:tcPr>
          <w:p w14:paraId="3F9BB325">
            <w:pPr>
              <w:spacing w:before="284" w:line="188" w:lineRule="auto"/>
              <w:jc w:val="center"/>
              <w:rPr>
                <w:rFonts w:hint="default" w:asciiTheme="minorEastAsia" w:hAnsiTheme="minorEastAsia" w:eastAsiaTheme="minorEastAsia" w:cstheme="minorEastAsia"/>
                <w:color w:val="auto"/>
                <w:spacing w:val="-3"/>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26</w:t>
            </w:r>
          </w:p>
        </w:tc>
        <w:tc>
          <w:tcPr>
            <w:tcW w:w="1860" w:type="dxa"/>
            <w:vAlign w:val="center"/>
          </w:tcPr>
          <w:p w14:paraId="2F647BDB">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成本警示价</w:t>
            </w:r>
          </w:p>
        </w:tc>
        <w:tc>
          <w:tcPr>
            <w:tcW w:w="7544" w:type="dxa"/>
            <w:vAlign w:val="center"/>
          </w:tcPr>
          <w:p w14:paraId="2CB7F0A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投标报价要求：</w:t>
            </w:r>
          </w:p>
          <w:p w14:paraId="444583B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⑴投标人的投标报价不得高于招标人设置的最高投标限价，否则作无效投标处理；</w:t>
            </w:r>
          </w:p>
          <w:p w14:paraId="2B757D3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⑵投标人的投标报价如低于招标项目的成本警示价的，需提供成本分析资料等报价依据。（成本警示价＝最高投标限价×85%）</w:t>
            </w:r>
          </w:p>
        </w:tc>
      </w:tr>
      <w:tr w14:paraId="5FFFB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68" w:hRule="atLeast"/>
        </w:trPr>
        <w:tc>
          <w:tcPr>
            <w:tcW w:w="582" w:type="dxa"/>
            <w:vAlign w:val="center"/>
          </w:tcPr>
          <w:p w14:paraId="7A4811E9">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7</w:t>
            </w:r>
          </w:p>
        </w:tc>
        <w:tc>
          <w:tcPr>
            <w:tcW w:w="1860" w:type="dxa"/>
            <w:vAlign w:val="center"/>
          </w:tcPr>
          <w:p w14:paraId="0786E8B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投标人资格要求</w:t>
            </w:r>
          </w:p>
        </w:tc>
        <w:tc>
          <w:tcPr>
            <w:tcW w:w="7544" w:type="dxa"/>
            <w:vAlign w:val="center"/>
          </w:tcPr>
          <w:p w14:paraId="1F0406C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1.本次招标</w:t>
            </w:r>
            <w:r>
              <w:rPr>
                <w:rFonts w:hint="eastAsia" w:asciiTheme="minorEastAsia" w:hAnsiTheme="minorEastAsia" w:eastAsiaTheme="minorEastAsia" w:cstheme="minorEastAsia"/>
                <w:snapToGrid w:val="0"/>
                <w:color w:val="auto"/>
                <w:kern w:val="0"/>
                <w:sz w:val="21"/>
                <w:szCs w:val="21"/>
                <w:highlight w:val="none"/>
                <w:u w:val="single"/>
                <w:lang w:eastAsia="zh-CN"/>
              </w:rPr>
              <w:t>不接受</w:t>
            </w:r>
            <w:r>
              <w:rPr>
                <w:rFonts w:hint="eastAsia" w:asciiTheme="minorEastAsia" w:hAnsiTheme="minorEastAsia" w:eastAsiaTheme="minorEastAsia" w:cstheme="minorEastAsia"/>
                <w:snapToGrid w:val="0"/>
                <w:color w:val="auto"/>
                <w:kern w:val="0"/>
                <w:sz w:val="21"/>
                <w:szCs w:val="21"/>
                <w:highlight w:val="none"/>
                <w:lang w:eastAsia="zh-CN"/>
              </w:rPr>
              <w:t>联合体投标。</w:t>
            </w:r>
          </w:p>
          <w:p w14:paraId="249C9AE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2．资质要求</w:t>
            </w:r>
          </w:p>
          <w:p w14:paraId="64899B7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2.1 投标人须具备独立法人资格，按国家法律经营。</w:t>
            </w:r>
          </w:p>
          <w:p w14:paraId="710042A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2.2 投标人须持有建设行政主管部门颁发的企业资质证书及安全生产许可证。</w:t>
            </w:r>
          </w:p>
          <w:p w14:paraId="42052BA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2.3 投标人须具备以下资质：</w:t>
            </w:r>
            <w:r>
              <w:rPr>
                <w:rFonts w:hint="eastAsia" w:asciiTheme="minorEastAsia" w:hAnsiTheme="minorEastAsia" w:eastAsiaTheme="minorEastAsia" w:cstheme="minorEastAsia"/>
                <w:snapToGrid w:val="0"/>
                <w:color w:val="auto"/>
                <w:kern w:val="0"/>
                <w:sz w:val="21"/>
                <w:szCs w:val="21"/>
                <w:highlight w:val="none"/>
                <w:u w:val="single"/>
                <w:lang w:eastAsia="zh-CN"/>
              </w:rPr>
              <w:t>具有建设行政主管部门颁发的市政公用工程施工总承包叁级以上（含叁级）资质。</w:t>
            </w:r>
          </w:p>
          <w:p w14:paraId="60E86E35">
            <w:pPr>
              <w:pageBreakBefore w:val="0"/>
              <w:widowControl w:val="0"/>
              <w:kinsoku/>
              <w:wordWrap w:val="0"/>
              <w:overflowPunct/>
              <w:topLinePunct w:val="0"/>
              <w:autoSpaceDE/>
              <w:autoSpaceDN/>
              <w:bidi w:val="0"/>
              <w:adjustRightInd w:val="0"/>
              <w:snapToGrid w:val="0"/>
              <w:spacing w:line="400" w:lineRule="exact"/>
              <w:ind w:left="0" w:leftChars="0" w:right="5" w:righ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2.4 </w:t>
            </w:r>
            <w:r>
              <w:rPr>
                <w:rFonts w:hint="eastAsia" w:asciiTheme="minorEastAsia" w:hAnsiTheme="minorEastAsia" w:eastAsiaTheme="minorEastAsia" w:cstheme="minorEastAsia"/>
                <w:snapToGrid w:val="0"/>
                <w:color w:val="auto"/>
                <w:kern w:val="0"/>
                <w:sz w:val="21"/>
                <w:szCs w:val="21"/>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0C01C18D">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3．相关人员要求</w:t>
            </w:r>
          </w:p>
          <w:p w14:paraId="6FC830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3.1  </w:t>
            </w:r>
            <w:r>
              <w:rPr>
                <w:rFonts w:hint="eastAsia" w:asciiTheme="minorEastAsia" w:hAnsiTheme="minorEastAsia" w:eastAsiaTheme="minorEastAsia" w:cstheme="minorEastAsia"/>
                <w:snapToGrid w:val="0"/>
                <w:color w:val="auto"/>
                <w:kern w:val="0"/>
                <w:sz w:val="21"/>
                <w:szCs w:val="21"/>
                <w:highlight w:val="none"/>
                <w:lang w:val="en-US" w:eastAsia="zh-CN"/>
              </w:rPr>
              <w:t>拟派项目经理为</w:t>
            </w:r>
            <w:r>
              <w:rPr>
                <w:rFonts w:hint="eastAsia" w:asciiTheme="minorEastAsia" w:hAnsiTheme="minorEastAsia" w:eastAsiaTheme="minorEastAsia" w:cstheme="minorEastAsia"/>
                <w:snapToGrid w:val="0"/>
                <w:color w:val="auto"/>
                <w:kern w:val="0"/>
                <w:sz w:val="21"/>
                <w:szCs w:val="21"/>
                <w:highlight w:val="none"/>
                <w:u w:val="single"/>
                <w:lang w:val="en-US" w:eastAsia="zh-CN"/>
              </w:rPr>
              <w:t xml:space="preserve"> 市政公用工程 </w:t>
            </w:r>
            <w:r>
              <w:rPr>
                <w:rFonts w:hint="eastAsia" w:asciiTheme="minorEastAsia" w:hAnsiTheme="minorEastAsia" w:eastAsiaTheme="minorEastAsia" w:cstheme="minorEastAsia"/>
                <w:snapToGrid w:val="0"/>
                <w:color w:val="auto"/>
                <w:kern w:val="0"/>
                <w:sz w:val="21"/>
                <w:szCs w:val="21"/>
                <w:highlight w:val="none"/>
                <w:lang w:val="en-US" w:eastAsia="zh-CN"/>
              </w:rPr>
              <w:t>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w:t>
            </w:r>
            <w:r>
              <w:rPr>
                <w:rFonts w:hint="eastAsia" w:asciiTheme="minorEastAsia" w:hAnsiTheme="minorEastAsia" w:eastAsiaTheme="minorEastAsia" w:cstheme="minorEastAsia"/>
                <w:snapToGrid w:val="0"/>
                <w:color w:val="auto"/>
                <w:kern w:val="0"/>
                <w:sz w:val="21"/>
                <w:szCs w:val="21"/>
                <w:highlight w:val="none"/>
                <w:lang w:eastAsia="zh-CN"/>
              </w:rPr>
              <w:t>。</w:t>
            </w:r>
          </w:p>
          <w:p w14:paraId="60D9B5C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3.2 拟派项目技术负责人须具备</w:t>
            </w:r>
            <w:r>
              <w:rPr>
                <w:rFonts w:hint="eastAsia" w:asciiTheme="minorEastAsia" w:hAnsiTheme="minorEastAsia" w:eastAsiaTheme="minorEastAsia" w:cstheme="minorEastAsia"/>
                <w:snapToGrid w:val="0"/>
                <w:color w:val="auto"/>
                <w:kern w:val="0"/>
                <w:sz w:val="21"/>
                <w:szCs w:val="21"/>
                <w:highlight w:val="none"/>
                <w:u w:val="single"/>
                <w:lang w:val="en-US" w:eastAsia="zh-CN"/>
              </w:rPr>
              <w:t>市政</w:t>
            </w:r>
            <w:r>
              <w:rPr>
                <w:rFonts w:hint="eastAsia" w:asciiTheme="minorEastAsia" w:hAnsiTheme="minorEastAsia" w:eastAsiaTheme="minorEastAsia" w:cstheme="minorEastAsia"/>
                <w:snapToGrid w:val="0"/>
                <w:color w:val="auto"/>
                <w:kern w:val="0"/>
                <w:sz w:val="21"/>
                <w:szCs w:val="21"/>
                <w:highlight w:val="none"/>
                <w:u w:val="none"/>
                <w:lang w:val="en-US" w:eastAsia="zh-CN"/>
              </w:rPr>
              <w:t>类</w:t>
            </w:r>
            <w:r>
              <w:rPr>
                <w:rFonts w:hint="eastAsia" w:asciiTheme="minorEastAsia" w:hAnsiTheme="minorEastAsia" w:eastAsiaTheme="minorEastAsia" w:cstheme="minorEastAsia"/>
                <w:snapToGrid w:val="0"/>
                <w:color w:val="auto"/>
                <w:kern w:val="0"/>
                <w:sz w:val="21"/>
                <w:szCs w:val="21"/>
                <w:highlight w:val="none"/>
                <w:lang w:eastAsia="zh-CN"/>
              </w:rPr>
              <w:t>相关专业</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级以上（含</w:t>
            </w:r>
            <w:r>
              <w:rPr>
                <w:rFonts w:hint="eastAsia" w:asciiTheme="minorEastAsia" w:hAnsiTheme="minorEastAsia" w:eastAsiaTheme="minorEastAsia" w:cstheme="minorEastAsia"/>
                <w:snapToGrid w:val="0"/>
                <w:color w:val="auto"/>
                <w:kern w:val="0"/>
                <w:sz w:val="21"/>
                <w:szCs w:val="21"/>
                <w:highlight w:val="none"/>
                <w:lang w:val="en-US" w:eastAsia="zh-CN"/>
              </w:rPr>
              <w:t>中</w:t>
            </w:r>
            <w:r>
              <w:rPr>
                <w:rFonts w:hint="eastAsia" w:asciiTheme="minorEastAsia" w:hAnsiTheme="minorEastAsia" w:eastAsiaTheme="minorEastAsia" w:cstheme="minorEastAsia"/>
                <w:snapToGrid w:val="0"/>
                <w:color w:val="auto"/>
                <w:kern w:val="0"/>
                <w:sz w:val="21"/>
                <w:szCs w:val="21"/>
                <w:highlight w:val="none"/>
                <w:lang w:eastAsia="zh-CN"/>
              </w:rPr>
              <w:t>级）技术职称。</w:t>
            </w:r>
          </w:p>
          <w:p w14:paraId="2030FE5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3.3 投标人拟派专职安全生产管理人员须具备有效安全生产考核合格证明（C证，安全生产考核合格证书或“广东省建筑施工企业管理人员安全生产考核系统”考核合格信息打印页），且不少于 </w:t>
            </w:r>
            <w:r>
              <w:rPr>
                <w:rFonts w:hint="eastAsia" w:asciiTheme="minorEastAsia" w:hAnsiTheme="minorEastAsia" w:eastAsiaTheme="minorEastAsia" w:cstheme="minorEastAsia"/>
                <w:snapToGrid w:val="0"/>
                <w:color w:val="auto"/>
                <w:kern w:val="0"/>
                <w:sz w:val="21"/>
                <w:szCs w:val="21"/>
                <w:highlight w:val="none"/>
                <w:lang w:val="en-US" w:eastAsia="zh-CN"/>
              </w:rPr>
              <w:t>1</w:t>
            </w:r>
            <w:r>
              <w:rPr>
                <w:rFonts w:hint="eastAsia" w:asciiTheme="minorEastAsia" w:hAnsiTheme="minorEastAsia" w:eastAsiaTheme="minorEastAsia" w:cstheme="minorEastAsia"/>
                <w:snapToGrid w:val="0"/>
                <w:color w:val="auto"/>
                <w:kern w:val="0"/>
                <w:sz w:val="21"/>
                <w:szCs w:val="21"/>
                <w:highlight w:val="none"/>
                <w:lang w:eastAsia="zh-CN"/>
              </w:rPr>
              <w:t xml:space="preserve"> 人。</w:t>
            </w:r>
          </w:p>
          <w:p w14:paraId="21CFF58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3.4 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4626643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 ．禁止投标条款：</w:t>
            </w:r>
          </w:p>
          <w:p w14:paraId="74FC15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4.1  投标人不得存在下列情形之一：</w:t>
            </w:r>
          </w:p>
          <w:p w14:paraId="6B9ABBE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（1）为招标人不具有独立法人资格的附属机构（单位）；</w:t>
            </w:r>
          </w:p>
          <w:p w14:paraId="633C9F8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（2）为本招标项目前期准备提供设计或咨询服务的；</w:t>
            </w:r>
          </w:p>
          <w:p w14:paraId="7070AC11">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（3）与本招标项目的其他投标人为同一个单位负责人；</w:t>
            </w:r>
          </w:p>
          <w:p w14:paraId="49F4C83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（4）与本招标项目的其他投标人存在控股、管理关系；</w:t>
            </w:r>
          </w:p>
          <w:p w14:paraId="29D809C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（5）为本招标项目的监理人；</w:t>
            </w:r>
          </w:p>
          <w:p w14:paraId="040C32B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（6）为本招标项目的代建人；</w:t>
            </w:r>
          </w:p>
          <w:p w14:paraId="249688B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（7）为本招标项目的招标代理机构；</w:t>
            </w:r>
          </w:p>
          <w:p w14:paraId="0D904BC3">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（8）与本招标项目的监理人或代建人或招标代理机构同为一个法定代表人；</w:t>
            </w:r>
          </w:p>
          <w:p w14:paraId="2A031264">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（9）与本招标项目的监理人或代建人或招标代理机构存在控股或参股关系；</w:t>
            </w:r>
          </w:p>
          <w:p w14:paraId="4426A53B">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（10）与本招标项目的监理人或代建人或招标代理机构存在相互任职或工作关系；</w:t>
            </w:r>
          </w:p>
          <w:p w14:paraId="033E4C88">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（11）被依法暂停或者取消投标资格；</w:t>
            </w:r>
          </w:p>
          <w:p w14:paraId="56D9D60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（12）被责令停产停业、暂扣或者吊销许可证、暂扣或者吊销执照；</w:t>
            </w:r>
          </w:p>
          <w:p w14:paraId="1992EDF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（13）进入清算程序，或被宣告破产，或其他丧失履约能力的情形；</w:t>
            </w:r>
          </w:p>
          <w:p w14:paraId="56C62149">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（14）在最近三年内发生重大工程质量或安全问题（以相关行业 主管部门的行政处罚决定或司法机关出具的有关法律文书为准）；</w:t>
            </w:r>
          </w:p>
          <w:p w14:paraId="5C943DD5">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（15）被“信用中国 ”网站（https://www.creditchina.gov.cn）发布的《法人和非法人组织公共信用信息报告》列为严重失信主体名单的。</w:t>
            </w:r>
          </w:p>
          <w:p w14:paraId="51742BA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4.2  招标人拒绝以下名单中的单位参加本次投标：</w:t>
            </w:r>
          </w:p>
          <w:tbl>
            <w:tblPr>
              <w:tblStyle w:val="14"/>
              <w:tblW w:w="7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429"/>
              <w:gridCol w:w="2964"/>
            </w:tblGrid>
            <w:tr w14:paraId="118EC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674" w:type="dxa"/>
                  <w:vAlign w:val="center"/>
                </w:tcPr>
                <w:p w14:paraId="6CBCE8F7">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429" w:type="dxa"/>
                  <w:vAlign w:val="center"/>
                </w:tcPr>
                <w:p w14:paraId="68D924EE">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964" w:type="dxa"/>
                  <w:vAlign w:val="center"/>
                </w:tcPr>
                <w:p w14:paraId="1ED3D5D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248B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674" w:type="dxa"/>
                  <w:vAlign w:val="center"/>
                </w:tcPr>
                <w:p w14:paraId="222835B7">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3429" w:type="dxa"/>
                  <w:vAlign w:val="center"/>
                </w:tcPr>
                <w:p w14:paraId="3C439119">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广东韶关曲江经济开发区管理委员会</w:t>
                  </w:r>
                </w:p>
              </w:tc>
              <w:tc>
                <w:tcPr>
                  <w:tcW w:w="2964" w:type="dxa"/>
                  <w:vAlign w:val="center"/>
                </w:tcPr>
                <w:p w14:paraId="49CCDC7E">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38A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2BC09F4D">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3429" w:type="dxa"/>
                  <w:vAlign w:val="center"/>
                </w:tcPr>
                <w:p w14:paraId="2B44927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广东合正项目管理有限公司</w:t>
                  </w:r>
                </w:p>
              </w:tc>
              <w:tc>
                <w:tcPr>
                  <w:tcW w:w="2964" w:type="dxa"/>
                  <w:vAlign w:val="center"/>
                </w:tcPr>
                <w:p w14:paraId="2A87CD39">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79F3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053DDA25">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3429" w:type="dxa"/>
                  <w:vAlign w:val="center"/>
                </w:tcPr>
                <w:p w14:paraId="39E4800A">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中庚工程技术有限公司</w:t>
                  </w:r>
                </w:p>
              </w:tc>
              <w:tc>
                <w:tcPr>
                  <w:tcW w:w="2964" w:type="dxa"/>
                  <w:vAlign w:val="center"/>
                </w:tcPr>
                <w:p w14:paraId="74FCA806">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32A24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7CFF47E7">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3429" w:type="dxa"/>
                  <w:shd w:val="clear" w:color="auto" w:fill="auto"/>
                  <w:vAlign w:val="center"/>
                </w:tcPr>
                <w:p w14:paraId="5FA8F57D">
                  <w:pPr>
                    <w:pStyle w:val="22"/>
                    <w:wordWrap w:val="0"/>
                    <w:adjustRightInd w:val="0"/>
                    <w:snapToGrid w:val="0"/>
                    <w:spacing w:line="340" w:lineRule="exact"/>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 xml:space="preserve">金叶工程项目管理有限公司 </w:t>
                  </w:r>
                </w:p>
              </w:tc>
              <w:tc>
                <w:tcPr>
                  <w:tcW w:w="2964" w:type="dxa"/>
                  <w:shd w:val="clear" w:color="auto" w:fill="auto"/>
                  <w:vAlign w:val="center"/>
                </w:tcPr>
                <w:p w14:paraId="161974BB">
                  <w:pPr>
                    <w:pStyle w:val="22"/>
                    <w:wordWrap w:val="0"/>
                    <w:adjustRightInd w:val="0"/>
                    <w:snapToGrid w:val="0"/>
                    <w:spacing w:line="340" w:lineRule="exact"/>
                    <w:jc w:val="left"/>
                    <w:rPr>
                      <w:rFonts w:hint="default"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全过程</w:t>
                  </w:r>
                  <w:r>
                    <w:rPr>
                      <w:rFonts w:hint="eastAsia" w:ascii="宋体" w:hAnsi="宋体" w:cs="宋体"/>
                      <w:snapToGrid w:val="0"/>
                      <w:color w:val="auto"/>
                      <w:kern w:val="0"/>
                      <w:sz w:val="21"/>
                      <w:szCs w:val="21"/>
                      <w:highlight w:val="none"/>
                      <w:lang w:eastAsia="zh-CN"/>
                    </w:rPr>
                    <w:t>造价咨询单位</w:t>
                  </w:r>
                </w:p>
              </w:tc>
            </w:tr>
            <w:tr w14:paraId="0DB5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42462821">
                  <w:pPr>
                    <w:pStyle w:val="22"/>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3429" w:type="dxa"/>
                  <w:shd w:val="clear" w:color="auto" w:fill="auto"/>
                  <w:vAlign w:val="center"/>
                </w:tcPr>
                <w:p w14:paraId="071B17D8">
                  <w:pPr>
                    <w:pStyle w:val="22"/>
                    <w:wordWrap w:val="0"/>
                    <w:adjustRightInd w:val="0"/>
                    <w:snapToGrid w:val="0"/>
                    <w:spacing w:line="34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广东铭兴建设项目管理有限公司</w:t>
                  </w:r>
                </w:p>
              </w:tc>
              <w:tc>
                <w:tcPr>
                  <w:tcW w:w="2964" w:type="dxa"/>
                  <w:shd w:val="clear" w:color="auto" w:fill="auto"/>
                  <w:vAlign w:val="center"/>
                </w:tcPr>
                <w:p w14:paraId="6BA7699D">
                  <w:pPr>
                    <w:pStyle w:val="22"/>
                    <w:wordWrap w:val="0"/>
                    <w:adjustRightInd w:val="0"/>
                    <w:snapToGrid w:val="0"/>
                    <w:spacing w:line="340" w:lineRule="exact"/>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监理</w:t>
                  </w:r>
                  <w:r>
                    <w:rPr>
                      <w:rFonts w:hint="eastAsia" w:ascii="宋体" w:hAnsi="宋体" w:cs="宋体"/>
                      <w:snapToGrid w:val="0"/>
                      <w:color w:val="auto"/>
                      <w:kern w:val="0"/>
                      <w:sz w:val="21"/>
                      <w:szCs w:val="21"/>
                      <w:highlight w:val="none"/>
                      <w:lang w:eastAsia="zh-CN"/>
                    </w:rPr>
                    <w:t>单位</w:t>
                  </w:r>
                </w:p>
              </w:tc>
            </w:tr>
            <w:tr w14:paraId="6C65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674" w:type="dxa"/>
                  <w:vAlign w:val="center"/>
                </w:tcPr>
                <w:p w14:paraId="3C83D051">
                  <w:pPr>
                    <w:pStyle w:val="22"/>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3429" w:type="dxa"/>
                  <w:shd w:val="clear" w:color="auto" w:fill="auto"/>
                  <w:vAlign w:val="center"/>
                </w:tcPr>
                <w:p w14:paraId="0478B0C4">
                  <w:pPr>
                    <w:pStyle w:val="22"/>
                    <w:wordWrap w:val="0"/>
                    <w:adjustRightInd w:val="0"/>
                    <w:snapToGrid w:val="0"/>
                    <w:spacing w:line="34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广东华悦建设工程技术有限公司</w:t>
                  </w:r>
                </w:p>
              </w:tc>
              <w:tc>
                <w:tcPr>
                  <w:tcW w:w="2964" w:type="dxa"/>
                  <w:shd w:val="clear" w:color="auto" w:fill="auto"/>
                  <w:vAlign w:val="center"/>
                </w:tcPr>
                <w:p w14:paraId="6C07FF01">
                  <w:pPr>
                    <w:pStyle w:val="22"/>
                    <w:wordWrap w:val="0"/>
                    <w:adjustRightInd w:val="0"/>
                    <w:snapToGrid w:val="0"/>
                    <w:spacing w:line="340" w:lineRule="exact"/>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施工图审查</w:t>
                  </w:r>
                  <w:r>
                    <w:rPr>
                      <w:rFonts w:hint="eastAsia" w:ascii="宋体" w:hAnsi="宋体" w:cs="宋体"/>
                      <w:snapToGrid w:val="0"/>
                      <w:color w:val="auto"/>
                      <w:kern w:val="0"/>
                      <w:sz w:val="21"/>
                      <w:szCs w:val="21"/>
                      <w:highlight w:val="none"/>
                      <w:lang w:eastAsia="zh-CN"/>
                    </w:rPr>
                    <w:t>单位</w:t>
                  </w:r>
                </w:p>
              </w:tc>
            </w:tr>
          </w:tbl>
          <w:p w14:paraId="4842427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5 ．其他要求</w:t>
            </w:r>
          </w:p>
          <w:p w14:paraId="1C70EAFF">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省外企业及其拟派往本项目管理机构的所有人员均须按照《广东省住房和城乡建设厅关于取消省外建筑企业和人员进粤信息备案有关工作的通知》（粤建市﹝2015 ﹞52 号）规定在“进粤企业和人员诚信信息登记平台”录入相关信息并通过数据规范检查。</w:t>
            </w:r>
          </w:p>
        </w:tc>
      </w:tr>
      <w:tr w14:paraId="4DA7A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atLeast"/>
        </w:trPr>
        <w:tc>
          <w:tcPr>
            <w:tcW w:w="582" w:type="dxa"/>
            <w:vAlign w:val="center"/>
          </w:tcPr>
          <w:p w14:paraId="6C795553">
            <w:pPr>
              <w:spacing w:before="19"/>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3"/>
                <w:sz w:val="21"/>
                <w:szCs w:val="21"/>
                <w:highlight w:val="none"/>
              </w:rPr>
              <w:t>2</w:t>
            </w:r>
            <w:r>
              <w:rPr>
                <w:rFonts w:hint="eastAsia" w:asciiTheme="minorEastAsia" w:hAnsiTheme="minorEastAsia" w:eastAsiaTheme="minorEastAsia" w:cstheme="minorEastAsia"/>
                <w:color w:val="auto"/>
                <w:spacing w:val="-3"/>
                <w:sz w:val="21"/>
                <w:szCs w:val="21"/>
                <w:highlight w:val="none"/>
                <w:lang w:val="en-US" w:eastAsia="zh-CN"/>
              </w:rPr>
              <w:t>8</w:t>
            </w:r>
          </w:p>
        </w:tc>
        <w:tc>
          <w:tcPr>
            <w:tcW w:w="1860" w:type="dxa"/>
            <w:vAlign w:val="center"/>
          </w:tcPr>
          <w:p w14:paraId="315C6AC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投标有效期</w:t>
            </w:r>
          </w:p>
        </w:tc>
        <w:tc>
          <w:tcPr>
            <w:tcW w:w="7544" w:type="dxa"/>
            <w:vAlign w:val="center"/>
          </w:tcPr>
          <w:p w14:paraId="10AD749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本次招标的投标有效期为</w:t>
            </w:r>
            <w:r>
              <w:rPr>
                <w:rFonts w:hint="eastAsia" w:asciiTheme="minorEastAsia" w:hAnsiTheme="minorEastAsia" w:eastAsiaTheme="minorEastAsia" w:cstheme="minorEastAsia"/>
                <w:snapToGrid w:val="0"/>
                <w:color w:val="auto"/>
                <w:kern w:val="0"/>
                <w:sz w:val="21"/>
                <w:szCs w:val="21"/>
                <w:highlight w:val="none"/>
                <w:u w:val="single"/>
                <w:lang w:eastAsia="zh-CN"/>
              </w:rPr>
              <w:t>90</w:t>
            </w:r>
            <w:r>
              <w:rPr>
                <w:rFonts w:hint="eastAsia" w:asciiTheme="minorEastAsia" w:hAnsiTheme="minorEastAsia" w:eastAsiaTheme="minorEastAsia" w:cstheme="minorEastAsia"/>
                <w:snapToGrid w:val="0"/>
                <w:color w:val="auto"/>
                <w:kern w:val="0"/>
                <w:sz w:val="21"/>
                <w:szCs w:val="21"/>
                <w:highlight w:val="none"/>
                <w:lang w:eastAsia="zh-CN"/>
              </w:rPr>
              <w:t xml:space="preserve"> 个日历天。</w:t>
            </w:r>
          </w:p>
        </w:tc>
      </w:tr>
      <w:tr w14:paraId="0581D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0" w:hRule="atLeast"/>
        </w:trPr>
        <w:tc>
          <w:tcPr>
            <w:tcW w:w="582" w:type="dxa"/>
            <w:vAlign w:val="center"/>
          </w:tcPr>
          <w:p w14:paraId="7E0149C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29</w:t>
            </w:r>
          </w:p>
        </w:tc>
        <w:tc>
          <w:tcPr>
            <w:tcW w:w="1860" w:type="dxa"/>
            <w:vAlign w:val="center"/>
          </w:tcPr>
          <w:p w14:paraId="21626DA8">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投标文件组成</w:t>
            </w:r>
          </w:p>
        </w:tc>
        <w:tc>
          <w:tcPr>
            <w:tcW w:w="7544" w:type="dxa"/>
            <w:vAlign w:val="center"/>
          </w:tcPr>
          <w:p w14:paraId="0891F660">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投标文件包括商务标书、经济标书、施工组织设计</w:t>
            </w:r>
            <w:r>
              <w:rPr>
                <w:rFonts w:hint="eastAsia" w:asciiTheme="minorEastAsia" w:hAnsiTheme="minorEastAsia" w:eastAsiaTheme="minorEastAsia" w:cstheme="minorEastAsia"/>
                <w:snapToGrid w:val="0"/>
                <w:color w:val="auto"/>
                <w:kern w:val="0"/>
                <w:sz w:val="21"/>
                <w:szCs w:val="21"/>
                <w:highlight w:val="none"/>
                <w:lang w:val="en-US" w:eastAsia="zh-CN"/>
              </w:rPr>
              <w:t>和</w:t>
            </w:r>
            <w:r>
              <w:rPr>
                <w:rFonts w:hint="eastAsia" w:asciiTheme="minorEastAsia" w:hAnsiTheme="minorEastAsia" w:eastAsiaTheme="minorEastAsia" w:cstheme="minorEastAsia"/>
                <w:snapToGrid w:val="0"/>
                <w:color w:val="auto"/>
                <w:kern w:val="0"/>
                <w:sz w:val="21"/>
                <w:szCs w:val="21"/>
                <w:highlight w:val="none"/>
                <w:lang w:eastAsia="zh-CN"/>
              </w:rPr>
              <w:t>定标文件四个分册。</w:t>
            </w:r>
          </w:p>
        </w:tc>
      </w:tr>
      <w:tr w14:paraId="69F1D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trPr>
        <w:tc>
          <w:tcPr>
            <w:tcW w:w="582" w:type="dxa"/>
            <w:vAlign w:val="center"/>
          </w:tcPr>
          <w:p w14:paraId="080D10B9">
            <w:pPr>
              <w:spacing w:before="69" w:line="188" w:lineRule="auto"/>
              <w:ind w:left="205"/>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3"/>
                <w:sz w:val="21"/>
                <w:szCs w:val="21"/>
                <w:highlight w:val="none"/>
                <w:lang w:val="en-US" w:eastAsia="zh-CN"/>
              </w:rPr>
              <w:t>30</w:t>
            </w:r>
          </w:p>
        </w:tc>
        <w:tc>
          <w:tcPr>
            <w:tcW w:w="1860" w:type="dxa"/>
            <w:vAlign w:val="center"/>
          </w:tcPr>
          <w:p w14:paraId="60E20252">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施工组织设计评审方式</w:t>
            </w:r>
          </w:p>
        </w:tc>
        <w:tc>
          <w:tcPr>
            <w:tcW w:w="7544" w:type="dxa"/>
            <w:vAlign w:val="center"/>
          </w:tcPr>
          <w:p w14:paraId="044BE8C7">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本次招标施工组织设计 不采用 “暗标 ”方式进行评审。</w:t>
            </w:r>
          </w:p>
        </w:tc>
      </w:tr>
      <w:tr w14:paraId="1418B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7F5E06">
            <w:pPr>
              <w:spacing w:before="69" w:line="188" w:lineRule="auto"/>
              <w:ind w:left="209"/>
              <w:jc w:val="both"/>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1</w:t>
            </w:r>
          </w:p>
        </w:tc>
        <w:tc>
          <w:tcPr>
            <w:tcW w:w="1860" w:type="dxa"/>
            <w:vAlign w:val="center"/>
          </w:tcPr>
          <w:p w14:paraId="0106153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w:t>
            </w:r>
          </w:p>
        </w:tc>
        <w:tc>
          <w:tcPr>
            <w:tcW w:w="7544" w:type="dxa"/>
            <w:vAlign w:val="top"/>
          </w:tcPr>
          <w:p w14:paraId="1DF9186C">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评标委员会由 5 人组成，其中招标人代表 0 人，专家 5 人。专家从广东省综合评标评审专家库韶关区域及远程异地中随机抽取，其中技术类专家 3 人，经济类专家 2 人。</w:t>
            </w:r>
          </w:p>
        </w:tc>
      </w:tr>
      <w:tr w14:paraId="76C0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8" w:hRule="atLeast"/>
        </w:trPr>
        <w:tc>
          <w:tcPr>
            <w:tcW w:w="582" w:type="dxa"/>
            <w:vAlign w:val="center"/>
          </w:tcPr>
          <w:p w14:paraId="2AD4F28B">
            <w:pPr>
              <w:spacing w:before="69"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32</w:t>
            </w:r>
          </w:p>
        </w:tc>
        <w:tc>
          <w:tcPr>
            <w:tcW w:w="1860" w:type="dxa"/>
            <w:vAlign w:val="center"/>
          </w:tcPr>
          <w:p w14:paraId="36288FE7">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lang w:eastAsia="zh-CN"/>
              </w:rPr>
              <w:t>定</w:t>
            </w:r>
            <w:r>
              <w:rPr>
                <w:rFonts w:hint="eastAsia" w:ascii="宋体" w:hAnsi="宋体" w:eastAsia="宋体" w:cs="宋体"/>
                <w:color w:val="auto"/>
                <w:sz w:val="21"/>
                <w:szCs w:val="21"/>
                <w:highlight w:val="none"/>
              </w:rPr>
              <w:t>标委员会</w:t>
            </w:r>
          </w:p>
        </w:tc>
        <w:tc>
          <w:tcPr>
            <w:tcW w:w="7544" w:type="dxa"/>
            <w:vAlign w:val="center"/>
          </w:tcPr>
          <w:p w14:paraId="625D2317">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auto"/>
                <w:sz w:val="21"/>
                <w:szCs w:val="21"/>
                <w:highlight w:val="none"/>
                <w:u w:val="none"/>
                <w:lang w:val="en-US" w:eastAsia="zh-CN"/>
              </w:rPr>
              <w:t>本</w:t>
            </w:r>
            <w:r>
              <w:rPr>
                <w:rFonts w:hint="eastAsia" w:ascii="宋体" w:hAnsi="宋体" w:eastAsia="宋体" w:cs="宋体"/>
                <w:color w:val="auto"/>
                <w:sz w:val="21"/>
                <w:szCs w:val="21"/>
                <w:highlight w:val="none"/>
                <w:u w:val="none"/>
                <w:lang w:eastAsia="zh-CN"/>
              </w:rPr>
              <w:t>项目</w:t>
            </w:r>
            <w:r>
              <w:rPr>
                <w:rFonts w:hint="eastAsia" w:ascii="宋体" w:hAnsi="宋体" w:eastAsia="宋体" w:cs="宋体"/>
                <w:color w:val="auto"/>
                <w:sz w:val="21"/>
                <w:szCs w:val="21"/>
                <w:highlight w:val="none"/>
                <w:u w:val="none"/>
              </w:rPr>
              <w:t>定标委员会</w:t>
            </w:r>
            <w:r>
              <w:rPr>
                <w:rFonts w:hint="eastAsia" w:ascii="宋体" w:hAnsi="宋体" w:eastAsia="宋体" w:cs="宋体"/>
                <w:color w:val="auto"/>
                <w:sz w:val="21"/>
                <w:szCs w:val="21"/>
                <w:highlight w:val="none"/>
                <w:u w:val="none"/>
                <w:lang w:eastAsia="zh-CN"/>
              </w:rPr>
              <w:t>组成人</w:t>
            </w:r>
            <w:r>
              <w:rPr>
                <w:rFonts w:hint="eastAsia" w:ascii="宋体" w:hAnsi="宋体" w:eastAsia="宋体" w:cs="宋体"/>
                <w:color w:val="auto"/>
                <w:sz w:val="21"/>
                <w:szCs w:val="21"/>
                <w:highlight w:val="none"/>
                <w:u w:val="none"/>
              </w:rPr>
              <w:t>员为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7 </w:t>
            </w:r>
            <w:r>
              <w:rPr>
                <w:rFonts w:hint="eastAsia" w:ascii="宋体" w:hAnsi="宋体" w:eastAsia="宋体" w:cs="宋体"/>
                <w:color w:val="auto"/>
                <w:sz w:val="21"/>
                <w:szCs w:val="21"/>
                <w:highlight w:val="none"/>
              </w:rPr>
              <w:t>人</w:t>
            </w:r>
            <w:r>
              <w:rPr>
                <w:rFonts w:hint="eastAsia" w:ascii="宋体" w:hAnsi="宋体" w:eastAsia="宋体" w:cs="宋体"/>
                <w:color w:val="auto"/>
                <w:sz w:val="21"/>
                <w:szCs w:val="21"/>
                <w:highlight w:val="none"/>
                <w:u w:val="none"/>
                <w:lang w:eastAsia="zh-CN"/>
              </w:rPr>
              <w:t>。</w:t>
            </w:r>
          </w:p>
        </w:tc>
      </w:tr>
      <w:tr w14:paraId="1DA8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58D68E09">
            <w:pPr>
              <w:spacing w:before="258" w:line="188" w:lineRule="auto"/>
              <w:ind w:left="209"/>
              <w:jc w:val="both"/>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33</w:t>
            </w:r>
          </w:p>
        </w:tc>
        <w:tc>
          <w:tcPr>
            <w:tcW w:w="1860" w:type="dxa"/>
            <w:vAlign w:val="center"/>
          </w:tcPr>
          <w:p w14:paraId="1729A2D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评标方法</w:t>
            </w:r>
          </w:p>
        </w:tc>
        <w:tc>
          <w:tcPr>
            <w:tcW w:w="7544" w:type="dxa"/>
            <w:vAlign w:val="center"/>
          </w:tcPr>
          <w:p w14:paraId="14FB030A">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 xml:space="preserve">  综合评分法</w:t>
            </w:r>
          </w:p>
        </w:tc>
      </w:tr>
      <w:tr w14:paraId="3A74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06AF2062">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34</w:t>
            </w:r>
          </w:p>
        </w:tc>
        <w:tc>
          <w:tcPr>
            <w:tcW w:w="1860" w:type="dxa"/>
            <w:vAlign w:val="center"/>
          </w:tcPr>
          <w:p w14:paraId="065EB7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投标文件编制</w:t>
            </w:r>
            <w:r>
              <w:rPr>
                <w:rFonts w:hint="eastAsia" w:ascii="宋体" w:hAnsi="宋体" w:eastAsia="宋体" w:cs="宋体"/>
                <w:snapToGrid w:val="0"/>
                <w:color w:val="auto"/>
                <w:kern w:val="0"/>
                <w:sz w:val="21"/>
                <w:szCs w:val="21"/>
                <w:highlight w:val="none"/>
                <w:lang w:eastAsia="zh-CN"/>
              </w:rPr>
              <w:t>及</w:t>
            </w:r>
            <w:r>
              <w:rPr>
                <w:rFonts w:hint="eastAsia" w:ascii="宋体" w:hAnsi="宋体" w:eastAsia="宋体" w:cs="宋体"/>
                <w:snapToGrid w:val="0"/>
                <w:color w:val="auto"/>
                <w:kern w:val="0"/>
                <w:sz w:val="21"/>
                <w:szCs w:val="21"/>
                <w:highlight w:val="none"/>
              </w:rPr>
              <w:t>份数要求</w:t>
            </w:r>
          </w:p>
        </w:tc>
        <w:tc>
          <w:tcPr>
            <w:tcW w:w="7544" w:type="dxa"/>
            <w:vAlign w:val="center"/>
          </w:tcPr>
          <w:p w14:paraId="66F22651">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投标人须上传（递交）投标文件：</w:t>
            </w:r>
          </w:p>
          <w:p w14:paraId="563C340A">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1、电子投标文件一套：</w:t>
            </w:r>
          </w:p>
          <w:p w14:paraId="25FB02E9">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（1）商务标书1份；</w:t>
            </w:r>
          </w:p>
          <w:p w14:paraId="440EA8CF">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（2）经济标书1份；</w:t>
            </w:r>
          </w:p>
          <w:p w14:paraId="4387DA43">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 xml:space="preserve">（3）施工组织设计1份； </w:t>
            </w:r>
          </w:p>
          <w:p w14:paraId="16B57936">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（4）定标文件1份；</w:t>
            </w:r>
          </w:p>
          <w:p w14:paraId="168A6273">
            <w:pPr>
              <w:keepNext w:val="0"/>
              <w:keepLines w:val="0"/>
              <w:pageBreakBefore w:val="0"/>
              <w:widowControl/>
              <w:suppressLineNumbers w:val="0"/>
              <w:shd w:val="clear" w:color="auto" w:fill="auto"/>
              <w:overflowPunct/>
              <w:topLinePunct w:val="0"/>
              <w:bidi w:val="0"/>
              <w:spacing w:line="360" w:lineRule="auto"/>
              <w:ind w:firstLine="210" w:firstLineChars="1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2、对应评审要求的分项响应文件（如有）。</w:t>
            </w:r>
          </w:p>
          <w:p w14:paraId="7FA3B351">
            <w:pPr>
              <w:keepNext w:val="0"/>
              <w:keepLines w:val="0"/>
              <w:pageBreakBefore w:val="0"/>
              <w:widowControl/>
              <w:suppressLineNumbers w:val="0"/>
              <w:shd w:val="clear" w:color="auto" w:fill="auto"/>
              <w:overflowPunct/>
              <w:topLinePunct w:val="0"/>
              <w:bidi w:val="0"/>
              <w:spacing w:line="360" w:lineRule="auto"/>
              <w:ind w:firstLine="420" w:firstLineChars="200"/>
              <w:jc w:val="left"/>
              <w:textAlignment w:val="center"/>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全国公共资源交易平台（广东省·韶关市）（https://ygp.gdzwfw.gov.cn/ggzy-portal/#/440200/index）交易指引。</w:t>
            </w:r>
          </w:p>
          <w:p w14:paraId="2F569048">
            <w:pPr>
              <w:keepNext w:val="0"/>
              <w:keepLines w:val="0"/>
              <w:pageBreakBefore w:val="0"/>
              <w:widowControl w:val="0"/>
              <w:suppressLineNumbers w:val="0"/>
              <w:kinsoku/>
              <w:wordWrap/>
              <w:overflowPunct/>
              <w:topLinePunct w:val="0"/>
              <w:autoSpaceDE/>
              <w:autoSpaceDN/>
              <w:bidi w:val="0"/>
              <w:adjustRightInd/>
              <w:snapToGrid/>
              <w:spacing w:line="360" w:lineRule="auto"/>
              <w:ind w:left="105" w:leftChars="50" w:right="105" w:rightChars="50" w:firstLine="420" w:firstLineChars="200"/>
              <w:jc w:val="left"/>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val="en-US" w:eastAsia="zh-CN"/>
              </w:rPr>
              <w:t>注：投标人被确定为中标人后，应从交易系统打印二套纸质投标文件（含签名盖章页），内容同电子投标文件，在签订本招标项目承包合同前分别提交给招标人和招标管理部门。（除招标文件约定外，纸质标书须与电子标书一致，不一致的以电子标书为准）。</w:t>
            </w:r>
          </w:p>
        </w:tc>
      </w:tr>
      <w:tr w14:paraId="170F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2168BB35">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35</w:t>
            </w:r>
          </w:p>
        </w:tc>
        <w:tc>
          <w:tcPr>
            <w:tcW w:w="1860" w:type="dxa"/>
            <w:vAlign w:val="center"/>
          </w:tcPr>
          <w:p w14:paraId="1FA89293">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定标办法</w:t>
            </w:r>
          </w:p>
        </w:tc>
        <w:tc>
          <w:tcPr>
            <w:tcW w:w="7544" w:type="dxa"/>
            <w:vAlign w:val="center"/>
          </w:tcPr>
          <w:p w14:paraId="07F682D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采用</w:t>
            </w:r>
            <w:r>
              <w:rPr>
                <w:rFonts w:hint="eastAsia" w:ascii="宋体" w:hAnsi="宋体" w:eastAsia="宋体" w:cs="宋体"/>
                <w:b/>
                <w:bCs w:val="0"/>
                <w:snapToGrid w:val="0"/>
                <w:color w:val="auto"/>
                <w:kern w:val="0"/>
                <w:sz w:val="21"/>
                <w:szCs w:val="21"/>
                <w:highlight w:val="none"/>
                <w:lang w:val="en-US" w:eastAsia="zh-CN"/>
              </w:rPr>
              <w:t>评定分离</w:t>
            </w:r>
            <w:r>
              <w:rPr>
                <w:rFonts w:hint="eastAsia" w:ascii="宋体" w:hAnsi="宋体" w:eastAsia="宋体" w:cs="宋体"/>
                <w:bCs/>
                <w:snapToGrid w:val="0"/>
                <w:color w:val="auto"/>
                <w:kern w:val="0"/>
                <w:sz w:val="21"/>
                <w:szCs w:val="21"/>
                <w:highlight w:val="none"/>
                <w:lang w:val="en-US" w:eastAsia="zh-CN"/>
              </w:rPr>
              <w:t>的项目，应选定下列定标办法：</w:t>
            </w:r>
          </w:p>
          <w:p w14:paraId="09851633">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☑票决数量法</w:t>
            </w:r>
          </w:p>
          <w:p w14:paraId="42DC2268">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□票决计分法</w:t>
            </w:r>
          </w:p>
          <w:p w14:paraId="352F7AF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□集体议事法</w:t>
            </w:r>
          </w:p>
          <w:p w14:paraId="345DD05E">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□其他方法：</w:t>
            </w:r>
          </w:p>
        </w:tc>
      </w:tr>
      <w:tr w14:paraId="7640F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6" w:hRule="atLeast"/>
        </w:trPr>
        <w:tc>
          <w:tcPr>
            <w:tcW w:w="582" w:type="dxa"/>
            <w:vAlign w:val="center"/>
          </w:tcPr>
          <w:p w14:paraId="4E5940B1">
            <w:pPr>
              <w:spacing w:before="258" w:line="188" w:lineRule="auto"/>
              <w:ind w:left="209"/>
              <w:jc w:val="both"/>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36</w:t>
            </w:r>
          </w:p>
        </w:tc>
        <w:tc>
          <w:tcPr>
            <w:tcW w:w="1860" w:type="dxa"/>
            <w:vAlign w:val="center"/>
          </w:tcPr>
          <w:p w14:paraId="33814F5A">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z w:val="21"/>
                <w:szCs w:val="21"/>
                <w:highlight w:val="none"/>
              </w:rPr>
              <w:t>纳入百千万工程公益性项目</w:t>
            </w:r>
          </w:p>
        </w:tc>
        <w:tc>
          <w:tcPr>
            <w:tcW w:w="7544" w:type="dxa"/>
            <w:vAlign w:val="center"/>
          </w:tcPr>
          <w:p w14:paraId="3967C6CA">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本次招标鼓励投标人积极响应政策号召，充分利用其人才、技术、专业、资源、资金、设备或管理优势，通过技术创新和资源优化，以投标人自愿为原则，助力百千万工程公益性项目。</w:t>
            </w:r>
          </w:p>
          <w:p w14:paraId="657FEDFF">
            <w:pPr>
              <w:keepNext w:val="0"/>
              <w:keepLines w:val="0"/>
              <w:pageBreakBefore w:val="0"/>
              <w:widowControl w:val="0"/>
              <w:suppressLineNumbers w:val="0"/>
              <w:kinsoku/>
              <w:wordWrap/>
              <w:overflowPunct/>
              <w:topLinePunct w:val="0"/>
              <w:autoSpaceDE/>
              <w:autoSpaceDN/>
              <w:bidi w:val="0"/>
              <w:adjustRightInd/>
              <w:snapToGrid/>
              <w:spacing w:line="400" w:lineRule="exact"/>
              <w:ind w:left="105" w:leftChars="50" w:right="105" w:rightChars="50" w:firstLine="420" w:firstLineChars="200"/>
              <w:jc w:val="left"/>
              <w:textAlignment w:val="auto"/>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rPr>
              <w:t>投标人需提供自愿助力百千万工程公益性项目公益捐建（捐赠或配建）进度计划及保证措施；以投标人自愿为原则，按招标文件格式格式十六要求提供《助力项目承诺书》。</w:t>
            </w:r>
          </w:p>
        </w:tc>
      </w:tr>
      <w:tr w14:paraId="0A10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13" w:hRule="atLeast"/>
        </w:trPr>
        <w:tc>
          <w:tcPr>
            <w:tcW w:w="582" w:type="dxa"/>
            <w:vAlign w:val="center"/>
          </w:tcPr>
          <w:p w14:paraId="5A8F9F23">
            <w:pPr>
              <w:spacing w:before="57" w:line="195"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37</w:t>
            </w:r>
          </w:p>
        </w:tc>
        <w:tc>
          <w:tcPr>
            <w:tcW w:w="1860" w:type="dxa"/>
            <w:vAlign w:val="center"/>
          </w:tcPr>
          <w:p w14:paraId="5E4B993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招标文件要求提交的用于评审的证书、证件、证明原件</w:t>
            </w:r>
          </w:p>
        </w:tc>
        <w:tc>
          <w:tcPr>
            <w:tcW w:w="7544" w:type="dxa"/>
            <w:vAlign w:val="top"/>
          </w:tcPr>
          <w:p w14:paraId="11169AFE">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投标人在提交用于评审的证书、证件、证明原件的，投标人应自行将所需原件密封于文件袋（箱）中，并自行准备两张“原件一览表 ” (详见格式十五，投标人须自行填写，表格可扩展)，一张贴于文件袋（箱），一份在递交文件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复印件与原件不一致，评审时相应证明材料不予认可。</w:t>
            </w:r>
          </w:p>
        </w:tc>
      </w:tr>
      <w:tr w14:paraId="6688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7" w:hRule="atLeast"/>
        </w:trPr>
        <w:tc>
          <w:tcPr>
            <w:tcW w:w="582" w:type="dxa"/>
            <w:vAlign w:val="center"/>
          </w:tcPr>
          <w:p w14:paraId="6E15237F">
            <w:pPr>
              <w:spacing w:before="69" w:line="188" w:lineRule="auto"/>
              <w:ind w:left="209"/>
              <w:rPr>
                <w:rFonts w:hint="eastAsia" w:asciiTheme="minorEastAsia" w:hAnsiTheme="minorEastAsia" w:eastAsiaTheme="minorEastAsia" w:cstheme="minorEastAsia"/>
                <w:color w:val="auto"/>
                <w:spacing w:val="-5"/>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lang w:eastAsia="zh-CN"/>
              </w:rPr>
              <w:t>3</w:t>
            </w:r>
            <w:r>
              <w:rPr>
                <w:rFonts w:hint="eastAsia" w:asciiTheme="minorEastAsia" w:hAnsiTheme="minorEastAsia" w:eastAsiaTheme="minorEastAsia" w:cstheme="minorEastAsia"/>
                <w:color w:val="auto"/>
                <w:spacing w:val="-5"/>
                <w:sz w:val="21"/>
                <w:szCs w:val="21"/>
                <w:highlight w:val="none"/>
                <w:lang w:val="en-US" w:eastAsia="zh-CN"/>
              </w:rPr>
              <w:t>8</w:t>
            </w:r>
          </w:p>
        </w:tc>
        <w:tc>
          <w:tcPr>
            <w:tcW w:w="1860" w:type="dxa"/>
            <w:vAlign w:val="center"/>
          </w:tcPr>
          <w:p w14:paraId="6186C359">
            <w:pPr>
              <w:pStyle w:val="12"/>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right="0"/>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000000"/>
                <w:sz w:val="21"/>
                <w:szCs w:val="21"/>
              </w:rPr>
              <w:t>招标代理费和评标专家酬劳</w:t>
            </w:r>
          </w:p>
        </w:tc>
        <w:tc>
          <w:tcPr>
            <w:tcW w:w="7544" w:type="dxa"/>
            <w:vAlign w:val="center"/>
          </w:tcPr>
          <w:p w14:paraId="7ABDDE22">
            <w:pPr>
              <w:pageBreakBefore w:val="0"/>
              <w:widowControl w:val="0"/>
              <w:kinsoku/>
              <w:wordWrap w:val="0"/>
              <w:overflowPunct/>
              <w:topLinePunct w:val="0"/>
              <w:autoSpaceDE/>
              <w:autoSpaceDN/>
              <w:bidi w:val="0"/>
              <w:adjustRightInd w:val="0"/>
              <w:snapToGrid w:val="0"/>
              <w:spacing w:line="400" w:lineRule="exact"/>
              <w:ind w:left="0" w:leftChars="0" w:firstLine="191" w:firstLineChars="91"/>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color w:val="000000"/>
                <w:sz w:val="21"/>
                <w:szCs w:val="21"/>
              </w:rPr>
              <w:t>本项目由中标人支付招标代理费及评标专家酬劳，代理费根据《招标代理服务收费管理暂行办法》计价格[2002]1980号文相关规定支付</w:t>
            </w:r>
            <w:r>
              <w:rPr>
                <w:rFonts w:hint="eastAsia" w:ascii="宋体" w:hAnsi="宋体" w:eastAsia="宋体" w:cs="宋体"/>
                <w:color w:val="000000"/>
                <w:sz w:val="21"/>
                <w:szCs w:val="21"/>
                <w:lang w:eastAsia="zh-CN"/>
              </w:rPr>
              <w:t>，</w:t>
            </w:r>
            <w:r>
              <w:rPr>
                <w:rFonts w:hint="eastAsia" w:asciiTheme="minorEastAsia" w:hAnsiTheme="minorEastAsia" w:eastAsiaTheme="minorEastAsia" w:cstheme="minorEastAsia"/>
                <w:snapToGrid w:val="0"/>
                <w:color w:val="auto"/>
                <w:kern w:val="0"/>
                <w:sz w:val="21"/>
                <w:szCs w:val="21"/>
                <w:highlight w:val="none"/>
                <w:lang w:val="en-US" w:eastAsia="zh-CN"/>
              </w:rPr>
              <w:t>评标专家酬劳由招标代理机构先垫付，中标人须在中标公告公示期结束后,向招标代理机构一次性付清评标专家酬劳(评标专家酬劳以当天评委签收为准)。</w:t>
            </w:r>
          </w:p>
        </w:tc>
      </w:tr>
      <w:tr w14:paraId="7FD7F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9" w:hRule="atLeast"/>
        </w:trPr>
        <w:tc>
          <w:tcPr>
            <w:tcW w:w="582" w:type="dxa"/>
            <w:vAlign w:val="center"/>
          </w:tcPr>
          <w:p w14:paraId="37D7D386">
            <w:pPr>
              <w:spacing w:before="69" w:line="188"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5"/>
                <w:sz w:val="21"/>
                <w:szCs w:val="21"/>
                <w:highlight w:val="none"/>
              </w:rPr>
              <w:t>3</w:t>
            </w:r>
            <w:r>
              <w:rPr>
                <w:rFonts w:hint="eastAsia" w:asciiTheme="minorEastAsia" w:hAnsiTheme="minorEastAsia" w:eastAsiaTheme="minorEastAsia" w:cstheme="minorEastAsia"/>
                <w:color w:val="auto"/>
                <w:spacing w:val="-5"/>
                <w:sz w:val="21"/>
                <w:szCs w:val="21"/>
                <w:highlight w:val="none"/>
                <w:lang w:val="en-US" w:eastAsia="zh-CN"/>
              </w:rPr>
              <w:t>9</w:t>
            </w:r>
          </w:p>
        </w:tc>
        <w:tc>
          <w:tcPr>
            <w:tcW w:w="1860" w:type="dxa"/>
            <w:vAlign w:val="center"/>
          </w:tcPr>
          <w:p w14:paraId="5DBBB6F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招标人</w:t>
            </w:r>
          </w:p>
          <w:p w14:paraId="36239D21">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769CA9EA">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单位名称：广东韶关曲江经济开发区管理委员会</w:t>
            </w:r>
          </w:p>
          <w:p w14:paraId="1AC8DE3E">
            <w:pPr>
              <w:wordWrap w:val="0"/>
              <w:adjustRightInd w:val="0"/>
              <w:snapToGrid w:val="0"/>
              <w:spacing w:line="360" w:lineRule="exact"/>
              <w:ind w:firstLine="210" w:firstLineChars="100"/>
              <w:jc w:val="left"/>
              <w:rPr>
                <w:rFonts w:hint="default"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办公地址：广东省韶关市曲江区</w:t>
            </w:r>
            <w:r>
              <w:rPr>
                <w:rFonts w:hint="eastAsia" w:asciiTheme="minorEastAsia" w:hAnsiTheme="minorEastAsia" w:eastAsiaTheme="minorEastAsia" w:cstheme="minorEastAsia"/>
                <w:snapToGrid w:val="0"/>
                <w:color w:val="auto"/>
                <w:kern w:val="0"/>
                <w:sz w:val="21"/>
                <w:szCs w:val="21"/>
                <w:highlight w:val="none"/>
                <w:lang w:val="en-US" w:eastAsia="zh-CN"/>
              </w:rPr>
              <w:t>龙湖路</w:t>
            </w:r>
          </w:p>
          <w:p w14:paraId="00D4ACF9">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联系人（部门）：</w:t>
            </w:r>
            <w:r>
              <w:rPr>
                <w:rFonts w:hint="eastAsia" w:asciiTheme="minorEastAsia" w:hAnsiTheme="minorEastAsia" w:eastAsiaTheme="minorEastAsia" w:cstheme="minorEastAsia"/>
                <w:snapToGrid w:val="0"/>
                <w:color w:val="auto"/>
                <w:kern w:val="0"/>
                <w:sz w:val="21"/>
                <w:szCs w:val="21"/>
                <w:highlight w:val="none"/>
                <w:lang w:val="en-US" w:eastAsia="zh-CN"/>
              </w:rPr>
              <w:t>叶工</w:t>
            </w:r>
          </w:p>
          <w:p w14:paraId="43E27472">
            <w:pPr>
              <w:wordWrap w:val="0"/>
              <w:adjustRightInd w:val="0"/>
              <w:snapToGrid w:val="0"/>
              <w:spacing w:line="36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联系电话：0751-6482933</w:t>
            </w:r>
          </w:p>
        </w:tc>
      </w:tr>
      <w:tr w14:paraId="101C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trPr>
        <w:tc>
          <w:tcPr>
            <w:tcW w:w="582" w:type="dxa"/>
            <w:vAlign w:val="center"/>
          </w:tcPr>
          <w:p w14:paraId="7AB56B55">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40</w:t>
            </w:r>
          </w:p>
        </w:tc>
        <w:tc>
          <w:tcPr>
            <w:tcW w:w="1860" w:type="dxa"/>
            <w:vAlign w:val="center"/>
          </w:tcPr>
          <w:p w14:paraId="57A132E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招标代理机构</w:t>
            </w:r>
          </w:p>
          <w:p w14:paraId="3F031D75">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联系方式</w:t>
            </w:r>
          </w:p>
        </w:tc>
        <w:tc>
          <w:tcPr>
            <w:tcW w:w="7544" w:type="dxa"/>
            <w:vAlign w:val="center"/>
          </w:tcPr>
          <w:p w14:paraId="1EFF326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单位名称：</w:t>
            </w:r>
            <w:r>
              <w:rPr>
                <w:rFonts w:hint="eastAsia" w:ascii="宋体" w:hAnsi="宋体" w:eastAsia="宋体" w:cs="宋体"/>
                <w:snapToGrid w:val="0"/>
                <w:color w:val="auto"/>
                <w:kern w:val="0"/>
                <w:sz w:val="22"/>
                <w:szCs w:val="22"/>
                <w:highlight w:val="none"/>
                <w:lang w:eastAsia="zh-CN"/>
              </w:rPr>
              <w:t>广东合正项目管理有限公司</w:t>
            </w:r>
          </w:p>
          <w:p w14:paraId="47CE0A07">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rPr>
              <w:t>办公地址：韶关市武江区百旺大道42号莞韶双创中心研发办公楼五楼03号</w:t>
            </w:r>
          </w:p>
          <w:p w14:paraId="302859BB">
            <w:pPr>
              <w:wordWrap w:val="0"/>
              <w:adjustRightInd w:val="0"/>
              <w:snapToGrid w:val="0"/>
              <w:spacing w:line="360" w:lineRule="exact"/>
              <w:ind w:firstLine="220" w:firstLineChars="100"/>
              <w:jc w:val="left"/>
              <w:rPr>
                <w:rFonts w:hint="eastAsia" w:ascii="宋体" w:hAnsi="宋体" w:eastAsia="宋体" w:cs="宋体"/>
                <w:snapToGrid w:val="0"/>
                <w:color w:val="auto"/>
                <w:kern w:val="0"/>
                <w:sz w:val="22"/>
                <w:szCs w:val="22"/>
                <w:highlight w:val="none"/>
                <w:lang w:val="en-US" w:eastAsia="zh-CN"/>
              </w:rPr>
            </w:pPr>
            <w:r>
              <w:rPr>
                <w:rFonts w:hint="eastAsia" w:ascii="宋体" w:hAnsi="宋体" w:eastAsia="宋体" w:cs="宋体"/>
                <w:i w:val="0"/>
                <w:iCs w:val="0"/>
                <w:caps w:val="0"/>
                <w:color w:val="auto"/>
                <w:spacing w:val="0"/>
                <w:sz w:val="22"/>
                <w:szCs w:val="22"/>
                <w:highlight w:val="none"/>
                <w:shd w:val="clear" w:fill="FFFFFF"/>
              </w:rPr>
              <w:t>项目负责人：</w:t>
            </w:r>
            <w:r>
              <w:rPr>
                <w:rFonts w:hint="eastAsia" w:ascii="宋体" w:hAnsi="宋体" w:eastAsia="宋体" w:cs="宋体"/>
                <w:i w:val="0"/>
                <w:iCs w:val="0"/>
                <w:caps w:val="0"/>
                <w:color w:val="auto"/>
                <w:spacing w:val="0"/>
                <w:sz w:val="22"/>
                <w:szCs w:val="22"/>
                <w:highlight w:val="none"/>
                <w:shd w:val="clear" w:fill="FFFFFF"/>
                <w:lang w:val="en-US" w:eastAsia="zh-CN"/>
              </w:rPr>
              <w:t>何高练</w:t>
            </w:r>
          </w:p>
          <w:p w14:paraId="6B13246D">
            <w:pPr>
              <w:pStyle w:val="2"/>
              <w:ind w:firstLine="220" w:firstLineChars="100"/>
              <w:rPr>
                <w:rFonts w:hint="eastAsia" w:ascii="宋体" w:hAnsi="宋体" w:eastAsia="宋体" w:cs="宋体"/>
                <w:i w:val="0"/>
                <w:iCs w:val="0"/>
                <w:caps w:val="0"/>
                <w:color w:val="auto"/>
                <w:spacing w:val="0"/>
                <w:sz w:val="22"/>
                <w:szCs w:val="22"/>
                <w:highlight w:val="none"/>
                <w:shd w:val="clear" w:fill="FFFFFF"/>
              </w:rPr>
            </w:pPr>
            <w:r>
              <w:rPr>
                <w:rFonts w:hint="eastAsia" w:ascii="宋体" w:hAnsi="宋体" w:eastAsia="宋体" w:cs="宋体"/>
                <w:i w:val="0"/>
                <w:iCs w:val="0"/>
                <w:caps w:val="0"/>
                <w:color w:val="auto"/>
                <w:spacing w:val="0"/>
                <w:sz w:val="22"/>
                <w:szCs w:val="22"/>
                <w:highlight w:val="none"/>
                <w:shd w:val="clear" w:fill="FFFFFF"/>
              </w:rPr>
              <w:t>项目经办人：张慧新、蔡健</w:t>
            </w:r>
          </w:p>
          <w:p w14:paraId="245C4B76">
            <w:pPr>
              <w:pStyle w:val="2"/>
              <w:ind w:firstLine="220" w:firstLineChars="10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2"/>
                <w:szCs w:val="22"/>
                <w:highlight w:val="none"/>
              </w:rPr>
              <w:t>电    话：</w:t>
            </w:r>
            <w:r>
              <w:rPr>
                <w:rFonts w:hint="eastAsia" w:ascii="宋体" w:hAnsi="宋体" w:eastAsia="宋体" w:cs="宋体"/>
                <w:snapToGrid w:val="0"/>
                <w:color w:val="auto"/>
                <w:kern w:val="0"/>
                <w:sz w:val="22"/>
                <w:szCs w:val="22"/>
                <w:highlight w:val="none"/>
                <w:lang w:val="en-US" w:eastAsia="zh-CN"/>
              </w:rPr>
              <w:t>0751-8821012</w:t>
            </w:r>
          </w:p>
        </w:tc>
      </w:tr>
      <w:tr w14:paraId="5459D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44" w:hRule="atLeast"/>
        </w:trPr>
        <w:tc>
          <w:tcPr>
            <w:tcW w:w="582" w:type="dxa"/>
            <w:vAlign w:val="center"/>
          </w:tcPr>
          <w:p w14:paraId="18F6589E">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41</w:t>
            </w:r>
          </w:p>
        </w:tc>
        <w:tc>
          <w:tcPr>
            <w:tcW w:w="1860" w:type="dxa"/>
            <w:vAlign w:val="center"/>
          </w:tcPr>
          <w:p w14:paraId="1AD5452F">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交易场所联系方式</w:t>
            </w:r>
          </w:p>
        </w:tc>
        <w:tc>
          <w:tcPr>
            <w:tcW w:w="7544" w:type="dxa"/>
            <w:vAlign w:val="center"/>
          </w:tcPr>
          <w:p w14:paraId="70E0061D">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单位名称：韶关市公共资源交易中心</w:t>
            </w:r>
          </w:p>
          <w:p w14:paraId="50B57859">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办公地址：韶关市曲江区马坝镇鞍山路曲江文化中心一楼</w:t>
            </w:r>
          </w:p>
          <w:p w14:paraId="4235EA98">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联系人（部门）：工程交易部</w:t>
            </w:r>
          </w:p>
          <w:p w14:paraId="661836DB">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联系电话：0751-6690193</w:t>
            </w:r>
          </w:p>
        </w:tc>
      </w:tr>
      <w:tr w14:paraId="03DC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14" w:hRule="atLeast"/>
        </w:trPr>
        <w:tc>
          <w:tcPr>
            <w:tcW w:w="582" w:type="dxa"/>
            <w:vAlign w:val="center"/>
          </w:tcPr>
          <w:p w14:paraId="6CED66FD">
            <w:pPr>
              <w:spacing w:before="69" w:line="188" w:lineRule="auto"/>
              <w:jc w:val="center"/>
              <w:rPr>
                <w:rFonts w:hint="default" w:asciiTheme="minorEastAsia" w:hAnsiTheme="minorEastAsia" w:eastAsiaTheme="minorEastAsia" w:cstheme="minorEastAsia"/>
                <w:color w:val="auto"/>
                <w:spacing w:val="-5"/>
                <w:sz w:val="21"/>
                <w:szCs w:val="21"/>
                <w:highlight w:val="none"/>
                <w:lang w:val="en-US" w:eastAsia="zh-CN"/>
              </w:rPr>
            </w:pPr>
            <w:r>
              <w:rPr>
                <w:rFonts w:hint="eastAsia" w:asciiTheme="minorEastAsia" w:hAnsiTheme="minorEastAsia" w:eastAsiaTheme="minorEastAsia" w:cstheme="minorEastAsia"/>
                <w:color w:val="auto"/>
                <w:spacing w:val="-5"/>
                <w:sz w:val="21"/>
                <w:szCs w:val="21"/>
                <w:highlight w:val="none"/>
                <w:lang w:val="en-US" w:eastAsia="zh-CN"/>
              </w:rPr>
              <w:t>42</w:t>
            </w:r>
          </w:p>
        </w:tc>
        <w:tc>
          <w:tcPr>
            <w:tcW w:w="1860" w:type="dxa"/>
            <w:vAlign w:val="center"/>
          </w:tcPr>
          <w:p w14:paraId="2B5659C0">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行政监督部</w:t>
            </w:r>
          </w:p>
          <w:p w14:paraId="205A3A6C">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门联系方式</w:t>
            </w:r>
          </w:p>
        </w:tc>
        <w:tc>
          <w:tcPr>
            <w:tcW w:w="7544" w:type="dxa"/>
            <w:vAlign w:val="center"/>
          </w:tcPr>
          <w:p w14:paraId="0CD4B0A9">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单位名称：曲江区住房和城乡建设管理局</w:t>
            </w:r>
          </w:p>
          <w:p w14:paraId="3E6A60AD">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办公地址：韶关市曲江区马坝镇府前中路15号 </w:t>
            </w:r>
          </w:p>
          <w:p w14:paraId="4BF414A4">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联系人（部门）：建管股</w:t>
            </w:r>
          </w:p>
          <w:p w14:paraId="403B3C2A">
            <w:pPr>
              <w:wordWrap w:val="0"/>
              <w:adjustRightInd w:val="0"/>
              <w:snapToGrid w:val="0"/>
              <w:spacing w:line="360" w:lineRule="exact"/>
              <w:ind w:firstLine="239" w:firstLineChars="114"/>
              <w:jc w:val="left"/>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 xml:space="preserve">联系电话：0751-6666656 </w:t>
            </w:r>
          </w:p>
        </w:tc>
      </w:tr>
    </w:tbl>
    <w:p w14:paraId="2196EE89">
      <w:pPr>
        <w:rPr>
          <w:rFonts w:hint="eastAsia" w:ascii="宋体" w:hAnsi="宋体" w:eastAsia="宋体" w:cs="宋体"/>
          <w:b/>
          <w:bCs/>
          <w:color w:val="auto"/>
          <w:spacing w:val="-3"/>
          <w:sz w:val="24"/>
          <w:szCs w:val="24"/>
          <w:highlight w:val="none"/>
        </w:rPr>
      </w:pPr>
      <w:bookmarkStart w:id="5" w:name="bookmark115"/>
      <w:bookmarkEnd w:id="5"/>
      <w:r>
        <w:rPr>
          <w:rFonts w:hint="eastAsia" w:ascii="宋体" w:hAnsi="宋体" w:eastAsia="宋体" w:cs="宋体"/>
          <w:b/>
          <w:bCs/>
          <w:color w:val="auto"/>
          <w:spacing w:val="-3"/>
          <w:sz w:val="24"/>
          <w:szCs w:val="24"/>
          <w:highlight w:val="none"/>
        </w:rPr>
        <w:br w:type="page"/>
      </w:r>
    </w:p>
    <w:p w14:paraId="2A3BA98B">
      <w:pPr>
        <w:spacing w:before="156" w:line="219" w:lineRule="auto"/>
        <w:ind w:left="17"/>
        <w:jc w:val="left"/>
        <w:outlineLvl w:val="1"/>
        <w:rPr>
          <w:rFonts w:hint="eastAsia" w:ascii="宋体" w:hAnsi="宋体" w:eastAsia="宋体" w:cs="宋体"/>
          <w:color w:val="auto"/>
          <w:highlight w:val="none"/>
        </w:rPr>
      </w:pPr>
      <w:bookmarkStart w:id="6" w:name="_Toc14297"/>
      <w:r>
        <w:rPr>
          <w:rFonts w:hint="eastAsia" w:ascii="宋体" w:hAnsi="宋体" w:eastAsia="宋体" w:cs="宋体"/>
          <w:b/>
          <w:bCs/>
          <w:color w:val="auto"/>
          <w:spacing w:val="-3"/>
          <w:sz w:val="24"/>
          <w:szCs w:val="24"/>
          <w:highlight w:val="none"/>
        </w:rPr>
        <w:t>第二节 重要事项时间地点一览表</w:t>
      </w:r>
      <w:bookmarkEnd w:id="6"/>
    </w:p>
    <w:p w14:paraId="69A179A8">
      <w:pPr>
        <w:pStyle w:val="5"/>
        <w:rPr>
          <w:rFonts w:hint="eastAsia" w:ascii="宋体" w:hAnsi="宋体" w:eastAsia="宋体" w:cs="宋体"/>
          <w:color w:val="auto"/>
          <w:highlight w:val="none"/>
        </w:rPr>
      </w:pPr>
    </w:p>
    <w:tbl>
      <w:tblPr>
        <w:tblStyle w:val="14"/>
        <w:tblW w:w="5078"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54"/>
        <w:gridCol w:w="1425"/>
        <w:gridCol w:w="8029"/>
      </w:tblGrid>
      <w:tr w14:paraId="4019977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42"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22439449">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1</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67E1BD2">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招标公告</w:t>
            </w:r>
          </w:p>
          <w:p w14:paraId="7A653FD9">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发布时间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A65A17D">
            <w:pPr>
              <w:pStyle w:val="22"/>
              <w:widowControl/>
              <w:snapToGrid w:val="0"/>
              <w:jc w:val="left"/>
              <w:rPr>
                <w:rFonts w:hint="eastAsia" w:ascii="宋体" w:hAnsi="宋体" w:eastAsia="宋体" w:cs="宋体"/>
                <w:snapToGrid w:val="0"/>
                <w:color w:val="auto"/>
                <w:kern w:val="0"/>
                <w:sz w:val="21"/>
                <w:szCs w:val="21"/>
                <w:highlight w:val="none"/>
                <w:lang w:eastAsia="zh-CN"/>
              </w:rPr>
            </w:pP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7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14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17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30 </w:t>
            </w:r>
            <w:r>
              <w:rPr>
                <w:rFonts w:hint="eastAsia" w:ascii="宋体" w:hAnsi="宋体" w:cs="宋体"/>
                <w:color w:val="auto"/>
                <w:kern w:val="0"/>
                <w:sz w:val="21"/>
                <w:szCs w:val="21"/>
                <w:highlight w:val="none"/>
              </w:rPr>
              <w:t>分</w:t>
            </w:r>
          </w:p>
        </w:tc>
      </w:tr>
      <w:tr w14:paraId="0F1FA9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59"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4794AEEE">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2</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31B2700">
            <w:pPr>
              <w:pStyle w:val="22"/>
              <w:wordWrap w:val="0"/>
              <w:adjustRightInd w:val="0"/>
              <w:snapToGrid w:val="0"/>
              <w:spacing w:line="360" w:lineRule="exact"/>
              <w:jc w:val="center"/>
              <w:rPr>
                <w:rFonts w:hint="default"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获取招标文件</w:t>
            </w:r>
          </w:p>
          <w:p w14:paraId="047E5936">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7A8D2297">
            <w:pPr>
              <w:pStyle w:val="22"/>
              <w:widowControl/>
              <w:snapToGrid w:val="0"/>
              <w:jc w:val="left"/>
              <w:rPr>
                <w:rFonts w:hint="eastAsia" w:ascii="宋体" w:hAnsi="宋体" w:cs="宋体"/>
                <w:snapToGrid w:val="0"/>
                <w:color w:val="auto"/>
                <w:kern w:val="0"/>
                <w:sz w:val="21"/>
                <w:szCs w:val="21"/>
                <w:highlight w:val="none"/>
              </w:rPr>
            </w:pP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4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tc>
      </w:tr>
      <w:tr w14:paraId="1063EA4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04"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50B2B978">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3</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4508021F">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网上提问</w:t>
            </w:r>
          </w:p>
          <w:p w14:paraId="20F73A88">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E3D0564">
            <w:pPr>
              <w:pStyle w:val="22"/>
              <w:wordWrap w:val="0"/>
              <w:adjustRightInd w:val="0"/>
              <w:snapToGrid w:val="0"/>
              <w:spacing w:line="400" w:lineRule="exact"/>
              <w:jc w:val="left"/>
              <w:rPr>
                <w:rFonts w:hint="eastAsia" w:ascii="宋体" w:hAnsi="宋体" w:cs="宋体"/>
                <w:snapToGrid w:val="0"/>
                <w:color w:val="auto"/>
                <w:kern w:val="0"/>
                <w:sz w:val="21"/>
                <w:szCs w:val="21"/>
                <w:highlight w:val="none"/>
              </w:rPr>
            </w:pP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7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25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16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00</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rPr>
              <w:t>分</w:t>
            </w:r>
          </w:p>
        </w:tc>
      </w:tr>
      <w:tr w14:paraId="72A6EE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40"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B17EDA6">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4</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7C9D5069">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网上答疑</w:t>
            </w:r>
          </w:p>
          <w:p w14:paraId="281A7994">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1C952985">
            <w:pPr>
              <w:pStyle w:val="22"/>
              <w:widowControl/>
              <w:snapToGrid w:val="0"/>
              <w:jc w:val="left"/>
              <w:rPr>
                <w:rFonts w:hint="eastAsia" w:ascii="宋体" w:hAnsi="宋体" w:cs="宋体"/>
                <w:snapToGrid w:val="0"/>
                <w:color w:val="auto"/>
                <w:kern w:val="0"/>
                <w:sz w:val="21"/>
                <w:szCs w:val="21"/>
                <w:highlight w:val="none"/>
              </w:rPr>
            </w:pP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7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25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16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30 </w:t>
            </w:r>
            <w:r>
              <w:rPr>
                <w:rFonts w:hint="eastAsia" w:ascii="宋体" w:hAnsi="宋体" w:cs="宋体"/>
                <w:color w:val="auto"/>
                <w:kern w:val="0"/>
                <w:sz w:val="21"/>
                <w:szCs w:val="21"/>
                <w:highlight w:val="none"/>
              </w:rPr>
              <w:t>分至</w:t>
            </w: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7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28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16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00</w:t>
            </w:r>
            <w:r>
              <w:rPr>
                <w:rFonts w:hint="eastAsia" w:ascii="宋体" w:hAnsi="宋体" w:cs="宋体"/>
                <w:color w:val="auto"/>
                <w:kern w:val="0"/>
                <w:sz w:val="21"/>
                <w:szCs w:val="21"/>
                <w:highlight w:val="none"/>
              </w:rPr>
              <w:t>分</w:t>
            </w:r>
          </w:p>
        </w:tc>
      </w:tr>
      <w:tr w14:paraId="0CBB5F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01"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61A1D04">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5</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14C40569">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投标保证缴</w:t>
            </w:r>
          </w:p>
          <w:p w14:paraId="476445BC">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纳截止时间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2FB15DDC">
            <w:pPr>
              <w:pStyle w:val="22"/>
              <w:widowControl/>
              <w:snapToGrid w:val="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投标保证金到账截止时间：</w:t>
            </w: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3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p w14:paraId="0EB20643">
            <w:pPr>
              <w:pStyle w:val="22"/>
              <w:widowControl/>
              <w:snapToGrid w:val="0"/>
              <w:jc w:val="left"/>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投标保证担保上传截止时间：</w:t>
            </w: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3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p w14:paraId="28263B1E">
            <w:pPr>
              <w:pStyle w:val="22"/>
              <w:widowControl/>
              <w:snapToGrid w:val="0"/>
              <w:jc w:val="left"/>
              <w:rPr>
                <w:rFonts w:hint="eastAsia" w:ascii="宋体" w:hAnsi="宋体" w:cs="宋体"/>
                <w:snapToGrid w:val="0"/>
                <w:color w:val="auto"/>
                <w:kern w:val="0"/>
                <w:sz w:val="21"/>
                <w:szCs w:val="21"/>
                <w:highlight w:val="none"/>
              </w:rPr>
            </w:pPr>
            <w:r>
              <w:rPr>
                <w:rFonts w:hint="eastAsia" w:ascii="宋体" w:hAnsi="宋体" w:cs="宋体"/>
                <w:color w:val="auto"/>
                <w:kern w:val="0"/>
                <w:sz w:val="21"/>
                <w:szCs w:val="21"/>
                <w:highlight w:val="none"/>
              </w:rPr>
              <w:t>投标保证保险投保截止时间：</w:t>
            </w: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3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tc>
      </w:tr>
      <w:tr w14:paraId="6CE90EC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025"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7980FC1">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6</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069A1425">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电子投标</w:t>
            </w:r>
          </w:p>
          <w:p w14:paraId="3EF76AE2">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截止时间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4EC63651">
            <w:pPr>
              <w:pStyle w:val="22"/>
              <w:widowControl/>
              <w:snapToGrid w:val="0"/>
              <w:jc w:val="left"/>
              <w:rPr>
                <w:rFonts w:hint="eastAsia" w:ascii="宋体" w:hAnsi="宋体" w:cs="宋体"/>
                <w:snapToGrid w:val="0"/>
                <w:color w:val="auto"/>
                <w:kern w:val="0"/>
                <w:sz w:val="21"/>
                <w:szCs w:val="21"/>
                <w:highlight w:val="none"/>
              </w:rPr>
            </w:pP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4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tc>
      </w:tr>
      <w:tr w14:paraId="029DB2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4"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10086532">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7</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4394893">
            <w:pPr>
              <w:pStyle w:val="22"/>
              <w:wordWrap w:val="0"/>
              <w:adjustRightInd w:val="0"/>
              <w:snapToGrid w:val="0"/>
              <w:spacing w:line="360" w:lineRule="exact"/>
              <w:jc w:val="center"/>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投标评审原件（如有）</w:t>
            </w:r>
          </w:p>
          <w:p w14:paraId="4917AC2D">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递交时间</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0BAE8A32">
            <w:pPr>
              <w:pStyle w:val="22"/>
              <w:widowControl/>
              <w:snapToGrid w:val="0"/>
              <w:jc w:val="left"/>
              <w:rPr>
                <w:rFonts w:hint="eastAsia" w:ascii="宋体" w:hAnsi="宋体" w:cs="宋体"/>
                <w:snapToGrid w:val="0"/>
                <w:color w:val="auto"/>
                <w:kern w:val="0"/>
                <w:sz w:val="21"/>
                <w:szCs w:val="21"/>
                <w:highlight w:val="none"/>
              </w:rPr>
            </w:pP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4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09</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30 </w:t>
            </w:r>
            <w:r>
              <w:rPr>
                <w:rFonts w:hint="eastAsia" w:ascii="宋体" w:hAnsi="宋体" w:cs="宋体"/>
                <w:color w:val="auto"/>
                <w:kern w:val="0"/>
                <w:sz w:val="21"/>
                <w:szCs w:val="21"/>
                <w:highlight w:val="none"/>
              </w:rPr>
              <w:t>分至</w:t>
            </w: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4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tc>
      </w:tr>
      <w:tr w14:paraId="4446E2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34"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24AECF50">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8</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5A6A5504">
            <w:pPr>
              <w:pStyle w:val="22"/>
              <w:wordWrap w:val="0"/>
              <w:adjustRightInd w:val="0"/>
              <w:snapToGrid w:val="0"/>
              <w:spacing w:line="360" w:lineRule="exact"/>
              <w:jc w:val="center"/>
              <w:rPr>
                <w:rFonts w:hint="eastAsia"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投标评审原件（如有）</w:t>
            </w:r>
          </w:p>
          <w:p w14:paraId="6778A131">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递交地点</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59551B2B">
            <w:pPr>
              <w:pStyle w:val="22"/>
              <w:wordWrap w:val="0"/>
              <w:adjustRightInd w:val="0"/>
              <w:snapToGrid w:val="0"/>
              <w:spacing w:line="400" w:lineRule="exact"/>
              <w:ind w:firstLine="210" w:firstLineChars="100"/>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递交场所：韶关市公共资源交易中心曲江分中心</w:t>
            </w:r>
          </w:p>
          <w:p w14:paraId="3C7B8405">
            <w:pPr>
              <w:pStyle w:val="22"/>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lang w:eastAsia="zh-CN"/>
              </w:rPr>
            </w:pPr>
            <w:r>
              <w:rPr>
                <w:rFonts w:hint="eastAsia" w:ascii="宋体" w:hAnsi="宋体" w:cs="宋体"/>
                <w:snapToGrid w:val="0"/>
                <w:color w:val="auto"/>
                <w:kern w:val="0"/>
                <w:sz w:val="21"/>
                <w:szCs w:val="21"/>
                <w:highlight w:val="none"/>
              </w:rPr>
              <w:t>办公地址：韶关市曲江区马坝镇鞍山路曲江文化中心一楼，具体房间号以当日现场通知为准。</w:t>
            </w:r>
          </w:p>
        </w:tc>
      </w:tr>
      <w:tr w14:paraId="20D876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97"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4514A40E">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9</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2B951E57">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开标时间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34D51F9">
            <w:pPr>
              <w:pStyle w:val="22"/>
              <w:wordWrap w:val="0"/>
              <w:adjustRightInd w:val="0"/>
              <w:snapToGrid w:val="0"/>
              <w:spacing w:line="400" w:lineRule="exact"/>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 </w:t>
            </w:r>
            <w:r>
              <w:rPr>
                <w:rFonts w:hint="eastAsia" w:ascii="宋体" w:hAnsi="宋体" w:cs="宋体"/>
                <w:color w:val="auto"/>
                <w:kern w:val="0"/>
                <w:sz w:val="21"/>
                <w:szCs w:val="21"/>
                <w:highlight w:val="none"/>
                <w:u w:val="single"/>
              </w:rPr>
              <w:t>202</w:t>
            </w:r>
            <w:r>
              <w:rPr>
                <w:rFonts w:hint="eastAsia" w:ascii="宋体" w:hAnsi="宋体" w:cs="宋体"/>
                <w:color w:val="auto"/>
                <w:kern w:val="0"/>
                <w:sz w:val="21"/>
                <w:szCs w:val="21"/>
                <w:highlight w:val="none"/>
                <w:u w:val="single"/>
                <w:lang w:val="en-US" w:eastAsia="zh-CN"/>
              </w:rPr>
              <w:t>6</w:t>
            </w:r>
            <w:r>
              <w:rPr>
                <w:rFonts w:hint="eastAsia" w:ascii="宋体" w:hAnsi="宋体" w:cs="宋体"/>
                <w:color w:val="auto"/>
                <w:kern w:val="0"/>
                <w:sz w:val="21"/>
                <w:szCs w:val="21"/>
                <w:highlight w:val="none"/>
              </w:rPr>
              <w:t>年</w:t>
            </w:r>
            <w:r>
              <w:rPr>
                <w:rFonts w:hint="eastAsia" w:ascii="宋体" w:hAnsi="宋体" w:cs="宋体"/>
                <w:color w:val="auto"/>
                <w:kern w:val="0"/>
                <w:sz w:val="21"/>
                <w:szCs w:val="21"/>
                <w:highlight w:val="none"/>
                <w:u w:val="single"/>
                <w:lang w:val="en-US" w:eastAsia="zh-CN"/>
              </w:rPr>
              <w:t xml:space="preserve">  8 </w:t>
            </w:r>
            <w:r>
              <w:rPr>
                <w:rFonts w:hint="eastAsia" w:ascii="宋体" w:hAnsi="宋体" w:cs="宋体"/>
                <w:color w:val="auto"/>
                <w:kern w:val="0"/>
                <w:sz w:val="21"/>
                <w:szCs w:val="21"/>
                <w:highlight w:val="none"/>
              </w:rPr>
              <w:t>月</w:t>
            </w:r>
            <w:r>
              <w:rPr>
                <w:rFonts w:hint="eastAsia" w:ascii="宋体" w:hAnsi="宋体" w:cs="宋体"/>
                <w:color w:val="auto"/>
                <w:kern w:val="0"/>
                <w:sz w:val="21"/>
                <w:szCs w:val="21"/>
                <w:highlight w:val="none"/>
                <w:u w:val="single"/>
                <w:lang w:val="en-US" w:eastAsia="zh-CN"/>
              </w:rPr>
              <w:t xml:space="preserve">  4 </w:t>
            </w:r>
            <w:r>
              <w:rPr>
                <w:rFonts w:hint="eastAsia" w:ascii="宋体" w:hAnsi="宋体" w:cs="宋体"/>
                <w:color w:val="auto"/>
                <w:kern w:val="0"/>
                <w:sz w:val="21"/>
                <w:szCs w:val="21"/>
                <w:highlight w:val="none"/>
              </w:rPr>
              <w:t>日</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 10 </w:t>
            </w:r>
            <w:r>
              <w:rPr>
                <w:rFonts w:hint="eastAsia" w:ascii="宋体" w:hAnsi="宋体" w:cs="宋体"/>
                <w:color w:val="auto"/>
                <w:kern w:val="0"/>
                <w:sz w:val="21"/>
                <w:szCs w:val="21"/>
                <w:highlight w:val="none"/>
              </w:rPr>
              <w:t>时</w:t>
            </w:r>
            <w:r>
              <w:rPr>
                <w:rFonts w:hint="eastAsia" w:ascii="宋体" w:hAnsi="宋体" w:cs="宋体"/>
                <w:color w:val="auto"/>
                <w:kern w:val="0"/>
                <w:sz w:val="21"/>
                <w:szCs w:val="21"/>
                <w:highlight w:val="none"/>
                <w:u w:val="single"/>
              </w:rPr>
              <w:t xml:space="preserve"> </w:t>
            </w:r>
            <w:r>
              <w:rPr>
                <w:rFonts w:hint="eastAsia" w:ascii="宋体" w:hAnsi="宋体" w:cs="宋体"/>
                <w:color w:val="auto"/>
                <w:kern w:val="0"/>
                <w:sz w:val="21"/>
                <w:szCs w:val="21"/>
                <w:highlight w:val="none"/>
                <w:u w:val="single"/>
                <w:lang w:val="en-US" w:eastAsia="zh-CN"/>
              </w:rPr>
              <w:t xml:space="preserve">00 </w:t>
            </w:r>
            <w:r>
              <w:rPr>
                <w:rFonts w:hint="eastAsia" w:ascii="宋体" w:hAnsi="宋体" w:cs="宋体"/>
                <w:color w:val="auto"/>
                <w:kern w:val="0"/>
                <w:sz w:val="21"/>
                <w:szCs w:val="21"/>
                <w:highlight w:val="none"/>
              </w:rPr>
              <w:t>分</w:t>
            </w:r>
          </w:p>
        </w:tc>
      </w:tr>
      <w:tr w14:paraId="095E55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559" w:hRule="exact"/>
        </w:trPr>
        <w:tc>
          <w:tcPr>
            <w:tcW w:w="229" w:type="pct"/>
            <w:tcBorders>
              <w:top w:val="single" w:color="080000" w:sz="4" w:space="0"/>
              <w:left w:val="single" w:color="080000" w:sz="4" w:space="0"/>
              <w:bottom w:val="single" w:color="080000" w:sz="4" w:space="0"/>
              <w:right w:val="single" w:color="080000" w:sz="4" w:space="0"/>
            </w:tcBorders>
            <w:noWrap w:val="0"/>
            <w:vAlign w:val="center"/>
          </w:tcPr>
          <w:p w14:paraId="7B521883">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10</w:t>
            </w:r>
          </w:p>
        </w:tc>
        <w:tc>
          <w:tcPr>
            <w:tcW w:w="718" w:type="pct"/>
            <w:tcBorders>
              <w:top w:val="single" w:color="080000" w:sz="4" w:space="0"/>
              <w:left w:val="single" w:color="080000" w:sz="4" w:space="0"/>
              <w:bottom w:val="single" w:color="080000" w:sz="4" w:space="0"/>
              <w:right w:val="single" w:color="080000" w:sz="4" w:space="0"/>
            </w:tcBorders>
            <w:noWrap w:val="0"/>
            <w:vAlign w:val="center"/>
          </w:tcPr>
          <w:p w14:paraId="6049C28D">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 xml:space="preserve">开标地点 </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60AF5E0F">
            <w:pPr>
              <w:pStyle w:val="22"/>
              <w:wordWrap w:val="0"/>
              <w:adjustRightInd w:val="0"/>
              <w:snapToGrid w:val="0"/>
              <w:spacing w:line="400" w:lineRule="exact"/>
              <w:ind w:firstLine="210" w:firstLineChars="100"/>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开标场所：韶关市公共资源交易中心曲江分中心</w:t>
            </w:r>
          </w:p>
          <w:p w14:paraId="60F40697">
            <w:pPr>
              <w:pStyle w:val="22"/>
              <w:wordWrap w:val="0"/>
              <w:adjustRightInd w:val="0"/>
              <w:snapToGrid w:val="0"/>
              <w:spacing w:line="400" w:lineRule="exact"/>
              <w:ind w:firstLine="210" w:firstLineChars="100"/>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办公地址：韶关市曲江区马坝镇鞍山路曲江文化中心一楼，具体房间号以当日现场通知为准。</w:t>
            </w:r>
          </w:p>
        </w:tc>
      </w:tr>
      <w:tr w14:paraId="0E79D0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69" w:hRule="exact"/>
        </w:trPr>
        <w:tc>
          <w:tcPr>
            <w:tcW w:w="948" w:type="pct"/>
            <w:gridSpan w:val="2"/>
            <w:tcBorders>
              <w:top w:val="single" w:color="080000" w:sz="4" w:space="0"/>
              <w:left w:val="single" w:color="080000" w:sz="4" w:space="0"/>
              <w:bottom w:val="single" w:color="080000" w:sz="4" w:space="0"/>
              <w:right w:val="single" w:color="080000" w:sz="4" w:space="0"/>
            </w:tcBorders>
            <w:noWrap w:val="0"/>
            <w:vAlign w:val="center"/>
          </w:tcPr>
          <w:p w14:paraId="1B9D6105">
            <w:pPr>
              <w:pStyle w:val="22"/>
              <w:wordWrap w:val="0"/>
              <w:adjustRightInd w:val="0"/>
              <w:snapToGrid w:val="0"/>
              <w:spacing w:line="360" w:lineRule="exact"/>
              <w:jc w:val="center"/>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lang w:val="en-US" w:eastAsia="zh-CN"/>
              </w:rPr>
              <w:t>备注</w:t>
            </w:r>
          </w:p>
        </w:tc>
        <w:tc>
          <w:tcPr>
            <w:tcW w:w="4051" w:type="pct"/>
            <w:tcBorders>
              <w:top w:val="single" w:color="080000" w:sz="4" w:space="0"/>
              <w:left w:val="single" w:color="080000" w:sz="4" w:space="0"/>
              <w:bottom w:val="single" w:color="080000" w:sz="4" w:space="0"/>
              <w:right w:val="single" w:color="080000" w:sz="4" w:space="0"/>
            </w:tcBorders>
            <w:noWrap w:val="0"/>
            <w:vAlign w:val="center"/>
          </w:tcPr>
          <w:p w14:paraId="3ACA17C7">
            <w:pPr>
              <w:pStyle w:val="22"/>
              <w:wordWrap w:val="0"/>
              <w:adjustRightInd w:val="0"/>
              <w:snapToGrid w:val="0"/>
              <w:spacing w:line="400" w:lineRule="exact"/>
              <w:ind w:firstLine="210" w:firstLineChars="100"/>
              <w:jc w:val="left"/>
              <w:rPr>
                <w:rFonts w:hint="eastAsia" w:ascii="宋体" w:hAnsi="宋体" w:cs="宋体"/>
                <w:snapToGrid w:val="0"/>
                <w:color w:val="auto"/>
                <w:kern w:val="0"/>
                <w:sz w:val="21"/>
                <w:szCs w:val="21"/>
                <w:highlight w:val="none"/>
              </w:rPr>
            </w:pPr>
            <w:r>
              <w:rPr>
                <w:rFonts w:hint="eastAsia" w:ascii="宋体" w:hAnsi="宋体" w:cs="宋体"/>
                <w:snapToGrid w:val="0"/>
                <w:color w:val="auto"/>
                <w:kern w:val="0"/>
                <w:sz w:val="21"/>
                <w:szCs w:val="21"/>
                <w:highlight w:val="none"/>
              </w:rPr>
              <w:t>自行下载招标文件、资料文件及招标答疑书等。若由于投标人自身原因未能及时取得上述资料的，由此发生的任何责任由投标人自负。</w:t>
            </w:r>
          </w:p>
        </w:tc>
      </w:tr>
    </w:tbl>
    <w:p w14:paraId="3E4E0423">
      <w:pPr>
        <w:tabs>
          <w:tab w:val="left" w:pos="8820"/>
        </w:tabs>
        <w:rPr>
          <w:rFonts w:hint="eastAsia" w:ascii="宋体" w:hAnsi="宋体" w:eastAsia="宋体" w:cs="宋体"/>
          <w:b w:val="0"/>
          <w:bCs w:val="0"/>
          <w:color w:val="auto"/>
          <w:sz w:val="24"/>
          <w:szCs w:val="24"/>
          <w:highlight w:val="none"/>
        </w:rPr>
        <w:sectPr>
          <w:headerReference r:id="rId7" w:type="default"/>
          <w:footerReference r:id="rId8" w:type="default"/>
          <w:pgSz w:w="11906" w:h="16839"/>
          <w:pgMar w:top="1440" w:right="1080" w:bottom="1440" w:left="1080" w:header="0" w:footer="1085" w:gutter="0"/>
          <w:pgBorders>
            <w:top w:val="none" w:sz="0" w:space="0"/>
            <w:left w:val="none" w:sz="0" w:space="0"/>
            <w:bottom w:val="none" w:sz="0" w:space="0"/>
            <w:right w:val="none" w:sz="0" w:space="0"/>
          </w:pgBorders>
          <w:cols w:space="720" w:num="1"/>
        </w:sectPr>
      </w:pPr>
    </w:p>
    <w:p w14:paraId="433C4EC2">
      <w:pPr>
        <w:jc w:val="center"/>
        <w:outlineLvl w:val="1"/>
        <w:rPr>
          <w:rFonts w:hint="eastAsia" w:ascii="宋体" w:hAnsi="宋体" w:eastAsia="宋体" w:cs="宋体"/>
          <w:color w:val="auto"/>
          <w:sz w:val="24"/>
          <w:szCs w:val="24"/>
          <w:highlight w:val="none"/>
        </w:rPr>
      </w:pPr>
      <w:bookmarkStart w:id="7" w:name="_Toc9283"/>
      <w:r>
        <w:rPr>
          <w:rFonts w:hint="eastAsia" w:ascii="宋体" w:hAnsi="宋体" w:eastAsia="宋体" w:cs="宋体"/>
          <w:b/>
          <w:bCs/>
          <w:color w:val="auto"/>
          <w:spacing w:val="-3"/>
          <w:sz w:val="24"/>
          <w:szCs w:val="24"/>
          <w:highlight w:val="none"/>
        </w:rPr>
        <w:t>第三节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投标人须知正文</w:t>
      </w:r>
      <w:bookmarkEnd w:id="7"/>
    </w:p>
    <w:p w14:paraId="73B8EDD5">
      <w:pPr>
        <w:pStyle w:val="5"/>
        <w:spacing w:line="256" w:lineRule="auto"/>
        <w:rPr>
          <w:rFonts w:hint="eastAsia" w:ascii="宋体" w:hAnsi="宋体" w:eastAsia="宋体" w:cs="宋体"/>
          <w:color w:val="auto"/>
          <w:highlight w:val="none"/>
        </w:rPr>
      </w:pPr>
    </w:p>
    <w:p w14:paraId="6017DF82">
      <w:pPr>
        <w:pStyle w:val="5"/>
        <w:spacing w:line="257" w:lineRule="auto"/>
        <w:rPr>
          <w:rFonts w:hint="eastAsia" w:ascii="宋体" w:hAnsi="宋体" w:eastAsia="宋体" w:cs="宋体"/>
          <w:color w:val="auto"/>
          <w:highlight w:val="none"/>
        </w:rPr>
      </w:pPr>
    </w:p>
    <w:p w14:paraId="2BD22834">
      <w:pPr>
        <w:keepNext w:val="0"/>
        <w:keepLines w:val="0"/>
        <w:widowControl/>
        <w:suppressLineNumbers w:val="0"/>
        <w:spacing w:line="360" w:lineRule="auto"/>
        <w:ind w:right="-258" w:rightChars="-123" w:firstLine="480" w:firstLineChars="200"/>
        <w:jc w:val="left"/>
        <w:rPr>
          <w:rFonts w:hint="eastAsia" w:ascii="宋体" w:hAnsi="宋体" w:eastAsia="宋体" w:cs="宋体"/>
          <w:color w:val="auto"/>
          <w:sz w:val="36"/>
          <w:szCs w:val="36"/>
          <w:highlight w:val="none"/>
        </w:rPr>
      </w:pPr>
      <w:bookmarkStart w:id="279" w:name="_GoBack"/>
      <w:r>
        <w:rPr>
          <w:rFonts w:hint="eastAsia" w:ascii="宋体" w:hAnsi="宋体" w:eastAsia="宋体" w:cs="宋体"/>
          <w:snapToGrid w:val="0"/>
          <w:color w:val="auto"/>
          <w:kern w:val="0"/>
          <w:sz w:val="24"/>
          <w:szCs w:val="32"/>
          <w:highlight w:val="none"/>
          <w:u w:val="single"/>
          <w:lang w:eastAsia="zh-CN"/>
        </w:rPr>
        <w:t>曲江经济开发区东南片区基础设施建设项目</w:t>
      </w:r>
      <w:bookmarkEnd w:id="279"/>
      <w:r>
        <w:rPr>
          <w:rFonts w:hint="eastAsia" w:ascii="宋体" w:hAnsi="宋体" w:eastAsia="宋体" w:cs="宋体"/>
          <w:snapToGrid w:val="0"/>
          <w:color w:val="auto"/>
          <w:kern w:val="0"/>
          <w:sz w:val="24"/>
          <w:szCs w:val="32"/>
          <w:highlight w:val="none"/>
          <w:u w:val="single"/>
          <w:lang w:eastAsia="zh-CN"/>
        </w:rPr>
        <w:t>-(三期）-白</w:t>
      </w:r>
      <w:r>
        <w:rPr>
          <w:rFonts w:hint="eastAsia" w:ascii="宋体" w:hAnsi="宋体" w:eastAsia="宋体" w:cs="宋体"/>
          <w:snapToGrid w:val="0"/>
          <w:color w:val="auto"/>
          <w:kern w:val="0"/>
          <w:sz w:val="24"/>
          <w:szCs w:val="32"/>
          <w:highlight w:val="none"/>
          <w:u w:val="single"/>
          <w:lang w:val="en-US" w:eastAsia="zh-CN"/>
        </w:rPr>
        <w:t>土</w:t>
      </w:r>
      <w:r>
        <w:rPr>
          <w:rFonts w:hint="eastAsia" w:ascii="宋体" w:hAnsi="宋体" w:eastAsia="宋体" w:cs="宋体"/>
          <w:snapToGrid w:val="0"/>
          <w:color w:val="auto"/>
          <w:kern w:val="0"/>
          <w:sz w:val="24"/>
          <w:szCs w:val="32"/>
          <w:highlight w:val="none"/>
          <w:u w:val="single"/>
          <w:lang w:eastAsia="zh-CN"/>
        </w:rPr>
        <w:t>新建污水处理厂应急池工程</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曲江区发展和改革局以《韶关市曲江区发展和改革局关于曲江经济开发区东南片区基础设施建设项目可行性研究报告的批复》（曲发改投审〔2025〕16号）《韶关市曲江区发展和改革局关于曲江经济开发区东南片区基础设施建设项目变更的复函》（</w:t>
      </w:r>
      <w:r>
        <w:rPr>
          <w:rFonts w:hint="eastAsia" w:ascii="宋体" w:hAnsi="宋体" w:eastAsia="宋体" w:cs="宋体"/>
          <w:snapToGrid w:val="0"/>
          <w:color w:val="auto"/>
          <w:kern w:val="0"/>
          <w:sz w:val="24"/>
          <w:szCs w:val="32"/>
          <w:highlight w:val="none"/>
          <w:u w:val="single"/>
          <w:lang w:val="en-US" w:eastAsia="zh-CN"/>
        </w:rPr>
        <w:t>曲发改投审〔2026〕6号</w:t>
      </w:r>
      <w:r>
        <w:rPr>
          <w:rFonts w:hint="eastAsia" w:ascii="宋体" w:hAnsi="宋体" w:eastAsia="宋体" w:cs="宋体"/>
          <w:snapToGrid w:val="0"/>
          <w:color w:val="auto"/>
          <w:kern w:val="0"/>
          <w:sz w:val="24"/>
          <w:szCs w:val="32"/>
          <w:highlight w:val="none"/>
          <w:u w:val="single"/>
          <w:lang w:eastAsia="zh-CN"/>
        </w:rPr>
        <w:t>）《韶关市曲江区发展和改革局关于曲江经济开发区东南片区基础设施建设项目变更的复函》（曲发改投审〔2026〕45号）《韶关市曲江区发展和改革局关于曲江经济开发区东南片区基础设施建设项目(三期-白土新建污水处理厂应急池工程）初步设计概算的批复》（曲发改投审〔2026〕47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2503-440205-04-01-898960</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val="en-US" w:eastAsia="zh-CN"/>
        </w:rPr>
        <w:t>韶关市曲江区众益投资经营有限公司</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区财政统筹解决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广东韶关曲江经济开发区管理委员会</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val="en-US" w:eastAsia="zh-CN"/>
        </w:rPr>
        <w:t>施工</w:t>
      </w:r>
      <w:r>
        <w:rPr>
          <w:rFonts w:hint="eastAsia" w:ascii="宋体" w:hAnsi="宋体" w:eastAsia="宋体" w:cs="宋体"/>
          <w:snapToGrid w:val="0"/>
          <w:color w:val="auto"/>
          <w:kern w:val="0"/>
          <w:sz w:val="24"/>
          <w:szCs w:val="24"/>
          <w:highlight w:val="none"/>
        </w:rPr>
        <w:t>进行公开招标。</w:t>
      </w:r>
    </w:p>
    <w:p w14:paraId="58CD94D9">
      <w:pPr>
        <w:spacing w:before="78" w:line="220" w:lineRule="auto"/>
        <w:ind w:left="496"/>
        <w:outlineLvl w:val="2"/>
        <w:rPr>
          <w:rFonts w:hint="eastAsia" w:ascii="宋体" w:hAnsi="宋体" w:eastAsia="宋体" w:cs="宋体"/>
          <w:color w:val="auto"/>
          <w:sz w:val="24"/>
          <w:szCs w:val="24"/>
          <w:highlight w:val="none"/>
        </w:rPr>
      </w:pPr>
      <w:bookmarkStart w:id="8" w:name="bookmark59"/>
      <w:bookmarkEnd w:id="8"/>
      <w:bookmarkStart w:id="9" w:name="bookmark73"/>
      <w:bookmarkEnd w:id="9"/>
      <w:bookmarkStart w:id="10" w:name="bookmark52"/>
      <w:bookmarkEnd w:id="10"/>
      <w:bookmarkStart w:id="11" w:name="_Toc15993"/>
      <w:bookmarkStart w:id="12" w:name="_Toc19017"/>
      <w:r>
        <w:rPr>
          <w:rFonts w:hint="eastAsia" w:ascii="宋体" w:hAnsi="宋体" w:eastAsia="宋体" w:cs="宋体"/>
          <w:b/>
          <w:bCs/>
          <w:color w:val="auto"/>
          <w:spacing w:val="-4"/>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4"/>
          <w:sz w:val="24"/>
          <w:szCs w:val="24"/>
          <w:highlight w:val="none"/>
        </w:rPr>
        <w:t>．项目概况、招标范围和标段划分、投标费用等</w:t>
      </w:r>
      <w:bookmarkEnd w:id="11"/>
      <w:bookmarkEnd w:id="12"/>
    </w:p>
    <w:p w14:paraId="37B86162">
      <w:pPr>
        <w:spacing w:before="153" w:line="36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1.1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5"/>
          <w:sz w:val="24"/>
          <w:szCs w:val="24"/>
          <w:highlight w:val="none"/>
        </w:rPr>
        <w:t>项目概况</w:t>
      </w:r>
    </w:p>
    <w:p w14:paraId="0DC5D727">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1.1.1  </w:t>
      </w:r>
      <w:r>
        <w:rPr>
          <w:rFonts w:hint="eastAsia" w:ascii="宋体" w:hAnsi="宋体" w:eastAsia="宋体" w:cs="宋体"/>
          <w:color w:val="auto"/>
          <w:spacing w:val="-2"/>
          <w:sz w:val="24"/>
          <w:szCs w:val="24"/>
          <w:highlight w:val="none"/>
        </w:rPr>
        <w:t>建设地点：</w:t>
      </w:r>
      <w:r>
        <w:rPr>
          <w:rFonts w:hint="eastAsia" w:ascii="宋体" w:hAnsi="宋体" w:eastAsia="宋体" w:cs="宋体"/>
          <w:color w:val="auto"/>
          <w:sz w:val="24"/>
          <w:szCs w:val="24"/>
          <w:highlight w:val="none"/>
          <w:u w:val="single"/>
          <w:lang w:val="en-US" w:eastAsia="zh-CN"/>
        </w:rPr>
        <w:t>韶关市曲江区。</w:t>
      </w:r>
    </w:p>
    <w:p w14:paraId="45A735E9">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1.1.2  </w:t>
      </w:r>
      <w:r>
        <w:rPr>
          <w:rFonts w:hint="eastAsia" w:ascii="宋体" w:hAnsi="宋体" w:eastAsia="宋体" w:cs="宋体"/>
          <w:color w:val="auto"/>
          <w:spacing w:val="-2"/>
          <w:sz w:val="24"/>
          <w:szCs w:val="24"/>
          <w:highlight w:val="none"/>
        </w:rPr>
        <w:t>建设内容和规模：</w:t>
      </w:r>
      <w:r>
        <w:rPr>
          <w:rFonts w:hint="eastAsia" w:ascii="宋体" w:hAnsi="宋体" w:eastAsia="宋体" w:cs="宋体"/>
          <w:color w:val="auto"/>
          <w:sz w:val="24"/>
          <w:szCs w:val="24"/>
          <w:highlight w:val="none"/>
          <w:u w:val="single"/>
          <w:lang w:val="en-US" w:eastAsia="zh-CN"/>
        </w:rPr>
        <w:t>1.新建一座有效容积为7500立方米的应急池，配套建设进水、出水泵房，总建筑面积1394.45平方米；2.实施原临时池的环保清淤及地面硬化、区域生态的绿化修复工作。</w:t>
      </w:r>
    </w:p>
    <w:p w14:paraId="45B0CA02">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pacing w:val="-2"/>
          <w:sz w:val="24"/>
          <w:szCs w:val="24"/>
          <w:highlight w:val="none"/>
        </w:rPr>
        <w:t xml:space="preserve">1.1.3  </w:t>
      </w:r>
      <w:r>
        <w:rPr>
          <w:rFonts w:hint="eastAsia" w:ascii="宋体" w:hAnsi="宋体" w:eastAsia="宋体" w:cs="宋体"/>
          <w:color w:val="auto"/>
          <w:spacing w:val="-2"/>
          <w:sz w:val="24"/>
          <w:szCs w:val="24"/>
          <w:highlight w:val="none"/>
        </w:rPr>
        <w:t>项目总投资</w:t>
      </w:r>
      <w:r>
        <w:rPr>
          <w:rStyle w:val="20"/>
          <w:rFonts w:hint="eastAsia" w:ascii="宋体" w:hAnsi="宋体" w:eastAsia="宋体" w:cs="宋体"/>
          <w:color w:val="auto"/>
          <w:kern w:val="0"/>
          <w:sz w:val="24"/>
          <w:szCs w:val="24"/>
          <w:highlight w:val="none"/>
        </w:rPr>
        <w:t>：</w:t>
      </w:r>
      <w:r>
        <w:rPr>
          <w:rStyle w:val="20"/>
          <w:rFonts w:hint="eastAsia" w:ascii="宋体" w:hAnsi="宋体" w:eastAsia="宋体" w:cs="宋体"/>
          <w:color w:val="auto"/>
          <w:kern w:val="0"/>
          <w:sz w:val="24"/>
          <w:szCs w:val="24"/>
          <w:highlight w:val="none"/>
          <w:u w:val="single"/>
          <w:lang w:val="en-US" w:eastAsia="zh-CN"/>
        </w:rPr>
        <w:t>项目概算总投资1176.18万元，其中工程费用944.93万元。</w:t>
      </w:r>
    </w:p>
    <w:p w14:paraId="76EA2F0B">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u w:val="single"/>
          <w:lang w:val="en-US" w:eastAsia="zh-CN"/>
        </w:rPr>
      </w:pP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pacing w:val="-2"/>
          <w:sz w:val="24"/>
          <w:szCs w:val="24"/>
          <w:highlight w:val="none"/>
          <w:u w:val="none"/>
          <w:lang w:val="en-US" w:eastAsia="zh-CN"/>
        </w:rPr>
        <w:t xml:space="preserve">.2 </w:t>
      </w:r>
      <w:r>
        <w:rPr>
          <w:rFonts w:hint="eastAsia" w:ascii="宋体" w:hAnsi="宋体" w:eastAsia="宋体" w:cs="宋体"/>
          <w:color w:val="auto"/>
          <w:sz w:val="24"/>
          <w:szCs w:val="24"/>
          <w:highlight w:val="none"/>
          <w:u w:val="single"/>
          <w:lang w:val="en-US" w:eastAsia="zh-CN"/>
        </w:rPr>
        <w:t xml:space="preserve"> 招标范围和标段划分</w:t>
      </w:r>
    </w:p>
    <w:p w14:paraId="2307A456">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b/>
          <w:bCs/>
          <w:color w:val="auto"/>
          <w:spacing w:val="-2"/>
          <w:sz w:val="24"/>
          <w:szCs w:val="24"/>
          <w:highlight w:val="none"/>
        </w:rPr>
        <w:t xml:space="preserve">1.2.1  </w:t>
      </w:r>
      <w:r>
        <w:rPr>
          <w:rFonts w:hint="eastAsia" w:ascii="宋体" w:hAnsi="宋体" w:eastAsia="宋体" w:cs="宋体"/>
          <w:color w:val="auto"/>
          <w:spacing w:val="-2"/>
          <w:sz w:val="24"/>
          <w:szCs w:val="24"/>
          <w:highlight w:val="none"/>
        </w:rPr>
        <w:t>招标范围：</w:t>
      </w:r>
      <w:r>
        <w:rPr>
          <w:rFonts w:hint="eastAsia" w:ascii="宋体" w:hAnsi="宋体" w:eastAsia="宋体" w:cs="宋体"/>
          <w:color w:val="auto"/>
          <w:spacing w:val="-1"/>
          <w:sz w:val="24"/>
          <w:szCs w:val="24"/>
          <w:highlight w:val="none"/>
        </w:rPr>
        <w:t>按审查合格的施工图纸及工程量清单内容施工</w:t>
      </w:r>
      <w:r>
        <w:rPr>
          <w:rFonts w:hint="eastAsia" w:ascii="宋体" w:hAnsi="宋体" w:eastAsia="宋体" w:cs="宋体"/>
          <w:color w:val="auto"/>
          <w:spacing w:val="-1"/>
          <w:sz w:val="24"/>
          <w:szCs w:val="24"/>
          <w:highlight w:val="none"/>
          <w:lang w:eastAsia="zh-CN"/>
        </w:rPr>
        <w:t>。</w:t>
      </w:r>
    </w:p>
    <w:p w14:paraId="1F279E88">
      <w:pPr>
        <w:keepNext w:val="0"/>
        <w:keepLines w:val="0"/>
        <w:pageBreakBefore w:val="0"/>
        <w:widowControl/>
        <w:kinsoku w:val="0"/>
        <w:wordWrap/>
        <w:overflowPunct/>
        <w:topLinePunct w:val="0"/>
        <w:autoSpaceDE w:val="0"/>
        <w:autoSpaceDN w:val="0"/>
        <w:bidi w:val="0"/>
        <w:adjustRightInd w:val="0"/>
        <w:snapToGrid w:val="0"/>
        <w:spacing w:line="360" w:lineRule="auto"/>
        <w:ind w:left="493"/>
        <w:textAlignment w:val="baseline"/>
        <w:outlineLvl w:val="9"/>
        <w:rPr>
          <w:rFonts w:hint="eastAsia" w:ascii="宋体" w:hAnsi="宋体" w:eastAsia="宋体" w:cs="宋体"/>
          <w:color w:val="auto"/>
          <w:sz w:val="24"/>
          <w:szCs w:val="24"/>
          <w:highlight w:val="none"/>
        </w:rPr>
      </w:pPr>
      <w:bookmarkStart w:id="13" w:name="_Toc24593"/>
      <w:bookmarkStart w:id="14" w:name="_Toc14190"/>
      <w:bookmarkStart w:id="15" w:name="_Toc28202"/>
      <w:bookmarkStart w:id="16" w:name="_Toc20855"/>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标段划分：本招标项目不划分标段。</w:t>
      </w:r>
      <w:bookmarkEnd w:id="13"/>
      <w:bookmarkEnd w:id="14"/>
      <w:bookmarkEnd w:id="15"/>
      <w:bookmarkEnd w:id="16"/>
    </w:p>
    <w:p w14:paraId="6D2283DD">
      <w:pPr>
        <w:keepNext w:val="0"/>
        <w:keepLines w:val="0"/>
        <w:pageBreakBefore w:val="0"/>
        <w:widowControl/>
        <w:kinsoku w:val="0"/>
        <w:overflowPunct/>
        <w:topLinePunct w:val="0"/>
        <w:autoSpaceDE w:val="0"/>
        <w:autoSpaceDN w:val="0"/>
        <w:bidi w:val="0"/>
        <w:adjustRightInd w:val="0"/>
        <w:snapToGrid w:val="0"/>
        <w:spacing w:line="360" w:lineRule="auto"/>
        <w:ind w:left="13" w:right="65" w:firstLine="533"/>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  </w:t>
      </w:r>
      <w:r>
        <w:rPr>
          <w:rFonts w:hint="eastAsia" w:ascii="宋体" w:hAnsi="宋体" w:eastAsia="宋体" w:cs="宋体"/>
          <w:color w:val="auto"/>
          <w:spacing w:val="-1"/>
          <w:sz w:val="24"/>
          <w:szCs w:val="24"/>
          <w:highlight w:val="none"/>
        </w:rPr>
        <w:t>投标费用：投标人应承担所有准备和参加投标的相关费用，不</w:t>
      </w:r>
      <w:r>
        <w:rPr>
          <w:rFonts w:hint="eastAsia" w:ascii="宋体" w:hAnsi="宋体" w:eastAsia="宋体" w:cs="宋体"/>
          <w:color w:val="auto"/>
          <w:spacing w:val="-2"/>
          <w:sz w:val="24"/>
          <w:szCs w:val="24"/>
          <w:highlight w:val="none"/>
        </w:rPr>
        <w:t>论投标结果如</w:t>
      </w:r>
      <w:r>
        <w:rPr>
          <w:rFonts w:hint="eastAsia" w:ascii="宋体" w:hAnsi="宋体" w:eastAsia="宋体" w:cs="宋体"/>
          <w:color w:val="auto"/>
          <w:spacing w:val="-1"/>
          <w:sz w:val="24"/>
          <w:szCs w:val="24"/>
          <w:highlight w:val="none"/>
        </w:rPr>
        <w:t>何，招标人均无义务和责任承担这些费用。</w:t>
      </w:r>
    </w:p>
    <w:p w14:paraId="51512139">
      <w:pPr>
        <w:keepNext w:val="0"/>
        <w:keepLines w:val="0"/>
        <w:pageBreakBefore w:val="0"/>
        <w:widowControl/>
        <w:kinsoku w:val="0"/>
        <w:overflowPunct/>
        <w:topLinePunct w:val="0"/>
        <w:autoSpaceDE w:val="0"/>
        <w:autoSpaceDN w:val="0"/>
        <w:bidi w:val="0"/>
        <w:adjustRightInd w:val="0"/>
        <w:snapToGrid w:val="0"/>
        <w:spacing w:line="360" w:lineRule="auto"/>
        <w:ind w:left="496"/>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03E7691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82" w:firstLineChars="200"/>
        <w:jc w:val="left"/>
        <w:textAlignment w:val="baseline"/>
        <w:outlineLvl w:val="2"/>
        <w:rPr>
          <w:rFonts w:hint="eastAsia" w:ascii="宋体" w:hAnsi="宋体" w:eastAsia="宋体" w:cs="宋体"/>
          <w:b w:val="0"/>
          <w:bCs w:val="0"/>
          <w:color w:val="auto"/>
          <w:sz w:val="24"/>
          <w:szCs w:val="24"/>
          <w:highlight w:val="none"/>
        </w:rPr>
      </w:pPr>
      <w:bookmarkStart w:id="17" w:name="_Toc21208"/>
      <w:r>
        <w:rPr>
          <w:rFonts w:hint="eastAsia" w:ascii="宋体" w:hAnsi="宋体" w:eastAsia="宋体" w:cs="宋体"/>
          <w:b/>
          <w:bCs/>
          <w:color w:val="auto"/>
          <w:sz w:val="24"/>
          <w:szCs w:val="24"/>
          <w:highlight w:val="none"/>
        </w:rPr>
        <w:t>2．</w:t>
      </w:r>
      <w:r>
        <w:rPr>
          <w:rFonts w:hint="eastAsia" w:ascii="宋体" w:hAnsi="宋体" w:eastAsia="宋体" w:cs="宋体"/>
          <w:b w:val="0"/>
          <w:bCs w:val="0"/>
          <w:color w:val="auto"/>
          <w:sz w:val="24"/>
          <w:szCs w:val="24"/>
          <w:highlight w:val="none"/>
          <w:lang w:eastAsia="zh-CN"/>
        </w:rPr>
        <w:t>投标人</w:t>
      </w:r>
      <w:r>
        <w:rPr>
          <w:rFonts w:hint="eastAsia" w:ascii="宋体" w:hAnsi="宋体" w:eastAsia="宋体" w:cs="宋体"/>
          <w:b w:val="0"/>
          <w:bCs w:val="0"/>
          <w:color w:val="auto"/>
          <w:sz w:val="24"/>
          <w:szCs w:val="24"/>
          <w:highlight w:val="none"/>
        </w:rPr>
        <w:t>资质要求</w:t>
      </w:r>
      <w:bookmarkEnd w:id="17"/>
    </w:p>
    <w:p w14:paraId="23060124">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2.1</w:t>
      </w:r>
      <w:r>
        <w:rPr>
          <w:rStyle w:val="20"/>
          <w:rFonts w:hint="eastAsia" w:ascii="宋体" w:hAnsi="宋体" w:eastAsia="宋体" w:cs="宋体"/>
          <w:b w:val="0"/>
          <w:bCs w:val="0"/>
          <w:color w:val="auto"/>
          <w:kern w:val="0"/>
          <w:sz w:val="24"/>
          <w:szCs w:val="24"/>
          <w:highlight w:val="none"/>
          <w:lang w:val="en-US" w:eastAsia="zh-CN"/>
        </w:rPr>
        <w:t xml:space="preserve"> 本次招标不接受联合体投标。</w:t>
      </w:r>
    </w:p>
    <w:p w14:paraId="35E5AE8D">
      <w:pPr>
        <w:wordWrap w:val="0"/>
        <w:adjustRightInd w:val="0"/>
        <w:snapToGrid w:val="0"/>
        <w:spacing w:line="360" w:lineRule="auto"/>
        <w:ind w:firstLine="482" w:firstLineChars="200"/>
        <w:rPr>
          <w:rStyle w:val="20"/>
          <w:rFonts w:hint="eastAsia" w:ascii="宋体" w:hAnsi="宋体" w:eastAsia="宋体" w:cs="宋体"/>
          <w:b w:val="0"/>
          <w:bCs w:val="0"/>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 </w:t>
      </w:r>
      <w:r>
        <w:rPr>
          <w:rStyle w:val="20"/>
          <w:rFonts w:hint="eastAsia" w:ascii="宋体" w:hAnsi="宋体" w:eastAsia="宋体" w:cs="宋体"/>
          <w:b w:val="0"/>
          <w:bCs w:val="0"/>
          <w:color w:val="auto"/>
          <w:kern w:val="0"/>
          <w:sz w:val="24"/>
          <w:szCs w:val="24"/>
          <w:highlight w:val="none"/>
          <w:lang w:val="en-US" w:eastAsia="zh-CN"/>
        </w:rPr>
        <w:t>资格资质要求</w:t>
      </w:r>
    </w:p>
    <w:p w14:paraId="62376B4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2.2.1 </w:t>
      </w:r>
      <w:r>
        <w:rPr>
          <w:rFonts w:hint="eastAsia" w:ascii="宋体" w:hAnsi="宋体" w:eastAsia="宋体" w:cs="宋体"/>
          <w:b w:val="0"/>
          <w:bCs w:val="0"/>
          <w:color w:val="auto"/>
          <w:sz w:val="24"/>
          <w:szCs w:val="24"/>
          <w:highlight w:val="none"/>
          <w:lang w:val="en-US" w:eastAsia="zh-CN"/>
        </w:rPr>
        <w:t>投标人须具备独立法人资格，按国家法律经营。</w:t>
      </w:r>
    </w:p>
    <w:p w14:paraId="6CD5160B">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2.2.2 </w:t>
      </w:r>
      <w:r>
        <w:rPr>
          <w:rFonts w:hint="eastAsia" w:ascii="宋体" w:hAnsi="宋体" w:eastAsia="宋体" w:cs="宋体"/>
          <w:b w:val="0"/>
          <w:bCs w:val="0"/>
          <w:color w:val="auto"/>
          <w:sz w:val="24"/>
          <w:szCs w:val="24"/>
          <w:highlight w:val="none"/>
          <w:lang w:val="en-US" w:eastAsia="zh-CN"/>
        </w:rPr>
        <w:t>投标人须持有建设行政主管部门颁发的企业资质证书及安全生产许可证。</w:t>
      </w:r>
    </w:p>
    <w:p w14:paraId="043527F0">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2.2.3 </w:t>
      </w:r>
      <w:r>
        <w:rPr>
          <w:rFonts w:hint="eastAsia" w:ascii="宋体" w:hAnsi="宋体" w:eastAsia="宋体" w:cs="宋体"/>
          <w:b w:val="0"/>
          <w:bCs w:val="0"/>
          <w:color w:val="auto"/>
          <w:sz w:val="24"/>
          <w:szCs w:val="24"/>
          <w:highlight w:val="none"/>
          <w:lang w:val="en-US" w:eastAsia="zh-CN"/>
        </w:rPr>
        <w:t>投标人须具备以下资质：</w:t>
      </w:r>
      <w:r>
        <w:rPr>
          <w:rFonts w:hint="eastAsia" w:ascii="宋体" w:hAnsi="宋体" w:eastAsia="宋体" w:cs="宋体"/>
          <w:b w:val="0"/>
          <w:bCs w:val="0"/>
          <w:color w:val="auto"/>
          <w:sz w:val="24"/>
          <w:szCs w:val="24"/>
          <w:highlight w:val="none"/>
          <w:u w:val="single"/>
          <w:lang w:val="en-US" w:eastAsia="zh-CN"/>
        </w:rPr>
        <w:t>具有建设行政主管部门颁发的市政公用工程施工总承包叁级以上（含叁级）资质。</w:t>
      </w:r>
    </w:p>
    <w:p w14:paraId="1396A9AD">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2.2.4 </w:t>
      </w:r>
      <w:r>
        <w:rPr>
          <w:rFonts w:hint="eastAsia" w:ascii="宋体" w:hAnsi="宋体" w:eastAsia="宋体" w:cs="宋体"/>
          <w:b w:val="0"/>
          <w:bCs w:val="0"/>
          <w:color w:val="auto"/>
          <w:sz w:val="24"/>
          <w:szCs w:val="24"/>
          <w:highlight w:val="none"/>
          <w:lang w:val="en-US" w:eastAsia="zh-CN"/>
        </w:rPr>
        <w:t>根据有关文件精神，投标人的企业相关证书到期的，均按该证书的发证机构相关行业主管部门最新文件执行（如自动顺延或推迟办理延期业务的通知），投标人必须将相关文件附在该证书后面中，证明在开标日继续有效。</w:t>
      </w:r>
    </w:p>
    <w:p w14:paraId="1B37663C">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 </w:t>
      </w:r>
      <w:r>
        <w:rPr>
          <w:rFonts w:hint="eastAsia" w:ascii="宋体" w:hAnsi="宋体" w:eastAsia="宋体" w:cs="宋体"/>
          <w:b w:val="0"/>
          <w:bCs w:val="0"/>
          <w:color w:val="auto"/>
          <w:sz w:val="24"/>
          <w:szCs w:val="24"/>
          <w:highlight w:val="none"/>
          <w:lang w:val="en-US" w:eastAsia="zh-CN"/>
        </w:rPr>
        <w:t>相关人员要求</w:t>
      </w:r>
    </w:p>
    <w:p w14:paraId="6C531DE2">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2.3.1 </w:t>
      </w:r>
      <w:r>
        <w:rPr>
          <w:rFonts w:hint="eastAsia" w:ascii="宋体" w:hAnsi="宋体" w:eastAsia="宋体" w:cs="宋体"/>
          <w:b w:val="0"/>
          <w:bCs w:val="0"/>
          <w:color w:val="auto"/>
          <w:sz w:val="24"/>
          <w:szCs w:val="24"/>
          <w:highlight w:val="none"/>
          <w:lang w:val="en-US" w:eastAsia="zh-CN"/>
        </w:rPr>
        <w:t>拟派项目经理为</w:t>
      </w:r>
      <w:r>
        <w:rPr>
          <w:rFonts w:hint="eastAsia" w:ascii="宋体" w:hAnsi="宋体" w:eastAsia="宋体" w:cs="宋体"/>
          <w:b w:val="0"/>
          <w:bCs w:val="0"/>
          <w:color w:val="auto"/>
          <w:sz w:val="24"/>
          <w:szCs w:val="24"/>
          <w:highlight w:val="none"/>
          <w:u w:val="single"/>
          <w:lang w:val="en-US" w:eastAsia="zh-CN"/>
        </w:rPr>
        <w:t xml:space="preserve"> 市政公用工程 </w:t>
      </w:r>
      <w:r>
        <w:rPr>
          <w:rFonts w:hint="eastAsia" w:ascii="宋体" w:hAnsi="宋体" w:eastAsia="宋体" w:cs="宋体"/>
          <w:b w:val="0"/>
          <w:bCs w:val="0"/>
          <w:color w:val="auto"/>
          <w:sz w:val="24"/>
          <w:szCs w:val="24"/>
          <w:highlight w:val="none"/>
          <w:lang w:val="en-US" w:eastAsia="zh-CN"/>
        </w:rPr>
        <w:t xml:space="preserve">专业一级或二级注册建造师，应持有住建部门印发的在使用有效期内的有效电子注册证书（根据广东省住房和城乡建设厅（粤建市函〔2023〕469 号）文件精神，二级注册建造师可随注册企业在全国范围内执业）。同时均须具备有效安全生产考核合格证明（B 证），且未担任其他在施（包括已中标未开工、已开工未竣工）建设工程项目的项目经理。  </w:t>
      </w:r>
    </w:p>
    <w:p w14:paraId="736A2627">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2.3.2 </w:t>
      </w:r>
      <w:r>
        <w:rPr>
          <w:rFonts w:hint="eastAsia" w:ascii="宋体" w:hAnsi="宋体" w:eastAsia="宋体" w:cs="宋体"/>
          <w:b w:val="0"/>
          <w:bCs w:val="0"/>
          <w:color w:val="auto"/>
          <w:sz w:val="24"/>
          <w:szCs w:val="24"/>
          <w:highlight w:val="none"/>
          <w:lang w:val="en-US" w:eastAsia="zh-CN"/>
        </w:rPr>
        <w:t>拟派项目技术负责人须具备</w:t>
      </w:r>
      <w:r>
        <w:rPr>
          <w:rFonts w:hint="eastAsia" w:ascii="宋体" w:hAnsi="宋体" w:eastAsia="宋体" w:cs="宋体"/>
          <w:b w:val="0"/>
          <w:bCs w:val="0"/>
          <w:color w:val="auto"/>
          <w:sz w:val="24"/>
          <w:szCs w:val="24"/>
          <w:highlight w:val="none"/>
          <w:u w:val="single"/>
          <w:lang w:val="en-US" w:eastAsia="zh-CN"/>
        </w:rPr>
        <w:t xml:space="preserve"> 市政</w:t>
      </w:r>
      <w:r>
        <w:rPr>
          <w:rFonts w:hint="eastAsia" w:ascii="宋体" w:hAnsi="宋体" w:eastAsia="宋体" w:cs="宋体"/>
          <w:b w:val="0"/>
          <w:bCs w:val="0"/>
          <w:color w:val="auto"/>
          <w:sz w:val="24"/>
          <w:szCs w:val="24"/>
          <w:highlight w:val="none"/>
          <w:lang w:val="en-US" w:eastAsia="zh-CN"/>
        </w:rPr>
        <w:t>类相关专业中级或以上技术职称。</w:t>
      </w:r>
    </w:p>
    <w:p w14:paraId="3C9096CE">
      <w:pPr>
        <w:wordWrap w:val="0"/>
        <w:adjustRightInd w:val="0"/>
        <w:snapToGrid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2.3.3 </w:t>
      </w:r>
      <w:r>
        <w:rPr>
          <w:rFonts w:hint="eastAsia" w:ascii="宋体" w:hAnsi="宋体" w:eastAsia="宋体" w:cs="宋体"/>
          <w:b w:val="0"/>
          <w:bCs w:val="0"/>
          <w:color w:val="auto"/>
          <w:sz w:val="24"/>
          <w:szCs w:val="24"/>
          <w:highlight w:val="none"/>
          <w:lang w:val="en-US" w:eastAsia="zh-CN"/>
        </w:rPr>
        <w:t xml:space="preserve">拟派专职安全生产管理人员须具备有效安全生产考核合格证明（C证，安全生产考核合格证书或“广东省建筑施工企业管理人员安全生产考核信息系统”考核合格信息打印页），且不少于1人。 </w:t>
      </w:r>
    </w:p>
    <w:p w14:paraId="711B4950">
      <w:pPr>
        <w:wordWrap w:val="0"/>
        <w:adjustRightInd w:val="0"/>
        <w:snapToGrid w:val="0"/>
        <w:spacing w:line="360" w:lineRule="auto"/>
        <w:ind w:firstLine="482" w:firstLineChars="200"/>
        <w:rPr>
          <w:rFonts w:hint="eastAsia" w:ascii="宋体" w:hAnsi="宋体" w:eastAsia="宋体" w:cs="宋体"/>
          <w:b w:val="0"/>
          <w:bCs w:val="0"/>
          <w:color w:val="auto"/>
          <w:sz w:val="24"/>
          <w:szCs w:val="24"/>
          <w:highlight w:val="none"/>
          <w:lang w:val="en-US" w:eastAsia="zh-CN"/>
        </w:rPr>
      </w:pPr>
      <w:r>
        <w:rPr>
          <w:rStyle w:val="20"/>
          <w:rFonts w:hint="eastAsia" w:ascii="宋体" w:hAnsi="宋体" w:eastAsia="宋体" w:cs="宋体"/>
          <w:b/>
          <w:bCs/>
          <w:color w:val="auto"/>
          <w:kern w:val="0"/>
          <w:sz w:val="24"/>
          <w:szCs w:val="24"/>
          <w:highlight w:val="none"/>
          <w:lang w:val="en-US" w:eastAsia="zh-CN"/>
        </w:rPr>
        <w:t xml:space="preserve">2.3.4 </w:t>
      </w:r>
      <w:r>
        <w:rPr>
          <w:rFonts w:hint="eastAsia" w:ascii="宋体" w:hAnsi="宋体" w:eastAsia="宋体" w:cs="宋体"/>
          <w:b w:val="0"/>
          <w:bCs w:val="0"/>
          <w:color w:val="auto"/>
          <w:sz w:val="24"/>
          <w:szCs w:val="24"/>
          <w:highlight w:val="none"/>
          <w:lang w:val="en-US" w:eastAsia="zh-CN"/>
        </w:rPr>
        <w:t>投标人（包括组成联合体的所有成员单位）与其拟派往本项目管理机构的所有人员之间必须具备合法、唯一的劳动聘用关系。拟派人员中具备注册执业资格的，其注册单位须与投标人保持一致（提供社保缴纳证明或劳动合同）。</w:t>
      </w:r>
    </w:p>
    <w:p w14:paraId="6B0DD0FC">
      <w:pPr>
        <w:spacing w:before="78"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  </w:t>
      </w:r>
      <w:r>
        <w:rPr>
          <w:rFonts w:hint="eastAsia" w:ascii="宋体" w:hAnsi="宋体" w:eastAsia="宋体" w:cs="宋体"/>
          <w:color w:val="auto"/>
          <w:spacing w:val="-1"/>
          <w:sz w:val="24"/>
          <w:szCs w:val="24"/>
          <w:highlight w:val="none"/>
        </w:rPr>
        <w:t>禁止投标条款</w:t>
      </w:r>
    </w:p>
    <w:p w14:paraId="198E7E83">
      <w:pPr>
        <w:spacing w:before="153" w:line="220" w:lineRule="auto"/>
        <w:ind w:left="48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2.4.1  </w:t>
      </w:r>
      <w:r>
        <w:rPr>
          <w:rFonts w:hint="eastAsia" w:ascii="宋体" w:hAnsi="宋体" w:eastAsia="宋体" w:cs="宋体"/>
          <w:color w:val="auto"/>
          <w:spacing w:val="-1"/>
          <w:sz w:val="24"/>
          <w:szCs w:val="24"/>
          <w:highlight w:val="none"/>
        </w:rPr>
        <w:t>投标人不得存在下列情形之一：</w:t>
      </w:r>
    </w:p>
    <w:p w14:paraId="6C5CBCD6">
      <w:pPr>
        <w:spacing w:before="153"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（1）为招标人不具有独立法人资格的附属机构（单位</w:t>
      </w:r>
      <w:r>
        <w:rPr>
          <w:rFonts w:hint="eastAsia" w:ascii="宋体" w:hAnsi="宋体" w:eastAsia="宋体" w:cs="宋体"/>
          <w:color w:val="auto"/>
          <w:spacing w:val="1"/>
          <w:sz w:val="24"/>
          <w:szCs w:val="24"/>
          <w:highlight w:val="none"/>
        </w:rPr>
        <w:t>）；</w:t>
      </w:r>
    </w:p>
    <w:p w14:paraId="00645A12">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（2）为本招标项目前期准备提供设计或咨询服务的；</w:t>
      </w:r>
    </w:p>
    <w:p w14:paraId="466E2120">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（3）与本招标项目的其他投标人为同一个单位负责人；</w:t>
      </w:r>
    </w:p>
    <w:p w14:paraId="358EB851">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（4）与本招标项目的其他投标人存在控股、管理关系；</w:t>
      </w:r>
    </w:p>
    <w:p w14:paraId="6D365ADF">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（5）为本招标项目的监理人；</w:t>
      </w:r>
    </w:p>
    <w:p w14:paraId="661267E9">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（6）为本招标项目的代建人；</w:t>
      </w:r>
    </w:p>
    <w:p w14:paraId="6248B25F">
      <w:pPr>
        <w:spacing w:before="155"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（7）为本招标项目的招标代理机构；</w:t>
      </w:r>
    </w:p>
    <w:p w14:paraId="199345F5">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（8）与本招标项目的监理人或代建人或招标代理机构同为一个法定代表人；</w:t>
      </w:r>
    </w:p>
    <w:p w14:paraId="42A9F078">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（9）与本招标项目的监理人或代建人或招标代理机构存在控股或参股关系；</w:t>
      </w:r>
    </w:p>
    <w:p w14:paraId="3ED798D0">
      <w:pPr>
        <w:spacing w:before="155" w:line="219" w:lineRule="auto"/>
        <w:ind w:firstLine="468"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（10）与本招标项目的监理人或代建人或招标代理机构存在相互</w:t>
      </w:r>
      <w:r>
        <w:rPr>
          <w:rFonts w:hint="eastAsia" w:ascii="宋体" w:hAnsi="宋体" w:eastAsia="宋体" w:cs="宋体"/>
          <w:color w:val="auto"/>
          <w:spacing w:val="-4"/>
          <w:sz w:val="24"/>
          <w:szCs w:val="24"/>
          <w:highlight w:val="none"/>
        </w:rPr>
        <w:t>任职或工作关系；</w:t>
      </w:r>
    </w:p>
    <w:p w14:paraId="3D5B3F7C">
      <w:pPr>
        <w:spacing w:before="157"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（11）被依法暂停或者取消投标资格；</w:t>
      </w:r>
    </w:p>
    <w:p w14:paraId="649343B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（12）被责令停产停业、暂扣或者吊销许可证、暂扣或者吊销执照；</w:t>
      </w:r>
    </w:p>
    <w:p w14:paraId="1E4B846B">
      <w:pPr>
        <w:spacing w:before="154" w:line="219" w:lineRule="auto"/>
        <w:ind w:left="50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（13）进入清算程序，或被宣告破产，或其他丧失履约能力的情形；</w:t>
      </w:r>
    </w:p>
    <w:p w14:paraId="73DFCEAC">
      <w:pPr>
        <w:pStyle w:val="22"/>
        <w:wordWrap w:val="0"/>
        <w:adjustRightInd w:val="0"/>
        <w:snapToGrid w:val="0"/>
        <w:spacing w:line="440" w:lineRule="exact"/>
        <w:ind w:firstLine="480"/>
        <w:jc w:val="left"/>
        <w:rPr>
          <w:rFonts w:hint="eastAsia" w:ascii="宋体" w:hAnsi="宋体" w:eastAsia="宋体" w:cs="宋体"/>
          <w:color w:val="auto"/>
          <w:spacing w:val="2"/>
          <w:sz w:val="24"/>
          <w:szCs w:val="24"/>
          <w:highlight w:val="none"/>
        </w:rPr>
      </w:pPr>
      <w:bookmarkStart w:id="18" w:name="bookmark116"/>
      <w:bookmarkEnd w:id="18"/>
      <w:r>
        <w:rPr>
          <w:rFonts w:hint="eastAsia" w:ascii="宋体" w:hAnsi="宋体" w:eastAsia="宋体" w:cs="宋体"/>
          <w:color w:val="auto"/>
          <w:spacing w:val="-1"/>
          <w:sz w:val="24"/>
          <w:szCs w:val="24"/>
          <w:highlight w:val="none"/>
        </w:rPr>
        <w:t>处罚决定或司法机关出具的有关法律文书为准</w:t>
      </w:r>
      <w:r>
        <w:rPr>
          <w:rFonts w:hint="eastAsia" w:ascii="宋体" w:hAnsi="宋体" w:eastAsia="宋体" w:cs="宋体"/>
          <w:color w:val="auto"/>
          <w:spacing w:val="2"/>
          <w:sz w:val="24"/>
          <w:szCs w:val="24"/>
          <w:highlight w:val="none"/>
        </w:rPr>
        <w:t>）；</w:t>
      </w:r>
    </w:p>
    <w:p w14:paraId="39E50891">
      <w:pPr>
        <w:pStyle w:val="22"/>
        <w:wordWrap w:val="0"/>
        <w:adjustRightInd w:val="0"/>
        <w:snapToGrid w:val="0"/>
        <w:spacing w:line="440" w:lineRule="exact"/>
        <w:ind w:firstLine="480"/>
        <w:jc w:val="lef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highlight w:val="none"/>
        </w:rPr>
        <w:t>（14）在最近三年内发生重大工程质量或安全问题（以相关行业主管部门的行政处罚决定或司法机关出具的有关法律文书为准）；</w:t>
      </w:r>
    </w:p>
    <w:p w14:paraId="40B021B1">
      <w:pPr>
        <w:spacing w:before="118" w:line="293" w:lineRule="auto"/>
        <w:ind w:left="232" w:right="99" w:firstLine="36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（15）被“信用中国</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”网站（https://www.creditchina.gov.cn）发布的《法人和</w:t>
      </w:r>
      <w:r>
        <w:rPr>
          <w:rFonts w:hint="eastAsia" w:ascii="宋体" w:hAnsi="宋体" w:eastAsia="宋体" w:cs="宋体"/>
          <w:color w:val="auto"/>
          <w:spacing w:val="-3"/>
          <w:sz w:val="24"/>
          <w:szCs w:val="24"/>
          <w:highlight w:val="none"/>
        </w:rPr>
        <w:t>非法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人组织公共信用信息报告</w:t>
      </w:r>
      <w:r>
        <w:rPr>
          <w:rFonts w:hint="eastAsia" w:ascii="宋体" w:hAnsi="宋体" w:eastAsia="宋体" w:cs="宋体"/>
          <w:snapToGrid w:val="0"/>
          <w:color w:val="auto"/>
          <w:kern w:val="0"/>
          <w:sz w:val="24"/>
          <w:szCs w:val="24"/>
          <w:highlight w:val="none"/>
          <w:lang w:val="en-US" w:eastAsia="zh-CN" w:bidi="ar-SA"/>
        </w:rPr>
        <w:t>》列为严重失信主体名单的</w:t>
      </w:r>
      <w:r>
        <w:rPr>
          <w:rFonts w:hint="eastAsia" w:ascii="宋体" w:hAnsi="宋体" w:eastAsia="宋体" w:cs="宋体"/>
          <w:color w:val="auto"/>
          <w:spacing w:val="2"/>
          <w:sz w:val="24"/>
          <w:szCs w:val="24"/>
          <w:highlight w:val="none"/>
        </w:rPr>
        <w:t>。</w:t>
      </w:r>
    </w:p>
    <w:p w14:paraId="26B8C09D">
      <w:pPr>
        <w:spacing w:before="155" w:line="219" w:lineRule="auto"/>
        <w:ind w:left="706"/>
        <w:rPr>
          <w:rFonts w:hint="eastAsia" w:ascii="宋体" w:hAnsi="宋体" w:eastAsia="宋体" w:cs="宋体"/>
          <w:color w:val="auto"/>
          <w:spacing w:val="-1"/>
          <w:sz w:val="24"/>
          <w:szCs w:val="24"/>
          <w:highlight w:val="none"/>
        </w:rPr>
      </w:pPr>
      <w:r>
        <w:rPr>
          <w:rFonts w:hint="eastAsia" w:ascii="宋体" w:hAnsi="宋体" w:eastAsia="宋体" w:cs="宋体"/>
          <w:b/>
          <w:bCs/>
          <w:color w:val="auto"/>
          <w:sz w:val="24"/>
          <w:szCs w:val="24"/>
          <w:highlight w:val="none"/>
        </w:rPr>
        <w:t xml:space="preserve">2.4.2  </w:t>
      </w:r>
      <w:r>
        <w:rPr>
          <w:rFonts w:hint="eastAsia" w:ascii="宋体" w:hAnsi="宋体" w:eastAsia="宋体" w:cs="宋体"/>
          <w:color w:val="auto"/>
          <w:sz w:val="24"/>
          <w:szCs w:val="24"/>
          <w:highlight w:val="none"/>
        </w:rPr>
        <w:t>招标人拒绝以下名单中的单位</w:t>
      </w:r>
      <w:r>
        <w:rPr>
          <w:rFonts w:hint="eastAsia" w:ascii="宋体" w:hAnsi="宋体" w:eastAsia="宋体" w:cs="宋体"/>
          <w:color w:val="auto"/>
          <w:spacing w:val="-1"/>
          <w:sz w:val="24"/>
          <w:szCs w:val="24"/>
          <w:highlight w:val="none"/>
        </w:rPr>
        <w:t>参加本次投标：</w:t>
      </w:r>
    </w:p>
    <w:tbl>
      <w:tblPr>
        <w:tblStyle w:val="14"/>
        <w:tblW w:w="9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4415"/>
        <w:gridCol w:w="3816"/>
      </w:tblGrid>
      <w:tr w14:paraId="47DDB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867" w:type="dxa"/>
            <w:vAlign w:val="center"/>
          </w:tcPr>
          <w:p w14:paraId="0F669F8C">
            <w:pPr>
              <w:pageBreakBefore w:val="0"/>
              <w:widowControl w:val="0"/>
              <w:kinsoku/>
              <w:wordWrap w:val="0"/>
              <w:overflowPunct/>
              <w:topLinePunct w:val="0"/>
              <w:autoSpaceDE/>
              <w:autoSpaceDN/>
              <w:bidi w:val="0"/>
              <w:adjustRightInd w:val="0"/>
              <w:snapToGrid w:val="0"/>
              <w:spacing w:line="400" w:lineRule="exact"/>
              <w:jc w:val="both"/>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4415" w:type="dxa"/>
            <w:vAlign w:val="center"/>
          </w:tcPr>
          <w:p w14:paraId="0EC517A9">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3816" w:type="dxa"/>
            <w:vAlign w:val="center"/>
          </w:tcPr>
          <w:p w14:paraId="534B676A">
            <w:pPr>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6A9C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67" w:type="dxa"/>
            <w:vAlign w:val="center"/>
          </w:tcPr>
          <w:p w14:paraId="244F8685">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415" w:type="dxa"/>
            <w:vAlign w:val="center"/>
          </w:tcPr>
          <w:p w14:paraId="1D447141">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snapToGrid w:val="0"/>
                <w:color w:val="auto"/>
                <w:kern w:val="0"/>
                <w:sz w:val="21"/>
                <w:szCs w:val="21"/>
                <w:highlight w:val="none"/>
                <w:lang w:eastAsia="zh-CN"/>
              </w:rPr>
              <w:t>广东韶关曲江经济开发区管理委员会</w:t>
            </w:r>
          </w:p>
        </w:tc>
        <w:tc>
          <w:tcPr>
            <w:tcW w:w="3816" w:type="dxa"/>
            <w:vAlign w:val="center"/>
          </w:tcPr>
          <w:p w14:paraId="019EF064">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509E2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67" w:type="dxa"/>
            <w:vAlign w:val="center"/>
          </w:tcPr>
          <w:p w14:paraId="4B30D338">
            <w:pPr>
              <w:pStyle w:val="22"/>
              <w:wordWrap w:val="0"/>
              <w:adjustRightInd w:val="0"/>
              <w:snapToGrid w:val="0"/>
              <w:spacing w:line="340" w:lineRule="exact"/>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415" w:type="dxa"/>
            <w:vAlign w:val="center"/>
          </w:tcPr>
          <w:p w14:paraId="79821DCE">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广东合正项目管理有限公司</w:t>
            </w:r>
          </w:p>
        </w:tc>
        <w:tc>
          <w:tcPr>
            <w:tcW w:w="3816" w:type="dxa"/>
            <w:vAlign w:val="center"/>
          </w:tcPr>
          <w:p w14:paraId="290D12E2">
            <w:pPr>
              <w:pStyle w:val="22"/>
              <w:wordWrap w:val="0"/>
              <w:adjustRightInd w:val="0"/>
              <w:snapToGrid w:val="0"/>
              <w:spacing w:line="340" w:lineRule="exact"/>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1CFE7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67" w:type="dxa"/>
            <w:vAlign w:val="center"/>
          </w:tcPr>
          <w:p w14:paraId="192DFF9A">
            <w:pPr>
              <w:pStyle w:val="22"/>
              <w:wordWrap w:val="0"/>
              <w:adjustRightInd w:val="0"/>
              <w:snapToGrid w:val="0"/>
              <w:spacing w:line="34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val="en-US" w:eastAsia="zh-CN"/>
              </w:rPr>
              <w:t>3</w:t>
            </w:r>
          </w:p>
        </w:tc>
        <w:tc>
          <w:tcPr>
            <w:tcW w:w="4415" w:type="dxa"/>
            <w:vAlign w:val="center"/>
          </w:tcPr>
          <w:p w14:paraId="6CF23076">
            <w:pPr>
              <w:pStyle w:val="22"/>
              <w:wordWrap w:val="0"/>
              <w:adjustRightInd w:val="0"/>
              <w:snapToGrid w:val="0"/>
              <w:spacing w:line="340" w:lineRule="exact"/>
              <w:jc w:val="left"/>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中庚工程技术有限公司</w:t>
            </w:r>
          </w:p>
        </w:tc>
        <w:tc>
          <w:tcPr>
            <w:tcW w:w="3816" w:type="dxa"/>
            <w:vAlign w:val="center"/>
          </w:tcPr>
          <w:p w14:paraId="3563E908">
            <w:pPr>
              <w:pStyle w:val="22"/>
              <w:wordWrap w:val="0"/>
              <w:adjustRightInd w:val="0"/>
              <w:snapToGrid w:val="0"/>
              <w:spacing w:line="340" w:lineRule="exact"/>
              <w:jc w:val="left"/>
              <w:rPr>
                <w:rFonts w:hint="default"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cs="宋体"/>
                <w:snapToGrid w:val="0"/>
                <w:color w:val="auto"/>
                <w:kern w:val="0"/>
                <w:sz w:val="21"/>
                <w:szCs w:val="21"/>
                <w:highlight w:val="none"/>
                <w:lang w:val="en-US" w:eastAsia="zh-CN"/>
              </w:rPr>
              <w:t>设计单位</w:t>
            </w:r>
          </w:p>
        </w:tc>
      </w:tr>
      <w:tr w14:paraId="71B52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867" w:type="dxa"/>
            <w:vAlign w:val="center"/>
          </w:tcPr>
          <w:p w14:paraId="54C1E544">
            <w:pPr>
              <w:pStyle w:val="22"/>
              <w:wordWrap w:val="0"/>
              <w:adjustRightInd w:val="0"/>
              <w:snapToGrid w:val="0"/>
              <w:spacing w:line="340" w:lineRule="exact"/>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w:t>
            </w:r>
          </w:p>
        </w:tc>
        <w:tc>
          <w:tcPr>
            <w:tcW w:w="4415" w:type="dxa"/>
            <w:shd w:val="clear" w:color="auto" w:fill="auto"/>
            <w:vAlign w:val="center"/>
          </w:tcPr>
          <w:p w14:paraId="3AA859A5">
            <w:pPr>
              <w:pStyle w:val="22"/>
              <w:wordWrap w:val="0"/>
              <w:adjustRightInd w:val="0"/>
              <w:snapToGrid w:val="0"/>
              <w:spacing w:line="340" w:lineRule="exact"/>
              <w:jc w:val="left"/>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sz w:val="21"/>
                <w:szCs w:val="21"/>
                <w:highlight w:val="none"/>
                <w:lang w:val="en-US" w:eastAsia="zh-CN"/>
              </w:rPr>
              <w:t xml:space="preserve">金叶工程项目管理有限公司 </w:t>
            </w:r>
          </w:p>
        </w:tc>
        <w:tc>
          <w:tcPr>
            <w:tcW w:w="3816" w:type="dxa"/>
            <w:shd w:val="clear" w:color="auto" w:fill="auto"/>
            <w:vAlign w:val="center"/>
          </w:tcPr>
          <w:p w14:paraId="5282938F">
            <w:pPr>
              <w:pStyle w:val="22"/>
              <w:wordWrap w:val="0"/>
              <w:adjustRightInd w:val="0"/>
              <w:snapToGrid w:val="0"/>
              <w:spacing w:line="340" w:lineRule="exact"/>
              <w:jc w:val="left"/>
              <w:rPr>
                <w:rFonts w:hint="default"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全过程</w:t>
            </w:r>
            <w:r>
              <w:rPr>
                <w:rFonts w:hint="eastAsia" w:ascii="宋体" w:hAnsi="宋体" w:cs="宋体"/>
                <w:snapToGrid w:val="0"/>
                <w:color w:val="auto"/>
                <w:kern w:val="0"/>
                <w:sz w:val="21"/>
                <w:szCs w:val="21"/>
                <w:highlight w:val="none"/>
                <w:lang w:eastAsia="zh-CN"/>
              </w:rPr>
              <w:t>造价咨询单位</w:t>
            </w:r>
          </w:p>
        </w:tc>
      </w:tr>
      <w:tr w14:paraId="3063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67" w:type="dxa"/>
            <w:vAlign w:val="center"/>
          </w:tcPr>
          <w:p w14:paraId="241EC354">
            <w:pPr>
              <w:pStyle w:val="22"/>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5</w:t>
            </w:r>
          </w:p>
        </w:tc>
        <w:tc>
          <w:tcPr>
            <w:tcW w:w="4415" w:type="dxa"/>
            <w:shd w:val="clear" w:color="auto" w:fill="auto"/>
            <w:vAlign w:val="center"/>
          </w:tcPr>
          <w:p w14:paraId="749D0CAD">
            <w:pPr>
              <w:pStyle w:val="22"/>
              <w:wordWrap w:val="0"/>
              <w:adjustRightInd w:val="0"/>
              <w:snapToGrid w:val="0"/>
              <w:spacing w:line="34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广东铭兴建设项目管理有限公司</w:t>
            </w:r>
          </w:p>
        </w:tc>
        <w:tc>
          <w:tcPr>
            <w:tcW w:w="3816" w:type="dxa"/>
            <w:shd w:val="clear" w:color="auto" w:fill="auto"/>
            <w:vAlign w:val="center"/>
          </w:tcPr>
          <w:p w14:paraId="1D36368D">
            <w:pPr>
              <w:pStyle w:val="22"/>
              <w:wordWrap w:val="0"/>
              <w:adjustRightInd w:val="0"/>
              <w:snapToGrid w:val="0"/>
              <w:spacing w:line="340" w:lineRule="exact"/>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监理</w:t>
            </w:r>
            <w:r>
              <w:rPr>
                <w:rFonts w:hint="eastAsia" w:ascii="宋体" w:hAnsi="宋体" w:cs="宋体"/>
                <w:snapToGrid w:val="0"/>
                <w:color w:val="auto"/>
                <w:kern w:val="0"/>
                <w:sz w:val="21"/>
                <w:szCs w:val="21"/>
                <w:highlight w:val="none"/>
                <w:lang w:eastAsia="zh-CN"/>
              </w:rPr>
              <w:t>单位</w:t>
            </w:r>
          </w:p>
        </w:tc>
      </w:tr>
      <w:tr w14:paraId="7F877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867" w:type="dxa"/>
            <w:vAlign w:val="center"/>
          </w:tcPr>
          <w:p w14:paraId="23B72C75">
            <w:pPr>
              <w:pStyle w:val="22"/>
              <w:wordWrap w:val="0"/>
              <w:adjustRightInd w:val="0"/>
              <w:snapToGrid w:val="0"/>
              <w:spacing w:line="340" w:lineRule="exact"/>
              <w:jc w:val="center"/>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4415" w:type="dxa"/>
            <w:shd w:val="clear" w:color="auto" w:fill="auto"/>
            <w:vAlign w:val="center"/>
          </w:tcPr>
          <w:p w14:paraId="34D76918">
            <w:pPr>
              <w:pStyle w:val="22"/>
              <w:wordWrap w:val="0"/>
              <w:adjustRightInd w:val="0"/>
              <w:snapToGrid w:val="0"/>
              <w:spacing w:line="340" w:lineRule="exact"/>
              <w:jc w:val="left"/>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广东华悦建设工程技术有限公司</w:t>
            </w:r>
          </w:p>
        </w:tc>
        <w:tc>
          <w:tcPr>
            <w:tcW w:w="3816" w:type="dxa"/>
            <w:shd w:val="clear" w:color="auto" w:fill="auto"/>
            <w:vAlign w:val="center"/>
          </w:tcPr>
          <w:p w14:paraId="056BC853">
            <w:pPr>
              <w:pStyle w:val="22"/>
              <w:wordWrap w:val="0"/>
              <w:adjustRightInd w:val="0"/>
              <w:snapToGrid w:val="0"/>
              <w:spacing w:line="340" w:lineRule="exact"/>
              <w:jc w:val="left"/>
              <w:rPr>
                <w:rFonts w:hint="default" w:ascii="宋体" w:hAnsi="宋体" w:cs="宋体"/>
                <w:snapToGrid w:val="0"/>
                <w:color w:val="auto"/>
                <w:kern w:val="0"/>
                <w:sz w:val="21"/>
                <w:szCs w:val="21"/>
                <w:highlight w:val="none"/>
                <w:lang w:val="en-US" w:eastAsia="zh-CN"/>
              </w:rPr>
            </w:pPr>
            <w:r>
              <w:rPr>
                <w:rFonts w:hint="eastAsia" w:ascii="宋体" w:hAnsi="宋体" w:cs="宋体"/>
                <w:snapToGrid w:val="0"/>
                <w:color w:val="auto"/>
                <w:kern w:val="0"/>
                <w:sz w:val="21"/>
                <w:szCs w:val="21"/>
                <w:highlight w:val="none"/>
                <w:lang w:eastAsia="zh-CN"/>
              </w:rPr>
              <w:t>为本招标项目的</w:t>
            </w:r>
            <w:r>
              <w:rPr>
                <w:rFonts w:hint="eastAsia" w:ascii="宋体" w:hAnsi="宋体" w:cs="宋体"/>
                <w:snapToGrid w:val="0"/>
                <w:color w:val="auto"/>
                <w:kern w:val="0"/>
                <w:sz w:val="21"/>
                <w:szCs w:val="21"/>
                <w:highlight w:val="none"/>
                <w:lang w:val="en-US" w:eastAsia="zh-CN"/>
              </w:rPr>
              <w:t>施工图审查</w:t>
            </w:r>
            <w:r>
              <w:rPr>
                <w:rFonts w:hint="eastAsia" w:ascii="宋体" w:hAnsi="宋体" w:cs="宋体"/>
                <w:snapToGrid w:val="0"/>
                <w:color w:val="auto"/>
                <w:kern w:val="0"/>
                <w:sz w:val="21"/>
                <w:szCs w:val="21"/>
                <w:highlight w:val="none"/>
                <w:lang w:eastAsia="zh-CN"/>
              </w:rPr>
              <w:t>单位</w:t>
            </w:r>
          </w:p>
        </w:tc>
      </w:tr>
    </w:tbl>
    <w:p w14:paraId="7BBF405B">
      <w:pPr>
        <w:spacing w:line="93" w:lineRule="auto"/>
        <w:rPr>
          <w:rFonts w:hint="eastAsia" w:ascii="宋体" w:hAnsi="宋体" w:eastAsia="宋体" w:cs="宋体"/>
          <w:color w:val="auto"/>
          <w:sz w:val="2"/>
          <w:highlight w:val="none"/>
        </w:rPr>
      </w:pPr>
    </w:p>
    <w:p w14:paraId="44FD298A">
      <w:pPr>
        <w:spacing w:before="153" w:line="221" w:lineRule="auto"/>
        <w:ind w:left="70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其他要求</w:t>
      </w:r>
    </w:p>
    <w:p w14:paraId="329532D5">
      <w:pPr>
        <w:spacing w:before="150" w:line="334" w:lineRule="auto"/>
        <w:ind w:left="232" w:right="99" w:firstLine="481"/>
        <w:rPr>
          <w:rFonts w:hint="eastAsia" w:ascii="宋体" w:hAnsi="宋体" w:eastAsia="宋体" w:cs="宋体"/>
          <w:color w:val="auto"/>
          <w:highlight w:val="none"/>
        </w:rPr>
      </w:pPr>
      <w:r>
        <w:rPr>
          <w:rFonts w:hint="eastAsia" w:ascii="宋体" w:hAnsi="宋体" w:eastAsia="宋体" w:cs="宋体"/>
          <w:color w:val="auto"/>
          <w:spacing w:val="-1"/>
          <w:sz w:val="24"/>
          <w:szCs w:val="24"/>
          <w:highlight w:val="none"/>
        </w:rPr>
        <w:t>省外企业及其拟派往本项目管理机构的所有</w:t>
      </w:r>
      <w:r>
        <w:rPr>
          <w:rFonts w:hint="eastAsia" w:ascii="宋体" w:hAnsi="宋体" w:eastAsia="宋体" w:cs="宋体"/>
          <w:color w:val="auto"/>
          <w:spacing w:val="-2"/>
          <w:sz w:val="24"/>
          <w:szCs w:val="24"/>
          <w:highlight w:val="none"/>
        </w:rPr>
        <w:t>人员均须按照《广东省住房和城乡建</w:t>
      </w:r>
      <w:r>
        <w:rPr>
          <w:rFonts w:hint="eastAsia" w:ascii="宋体" w:hAnsi="宋体" w:eastAsia="宋体" w:cs="宋体"/>
          <w:color w:val="auto"/>
          <w:spacing w:val="-1"/>
          <w:sz w:val="24"/>
          <w:szCs w:val="24"/>
          <w:highlight w:val="none"/>
        </w:rPr>
        <w:t>设厅关于取消省外建筑企业和人员进粤信息备案有关工作的通知》</w:t>
      </w:r>
      <w:r>
        <w:rPr>
          <w:rFonts w:hint="eastAsia" w:ascii="宋体" w:hAnsi="宋体" w:eastAsia="宋体" w:cs="宋体"/>
          <w:color w:val="auto"/>
          <w:spacing w:val="-2"/>
          <w:sz w:val="24"/>
          <w:szCs w:val="24"/>
          <w:highlight w:val="none"/>
        </w:rPr>
        <w:t>（粤建市﹝2015﹞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52</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4"/>
          <w:sz w:val="24"/>
          <w:szCs w:val="24"/>
          <w:highlight w:val="none"/>
        </w:rPr>
        <w:t>号）规定在“进粤企业和人员诚信信息登记平台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”录入相关信息并通过数</w:t>
      </w:r>
      <w:r>
        <w:rPr>
          <w:rFonts w:hint="eastAsia" w:ascii="宋体" w:hAnsi="宋体" w:eastAsia="宋体" w:cs="宋体"/>
          <w:color w:val="auto"/>
          <w:spacing w:val="-5"/>
          <w:sz w:val="24"/>
          <w:szCs w:val="24"/>
          <w:highlight w:val="none"/>
        </w:rPr>
        <w:t>据规范检</w:t>
      </w:r>
      <w:r>
        <w:rPr>
          <w:rFonts w:hint="eastAsia" w:ascii="宋体" w:hAnsi="宋体" w:eastAsia="宋体" w:cs="宋体"/>
          <w:color w:val="auto"/>
          <w:spacing w:val="-6"/>
          <w:sz w:val="24"/>
          <w:szCs w:val="24"/>
          <w:highlight w:val="none"/>
        </w:rPr>
        <w:t>查。</w:t>
      </w:r>
    </w:p>
    <w:p w14:paraId="0063DCBD">
      <w:pPr>
        <w:spacing w:before="79" w:line="220" w:lineRule="auto"/>
        <w:ind w:left="715"/>
        <w:outlineLvl w:val="2"/>
        <w:rPr>
          <w:rFonts w:hint="eastAsia" w:ascii="宋体" w:hAnsi="宋体" w:eastAsia="宋体" w:cs="宋体"/>
          <w:color w:val="auto"/>
          <w:sz w:val="24"/>
          <w:szCs w:val="24"/>
          <w:highlight w:val="none"/>
        </w:rPr>
      </w:pPr>
      <w:bookmarkStart w:id="19" w:name="_Toc21490"/>
      <w:bookmarkStart w:id="20" w:name="_Toc23243"/>
      <w:r>
        <w:rPr>
          <w:rFonts w:hint="eastAsia" w:ascii="宋体" w:hAnsi="宋体" w:eastAsia="宋体" w:cs="宋体"/>
          <w:b/>
          <w:bCs/>
          <w:color w:val="auto"/>
          <w:spacing w:val="-4"/>
          <w:sz w:val="24"/>
          <w:szCs w:val="24"/>
          <w:highlight w:val="none"/>
        </w:rPr>
        <w:t>3．招标文件的获取</w:t>
      </w:r>
      <w:bookmarkEnd w:id="19"/>
      <w:bookmarkEnd w:id="20"/>
    </w:p>
    <w:p w14:paraId="6F47DB12">
      <w:pPr>
        <w:spacing w:before="182" w:line="219" w:lineRule="auto"/>
        <w:ind w:left="70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3.1  </w:t>
      </w:r>
      <w:r>
        <w:rPr>
          <w:rFonts w:hint="eastAsia" w:ascii="宋体" w:hAnsi="宋体" w:eastAsia="宋体" w:cs="宋体"/>
          <w:color w:val="auto"/>
          <w:spacing w:val="-1"/>
          <w:sz w:val="24"/>
          <w:szCs w:val="24"/>
          <w:highlight w:val="none"/>
        </w:rPr>
        <w:t>本次招标实行电子投标。</w:t>
      </w:r>
    </w:p>
    <w:p w14:paraId="53B49621">
      <w:pPr>
        <w:spacing w:before="178" w:line="355" w:lineRule="auto"/>
        <w:ind w:left="229" w:firstLine="48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本次招标实行电子投标。本项目招标文件随招标公</w:t>
      </w:r>
      <w:r>
        <w:rPr>
          <w:rFonts w:hint="eastAsia" w:ascii="宋体" w:hAnsi="宋体" w:eastAsia="宋体" w:cs="宋体"/>
          <w:color w:val="auto"/>
          <w:spacing w:val="-2"/>
          <w:sz w:val="24"/>
          <w:szCs w:val="24"/>
          <w:highlight w:val="none"/>
        </w:rPr>
        <w:t>告一并在全国公共资源交易平台（广东省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56"/>
          <w:sz w:val="24"/>
          <w:szCs w:val="24"/>
          <w:highlight w:val="none"/>
        </w:rPr>
        <w:t>）（</w:t>
      </w:r>
      <w:r>
        <w:rPr>
          <w:rFonts w:hint="eastAsia" w:ascii="宋体" w:hAnsi="宋体" w:eastAsia="宋体" w:cs="宋体"/>
          <w:color w:val="auto"/>
          <w:spacing w:val="-56"/>
          <w:sz w:val="24"/>
          <w:szCs w:val="24"/>
          <w:highlight w:val="none"/>
          <w:lang w:val="en-US" w:eastAsia="zh-CN"/>
        </w:rPr>
        <w:t xml:space="preserve">              </w:t>
      </w:r>
      <w:r>
        <w:rPr>
          <w:rFonts w:hint="eastAsia" w:ascii="宋体" w:hAnsi="宋体" w:eastAsia="宋体" w:cs="宋体"/>
          <w:color w:val="auto"/>
          <w:spacing w:val="-2"/>
          <w:sz w:val="24"/>
          <w:szCs w:val="24"/>
          <w:highlight w:val="none"/>
        </w:rPr>
        <w:t>https://yg</w:t>
      </w:r>
      <w:r>
        <w:rPr>
          <w:rFonts w:hint="eastAsia" w:ascii="宋体" w:hAnsi="宋体" w:eastAsia="宋体" w:cs="宋体"/>
          <w:color w:val="auto"/>
          <w:spacing w:val="-3"/>
          <w:sz w:val="24"/>
          <w:szCs w:val="24"/>
          <w:highlight w:val="none"/>
        </w:rPr>
        <w:t>p.gdzwfw.gov.cn/ggzy-portal/#/440200/index）</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网站发布。招标文件一经发布，视为发送投标人，招标文件及相</w:t>
      </w:r>
      <w:r>
        <w:rPr>
          <w:rFonts w:hint="eastAsia" w:ascii="宋体" w:hAnsi="宋体" w:eastAsia="宋体" w:cs="宋体"/>
          <w:color w:val="auto"/>
          <w:spacing w:val="-2"/>
          <w:sz w:val="24"/>
          <w:szCs w:val="24"/>
          <w:highlight w:val="none"/>
        </w:rPr>
        <w:t>关附件由投标人自行</w:t>
      </w:r>
      <w:r>
        <w:rPr>
          <w:rFonts w:hint="eastAsia" w:ascii="宋体" w:hAnsi="宋体" w:eastAsia="宋体" w:cs="宋体"/>
          <w:color w:val="auto"/>
          <w:spacing w:val="-7"/>
          <w:sz w:val="24"/>
          <w:szCs w:val="24"/>
          <w:highlight w:val="none"/>
        </w:rPr>
        <w:t>在全国公共资源交易平台（广东省</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7"/>
          <w:sz w:val="24"/>
          <w:szCs w:val="24"/>
          <w:highlight w:val="none"/>
        </w:rPr>
        <w:t>·韶关市）网站下载。请于招标文件获取期间,（见</w:t>
      </w:r>
      <w:r>
        <w:rPr>
          <w:rFonts w:hint="eastAsia" w:ascii="宋体" w:hAnsi="宋体" w:eastAsia="宋体" w:cs="宋体"/>
          <w:color w:val="auto"/>
          <w:spacing w:val="-2"/>
          <w:sz w:val="24"/>
          <w:szCs w:val="24"/>
          <w:highlight w:val="none"/>
        </w:rPr>
        <w:t>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”）招标文件获取期间与招标公告发</w:t>
      </w:r>
      <w:r>
        <w:rPr>
          <w:rFonts w:hint="eastAsia" w:ascii="宋体" w:hAnsi="宋体" w:eastAsia="宋体" w:cs="宋体"/>
          <w:color w:val="auto"/>
          <w:spacing w:val="-3"/>
          <w:sz w:val="24"/>
          <w:szCs w:val="24"/>
          <w:highlight w:val="none"/>
        </w:rPr>
        <w:t>布时间一</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致，投标人须登录全国公共资源交易平台（广东省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pacing w:val="-40"/>
          <w:sz w:val="24"/>
          <w:szCs w:val="24"/>
          <w:highlight w:val="none"/>
        </w:rPr>
        <w:t>）（</w:t>
      </w:r>
      <w:r>
        <w:rPr>
          <w:rFonts w:hint="eastAsia" w:ascii="宋体" w:hAnsi="宋体" w:eastAsia="宋体" w:cs="宋体"/>
          <w:color w:val="auto"/>
          <w:spacing w:val="-40"/>
          <w:sz w:val="24"/>
          <w:szCs w:val="24"/>
          <w:highlight w:val="none"/>
          <w:lang w:val="en-US" w:eastAsia="zh-CN"/>
        </w:rPr>
        <w:t xml:space="preserve">   </w:t>
      </w:r>
      <w:r>
        <w:rPr>
          <w:rFonts w:hint="eastAsia" w:ascii="宋体" w:hAnsi="宋体" w:eastAsia="宋体" w:cs="宋体"/>
          <w:color w:val="auto"/>
          <w:spacing w:val="-4"/>
          <w:sz w:val="24"/>
          <w:szCs w:val="24"/>
          <w:highlight w:val="none"/>
        </w:rPr>
        <w:t>https://ygp.gdzwfw.</w:t>
      </w:r>
      <w:r>
        <w:rPr>
          <w:rFonts w:hint="eastAsia" w:ascii="宋体" w:hAnsi="宋体" w:eastAsia="宋体" w:cs="宋体"/>
          <w:color w:val="auto"/>
          <w:sz w:val="24"/>
          <w:szCs w:val="24"/>
          <w:highlight w:val="none"/>
        </w:rPr>
        <w:t xml:space="preserve">  gov</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cn</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ggzy</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portal</w:t>
      </w:r>
      <w:r>
        <w:rPr>
          <w:rFonts w:hint="eastAsia" w:ascii="宋体" w:hAnsi="宋体" w:eastAsia="宋体" w:cs="宋体"/>
          <w:color w:val="auto"/>
          <w:spacing w:val="2"/>
          <w:sz w:val="24"/>
          <w:szCs w:val="24"/>
          <w:highlight w:val="none"/>
        </w:rPr>
        <w:t>/#/440200/</w:t>
      </w:r>
      <w:r>
        <w:rPr>
          <w:rFonts w:hint="eastAsia" w:ascii="宋体" w:hAnsi="宋体" w:eastAsia="宋体" w:cs="宋体"/>
          <w:color w:val="auto"/>
          <w:sz w:val="24"/>
          <w:szCs w:val="24"/>
          <w:highlight w:val="none"/>
        </w:rPr>
        <w:t>index</w:t>
      </w:r>
      <w:r>
        <w:rPr>
          <w:rFonts w:hint="eastAsia" w:ascii="宋体" w:hAnsi="宋体" w:eastAsia="宋体" w:cs="宋体"/>
          <w:color w:val="auto"/>
          <w:spacing w:val="7"/>
          <w:sz w:val="24"/>
          <w:szCs w:val="24"/>
          <w:highlight w:val="none"/>
        </w:rPr>
        <w:t>），</w:t>
      </w:r>
      <w:r>
        <w:rPr>
          <w:rFonts w:hint="eastAsia" w:ascii="宋体" w:hAnsi="宋体" w:eastAsia="宋体" w:cs="宋体"/>
          <w:color w:val="auto"/>
          <w:spacing w:val="2"/>
          <w:sz w:val="24"/>
          <w:szCs w:val="24"/>
          <w:highlight w:val="none"/>
        </w:rPr>
        <w:t>使用新建设工程交易系统进行下载</w:t>
      </w:r>
      <w:r>
        <w:rPr>
          <w:rFonts w:hint="eastAsia" w:ascii="宋体" w:hAnsi="宋体" w:eastAsia="宋体" w:cs="宋体"/>
          <w:color w:val="auto"/>
          <w:spacing w:val="1"/>
          <w:sz w:val="24"/>
          <w:szCs w:val="24"/>
          <w:highlight w:val="none"/>
        </w:rPr>
        <w:t>招标文</w:t>
      </w:r>
      <w:r>
        <w:rPr>
          <w:rFonts w:hint="eastAsia" w:ascii="宋体" w:hAnsi="宋体" w:eastAsia="宋体" w:cs="宋体"/>
          <w:color w:val="auto"/>
          <w:spacing w:val="-6"/>
          <w:sz w:val="24"/>
          <w:szCs w:val="24"/>
          <w:highlight w:val="none"/>
        </w:rPr>
        <w:t>件及相关附件，并于电子投标截止时间（见本章第二节“重要事项时间地点一览表</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6"/>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前完成电子投标。投标人可登录全国公共资源交易平</w:t>
      </w:r>
      <w:r>
        <w:rPr>
          <w:rFonts w:hint="eastAsia" w:ascii="宋体" w:hAnsi="宋体" w:eastAsia="宋体" w:cs="宋体"/>
          <w:color w:val="auto"/>
          <w:spacing w:val="-3"/>
          <w:sz w:val="24"/>
          <w:szCs w:val="24"/>
          <w:highlight w:val="none"/>
        </w:rPr>
        <w:t>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·韶关市</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5"/>
          <w:sz w:val="24"/>
          <w:szCs w:val="24"/>
          <w:highlight w:val="none"/>
          <w:lang w:val="en-US" w:eastAsia="zh-CN"/>
        </w:rPr>
        <w:t xml:space="preserve">   </w:t>
      </w:r>
      <w:r>
        <w:rPr>
          <w:rFonts w:hint="eastAsia" w:ascii="宋体" w:hAnsi="宋体" w:eastAsia="宋体" w:cs="宋体"/>
          <w:color w:val="auto"/>
          <w:spacing w:val="-3"/>
          <w:sz w:val="24"/>
          <w:szCs w:val="24"/>
          <w:highlight w:val="none"/>
        </w:rPr>
        <w:t>https:</w:t>
      </w:r>
      <w:r>
        <w:rPr>
          <w:rFonts w:hint="eastAsia" w:ascii="宋体" w:hAnsi="宋体" w:eastAsia="宋体" w:cs="宋体"/>
          <w:color w:val="auto"/>
          <w:sz w:val="24"/>
          <w:szCs w:val="24"/>
          <w:highlight w:val="none"/>
        </w:rPr>
        <w:t>//ygp.gdzwfw.gov.cn/ggz</w:t>
      </w:r>
      <w:r>
        <w:rPr>
          <w:rFonts w:hint="eastAsia" w:ascii="宋体" w:hAnsi="宋体" w:eastAsia="宋体" w:cs="宋体"/>
          <w:color w:val="auto"/>
          <w:spacing w:val="-1"/>
          <w:sz w:val="24"/>
          <w:szCs w:val="24"/>
          <w:highlight w:val="none"/>
        </w:rPr>
        <w:t>y-portal/#/440200/index</w:t>
      </w:r>
      <w:r>
        <w:rPr>
          <w:rFonts w:hint="eastAsia" w:ascii="宋体" w:hAnsi="宋体" w:eastAsia="宋体" w:cs="宋体"/>
          <w:color w:val="auto"/>
          <w:spacing w:val="-6"/>
          <w:sz w:val="24"/>
          <w:szCs w:val="24"/>
          <w:highlight w:val="none"/>
        </w:rPr>
        <w:t>），</w:t>
      </w:r>
      <w:r>
        <w:rPr>
          <w:rFonts w:hint="eastAsia" w:ascii="宋体" w:hAnsi="宋体" w:eastAsia="宋体" w:cs="宋体"/>
          <w:color w:val="auto"/>
          <w:spacing w:val="-1"/>
          <w:sz w:val="24"/>
          <w:szCs w:val="24"/>
          <w:highlight w:val="none"/>
        </w:rPr>
        <w:t>在【服务指南】栏目中建设</w:t>
      </w:r>
      <w:r>
        <w:rPr>
          <w:rFonts w:hint="eastAsia" w:ascii="宋体" w:hAnsi="宋体" w:eastAsia="宋体" w:cs="宋体"/>
          <w:color w:val="auto"/>
          <w:spacing w:val="-2"/>
          <w:sz w:val="24"/>
          <w:szCs w:val="24"/>
          <w:highlight w:val="none"/>
        </w:rPr>
        <w:t>工程交易中下载《韶关市公共资源建设工程交易系统-投</w:t>
      </w:r>
      <w:r>
        <w:rPr>
          <w:rFonts w:hint="eastAsia" w:ascii="宋体" w:hAnsi="宋体" w:eastAsia="宋体" w:cs="宋体"/>
          <w:color w:val="auto"/>
          <w:spacing w:val="-1"/>
          <w:sz w:val="24"/>
          <w:szCs w:val="24"/>
          <w:highlight w:val="none"/>
        </w:rPr>
        <w:t>标人操作指南（电子评标）》 （附件 2），了解网上获取招标文件操作流程。技术咨询电话：0751-837</w:t>
      </w:r>
      <w:r>
        <w:rPr>
          <w:rFonts w:hint="eastAsia" w:ascii="宋体" w:hAnsi="宋体" w:eastAsia="宋体" w:cs="宋体"/>
          <w:color w:val="auto"/>
          <w:spacing w:val="-4"/>
          <w:sz w:val="24"/>
          <w:szCs w:val="24"/>
          <w:highlight w:val="none"/>
        </w:rPr>
        <w:t>9671 伍</w:t>
      </w:r>
      <w:r>
        <w:rPr>
          <w:rFonts w:hint="eastAsia" w:ascii="宋体" w:hAnsi="宋体" w:eastAsia="宋体" w:cs="宋体"/>
          <w:color w:val="auto"/>
          <w:spacing w:val="-5"/>
          <w:sz w:val="24"/>
          <w:szCs w:val="24"/>
          <w:highlight w:val="none"/>
        </w:rPr>
        <w:t>先生，</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业务咨询电话：0751-8633211。</w:t>
      </w:r>
    </w:p>
    <w:p w14:paraId="68899B1C">
      <w:pPr>
        <w:spacing w:before="142" w:line="330" w:lineRule="auto"/>
        <w:ind w:left="11" w:right="105" w:firstLine="473"/>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3.2  </w:t>
      </w:r>
      <w:r>
        <w:rPr>
          <w:rFonts w:hint="eastAsia" w:ascii="宋体" w:hAnsi="宋体" w:eastAsia="宋体" w:cs="宋体"/>
          <w:color w:val="auto"/>
          <w:spacing w:val="-1"/>
          <w:sz w:val="24"/>
          <w:szCs w:val="24"/>
          <w:highlight w:val="none"/>
        </w:rPr>
        <w:t>只有申领了数字证书（CA）、“粤企签</w:t>
      </w:r>
      <w:r>
        <w:rPr>
          <w:rFonts w:hint="eastAsia" w:ascii="宋体" w:hAnsi="宋体" w:eastAsia="宋体" w:cs="宋体"/>
          <w:color w:val="auto"/>
          <w:spacing w:val="-76"/>
          <w:sz w:val="24"/>
          <w:szCs w:val="24"/>
          <w:highlight w:val="none"/>
        </w:rPr>
        <w:t xml:space="preserve"> </w:t>
      </w:r>
      <w:r>
        <w:rPr>
          <w:rFonts w:hint="eastAsia" w:ascii="宋体" w:hAnsi="宋体" w:eastAsia="宋体" w:cs="宋体"/>
          <w:color w:val="auto"/>
          <w:spacing w:val="-1"/>
          <w:sz w:val="24"/>
          <w:szCs w:val="24"/>
          <w:highlight w:val="none"/>
        </w:rPr>
        <w:t>”或</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GDCA/SZCA/NETCA</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1"/>
          <w:sz w:val="24"/>
          <w:szCs w:val="24"/>
          <w:highlight w:val="none"/>
        </w:rPr>
        <w:t>等符合法律法规规定的电子印章，并在交易系统中完成企业信息数据入库</w:t>
      </w:r>
      <w:r>
        <w:rPr>
          <w:rFonts w:hint="eastAsia" w:ascii="宋体" w:hAnsi="宋体" w:eastAsia="宋体" w:cs="宋体"/>
          <w:color w:val="auto"/>
          <w:spacing w:val="-2"/>
          <w:sz w:val="24"/>
          <w:szCs w:val="24"/>
          <w:highlight w:val="none"/>
        </w:rPr>
        <w:t>的投标人，方可使用建设</w:t>
      </w:r>
      <w:r>
        <w:rPr>
          <w:rFonts w:hint="eastAsia" w:ascii="宋体" w:hAnsi="宋体" w:eastAsia="宋体" w:cs="宋体"/>
          <w:color w:val="auto"/>
          <w:spacing w:val="-1"/>
          <w:sz w:val="24"/>
          <w:szCs w:val="24"/>
          <w:highlight w:val="none"/>
        </w:rPr>
        <w:t>工程交易系统进行招标文件及附件获取和电子投标。</w:t>
      </w:r>
    </w:p>
    <w:p w14:paraId="66BF8C88">
      <w:pPr>
        <w:spacing w:before="32" w:line="332" w:lineRule="auto"/>
        <w:ind w:left="10" w:right="90"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首次在韶关市参与建设工程招标投标活动的</w:t>
      </w:r>
      <w:r>
        <w:rPr>
          <w:rFonts w:hint="eastAsia" w:ascii="宋体" w:hAnsi="宋体" w:eastAsia="宋体" w:cs="宋体"/>
          <w:color w:val="auto"/>
          <w:spacing w:val="-2"/>
          <w:sz w:val="24"/>
          <w:szCs w:val="24"/>
          <w:highlight w:val="none"/>
        </w:rPr>
        <w:t>投标人，必须在平台系统上传企业相</w:t>
      </w:r>
      <w:r>
        <w:rPr>
          <w:rFonts w:hint="eastAsia" w:ascii="宋体" w:hAnsi="宋体" w:eastAsia="宋体" w:cs="宋体"/>
          <w:color w:val="auto"/>
          <w:spacing w:val="-3"/>
          <w:sz w:val="24"/>
          <w:szCs w:val="24"/>
          <w:highlight w:val="none"/>
        </w:rPr>
        <w:t>关资料办理企业入库事宜。投标人可登录全国公共资源</w:t>
      </w:r>
      <w:r>
        <w:rPr>
          <w:rFonts w:hint="eastAsia" w:ascii="宋体" w:hAnsi="宋体" w:eastAsia="宋体" w:cs="宋体"/>
          <w:color w:val="auto"/>
          <w:spacing w:val="-4"/>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·韶关市）</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"https://ygp.gdzwfw.gov.cn/ggzy-portal/#/440200/index"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sz w:val="24"/>
          <w:szCs w:val="24"/>
          <w:highlight w:val="none"/>
        </w:rPr>
        <w:t>https://ygp.gdzwfw.gov.cn/ggzy-portal/#/440200/index</w:t>
      </w:r>
      <w:r>
        <w:rPr>
          <w:rFonts w:hint="eastAsia" w:ascii="宋体" w:hAnsi="宋体" w:eastAsia="宋体" w:cs="宋体"/>
          <w:color w:val="auto"/>
          <w:spacing w:val="-1"/>
          <w:sz w:val="24"/>
          <w:szCs w:val="24"/>
          <w:highlight w:val="none"/>
        </w:rPr>
        <w:fldChar w:fldCharType="end"/>
      </w:r>
      <w:r>
        <w:rPr>
          <w:rFonts w:hint="eastAsia" w:ascii="宋体" w:hAnsi="宋体" w:eastAsia="宋体" w:cs="宋体"/>
          <w:color w:val="auto"/>
          <w:spacing w:val="-1"/>
          <w:sz w:val="24"/>
          <w:szCs w:val="24"/>
          <w:highlight w:val="none"/>
        </w:rPr>
        <w:t>）办理企业入库、数字证书及电子印章事宜，具体请在平台查阅相应的交易指引。</w:t>
      </w:r>
    </w:p>
    <w:p w14:paraId="2BFC4BF1">
      <w:pPr>
        <w:spacing w:before="37" w:line="329" w:lineRule="auto"/>
        <w:ind w:left="9" w:right="105"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已入库企业有关信息（如单位名称、基本账号、资质、人员等）发生变化</w:t>
      </w:r>
      <w:r>
        <w:rPr>
          <w:rFonts w:hint="eastAsia" w:ascii="宋体" w:hAnsi="宋体" w:eastAsia="宋体" w:cs="宋体"/>
          <w:color w:val="auto"/>
          <w:spacing w:val="-3"/>
          <w:sz w:val="24"/>
          <w:szCs w:val="24"/>
          <w:highlight w:val="none"/>
        </w:rPr>
        <w:t>的，须</w:t>
      </w:r>
      <w:r>
        <w:rPr>
          <w:rFonts w:hint="eastAsia" w:ascii="宋体" w:hAnsi="宋体" w:eastAsia="宋体" w:cs="宋体"/>
          <w:color w:val="auto"/>
          <w:spacing w:val="-1"/>
          <w:sz w:val="24"/>
          <w:szCs w:val="24"/>
          <w:highlight w:val="none"/>
        </w:rPr>
        <w:t>及时在交易系统进行相应变更。投标人未及时变更信息而造成的</w:t>
      </w:r>
      <w:r>
        <w:rPr>
          <w:rFonts w:hint="eastAsia" w:ascii="宋体" w:hAnsi="宋体" w:eastAsia="宋体" w:cs="宋体"/>
          <w:color w:val="auto"/>
          <w:spacing w:val="-2"/>
          <w:sz w:val="24"/>
          <w:szCs w:val="24"/>
          <w:highlight w:val="none"/>
        </w:rPr>
        <w:t>损失和后果，由投标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人自行承担。</w:t>
      </w:r>
    </w:p>
    <w:p w14:paraId="3B9F37C6">
      <w:pPr>
        <w:spacing w:before="33" w:line="335" w:lineRule="auto"/>
        <w:ind w:left="10" w:right="105" w:firstLine="508"/>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电子印章：是指获得国家工业和信息化部颁发的《电子认证服务许可</w:t>
      </w:r>
      <w:r>
        <w:rPr>
          <w:rFonts w:hint="eastAsia" w:ascii="宋体" w:hAnsi="宋体" w:eastAsia="宋体" w:cs="宋体"/>
          <w:color w:val="auto"/>
          <w:spacing w:val="-3"/>
          <w:sz w:val="24"/>
          <w:szCs w:val="24"/>
          <w:highlight w:val="none"/>
        </w:rPr>
        <w:t>证》、国家</w:t>
      </w:r>
      <w:r>
        <w:rPr>
          <w:rFonts w:hint="eastAsia" w:ascii="宋体" w:hAnsi="宋体" w:eastAsia="宋体" w:cs="宋体"/>
          <w:color w:val="auto"/>
          <w:spacing w:val="-1"/>
          <w:sz w:val="24"/>
          <w:szCs w:val="24"/>
          <w:highlight w:val="none"/>
        </w:rPr>
        <w:t>密码管理局颁发的《电子认证服务使用密码许可证》等资质，</w:t>
      </w:r>
      <w:r>
        <w:rPr>
          <w:rFonts w:hint="eastAsia" w:ascii="宋体" w:hAnsi="宋体" w:eastAsia="宋体" w:cs="宋体"/>
          <w:color w:val="auto"/>
          <w:spacing w:val="-2"/>
          <w:sz w:val="24"/>
          <w:szCs w:val="24"/>
          <w:highlight w:val="none"/>
        </w:rPr>
        <w:t>具备承担因数字证书原</w:t>
      </w:r>
      <w:r>
        <w:rPr>
          <w:rFonts w:hint="eastAsia" w:ascii="宋体" w:hAnsi="宋体" w:eastAsia="宋体" w:cs="宋体"/>
          <w:color w:val="auto"/>
          <w:spacing w:val="-1"/>
          <w:sz w:val="24"/>
          <w:szCs w:val="24"/>
          <w:highlight w:val="none"/>
        </w:rPr>
        <w:t>因产生纠纷的相关责任的能力，且在广东省内具有数量基础和</w:t>
      </w:r>
      <w:r>
        <w:rPr>
          <w:rFonts w:hint="eastAsia" w:ascii="宋体" w:hAnsi="宋体" w:eastAsia="宋体" w:cs="宋体"/>
          <w:color w:val="auto"/>
          <w:spacing w:val="-2"/>
          <w:sz w:val="24"/>
          <w:szCs w:val="24"/>
          <w:highlight w:val="none"/>
        </w:rPr>
        <w:t>服务能力的依法设立的</w:t>
      </w:r>
      <w:r>
        <w:rPr>
          <w:rFonts w:hint="eastAsia" w:ascii="宋体" w:hAnsi="宋体" w:eastAsia="宋体" w:cs="宋体"/>
          <w:color w:val="auto"/>
          <w:spacing w:val="3"/>
          <w:sz w:val="24"/>
          <w:szCs w:val="24"/>
          <w:highlight w:val="none"/>
        </w:rPr>
        <w:t>电子认证服务机构签发的电子签章认证证书（即</w:t>
      </w:r>
      <w:r>
        <w:rPr>
          <w:rFonts w:hint="eastAsia" w:ascii="宋体" w:hAnsi="宋体" w:eastAsia="宋体" w:cs="宋体"/>
          <w:color w:val="auto"/>
          <w:sz w:val="24"/>
          <w:szCs w:val="24"/>
          <w:highlight w:val="none"/>
        </w:rPr>
        <w:t>CA</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数字证书）。投标人应当到相关</w:t>
      </w:r>
      <w:r>
        <w:rPr>
          <w:rFonts w:hint="eastAsia" w:ascii="宋体" w:hAnsi="宋体" w:eastAsia="宋体" w:cs="宋体"/>
          <w:color w:val="auto"/>
          <w:spacing w:val="-1"/>
          <w:sz w:val="24"/>
          <w:szCs w:val="24"/>
          <w:highlight w:val="none"/>
        </w:rPr>
        <w:t>服务机构办理并取得数字证书介质和应用。电子印章包括机构</w:t>
      </w:r>
      <w:r>
        <w:rPr>
          <w:rFonts w:hint="eastAsia" w:ascii="宋体" w:hAnsi="宋体" w:eastAsia="宋体" w:cs="宋体"/>
          <w:color w:val="auto"/>
          <w:spacing w:val="-2"/>
          <w:sz w:val="24"/>
          <w:szCs w:val="24"/>
          <w:highlight w:val="none"/>
        </w:rPr>
        <w:t>法人电子形式印章，单</w:t>
      </w:r>
      <w:r>
        <w:rPr>
          <w:rFonts w:hint="eastAsia" w:ascii="宋体" w:hAnsi="宋体" w:eastAsia="宋体" w:cs="宋体"/>
          <w:color w:val="auto"/>
          <w:spacing w:val="-1"/>
          <w:sz w:val="24"/>
          <w:szCs w:val="24"/>
          <w:highlight w:val="none"/>
        </w:rPr>
        <w:t>位法定代表人、被委托人及其他个人的电子形式印章。电子印</w:t>
      </w:r>
      <w:r>
        <w:rPr>
          <w:rFonts w:hint="eastAsia" w:ascii="宋体" w:hAnsi="宋体" w:eastAsia="宋体" w:cs="宋体"/>
          <w:color w:val="auto"/>
          <w:spacing w:val="-2"/>
          <w:sz w:val="24"/>
          <w:szCs w:val="24"/>
          <w:highlight w:val="none"/>
        </w:rPr>
        <w:t>章与手写签名或者盖章</w:t>
      </w:r>
      <w:r>
        <w:rPr>
          <w:rFonts w:hint="eastAsia" w:ascii="宋体" w:hAnsi="宋体" w:eastAsia="宋体" w:cs="宋体"/>
          <w:color w:val="auto"/>
          <w:spacing w:val="-1"/>
          <w:sz w:val="24"/>
          <w:szCs w:val="24"/>
          <w:highlight w:val="none"/>
        </w:rPr>
        <w:t>具有同等的法律效力。</w:t>
      </w:r>
    </w:p>
    <w:p w14:paraId="05AB0BB7">
      <w:pPr>
        <w:spacing w:before="33" w:line="221"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3.3</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3"/>
          <w:sz w:val="24"/>
          <w:szCs w:val="24"/>
          <w:highlight w:val="none"/>
        </w:rPr>
        <w:t>投标保证</w:t>
      </w:r>
    </w:p>
    <w:p w14:paraId="050F418D">
      <w:pPr>
        <w:spacing w:before="152" w:line="280" w:lineRule="auto"/>
        <w:ind w:left="8" w:right="105"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3.3.1  </w:t>
      </w:r>
      <w:r>
        <w:rPr>
          <w:rFonts w:hint="eastAsia" w:ascii="宋体" w:hAnsi="宋体" w:eastAsia="宋体" w:cs="宋体"/>
          <w:color w:val="auto"/>
          <w:spacing w:val="-1"/>
          <w:sz w:val="24"/>
          <w:szCs w:val="24"/>
          <w:highlight w:val="none"/>
        </w:rPr>
        <w:t>投标人须缴纳金额为</w:t>
      </w:r>
      <w:r>
        <w:rPr>
          <w:rFonts w:hint="eastAsia" w:ascii="宋体" w:hAnsi="宋体" w:eastAsia="宋体" w:cs="宋体"/>
          <w:color w:val="auto"/>
          <w:spacing w:val="-1"/>
          <w:sz w:val="24"/>
          <w:szCs w:val="24"/>
          <w:highlight w:val="none"/>
          <w:u w:val="single"/>
          <w:lang w:val="en-US" w:eastAsia="zh-CN"/>
        </w:rPr>
        <w:t>10万元</w:t>
      </w:r>
      <w:r>
        <w:rPr>
          <w:rFonts w:hint="eastAsia" w:ascii="宋体" w:hAnsi="宋体" w:eastAsia="宋体" w:cs="宋体"/>
          <w:color w:val="auto"/>
          <w:spacing w:val="-1"/>
          <w:sz w:val="24"/>
          <w:szCs w:val="24"/>
          <w:highlight w:val="none"/>
        </w:rPr>
        <w:t xml:space="preserve">人民币的投标保证。 </w:t>
      </w:r>
    </w:p>
    <w:p w14:paraId="28067BD7">
      <w:pPr>
        <w:spacing w:before="35" w:line="325" w:lineRule="auto"/>
        <w:ind w:left="12" w:right="108" w:firstLine="471"/>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 xml:space="preserve">3.3.2  </w:t>
      </w:r>
      <w:r>
        <w:rPr>
          <w:rFonts w:hint="eastAsia" w:ascii="宋体" w:hAnsi="宋体" w:eastAsia="宋体" w:cs="宋体"/>
          <w:color w:val="auto"/>
          <w:spacing w:val="2"/>
          <w:sz w:val="24"/>
          <w:szCs w:val="24"/>
          <w:highlight w:val="none"/>
        </w:rPr>
        <w:t>投标保证的形式包括投标保证金、投标保证担保、投标保证保险三种</w:t>
      </w:r>
      <w:r>
        <w:rPr>
          <w:rFonts w:hint="eastAsia" w:ascii="宋体" w:hAnsi="宋体" w:eastAsia="宋体" w:cs="宋体"/>
          <w:color w:val="auto"/>
          <w:spacing w:val="1"/>
          <w:sz w:val="24"/>
          <w:szCs w:val="24"/>
          <w:highlight w:val="none"/>
        </w:rPr>
        <w:t>，由</w:t>
      </w:r>
      <w:r>
        <w:rPr>
          <w:rFonts w:hint="eastAsia" w:ascii="宋体" w:hAnsi="宋体" w:eastAsia="宋体" w:cs="宋体"/>
          <w:color w:val="auto"/>
          <w:spacing w:val="-2"/>
          <w:sz w:val="24"/>
          <w:szCs w:val="24"/>
          <w:highlight w:val="none"/>
        </w:rPr>
        <w:t>投标人自主选择。</w:t>
      </w:r>
    </w:p>
    <w:p w14:paraId="353E08E8">
      <w:pPr>
        <w:spacing w:before="78" w:line="334" w:lineRule="auto"/>
        <w:ind w:left="12" w:right="2" w:firstLine="490"/>
        <w:jc w:val="both"/>
        <w:rPr>
          <w:rFonts w:hint="eastAsia" w:ascii="宋体" w:hAnsi="宋体" w:eastAsia="宋体" w:cs="宋体"/>
          <w:color w:val="auto"/>
          <w:spacing w:val="-1"/>
          <w:sz w:val="24"/>
          <w:szCs w:val="24"/>
          <w:highlight w:val="none"/>
        </w:rPr>
      </w:pPr>
      <w:bookmarkStart w:id="21" w:name="bookmark117"/>
      <w:bookmarkEnd w:id="21"/>
      <w:r>
        <w:rPr>
          <w:rFonts w:hint="eastAsia" w:ascii="宋体" w:hAnsi="宋体" w:eastAsia="宋体" w:cs="宋体"/>
          <w:color w:val="auto"/>
          <w:spacing w:val="2"/>
          <w:sz w:val="24"/>
          <w:szCs w:val="24"/>
          <w:highlight w:val="none"/>
        </w:rPr>
        <w:t>（1）采用投标保证金的，投标人在建设工程交易系统获取招</w:t>
      </w:r>
      <w:r>
        <w:rPr>
          <w:rFonts w:hint="eastAsia" w:ascii="宋体" w:hAnsi="宋体" w:eastAsia="宋体" w:cs="宋体"/>
          <w:color w:val="auto"/>
          <w:spacing w:val="1"/>
          <w:sz w:val="24"/>
          <w:szCs w:val="24"/>
          <w:highlight w:val="none"/>
        </w:rPr>
        <w:t>标文件完毕后，即</w:t>
      </w:r>
      <w:r>
        <w:rPr>
          <w:rFonts w:hint="eastAsia" w:ascii="宋体" w:hAnsi="宋体" w:eastAsia="宋体" w:cs="宋体"/>
          <w:color w:val="auto"/>
          <w:spacing w:val="-1"/>
          <w:sz w:val="24"/>
          <w:szCs w:val="24"/>
          <w:highlight w:val="none"/>
        </w:rPr>
        <w:t>可在系统申请缴纳投标保证金，获取本次招标投标保证金缴</w:t>
      </w:r>
      <w:r>
        <w:rPr>
          <w:rFonts w:hint="eastAsia" w:ascii="宋体" w:hAnsi="宋体" w:eastAsia="宋体" w:cs="宋体"/>
          <w:color w:val="auto"/>
          <w:spacing w:val="-2"/>
          <w:sz w:val="24"/>
          <w:szCs w:val="24"/>
          <w:highlight w:val="none"/>
        </w:rPr>
        <w:t>纳账号。投标人必须于投标保证金到账截</w:t>
      </w:r>
      <w:r>
        <w:rPr>
          <w:rFonts w:hint="eastAsia" w:ascii="宋体" w:hAnsi="宋体" w:eastAsia="宋体" w:cs="宋体"/>
          <w:color w:val="auto"/>
          <w:spacing w:val="-1"/>
          <w:sz w:val="24"/>
          <w:szCs w:val="24"/>
          <w:highlight w:val="none"/>
        </w:rPr>
        <w:t>止时间（见本招标文件“重要事项时间地点一览表 ”）前，从其基本账户将投标保证金转账到指定的缴纳账号。逾期到账的、从非投标人基本账户转出的，其投标无效。</w:t>
      </w:r>
    </w:p>
    <w:p w14:paraId="2D0F206B">
      <w:pPr>
        <w:spacing w:before="78" w:line="334" w:lineRule="auto"/>
        <w:ind w:left="12" w:right="2" w:firstLine="490"/>
        <w:jc w:val="both"/>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（2）采用投标保证担保的，投标人应提交有效的电子保函或保证保险，电子保函或保证保险的有效期不得短于投标有效期。投标人必须在投标保证担保截止时间（详见“重要事项时间地点一览表 ”）前，使用工程建设交易系统完成网上办理电子保函或保证保险。</w:t>
      </w:r>
    </w:p>
    <w:p w14:paraId="66F9AA94">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（3）采用投标保证保险的，投标人须在投标保证保险投保截止时间（见本招标文件“重要事项时间地点一览表 ”）前，使用建设工程交易系统完成网上投保。投标人可在系统选择保险机构、录入投保信息、支付保费、打印</w:t>
      </w:r>
      <w:r>
        <w:rPr>
          <w:rFonts w:hint="eastAsia" w:ascii="宋体" w:hAnsi="宋体" w:eastAsia="宋体" w:cs="宋体"/>
          <w:color w:val="auto"/>
          <w:spacing w:val="-2"/>
          <w:sz w:val="24"/>
          <w:szCs w:val="24"/>
          <w:highlight w:val="none"/>
        </w:rPr>
        <w:t>电子保单，电子保单的有</w:t>
      </w:r>
      <w:r>
        <w:rPr>
          <w:rFonts w:hint="eastAsia" w:ascii="宋体" w:hAnsi="宋体" w:eastAsia="宋体" w:cs="宋体"/>
          <w:color w:val="auto"/>
          <w:spacing w:val="-3"/>
          <w:sz w:val="24"/>
          <w:szCs w:val="24"/>
          <w:highlight w:val="none"/>
        </w:rPr>
        <w:t>效期不得短于投标有效期。投标人可登录全国公共资源交易平台（广东省 ·韶关市） （</w:t>
      </w:r>
      <w:r>
        <w:rPr>
          <w:rFonts w:hint="eastAsia" w:ascii="宋体" w:hAnsi="宋体" w:eastAsia="宋体" w:cs="宋体"/>
          <w:color w:val="auto"/>
          <w:spacing w:val="-3"/>
          <w:sz w:val="24"/>
          <w:szCs w:val="24"/>
          <w:highlight w:val="none"/>
        </w:rPr>
        <w:fldChar w:fldCharType="begin"/>
      </w:r>
      <w:r>
        <w:rPr>
          <w:rFonts w:hint="eastAsia" w:ascii="宋体" w:hAnsi="宋体" w:eastAsia="宋体" w:cs="宋体"/>
          <w:color w:val="auto"/>
          <w:spacing w:val="-3"/>
          <w:sz w:val="24"/>
          <w:szCs w:val="24"/>
          <w:highlight w:val="none"/>
        </w:rPr>
        <w:instrText xml:space="preserve"> HYPERLINK "https://ygp.gdzwfw.gov.cn/ggzy-portal/#/440200/index" </w:instrText>
      </w:r>
      <w:r>
        <w:rPr>
          <w:rFonts w:hint="eastAsia" w:ascii="宋体" w:hAnsi="宋体" w:eastAsia="宋体" w:cs="宋体"/>
          <w:color w:val="auto"/>
          <w:spacing w:val="-3"/>
          <w:sz w:val="24"/>
          <w:szCs w:val="24"/>
          <w:highlight w:val="none"/>
        </w:rPr>
        <w:fldChar w:fldCharType="separate"/>
      </w:r>
      <w:r>
        <w:rPr>
          <w:rFonts w:hint="eastAsia" w:ascii="宋体" w:hAnsi="宋体" w:eastAsia="宋体" w:cs="宋体"/>
          <w:color w:val="auto"/>
          <w:spacing w:val="-3"/>
          <w:sz w:val="24"/>
          <w:szCs w:val="24"/>
          <w:highlight w:val="none"/>
        </w:rPr>
        <w:t>https://ygp.gdzwfw.gov.cn/ggzy-portal/#/440200/index</w:t>
      </w:r>
      <w:r>
        <w:rPr>
          <w:rFonts w:hint="eastAsia" w:ascii="宋体" w:hAnsi="宋体" w:eastAsia="宋体" w:cs="宋体"/>
          <w:color w:val="auto"/>
          <w:spacing w:val="-3"/>
          <w:sz w:val="24"/>
          <w:szCs w:val="24"/>
          <w:highlight w:val="none"/>
        </w:rPr>
        <w:fldChar w:fldCharType="end"/>
      </w:r>
      <w:r>
        <w:rPr>
          <w:rFonts w:hint="eastAsia" w:ascii="宋体" w:hAnsi="宋体" w:eastAsia="宋体" w:cs="宋体"/>
          <w:color w:val="auto"/>
          <w:spacing w:val="-3"/>
          <w:sz w:val="24"/>
          <w:szCs w:val="24"/>
          <w:highlight w:val="none"/>
        </w:rPr>
        <w:t>），在【服务指南】栏 目中下载《建设工程网上交易系统保险保证金缴纳操作指南》，了解网上投保具体操 作流程。逾期投保的，其投标无效。</w:t>
      </w:r>
    </w:p>
    <w:p w14:paraId="6CFA3F60">
      <w:pPr>
        <w:spacing w:before="78" w:line="334" w:lineRule="auto"/>
        <w:ind w:left="12" w:right="2" w:firstLine="490"/>
        <w:jc w:val="both"/>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温馨提示：1.投标人采用投标保证担保或投标保证保险的，为避免在评标过程中因有效期发生争议，建议投标人将银行保函或电子保单有效期设置为较招标文件规定的投标有效期延长不少于 20 个日历天。</w:t>
      </w:r>
    </w:p>
    <w:p w14:paraId="06BEDC68">
      <w:pPr>
        <w:spacing w:before="78" w:line="334" w:lineRule="auto"/>
        <w:ind w:left="12" w:right="2" w:firstLine="490"/>
        <w:jc w:val="both"/>
        <w:rPr>
          <w:rFonts w:hint="eastAsia" w:ascii="宋体" w:hAnsi="宋体" w:eastAsia="宋体" w:cs="宋体"/>
          <w:color w:val="auto"/>
          <w:highlight w:val="none"/>
        </w:rPr>
      </w:pPr>
      <w:r>
        <w:rPr>
          <w:rFonts w:hint="eastAsia" w:ascii="宋体" w:hAnsi="宋体" w:eastAsia="宋体" w:cs="宋体"/>
          <w:b/>
          <w:bCs/>
          <w:color w:val="auto"/>
          <w:spacing w:val="-3"/>
          <w:sz w:val="24"/>
          <w:szCs w:val="24"/>
          <w:highlight w:val="none"/>
        </w:rPr>
        <w:t xml:space="preserve">3.4 </w:t>
      </w:r>
      <w:r>
        <w:rPr>
          <w:rFonts w:hint="eastAsia" w:ascii="宋体" w:hAnsi="宋体" w:eastAsia="宋体" w:cs="宋体"/>
          <w:color w:val="auto"/>
          <w:spacing w:val="-3"/>
          <w:sz w:val="24"/>
          <w:szCs w:val="24"/>
          <w:highlight w:val="none"/>
        </w:rPr>
        <w:t xml:space="preserve"> 若投标人因自身原因未能正确完成获取招标文件</w:t>
      </w:r>
      <w:r>
        <w:rPr>
          <w:rFonts w:hint="eastAsia" w:ascii="宋体" w:hAnsi="宋体" w:eastAsia="宋体" w:cs="宋体"/>
          <w:color w:val="auto"/>
          <w:sz w:val="24"/>
          <w:szCs w:val="24"/>
          <w:highlight w:val="none"/>
        </w:rPr>
        <w:t>、电子投标、缴纳投标保证</w:t>
      </w:r>
      <w:r>
        <w:rPr>
          <w:rFonts w:hint="eastAsia" w:ascii="宋体" w:hAnsi="宋体" w:eastAsia="宋体" w:cs="宋体"/>
          <w:color w:val="auto"/>
          <w:spacing w:val="-4"/>
          <w:sz w:val="24"/>
          <w:szCs w:val="24"/>
          <w:highlight w:val="none"/>
        </w:rPr>
        <w:t>的，其投标无效。</w:t>
      </w:r>
    </w:p>
    <w:p w14:paraId="31109792">
      <w:pPr>
        <w:spacing w:before="79" w:line="221" w:lineRule="auto"/>
        <w:ind w:left="487"/>
        <w:outlineLvl w:val="2"/>
        <w:rPr>
          <w:rFonts w:hint="eastAsia" w:ascii="宋体" w:hAnsi="宋体" w:eastAsia="宋体" w:cs="宋体"/>
          <w:color w:val="auto"/>
          <w:sz w:val="24"/>
          <w:szCs w:val="24"/>
          <w:highlight w:val="none"/>
        </w:rPr>
      </w:pPr>
      <w:bookmarkStart w:id="22" w:name="bookmark64"/>
      <w:bookmarkEnd w:id="22"/>
      <w:bookmarkStart w:id="23" w:name="bookmark78"/>
      <w:bookmarkEnd w:id="23"/>
      <w:bookmarkStart w:id="24" w:name="_Toc8255"/>
      <w:bookmarkStart w:id="25" w:name="_Toc15498"/>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8"/>
          <w:sz w:val="24"/>
          <w:szCs w:val="24"/>
          <w:highlight w:val="none"/>
          <w:lang w:val="en-US" w:eastAsia="zh-CN"/>
        </w:rPr>
        <w:t xml:space="preserve"> </w:t>
      </w:r>
      <w:r>
        <w:rPr>
          <w:rFonts w:hint="eastAsia" w:ascii="宋体" w:hAnsi="宋体" w:eastAsia="宋体" w:cs="宋体"/>
          <w:b/>
          <w:bCs/>
          <w:color w:val="auto"/>
          <w:spacing w:val="-8"/>
          <w:sz w:val="24"/>
          <w:szCs w:val="24"/>
          <w:highlight w:val="none"/>
        </w:rPr>
        <w:t>．工期要求</w:t>
      </w:r>
      <w:bookmarkEnd w:id="24"/>
      <w:bookmarkEnd w:id="25"/>
    </w:p>
    <w:p w14:paraId="492DB599">
      <w:pPr>
        <w:spacing w:before="153" w:line="324" w:lineRule="auto"/>
        <w:ind w:left="30" w:right="65" w:firstLine="4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eastAsia="zh-CN"/>
        </w:rPr>
        <w:t>本招标项目招标工期为</w:t>
      </w:r>
      <w:r>
        <w:rPr>
          <w:rFonts w:hint="eastAsia" w:ascii="宋体" w:hAnsi="宋体" w:eastAsia="宋体" w:cs="宋体"/>
          <w:color w:val="auto"/>
          <w:spacing w:val="-2"/>
          <w:sz w:val="24"/>
          <w:szCs w:val="24"/>
          <w:highlight w:val="none"/>
          <w:u w:val="single"/>
          <w:lang w:val="en-US" w:eastAsia="zh-CN"/>
        </w:rPr>
        <w:t>150</w:t>
      </w:r>
      <w:r>
        <w:rPr>
          <w:rFonts w:hint="eastAsia" w:ascii="宋体" w:hAnsi="宋体" w:eastAsia="宋体" w:cs="宋体"/>
          <w:color w:val="auto"/>
          <w:spacing w:val="-2"/>
          <w:sz w:val="24"/>
          <w:szCs w:val="24"/>
          <w:highlight w:val="none"/>
          <w:lang w:val="en-US" w:eastAsia="zh-CN"/>
        </w:rPr>
        <w:t>个日历天</w:t>
      </w:r>
      <w:r>
        <w:rPr>
          <w:rFonts w:hint="eastAsia" w:ascii="宋体" w:hAnsi="宋体" w:eastAsia="宋体" w:cs="宋体"/>
          <w:color w:val="auto"/>
          <w:spacing w:val="-2"/>
          <w:sz w:val="24"/>
          <w:szCs w:val="24"/>
          <w:highlight w:val="none"/>
        </w:rPr>
        <w:t>，中标人必须在招标工期内完成招标范围内</w:t>
      </w:r>
      <w:r>
        <w:rPr>
          <w:rFonts w:hint="eastAsia" w:ascii="宋体" w:hAnsi="宋体" w:eastAsia="宋体" w:cs="宋体"/>
          <w:color w:val="auto"/>
          <w:spacing w:val="-5"/>
          <w:sz w:val="24"/>
          <w:szCs w:val="24"/>
          <w:highlight w:val="none"/>
        </w:rPr>
        <w:t>的全部内容。</w:t>
      </w:r>
    </w:p>
    <w:p w14:paraId="6CEF653C">
      <w:pPr>
        <w:spacing w:before="78" w:line="219" w:lineRule="auto"/>
        <w:ind w:left="488"/>
        <w:outlineLvl w:val="2"/>
        <w:rPr>
          <w:rFonts w:hint="eastAsia" w:ascii="宋体" w:hAnsi="宋体" w:eastAsia="宋体" w:cs="宋体"/>
          <w:color w:val="auto"/>
          <w:sz w:val="24"/>
          <w:szCs w:val="24"/>
          <w:highlight w:val="none"/>
        </w:rPr>
      </w:pPr>
      <w:bookmarkStart w:id="26" w:name="_Toc11449"/>
      <w:bookmarkStart w:id="27" w:name="_Toc4154"/>
      <w:r>
        <w:rPr>
          <w:rFonts w:hint="eastAsia" w:ascii="宋体" w:hAnsi="宋体" w:eastAsia="宋体" w:cs="宋体"/>
          <w:b/>
          <w:bCs/>
          <w:color w:val="auto"/>
          <w:spacing w:val="-5"/>
          <w:sz w:val="24"/>
          <w:szCs w:val="24"/>
          <w:highlight w:val="none"/>
        </w:rPr>
        <w:t>5</w:t>
      </w:r>
      <w:r>
        <w:rPr>
          <w:rFonts w:hint="eastAsia" w:ascii="宋体" w:hAnsi="宋体" w:eastAsia="宋体" w:cs="宋体"/>
          <w:b/>
          <w:bCs/>
          <w:color w:val="auto"/>
          <w:spacing w:val="-5"/>
          <w:sz w:val="24"/>
          <w:szCs w:val="24"/>
          <w:highlight w:val="none"/>
          <w:lang w:val="en-US" w:eastAsia="zh-CN"/>
        </w:rPr>
        <w:t xml:space="preserve"> </w:t>
      </w:r>
      <w:r>
        <w:rPr>
          <w:rFonts w:hint="eastAsia" w:ascii="宋体" w:hAnsi="宋体" w:eastAsia="宋体" w:cs="宋体"/>
          <w:b/>
          <w:bCs/>
          <w:color w:val="auto"/>
          <w:spacing w:val="-5"/>
          <w:sz w:val="24"/>
          <w:szCs w:val="24"/>
          <w:highlight w:val="none"/>
        </w:rPr>
        <w:t>．质量标准和材料、机械要求</w:t>
      </w:r>
      <w:bookmarkEnd w:id="26"/>
      <w:bookmarkEnd w:id="27"/>
    </w:p>
    <w:p w14:paraId="6580E484">
      <w:pPr>
        <w:spacing w:before="154" w:line="279" w:lineRule="auto"/>
        <w:ind w:left="11" w:right="99"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5.1  </w:t>
      </w:r>
      <w:r>
        <w:rPr>
          <w:rFonts w:hint="eastAsia" w:ascii="宋体" w:hAnsi="宋体" w:eastAsia="宋体" w:cs="宋体"/>
          <w:color w:val="auto"/>
          <w:sz w:val="24"/>
          <w:szCs w:val="24"/>
          <w:highlight w:val="none"/>
        </w:rPr>
        <w:t>施工工艺严格按照国家和广东省的有关现行施工技术规范及标准执行，工程</w:t>
      </w:r>
      <w:r>
        <w:rPr>
          <w:rFonts w:hint="eastAsia" w:ascii="宋体" w:hAnsi="宋体" w:eastAsia="宋体" w:cs="宋体"/>
          <w:color w:val="auto"/>
          <w:spacing w:val="-1"/>
          <w:sz w:val="24"/>
          <w:szCs w:val="24"/>
          <w:highlight w:val="none"/>
        </w:rPr>
        <w:t>质量标准须达到</w:t>
      </w:r>
      <w:r>
        <w:rPr>
          <w:rFonts w:hint="eastAsia" w:ascii="宋体" w:hAnsi="宋体" w:eastAsia="宋体" w:cs="宋体"/>
          <w:color w:val="auto"/>
          <w:spacing w:val="-1"/>
          <w:sz w:val="24"/>
          <w:szCs w:val="24"/>
          <w:highlight w:val="none"/>
          <w:u w:val="single"/>
          <w:lang w:val="en-US" w:eastAsia="zh-CN"/>
        </w:rPr>
        <w:t>《建筑工程施工质量验收统一标准》(GB50300-2013)并且合格</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w:t>
      </w:r>
    </w:p>
    <w:p w14:paraId="549FF2FB">
      <w:pPr>
        <w:spacing w:before="154" w:line="279" w:lineRule="auto"/>
        <w:ind w:left="10" w:right="99"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5.2</w:t>
      </w:r>
      <w:r>
        <w:rPr>
          <w:rFonts w:hint="eastAsia" w:ascii="宋体" w:hAnsi="宋体" w:eastAsia="宋体" w:cs="宋体"/>
          <w:b/>
          <w:bCs/>
          <w:color w:val="auto"/>
          <w:spacing w:val="21"/>
          <w:w w:val="101"/>
          <w:sz w:val="24"/>
          <w:szCs w:val="24"/>
          <w:highlight w:val="none"/>
        </w:rPr>
        <w:t xml:space="preserve">  </w:t>
      </w:r>
      <w:r>
        <w:rPr>
          <w:rFonts w:hint="eastAsia" w:ascii="宋体" w:hAnsi="宋体" w:eastAsia="宋体" w:cs="宋体"/>
          <w:color w:val="auto"/>
          <w:spacing w:val="-3"/>
          <w:sz w:val="24"/>
          <w:szCs w:val="24"/>
          <w:highlight w:val="none"/>
        </w:rPr>
        <w:t>中标人在施工中如果工程质量不符合设计要求和有关规定，招标人或监理单</w:t>
      </w:r>
      <w:r>
        <w:rPr>
          <w:rFonts w:hint="eastAsia" w:ascii="宋体" w:hAnsi="宋体" w:eastAsia="宋体" w:cs="宋体"/>
          <w:color w:val="auto"/>
          <w:sz w:val="24"/>
          <w:szCs w:val="24"/>
          <w:highlight w:val="none"/>
        </w:rPr>
        <w:t>位要求停工和返工的必须立即执行，并承担由此产生的各</w:t>
      </w:r>
      <w:r>
        <w:rPr>
          <w:rFonts w:hint="eastAsia" w:ascii="宋体" w:hAnsi="宋体" w:eastAsia="宋体" w:cs="宋体"/>
          <w:color w:val="auto"/>
          <w:spacing w:val="-1"/>
          <w:sz w:val="24"/>
          <w:szCs w:val="24"/>
          <w:highlight w:val="none"/>
        </w:rPr>
        <w:t>种费用，工期不予顺延。</w:t>
      </w:r>
    </w:p>
    <w:p w14:paraId="1B48C34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6"/>
          <w:sz w:val="24"/>
          <w:szCs w:val="24"/>
          <w:highlight w:val="none"/>
        </w:rPr>
        <w:t xml:space="preserve">5.3  </w:t>
      </w:r>
      <w:r>
        <w:rPr>
          <w:rFonts w:hint="eastAsia" w:ascii="宋体" w:hAnsi="宋体" w:eastAsia="宋体" w:cs="宋体"/>
          <w:color w:val="auto"/>
          <w:spacing w:val="-6"/>
          <w:sz w:val="24"/>
          <w:szCs w:val="24"/>
          <w:highlight w:val="none"/>
        </w:rPr>
        <w:t>保修期限按《建设工程质量管理条例》（中华人民共和国国务院令第</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6"/>
          <w:sz w:val="24"/>
          <w:szCs w:val="24"/>
          <w:highlight w:val="none"/>
        </w:rPr>
        <w:t>279</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6"/>
          <w:sz w:val="24"/>
          <w:szCs w:val="24"/>
          <w:highlight w:val="none"/>
        </w:rPr>
        <w:t>号）</w:t>
      </w:r>
      <w:r>
        <w:rPr>
          <w:rFonts w:hint="eastAsia" w:ascii="宋体" w:hAnsi="宋体" w:eastAsia="宋体" w:cs="宋体"/>
          <w:color w:val="auto"/>
          <w:spacing w:val="-1"/>
          <w:sz w:val="24"/>
          <w:szCs w:val="24"/>
          <w:highlight w:val="none"/>
        </w:rPr>
        <w:t>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14:paraId="6F4EC01E">
      <w:pPr>
        <w:spacing w:before="152" w:line="309" w:lineRule="auto"/>
        <w:ind w:left="9" w:firstLine="568"/>
        <w:rPr>
          <w:rFonts w:hint="eastAsia" w:ascii="宋体" w:hAnsi="宋体" w:eastAsia="宋体" w:cs="宋体"/>
          <w:color w:val="auto"/>
          <w:spacing w:val="-6"/>
          <w:sz w:val="24"/>
          <w:szCs w:val="24"/>
          <w:highlight w:val="none"/>
        </w:rPr>
      </w:pPr>
      <w:r>
        <w:rPr>
          <w:rFonts w:hint="eastAsia" w:ascii="宋体" w:hAnsi="宋体" w:eastAsia="宋体" w:cs="宋体"/>
          <w:b/>
          <w:bCs/>
          <w:color w:val="auto"/>
          <w:spacing w:val="-1"/>
          <w:sz w:val="24"/>
          <w:szCs w:val="24"/>
          <w:highlight w:val="none"/>
        </w:rPr>
        <w:t>5.4</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6"/>
          <w:sz w:val="24"/>
          <w:szCs w:val="24"/>
          <w:highlight w:val="none"/>
          <w:lang w:val="en-US" w:eastAsia="zh-CN"/>
        </w:rPr>
        <w:t>根据韶关市人民政府《关于加快推进全市绿色建筑发展工作的通知》（韶府办明电〔2013〕277 号）有关规定，结合《韶关市住建管理局关于贯彻落实&lt;广东省绿色建筑条例&gt;有关工作的通知》（韶市建字〔2021〕85 号）等有关规定，</w:t>
      </w:r>
      <w:r>
        <w:rPr>
          <w:rFonts w:hint="eastAsia" w:ascii="宋体" w:hAnsi="宋体" w:eastAsia="宋体" w:cs="宋体"/>
          <w:color w:val="auto"/>
          <w:spacing w:val="-6"/>
          <w:sz w:val="24"/>
          <w:szCs w:val="24"/>
          <w:highlight w:val="none"/>
        </w:rPr>
        <w:t>本招标项目</w:t>
      </w:r>
      <w:r>
        <w:rPr>
          <w:rFonts w:hint="eastAsia" w:ascii="宋体" w:hAnsi="宋体" w:eastAsia="宋体" w:cs="宋体"/>
          <w:color w:val="auto"/>
          <w:spacing w:val="-6"/>
          <w:sz w:val="24"/>
          <w:szCs w:val="24"/>
          <w:highlight w:val="none"/>
          <w:lang w:val="en-US" w:eastAsia="zh-CN"/>
        </w:rPr>
        <w:t>不</w:t>
      </w:r>
      <w:r>
        <w:rPr>
          <w:rFonts w:hint="eastAsia" w:ascii="宋体" w:hAnsi="宋体" w:eastAsia="宋体" w:cs="宋体"/>
          <w:color w:val="auto"/>
          <w:spacing w:val="-6"/>
          <w:sz w:val="24"/>
          <w:szCs w:val="24"/>
          <w:highlight w:val="none"/>
        </w:rPr>
        <w:t>纳入绿色建设实施范围</w:t>
      </w:r>
      <w:r>
        <w:rPr>
          <w:rFonts w:hint="eastAsia" w:ascii="宋体" w:hAnsi="宋体" w:eastAsia="宋体" w:cs="宋体"/>
          <w:color w:val="auto"/>
          <w:spacing w:val="-6"/>
          <w:sz w:val="24"/>
          <w:szCs w:val="24"/>
          <w:highlight w:val="none"/>
          <w:lang w:eastAsia="zh-CN"/>
        </w:rPr>
        <w:t>。</w:t>
      </w:r>
    </w:p>
    <w:p w14:paraId="3EA8CECA">
      <w:pPr>
        <w:spacing w:before="152" w:line="309" w:lineRule="auto"/>
        <w:ind w:left="9" w:firstLine="568"/>
        <w:rPr>
          <w:rFonts w:hint="eastAsia" w:ascii="宋体" w:hAnsi="宋体" w:eastAsia="宋体" w:cs="宋体"/>
          <w:color w:val="auto"/>
          <w:spacing w:val="-1"/>
          <w:sz w:val="24"/>
          <w:szCs w:val="24"/>
          <w:highlight w:val="none"/>
          <w:lang w:val="en-US" w:eastAsia="zh-CN"/>
        </w:rPr>
      </w:pPr>
      <w:r>
        <w:rPr>
          <w:rFonts w:hint="eastAsia" w:ascii="宋体" w:hAnsi="宋体" w:eastAsia="宋体" w:cs="宋体"/>
          <w:b/>
          <w:bCs/>
          <w:color w:val="auto"/>
          <w:spacing w:val="-1"/>
          <w:sz w:val="24"/>
          <w:szCs w:val="24"/>
          <w:highlight w:val="none"/>
        </w:rPr>
        <w:t>5.5</w:t>
      </w:r>
      <w:r>
        <w:rPr>
          <w:rFonts w:hint="eastAsia" w:ascii="宋体" w:hAnsi="宋体" w:eastAsia="宋体" w:cs="宋体"/>
          <w:color w:val="auto"/>
          <w:spacing w:val="-1"/>
          <w:sz w:val="24"/>
          <w:szCs w:val="24"/>
          <w:highlight w:val="none"/>
        </w:rPr>
        <w:t xml:space="preserve">  其它：</w:t>
      </w:r>
      <w:r>
        <w:rPr>
          <w:rFonts w:hint="eastAsia" w:ascii="宋体" w:hAnsi="宋体" w:eastAsia="宋体" w:cs="宋体"/>
          <w:color w:val="auto"/>
          <w:spacing w:val="-1"/>
          <w:sz w:val="24"/>
          <w:szCs w:val="24"/>
          <w:highlight w:val="none"/>
          <w:lang w:eastAsia="zh-CN"/>
        </w:rPr>
        <w:t>本招标项目</w:t>
      </w:r>
      <w:r>
        <w:rPr>
          <w:rFonts w:hint="eastAsia" w:ascii="宋体" w:hAnsi="宋体" w:eastAsia="宋体" w:cs="宋体"/>
          <w:color w:val="auto"/>
          <w:spacing w:val="-1"/>
          <w:sz w:val="24"/>
          <w:szCs w:val="24"/>
          <w:highlight w:val="none"/>
          <w:lang w:val="en-US" w:eastAsia="zh-CN"/>
        </w:rPr>
        <w:t>不</w:t>
      </w:r>
      <w:r>
        <w:rPr>
          <w:rFonts w:hint="eastAsia" w:ascii="宋体" w:hAnsi="宋体" w:eastAsia="宋体" w:cs="宋体"/>
          <w:color w:val="auto"/>
          <w:spacing w:val="-1"/>
          <w:sz w:val="24"/>
          <w:szCs w:val="24"/>
          <w:highlight w:val="none"/>
          <w:lang w:eastAsia="zh-CN"/>
        </w:rPr>
        <w:t>纳入装配式建造建设实施范围。</w:t>
      </w:r>
    </w:p>
    <w:p w14:paraId="529B9570">
      <w:pPr>
        <w:spacing w:before="152" w:line="309" w:lineRule="auto"/>
        <w:ind w:left="9" w:firstLine="568"/>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5.6</w:t>
      </w:r>
      <w:r>
        <w:rPr>
          <w:rFonts w:hint="eastAsia" w:ascii="宋体" w:hAnsi="宋体" w:eastAsia="宋体" w:cs="宋体"/>
          <w:color w:val="auto"/>
          <w:spacing w:val="-1"/>
          <w:sz w:val="24"/>
          <w:szCs w:val="24"/>
          <w:highlight w:val="none"/>
        </w:rPr>
        <w:t xml:space="preserve">  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则中标人必须使用合格材料或设备。</w:t>
      </w:r>
    </w:p>
    <w:p w14:paraId="7DD80F84">
      <w:pPr>
        <w:spacing w:before="152" w:line="309" w:lineRule="auto"/>
        <w:ind w:left="9" w:firstLine="568"/>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w:t>
      </w:r>
      <w:r>
        <w:rPr>
          <w:rFonts w:hint="eastAsia" w:ascii="宋体" w:hAnsi="宋体" w:eastAsia="宋体" w:cs="宋体"/>
          <w:b/>
          <w:bCs/>
          <w:color w:val="auto"/>
          <w:spacing w:val="-1"/>
          <w:sz w:val="24"/>
          <w:szCs w:val="24"/>
          <w:highlight w:val="none"/>
          <w:lang w:eastAsia="zh-CN"/>
        </w:rPr>
        <w:t>7</w:t>
      </w:r>
      <w:r>
        <w:rPr>
          <w:rFonts w:hint="eastAsia" w:ascii="宋体" w:hAnsi="宋体" w:eastAsia="宋体" w:cs="宋体"/>
          <w:color w:val="auto"/>
          <w:spacing w:val="-1"/>
          <w:sz w:val="24"/>
          <w:szCs w:val="24"/>
          <w:highlight w:val="none"/>
        </w:rPr>
        <w:t xml:space="preserve"> 工程使用的主要材料质量要求：不低于强制标准、招标工程量清单所列的要求，主要材料必须先提供样板或相关资料给招标人和监理工程师验收，同意确定其规格、型号、颜色、等级等，并经发包人委托的第三方检测部门检测合格方可使用，所有材料必须使用合格产品。</w:t>
      </w:r>
    </w:p>
    <w:p w14:paraId="4A8A6FE1">
      <w:pPr>
        <w:spacing w:before="78" w:line="220" w:lineRule="auto"/>
        <w:ind w:left="489"/>
        <w:outlineLvl w:val="2"/>
        <w:rPr>
          <w:rFonts w:hint="eastAsia" w:ascii="宋体" w:hAnsi="宋体" w:eastAsia="宋体" w:cs="宋体"/>
          <w:color w:val="auto"/>
          <w:sz w:val="24"/>
          <w:szCs w:val="24"/>
          <w:highlight w:val="none"/>
        </w:rPr>
      </w:pPr>
      <w:bookmarkStart w:id="28" w:name="_Toc7763"/>
      <w:bookmarkStart w:id="29" w:name="_Toc21146"/>
      <w:r>
        <w:rPr>
          <w:rFonts w:hint="eastAsia" w:ascii="宋体" w:hAnsi="宋体" w:eastAsia="宋体" w:cs="宋体"/>
          <w:b/>
          <w:bCs/>
          <w:color w:val="auto"/>
          <w:spacing w:val="-6"/>
          <w:sz w:val="24"/>
          <w:szCs w:val="24"/>
          <w:highlight w:val="none"/>
        </w:rPr>
        <w:t>6</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b/>
          <w:bCs/>
          <w:color w:val="auto"/>
          <w:spacing w:val="-6"/>
          <w:sz w:val="24"/>
          <w:szCs w:val="24"/>
          <w:highlight w:val="none"/>
        </w:rPr>
        <w:t>．施工条件及现场踏勘</w:t>
      </w:r>
      <w:bookmarkEnd w:id="28"/>
      <w:bookmarkEnd w:id="29"/>
    </w:p>
    <w:p w14:paraId="4C828FEF">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6.1  </w:t>
      </w:r>
      <w:r>
        <w:rPr>
          <w:rFonts w:hint="eastAsia" w:ascii="宋体" w:hAnsi="宋体" w:eastAsia="宋体" w:cs="宋体"/>
          <w:color w:val="auto"/>
          <w:spacing w:val="-2"/>
          <w:sz w:val="24"/>
          <w:szCs w:val="24"/>
          <w:highlight w:val="none"/>
        </w:rPr>
        <w:t>招标人仅在本招标项目征地红线范围内提供场地，其他一切场地费用由中标人自行负责（含临时道路）。</w:t>
      </w:r>
    </w:p>
    <w:p w14:paraId="2BD082AA">
      <w:pPr>
        <w:spacing w:before="155" w:line="324" w:lineRule="auto"/>
        <w:ind w:left="12" w:right="99" w:firstLine="556"/>
        <w:rPr>
          <w:rFonts w:hint="eastAsia" w:ascii="宋体" w:hAnsi="宋体" w:eastAsia="宋体" w:cs="宋体"/>
          <w:color w:val="auto"/>
          <w:spacing w:val="-2"/>
          <w:sz w:val="24"/>
          <w:szCs w:val="24"/>
          <w:highlight w:val="none"/>
        </w:rPr>
      </w:pPr>
      <w:bookmarkStart w:id="30" w:name="bookmark118"/>
      <w:bookmarkEnd w:id="30"/>
      <w:r>
        <w:rPr>
          <w:rFonts w:hint="eastAsia" w:ascii="宋体" w:hAnsi="宋体" w:eastAsia="宋体" w:cs="宋体"/>
          <w:b/>
          <w:bCs/>
          <w:color w:val="auto"/>
          <w:spacing w:val="-2"/>
          <w:sz w:val="24"/>
          <w:szCs w:val="24"/>
          <w:highlight w:val="none"/>
        </w:rPr>
        <w:t>6.2</w:t>
      </w:r>
      <w:r>
        <w:rPr>
          <w:rFonts w:hint="eastAsia" w:ascii="宋体" w:hAnsi="宋体" w:eastAsia="宋体" w:cs="宋体"/>
          <w:color w:val="auto"/>
          <w:spacing w:val="-2"/>
          <w:sz w:val="24"/>
          <w:szCs w:val="24"/>
          <w:highlight w:val="none"/>
        </w:rPr>
        <w:t xml:space="preserve">  施工用水：</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C5809E9">
      <w:pPr>
        <w:spacing w:before="155" w:line="324" w:lineRule="auto"/>
        <w:ind w:left="12" w:right="99" w:firstLine="55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6.3</w:t>
      </w:r>
      <w:r>
        <w:rPr>
          <w:rFonts w:hint="eastAsia" w:ascii="宋体" w:hAnsi="宋体" w:eastAsia="宋体" w:cs="宋体"/>
          <w:color w:val="auto"/>
          <w:spacing w:val="-2"/>
          <w:sz w:val="24"/>
          <w:szCs w:val="24"/>
          <w:highlight w:val="none"/>
        </w:rPr>
        <w:t xml:space="preserve">  施工用电：</w:t>
      </w:r>
      <w:r>
        <w:rPr>
          <w:rFonts w:hint="eastAsia" w:ascii="宋体" w:hAnsi="宋体" w:eastAsia="宋体" w:cs="宋体"/>
          <w:color w:val="auto"/>
          <w:spacing w:val="-2"/>
          <w:sz w:val="24"/>
          <w:szCs w:val="24"/>
          <w:highlight w:val="none"/>
          <w:u w:val="single"/>
        </w:rPr>
        <w:t xml:space="preserve"> 由中标人自行解决，费用考虑在投标报价中</w:t>
      </w:r>
      <w:r>
        <w:rPr>
          <w:rFonts w:hint="eastAsia" w:ascii="宋体" w:hAnsi="宋体" w:eastAsia="宋体" w:cs="宋体"/>
          <w:color w:val="auto"/>
          <w:spacing w:val="-2"/>
          <w:sz w:val="24"/>
          <w:szCs w:val="24"/>
          <w:highlight w:val="none"/>
        </w:rPr>
        <w:t>。</w:t>
      </w:r>
    </w:p>
    <w:p w14:paraId="189BF34C">
      <w:pPr>
        <w:spacing w:before="154" w:line="29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招标人不组织现场踏勘，</w:t>
      </w:r>
      <w:r>
        <w:rPr>
          <w:rFonts w:hint="eastAsia" w:ascii="宋体" w:hAnsi="宋体" w:eastAsia="宋体" w:cs="宋体"/>
          <w:color w:val="auto"/>
          <w:sz w:val="24"/>
          <w:szCs w:val="24"/>
          <w:highlight w:val="none"/>
        </w:rPr>
        <w:t>投标人需要了解现场情况的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
          <w:sz w:val="24"/>
          <w:szCs w:val="24"/>
          <w:highlight w:val="none"/>
        </w:rPr>
        <w:t>可自行进行现场踏勘。</w:t>
      </w:r>
    </w:p>
    <w:p w14:paraId="29077E9E">
      <w:pPr>
        <w:spacing w:before="153" w:line="280"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6.</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在现场踏勘过程中，投标人应确保自身安全，投标人如果发生人身伤亡、财</w:t>
      </w:r>
      <w:r>
        <w:rPr>
          <w:rFonts w:hint="eastAsia" w:ascii="宋体" w:hAnsi="宋体" w:eastAsia="宋体" w:cs="宋体"/>
          <w:color w:val="auto"/>
          <w:spacing w:val="-1"/>
          <w:sz w:val="24"/>
          <w:szCs w:val="24"/>
          <w:highlight w:val="none"/>
        </w:rPr>
        <w:t>物或其他损失，法律法规有规定的按有关规定处理，没有规定</w:t>
      </w:r>
      <w:r>
        <w:rPr>
          <w:rFonts w:hint="eastAsia" w:ascii="宋体" w:hAnsi="宋体" w:eastAsia="宋体" w:cs="宋体"/>
          <w:color w:val="auto"/>
          <w:spacing w:val="-2"/>
          <w:sz w:val="24"/>
          <w:szCs w:val="24"/>
          <w:highlight w:val="none"/>
        </w:rPr>
        <w:t>的由投标人自行负责。</w:t>
      </w:r>
    </w:p>
    <w:p w14:paraId="1B002D65">
      <w:pPr>
        <w:spacing w:before="153" w:line="220" w:lineRule="auto"/>
        <w:ind w:left="568"/>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6.</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现场踏勘期间的交通、食宿由投标人</w:t>
      </w:r>
      <w:r>
        <w:rPr>
          <w:rFonts w:hint="eastAsia" w:ascii="宋体" w:hAnsi="宋体" w:eastAsia="宋体" w:cs="宋体"/>
          <w:color w:val="auto"/>
          <w:spacing w:val="-1"/>
          <w:sz w:val="24"/>
          <w:szCs w:val="24"/>
          <w:highlight w:val="none"/>
        </w:rPr>
        <w:t>自行安排，费用自理。</w:t>
      </w:r>
    </w:p>
    <w:p w14:paraId="35DD5CF7">
      <w:pPr>
        <w:spacing w:before="78" w:line="220" w:lineRule="auto"/>
        <w:ind w:left="488"/>
        <w:outlineLvl w:val="2"/>
        <w:rPr>
          <w:rFonts w:hint="eastAsia" w:ascii="宋体" w:hAnsi="宋体" w:eastAsia="宋体" w:cs="宋体"/>
          <w:color w:val="auto"/>
          <w:sz w:val="24"/>
          <w:szCs w:val="24"/>
          <w:highlight w:val="none"/>
        </w:rPr>
      </w:pPr>
      <w:bookmarkStart w:id="31" w:name="bookmark67"/>
      <w:bookmarkEnd w:id="31"/>
      <w:bookmarkStart w:id="32" w:name="bookmark69"/>
      <w:bookmarkEnd w:id="32"/>
      <w:bookmarkStart w:id="33" w:name="bookmark81"/>
      <w:bookmarkEnd w:id="33"/>
      <w:bookmarkStart w:id="34" w:name="_Toc15543"/>
      <w:bookmarkStart w:id="35" w:name="_Toc24768"/>
      <w:r>
        <w:rPr>
          <w:rFonts w:hint="eastAsia" w:ascii="宋体" w:hAnsi="宋体" w:eastAsia="宋体" w:cs="宋体"/>
          <w:b/>
          <w:bCs/>
          <w:color w:val="auto"/>
          <w:spacing w:val="-5"/>
          <w:sz w:val="24"/>
          <w:szCs w:val="24"/>
          <w:highlight w:val="none"/>
        </w:rPr>
        <w:t>7</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5"/>
          <w:sz w:val="24"/>
          <w:szCs w:val="24"/>
          <w:highlight w:val="none"/>
        </w:rPr>
        <w:t>．招标文件的提问和答疑</w:t>
      </w:r>
      <w:bookmarkEnd w:id="34"/>
      <w:bookmarkEnd w:id="35"/>
    </w:p>
    <w:p w14:paraId="318A4AA7">
      <w:pPr>
        <w:spacing w:before="153" w:line="299" w:lineRule="auto"/>
        <w:ind w:left="9" w:right="16" w:firstLine="478"/>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7.1  </w:t>
      </w:r>
      <w:r>
        <w:rPr>
          <w:rFonts w:hint="eastAsia" w:ascii="宋体" w:hAnsi="宋体" w:eastAsia="宋体" w:cs="宋体"/>
          <w:color w:val="auto"/>
          <w:sz w:val="24"/>
          <w:szCs w:val="24"/>
          <w:highlight w:val="none"/>
        </w:rPr>
        <w:t>投标人若对招标文件（含施工图、招标工程量清单）有疑问，应在提问截止</w:t>
      </w:r>
      <w:r>
        <w:rPr>
          <w:rFonts w:hint="eastAsia" w:ascii="宋体" w:hAnsi="宋体" w:eastAsia="宋体" w:cs="宋体"/>
          <w:color w:val="auto"/>
          <w:spacing w:val="-2"/>
          <w:sz w:val="24"/>
          <w:szCs w:val="24"/>
          <w:highlight w:val="none"/>
        </w:rPr>
        <w:t>时间（见本章第二节“重要事项时间地点一览表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”）前使用建设工程交易</w:t>
      </w:r>
      <w:r>
        <w:rPr>
          <w:rFonts w:hint="eastAsia" w:ascii="宋体" w:hAnsi="宋体" w:eastAsia="宋体" w:cs="宋体"/>
          <w:color w:val="auto"/>
          <w:spacing w:val="-3"/>
          <w:sz w:val="24"/>
          <w:szCs w:val="24"/>
          <w:highlight w:val="none"/>
        </w:rPr>
        <w:t>系统提出问</w:t>
      </w:r>
      <w:r>
        <w:rPr>
          <w:rFonts w:hint="eastAsia" w:ascii="宋体" w:hAnsi="宋体" w:eastAsia="宋体" w:cs="宋体"/>
          <w:color w:val="auto"/>
          <w:spacing w:val="-1"/>
          <w:sz w:val="24"/>
          <w:szCs w:val="24"/>
          <w:highlight w:val="none"/>
        </w:rPr>
        <w:t>题。未在指定时间前、未采用指定方式提出的，招标人不予受理。</w:t>
      </w:r>
    </w:p>
    <w:p w14:paraId="0C4E75E3">
      <w:pPr>
        <w:spacing w:before="154" w:line="309" w:lineRule="auto"/>
        <w:ind w:left="9" w:right="16"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7.2  </w:t>
      </w:r>
      <w:r>
        <w:rPr>
          <w:rFonts w:hint="eastAsia" w:ascii="宋体" w:hAnsi="宋体" w:eastAsia="宋体" w:cs="宋体"/>
          <w:color w:val="auto"/>
          <w:spacing w:val="-1"/>
          <w:sz w:val="24"/>
          <w:szCs w:val="24"/>
          <w:highlight w:val="none"/>
        </w:rPr>
        <w:t>招标人在提问截止时间（见本章第二节“重要</w:t>
      </w:r>
      <w:r>
        <w:rPr>
          <w:rFonts w:hint="eastAsia" w:ascii="宋体" w:hAnsi="宋体" w:eastAsia="宋体" w:cs="宋体"/>
          <w:color w:val="auto"/>
          <w:spacing w:val="-2"/>
          <w:sz w:val="24"/>
          <w:szCs w:val="24"/>
          <w:highlight w:val="none"/>
        </w:rPr>
        <w:t>事项时间地点一览表</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2"/>
          <w:sz w:val="24"/>
          <w:szCs w:val="24"/>
          <w:highlight w:val="none"/>
        </w:rPr>
        <w:t>”）后</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日内，一次性对收到的所有问题作出答复，并形成答疑（或修</w:t>
      </w:r>
      <w:r>
        <w:rPr>
          <w:rFonts w:hint="eastAsia" w:ascii="宋体" w:hAnsi="宋体" w:eastAsia="宋体" w:cs="宋体"/>
          <w:color w:val="auto"/>
          <w:spacing w:val="-2"/>
          <w:sz w:val="24"/>
          <w:szCs w:val="24"/>
          <w:highlight w:val="none"/>
        </w:rPr>
        <w:t>改）公告在发布招标公</w:t>
      </w:r>
      <w:r>
        <w:rPr>
          <w:rFonts w:hint="eastAsia" w:ascii="宋体" w:hAnsi="宋体" w:eastAsia="宋体" w:cs="宋体"/>
          <w:color w:val="auto"/>
          <w:spacing w:val="-1"/>
          <w:sz w:val="24"/>
          <w:szCs w:val="24"/>
          <w:highlight w:val="none"/>
        </w:rPr>
        <w:t>告的媒介上公开发布。答疑（或修改）公告一旦发布，即视所</w:t>
      </w:r>
      <w:r>
        <w:rPr>
          <w:rFonts w:hint="eastAsia" w:ascii="宋体" w:hAnsi="宋体" w:eastAsia="宋体" w:cs="宋体"/>
          <w:color w:val="auto"/>
          <w:spacing w:val="-2"/>
          <w:sz w:val="24"/>
          <w:szCs w:val="24"/>
          <w:highlight w:val="none"/>
        </w:rPr>
        <w:t>有潜在投标人已经知悉</w:t>
      </w:r>
      <w:r>
        <w:rPr>
          <w:rFonts w:hint="eastAsia" w:ascii="宋体" w:hAnsi="宋体" w:eastAsia="宋体" w:cs="宋体"/>
          <w:color w:val="auto"/>
          <w:spacing w:val="-1"/>
          <w:sz w:val="24"/>
          <w:szCs w:val="24"/>
          <w:highlight w:val="none"/>
        </w:rPr>
        <w:t>答疑（或修改）内容，投标人未及时关注而造成的损失和后果</w:t>
      </w:r>
      <w:r>
        <w:rPr>
          <w:rFonts w:hint="eastAsia" w:ascii="宋体" w:hAnsi="宋体" w:eastAsia="宋体" w:cs="宋体"/>
          <w:color w:val="auto"/>
          <w:spacing w:val="-2"/>
          <w:sz w:val="24"/>
          <w:szCs w:val="24"/>
          <w:highlight w:val="none"/>
        </w:rPr>
        <w:t>，由投标人自行承担。</w:t>
      </w:r>
    </w:p>
    <w:p w14:paraId="3207CA6F">
      <w:pPr>
        <w:spacing w:before="152" w:line="219" w:lineRule="auto"/>
        <w:ind w:firstLine="478" w:firstLineChars="200"/>
        <w:jc w:val="both"/>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7.3  </w:t>
      </w:r>
      <w:r>
        <w:rPr>
          <w:rFonts w:hint="eastAsia" w:ascii="宋体" w:hAnsi="宋体" w:eastAsia="宋体" w:cs="宋体"/>
          <w:color w:val="auto"/>
          <w:spacing w:val="-1"/>
          <w:sz w:val="24"/>
          <w:szCs w:val="24"/>
          <w:highlight w:val="none"/>
        </w:rPr>
        <w:t>招标人对招标文件所作的答疑（或修改）公告，构成</w:t>
      </w:r>
      <w:r>
        <w:rPr>
          <w:rFonts w:hint="eastAsia" w:ascii="宋体" w:hAnsi="宋体" w:eastAsia="宋体" w:cs="宋体"/>
          <w:color w:val="auto"/>
          <w:spacing w:val="-2"/>
          <w:sz w:val="24"/>
          <w:szCs w:val="24"/>
          <w:highlight w:val="none"/>
        </w:rPr>
        <w:t>招标文件的组成部分。</w:t>
      </w:r>
    </w:p>
    <w:p w14:paraId="1728F14D">
      <w:pPr>
        <w:spacing w:before="79" w:line="219" w:lineRule="auto"/>
        <w:ind w:left="488"/>
        <w:outlineLvl w:val="2"/>
        <w:rPr>
          <w:rFonts w:hint="eastAsia" w:ascii="宋体" w:hAnsi="宋体" w:eastAsia="宋体" w:cs="宋体"/>
          <w:color w:val="auto"/>
          <w:sz w:val="24"/>
          <w:szCs w:val="24"/>
          <w:highlight w:val="none"/>
          <w:lang w:eastAsia="zh-CN"/>
        </w:rPr>
      </w:pPr>
      <w:bookmarkStart w:id="36" w:name="_Toc6897"/>
      <w:bookmarkStart w:id="37" w:name="_Toc20958"/>
      <w:r>
        <w:rPr>
          <w:rFonts w:hint="eastAsia" w:ascii="宋体" w:hAnsi="宋体" w:eastAsia="宋体" w:cs="宋体"/>
          <w:b/>
          <w:bCs/>
          <w:color w:val="auto"/>
          <w:spacing w:val="-5"/>
          <w:sz w:val="24"/>
          <w:szCs w:val="24"/>
          <w:highlight w:val="none"/>
        </w:rPr>
        <w:t>8</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5"/>
          <w:sz w:val="24"/>
          <w:szCs w:val="24"/>
          <w:highlight w:val="none"/>
        </w:rPr>
        <w:t>．</w:t>
      </w:r>
      <w:r>
        <w:rPr>
          <w:rFonts w:hint="eastAsia" w:ascii="宋体" w:hAnsi="宋体" w:eastAsia="宋体" w:cs="宋体"/>
          <w:b/>
          <w:bCs/>
          <w:color w:val="auto"/>
          <w:spacing w:val="-1"/>
          <w:sz w:val="24"/>
          <w:szCs w:val="24"/>
          <w:highlight w:val="none"/>
          <w:lang w:eastAsia="zh-CN"/>
        </w:rPr>
        <w:t>最高投标限价</w:t>
      </w:r>
      <w:bookmarkEnd w:id="36"/>
      <w:bookmarkEnd w:id="37"/>
    </w:p>
    <w:p w14:paraId="483B6E50">
      <w:pPr>
        <w:spacing w:before="155"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8.1  </w:t>
      </w:r>
      <w:r>
        <w:rPr>
          <w:rFonts w:hint="eastAsia" w:ascii="宋体" w:hAnsi="宋体" w:eastAsia="宋体" w:cs="宋体"/>
          <w:color w:val="auto"/>
          <w:spacing w:val="-1"/>
          <w:sz w:val="24"/>
          <w:szCs w:val="24"/>
          <w:highlight w:val="none"/>
        </w:rPr>
        <w:t>本招标项目按照以下依据编制</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w:t>
      </w:r>
    </w:p>
    <w:p w14:paraId="50AB2042">
      <w:pPr>
        <w:keepNext w:val="0"/>
        <w:keepLines w:val="0"/>
        <w:pageBreakBefore w:val="0"/>
        <w:widowControl/>
        <w:kinsoku w:val="0"/>
        <w:wordWrap/>
        <w:overflowPunct/>
        <w:topLinePunct w:val="0"/>
        <w:autoSpaceDE w:val="0"/>
        <w:autoSpaceDN w:val="0"/>
        <w:bidi w:val="0"/>
        <w:adjustRightInd w:val="0"/>
        <w:snapToGrid w:val="0"/>
        <w:spacing w:before="157" w:line="360" w:lineRule="auto"/>
        <w:ind w:left="50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》（GB/T 50500-2024）；</w:t>
      </w:r>
    </w:p>
    <w:p w14:paraId="55BAFE0B">
      <w:pPr>
        <w:keepNext w:val="0"/>
        <w:keepLines w:val="0"/>
        <w:pageBreakBefore w:val="0"/>
        <w:widowControl/>
        <w:kinsoku w:val="0"/>
        <w:wordWrap/>
        <w:overflowPunct/>
        <w:topLinePunct w:val="0"/>
        <w:autoSpaceDE w:val="0"/>
        <w:autoSpaceDN w:val="0"/>
        <w:bidi w:val="0"/>
        <w:adjustRightInd w:val="0"/>
        <w:snapToGrid w:val="0"/>
        <w:spacing w:line="360" w:lineRule="auto"/>
        <w:ind w:left="11" w:right="17"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071273A5">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（3）施工图及相关资料；</w:t>
      </w:r>
    </w:p>
    <w:p w14:paraId="3F87E4AE">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bookmarkStart w:id="38" w:name="bookmark119"/>
      <w:bookmarkEnd w:id="38"/>
      <w:r>
        <w:rPr>
          <w:rFonts w:hint="eastAsia" w:ascii="宋体" w:hAnsi="宋体" w:eastAsia="宋体" w:cs="宋体"/>
          <w:color w:val="auto"/>
          <w:spacing w:val="-2"/>
          <w:sz w:val="24"/>
          <w:szCs w:val="24"/>
          <w:highlight w:val="none"/>
        </w:rPr>
        <w:t>（4）招标文件及招标工程量清单；</w:t>
      </w:r>
    </w:p>
    <w:p w14:paraId="50D8453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（5）施工现场情况、工程特点及常规施工方案；</w:t>
      </w:r>
    </w:p>
    <w:p w14:paraId="7B3A9415">
      <w:pPr>
        <w:keepNext w:val="0"/>
        <w:keepLines w:val="0"/>
        <w:pageBreakBefore w:val="0"/>
        <w:widowControl/>
        <w:kinsoku w:val="0"/>
        <w:wordWrap/>
        <w:overflowPunct/>
        <w:topLinePunct w:val="0"/>
        <w:autoSpaceDE w:val="0"/>
        <w:autoSpaceDN w:val="0"/>
        <w:bidi w:val="0"/>
        <w:adjustRightInd w:val="0"/>
        <w:snapToGrid w:val="0"/>
        <w:spacing w:line="360" w:lineRule="auto"/>
        <w:ind w:left="12" w:right="136" w:firstLine="48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（6）项目所在地工程造价管理机构发布的工程造价信息，工程造</w:t>
      </w:r>
      <w:r>
        <w:rPr>
          <w:rFonts w:hint="eastAsia" w:ascii="宋体" w:hAnsi="宋体" w:eastAsia="宋体" w:cs="宋体"/>
          <w:color w:val="auto"/>
          <w:spacing w:val="-4"/>
          <w:sz w:val="24"/>
          <w:szCs w:val="24"/>
          <w:highlight w:val="none"/>
        </w:rPr>
        <w:t>价信息缺项的，</w:t>
      </w:r>
      <w:r>
        <w:rPr>
          <w:rFonts w:hint="eastAsia" w:ascii="宋体" w:hAnsi="宋体" w:eastAsia="宋体" w:cs="宋体"/>
          <w:color w:val="auto"/>
          <w:spacing w:val="-2"/>
          <w:sz w:val="24"/>
          <w:szCs w:val="24"/>
          <w:highlight w:val="none"/>
        </w:rPr>
        <w:t>参照市场价格；</w:t>
      </w:r>
    </w:p>
    <w:p w14:paraId="7F6D825D">
      <w:pPr>
        <w:keepNext w:val="0"/>
        <w:keepLines w:val="0"/>
        <w:pageBreakBefore w:val="0"/>
        <w:widowControl/>
        <w:kinsoku w:val="0"/>
        <w:wordWrap/>
        <w:overflowPunct/>
        <w:topLinePunct w:val="0"/>
        <w:autoSpaceDE w:val="0"/>
        <w:autoSpaceDN w:val="0"/>
        <w:bidi w:val="0"/>
        <w:adjustRightInd w:val="0"/>
        <w:snapToGrid w:val="0"/>
        <w:spacing w:line="360" w:lineRule="auto"/>
        <w:ind w:left="50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（7）与建设项目相关的标准、规范、技术资料。</w:t>
      </w:r>
    </w:p>
    <w:p w14:paraId="74CD6E43">
      <w:pPr>
        <w:spacing w:before="79" w:line="333" w:lineRule="auto"/>
        <w:ind w:firstLine="482" w:firstLineChars="200"/>
        <w:jc w:val="both"/>
        <w:rPr>
          <w:rFonts w:hint="eastAsia" w:asciiTheme="minorEastAsia" w:hAnsiTheme="minorEastAsia" w:eastAsiaTheme="minorEastAsia" w:cstheme="minorEastAsia"/>
          <w:snapToGrid w:val="0"/>
          <w:color w:val="auto"/>
          <w:kern w:val="0"/>
          <w:sz w:val="24"/>
          <w:szCs w:val="24"/>
          <w:highlight w:val="none"/>
          <w:lang w:val="en-US" w:eastAsia="zh-CN"/>
        </w:rPr>
      </w:pPr>
      <w:r>
        <w:rPr>
          <w:rFonts w:hint="eastAsia" w:ascii="宋体" w:hAnsi="宋体" w:eastAsia="宋体" w:cs="宋体"/>
          <w:b/>
          <w:bCs/>
          <w:color w:val="auto"/>
          <w:sz w:val="24"/>
          <w:szCs w:val="24"/>
          <w:highlight w:val="none"/>
        </w:rPr>
        <w:t>8.2</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本招标项目最高投标限价、施工图纸、工程量清单在开标前15天另行发布于全国公共资源交易平台（广东省·韶关市）（https://ygp.gdzwfw.gov.cn/ggzy-portal/#/440200/index）、广东省招标投标监管网（http://zbtb.gd.gov.cn）网站。</w:t>
      </w:r>
    </w:p>
    <w:p w14:paraId="37A2572C">
      <w:pPr>
        <w:spacing w:before="79" w:line="333" w:lineRule="auto"/>
        <w:ind w:firstLine="482"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3</w:t>
      </w:r>
      <w:r>
        <w:rPr>
          <w:rFonts w:hint="eastAsia" w:ascii="宋体" w:hAnsi="宋体" w:eastAsia="宋体" w:cs="宋体"/>
          <w:color w:val="auto"/>
          <w:sz w:val="24"/>
          <w:szCs w:val="24"/>
          <w:highlight w:val="none"/>
        </w:rPr>
        <w:t>暂估价指招标工程量清单中提供的用于支付必然发生但暂时不能确定价格的</w:t>
      </w:r>
      <w:r>
        <w:rPr>
          <w:rFonts w:hint="eastAsia" w:ascii="宋体" w:hAnsi="宋体" w:eastAsia="宋体" w:cs="宋体"/>
          <w:color w:val="auto"/>
          <w:spacing w:val="-1"/>
          <w:sz w:val="24"/>
          <w:szCs w:val="24"/>
          <w:highlight w:val="none"/>
        </w:rPr>
        <w:t>材料、工程设备的单价以及专业工程的金额；暂列金额指招标</w:t>
      </w:r>
      <w:r>
        <w:rPr>
          <w:rFonts w:hint="eastAsia" w:ascii="宋体" w:hAnsi="宋体" w:eastAsia="宋体" w:cs="宋体"/>
          <w:color w:val="auto"/>
          <w:spacing w:val="-2"/>
          <w:sz w:val="24"/>
          <w:szCs w:val="24"/>
          <w:highlight w:val="none"/>
        </w:rPr>
        <w:t>工程量清单中暂定并包括在合同价款中的一笔款项，用于工程合同签订时尚未确定或</w:t>
      </w:r>
      <w:r>
        <w:rPr>
          <w:rFonts w:hint="eastAsia" w:ascii="宋体" w:hAnsi="宋体" w:eastAsia="宋体" w:cs="宋体"/>
          <w:color w:val="auto"/>
          <w:spacing w:val="-3"/>
          <w:sz w:val="24"/>
          <w:szCs w:val="24"/>
          <w:highlight w:val="none"/>
        </w:rPr>
        <w:t>者不可预见的所需材料、</w:t>
      </w:r>
      <w:r>
        <w:rPr>
          <w:rFonts w:hint="eastAsia" w:ascii="宋体" w:hAnsi="宋体" w:eastAsia="宋体" w:cs="宋体"/>
          <w:color w:val="auto"/>
          <w:spacing w:val="-1"/>
          <w:sz w:val="24"/>
          <w:szCs w:val="24"/>
          <w:highlight w:val="none"/>
        </w:rPr>
        <w:t>工程设备、服务的采购，施工中可能发生的工程变更、合同约</w:t>
      </w:r>
      <w:r>
        <w:rPr>
          <w:rFonts w:hint="eastAsia" w:ascii="宋体" w:hAnsi="宋体" w:eastAsia="宋体" w:cs="宋体"/>
          <w:color w:val="auto"/>
          <w:spacing w:val="-2"/>
          <w:sz w:val="24"/>
          <w:szCs w:val="24"/>
          <w:highlight w:val="none"/>
        </w:rPr>
        <w:t>定调整因素出现时的合</w:t>
      </w:r>
      <w:r>
        <w:rPr>
          <w:rFonts w:hint="eastAsia" w:ascii="宋体" w:hAnsi="宋体" w:eastAsia="宋体" w:cs="宋体"/>
          <w:color w:val="auto"/>
          <w:spacing w:val="-1"/>
          <w:sz w:val="24"/>
          <w:szCs w:val="24"/>
          <w:highlight w:val="none"/>
        </w:rPr>
        <w:t>同价款调整以及发生的索赔、现场签证确认等的费用。</w:t>
      </w:r>
    </w:p>
    <w:p w14:paraId="1F29C3EF">
      <w:pPr>
        <w:spacing w:before="36" w:line="278" w:lineRule="auto"/>
        <w:ind w:left="10" w:right="200" w:firstLine="48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本招标项目以暂估价形式列入招标工程量清单中的材料、工程设备、专业工</w:t>
      </w:r>
      <w:r>
        <w:rPr>
          <w:rFonts w:hint="eastAsia" w:ascii="宋体" w:hAnsi="宋体" w:eastAsia="宋体" w:cs="宋体"/>
          <w:color w:val="auto"/>
          <w:spacing w:val="-2"/>
          <w:sz w:val="24"/>
          <w:szCs w:val="24"/>
          <w:highlight w:val="none"/>
        </w:rPr>
        <w:t>程（以下统称“暂估价项目</w:t>
      </w:r>
      <w:r>
        <w:rPr>
          <w:rFonts w:hint="eastAsia" w:ascii="宋体" w:hAnsi="宋体" w:eastAsia="宋体" w:cs="宋体"/>
          <w:color w:val="auto"/>
          <w:spacing w:val="-80"/>
          <w:sz w:val="24"/>
          <w:szCs w:val="24"/>
          <w:highlight w:val="none"/>
        </w:rPr>
        <w:t xml:space="preserve"> </w:t>
      </w:r>
      <w:r>
        <w:rPr>
          <w:rFonts w:hint="eastAsia" w:ascii="宋体" w:hAnsi="宋体" w:eastAsia="宋体" w:cs="宋体"/>
          <w:color w:val="auto"/>
          <w:spacing w:val="-2"/>
          <w:sz w:val="24"/>
          <w:szCs w:val="24"/>
          <w:highlight w:val="none"/>
        </w:rPr>
        <w:t>”）包括：</w:t>
      </w:r>
      <w:r>
        <w:rPr>
          <w:rFonts w:hint="eastAsia" w:ascii="宋体" w:hAnsi="宋体" w:eastAsia="宋体" w:cs="宋体"/>
          <w:color w:val="auto"/>
          <w:sz w:val="24"/>
          <w:szCs w:val="24"/>
          <w:highlight w:val="none"/>
          <w:u w:val="single"/>
        </w:rPr>
        <w:t>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14:paraId="12FE5072">
      <w:pPr>
        <w:spacing w:before="154" w:line="280" w:lineRule="auto"/>
        <w:ind w:left="12" w:right="200" w:firstLine="47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当暂估价项目的内容、标准、要求在项目实施过程中得以深化、明确、固定</w:t>
      </w:r>
      <w:r>
        <w:rPr>
          <w:rFonts w:hint="eastAsia" w:ascii="宋体" w:hAnsi="宋体" w:eastAsia="宋体" w:cs="宋体"/>
          <w:color w:val="auto"/>
          <w:spacing w:val="-2"/>
          <w:sz w:val="24"/>
          <w:szCs w:val="24"/>
          <w:highlight w:val="none"/>
        </w:rPr>
        <w:t>后，按以下原则发包：</w:t>
      </w:r>
    </w:p>
    <w:p w14:paraId="0DB4AC8D">
      <w:pPr>
        <w:spacing w:before="153" w:line="219" w:lineRule="auto"/>
        <w:ind w:left="-3" w:leftChars="0"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（1）暂估价项目按工程、货物（指材料或工程设备，下同）的类别分类汇总的金额，达到必须</w:t>
      </w:r>
      <w:r>
        <w:rPr>
          <w:rFonts w:hint="eastAsia" w:ascii="宋体" w:hAnsi="宋体" w:eastAsia="宋体" w:cs="宋体"/>
          <w:color w:val="auto"/>
          <w:spacing w:val="-3"/>
          <w:sz w:val="24"/>
          <w:szCs w:val="24"/>
          <w:highlight w:val="none"/>
        </w:rPr>
        <w:t>招标规模标准的，由</w:t>
      </w:r>
      <w:r>
        <w:rPr>
          <w:rFonts w:hint="eastAsia" w:ascii="宋体" w:hAnsi="宋体" w:eastAsia="宋体" w:cs="宋体"/>
          <w:b/>
          <w:bCs/>
          <w:color w:val="auto"/>
          <w:spacing w:val="21"/>
          <w:sz w:val="24"/>
          <w:szCs w:val="24"/>
          <w:highlight w:val="none"/>
          <w:u w:val="single"/>
        </w:rPr>
        <w:t xml:space="preserve"> </w:t>
      </w:r>
      <w:r>
        <w:rPr>
          <w:rFonts w:hint="eastAsia" w:ascii="宋体" w:hAnsi="宋体" w:eastAsia="宋体" w:cs="宋体"/>
          <w:bCs/>
          <w:color w:val="auto"/>
          <w:spacing w:val="-1"/>
          <w:sz w:val="24"/>
          <w:szCs w:val="24"/>
          <w:highlight w:val="none"/>
          <w:u w:val="single"/>
        </w:rPr>
        <w:t xml:space="preserve">中标人招标，招标人参与管理 </w:t>
      </w:r>
      <w:r>
        <w:rPr>
          <w:rFonts w:hint="eastAsia" w:ascii="宋体" w:hAnsi="宋体" w:eastAsia="宋体" w:cs="宋体"/>
          <w:bCs/>
          <w:color w:val="auto"/>
          <w:spacing w:val="-1"/>
          <w:sz w:val="24"/>
          <w:szCs w:val="24"/>
          <w:highlight w:val="none"/>
        </w:rPr>
        <w:t>，</w:t>
      </w:r>
      <w:r>
        <w:rPr>
          <w:rFonts w:hint="eastAsia" w:ascii="宋体" w:hAnsi="宋体" w:eastAsia="宋体" w:cs="宋体"/>
          <w:color w:val="auto"/>
          <w:spacing w:val="-1"/>
          <w:sz w:val="24"/>
          <w:szCs w:val="24"/>
          <w:highlight w:val="none"/>
        </w:rPr>
        <w:t>确定专业工程承包人（或材料、工程</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设备供应商）和合同价格。</w:t>
      </w:r>
    </w:p>
    <w:p w14:paraId="5F60C25D">
      <w:pPr>
        <w:spacing w:before="30"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准但适用政府采购规定的，按照政府采购规定确定专业工</w:t>
      </w:r>
      <w:r>
        <w:rPr>
          <w:rFonts w:hint="eastAsia" w:ascii="宋体" w:hAnsi="宋体" w:eastAsia="宋体" w:cs="宋体"/>
          <w:color w:val="auto"/>
          <w:spacing w:val="-2"/>
          <w:sz w:val="24"/>
          <w:szCs w:val="24"/>
          <w:highlight w:val="none"/>
        </w:rPr>
        <w:t>程承包人（或材料、工程设备供应商）和合同价格。</w:t>
      </w:r>
    </w:p>
    <w:p w14:paraId="02BF48BB">
      <w:pPr>
        <w:spacing w:before="154" w:line="30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准也不适用政府采购规定，中标人具备相应资格条件的，</w:t>
      </w:r>
      <w:r>
        <w:rPr>
          <w:rFonts w:hint="eastAsia" w:ascii="宋体" w:hAnsi="宋体" w:eastAsia="宋体" w:cs="宋体"/>
          <w:color w:val="auto"/>
          <w:spacing w:val="-2"/>
          <w:sz w:val="24"/>
          <w:szCs w:val="24"/>
          <w:highlight w:val="none"/>
        </w:rPr>
        <w:t>由中标人承包；中标人不具</w:t>
      </w:r>
      <w:r>
        <w:rPr>
          <w:rFonts w:hint="eastAsia" w:ascii="宋体" w:hAnsi="宋体" w:eastAsia="宋体" w:cs="宋体"/>
          <w:color w:val="auto"/>
          <w:spacing w:val="-1"/>
          <w:sz w:val="24"/>
          <w:szCs w:val="24"/>
          <w:highlight w:val="none"/>
        </w:rPr>
        <w:t>备相应资格条件但具备分包权的，由中标人分包，招标人</w:t>
      </w:r>
      <w:r>
        <w:rPr>
          <w:rFonts w:hint="eastAsia" w:ascii="宋体" w:hAnsi="宋体" w:eastAsia="宋体" w:cs="宋体"/>
          <w:color w:val="auto"/>
          <w:spacing w:val="-2"/>
          <w:sz w:val="24"/>
          <w:szCs w:val="24"/>
          <w:highlight w:val="none"/>
        </w:rPr>
        <w:t>同中标人结算原则按本招标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文件相关条款执行。</w:t>
      </w:r>
    </w:p>
    <w:p w14:paraId="3698C443">
      <w:pPr>
        <w:spacing w:before="154" w:line="299" w:lineRule="auto"/>
        <w:ind w:left="11" w:right="65"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（4）暂估价项目按工程、货物的类别分类汇总的金额，未</w:t>
      </w:r>
      <w:r>
        <w:rPr>
          <w:rFonts w:hint="eastAsia" w:ascii="宋体" w:hAnsi="宋体" w:eastAsia="宋体" w:cs="宋体"/>
          <w:color w:val="auto"/>
          <w:spacing w:val="1"/>
          <w:sz w:val="24"/>
          <w:szCs w:val="24"/>
          <w:highlight w:val="none"/>
        </w:rPr>
        <w:t>达到必须招标规模标</w:t>
      </w:r>
      <w:r>
        <w:rPr>
          <w:rFonts w:hint="eastAsia" w:ascii="宋体" w:hAnsi="宋体" w:eastAsia="宋体" w:cs="宋体"/>
          <w:color w:val="auto"/>
          <w:spacing w:val="-1"/>
          <w:sz w:val="24"/>
          <w:szCs w:val="24"/>
          <w:highlight w:val="none"/>
        </w:rPr>
        <w:t>准也不适用政府采购规定，中标人既不具备相应资格条件</w:t>
      </w:r>
      <w:r>
        <w:rPr>
          <w:rFonts w:hint="eastAsia" w:ascii="宋体" w:hAnsi="宋体" w:eastAsia="宋体" w:cs="宋体"/>
          <w:color w:val="auto"/>
          <w:spacing w:val="-2"/>
          <w:sz w:val="24"/>
          <w:szCs w:val="24"/>
          <w:highlight w:val="none"/>
        </w:rPr>
        <w:t>又不具备分包权的，由招标人另行发包。</w:t>
      </w:r>
    </w:p>
    <w:p w14:paraId="475FBF4C">
      <w:pPr>
        <w:spacing w:before="155" w:line="279" w:lineRule="auto"/>
        <w:ind w:left="9" w:right="66"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（5）暂估价项目由其他承包人承包的，纳入中标人的管理</w:t>
      </w:r>
      <w:r>
        <w:rPr>
          <w:rFonts w:hint="eastAsia" w:ascii="宋体" w:hAnsi="宋体" w:eastAsia="宋体" w:cs="宋体"/>
          <w:color w:val="auto"/>
          <w:spacing w:val="1"/>
          <w:sz w:val="24"/>
          <w:szCs w:val="24"/>
          <w:highlight w:val="none"/>
        </w:rPr>
        <w:t>和协调范围，由其他</w:t>
      </w:r>
      <w:r>
        <w:rPr>
          <w:rFonts w:hint="eastAsia" w:ascii="宋体" w:hAnsi="宋体" w:eastAsia="宋体" w:cs="宋体"/>
          <w:color w:val="auto"/>
          <w:spacing w:val="-1"/>
          <w:sz w:val="24"/>
          <w:szCs w:val="24"/>
          <w:highlight w:val="none"/>
        </w:rPr>
        <w:t>承包人向中标人承担质量、安全、文明施工、工期责任，中标</w:t>
      </w:r>
      <w:r>
        <w:rPr>
          <w:rFonts w:hint="eastAsia" w:ascii="宋体" w:hAnsi="宋体" w:eastAsia="宋体" w:cs="宋体"/>
          <w:color w:val="auto"/>
          <w:spacing w:val="-2"/>
          <w:sz w:val="24"/>
          <w:szCs w:val="24"/>
          <w:highlight w:val="none"/>
        </w:rPr>
        <w:t>人向招标人承担责任。</w:t>
      </w:r>
    </w:p>
    <w:p w14:paraId="34DBC168">
      <w:pPr>
        <w:spacing w:before="155" w:line="333" w:lineRule="auto"/>
        <w:ind w:left="10" w:right="65" w:firstLine="478"/>
        <w:jc w:val="both"/>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8</w:t>
      </w:r>
      <w:r>
        <w:rPr>
          <w:rFonts w:hint="eastAsia" w:ascii="宋体" w:hAnsi="宋体" w:eastAsia="宋体" w:cs="宋体"/>
          <w:b/>
          <w:bCs/>
          <w:color w:val="auto"/>
          <w:sz w:val="24"/>
          <w:szCs w:val="24"/>
          <w:highlight w:val="none"/>
          <w:lang w:val="en-US" w:eastAsia="zh-CN"/>
        </w:rPr>
        <w:t>.6</w:t>
      </w:r>
      <w:r>
        <w:rPr>
          <w:rFonts w:hint="eastAsia" w:ascii="宋体" w:hAnsi="宋体" w:eastAsia="宋体" w:cs="宋体"/>
          <w:b/>
          <w:bCs/>
          <w:color w:val="auto"/>
          <w:sz w:val="24"/>
          <w:szCs w:val="24"/>
          <w:highlight w:val="none"/>
        </w:rPr>
        <w:t xml:space="preserve"> </w:t>
      </w:r>
      <w:r>
        <w:rPr>
          <w:rFonts w:hint="eastAsia" w:ascii="宋体" w:hAnsi="宋体" w:eastAsia="宋体" w:cs="宋体"/>
          <w:color w:val="auto"/>
          <w:sz w:val="24"/>
          <w:szCs w:val="24"/>
          <w:highlight w:val="none"/>
        </w:rPr>
        <w:t>本招标项目以暂列金额形式列入招标工程量清单中的所需货物和服务的采购</w:t>
      </w:r>
      <w:r>
        <w:rPr>
          <w:rFonts w:hint="eastAsia" w:ascii="宋体" w:hAnsi="宋体" w:eastAsia="宋体" w:cs="宋体"/>
          <w:color w:val="auto"/>
          <w:spacing w:val="-1"/>
          <w:sz w:val="24"/>
          <w:szCs w:val="24"/>
          <w:highlight w:val="none"/>
        </w:rPr>
        <w:t>（以下统称“暂列金额项目</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”）若有发生，按照本节第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pacing w:val="-1"/>
          <w:sz w:val="24"/>
          <w:szCs w:val="24"/>
          <w:highlight w:val="none"/>
        </w:rPr>
        <w:t xml:space="preserve">8.5 </w:t>
      </w:r>
      <w:r>
        <w:rPr>
          <w:rFonts w:hint="eastAsia" w:ascii="宋体" w:hAnsi="宋体" w:eastAsia="宋体" w:cs="宋体"/>
          <w:color w:val="auto"/>
          <w:spacing w:val="-1"/>
          <w:sz w:val="24"/>
          <w:szCs w:val="24"/>
          <w:highlight w:val="none"/>
        </w:rPr>
        <w:t>条的规定确定货物（或服务）供应商和合同价格。暂列金额项目由其他承包人承包的</w:t>
      </w:r>
      <w:r>
        <w:rPr>
          <w:rFonts w:hint="eastAsia" w:ascii="宋体" w:hAnsi="宋体" w:eastAsia="宋体" w:cs="宋体"/>
          <w:color w:val="auto"/>
          <w:spacing w:val="-2"/>
          <w:sz w:val="24"/>
          <w:szCs w:val="24"/>
          <w:highlight w:val="none"/>
        </w:rPr>
        <w:t>，纳入中标人的管理和协</w:t>
      </w:r>
      <w:r>
        <w:rPr>
          <w:rFonts w:hint="eastAsia" w:ascii="宋体" w:hAnsi="宋体" w:eastAsia="宋体" w:cs="宋体"/>
          <w:color w:val="auto"/>
          <w:spacing w:val="-1"/>
          <w:sz w:val="24"/>
          <w:szCs w:val="24"/>
          <w:highlight w:val="none"/>
        </w:rPr>
        <w:t>调范围</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由其他承包人向中标人承担质量、安全、文明</w:t>
      </w:r>
      <w:r>
        <w:rPr>
          <w:rFonts w:hint="eastAsia" w:ascii="宋体" w:hAnsi="宋体" w:eastAsia="宋体" w:cs="宋体"/>
          <w:color w:val="auto"/>
          <w:spacing w:val="-2"/>
          <w:sz w:val="24"/>
          <w:szCs w:val="24"/>
          <w:highlight w:val="none"/>
        </w:rPr>
        <w:t>施工、工期责任，中标人向招标人承担责任。</w:t>
      </w:r>
    </w:p>
    <w:p w14:paraId="2AB78D5F">
      <w:pPr>
        <w:spacing w:before="79" w:line="219" w:lineRule="auto"/>
        <w:ind w:left="487"/>
        <w:outlineLvl w:val="2"/>
        <w:rPr>
          <w:rFonts w:hint="eastAsia" w:ascii="宋体" w:hAnsi="宋体" w:eastAsia="宋体" w:cs="宋体"/>
          <w:color w:val="auto"/>
          <w:sz w:val="24"/>
          <w:szCs w:val="24"/>
          <w:highlight w:val="none"/>
        </w:rPr>
      </w:pPr>
      <w:bookmarkStart w:id="39" w:name="_Toc6911"/>
      <w:bookmarkStart w:id="40" w:name="_Toc22978"/>
      <w:r>
        <w:rPr>
          <w:rFonts w:hint="eastAsia" w:ascii="宋体" w:hAnsi="宋体" w:eastAsia="宋体" w:cs="宋体"/>
          <w:b/>
          <w:bCs/>
          <w:color w:val="auto"/>
          <w:spacing w:val="-8"/>
          <w:sz w:val="24"/>
          <w:szCs w:val="24"/>
          <w:highlight w:val="none"/>
        </w:rPr>
        <w:t>9</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8"/>
          <w:sz w:val="24"/>
          <w:szCs w:val="24"/>
          <w:highlight w:val="none"/>
        </w:rPr>
        <w:t>．投标报价</w:t>
      </w:r>
      <w:bookmarkEnd w:id="39"/>
      <w:bookmarkEnd w:id="40"/>
    </w:p>
    <w:p w14:paraId="0CB59245">
      <w:pPr>
        <w:spacing w:before="157" w:line="219"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9.1  </w:t>
      </w:r>
      <w:r>
        <w:rPr>
          <w:rFonts w:hint="eastAsia" w:ascii="宋体" w:hAnsi="宋体" w:eastAsia="宋体" w:cs="宋体"/>
          <w:color w:val="auto"/>
          <w:spacing w:val="-1"/>
          <w:sz w:val="24"/>
          <w:szCs w:val="24"/>
          <w:highlight w:val="none"/>
        </w:rPr>
        <w:t>投标人应按照以下依据编制投标报价：</w:t>
      </w:r>
    </w:p>
    <w:p w14:paraId="324CCCE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（1）《建设工程工程量清单计价标准》（GB/T 50500-2024）</w:t>
      </w:r>
      <w:r>
        <w:rPr>
          <w:rFonts w:hint="eastAsia" w:ascii="宋体" w:hAnsi="宋体" w:eastAsia="宋体" w:cs="宋体"/>
          <w:color w:val="auto"/>
          <w:spacing w:val="4"/>
          <w:sz w:val="24"/>
          <w:szCs w:val="24"/>
          <w:highlight w:val="none"/>
        </w:rPr>
        <w:t>；</w:t>
      </w:r>
    </w:p>
    <w:p w14:paraId="1F123386">
      <w:pPr>
        <w:spacing w:before="153" w:line="309" w:lineRule="auto"/>
        <w:ind w:left="9" w:right="65"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工程工程量计算标准》(GB/T50857-2024）、《园林绿化工程工程量计算标准》(GB/T50858-2024）、2018年《广东省市政工程综合定额》、2018年《广东省园林绿化工程综合定额》及现行的建筑施工规范和省市有关文件、规定为编制依据进行编制</w:t>
      </w:r>
      <w:r>
        <w:rPr>
          <w:rFonts w:hint="eastAsia" w:ascii="宋体" w:hAnsi="宋体" w:eastAsia="宋体" w:cs="宋体"/>
          <w:color w:val="auto"/>
          <w:spacing w:val="-1"/>
          <w:sz w:val="24"/>
          <w:szCs w:val="24"/>
          <w:highlight w:val="none"/>
        </w:rPr>
        <w:t>；</w:t>
      </w:r>
    </w:p>
    <w:p w14:paraId="4CCDAD2F">
      <w:pPr>
        <w:spacing w:before="78" w:line="220" w:lineRule="auto"/>
        <w:ind w:left="501"/>
        <w:rPr>
          <w:rFonts w:hint="eastAsia" w:ascii="宋体" w:hAnsi="宋体" w:eastAsia="宋体" w:cs="宋体"/>
          <w:color w:val="auto"/>
          <w:sz w:val="24"/>
          <w:szCs w:val="24"/>
          <w:highlight w:val="none"/>
        </w:rPr>
      </w:pPr>
      <w:bookmarkStart w:id="41" w:name="bookmark120"/>
      <w:bookmarkEnd w:id="41"/>
      <w:r>
        <w:rPr>
          <w:rFonts w:hint="eastAsia" w:ascii="宋体" w:hAnsi="宋体" w:eastAsia="宋体" w:cs="宋体"/>
          <w:color w:val="auto"/>
          <w:spacing w:val="-3"/>
          <w:sz w:val="24"/>
          <w:szCs w:val="24"/>
          <w:highlight w:val="none"/>
        </w:rPr>
        <w:t>（3）企业定额；</w:t>
      </w:r>
    </w:p>
    <w:p w14:paraId="44753B79">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（4）招标文件及其答疑（或修改）公告、招标工程量清单；</w:t>
      </w:r>
    </w:p>
    <w:p w14:paraId="3CFD144F">
      <w:pPr>
        <w:spacing w:before="154"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（5）施工图及相关资料；</w:t>
      </w:r>
    </w:p>
    <w:p w14:paraId="3970D688">
      <w:pPr>
        <w:spacing w:before="152"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（6）施工现场情况、工程特点及投标时拟定的施工组织设计或施工方案；</w:t>
      </w:r>
    </w:p>
    <w:p w14:paraId="248C998C">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（7）市场价格信息或项目所在地工程造价管理机构发布的工程造价信息；</w:t>
      </w:r>
    </w:p>
    <w:p w14:paraId="7BBE6412">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（8）与建设项目相关的标准、规范、技术资料。</w:t>
      </w:r>
    </w:p>
    <w:p w14:paraId="5884AFD7">
      <w:pPr>
        <w:spacing w:before="153" w:line="309" w:lineRule="auto"/>
        <w:ind w:left="8" w:right="150" w:firstLine="558"/>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9.2  </w:t>
      </w:r>
      <w:r>
        <w:rPr>
          <w:rFonts w:hint="eastAsia" w:ascii="宋体" w:hAnsi="宋体" w:eastAsia="宋体" w:cs="宋体"/>
          <w:color w:val="auto"/>
          <w:spacing w:val="-2"/>
          <w:sz w:val="24"/>
          <w:szCs w:val="24"/>
          <w:highlight w:val="none"/>
        </w:rPr>
        <w:t>投标人应根据招标工程量清单、工程量清单计价规范中的工作内容、设计文</w:t>
      </w:r>
      <w:r>
        <w:rPr>
          <w:rFonts w:hint="eastAsia" w:ascii="宋体" w:hAnsi="宋体" w:eastAsia="宋体" w:cs="宋体"/>
          <w:color w:val="auto"/>
          <w:spacing w:val="-1"/>
          <w:sz w:val="24"/>
          <w:szCs w:val="24"/>
          <w:highlight w:val="none"/>
        </w:rPr>
        <w:t>件和有关要求、施工现场实际情况、投标人拟定的施工组织设计</w:t>
      </w:r>
      <w:r>
        <w:rPr>
          <w:rFonts w:hint="eastAsia" w:ascii="宋体" w:hAnsi="宋体" w:eastAsia="宋体" w:cs="宋体"/>
          <w:color w:val="auto"/>
          <w:spacing w:val="-2"/>
          <w:sz w:val="24"/>
          <w:szCs w:val="24"/>
          <w:highlight w:val="none"/>
        </w:rPr>
        <w:t>、本单位的企业定额</w:t>
      </w:r>
      <w:r>
        <w:rPr>
          <w:rFonts w:hint="eastAsia" w:ascii="宋体" w:hAnsi="宋体" w:eastAsia="宋体" w:cs="宋体"/>
          <w:color w:val="auto"/>
          <w:spacing w:val="-1"/>
          <w:sz w:val="24"/>
          <w:szCs w:val="24"/>
          <w:highlight w:val="none"/>
        </w:rPr>
        <w:t>和市场价格进行编制，自行报价，并承担一定范围内的风险费用</w:t>
      </w:r>
      <w:r>
        <w:rPr>
          <w:rFonts w:hint="eastAsia" w:ascii="宋体" w:hAnsi="宋体" w:eastAsia="宋体" w:cs="宋体"/>
          <w:color w:val="auto"/>
          <w:spacing w:val="-2"/>
          <w:sz w:val="24"/>
          <w:szCs w:val="24"/>
          <w:highlight w:val="none"/>
        </w:rPr>
        <w:t>。所谓“一定范围内</w:t>
      </w:r>
      <w:r>
        <w:rPr>
          <w:rFonts w:hint="eastAsia" w:ascii="宋体" w:hAnsi="宋体" w:eastAsia="宋体" w:cs="宋体"/>
          <w:color w:val="auto"/>
          <w:spacing w:val="-3"/>
          <w:sz w:val="24"/>
          <w:szCs w:val="24"/>
          <w:highlight w:val="none"/>
        </w:rPr>
        <w:t>的风险</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”是指合同约定的风险。</w:t>
      </w:r>
    </w:p>
    <w:p w14:paraId="6F48F6C5">
      <w:pPr>
        <w:spacing w:before="152" w:line="309"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9.3  </w:t>
      </w:r>
      <w:r>
        <w:rPr>
          <w:rFonts w:hint="eastAsia" w:ascii="宋体" w:hAnsi="宋体" w:eastAsia="宋体" w:cs="宋体"/>
          <w:color w:val="auto"/>
          <w:spacing w:val="-2"/>
          <w:sz w:val="24"/>
          <w:szCs w:val="24"/>
          <w:highlight w:val="none"/>
        </w:rPr>
        <w:t>招标人及招标代理机构不集中组织现场踏勘，投标人需要了解现场情况的，</w:t>
      </w:r>
      <w:r>
        <w:rPr>
          <w:rFonts w:hint="eastAsia" w:ascii="宋体" w:hAnsi="宋体" w:eastAsia="宋体" w:cs="宋体"/>
          <w:color w:val="auto"/>
          <w:spacing w:val="-1"/>
          <w:sz w:val="24"/>
          <w:szCs w:val="24"/>
          <w:highlight w:val="none"/>
        </w:rPr>
        <w:t>可自行进行现场踏勘。各投标人应勘察施工现场及周围环</w:t>
      </w:r>
      <w:r>
        <w:rPr>
          <w:rFonts w:hint="eastAsia" w:ascii="宋体" w:hAnsi="宋体" w:eastAsia="宋体" w:cs="宋体"/>
          <w:color w:val="auto"/>
          <w:spacing w:val="-2"/>
          <w:sz w:val="24"/>
          <w:szCs w:val="24"/>
          <w:highlight w:val="none"/>
        </w:rPr>
        <w:t>境、地形、地貌、水文、交</w:t>
      </w:r>
      <w:r>
        <w:rPr>
          <w:rFonts w:hint="eastAsia" w:ascii="宋体" w:hAnsi="宋体" w:eastAsia="宋体" w:cs="宋体"/>
          <w:color w:val="auto"/>
          <w:spacing w:val="-1"/>
          <w:sz w:val="24"/>
          <w:szCs w:val="24"/>
          <w:highlight w:val="none"/>
        </w:rPr>
        <w:t>通等情况，以获得一切可能影响到投标的直接资料。投标人应</w:t>
      </w:r>
      <w:r>
        <w:rPr>
          <w:rFonts w:hint="eastAsia" w:ascii="宋体" w:hAnsi="宋体" w:eastAsia="宋体" w:cs="宋体"/>
          <w:color w:val="auto"/>
          <w:spacing w:val="-2"/>
          <w:sz w:val="24"/>
          <w:szCs w:val="24"/>
          <w:highlight w:val="none"/>
        </w:rPr>
        <w:t>针对现场情况编制施工</w:t>
      </w:r>
      <w:r>
        <w:rPr>
          <w:rFonts w:hint="eastAsia" w:ascii="宋体" w:hAnsi="宋体" w:eastAsia="宋体" w:cs="宋体"/>
          <w:color w:val="auto"/>
          <w:spacing w:val="-1"/>
          <w:sz w:val="24"/>
          <w:szCs w:val="24"/>
          <w:highlight w:val="none"/>
        </w:rPr>
        <w:t>组织设计，并在编制投标报价时考虑现场情况的影响。</w:t>
      </w:r>
    </w:p>
    <w:p w14:paraId="17C6A9C4">
      <w:pPr>
        <w:spacing w:before="155" w:line="279" w:lineRule="auto"/>
        <w:ind w:left="10" w:right="150" w:firstLine="55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9.4  </w:t>
      </w:r>
      <w:r>
        <w:rPr>
          <w:rFonts w:hint="eastAsia" w:ascii="宋体" w:hAnsi="宋体" w:eastAsia="宋体" w:cs="宋体"/>
          <w:color w:val="auto"/>
          <w:spacing w:val="-2"/>
          <w:sz w:val="24"/>
          <w:szCs w:val="24"/>
          <w:highlight w:val="none"/>
        </w:rPr>
        <w:t>招标人向投标人提供的有关现场的数据和资料，是招标人现有的能被投标人</w:t>
      </w:r>
      <w:r>
        <w:rPr>
          <w:rFonts w:hint="eastAsia" w:ascii="宋体" w:hAnsi="宋体" w:eastAsia="宋体" w:cs="宋体"/>
          <w:color w:val="auto"/>
          <w:sz w:val="24"/>
          <w:szCs w:val="24"/>
          <w:highlight w:val="none"/>
        </w:rPr>
        <w:t>利用的资料，招标人对投标人做出的任何推论</w:t>
      </w:r>
      <w:r>
        <w:rPr>
          <w:rFonts w:hint="eastAsia" w:ascii="宋体" w:hAnsi="宋体" w:eastAsia="宋体" w:cs="宋体"/>
          <w:color w:val="auto"/>
          <w:spacing w:val="-1"/>
          <w:sz w:val="24"/>
          <w:szCs w:val="24"/>
          <w:highlight w:val="none"/>
        </w:rPr>
        <w:t>、理解和结论均不负责任。</w:t>
      </w:r>
    </w:p>
    <w:p w14:paraId="58AFE0B2">
      <w:pPr>
        <w:spacing w:before="154" w:line="299" w:lineRule="auto"/>
        <w:ind w:left="12" w:firstLine="55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9.5  </w:t>
      </w:r>
      <w:r>
        <w:rPr>
          <w:rFonts w:hint="eastAsia" w:ascii="宋体" w:hAnsi="宋体" w:eastAsia="宋体" w:cs="宋体"/>
          <w:color w:val="auto"/>
          <w:spacing w:val="-2"/>
          <w:sz w:val="24"/>
          <w:szCs w:val="24"/>
          <w:highlight w:val="none"/>
        </w:rPr>
        <w:t>投标人必须按照招标工程量清单及表格填报价格。项目编码、项目名称、项</w:t>
      </w:r>
      <w:r>
        <w:rPr>
          <w:rFonts w:hint="eastAsia" w:ascii="宋体" w:hAnsi="宋体" w:eastAsia="宋体" w:cs="宋体"/>
          <w:color w:val="auto"/>
          <w:spacing w:val="2"/>
          <w:sz w:val="24"/>
          <w:szCs w:val="24"/>
          <w:highlight w:val="none"/>
        </w:rPr>
        <w:t>目特征、计量单位、工程量必须与招标工程量清单一致。所有报价均以人</w:t>
      </w:r>
      <w:r>
        <w:rPr>
          <w:rFonts w:hint="eastAsia" w:ascii="宋体" w:hAnsi="宋体" w:eastAsia="宋体" w:cs="宋体"/>
          <w:color w:val="auto"/>
          <w:spacing w:val="1"/>
          <w:sz w:val="24"/>
          <w:szCs w:val="24"/>
          <w:highlight w:val="none"/>
        </w:rPr>
        <w:t>民币“元</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1"/>
          <w:sz w:val="24"/>
          <w:szCs w:val="24"/>
          <w:highlight w:val="none"/>
        </w:rPr>
        <w:t>为单位，并保留小数点后两位。</w:t>
      </w:r>
    </w:p>
    <w:p w14:paraId="7A5201E3">
      <w:pPr>
        <w:spacing w:before="158" w:line="314" w:lineRule="auto"/>
        <w:ind w:left="9" w:right="150" w:firstLine="557"/>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9.6  </w:t>
      </w:r>
      <w:r>
        <w:rPr>
          <w:rFonts w:hint="eastAsia" w:ascii="宋体" w:hAnsi="宋体" w:eastAsia="宋体" w:cs="宋体"/>
          <w:color w:val="auto"/>
          <w:spacing w:val="-2"/>
          <w:sz w:val="24"/>
          <w:szCs w:val="24"/>
          <w:highlight w:val="none"/>
        </w:rPr>
        <w:t>投标人只允许有一个投标总价。投标总价必须同时用大、小写表示，大、小</w:t>
      </w:r>
      <w:r>
        <w:rPr>
          <w:rFonts w:hint="eastAsia" w:ascii="宋体" w:hAnsi="宋体" w:eastAsia="宋体" w:cs="宋体"/>
          <w:color w:val="auto"/>
          <w:spacing w:val="-1"/>
          <w:sz w:val="24"/>
          <w:szCs w:val="24"/>
          <w:highlight w:val="none"/>
        </w:rPr>
        <w:t>写报价应保持一致，若不一致，以大写报价为准。招标工程量</w:t>
      </w:r>
      <w:r>
        <w:rPr>
          <w:rFonts w:hint="eastAsia" w:ascii="宋体" w:hAnsi="宋体" w:eastAsia="宋体" w:cs="宋体"/>
          <w:color w:val="auto"/>
          <w:spacing w:val="-2"/>
          <w:sz w:val="24"/>
          <w:szCs w:val="24"/>
          <w:highlight w:val="none"/>
        </w:rPr>
        <w:t>清单与计价表中列明的</w:t>
      </w:r>
      <w:r>
        <w:rPr>
          <w:rFonts w:hint="eastAsia" w:ascii="宋体" w:hAnsi="宋体" w:eastAsia="宋体" w:cs="宋体"/>
          <w:color w:val="auto"/>
          <w:spacing w:val="-1"/>
          <w:sz w:val="24"/>
          <w:szCs w:val="24"/>
          <w:highlight w:val="none"/>
        </w:rPr>
        <w:t>所有需要填写单价和合价的项目，投标人均应填写且只允许有</w:t>
      </w:r>
      <w:r>
        <w:rPr>
          <w:rFonts w:hint="eastAsia" w:ascii="宋体" w:hAnsi="宋体" w:eastAsia="宋体" w:cs="宋体"/>
          <w:color w:val="auto"/>
          <w:spacing w:val="-2"/>
          <w:sz w:val="24"/>
          <w:szCs w:val="24"/>
          <w:highlight w:val="none"/>
        </w:rPr>
        <w:t>一个报价。未填写单价</w:t>
      </w:r>
      <w:r>
        <w:rPr>
          <w:rFonts w:hint="eastAsia" w:ascii="宋体" w:hAnsi="宋体" w:eastAsia="宋体" w:cs="宋体"/>
          <w:color w:val="auto"/>
          <w:spacing w:val="-1"/>
          <w:sz w:val="24"/>
          <w:szCs w:val="24"/>
          <w:highlight w:val="none"/>
        </w:rPr>
        <w:t>和合价的项目，视为此项费用已包含在已标价工程量清单其他</w:t>
      </w:r>
      <w:r>
        <w:rPr>
          <w:rFonts w:hint="eastAsia" w:ascii="宋体" w:hAnsi="宋体" w:eastAsia="宋体" w:cs="宋体"/>
          <w:color w:val="auto"/>
          <w:spacing w:val="-2"/>
          <w:sz w:val="24"/>
          <w:szCs w:val="24"/>
          <w:highlight w:val="none"/>
        </w:rPr>
        <w:t>项目的单价和合价中，</w:t>
      </w:r>
      <w:r>
        <w:rPr>
          <w:rFonts w:hint="eastAsia" w:ascii="宋体" w:hAnsi="宋体" w:eastAsia="宋体" w:cs="宋体"/>
          <w:color w:val="auto"/>
          <w:spacing w:val="-1"/>
          <w:sz w:val="24"/>
          <w:szCs w:val="24"/>
          <w:highlight w:val="none"/>
        </w:rPr>
        <w:t>竣工结算时不得重新组价和调整。</w:t>
      </w:r>
    </w:p>
    <w:p w14:paraId="680D700B">
      <w:pPr>
        <w:spacing w:before="152" w:line="309" w:lineRule="auto"/>
        <w:ind w:left="7" w:right="120" w:firstLine="480"/>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z w:val="24"/>
          <w:szCs w:val="24"/>
          <w:highlight w:val="none"/>
        </w:rPr>
        <w:t xml:space="preserve">9.7  </w:t>
      </w:r>
      <w:r>
        <w:rPr>
          <w:rFonts w:hint="eastAsia" w:ascii="宋体" w:hAnsi="宋体" w:eastAsia="宋体" w:cs="宋体"/>
          <w:color w:val="auto"/>
          <w:sz w:val="24"/>
          <w:szCs w:val="24"/>
          <w:highlight w:val="none"/>
        </w:rPr>
        <w:t>投标人的投标总价不得高于</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color w:val="auto"/>
          <w:sz w:val="24"/>
          <w:szCs w:val="24"/>
          <w:highlight w:val="none"/>
        </w:rPr>
        <w:t>，也不得低于工程成本。投标人对</w:t>
      </w:r>
      <w:r>
        <w:rPr>
          <w:rFonts w:hint="eastAsia" w:ascii="宋体" w:hAnsi="宋体" w:eastAsia="宋体" w:cs="宋体"/>
          <w:color w:val="auto"/>
          <w:spacing w:val="-1"/>
          <w:sz w:val="24"/>
          <w:szCs w:val="24"/>
          <w:highlight w:val="none"/>
        </w:rPr>
        <w:t>投标总价的所有优惠（降价、让利等</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1"/>
          <w:sz w:val="24"/>
          <w:szCs w:val="24"/>
          <w:highlight w:val="none"/>
        </w:rPr>
        <w:t>均应当反映在具体清单项目或其综合</w:t>
      </w:r>
      <w:r>
        <w:rPr>
          <w:rFonts w:hint="eastAsia" w:ascii="宋体" w:hAnsi="宋体" w:eastAsia="宋体" w:cs="宋体"/>
          <w:color w:val="auto"/>
          <w:spacing w:val="-2"/>
          <w:sz w:val="24"/>
          <w:szCs w:val="24"/>
          <w:highlight w:val="none"/>
        </w:rPr>
        <w:t>单价的</w:t>
      </w:r>
      <w:r>
        <w:rPr>
          <w:rFonts w:hint="eastAsia" w:ascii="宋体" w:hAnsi="宋体" w:eastAsia="宋体" w:cs="宋体"/>
          <w:color w:val="auto"/>
          <w:spacing w:val="1"/>
          <w:sz w:val="24"/>
          <w:szCs w:val="24"/>
          <w:highlight w:val="none"/>
        </w:rPr>
        <w:t>报价上。</w:t>
      </w:r>
      <w:r>
        <w:rPr>
          <w:rFonts w:hint="eastAsia" w:ascii="宋体" w:hAnsi="宋体" w:eastAsia="宋体" w:cs="宋体"/>
          <w:b/>
          <w:bCs/>
          <w:color w:val="auto"/>
          <w:spacing w:val="1"/>
          <w:sz w:val="24"/>
          <w:szCs w:val="24"/>
          <w:highlight w:val="none"/>
        </w:rPr>
        <w:t>如果投标人的投标总价下浮率高于</w:t>
      </w:r>
      <w:r>
        <w:rPr>
          <w:rFonts w:hint="eastAsia" w:ascii="宋体" w:hAnsi="宋体" w:eastAsia="宋体" w:cs="宋体"/>
          <w:color w:val="auto"/>
          <w:spacing w:val="-40"/>
          <w:sz w:val="24"/>
          <w:szCs w:val="24"/>
          <w:highlight w:val="none"/>
        </w:rPr>
        <w:t xml:space="preserve"> </w:t>
      </w:r>
      <w:r>
        <w:rPr>
          <w:rFonts w:hint="eastAsia" w:ascii="宋体" w:hAnsi="宋体" w:eastAsia="宋体" w:cs="宋体"/>
          <w:b/>
          <w:bCs/>
          <w:color w:val="auto"/>
          <w:spacing w:val="1"/>
          <w:sz w:val="24"/>
          <w:szCs w:val="24"/>
          <w:highlight w:val="none"/>
        </w:rPr>
        <w:t>15%时，投标人必须在投标文件中专项</w:t>
      </w:r>
      <w:r>
        <w:rPr>
          <w:rFonts w:hint="eastAsia" w:ascii="宋体" w:hAnsi="宋体" w:eastAsia="宋体" w:cs="宋体"/>
          <w:b/>
          <w:bCs/>
          <w:color w:val="auto"/>
          <w:spacing w:val="-3"/>
          <w:sz w:val="24"/>
          <w:szCs w:val="24"/>
          <w:highlight w:val="none"/>
        </w:rPr>
        <w:t>作出详细合理的书面说明并提供以往类似工程详细成本分析报告供评标委员会审查。</w:t>
      </w:r>
    </w:p>
    <w:p w14:paraId="25ACD444">
      <w:pPr>
        <w:outlineLvl w:val="9"/>
        <w:rPr>
          <w:rFonts w:hint="eastAsia" w:ascii="宋体" w:hAnsi="宋体" w:eastAsia="宋体" w:cs="宋体"/>
          <w:color w:val="auto"/>
          <w:highlight w:val="none"/>
          <w:lang w:eastAsia="zh-CN"/>
        </w:rPr>
      </w:pPr>
      <w:r>
        <w:rPr>
          <w:rFonts w:hint="eastAsia" w:ascii="宋体" w:hAnsi="宋体" w:eastAsia="宋体" w:cs="宋体"/>
          <w:b/>
          <w:bCs/>
          <w:color w:val="auto"/>
          <w:spacing w:val="-3"/>
          <w:sz w:val="24"/>
          <w:szCs w:val="24"/>
          <w:highlight w:val="none"/>
          <w:lang w:eastAsia="zh-CN"/>
        </w:rPr>
        <w:t>投标总价下浮率=（1-投标总价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最高投标限价）</w:t>
      </w:r>
      <w:r>
        <w:rPr>
          <w:rFonts w:hint="eastAsia" w:ascii="宋体" w:hAnsi="宋体" w:eastAsia="宋体" w:cs="宋体"/>
          <w:b/>
          <w:bCs/>
          <w:color w:val="auto"/>
          <w:spacing w:val="-1"/>
          <w:sz w:val="24"/>
          <w:szCs w:val="24"/>
          <w:highlight w:val="none"/>
        </w:rPr>
        <w:t>×</w:t>
      </w:r>
      <w:r>
        <w:rPr>
          <w:rFonts w:hint="eastAsia" w:ascii="宋体" w:hAnsi="宋体" w:eastAsia="宋体" w:cs="宋体"/>
          <w:b/>
          <w:bCs/>
          <w:color w:val="auto"/>
          <w:spacing w:val="-1"/>
          <w:sz w:val="24"/>
          <w:szCs w:val="24"/>
          <w:highlight w:val="none"/>
          <w:lang w:eastAsia="zh-CN"/>
        </w:rPr>
        <w:t>100%</w:t>
      </w:r>
    </w:p>
    <w:p w14:paraId="5ABB7F86">
      <w:pPr>
        <w:spacing w:before="146" w:line="325" w:lineRule="auto"/>
        <w:ind w:left="29" w:right="153" w:firstLine="458"/>
        <w:rPr>
          <w:rFonts w:hint="eastAsia" w:ascii="宋体" w:hAnsi="宋体" w:eastAsia="宋体" w:cs="宋体"/>
          <w:b/>
          <w:bCs/>
          <w:color w:val="auto"/>
          <w:highlight w:val="none"/>
        </w:rPr>
      </w:pPr>
      <w:r>
        <w:rPr>
          <w:rFonts w:hint="eastAsia" w:ascii="宋体" w:hAnsi="宋体" w:eastAsia="宋体" w:cs="宋体"/>
          <w:b/>
          <w:bCs/>
          <w:color w:val="auto"/>
          <w:sz w:val="24"/>
          <w:szCs w:val="24"/>
          <w:highlight w:val="none"/>
        </w:rPr>
        <w:t>9.8  投标人的安全生产措施费报价必须达到或超过</w:t>
      </w:r>
      <w:r>
        <w:rPr>
          <w:rFonts w:hint="eastAsia" w:ascii="宋体" w:hAnsi="宋体" w:eastAsia="宋体" w:cs="宋体"/>
          <w:b/>
          <w:bCs/>
          <w:color w:val="auto"/>
          <w:sz w:val="24"/>
          <w:szCs w:val="24"/>
          <w:highlight w:val="none"/>
          <w:lang w:val="en-US" w:eastAsia="zh-CN"/>
        </w:rPr>
        <w:t>最高投标限价</w:t>
      </w:r>
      <w:r>
        <w:rPr>
          <w:rFonts w:hint="eastAsia" w:ascii="宋体" w:hAnsi="宋体" w:eastAsia="宋体" w:cs="宋体"/>
          <w:b/>
          <w:bCs/>
          <w:color w:val="auto"/>
          <w:sz w:val="24"/>
          <w:szCs w:val="24"/>
          <w:highlight w:val="none"/>
        </w:rPr>
        <w:t>中</w:t>
      </w:r>
      <w:r>
        <w:rPr>
          <w:rFonts w:hint="eastAsia" w:ascii="宋体" w:hAnsi="宋体" w:eastAsia="宋体" w:cs="宋体"/>
          <w:b/>
          <w:bCs/>
          <w:color w:val="auto"/>
          <w:spacing w:val="-1"/>
          <w:sz w:val="24"/>
          <w:szCs w:val="24"/>
          <w:highlight w:val="none"/>
        </w:rPr>
        <w:t>提供</w:t>
      </w:r>
      <w:r>
        <w:rPr>
          <w:rFonts w:hint="eastAsia" w:ascii="宋体" w:hAnsi="宋体" w:eastAsia="宋体" w:cs="宋体"/>
          <w:b/>
          <w:bCs/>
          <w:color w:val="auto"/>
          <w:spacing w:val="-3"/>
          <w:sz w:val="24"/>
          <w:szCs w:val="24"/>
          <w:highlight w:val="none"/>
        </w:rPr>
        <w:t>的安全生产措施费。</w:t>
      </w:r>
    </w:p>
    <w:p w14:paraId="235C1669">
      <w:pPr>
        <w:spacing w:before="78" w:line="309" w:lineRule="auto"/>
        <w:ind w:right="99"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9.9  </w:t>
      </w:r>
      <w:r>
        <w:rPr>
          <w:rFonts w:hint="eastAsia" w:ascii="宋体" w:hAnsi="宋体" w:eastAsia="宋体" w:cs="宋体"/>
          <w:color w:val="auto"/>
          <w:sz w:val="24"/>
          <w:szCs w:val="24"/>
          <w:highlight w:val="none"/>
        </w:rPr>
        <w:t>投标人必须按照招标工程量清单中提供的暂列金额和暂估价统一报价。投标</w:t>
      </w:r>
      <w:r>
        <w:rPr>
          <w:rFonts w:hint="eastAsia" w:ascii="宋体" w:hAnsi="宋体" w:eastAsia="宋体" w:cs="宋体"/>
          <w:color w:val="auto"/>
          <w:spacing w:val="-1"/>
          <w:sz w:val="24"/>
          <w:szCs w:val="24"/>
          <w:highlight w:val="none"/>
        </w:rPr>
        <w:t>人应充分考虑暂估价项目（或暂列金额项目）的管理和协调所发</w:t>
      </w:r>
      <w:r>
        <w:rPr>
          <w:rFonts w:hint="eastAsia" w:ascii="宋体" w:hAnsi="宋体" w:eastAsia="宋体" w:cs="宋体"/>
          <w:color w:val="auto"/>
          <w:spacing w:val="-2"/>
          <w:sz w:val="24"/>
          <w:szCs w:val="24"/>
          <w:highlight w:val="none"/>
        </w:rPr>
        <w:t>生的费用，并将其纳</w:t>
      </w:r>
      <w:r>
        <w:rPr>
          <w:rFonts w:hint="eastAsia" w:ascii="宋体" w:hAnsi="宋体" w:eastAsia="宋体" w:cs="宋体"/>
          <w:color w:val="auto"/>
          <w:spacing w:val="-1"/>
          <w:sz w:val="24"/>
          <w:szCs w:val="24"/>
          <w:highlight w:val="none"/>
        </w:rPr>
        <w:t>入已标价工程量清单中的适当项目。招标人视该项管理和协调所</w:t>
      </w:r>
      <w:r>
        <w:rPr>
          <w:rFonts w:hint="eastAsia" w:ascii="宋体" w:hAnsi="宋体" w:eastAsia="宋体" w:cs="宋体"/>
          <w:color w:val="auto"/>
          <w:spacing w:val="-2"/>
          <w:sz w:val="24"/>
          <w:szCs w:val="24"/>
          <w:highlight w:val="none"/>
        </w:rPr>
        <w:t>发生的费用已包含在</w:t>
      </w:r>
      <w:r>
        <w:rPr>
          <w:rFonts w:hint="eastAsia" w:ascii="宋体" w:hAnsi="宋体" w:eastAsia="宋体" w:cs="宋体"/>
          <w:color w:val="auto"/>
          <w:spacing w:val="-1"/>
          <w:sz w:val="24"/>
          <w:szCs w:val="24"/>
          <w:highlight w:val="none"/>
        </w:rPr>
        <w:t>其它有价款的竞争性报价内，不再另行支付。</w:t>
      </w:r>
    </w:p>
    <w:p w14:paraId="0DB0421A">
      <w:pPr>
        <w:pStyle w:val="5"/>
        <w:spacing w:line="253" w:lineRule="auto"/>
        <w:ind w:firstLine="422" w:firstLineChars="200"/>
        <w:rPr>
          <w:rFonts w:hint="eastAsia" w:ascii="宋体" w:hAnsi="宋体" w:eastAsia="宋体" w:cs="宋体"/>
          <w:snapToGrid w:val="0"/>
          <w:color w:val="auto"/>
          <w:sz w:val="24"/>
          <w:szCs w:val="24"/>
          <w:highlight w:val="none"/>
          <w:lang w:val="en-US" w:eastAsia="en-US" w:bidi="ar-SA"/>
        </w:rPr>
      </w:pPr>
      <w:r>
        <w:rPr>
          <w:rFonts w:hint="eastAsia" w:ascii="宋体" w:hAnsi="宋体" w:eastAsia="宋体" w:cs="宋体"/>
          <w:b/>
          <w:bCs/>
          <w:color w:val="auto"/>
          <w:highlight w:val="none"/>
        </w:rPr>
        <w:t xml:space="preserve">9.10 </w:t>
      </w:r>
      <w:r>
        <w:rPr>
          <w:rFonts w:hint="eastAsia" w:ascii="宋体" w:hAnsi="宋体" w:eastAsia="宋体" w:cs="宋体"/>
          <w:snapToGrid w:val="0"/>
          <w:color w:val="auto"/>
          <w:sz w:val="24"/>
          <w:szCs w:val="24"/>
          <w:highlight w:val="none"/>
          <w:lang w:val="en-US" w:eastAsia="en-US" w:bidi="ar-SA"/>
        </w:rPr>
        <w:t>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05B0490">
      <w:pPr>
        <w:spacing w:before="78" w:line="220" w:lineRule="auto"/>
        <w:ind w:left="496"/>
        <w:outlineLvl w:val="2"/>
        <w:rPr>
          <w:rFonts w:hint="eastAsia" w:ascii="宋体" w:hAnsi="宋体" w:eastAsia="宋体" w:cs="宋体"/>
          <w:color w:val="auto"/>
          <w:sz w:val="24"/>
          <w:szCs w:val="24"/>
          <w:highlight w:val="none"/>
        </w:rPr>
      </w:pPr>
      <w:bookmarkStart w:id="42" w:name="_Toc23711"/>
      <w:bookmarkStart w:id="43" w:name="_Toc16322"/>
      <w:r>
        <w:rPr>
          <w:rFonts w:hint="eastAsia" w:ascii="宋体" w:hAnsi="宋体" w:eastAsia="宋体" w:cs="宋体"/>
          <w:b/>
          <w:bCs/>
          <w:color w:val="auto"/>
          <w:spacing w:val="-6"/>
          <w:sz w:val="24"/>
          <w:szCs w:val="24"/>
          <w:highlight w:val="none"/>
        </w:rPr>
        <w:t>10</w:t>
      </w:r>
      <w:r>
        <w:rPr>
          <w:rFonts w:hint="eastAsia" w:ascii="宋体" w:hAnsi="宋体" w:eastAsia="宋体" w:cs="宋体"/>
          <w:b/>
          <w:bCs/>
          <w:color w:val="auto"/>
          <w:spacing w:val="-21"/>
          <w:sz w:val="24"/>
          <w:szCs w:val="24"/>
          <w:highlight w:val="none"/>
        </w:rPr>
        <w:t xml:space="preserve"> </w:t>
      </w:r>
      <w:r>
        <w:rPr>
          <w:rFonts w:hint="eastAsia" w:ascii="宋体" w:hAnsi="宋体" w:eastAsia="宋体" w:cs="宋体"/>
          <w:b/>
          <w:bCs/>
          <w:color w:val="auto"/>
          <w:spacing w:val="-6"/>
          <w:sz w:val="24"/>
          <w:szCs w:val="24"/>
          <w:highlight w:val="none"/>
        </w:rPr>
        <w:t>．投标文件的编制要求</w:t>
      </w:r>
      <w:bookmarkEnd w:id="42"/>
      <w:bookmarkEnd w:id="43"/>
    </w:p>
    <w:p w14:paraId="717359E1">
      <w:pPr>
        <w:spacing w:before="152" w:line="222" w:lineRule="auto"/>
        <w:ind w:left="496"/>
        <w:outlineLvl w:val="3"/>
        <w:rPr>
          <w:rFonts w:hint="eastAsia" w:ascii="宋体" w:hAnsi="宋体" w:eastAsia="宋体" w:cs="宋体"/>
          <w:color w:val="auto"/>
          <w:sz w:val="24"/>
          <w:szCs w:val="24"/>
          <w:highlight w:val="none"/>
        </w:rPr>
      </w:pPr>
      <w:bookmarkStart w:id="44" w:name="_Toc20590"/>
      <w:bookmarkStart w:id="45" w:name="_Toc22937"/>
      <w:r>
        <w:rPr>
          <w:rFonts w:hint="eastAsia" w:ascii="宋体" w:hAnsi="宋体" w:eastAsia="宋体" w:cs="宋体"/>
          <w:b/>
          <w:bCs/>
          <w:color w:val="auto"/>
          <w:spacing w:val="-4"/>
          <w:sz w:val="24"/>
          <w:szCs w:val="24"/>
          <w:highlight w:val="none"/>
        </w:rPr>
        <w:t>10.1</w:t>
      </w:r>
      <w:r>
        <w:rPr>
          <w:rFonts w:hint="eastAsia" w:ascii="宋体" w:hAnsi="宋体" w:eastAsia="宋体" w:cs="宋体"/>
          <w:b/>
          <w:bCs/>
          <w:color w:val="auto"/>
          <w:spacing w:val="7"/>
          <w:sz w:val="24"/>
          <w:szCs w:val="24"/>
          <w:highlight w:val="none"/>
        </w:rPr>
        <w:t xml:space="preserve">  </w:t>
      </w:r>
      <w:r>
        <w:rPr>
          <w:rFonts w:hint="eastAsia" w:ascii="宋体" w:hAnsi="宋体" w:eastAsia="宋体" w:cs="宋体"/>
          <w:color w:val="auto"/>
          <w:spacing w:val="-4"/>
          <w:sz w:val="24"/>
          <w:szCs w:val="24"/>
          <w:highlight w:val="none"/>
        </w:rPr>
        <w:t>一般要求</w:t>
      </w:r>
      <w:bookmarkEnd w:id="44"/>
      <w:bookmarkEnd w:id="45"/>
    </w:p>
    <w:p w14:paraId="4800233A">
      <w:pPr>
        <w:spacing w:before="118" w:line="295" w:lineRule="auto"/>
        <w:ind w:left="11" w:right="99"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投标文件应按第六章投标文件格式规定的内容，投标人提交的投标文件应当使</w:t>
      </w:r>
      <w:r>
        <w:rPr>
          <w:rFonts w:hint="eastAsia" w:ascii="宋体" w:hAnsi="宋体" w:eastAsia="宋体" w:cs="宋体"/>
          <w:color w:val="auto"/>
          <w:spacing w:val="-1"/>
          <w:sz w:val="24"/>
          <w:szCs w:val="24"/>
          <w:highlight w:val="none"/>
        </w:rPr>
        <w:t>用招标文件所提供的投标文件全部格式。</w:t>
      </w:r>
    </w:p>
    <w:p w14:paraId="1E2CE420">
      <w:pPr>
        <w:spacing w:before="68" w:line="299" w:lineRule="auto"/>
        <w:ind w:left="11" w:right="99" w:firstLine="563"/>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10.1.1  </w:t>
      </w:r>
      <w:r>
        <w:rPr>
          <w:rFonts w:hint="eastAsia" w:ascii="宋体" w:hAnsi="宋体" w:eastAsia="宋体" w:cs="宋体"/>
          <w:color w:val="auto"/>
          <w:spacing w:val="-3"/>
          <w:sz w:val="24"/>
          <w:szCs w:val="24"/>
          <w:highlight w:val="none"/>
        </w:rPr>
        <w:t>投标人必须响应招标文件，并在充分理解招</w:t>
      </w:r>
      <w:r>
        <w:rPr>
          <w:rFonts w:hint="eastAsia" w:ascii="宋体" w:hAnsi="宋体" w:eastAsia="宋体" w:cs="宋体"/>
          <w:color w:val="auto"/>
          <w:spacing w:val="-4"/>
          <w:sz w:val="24"/>
          <w:szCs w:val="24"/>
          <w:highlight w:val="none"/>
        </w:rPr>
        <w:t>标人提供的全部文件、设计图</w:t>
      </w:r>
      <w:r>
        <w:rPr>
          <w:rFonts w:hint="eastAsia" w:ascii="宋体" w:hAnsi="宋体" w:eastAsia="宋体" w:cs="宋体"/>
          <w:color w:val="auto"/>
          <w:spacing w:val="-1"/>
          <w:sz w:val="24"/>
          <w:szCs w:val="24"/>
          <w:highlight w:val="none"/>
        </w:rPr>
        <w:t>纸、资料及现场条件的基础上编制投标文件。因投标文件</w:t>
      </w:r>
      <w:r>
        <w:rPr>
          <w:rFonts w:hint="eastAsia" w:ascii="宋体" w:hAnsi="宋体" w:eastAsia="宋体" w:cs="宋体"/>
          <w:color w:val="auto"/>
          <w:spacing w:val="-2"/>
          <w:sz w:val="24"/>
          <w:szCs w:val="24"/>
          <w:highlight w:val="none"/>
        </w:rPr>
        <w:t>不符合招标文件的要求而造</w:t>
      </w:r>
      <w:r>
        <w:rPr>
          <w:rFonts w:hint="eastAsia" w:ascii="宋体" w:hAnsi="宋体" w:eastAsia="宋体" w:cs="宋体"/>
          <w:color w:val="auto"/>
          <w:spacing w:val="-1"/>
          <w:sz w:val="24"/>
          <w:szCs w:val="24"/>
          <w:highlight w:val="none"/>
        </w:rPr>
        <w:t>成的损失和后果，由投标人自行承担。</w:t>
      </w:r>
    </w:p>
    <w:p w14:paraId="5DF6C785">
      <w:pPr>
        <w:spacing w:before="123" w:line="290" w:lineRule="auto"/>
        <w:ind w:left="8" w:firstLine="566"/>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10.1.2  投标文件包括商务标书、经济标书、施工组织设计和定标文件四个分册，</w:t>
      </w:r>
      <w:r>
        <w:rPr>
          <w:rFonts w:hint="eastAsia" w:ascii="宋体" w:hAnsi="宋体" w:eastAsia="宋体" w:cs="宋体"/>
          <w:color w:val="auto"/>
          <w:spacing w:val="-3"/>
          <w:sz w:val="24"/>
          <w:szCs w:val="24"/>
          <w:highlight w:val="none"/>
        </w:rPr>
        <w:t>投标文件全部采用电子文档，投标文件所附</w:t>
      </w:r>
      <w:r>
        <w:rPr>
          <w:rFonts w:hint="eastAsia" w:ascii="宋体" w:hAnsi="宋体" w:eastAsia="宋体" w:cs="宋体"/>
          <w:color w:val="auto"/>
          <w:spacing w:val="-4"/>
          <w:sz w:val="24"/>
          <w:szCs w:val="24"/>
          <w:highlight w:val="none"/>
        </w:rPr>
        <w:t>证书证件均为原件扫描件，并</w:t>
      </w:r>
      <w:r>
        <w:rPr>
          <w:rFonts w:hint="eastAsia" w:ascii="宋体" w:hAnsi="宋体" w:eastAsia="宋体" w:cs="宋体"/>
          <w:color w:val="auto"/>
          <w:spacing w:val="-1"/>
          <w:sz w:val="24"/>
          <w:szCs w:val="24"/>
          <w:highlight w:val="none"/>
        </w:rPr>
        <w:t>采用单位数字证书，按招标文件要求在相应位置加盖电子印章。</w:t>
      </w:r>
      <w:r>
        <w:rPr>
          <w:rFonts w:hint="eastAsia" w:ascii="宋体" w:hAnsi="宋体" w:eastAsia="宋体" w:cs="宋体"/>
          <w:color w:val="auto"/>
          <w:spacing w:val="-2"/>
          <w:sz w:val="24"/>
          <w:szCs w:val="24"/>
          <w:highlight w:val="none"/>
        </w:rPr>
        <w:t>投标文件中需个人签</w:t>
      </w:r>
      <w:r>
        <w:rPr>
          <w:rFonts w:hint="eastAsia" w:ascii="宋体" w:hAnsi="宋体" w:eastAsia="宋体" w:cs="宋体"/>
          <w:color w:val="auto"/>
          <w:spacing w:val="-1"/>
          <w:sz w:val="24"/>
          <w:szCs w:val="24"/>
          <w:highlight w:val="none"/>
        </w:rPr>
        <w:t>字或盖章的，应加盖个人电子印章或在线下完成后扫描上传。按</w:t>
      </w:r>
      <w:r>
        <w:rPr>
          <w:rFonts w:hint="eastAsia" w:ascii="宋体" w:hAnsi="宋体" w:eastAsia="宋体" w:cs="宋体"/>
          <w:color w:val="auto"/>
          <w:spacing w:val="-2"/>
          <w:sz w:val="24"/>
          <w:szCs w:val="24"/>
          <w:highlight w:val="none"/>
        </w:rPr>
        <w:t>照交易平台关于全流</w:t>
      </w:r>
      <w:r>
        <w:rPr>
          <w:rFonts w:hint="eastAsia" w:ascii="宋体" w:hAnsi="宋体" w:eastAsia="宋体" w:cs="宋体"/>
          <w:color w:val="auto"/>
          <w:spacing w:val="-7"/>
          <w:sz w:val="24"/>
          <w:szCs w:val="24"/>
          <w:highlight w:val="none"/>
        </w:rPr>
        <w:t>程电子化项目的相关指南进行操作。详见：全国公共资源</w:t>
      </w:r>
      <w:r>
        <w:rPr>
          <w:rFonts w:hint="eastAsia" w:ascii="宋体" w:hAnsi="宋体" w:eastAsia="宋体" w:cs="宋体"/>
          <w:color w:val="auto"/>
          <w:spacing w:val="-8"/>
          <w:sz w:val="24"/>
          <w:szCs w:val="24"/>
          <w:highlight w:val="none"/>
        </w:rPr>
        <w:t>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8"/>
          <w:sz w:val="24"/>
          <w:szCs w:val="24"/>
          <w:highlight w:val="none"/>
        </w:rPr>
        <w:t>·韶关市）</w:t>
      </w:r>
      <w:r>
        <w:rPr>
          <w:rFonts w:hint="eastAsia" w:ascii="宋体" w:hAnsi="宋体" w:eastAsia="宋体" w:cs="宋体"/>
          <w:color w:val="auto"/>
          <w:spacing w:val="-2"/>
          <w:sz w:val="24"/>
          <w:szCs w:val="24"/>
          <w:highlight w:val="none"/>
        </w:rPr>
        <w:t>交易指引。</w:t>
      </w:r>
    </w:p>
    <w:p w14:paraId="217CF466">
      <w:pPr>
        <w:spacing w:before="1" w:line="219" w:lineRule="auto"/>
        <w:ind w:left="57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10.1.3  </w:t>
      </w:r>
      <w:r>
        <w:rPr>
          <w:rFonts w:hint="eastAsia" w:ascii="宋体" w:hAnsi="宋体" w:eastAsia="宋体" w:cs="宋体"/>
          <w:color w:val="auto"/>
          <w:spacing w:val="-1"/>
          <w:sz w:val="24"/>
          <w:szCs w:val="24"/>
          <w:highlight w:val="none"/>
        </w:rPr>
        <w:t>投标文件需按以下要求签字、盖章：电子投标文件：</w:t>
      </w:r>
    </w:p>
    <w:p w14:paraId="4EB2C279">
      <w:pPr>
        <w:spacing w:before="111" w:line="279" w:lineRule="auto"/>
        <w:ind w:right="133" w:firstLine="579"/>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w:t>
      </w:r>
      <w:r>
        <w:rPr>
          <w:rFonts w:hint="eastAsia" w:ascii="宋体" w:hAnsi="宋体" w:eastAsia="宋体" w:cs="宋体"/>
          <w:color w:val="auto"/>
          <w:spacing w:val="-3"/>
          <w:sz w:val="24"/>
          <w:szCs w:val="24"/>
          <w:highlight w:val="none"/>
        </w:rPr>
        <w:t>内容中凡注明“签字</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3"/>
          <w:sz w:val="24"/>
          <w:szCs w:val="24"/>
          <w:highlight w:val="none"/>
        </w:rPr>
        <w:t>”处由要求的人员签字或电子</w:t>
      </w:r>
      <w:r>
        <w:rPr>
          <w:rFonts w:hint="eastAsia" w:ascii="宋体" w:hAnsi="宋体" w:eastAsia="宋体" w:cs="宋体"/>
          <w:color w:val="auto"/>
          <w:spacing w:val="-2"/>
          <w:sz w:val="24"/>
          <w:szCs w:val="24"/>
          <w:highlight w:val="none"/>
        </w:rPr>
        <w:t>签章；凡注明“签字或盖章</w:t>
      </w:r>
      <w:r>
        <w:rPr>
          <w:rFonts w:hint="eastAsia" w:ascii="宋体" w:hAnsi="宋体" w:eastAsia="宋体" w:cs="宋体"/>
          <w:color w:val="auto"/>
          <w:spacing w:val="-87"/>
          <w:sz w:val="24"/>
          <w:szCs w:val="24"/>
          <w:highlight w:val="none"/>
        </w:rPr>
        <w:t xml:space="preserve"> </w:t>
      </w:r>
      <w:r>
        <w:rPr>
          <w:rFonts w:hint="eastAsia" w:ascii="宋体" w:hAnsi="宋体" w:eastAsia="宋体" w:cs="宋体"/>
          <w:color w:val="auto"/>
          <w:spacing w:val="-2"/>
          <w:sz w:val="24"/>
          <w:szCs w:val="24"/>
          <w:highlight w:val="none"/>
        </w:rPr>
        <w:t>”处由要求的人员签字或盖其私章（</w:t>
      </w:r>
      <w:r>
        <w:rPr>
          <w:rFonts w:hint="eastAsia" w:ascii="宋体" w:hAnsi="宋体" w:eastAsia="宋体" w:cs="宋体"/>
          <w:color w:val="auto"/>
          <w:spacing w:val="-2"/>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2"/>
          <w:sz w:val="24"/>
          <w:szCs w:val="24"/>
          <w:highlight w:val="none"/>
        </w:rPr>
        <w:t>凡注明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“签字并盖执业印章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”处由要求的人员签字并盖其执业印</w:t>
      </w:r>
      <w:r>
        <w:rPr>
          <w:rFonts w:hint="eastAsia" w:ascii="宋体" w:hAnsi="宋体" w:eastAsia="宋体" w:cs="宋体"/>
          <w:color w:val="auto"/>
          <w:spacing w:val="-2"/>
          <w:sz w:val="24"/>
          <w:szCs w:val="24"/>
          <w:highlight w:val="none"/>
        </w:rPr>
        <w:t>章。</w:t>
      </w:r>
    </w:p>
    <w:p w14:paraId="0B072D3C">
      <w:pPr>
        <w:spacing w:before="112" w:line="264" w:lineRule="auto"/>
        <w:ind w:left="13" w:right="133" w:firstLine="565"/>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10.1.3.2</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投标文件封面、组成内容中凡要求录入投标人名称且注明“盖单</w:t>
      </w:r>
      <w:r>
        <w:rPr>
          <w:rFonts w:hint="eastAsia" w:ascii="宋体" w:hAnsi="宋体" w:eastAsia="宋体" w:cs="宋体"/>
          <w:color w:val="auto"/>
          <w:spacing w:val="-3"/>
          <w:sz w:val="24"/>
          <w:szCs w:val="24"/>
          <w:highlight w:val="none"/>
        </w:rPr>
        <w:t>位章</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3"/>
          <w:sz w:val="24"/>
          <w:szCs w:val="24"/>
          <w:highlight w:val="none"/>
        </w:rPr>
        <w:t>”处盖单位法人公章（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w:t>
      </w:r>
    </w:p>
    <w:p w14:paraId="0CBE0BD0">
      <w:pPr>
        <w:spacing w:before="146" w:line="279" w:lineRule="auto"/>
        <w:ind w:left="16" w:right="135" w:firstLine="562"/>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"10.1.3.3"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10.1.3.3</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投标文件的签字均为签字人本人亲笔署名或签章</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2"/>
          <w:sz w:val="24"/>
          <w:szCs w:val="24"/>
          <w:highlight w:val="none"/>
        </w:rPr>
        <w:t>电子印章</w:t>
      </w:r>
      <w:r>
        <w:rPr>
          <w:rFonts w:hint="eastAsia" w:ascii="宋体" w:hAnsi="宋体" w:eastAsia="宋体" w:cs="宋体"/>
          <w:color w:val="auto"/>
          <w:spacing w:val="-14"/>
          <w:sz w:val="24"/>
          <w:szCs w:val="24"/>
          <w:highlight w:val="none"/>
        </w:rPr>
        <w:t>），</w:t>
      </w:r>
      <w:r>
        <w:rPr>
          <w:rFonts w:hint="eastAsia" w:ascii="宋体" w:hAnsi="宋体" w:eastAsia="宋体" w:cs="宋体"/>
          <w:color w:val="auto"/>
          <w:spacing w:val="-2"/>
          <w:sz w:val="24"/>
          <w:szCs w:val="24"/>
          <w:highlight w:val="none"/>
        </w:rPr>
        <w:t>其余部</w:t>
      </w:r>
      <w:r>
        <w:rPr>
          <w:rFonts w:hint="eastAsia" w:ascii="宋体" w:hAnsi="宋体" w:eastAsia="宋体" w:cs="宋体"/>
          <w:color w:val="auto"/>
          <w:spacing w:val="-1"/>
          <w:sz w:val="24"/>
          <w:szCs w:val="24"/>
          <w:highlight w:val="none"/>
        </w:rPr>
        <w:t>分的复印件无须另行签字、盖章。</w:t>
      </w:r>
    </w:p>
    <w:p w14:paraId="35B67328">
      <w:pPr>
        <w:spacing w:before="155" w:line="219" w:lineRule="auto"/>
        <w:ind w:left="0" w:leftChars="0" w:firstLine="474" w:firstLineChars="200"/>
        <w:outlineLvl w:val="3"/>
        <w:rPr>
          <w:rFonts w:hint="eastAsia" w:ascii="宋体" w:hAnsi="宋体" w:eastAsia="宋体" w:cs="宋体"/>
          <w:b w:val="0"/>
          <w:bCs w:val="0"/>
          <w:color w:val="auto"/>
          <w:spacing w:val="-2"/>
          <w:sz w:val="24"/>
          <w:szCs w:val="24"/>
          <w:highlight w:val="none"/>
        </w:rPr>
      </w:pPr>
      <w:bookmarkStart w:id="46" w:name="_Toc21271"/>
      <w:bookmarkStart w:id="47" w:name="_Toc20223"/>
      <w:r>
        <w:rPr>
          <w:rFonts w:hint="eastAsia" w:ascii="宋体" w:hAnsi="宋体" w:eastAsia="宋体" w:cs="宋体"/>
          <w:b/>
          <w:bCs/>
          <w:color w:val="auto"/>
          <w:spacing w:val="-2"/>
          <w:sz w:val="24"/>
          <w:szCs w:val="24"/>
          <w:highlight w:val="none"/>
        </w:rPr>
        <w:t xml:space="preserve">10.1.3.4 </w:t>
      </w:r>
      <w:r>
        <w:rPr>
          <w:rFonts w:hint="eastAsia" w:ascii="宋体" w:hAnsi="宋体" w:eastAsia="宋体" w:cs="宋体"/>
          <w:color w:val="auto"/>
          <w:spacing w:val="-3"/>
          <w:sz w:val="24"/>
          <w:szCs w:val="24"/>
          <w:highlight w:val="none"/>
        </w:rPr>
        <w:t>联合体投标的，除《联合体协议书》外，由联合体牵头人按以上要求签亲笔署名或签章（</w:t>
      </w:r>
      <w:r>
        <w:rPr>
          <w:rFonts w:hint="eastAsia" w:ascii="宋体" w:hAnsi="宋体" w:eastAsia="宋体" w:cs="宋体"/>
          <w:color w:val="auto"/>
          <w:spacing w:val="-3"/>
          <w:sz w:val="24"/>
          <w:szCs w:val="24"/>
          <w:highlight w:val="none"/>
          <w:lang w:val="en-US" w:eastAsia="zh-CN"/>
        </w:rPr>
        <w:t>含</w:t>
      </w:r>
      <w:r>
        <w:rPr>
          <w:rFonts w:hint="eastAsia" w:ascii="宋体" w:hAnsi="宋体" w:eastAsia="宋体" w:cs="宋体"/>
          <w:color w:val="auto"/>
          <w:spacing w:val="-3"/>
          <w:sz w:val="24"/>
          <w:szCs w:val="24"/>
          <w:highlight w:val="none"/>
        </w:rPr>
        <w:t>电子印章）即可。</w:t>
      </w:r>
    </w:p>
    <w:p w14:paraId="149EA5DD">
      <w:pPr>
        <w:spacing w:before="155" w:line="219" w:lineRule="auto"/>
        <w:ind w:left="500"/>
        <w:outlineLvl w:val="3"/>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10.2  商务标书的编制要求</w:t>
      </w:r>
      <w:bookmarkEnd w:id="46"/>
      <w:bookmarkEnd w:id="47"/>
    </w:p>
    <w:p w14:paraId="09D418EF">
      <w:pPr>
        <w:spacing w:before="157" w:line="219" w:lineRule="auto"/>
        <w:ind w:left="581"/>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10.2.1 </w:t>
      </w:r>
      <w:r>
        <w:rPr>
          <w:rFonts w:hint="eastAsia" w:ascii="宋体" w:hAnsi="宋体" w:eastAsia="宋体" w:cs="宋体"/>
          <w:color w:val="auto"/>
          <w:spacing w:val="-1"/>
          <w:sz w:val="24"/>
          <w:szCs w:val="24"/>
          <w:highlight w:val="none"/>
        </w:rPr>
        <w:t>商务标书包括但不限于以下内容：</w:t>
      </w:r>
    </w:p>
    <w:p w14:paraId="7A133846">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2ADBEC65">
      <w:pPr>
        <w:spacing w:before="153" w:line="222"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796DB9CA">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（3）《投标函》（格式二</w:t>
      </w:r>
      <w:r>
        <w:rPr>
          <w:rFonts w:hint="eastAsia" w:ascii="宋体" w:hAnsi="宋体" w:eastAsia="宋体" w:cs="宋体"/>
          <w:color w:val="auto"/>
          <w:spacing w:val="1"/>
          <w:sz w:val="24"/>
          <w:szCs w:val="24"/>
          <w:highlight w:val="none"/>
        </w:rPr>
        <w:t>）；</w:t>
      </w:r>
    </w:p>
    <w:p w14:paraId="5EEB9573">
      <w:pPr>
        <w:spacing w:before="153"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（4）《各项承诺一览表》（格式三</w:t>
      </w:r>
      <w:r>
        <w:rPr>
          <w:rFonts w:hint="eastAsia" w:ascii="宋体" w:hAnsi="宋体" w:eastAsia="宋体" w:cs="宋体"/>
          <w:color w:val="auto"/>
          <w:spacing w:val="5"/>
          <w:sz w:val="24"/>
          <w:szCs w:val="24"/>
          <w:highlight w:val="none"/>
        </w:rPr>
        <w:t>）；</w:t>
      </w:r>
    </w:p>
    <w:p w14:paraId="2EEF341D">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（5）《授权委托书》（格式四</w:t>
      </w:r>
      <w:r>
        <w:rPr>
          <w:rFonts w:hint="eastAsia" w:ascii="宋体" w:hAnsi="宋体" w:eastAsia="宋体" w:cs="宋体"/>
          <w:color w:val="auto"/>
          <w:spacing w:val="3"/>
          <w:sz w:val="24"/>
          <w:szCs w:val="24"/>
          <w:highlight w:val="none"/>
        </w:rPr>
        <w:t>）；</w:t>
      </w:r>
    </w:p>
    <w:p w14:paraId="7D3A1941">
      <w:pPr>
        <w:spacing w:before="156"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（6）《法定代表人身份证明》（格式五</w:t>
      </w:r>
      <w:r>
        <w:rPr>
          <w:rFonts w:hint="eastAsia" w:ascii="宋体" w:hAnsi="宋体" w:eastAsia="宋体" w:cs="宋体"/>
          <w:color w:val="auto"/>
          <w:spacing w:val="7"/>
          <w:sz w:val="24"/>
          <w:szCs w:val="24"/>
          <w:highlight w:val="none"/>
        </w:rPr>
        <w:t>）；</w:t>
      </w:r>
    </w:p>
    <w:p w14:paraId="49C24569">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（7）《联合体协议书》（格式六）及所附资料；</w:t>
      </w:r>
    </w:p>
    <w:p w14:paraId="7065F65E">
      <w:pPr>
        <w:spacing w:before="153" w:line="309" w:lineRule="auto"/>
        <w:ind w:left="13" w:right="133"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（8）投标保证缴纳证明（投标人采用投标保证金的，附建</w:t>
      </w:r>
      <w:r>
        <w:rPr>
          <w:rFonts w:hint="eastAsia" w:ascii="宋体" w:hAnsi="宋体" w:eastAsia="宋体" w:cs="宋体"/>
          <w:color w:val="auto"/>
          <w:spacing w:val="1"/>
          <w:sz w:val="24"/>
          <w:szCs w:val="24"/>
          <w:highlight w:val="none"/>
        </w:rPr>
        <w:t>设工程交易系统《缴</w:t>
      </w:r>
      <w:r>
        <w:rPr>
          <w:rFonts w:hint="eastAsia" w:ascii="宋体" w:hAnsi="宋体" w:eastAsia="宋体" w:cs="宋体"/>
          <w:color w:val="auto"/>
          <w:spacing w:val="-1"/>
          <w:sz w:val="24"/>
          <w:szCs w:val="24"/>
          <w:highlight w:val="none"/>
        </w:rPr>
        <w:t>纳投标保证金通知书》页面截图和银行转账单彩色扫描件；采</w:t>
      </w:r>
      <w:r>
        <w:rPr>
          <w:rFonts w:hint="eastAsia" w:ascii="宋体" w:hAnsi="宋体" w:eastAsia="宋体" w:cs="宋体"/>
          <w:color w:val="auto"/>
          <w:spacing w:val="-2"/>
          <w:sz w:val="24"/>
          <w:szCs w:val="24"/>
          <w:highlight w:val="none"/>
        </w:rPr>
        <w:t>用投标保证担保的，附银行保函彩色扫描件；采用投标保证保险的，附电子保单和</w:t>
      </w:r>
      <w:r>
        <w:rPr>
          <w:rFonts w:hint="eastAsia" w:ascii="宋体" w:hAnsi="宋体" w:eastAsia="宋体" w:cs="宋体"/>
          <w:b/>
          <w:bCs/>
          <w:color w:val="auto"/>
          <w:spacing w:val="-2"/>
          <w:sz w:val="24"/>
          <w:szCs w:val="24"/>
          <w:highlight w:val="none"/>
        </w:rPr>
        <w:t>《韶关市公共资源交易一</w:t>
      </w:r>
      <w:r>
        <w:rPr>
          <w:rFonts w:hint="eastAsia" w:ascii="宋体" w:hAnsi="宋体" w:eastAsia="宋体" w:cs="宋体"/>
          <w:b/>
          <w:bCs/>
          <w:color w:val="auto"/>
          <w:spacing w:val="-3"/>
          <w:sz w:val="24"/>
          <w:szCs w:val="24"/>
          <w:highlight w:val="none"/>
        </w:rPr>
        <w:t>体化平台保证金缴纳信息》页面截图</w:t>
      </w:r>
      <w:r>
        <w:rPr>
          <w:rFonts w:hint="eastAsia" w:ascii="宋体" w:hAnsi="宋体" w:eastAsia="宋体" w:cs="宋体"/>
          <w:color w:val="auto"/>
          <w:spacing w:val="4"/>
          <w:sz w:val="24"/>
          <w:szCs w:val="24"/>
          <w:highlight w:val="none"/>
        </w:rPr>
        <w:t>）；</w:t>
      </w:r>
    </w:p>
    <w:p w14:paraId="1196EDC9">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（9）《投标人基本情况表》（格式七）及所附资料；</w:t>
      </w:r>
    </w:p>
    <w:p w14:paraId="625E3C02">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（10）《项目经理简历表》（格式八）及所附资料；</w:t>
      </w:r>
    </w:p>
    <w:p w14:paraId="43069717">
      <w:pPr>
        <w:spacing w:before="154" w:line="220"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（11）《项目经理任职声明》（格式九</w:t>
      </w:r>
      <w:r>
        <w:rPr>
          <w:rFonts w:hint="eastAsia" w:ascii="宋体" w:hAnsi="宋体" w:eastAsia="宋体" w:cs="宋体"/>
          <w:color w:val="auto"/>
          <w:spacing w:val="7"/>
          <w:sz w:val="24"/>
          <w:szCs w:val="24"/>
          <w:highlight w:val="none"/>
        </w:rPr>
        <w:t>）；</w:t>
      </w:r>
    </w:p>
    <w:p w14:paraId="5600AAC3">
      <w:pPr>
        <w:spacing w:before="156"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（12）《项目技术负责人简历表》（格式十）及所附资料；</w:t>
      </w:r>
    </w:p>
    <w:p w14:paraId="4A2E911F">
      <w:pPr>
        <w:spacing w:before="154"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（13）《项</w:t>
      </w:r>
      <w:bookmarkStart w:id="48" w:name="OLE_LINK7"/>
      <w:r>
        <w:rPr>
          <w:rFonts w:hint="eastAsia" w:ascii="宋体" w:hAnsi="宋体" w:eastAsia="宋体" w:cs="宋体"/>
          <w:color w:val="auto"/>
          <w:spacing w:val="-1"/>
          <w:sz w:val="24"/>
          <w:szCs w:val="24"/>
          <w:highlight w:val="none"/>
        </w:rPr>
        <w:t>目管理机构组成表》（格式十一）及</w:t>
      </w:r>
      <w:bookmarkEnd w:id="48"/>
      <w:r>
        <w:rPr>
          <w:rFonts w:hint="eastAsia" w:ascii="宋体" w:hAnsi="宋体" w:eastAsia="宋体" w:cs="宋体"/>
          <w:color w:val="auto"/>
          <w:spacing w:val="-1"/>
          <w:sz w:val="24"/>
          <w:szCs w:val="24"/>
          <w:highlight w:val="none"/>
        </w:rPr>
        <w:t>所附资料；</w:t>
      </w:r>
    </w:p>
    <w:p w14:paraId="58C0C275">
      <w:pPr>
        <w:spacing w:before="155" w:line="219" w:lineRule="auto"/>
        <w:ind w:left="505"/>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（14）本节第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4"/>
          <w:sz w:val="24"/>
          <w:szCs w:val="24"/>
          <w:highlight w:val="none"/>
        </w:rPr>
        <w:t>15.</w:t>
      </w:r>
      <w:r>
        <w:rPr>
          <w:rFonts w:hint="eastAsia" w:ascii="宋体" w:hAnsi="宋体" w:eastAsia="宋体" w:cs="宋体"/>
          <w:b/>
          <w:bCs/>
          <w:color w:val="auto"/>
          <w:spacing w:val="-4"/>
          <w:sz w:val="24"/>
          <w:szCs w:val="24"/>
          <w:highlight w:val="none"/>
          <w:lang w:val="en-US" w:eastAsia="zh-CN"/>
        </w:rPr>
        <w:t>6</w:t>
      </w:r>
      <w:r>
        <w:rPr>
          <w:rFonts w:hint="eastAsia" w:ascii="宋体" w:hAnsi="宋体" w:eastAsia="宋体" w:cs="宋体"/>
          <w:b/>
          <w:bCs/>
          <w:color w:val="auto"/>
          <w:spacing w:val="-4"/>
          <w:sz w:val="24"/>
          <w:szCs w:val="24"/>
          <w:highlight w:val="none"/>
        </w:rPr>
        <w:t>.1</w:t>
      </w:r>
      <w:r>
        <w:rPr>
          <w:rFonts w:hint="eastAsia" w:ascii="宋体" w:hAnsi="宋体" w:eastAsia="宋体" w:cs="宋体"/>
          <w:color w:val="auto"/>
          <w:spacing w:val="-4"/>
          <w:sz w:val="24"/>
          <w:szCs w:val="24"/>
          <w:highlight w:val="none"/>
        </w:rPr>
        <w:t>目“评标方法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”要求提供的</w:t>
      </w:r>
      <w:r>
        <w:rPr>
          <w:rFonts w:hint="eastAsia" w:ascii="宋体" w:hAnsi="宋体" w:eastAsia="宋体" w:cs="宋体"/>
          <w:color w:val="auto"/>
          <w:spacing w:val="-5"/>
          <w:sz w:val="24"/>
          <w:szCs w:val="24"/>
          <w:highlight w:val="none"/>
        </w:rPr>
        <w:t>评审资料；</w:t>
      </w:r>
    </w:p>
    <w:p w14:paraId="47D20E97">
      <w:pPr>
        <w:spacing w:before="78" w:line="299" w:lineRule="auto"/>
        <w:ind w:left="8" w:right="61" w:firstLine="49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（15）投标人认为有必要补充的其他资料。（例如投标人已经工商变更，但其企</w:t>
      </w:r>
      <w:r>
        <w:rPr>
          <w:rFonts w:hint="eastAsia" w:ascii="宋体" w:hAnsi="宋体" w:eastAsia="宋体" w:cs="宋体"/>
          <w:color w:val="auto"/>
          <w:spacing w:val="-1"/>
          <w:sz w:val="24"/>
          <w:szCs w:val="24"/>
          <w:highlight w:val="none"/>
        </w:rPr>
        <w:t>业资质证书、安全生产许可证或其员工执业资格注册证书上的企</w:t>
      </w:r>
      <w:r>
        <w:rPr>
          <w:rFonts w:hint="eastAsia" w:ascii="宋体" w:hAnsi="宋体" w:eastAsia="宋体" w:cs="宋体"/>
          <w:color w:val="auto"/>
          <w:spacing w:val="-2"/>
          <w:sz w:val="24"/>
          <w:szCs w:val="24"/>
          <w:highlight w:val="none"/>
        </w:rPr>
        <w:t>业名称未能在投标期</w:t>
      </w:r>
      <w:r>
        <w:rPr>
          <w:rFonts w:hint="eastAsia" w:ascii="宋体" w:hAnsi="宋体" w:eastAsia="宋体" w:cs="宋体"/>
          <w:color w:val="auto"/>
          <w:spacing w:val="-1"/>
          <w:sz w:val="24"/>
          <w:szCs w:val="24"/>
          <w:highlight w:val="none"/>
        </w:rPr>
        <w:t>间完成变更的书面说明和佐证材料等）</w:t>
      </w:r>
    </w:p>
    <w:p w14:paraId="24149AB2">
      <w:pPr>
        <w:spacing w:before="155" w:line="262" w:lineRule="auto"/>
        <w:ind w:left="9" w:right="61" w:firstLine="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10.2.2  </w:t>
      </w:r>
      <w:r>
        <w:rPr>
          <w:rFonts w:hint="eastAsia" w:ascii="宋体" w:hAnsi="宋体" w:eastAsia="宋体" w:cs="宋体"/>
          <w:color w:val="auto"/>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z w:val="24"/>
          <w:szCs w:val="24"/>
          <w:highlight w:val="none"/>
        </w:rPr>
        <w:t>10.2.1</w:t>
      </w:r>
      <w:r>
        <w:rPr>
          <w:rFonts w:hint="eastAsia" w:ascii="宋体" w:hAnsi="宋体" w:eastAsia="宋体" w:cs="宋体"/>
          <w:color w:val="auto"/>
          <w:sz w:val="24"/>
          <w:szCs w:val="24"/>
          <w:highlight w:val="none"/>
        </w:rPr>
        <w:t>目中所列出的商务标书组成内容中，第（</w:t>
      </w:r>
      <w:r>
        <w:rPr>
          <w:rFonts w:hint="eastAsia" w:ascii="宋体" w:hAnsi="宋体" w:eastAsia="宋体" w:cs="宋体"/>
          <w:color w:val="auto"/>
          <w:spacing w:val="-1"/>
          <w:sz w:val="24"/>
          <w:szCs w:val="24"/>
          <w:highlight w:val="none"/>
        </w:rPr>
        <w:t>1）至第（13）项</w:t>
      </w:r>
      <w:r>
        <w:rPr>
          <w:rFonts w:hint="eastAsia" w:ascii="宋体" w:hAnsi="宋体" w:eastAsia="宋体" w:cs="宋体"/>
          <w:color w:val="auto"/>
          <w:sz w:val="24"/>
          <w:szCs w:val="24"/>
          <w:highlight w:val="none"/>
        </w:rPr>
        <w:t>所有投标人均应提供，</w:t>
      </w:r>
      <w:r>
        <w:rPr>
          <w:rFonts w:hint="eastAsia" w:ascii="宋体" w:hAnsi="宋体" w:eastAsia="宋体" w:cs="宋体"/>
          <w:b/>
          <w:bCs/>
          <w:color w:val="auto"/>
          <w:sz w:val="24"/>
          <w:szCs w:val="24"/>
          <w:highlight w:val="none"/>
        </w:rPr>
        <w:t>但非联合体投标的，</w:t>
      </w:r>
      <w:r>
        <w:rPr>
          <w:rFonts w:hint="eastAsia" w:ascii="宋体" w:hAnsi="宋体" w:eastAsia="宋体" w:cs="宋体"/>
          <w:b/>
          <w:bCs/>
          <w:color w:val="auto"/>
          <w:spacing w:val="-1"/>
          <w:sz w:val="24"/>
          <w:szCs w:val="24"/>
          <w:highlight w:val="none"/>
        </w:rPr>
        <w:t>无需提供第（7）项内容。</w:t>
      </w:r>
    </w:p>
    <w:p w14:paraId="189FCE5F">
      <w:pPr>
        <w:spacing w:before="199" w:line="279" w:lineRule="auto"/>
        <w:ind w:right="61"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10.2.3 </w:t>
      </w:r>
      <w:r>
        <w:rPr>
          <w:rFonts w:hint="eastAsia" w:ascii="宋体" w:hAnsi="宋体" w:eastAsia="宋体" w:cs="宋体"/>
          <w:color w:val="auto"/>
          <w:spacing w:val="-8"/>
          <w:sz w:val="24"/>
          <w:szCs w:val="24"/>
          <w:highlight w:val="none"/>
        </w:rPr>
        <w:t>商务标书的组成内容按本节第 10.2.1 目规定的顺序整理、编排后，逐页（页</w:t>
      </w:r>
      <w:r>
        <w:rPr>
          <w:rFonts w:hint="eastAsia" w:ascii="宋体" w:hAnsi="宋体" w:eastAsia="宋体" w:cs="宋体"/>
          <w:color w:val="auto"/>
          <w:spacing w:val="-1"/>
          <w:sz w:val="24"/>
          <w:szCs w:val="24"/>
          <w:highlight w:val="none"/>
        </w:rPr>
        <w:t>码起始从封面开始）连续标记页码。</w:t>
      </w:r>
    </w:p>
    <w:p w14:paraId="00D341F8">
      <w:pPr>
        <w:pStyle w:val="5"/>
        <w:spacing w:line="257" w:lineRule="auto"/>
        <w:rPr>
          <w:rFonts w:hint="eastAsia" w:ascii="宋体" w:hAnsi="宋体" w:eastAsia="宋体" w:cs="宋体"/>
          <w:color w:val="auto"/>
          <w:highlight w:val="none"/>
        </w:rPr>
      </w:pPr>
    </w:p>
    <w:p w14:paraId="05E2DA61">
      <w:pPr>
        <w:spacing w:before="78" w:line="219" w:lineRule="auto"/>
        <w:ind w:left="496"/>
        <w:outlineLvl w:val="3"/>
        <w:rPr>
          <w:rFonts w:hint="eastAsia" w:ascii="宋体" w:hAnsi="宋体" w:eastAsia="宋体" w:cs="宋体"/>
          <w:b/>
          <w:bCs/>
          <w:color w:val="auto"/>
          <w:sz w:val="24"/>
          <w:szCs w:val="24"/>
          <w:highlight w:val="none"/>
        </w:rPr>
      </w:pPr>
      <w:bookmarkStart w:id="49" w:name="_Toc29370"/>
      <w:bookmarkStart w:id="50" w:name="_Toc10602"/>
      <w:r>
        <w:rPr>
          <w:rFonts w:hint="eastAsia" w:ascii="宋体" w:hAnsi="宋体" w:eastAsia="宋体" w:cs="宋体"/>
          <w:b/>
          <w:bCs/>
          <w:color w:val="auto"/>
          <w:spacing w:val="-2"/>
          <w:sz w:val="24"/>
          <w:szCs w:val="24"/>
          <w:highlight w:val="none"/>
        </w:rPr>
        <w:t>10.3  经济标书的编制要求</w:t>
      </w:r>
      <w:bookmarkEnd w:id="49"/>
      <w:bookmarkEnd w:id="50"/>
    </w:p>
    <w:p w14:paraId="4D7F8054">
      <w:pPr>
        <w:spacing w:before="154"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10.3.1  </w:t>
      </w:r>
      <w:r>
        <w:rPr>
          <w:rFonts w:hint="eastAsia" w:ascii="宋体" w:hAnsi="宋体" w:eastAsia="宋体" w:cs="宋体"/>
          <w:color w:val="auto"/>
          <w:spacing w:val="-1"/>
          <w:sz w:val="24"/>
          <w:szCs w:val="24"/>
          <w:highlight w:val="none"/>
        </w:rPr>
        <w:t>经济标书包括以下内容：</w:t>
      </w:r>
    </w:p>
    <w:p w14:paraId="047BAC7D">
      <w:pPr>
        <w:spacing w:before="156"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6558A67D">
      <w:pPr>
        <w:spacing w:before="153"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1ADD06E">
      <w:pPr>
        <w:spacing w:before="150"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（3）《投标总价》(即表B.3.1)；</w:t>
      </w:r>
    </w:p>
    <w:p w14:paraId="0D903CB7">
      <w:pPr>
        <w:spacing w:before="157" w:line="219" w:lineRule="auto"/>
        <w:ind w:left="49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说明：《投标总价》的格式按照《建设工程工程量</w:t>
      </w:r>
      <w:r>
        <w:rPr>
          <w:rFonts w:hint="eastAsia" w:ascii="宋体" w:hAnsi="宋体" w:eastAsia="宋体" w:cs="宋体"/>
          <w:color w:val="auto"/>
          <w:spacing w:val="-1"/>
          <w:sz w:val="24"/>
          <w:szCs w:val="24"/>
          <w:highlight w:val="none"/>
        </w:rPr>
        <w:t>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w:t>
      </w:r>
    </w:p>
    <w:p w14:paraId="19D1E9E0">
      <w:pPr>
        <w:spacing w:before="155" w:line="220" w:lineRule="auto"/>
        <w:ind w:left="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）执行，并应满足以下要求：</w:t>
      </w:r>
    </w:p>
    <w:p w14:paraId="578C4661">
      <w:pPr>
        <w:spacing w:before="150" w:line="309" w:lineRule="auto"/>
        <w:ind w:left="8"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a</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color w:val="auto"/>
          <w:spacing w:val="-2"/>
          <w:sz w:val="24"/>
          <w:szCs w:val="24"/>
          <w:highlight w:val="none"/>
        </w:rPr>
        <w:t>．《投标总价扉页》(即表</w:t>
      </w:r>
      <w:r>
        <w:rPr>
          <w:rFonts w:hint="eastAsia" w:ascii="宋体" w:hAnsi="宋体" w:eastAsia="宋体" w:cs="宋体"/>
          <w:color w:val="auto"/>
          <w:spacing w:val="-2"/>
          <w:sz w:val="24"/>
          <w:szCs w:val="24"/>
          <w:highlight w:val="none"/>
          <w:lang w:val="en-US" w:eastAsia="zh-CN"/>
        </w:rPr>
        <w:t>C</w:t>
      </w:r>
      <w:r>
        <w:rPr>
          <w:rFonts w:hint="eastAsia" w:ascii="宋体" w:hAnsi="宋体" w:eastAsia="宋体" w:cs="宋体"/>
          <w:color w:val="auto"/>
          <w:spacing w:val="-2"/>
          <w:sz w:val="24"/>
          <w:szCs w:val="24"/>
          <w:highlight w:val="none"/>
        </w:rPr>
        <w:t>.3.1)后应附编制人的造价工程师注册证书彩色扫描件（须扫描至变更注册栏，</w:t>
      </w:r>
      <w:r>
        <w:rPr>
          <w:rFonts w:hint="eastAsia" w:ascii="宋体" w:hAnsi="宋体" w:eastAsia="宋体" w:cs="宋体"/>
          <w:b/>
          <w:bCs/>
          <w:color w:val="auto"/>
          <w:spacing w:val="-2"/>
          <w:sz w:val="24"/>
          <w:szCs w:val="24"/>
          <w:highlight w:val="none"/>
        </w:rPr>
        <w:t>一级造价师或二级造价师均可提供电子证书</w:t>
      </w:r>
      <w:r>
        <w:rPr>
          <w:rFonts w:hint="eastAsia" w:ascii="宋体" w:hAnsi="宋体" w:eastAsia="宋体" w:cs="宋体"/>
          <w:color w:val="auto"/>
          <w:spacing w:val="-2"/>
          <w:sz w:val="24"/>
          <w:szCs w:val="24"/>
          <w:highlight w:val="none"/>
        </w:rPr>
        <w:t>）；投标人委托造价咨询单位编制《投标总价》的，在该扉页“投标人 ”栏目加盖造价</w:t>
      </w:r>
      <w:r>
        <w:rPr>
          <w:rFonts w:hint="eastAsia" w:ascii="宋体" w:hAnsi="宋体" w:eastAsia="宋体" w:cs="宋体"/>
          <w:color w:val="auto"/>
          <w:spacing w:val="-7"/>
          <w:sz w:val="24"/>
          <w:szCs w:val="24"/>
          <w:highlight w:val="none"/>
        </w:rPr>
        <w:t>咨询人公章，</w:t>
      </w:r>
      <w:r>
        <w:rPr>
          <w:rFonts w:hint="eastAsia" w:ascii="宋体" w:hAnsi="宋体" w:eastAsia="宋体" w:cs="宋体"/>
          <w:color w:val="auto"/>
          <w:spacing w:val="-1"/>
          <w:sz w:val="24"/>
          <w:szCs w:val="24"/>
          <w:highlight w:val="none"/>
        </w:rPr>
        <w:t>并在该扉页后附造价咨询人的营业执照副本彩色扫描件。</w:t>
      </w:r>
    </w:p>
    <w:p w14:paraId="722B1CB1">
      <w:pPr>
        <w:spacing w:before="119" w:line="314" w:lineRule="auto"/>
        <w:ind w:left="10" w:right="61" w:firstLine="474"/>
        <w:rPr>
          <w:rFonts w:hint="eastAsia" w:ascii="宋体" w:hAnsi="宋体" w:eastAsia="宋体" w:cs="宋体"/>
          <w:b/>
          <w:bCs/>
          <w:color w:val="auto"/>
          <w:spacing w:val="2"/>
          <w:sz w:val="24"/>
          <w:szCs w:val="24"/>
          <w:highlight w:val="none"/>
          <w:lang w:val="en-US" w:eastAsia="zh-CN"/>
        </w:rPr>
      </w:pPr>
      <w:r>
        <w:rPr>
          <w:rFonts w:hint="eastAsia" w:ascii="宋体" w:hAnsi="宋体" w:eastAsia="宋体" w:cs="宋体"/>
          <w:b/>
          <w:bCs/>
          <w:color w:val="auto"/>
          <w:spacing w:val="2"/>
          <w:sz w:val="24"/>
          <w:szCs w:val="24"/>
          <w:highlight w:val="none"/>
        </w:rPr>
        <w:t xml:space="preserve">b.  </w:t>
      </w:r>
      <w:r>
        <w:rPr>
          <w:rFonts w:hint="eastAsia" w:ascii="宋体" w:hAnsi="宋体" w:eastAsia="宋体" w:cs="宋体"/>
          <w:b w:val="0"/>
          <w:bCs w:val="0"/>
          <w:color w:val="auto"/>
          <w:spacing w:val="2"/>
          <w:sz w:val="24"/>
          <w:szCs w:val="24"/>
          <w:highlight w:val="none"/>
        </w:rPr>
        <w:t>《投标报价填报说明》(即表D.2.1)中的填写内容除按照《建设工程工程量清单计价标准》(GB/T50500一2024)附录D工程计价说明D.2.1款执行外，尚应就造价软件的名称、版本、加密锁编号作出专项说明。</w:t>
      </w:r>
      <w:r>
        <w:rPr>
          <w:rFonts w:hint="eastAsia" w:ascii="宋体" w:hAnsi="宋体" w:eastAsia="宋体" w:cs="宋体"/>
          <w:b w:val="0"/>
          <w:bCs w:val="0"/>
          <w:color w:val="auto"/>
          <w:spacing w:val="2"/>
          <w:sz w:val="24"/>
          <w:szCs w:val="24"/>
          <w:highlight w:val="none"/>
          <w:lang w:val="en-US" w:eastAsia="zh-CN"/>
        </w:rPr>
        <w:tab/>
      </w:r>
    </w:p>
    <w:p w14:paraId="5A9B40CD">
      <w:pPr>
        <w:spacing w:before="119" w:line="314" w:lineRule="auto"/>
        <w:ind w:left="10" w:right="6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4</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2"/>
          <w:sz w:val="24"/>
          <w:szCs w:val="24"/>
          <w:highlight w:val="none"/>
        </w:rPr>
        <w:t>投标人认为有必要补充的其他资料(例如关于投标报价低于招标项目的成本警示价的书面说明和佐证材料)</w:t>
      </w:r>
      <w:r>
        <w:rPr>
          <w:rFonts w:hint="eastAsia" w:ascii="宋体" w:hAnsi="宋体" w:eastAsia="宋体" w:cs="宋体"/>
          <w:color w:val="auto"/>
          <w:spacing w:val="-2"/>
          <w:sz w:val="24"/>
          <w:szCs w:val="24"/>
          <w:highlight w:val="none"/>
        </w:rPr>
        <w:t>。</w:t>
      </w:r>
    </w:p>
    <w:p w14:paraId="2F5BB681">
      <w:pPr>
        <w:spacing w:before="99" w:line="280" w:lineRule="auto"/>
        <w:ind w:left="10" w:right="63"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10.3.2  </w:t>
      </w:r>
      <w:r>
        <w:rPr>
          <w:rFonts w:hint="eastAsia" w:ascii="宋体" w:hAnsi="宋体" w:eastAsia="宋体" w:cs="宋体"/>
          <w:color w:val="auto"/>
          <w:spacing w:val="-3"/>
          <w:sz w:val="24"/>
          <w:szCs w:val="24"/>
          <w:highlight w:val="none"/>
        </w:rPr>
        <w:t>本节第</w:t>
      </w:r>
      <w:r>
        <w:rPr>
          <w:rFonts w:hint="eastAsia" w:ascii="宋体" w:hAnsi="宋体" w:eastAsia="宋体" w:cs="宋体"/>
          <w:color w:val="auto"/>
          <w:spacing w:val="-38"/>
          <w:sz w:val="24"/>
          <w:szCs w:val="24"/>
          <w:highlight w:val="none"/>
        </w:rPr>
        <w:t xml:space="preserve"> </w:t>
      </w:r>
      <w:r>
        <w:rPr>
          <w:rFonts w:hint="eastAsia" w:ascii="宋体" w:hAnsi="宋体" w:eastAsia="宋体" w:cs="宋体"/>
          <w:b/>
          <w:bCs/>
          <w:color w:val="auto"/>
          <w:spacing w:val="-3"/>
          <w:sz w:val="24"/>
          <w:szCs w:val="24"/>
          <w:highlight w:val="none"/>
        </w:rPr>
        <w:t>10.3.1</w:t>
      </w:r>
      <w:r>
        <w:rPr>
          <w:rFonts w:hint="eastAsia" w:ascii="宋体" w:hAnsi="宋体" w:eastAsia="宋体" w:cs="宋体"/>
          <w:color w:val="auto"/>
          <w:spacing w:val="-3"/>
          <w:sz w:val="24"/>
          <w:szCs w:val="24"/>
          <w:highlight w:val="none"/>
        </w:rPr>
        <w:t>目中所列出的经济标书组成内容中，第（1）至第（3）项所</w:t>
      </w:r>
      <w:r>
        <w:rPr>
          <w:rFonts w:hint="eastAsia" w:ascii="宋体" w:hAnsi="宋体" w:eastAsia="宋体" w:cs="宋体"/>
          <w:color w:val="auto"/>
          <w:spacing w:val="-2"/>
          <w:sz w:val="24"/>
          <w:szCs w:val="24"/>
          <w:highlight w:val="none"/>
        </w:rPr>
        <w:t>有投标人均应提供。</w:t>
      </w:r>
    </w:p>
    <w:p w14:paraId="755A525F">
      <w:pPr>
        <w:spacing w:before="155" w:line="279" w:lineRule="auto"/>
        <w:ind w:left="8" w:right="61"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0"/>
          <w:sz w:val="24"/>
          <w:szCs w:val="24"/>
          <w:highlight w:val="none"/>
        </w:rPr>
        <w:t>10.3.3</w:t>
      </w:r>
      <w:r>
        <w:rPr>
          <w:rFonts w:hint="eastAsia" w:ascii="宋体" w:hAnsi="宋体" w:eastAsia="宋体" w:cs="宋体"/>
          <w:b/>
          <w:bCs/>
          <w:color w:val="auto"/>
          <w:spacing w:val="12"/>
          <w:sz w:val="24"/>
          <w:szCs w:val="24"/>
          <w:highlight w:val="none"/>
        </w:rPr>
        <w:t xml:space="preserve"> </w:t>
      </w:r>
      <w:r>
        <w:rPr>
          <w:rFonts w:hint="eastAsia" w:ascii="宋体" w:hAnsi="宋体" w:eastAsia="宋体" w:cs="宋体"/>
          <w:color w:val="auto"/>
          <w:spacing w:val="-10"/>
          <w:sz w:val="24"/>
          <w:szCs w:val="24"/>
          <w:highlight w:val="none"/>
        </w:rPr>
        <w:t>经济标书的组成内容按本节第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w:t>
      </w:r>
      <w:r>
        <w:rPr>
          <w:rFonts w:hint="eastAsia" w:ascii="宋体" w:hAnsi="宋体" w:eastAsia="宋体" w:cs="宋体"/>
          <w:color w:val="auto"/>
          <w:spacing w:val="-11"/>
          <w:sz w:val="24"/>
          <w:szCs w:val="24"/>
          <w:highlight w:val="none"/>
        </w:rPr>
        <w:t>.3.1 目规定的顺序整理、编排后，逐页（页</w:t>
      </w:r>
      <w:r>
        <w:rPr>
          <w:rFonts w:hint="eastAsia" w:ascii="宋体" w:hAnsi="宋体" w:eastAsia="宋体" w:cs="宋体"/>
          <w:color w:val="auto"/>
          <w:spacing w:val="-1"/>
          <w:sz w:val="24"/>
          <w:szCs w:val="24"/>
          <w:highlight w:val="none"/>
        </w:rPr>
        <w:t>码起始从封面开始）连续标记页码。</w:t>
      </w:r>
    </w:p>
    <w:p w14:paraId="06BCCAAB">
      <w:pPr>
        <w:spacing w:before="82" w:line="213" w:lineRule="auto"/>
        <w:ind w:left="496"/>
        <w:outlineLvl w:val="3"/>
        <w:rPr>
          <w:rFonts w:hint="eastAsia" w:ascii="宋体" w:hAnsi="宋体" w:eastAsia="宋体" w:cs="宋体"/>
          <w:b/>
          <w:bCs/>
          <w:color w:val="auto"/>
          <w:sz w:val="25"/>
          <w:szCs w:val="25"/>
          <w:highlight w:val="none"/>
        </w:rPr>
      </w:pPr>
      <w:r>
        <w:rPr>
          <w:rFonts w:hint="eastAsia" w:ascii="宋体" w:hAnsi="宋体" w:eastAsia="宋体" w:cs="宋体"/>
          <w:b/>
          <w:bCs/>
          <w:color w:val="auto"/>
          <w:spacing w:val="-3"/>
          <w:sz w:val="24"/>
          <w:szCs w:val="24"/>
          <w:highlight w:val="none"/>
        </w:rPr>
        <w:t>10.4  施工组织设计的编制要求</w:t>
      </w:r>
    </w:p>
    <w:p w14:paraId="768CF899">
      <w:pPr>
        <w:spacing w:before="151"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10.4.1 </w:t>
      </w:r>
      <w:r>
        <w:rPr>
          <w:rFonts w:hint="eastAsia" w:ascii="宋体" w:hAnsi="宋体" w:eastAsia="宋体" w:cs="宋体"/>
          <w:color w:val="auto"/>
          <w:spacing w:val="-1"/>
          <w:sz w:val="24"/>
          <w:szCs w:val="24"/>
          <w:highlight w:val="none"/>
        </w:rPr>
        <w:t>施工组织设计的编制依据包括且不限于：</w:t>
      </w:r>
    </w:p>
    <w:p w14:paraId="1E40B774">
      <w:pPr>
        <w:spacing w:before="156"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（1）招标文件及其答疑（或修改）公告；</w:t>
      </w:r>
    </w:p>
    <w:p w14:paraId="4975F0E4">
      <w:pPr>
        <w:spacing w:before="155" w:line="221"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（2）施工图及相关资料；</w:t>
      </w:r>
    </w:p>
    <w:p w14:paraId="6E3E7330">
      <w:pPr>
        <w:spacing w:before="152"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（3）施工现场情况、工程特点；</w:t>
      </w:r>
    </w:p>
    <w:p w14:paraId="1323D629">
      <w:pPr>
        <w:spacing w:before="78"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（4）相关法律、法规、规定；</w:t>
      </w:r>
    </w:p>
    <w:p w14:paraId="546827BB">
      <w:pPr>
        <w:spacing w:before="153" w:line="299" w:lineRule="auto"/>
        <w:ind w:left="10" w:right="21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（5）国家、广东省、韶关市关于施工现场管理、施工工艺</w:t>
      </w:r>
      <w:r>
        <w:rPr>
          <w:rFonts w:hint="eastAsia" w:ascii="宋体" w:hAnsi="宋体" w:eastAsia="宋体" w:cs="宋体"/>
          <w:color w:val="auto"/>
          <w:spacing w:val="1"/>
          <w:sz w:val="24"/>
          <w:szCs w:val="24"/>
          <w:highlight w:val="none"/>
        </w:rPr>
        <w:t>、绿色施工、安全防</w:t>
      </w:r>
      <w:r>
        <w:rPr>
          <w:rFonts w:hint="eastAsia" w:ascii="宋体" w:hAnsi="宋体" w:eastAsia="宋体" w:cs="宋体"/>
          <w:color w:val="auto"/>
          <w:spacing w:val="-1"/>
          <w:sz w:val="24"/>
          <w:szCs w:val="24"/>
          <w:highlight w:val="none"/>
        </w:rPr>
        <w:t>护、文明施工、环境保护等方面的标准、规范、技术资料。</w:t>
      </w:r>
      <w:r>
        <w:rPr>
          <w:rFonts w:hint="eastAsia" w:ascii="宋体" w:hAnsi="宋体" w:eastAsia="宋体" w:cs="宋体"/>
          <w:color w:val="auto"/>
          <w:spacing w:val="-2"/>
          <w:sz w:val="24"/>
          <w:szCs w:val="24"/>
          <w:highlight w:val="none"/>
        </w:rPr>
        <w:t>如《广东省住房和城乡建</w:t>
      </w:r>
      <w:r>
        <w:rPr>
          <w:rFonts w:hint="eastAsia" w:ascii="宋体" w:hAnsi="宋体" w:eastAsia="宋体" w:cs="宋体"/>
          <w:color w:val="auto"/>
          <w:sz w:val="24"/>
          <w:szCs w:val="24"/>
          <w:highlight w:val="none"/>
        </w:rPr>
        <w:t>设厅绿色施工导则》《广东省建设工程施工扬尘污染防</w:t>
      </w:r>
      <w:r>
        <w:rPr>
          <w:rFonts w:hint="eastAsia" w:ascii="宋体" w:hAnsi="宋体" w:eastAsia="宋体" w:cs="宋体"/>
          <w:color w:val="auto"/>
          <w:spacing w:val="-1"/>
          <w:sz w:val="24"/>
          <w:szCs w:val="24"/>
          <w:highlight w:val="none"/>
        </w:rPr>
        <w:t>治管理办法（试行）》等；</w:t>
      </w:r>
    </w:p>
    <w:p w14:paraId="7973C375">
      <w:pPr>
        <w:spacing w:before="155"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（6）企业内部标准、工法。</w:t>
      </w:r>
    </w:p>
    <w:p w14:paraId="43414437">
      <w:pPr>
        <w:spacing w:before="15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10.4.2 </w:t>
      </w:r>
      <w:r>
        <w:rPr>
          <w:rFonts w:hint="eastAsia" w:ascii="宋体" w:hAnsi="宋体" w:eastAsia="宋体" w:cs="宋体"/>
          <w:color w:val="auto"/>
          <w:spacing w:val="-1"/>
          <w:sz w:val="24"/>
          <w:szCs w:val="24"/>
          <w:highlight w:val="none"/>
        </w:rPr>
        <w:t>施工组织设计包括但不限于以下内容：</w:t>
      </w:r>
    </w:p>
    <w:p w14:paraId="4448288D">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（1）封面（格式一</w:t>
      </w:r>
      <w:r>
        <w:rPr>
          <w:rFonts w:hint="eastAsia" w:ascii="宋体" w:hAnsi="宋体" w:eastAsia="宋体" w:cs="宋体"/>
          <w:color w:val="auto"/>
          <w:spacing w:val="2"/>
          <w:sz w:val="24"/>
          <w:szCs w:val="24"/>
          <w:highlight w:val="none"/>
        </w:rPr>
        <w:t>）；</w:t>
      </w:r>
    </w:p>
    <w:p w14:paraId="3BC2A7E8">
      <w:pPr>
        <w:spacing w:before="156" w:line="222"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3"/>
          <w:sz w:val="24"/>
          <w:szCs w:val="24"/>
          <w:highlight w:val="none"/>
        </w:rPr>
        <w:t>（2）</w:t>
      </w:r>
      <w:r>
        <w:rPr>
          <w:rFonts w:hint="eastAsia" w:ascii="宋体" w:hAnsi="宋体" w:eastAsia="宋体" w:cs="宋体"/>
          <w:color w:val="auto"/>
          <w:spacing w:val="-64"/>
          <w:sz w:val="24"/>
          <w:szCs w:val="24"/>
          <w:highlight w:val="none"/>
        </w:rPr>
        <w:t xml:space="preserve"> </w:t>
      </w:r>
      <w:r>
        <w:rPr>
          <w:rFonts w:hint="eastAsia" w:ascii="宋体" w:hAnsi="宋体" w:eastAsia="宋体" w:cs="宋体"/>
          <w:color w:val="auto"/>
          <w:spacing w:val="-13"/>
          <w:sz w:val="24"/>
          <w:szCs w:val="24"/>
          <w:highlight w:val="none"/>
        </w:rPr>
        <w:t>目录；</w:t>
      </w:r>
    </w:p>
    <w:p w14:paraId="3D46DDF6">
      <w:pPr>
        <w:spacing w:before="150"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（3）总体概述（包括施工程序总体设想及施工段划分等内容</w:t>
      </w:r>
      <w:r>
        <w:rPr>
          <w:rFonts w:hint="eastAsia" w:ascii="宋体" w:hAnsi="宋体" w:eastAsia="宋体" w:cs="宋体"/>
          <w:color w:val="auto"/>
          <w:spacing w:val="2"/>
          <w:sz w:val="24"/>
          <w:szCs w:val="24"/>
          <w:highlight w:val="none"/>
        </w:rPr>
        <w:t>）；</w:t>
      </w:r>
    </w:p>
    <w:p w14:paraId="23C15B5F">
      <w:pPr>
        <w:spacing w:before="154" w:line="299" w:lineRule="auto"/>
        <w:ind w:left="9" w:right="21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（4）施工总进度计划及保证措施（包括进度管理目标；以</w:t>
      </w:r>
      <w:r>
        <w:rPr>
          <w:rFonts w:hint="eastAsia" w:ascii="宋体" w:hAnsi="宋体" w:eastAsia="宋体" w:cs="宋体"/>
          <w:color w:val="auto"/>
          <w:spacing w:val="1"/>
          <w:sz w:val="24"/>
          <w:szCs w:val="24"/>
          <w:highlight w:val="none"/>
        </w:rPr>
        <w:t>横道图或标明关键线</w:t>
      </w:r>
      <w:r>
        <w:rPr>
          <w:rFonts w:hint="eastAsia" w:ascii="宋体" w:hAnsi="宋体" w:eastAsia="宋体" w:cs="宋体"/>
          <w:color w:val="auto"/>
          <w:spacing w:val="-1"/>
          <w:sz w:val="24"/>
          <w:szCs w:val="24"/>
          <w:highlight w:val="none"/>
        </w:rPr>
        <w:t>路的网络进度计划；保障进度计划需要的人、材、机需求计划</w:t>
      </w:r>
      <w:r>
        <w:rPr>
          <w:rFonts w:hint="eastAsia" w:ascii="宋体" w:hAnsi="宋体" w:eastAsia="宋体" w:cs="宋体"/>
          <w:color w:val="auto"/>
          <w:spacing w:val="-2"/>
          <w:sz w:val="24"/>
          <w:szCs w:val="24"/>
          <w:highlight w:val="none"/>
        </w:rPr>
        <w:t>及保证措施；违约责任承诺等内容</w:t>
      </w:r>
      <w:r>
        <w:rPr>
          <w:rFonts w:hint="eastAsia" w:ascii="宋体" w:hAnsi="宋体" w:eastAsia="宋体" w:cs="宋体"/>
          <w:color w:val="auto"/>
          <w:sz w:val="24"/>
          <w:szCs w:val="24"/>
          <w:highlight w:val="none"/>
        </w:rPr>
        <w:t>）；</w:t>
      </w:r>
    </w:p>
    <w:p w14:paraId="413C1EC3">
      <w:pPr>
        <w:spacing w:before="153" w:line="220"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（5）质量保证措施（包括质量管理目标；相应保证措施；违约责任承诺</w:t>
      </w:r>
      <w:r>
        <w:rPr>
          <w:rFonts w:hint="eastAsia" w:ascii="宋体" w:hAnsi="宋体" w:eastAsia="宋体" w:cs="宋体"/>
          <w:color w:val="auto"/>
          <w:spacing w:val="-6"/>
          <w:sz w:val="24"/>
          <w:szCs w:val="24"/>
          <w:highlight w:val="none"/>
        </w:rPr>
        <w:t>等内容</w:t>
      </w:r>
      <w:r>
        <w:rPr>
          <w:rFonts w:hint="eastAsia" w:ascii="宋体" w:hAnsi="宋体" w:eastAsia="宋体" w:cs="宋体"/>
          <w:color w:val="auto"/>
          <w:spacing w:val="-62"/>
          <w:w w:val="97"/>
          <w:sz w:val="24"/>
          <w:szCs w:val="24"/>
          <w:highlight w:val="none"/>
        </w:rPr>
        <w:t>）；</w:t>
      </w:r>
    </w:p>
    <w:p w14:paraId="63DC62FA">
      <w:pPr>
        <w:spacing w:before="156" w:line="279" w:lineRule="auto"/>
        <w:ind w:left="11" w:right="21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（6）施工技术措施（包括关键施工技术、工艺及工程项目</w:t>
      </w:r>
      <w:r>
        <w:rPr>
          <w:rFonts w:hint="eastAsia" w:ascii="宋体" w:hAnsi="宋体" w:eastAsia="宋体" w:cs="宋体"/>
          <w:color w:val="auto"/>
          <w:spacing w:val="1"/>
          <w:sz w:val="24"/>
          <w:szCs w:val="24"/>
          <w:highlight w:val="none"/>
        </w:rPr>
        <w:t>实施的重点、难点分</w:t>
      </w:r>
      <w:r>
        <w:rPr>
          <w:rFonts w:hint="eastAsia" w:ascii="宋体" w:hAnsi="宋体" w:eastAsia="宋体" w:cs="宋体"/>
          <w:color w:val="auto"/>
          <w:spacing w:val="-1"/>
          <w:sz w:val="24"/>
          <w:szCs w:val="24"/>
          <w:highlight w:val="none"/>
        </w:rPr>
        <w:t>析和解决方案；新技术应用与承诺等内容</w:t>
      </w:r>
      <w:r>
        <w:rPr>
          <w:rFonts w:hint="eastAsia" w:ascii="宋体" w:hAnsi="宋体" w:eastAsia="宋体" w:cs="宋体"/>
          <w:color w:val="auto"/>
          <w:spacing w:val="2"/>
          <w:sz w:val="24"/>
          <w:szCs w:val="24"/>
          <w:highlight w:val="none"/>
        </w:rPr>
        <w:t>）；</w:t>
      </w:r>
    </w:p>
    <w:p w14:paraId="7BB5E824">
      <w:pPr>
        <w:spacing w:before="118" w:line="297" w:lineRule="auto"/>
        <w:ind w:left="11" w:right="31" w:firstLine="489"/>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（7）绿色施工、安全防护、文明施工措施计划(应对建设单位组织的勘察设计等单位在施工招标文件中列出的危大工程清单(详见格式十三)进行投标文件回应，如有)</w:t>
      </w:r>
      <w:r>
        <w:rPr>
          <w:rFonts w:hint="eastAsia" w:ascii="宋体" w:hAnsi="宋体" w:eastAsia="宋体" w:cs="宋体"/>
          <w:color w:val="auto"/>
          <w:spacing w:val="-3"/>
          <w:sz w:val="24"/>
          <w:szCs w:val="24"/>
          <w:highlight w:val="none"/>
        </w:rPr>
        <w:t>；</w:t>
      </w:r>
    </w:p>
    <w:p w14:paraId="02E9B450">
      <w:pPr>
        <w:spacing w:before="118" w:line="297" w:lineRule="auto"/>
        <w:ind w:left="11" w:right="31" w:firstLine="48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（8）施工现场总平面布置（</w:t>
      </w:r>
      <w:bookmarkStart w:id="51" w:name="OLE_LINK8"/>
      <w:r>
        <w:rPr>
          <w:rFonts w:hint="eastAsia" w:ascii="宋体" w:hAnsi="宋体" w:eastAsia="宋体" w:cs="宋体"/>
          <w:color w:val="auto"/>
          <w:spacing w:val="2"/>
          <w:sz w:val="24"/>
          <w:szCs w:val="24"/>
          <w:highlight w:val="none"/>
        </w:rPr>
        <w:t>投标人应递交一份施工现场总</w:t>
      </w:r>
      <w:r>
        <w:rPr>
          <w:rFonts w:hint="eastAsia" w:ascii="宋体" w:hAnsi="宋体" w:eastAsia="宋体" w:cs="宋体"/>
          <w:color w:val="auto"/>
          <w:spacing w:val="1"/>
          <w:sz w:val="24"/>
          <w:szCs w:val="24"/>
          <w:highlight w:val="none"/>
        </w:rPr>
        <w:t>平面布置图，绘出现</w:t>
      </w:r>
      <w:r>
        <w:rPr>
          <w:rFonts w:hint="eastAsia" w:ascii="宋体" w:hAnsi="宋体" w:eastAsia="宋体" w:cs="宋体"/>
          <w:color w:val="auto"/>
          <w:spacing w:val="-1"/>
          <w:sz w:val="24"/>
          <w:szCs w:val="24"/>
          <w:highlight w:val="none"/>
        </w:rPr>
        <w:t>场临时设施布置图表并附文字说明，说明临时设施、加工车间、</w:t>
      </w:r>
      <w:r>
        <w:rPr>
          <w:rFonts w:hint="eastAsia" w:ascii="宋体" w:hAnsi="宋体" w:eastAsia="宋体" w:cs="宋体"/>
          <w:color w:val="auto"/>
          <w:spacing w:val="-2"/>
          <w:sz w:val="24"/>
          <w:szCs w:val="24"/>
          <w:highlight w:val="none"/>
        </w:rPr>
        <w:t>现场办公、设备及仓</w:t>
      </w:r>
      <w:r>
        <w:rPr>
          <w:rFonts w:hint="eastAsia" w:ascii="宋体" w:hAnsi="宋体" w:eastAsia="宋体" w:cs="宋体"/>
          <w:color w:val="auto"/>
          <w:spacing w:val="-1"/>
          <w:sz w:val="24"/>
          <w:szCs w:val="24"/>
          <w:highlight w:val="none"/>
        </w:rPr>
        <w:t>储、供电、供水、卫生、生活、道路、消防等设施的情况和布置</w:t>
      </w:r>
      <w:bookmarkEnd w:id="51"/>
      <w:r>
        <w:rPr>
          <w:rFonts w:hint="eastAsia" w:ascii="宋体" w:hAnsi="宋体" w:eastAsia="宋体" w:cs="宋体"/>
          <w:color w:val="auto"/>
          <w:spacing w:val="9"/>
          <w:sz w:val="24"/>
          <w:szCs w:val="24"/>
          <w:highlight w:val="none"/>
        </w:rPr>
        <w:t>）；</w:t>
      </w:r>
    </w:p>
    <w:p w14:paraId="5E69FD0B">
      <w:pPr>
        <w:spacing w:before="155" w:line="219" w:lineRule="auto"/>
        <w:ind w:left="501"/>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（9）项目管理机构。</w:t>
      </w:r>
    </w:p>
    <w:p w14:paraId="10315D49">
      <w:pPr>
        <w:spacing w:before="154" w:line="280" w:lineRule="auto"/>
        <w:ind w:right="211" w:firstLine="47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（10）投标人认为有必要补充的其他内容（例如对总包管理的认识以及对专业分</w:t>
      </w:r>
      <w:r>
        <w:rPr>
          <w:rFonts w:hint="eastAsia" w:ascii="宋体" w:hAnsi="宋体" w:eastAsia="宋体" w:cs="宋体"/>
          <w:color w:val="auto"/>
          <w:spacing w:val="-1"/>
          <w:sz w:val="24"/>
          <w:szCs w:val="24"/>
          <w:highlight w:val="none"/>
        </w:rPr>
        <w:t>包工程的管理、协调、配合、服务方案）。</w:t>
      </w:r>
    </w:p>
    <w:p w14:paraId="33E7EB44">
      <w:pPr>
        <w:spacing w:before="152" w:line="279" w:lineRule="auto"/>
        <w:ind w:right="196" w:firstLine="474"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10.4.3  </w:t>
      </w:r>
      <w:r>
        <w:rPr>
          <w:rFonts w:hint="eastAsia" w:ascii="宋体" w:hAnsi="宋体" w:eastAsia="宋体" w:cs="宋体"/>
          <w:color w:val="auto"/>
          <w:spacing w:val="-2"/>
          <w:sz w:val="24"/>
          <w:szCs w:val="24"/>
          <w:highlight w:val="none"/>
        </w:rPr>
        <w:t>本节第</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2"/>
          <w:sz w:val="24"/>
          <w:szCs w:val="24"/>
          <w:highlight w:val="none"/>
        </w:rPr>
        <w:t>10.4.2</w:t>
      </w:r>
      <w:r>
        <w:rPr>
          <w:rFonts w:hint="eastAsia" w:ascii="宋体" w:hAnsi="宋体" w:eastAsia="宋体" w:cs="宋体"/>
          <w:color w:val="auto"/>
          <w:spacing w:val="-2"/>
          <w:sz w:val="24"/>
          <w:szCs w:val="24"/>
          <w:highlight w:val="none"/>
        </w:rPr>
        <w:t>目中所列出</w:t>
      </w:r>
      <w:r>
        <w:rPr>
          <w:rFonts w:hint="eastAsia" w:ascii="宋体" w:hAnsi="宋体" w:eastAsia="宋体" w:cs="宋体"/>
          <w:color w:val="auto"/>
          <w:spacing w:val="-3"/>
          <w:sz w:val="24"/>
          <w:szCs w:val="24"/>
          <w:highlight w:val="none"/>
        </w:rPr>
        <w:t>的施工组织设计组成内容中，第（1）至第（9）</w:t>
      </w:r>
      <w:r>
        <w:rPr>
          <w:rFonts w:hint="eastAsia" w:ascii="宋体" w:hAnsi="宋体" w:eastAsia="宋体" w:cs="宋体"/>
          <w:color w:val="auto"/>
          <w:spacing w:val="-2"/>
          <w:sz w:val="24"/>
          <w:szCs w:val="24"/>
          <w:highlight w:val="none"/>
        </w:rPr>
        <w:t>项所有投标人均应提供。</w:t>
      </w:r>
    </w:p>
    <w:p w14:paraId="56491334">
      <w:pPr>
        <w:spacing w:before="157" w:line="279" w:lineRule="auto"/>
        <w:ind w:right="211" w:firstLine="462" w:firstLineChars="200"/>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5"/>
          <w:sz w:val="24"/>
          <w:szCs w:val="24"/>
          <w:highlight w:val="none"/>
        </w:rPr>
        <w:t xml:space="preserve">10.4.4 </w:t>
      </w:r>
      <w:r>
        <w:rPr>
          <w:rFonts w:hint="eastAsia" w:ascii="宋体" w:hAnsi="宋体" w:eastAsia="宋体" w:cs="宋体"/>
          <w:color w:val="auto"/>
          <w:spacing w:val="-5"/>
          <w:sz w:val="24"/>
          <w:szCs w:val="24"/>
          <w:highlight w:val="none"/>
        </w:rPr>
        <w:t>施工组织设计的组成内容按本节第</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5"/>
          <w:sz w:val="24"/>
          <w:szCs w:val="24"/>
          <w:highlight w:val="none"/>
        </w:rPr>
        <w:t>10.4.2 目规定的顺序整理、编排后，逐</w:t>
      </w:r>
      <w:r>
        <w:rPr>
          <w:rFonts w:hint="eastAsia" w:ascii="宋体" w:hAnsi="宋体" w:eastAsia="宋体" w:cs="宋体"/>
          <w:color w:val="auto"/>
          <w:spacing w:val="-1"/>
          <w:sz w:val="24"/>
          <w:szCs w:val="24"/>
          <w:highlight w:val="none"/>
        </w:rPr>
        <w:t>页（页码起始从封面开始）连续标记页码。</w:t>
      </w:r>
    </w:p>
    <w:p w14:paraId="702A1AEA">
      <w:pPr>
        <w:ind w:firstLine="472"/>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b/>
          <w:bCs/>
          <w:color w:val="auto"/>
          <w:spacing w:val="-1"/>
          <w:sz w:val="24"/>
          <w:szCs w:val="24"/>
          <w:highlight w:val="none"/>
        </w:rPr>
        <w:t>10.4.5</w:t>
      </w:r>
      <w:bookmarkStart w:id="52" w:name="OLE_LINK9"/>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施工组织设计的正文不得超过</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u w:val="single"/>
          <w:lang w:val="en-US" w:eastAsia="zh-CN"/>
        </w:rPr>
        <w:t>150</w:t>
      </w:r>
      <w:r>
        <w:rPr>
          <w:rFonts w:hint="eastAsia" w:ascii="宋体" w:hAnsi="宋体" w:eastAsia="宋体" w:cs="宋体"/>
          <w:color w:val="auto"/>
          <w:spacing w:val="-1"/>
          <w:sz w:val="24"/>
          <w:szCs w:val="24"/>
          <w:highlight w:val="none"/>
          <w:u w:val="single"/>
        </w:rPr>
        <w:t xml:space="preserve"> </w:t>
      </w:r>
      <w:r>
        <w:rPr>
          <w:rFonts w:hint="eastAsia" w:ascii="宋体" w:hAnsi="宋体" w:eastAsia="宋体" w:cs="宋体"/>
          <w:color w:val="auto"/>
          <w:spacing w:val="-1"/>
          <w:sz w:val="24"/>
          <w:szCs w:val="24"/>
          <w:highlight w:val="none"/>
        </w:rPr>
        <w:t>页</w:t>
      </w:r>
      <w:r>
        <w:rPr>
          <w:rFonts w:hint="eastAsia" w:ascii="宋体" w:hAnsi="宋体" w:eastAsia="宋体" w:cs="宋体"/>
          <w:color w:val="auto"/>
          <w:spacing w:val="-1"/>
          <w:sz w:val="24"/>
          <w:szCs w:val="24"/>
          <w:highlight w:val="none"/>
          <w:lang w:eastAsia="zh-CN"/>
        </w:rPr>
        <w:t>。</w:t>
      </w:r>
      <w:bookmarkEnd w:id="52"/>
      <w:bookmarkStart w:id="53" w:name="bookmark121"/>
      <w:bookmarkEnd w:id="53"/>
    </w:p>
    <w:p w14:paraId="1EF41116">
      <w:pPr>
        <w:keepNext w:val="0"/>
        <w:keepLines w:val="0"/>
        <w:pageBreakBefore w:val="0"/>
        <w:widowControl w:val="0"/>
        <w:kinsoku/>
        <w:wordWrap w:val="0"/>
        <w:overflowPunct/>
        <w:topLinePunct w:val="0"/>
        <w:autoSpaceDE/>
        <w:autoSpaceDN/>
        <w:bidi w:val="0"/>
        <w:adjustRightInd/>
        <w:snapToGrid/>
        <w:spacing w:line="400" w:lineRule="exac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bookmarkStart w:id="54" w:name="_Toc20579"/>
      <w:r>
        <w:rPr>
          <w:rFonts w:hint="eastAsia" w:ascii="宋体" w:hAnsi="宋体" w:eastAsia="宋体" w:cs="宋体"/>
          <w:b/>
          <w:bCs/>
          <w:snapToGrid w:val="0"/>
          <w:color w:val="auto"/>
          <w:kern w:val="0"/>
          <w:sz w:val="24"/>
          <w:szCs w:val="24"/>
          <w:highlight w:val="none"/>
          <w:lang w:val="en-US" w:eastAsia="zh-CN"/>
        </w:rPr>
        <w:t>10.5定标文件的编制要求：</w:t>
      </w:r>
    </w:p>
    <w:p w14:paraId="21C55D8F">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0.5</w:t>
      </w:r>
      <w:r>
        <w:rPr>
          <w:rFonts w:hint="eastAsia" w:ascii="宋体" w:hAnsi="宋体" w:eastAsia="宋体" w:cs="宋体"/>
          <w:snapToGrid w:val="0"/>
          <w:color w:val="auto"/>
          <w:kern w:val="0"/>
          <w:sz w:val="24"/>
          <w:szCs w:val="24"/>
          <w:highlight w:val="none"/>
        </w:rPr>
        <w:t xml:space="preserve">.1 </w:t>
      </w:r>
      <w:r>
        <w:rPr>
          <w:rFonts w:hint="eastAsia" w:ascii="宋体" w:hAnsi="宋体" w:eastAsia="宋体" w:cs="宋体"/>
          <w:snapToGrid w:val="0"/>
          <w:color w:val="auto"/>
          <w:kern w:val="0"/>
          <w:sz w:val="24"/>
          <w:szCs w:val="24"/>
          <w:highlight w:val="none"/>
          <w:lang w:val="en-US" w:eastAsia="zh-CN"/>
        </w:rPr>
        <w:t>定标文件</w:t>
      </w:r>
      <w:r>
        <w:rPr>
          <w:rFonts w:hint="eastAsia" w:ascii="宋体" w:hAnsi="宋体" w:eastAsia="宋体" w:cs="宋体"/>
          <w:snapToGrid w:val="0"/>
          <w:color w:val="auto"/>
          <w:kern w:val="0"/>
          <w:sz w:val="24"/>
          <w:szCs w:val="24"/>
          <w:highlight w:val="none"/>
        </w:rPr>
        <w:t>包括以下内容：</w:t>
      </w:r>
    </w:p>
    <w:bookmarkEnd w:id="54"/>
    <w:p w14:paraId="2A004467">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default" w:ascii="宋体" w:hAnsi="宋体" w:eastAsia="宋体" w:cs="宋体"/>
          <w:snapToGrid w:val="0"/>
          <w:color w:val="auto"/>
          <w:kern w:val="0"/>
          <w:sz w:val="24"/>
          <w:szCs w:val="24"/>
          <w:highlight w:val="none"/>
          <w:lang w:val="en-US"/>
        </w:rPr>
      </w:pPr>
      <w:bookmarkStart w:id="55" w:name="_Toc21936"/>
      <w:bookmarkStart w:id="56" w:name="_Toc10599"/>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 封面（格式一）</w:t>
      </w:r>
    </w:p>
    <w:p w14:paraId="3AEDC9A8">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（2）目录；</w:t>
      </w:r>
    </w:p>
    <w:p w14:paraId="57FBAE96">
      <w:pPr>
        <w:keepNext w:val="0"/>
        <w:keepLines w:val="0"/>
        <w:pageBreakBefore w:val="0"/>
        <w:widowControl w:val="0"/>
        <w:kinsoku/>
        <w:wordWrap w:val="0"/>
        <w:overflowPunct/>
        <w:topLinePunct w:val="0"/>
        <w:autoSpaceDE/>
        <w:autoSpaceDN/>
        <w:bidi w:val="0"/>
        <w:adjustRightInd/>
        <w:snapToGrid/>
        <w:spacing w:line="400" w:lineRule="exact"/>
        <w:ind w:firstLine="480" w:firstLineChars="200"/>
        <w:textAlignment w:val="baseline"/>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（3）定标因素评审资料（格式十七）</w:t>
      </w:r>
    </w:p>
    <w:p w14:paraId="62050842">
      <w:pPr>
        <w:pStyle w:val="7"/>
        <w:ind w:firstLine="482" w:firstLineChars="200"/>
        <w:rPr>
          <w:rFonts w:hint="default"/>
          <w:b/>
          <w:bCs/>
          <w:color w:val="auto"/>
          <w:highlight w:val="none"/>
          <w:lang w:val="en-US"/>
        </w:rPr>
      </w:pPr>
      <w:r>
        <w:rPr>
          <w:rFonts w:hint="eastAsia" w:hAnsi="宋体" w:eastAsia="宋体" w:cs="宋体"/>
          <w:b/>
          <w:bCs/>
          <w:snapToGrid w:val="0"/>
          <w:color w:val="auto"/>
          <w:kern w:val="0"/>
          <w:sz w:val="24"/>
          <w:szCs w:val="24"/>
          <w:highlight w:val="none"/>
          <w:lang w:val="en-US" w:eastAsia="zh-CN"/>
        </w:rPr>
        <w:t xml:space="preserve">10.5.2 </w:t>
      </w:r>
      <w:r>
        <w:rPr>
          <w:rFonts w:hint="eastAsia" w:ascii="宋体" w:hAnsi="宋体" w:eastAsia="宋体" w:cs="宋体"/>
          <w:snapToGrid w:val="0"/>
          <w:color w:val="auto"/>
          <w:kern w:val="0"/>
          <w:sz w:val="24"/>
          <w:szCs w:val="24"/>
          <w:highlight w:val="none"/>
          <w:lang w:val="en-US" w:eastAsia="zh-CN" w:bidi="ar-SA"/>
        </w:rPr>
        <w:t>本节第10.5.1目中所列出的组成内容中，第（1）项所有投标人均应提供。</w:t>
      </w:r>
    </w:p>
    <w:p w14:paraId="02DC3960">
      <w:pPr>
        <w:spacing w:before="78" w:line="221" w:lineRule="auto"/>
        <w:ind w:left="496"/>
        <w:outlineLvl w:val="2"/>
        <w:rPr>
          <w:rFonts w:hint="eastAsia" w:ascii="宋体" w:hAnsi="宋体" w:eastAsia="宋体" w:cs="宋体"/>
          <w:color w:val="auto"/>
          <w:sz w:val="24"/>
          <w:szCs w:val="24"/>
          <w:highlight w:val="none"/>
        </w:rPr>
      </w:pPr>
      <w:r>
        <w:rPr>
          <w:rFonts w:hint="eastAsia" w:ascii="宋体" w:hAnsi="宋体" w:eastAsia="宋体" w:cs="宋体"/>
          <w:b/>
          <w:bCs/>
          <w:color w:val="auto"/>
          <w:spacing w:val="-9"/>
          <w:sz w:val="24"/>
          <w:szCs w:val="24"/>
          <w:highlight w:val="none"/>
        </w:rPr>
        <w:t>11.</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pacing w:val="-9"/>
          <w:sz w:val="24"/>
          <w:szCs w:val="24"/>
          <w:highlight w:val="none"/>
        </w:rPr>
        <w:t>电子投标：</w:t>
      </w:r>
      <w:bookmarkEnd w:id="55"/>
      <w:bookmarkEnd w:id="56"/>
    </w:p>
    <w:p w14:paraId="3D405C38">
      <w:pPr>
        <w:spacing w:before="112" w:line="295" w:lineRule="auto"/>
        <w:ind w:left="10" w:firstLine="485"/>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11.1  </w:t>
      </w:r>
      <w:r>
        <w:rPr>
          <w:rFonts w:hint="eastAsia" w:ascii="宋体" w:hAnsi="宋体" w:eastAsia="宋体" w:cs="宋体"/>
          <w:color w:val="auto"/>
          <w:spacing w:val="-3"/>
          <w:sz w:val="24"/>
          <w:szCs w:val="24"/>
          <w:highlight w:val="none"/>
        </w:rPr>
        <w:t>在建设工程交易系统上传加盖了电子印章的投标文件、录入相关信息及标书</w:t>
      </w:r>
      <w:r>
        <w:rPr>
          <w:rFonts w:hint="eastAsia" w:ascii="宋体" w:hAnsi="宋体" w:eastAsia="宋体" w:cs="宋体"/>
          <w:color w:val="auto"/>
          <w:spacing w:val="2"/>
          <w:sz w:val="24"/>
          <w:szCs w:val="24"/>
          <w:highlight w:val="none"/>
        </w:rPr>
        <w:t>页码信息</w:t>
      </w:r>
      <w:r>
        <w:rPr>
          <w:rFonts w:hint="eastAsia" w:ascii="宋体" w:hAnsi="宋体" w:eastAsia="宋体" w:cs="宋体"/>
          <w:color w:val="auto"/>
          <w:spacing w:val="-25"/>
          <w:sz w:val="24"/>
          <w:szCs w:val="24"/>
          <w:highlight w:val="none"/>
        </w:rPr>
        <w:t>，（</w:t>
      </w:r>
      <w:r>
        <w:rPr>
          <w:rFonts w:hint="eastAsia" w:ascii="宋体" w:hAnsi="宋体" w:eastAsia="宋体" w:cs="宋体"/>
          <w:color w:val="auto"/>
          <w:spacing w:val="2"/>
          <w:sz w:val="24"/>
          <w:szCs w:val="24"/>
          <w:highlight w:val="none"/>
        </w:rPr>
        <w:t>页码起始从封面开始）并提交投标标书。提交标书为已加密投标文件。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具体操作参照《韶关市公共资源建设工程交易系统-投标人操</w:t>
      </w:r>
      <w:r>
        <w:rPr>
          <w:rFonts w:hint="eastAsia" w:ascii="宋体" w:hAnsi="宋体" w:eastAsia="宋体" w:cs="宋体"/>
          <w:color w:val="auto"/>
          <w:spacing w:val="-3"/>
          <w:sz w:val="24"/>
          <w:szCs w:val="24"/>
          <w:highlight w:val="none"/>
        </w:rPr>
        <w:t>作指南（电子评标）》。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本项目评标采用全流程电子化进行招标投标（投标人应根据</w:t>
      </w:r>
      <w:r>
        <w:rPr>
          <w:rFonts w:hint="eastAsia" w:ascii="宋体" w:hAnsi="宋体" w:eastAsia="宋体" w:cs="宋体"/>
          <w:color w:val="auto"/>
          <w:spacing w:val="-2"/>
          <w:sz w:val="24"/>
          <w:szCs w:val="24"/>
          <w:highlight w:val="none"/>
        </w:rPr>
        <w:t>韶关市公共资源建设工程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交易系统进行编辑投标相关内容、按招标文件电子投标要求</w:t>
      </w:r>
      <w:r>
        <w:rPr>
          <w:rFonts w:hint="eastAsia" w:ascii="宋体" w:hAnsi="宋体" w:eastAsia="宋体" w:cs="宋体"/>
          <w:color w:val="auto"/>
          <w:spacing w:val="-2"/>
          <w:sz w:val="24"/>
          <w:szCs w:val="24"/>
          <w:highlight w:val="none"/>
        </w:rPr>
        <w:t>上传已加盖电子印章投标</w:t>
      </w:r>
      <w:r>
        <w:rPr>
          <w:rFonts w:hint="eastAsia" w:ascii="宋体" w:hAnsi="宋体" w:eastAsia="宋体" w:cs="宋体"/>
          <w:color w:val="auto"/>
          <w:spacing w:val="-1"/>
          <w:sz w:val="24"/>
          <w:szCs w:val="24"/>
          <w:highlight w:val="none"/>
        </w:rPr>
        <w:t>文件，否则将自行承担不利后果）。投标文件完成上传后，投标人应</w:t>
      </w:r>
      <w:r>
        <w:rPr>
          <w:rFonts w:hint="eastAsia" w:ascii="宋体" w:hAnsi="宋体" w:eastAsia="宋体" w:cs="宋体"/>
          <w:color w:val="auto"/>
          <w:spacing w:val="-2"/>
          <w:sz w:val="24"/>
          <w:szCs w:val="24"/>
          <w:highlight w:val="none"/>
        </w:rPr>
        <w:t>使用 CA 数字证</w:t>
      </w:r>
      <w:r>
        <w:rPr>
          <w:rFonts w:hint="eastAsia" w:ascii="宋体" w:hAnsi="宋体" w:eastAsia="宋体" w:cs="宋体"/>
          <w:color w:val="auto"/>
          <w:spacing w:val="-1"/>
          <w:sz w:val="24"/>
          <w:szCs w:val="24"/>
          <w:highlight w:val="none"/>
        </w:rPr>
        <w:t>书对投标文件进行文件加密，形成加密的投标文件并提交标书。</w:t>
      </w:r>
    </w:p>
    <w:p w14:paraId="6868FCA9">
      <w:pPr>
        <w:spacing w:before="115" w:line="286" w:lineRule="auto"/>
        <w:ind w:left="10" w:right="81" w:firstLine="485"/>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11.2</w:t>
      </w:r>
      <w:r>
        <w:rPr>
          <w:rFonts w:hint="eastAsia" w:ascii="宋体" w:hAnsi="宋体" w:eastAsia="宋体" w:cs="宋体"/>
          <w:b/>
          <w:bCs/>
          <w:color w:val="auto"/>
          <w:spacing w:val="19"/>
          <w:sz w:val="24"/>
          <w:szCs w:val="24"/>
          <w:highlight w:val="none"/>
        </w:rPr>
        <w:t xml:space="preserve">  </w:t>
      </w:r>
      <w:r>
        <w:rPr>
          <w:rFonts w:hint="eastAsia" w:ascii="宋体" w:hAnsi="宋体" w:eastAsia="宋体" w:cs="宋体"/>
          <w:color w:val="auto"/>
          <w:spacing w:val="-4"/>
          <w:sz w:val="24"/>
          <w:szCs w:val="24"/>
          <w:highlight w:val="none"/>
        </w:rPr>
        <w:t>电子投标文件的修改、撤回：在提交投标文件截止时间前，投标人可</w:t>
      </w:r>
      <w:r>
        <w:rPr>
          <w:rFonts w:hint="eastAsia" w:ascii="宋体" w:hAnsi="宋体" w:eastAsia="宋体" w:cs="宋体"/>
          <w:color w:val="auto"/>
          <w:spacing w:val="-5"/>
          <w:sz w:val="24"/>
          <w:szCs w:val="24"/>
          <w:highlight w:val="none"/>
        </w:rPr>
        <w:t>以修改</w:t>
      </w:r>
      <w:r>
        <w:rPr>
          <w:rFonts w:hint="eastAsia" w:ascii="宋体" w:hAnsi="宋体" w:eastAsia="宋体" w:cs="宋体"/>
          <w:color w:val="auto"/>
          <w:spacing w:val="-1"/>
          <w:sz w:val="24"/>
          <w:szCs w:val="24"/>
          <w:highlight w:val="none"/>
        </w:rPr>
        <w:t>或撤回未解密的电子投标文件，并于提交投标文件截止时间</w:t>
      </w:r>
      <w:r>
        <w:rPr>
          <w:rFonts w:hint="eastAsia" w:ascii="宋体" w:hAnsi="宋体" w:eastAsia="宋体" w:cs="宋体"/>
          <w:color w:val="auto"/>
          <w:spacing w:val="-2"/>
          <w:sz w:val="24"/>
          <w:szCs w:val="24"/>
          <w:highlight w:val="none"/>
        </w:rPr>
        <w:t>前将重新上传修改后的电</w:t>
      </w:r>
      <w:r>
        <w:rPr>
          <w:rFonts w:hint="eastAsia" w:ascii="宋体" w:hAnsi="宋体" w:eastAsia="宋体" w:cs="宋体"/>
          <w:color w:val="auto"/>
          <w:spacing w:val="-1"/>
          <w:sz w:val="24"/>
          <w:szCs w:val="24"/>
          <w:highlight w:val="none"/>
        </w:rPr>
        <w:t>子投标文件至系统，到达投标文件提交截止时间后投标人不</w:t>
      </w:r>
      <w:r>
        <w:rPr>
          <w:rFonts w:hint="eastAsia" w:ascii="宋体" w:hAnsi="宋体" w:eastAsia="宋体" w:cs="宋体"/>
          <w:color w:val="auto"/>
          <w:spacing w:val="-2"/>
          <w:sz w:val="24"/>
          <w:szCs w:val="24"/>
          <w:highlight w:val="none"/>
        </w:rPr>
        <w:t>得撤回、补充、修改和更换投标文件。</w:t>
      </w:r>
    </w:p>
    <w:p w14:paraId="1F5F4AB1">
      <w:pPr>
        <w:numPr>
          <w:ilvl w:val="0"/>
          <w:numId w:val="0"/>
        </w:numPr>
        <w:spacing w:before="78" w:line="220" w:lineRule="auto"/>
        <w:ind w:firstLine="446" w:firstLineChars="200"/>
        <w:outlineLvl w:val="2"/>
        <w:rPr>
          <w:rFonts w:hint="eastAsia" w:ascii="宋体" w:hAnsi="宋体" w:eastAsia="宋体" w:cs="宋体"/>
          <w:b/>
          <w:bCs/>
          <w:color w:val="auto"/>
          <w:spacing w:val="-4"/>
          <w:sz w:val="24"/>
          <w:szCs w:val="24"/>
          <w:highlight w:val="none"/>
        </w:rPr>
      </w:pPr>
      <w:bookmarkStart w:id="57" w:name="_Toc5126"/>
      <w:r>
        <w:rPr>
          <w:rFonts w:hint="eastAsia" w:ascii="宋体" w:hAnsi="宋体" w:eastAsia="宋体" w:cs="宋体"/>
          <w:b/>
          <w:bCs/>
          <w:color w:val="auto"/>
          <w:spacing w:val="-9"/>
          <w:sz w:val="24"/>
          <w:szCs w:val="24"/>
          <w:highlight w:val="none"/>
          <w:lang w:val="en-US" w:eastAsia="zh-CN"/>
        </w:rPr>
        <w:t>12.</w:t>
      </w:r>
      <w:r>
        <w:rPr>
          <w:rFonts w:hint="eastAsia" w:ascii="宋体" w:hAnsi="宋体" w:eastAsia="宋体" w:cs="宋体"/>
          <w:b/>
          <w:bCs/>
          <w:color w:val="auto"/>
          <w:spacing w:val="22"/>
          <w:w w:val="101"/>
          <w:sz w:val="24"/>
          <w:szCs w:val="24"/>
          <w:highlight w:val="none"/>
        </w:rPr>
        <w:t xml:space="preserve"> </w:t>
      </w:r>
      <w:bookmarkStart w:id="58" w:name="_Toc29834"/>
      <w:r>
        <w:rPr>
          <w:rFonts w:hint="eastAsia" w:ascii="宋体" w:hAnsi="宋体" w:eastAsia="宋体" w:cs="宋体"/>
          <w:b/>
          <w:bCs/>
          <w:color w:val="auto"/>
          <w:spacing w:val="-4"/>
          <w:sz w:val="24"/>
          <w:szCs w:val="24"/>
          <w:highlight w:val="none"/>
        </w:rPr>
        <w:t>电子投标及投标解密失败及突发情况的补救方案</w:t>
      </w:r>
      <w:bookmarkEnd w:id="57"/>
      <w:bookmarkEnd w:id="58"/>
    </w:p>
    <w:p w14:paraId="6462F20A">
      <w:pPr>
        <w:keepNext w:val="0"/>
        <w:keepLines w:val="0"/>
        <w:pageBreakBefore w:val="0"/>
        <w:widowControl/>
        <w:kinsoku w:val="0"/>
        <w:wordWrap/>
        <w:overflowPunct/>
        <w:topLinePunct w:val="0"/>
        <w:autoSpaceDE w:val="0"/>
        <w:autoSpaceDN w:val="0"/>
        <w:bidi w:val="0"/>
        <w:adjustRightInd w:val="0"/>
        <w:snapToGrid w:val="0"/>
        <w:spacing w:before="78" w:line="360" w:lineRule="auto"/>
        <w:ind w:firstLine="478"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12.1 </w:t>
      </w:r>
      <w:r>
        <w:rPr>
          <w:rFonts w:hint="eastAsia" w:ascii="宋体" w:hAnsi="宋体" w:eastAsia="宋体" w:cs="宋体"/>
          <w:color w:val="auto"/>
          <w:spacing w:val="-1"/>
          <w:sz w:val="24"/>
          <w:szCs w:val="24"/>
          <w:highlight w:val="none"/>
        </w:rPr>
        <w:t>按照交易平台关于全流程电子化项目的相</w:t>
      </w:r>
      <w:r>
        <w:rPr>
          <w:rFonts w:hint="eastAsia" w:ascii="宋体" w:hAnsi="宋体" w:eastAsia="宋体" w:cs="宋体"/>
          <w:color w:val="auto"/>
          <w:spacing w:val="-2"/>
          <w:sz w:val="24"/>
          <w:szCs w:val="24"/>
          <w:highlight w:val="none"/>
        </w:rPr>
        <w:t>关指南进行操作。详见：全国公共</w:t>
      </w:r>
      <w:r>
        <w:rPr>
          <w:rFonts w:hint="eastAsia" w:ascii="宋体" w:hAnsi="宋体" w:eastAsia="宋体" w:cs="宋体"/>
          <w:color w:val="auto"/>
          <w:spacing w:val="-1"/>
          <w:sz w:val="24"/>
          <w:szCs w:val="24"/>
          <w:highlight w:val="none"/>
        </w:rPr>
        <w:t>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·韶关市</w:t>
      </w:r>
      <w:r>
        <w:rPr>
          <w:rFonts w:hint="eastAsia" w:ascii="宋体" w:hAnsi="宋体" w:eastAsia="宋体" w:cs="宋体"/>
          <w:color w:val="auto"/>
          <w:spacing w:val="-26"/>
          <w:sz w:val="24"/>
          <w:szCs w:val="24"/>
          <w:highlight w:val="none"/>
        </w:rPr>
        <w:t>）（</w:t>
      </w:r>
      <w:r>
        <w:rPr>
          <w:rFonts w:hint="eastAsia" w:ascii="宋体" w:hAnsi="宋体" w:eastAsia="宋体" w:cs="宋体"/>
          <w:color w:val="auto"/>
          <w:spacing w:val="-1"/>
          <w:sz w:val="24"/>
          <w:szCs w:val="24"/>
          <w:highlight w:val="none"/>
        </w:rPr>
        <w:t>https://y</w:t>
      </w:r>
      <w:r>
        <w:rPr>
          <w:rFonts w:hint="eastAsia" w:ascii="宋体" w:hAnsi="宋体" w:eastAsia="宋体" w:cs="宋体"/>
          <w:color w:val="auto"/>
          <w:spacing w:val="-2"/>
          <w:sz w:val="24"/>
          <w:szCs w:val="24"/>
          <w:highlight w:val="none"/>
        </w:rPr>
        <w:t>gp.gdzwfw.gov.cn/ggzy-portal/#/44</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0200/index）服务指南栏目发布的最新版操作指引。</w:t>
      </w:r>
    </w:p>
    <w:p w14:paraId="5443024B">
      <w:pPr>
        <w:spacing w:before="113"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12.2  </w:t>
      </w:r>
      <w:r>
        <w:rPr>
          <w:rFonts w:hint="eastAsia" w:ascii="宋体" w:hAnsi="宋体" w:eastAsia="宋体" w:cs="宋体"/>
          <w:color w:val="auto"/>
          <w:spacing w:val="-2"/>
          <w:sz w:val="24"/>
          <w:szCs w:val="24"/>
          <w:highlight w:val="none"/>
        </w:rPr>
        <w:t>补救方案：</w:t>
      </w:r>
    </w:p>
    <w:p w14:paraId="67019C1A">
      <w:pPr>
        <w:spacing w:before="115"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12.2.1  </w:t>
      </w:r>
      <w:r>
        <w:rPr>
          <w:rFonts w:hint="eastAsia" w:ascii="宋体" w:hAnsi="宋体" w:eastAsia="宋体" w:cs="宋体"/>
          <w:color w:val="auto"/>
          <w:spacing w:val="-1"/>
          <w:sz w:val="24"/>
          <w:szCs w:val="24"/>
          <w:highlight w:val="none"/>
        </w:rPr>
        <w:t>投标文件解密失败的补救方案：</w:t>
      </w:r>
    </w:p>
    <w:p w14:paraId="1EDCE6E7">
      <w:pPr>
        <w:spacing w:before="115" w:line="298" w:lineRule="auto"/>
        <w:ind w:right="81" w:firstLine="488"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在规定时间内，因投标人之外原因(指网络瘫痪、服务器损坏、交易系统故障短期无法恢复)等导致的电子投标文件解密失败，在开标现场解密环节由代理授权后，</w:t>
      </w:r>
      <w:r>
        <w:rPr>
          <w:rFonts w:hint="eastAsia" w:ascii="宋体" w:hAnsi="宋体" w:eastAsia="宋体" w:cs="宋体"/>
          <w:color w:val="auto"/>
          <w:spacing w:val="1"/>
          <w:sz w:val="24"/>
          <w:szCs w:val="24"/>
          <w:highlight w:val="none"/>
        </w:rPr>
        <w:t>解密失败投标人可在建设工程交易系统在规定时间（代理机构授权后</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1"/>
          <w:sz w:val="24"/>
          <w:szCs w:val="24"/>
          <w:highlight w:val="none"/>
        </w:rPr>
        <w:t>30</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1"/>
          <w:sz w:val="24"/>
          <w:szCs w:val="24"/>
          <w:highlight w:val="none"/>
        </w:rPr>
        <w:t>分钟内）内</w:t>
      </w:r>
      <w:bookmarkStart w:id="59" w:name="bookmark122"/>
      <w:bookmarkEnd w:id="59"/>
      <w:r>
        <w:rPr>
          <w:rFonts w:hint="eastAsia" w:ascii="宋体" w:hAnsi="宋体" w:eastAsia="宋体" w:cs="宋体"/>
          <w:color w:val="auto"/>
          <w:spacing w:val="-1"/>
          <w:sz w:val="24"/>
          <w:szCs w:val="24"/>
          <w:highlight w:val="none"/>
        </w:rPr>
        <w:t>重新提交投标文件继续开标程序。</w:t>
      </w:r>
    </w:p>
    <w:p w14:paraId="6A128606">
      <w:pPr>
        <w:spacing w:before="114"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12.2.2  </w:t>
      </w:r>
      <w:r>
        <w:rPr>
          <w:rFonts w:hint="eastAsia" w:ascii="宋体" w:hAnsi="宋体" w:eastAsia="宋体" w:cs="宋体"/>
          <w:color w:val="auto"/>
          <w:spacing w:val="-1"/>
          <w:sz w:val="24"/>
          <w:szCs w:val="24"/>
          <w:highlight w:val="none"/>
        </w:rPr>
        <w:t>评标时突发情况的补救方案</w:t>
      </w:r>
    </w:p>
    <w:p w14:paraId="389EEFFD">
      <w:pPr>
        <w:spacing w:before="114" w:line="303" w:lineRule="auto"/>
        <w:ind w:right="81" w:firstLine="476"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在评标过程中，因主场或副场网络故障、电子设备或者</w:t>
      </w:r>
      <w:r>
        <w:rPr>
          <w:rFonts w:hint="eastAsia" w:ascii="宋体" w:hAnsi="宋体" w:eastAsia="宋体" w:cs="宋体"/>
          <w:color w:val="auto"/>
          <w:spacing w:val="-2"/>
          <w:sz w:val="24"/>
          <w:szCs w:val="24"/>
          <w:highlight w:val="none"/>
        </w:rPr>
        <w:t>评标系统故障，以及其他</w:t>
      </w:r>
      <w:r>
        <w:rPr>
          <w:rFonts w:hint="eastAsia" w:ascii="宋体" w:hAnsi="宋体" w:eastAsia="宋体" w:cs="宋体"/>
          <w:color w:val="auto"/>
          <w:spacing w:val="-3"/>
          <w:sz w:val="24"/>
          <w:szCs w:val="24"/>
          <w:highlight w:val="none"/>
        </w:rPr>
        <w:t>原因导致无法继续进行评标时，在</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小时以内解除故障的可继续评标，超过</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3"/>
          <w:sz w:val="24"/>
          <w:szCs w:val="24"/>
          <w:highlight w:val="none"/>
        </w:rPr>
        <w:t>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3"/>
          <w:sz w:val="24"/>
          <w:szCs w:val="24"/>
          <w:highlight w:val="none"/>
        </w:rPr>
        <w:t>小时无</w:t>
      </w:r>
      <w:r>
        <w:rPr>
          <w:rFonts w:hint="eastAsia" w:ascii="宋体" w:hAnsi="宋体" w:eastAsia="宋体" w:cs="宋体"/>
          <w:color w:val="auto"/>
          <w:spacing w:val="-1"/>
          <w:sz w:val="24"/>
          <w:szCs w:val="24"/>
          <w:highlight w:val="none"/>
        </w:rPr>
        <w:t>法解除故障的，由招标人确定是否进行评标。如延期评标，</w:t>
      </w:r>
      <w:r>
        <w:rPr>
          <w:rFonts w:hint="eastAsia" w:ascii="宋体" w:hAnsi="宋体" w:eastAsia="宋体" w:cs="宋体"/>
          <w:color w:val="auto"/>
          <w:spacing w:val="-2"/>
          <w:sz w:val="24"/>
          <w:szCs w:val="24"/>
          <w:highlight w:val="none"/>
        </w:rPr>
        <w:t>招标人及参与评标活动的</w:t>
      </w:r>
      <w:r>
        <w:rPr>
          <w:rFonts w:hint="eastAsia" w:ascii="宋体" w:hAnsi="宋体" w:eastAsia="宋体" w:cs="宋体"/>
          <w:color w:val="auto"/>
          <w:spacing w:val="-1"/>
          <w:sz w:val="24"/>
          <w:szCs w:val="24"/>
          <w:highlight w:val="none"/>
        </w:rPr>
        <w:t>各方主体及其有关工作人员应当配合主场、副场做好招投标</w:t>
      </w:r>
      <w:r>
        <w:rPr>
          <w:rFonts w:hint="eastAsia" w:ascii="宋体" w:hAnsi="宋体" w:eastAsia="宋体" w:cs="宋体"/>
          <w:color w:val="auto"/>
          <w:spacing w:val="-2"/>
          <w:sz w:val="24"/>
          <w:szCs w:val="24"/>
          <w:highlight w:val="none"/>
        </w:rPr>
        <w:t>资料的封存和保密工作，</w:t>
      </w:r>
      <w:r>
        <w:rPr>
          <w:rFonts w:hint="eastAsia" w:ascii="宋体" w:hAnsi="宋体" w:eastAsia="宋体" w:cs="宋体"/>
          <w:color w:val="auto"/>
          <w:spacing w:val="-1"/>
          <w:sz w:val="24"/>
          <w:szCs w:val="24"/>
          <w:highlight w:val="none"/>
        </w:rPr>
        <w:t>另行组建评标委员会重新评标。原评标委员会成员应当对评</w:t>
      </w:r>
      <w:r>
        <w:rPr>
          <w:rFonts w:hint="eastAsia" w:ascii="宋体" w:hAnsi="宋体" w:eastAsia="宋体" w:cs="宋体"/>
          <w:color w:val="auto"/>
          <w:spacing w:val="-2"/>
          <w:sz w:val="24"/>
          <w:szCs w:val="24"/>
          <w:highlight w:val="none"/>
        </w:rPr>
        <w:t>标情况保密，不得对外透</w:t>
      </w:r>
      <w:r>
        <w:rPr>
          <w:rFonts w:hint="eastAsia" w:ascii="宋体" w:hAnsi="宋体" w:eastAsia="宋体" w:cs="宋体"/>
          <w:color w:val="auto"/>
          <w:spacing w:val="-1"/>
          <w:sz w:val="24"/>
          <w:szCs w:val="24"/>
          <w:highlight w:val="none"/>
        </w:rPr>
        <w:t>露与评标有关的任何信息与情况。</w:t>
      </w:r>
    </w:p>
    <w:p w14:paraId="432398B9">
      <w:pPr>
        <w:spacing w:before="69" w:line="324" w:lineRule="auto"/>
        <w:ind w:left="11" w:right="81" w:firstLine="484"/>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12.2.3  </w:t>
      </w:r>
      <w:r>
        <w:rPr>
          <w:rFonts w:hint="eastAsia" w:ascii="宋体" w:hAnsi="宋体" w:eastAsia="宋体" w:cs="宋体"/>
          <w:color w:val="auto"/>
          <w:spacing w:val="-1"/>
          <w:sz w:val="24"/>
          <w:szCs w:val="24"/>
          <w:highlight w:val="none"/>
        </w:rPr>
        <w:t>除发生上述情况外，开标评标均以投标人（联合体投标的，由联合体牵头人）通过交易平台网上递交的电子投标文件为准。</w:t>
      </w:r>
    </w:p>
    <w:p w14:paraId="4746E39E">
      <w:pPr>
        <w:spacing w:before="78" w:line="220" w:lineRule="auto"/>
        <w:ind w:left="496"/>
        <w:outlineLvl w:val="2"/>
        <w:rPr>
          <w:rFonts w:hint="eastAsia" w:ascii="宋体" w:hAnsi="宋体" w:eastAsia="宋体" w:cs="宋体"/>
          <w:color w:val="auto"/>
          <w:sz w:val="24"/>
          <w:szCs w:val="24"/>
          <w:highlight w:val="none"/>
        </w:rPr>
      </w:pPr>
      <w:bookmarkStart w:id="60" w:name="_Toc3957"/>
      <w:bookmarkStart w:id="61" w:name="_Toc27195"/>
      <w:r>
        <w:rPr>
          <w:rFonts w:hint="eastAsia" w:ascii="宋体" w:hAnsi="宋体" w:eastAsia="宋体" w:cs="宋体"/>
          <w:b/>
          <w:bCs/>
          <w:color w:val="auto"/>
          <w:spacing w:val="-7"/>
          <w:sz w:val="24"/>
          <w:szCs w:val="24"/>
          <w:highlight w:val="none"/>
        </w:rPr>
        <w:t>13</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7"/>
          <w:sz w:val="24"/>
          <w:szCs w:val="24"/>
          <w:highlight w:val="none"/>
        </w:rPr>
        <w:t>．投标文件的提交</w:t>
      </w:r>
      <w:bookmarkEnd w:id="60"/>
      <w:bookmarkEnd w:id="61"/>
    </w:p>
    <w:p w14:paraId="63ACB3FA">
      <w:pPr>
        <w:spacing w:before="123" w:line="278" w:lineRule="auto"/>
        <w:ind w:left="13" w:right="81" w:firstLine="482"/>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 xml:space="preserve">13.1  </w:t>
      </w:r>
      <w:r>
        <w:rPr>
          <w:rFonts w:hint="eastAsia" w:ascii="宋体" w:hAnsi="宋体" w:eastAsia="宋体" w:cs="宋体"/>
          <w:color w:val="auto"/>
          <w:spacing w:val="-11"/>
          <w:sz w:val="24"/>
          <w:szCs w:val="24"/>
          <w:highlight w:val="none"/>
        </w:rPr>
        <w:t>在投标文件提交截止时间前，投标人通过全国公共资源交易平台（</w:t>
      </w:r>
      <w:r>
        <w:rPr>
          <w:rFonts w:hint="eastAsia" w:ascii="宋体" w:hAnsi="宋体" w:eastAsia="宋体" w:cs="宋体"/>
          <w:color w:val="auto"/>
          <w:spacing w:val="-12"/>
          <w:sz w:val="24"/>
          <w:szCs w:val="24"/>
          <w:highlight w:val="none"/>
        </w:rPr>
        <w:t>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2"/>
          <w:sz w:val="24"/>
          <w:szCs w:val="24"/>
          <w:highlight w:val="none"/>
        </w:rPr>
        <w:t>·韶</w:t>
      </w:r>
      <w:r>
        <w:rPr>
          <w:rFonts w:hint="eastAsia" w:ascii="宋体" w:hAnsi="宋体" w:eastAsia="宋体" w:cs="宋体"/>
          <w:color w:val="auto"/>
          <w:spacing w:val="-1"/>
          <w:sz w:val="24"/>
          <w:szCs w:val="24"/>
          <w:highlight w:val="none"/>
        </w:rPr>
        <w:t>关市）提交已加密投标文件。逾期提交的电子投标文</w:t>
      </w:r>
      <w:r>
        <w:rPr>
          <w:rFonts w:hint="eastAsia" w:ascii="宋体" w:hAnsi="宋体" w:eastAsia="宋体" w:cs="宋体"/>
          <w:color w:val="auto"/>
          <w:spacing w:val="-2"/>
          <w:sz w:val="24"/>
          <w:szCs w:val="24"/>
          <w:highlight w:val="none"/>
        </w:rPr>
        <w:t>件，全国公共资源交易平台（广</w:t>
      </w:r>
      <w:r>
        <w:rPr>
          <w:rFonts w:hint="eastAsia" w:ascii="宋体" w:hAnsi="宋体" w:eastAsia="宋体" w:cs="宋体"/>
          <w:color w:val="auto"/>
          <w:spacing w:val="-9"/>
          <w:sz w:val="24"/>
          <w:szCs w:val="24"/>
          <w:highlight w:val="none"/>
        </w:rPr>
        <w:t>东省</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9"/>
          <w:sz w:val="24"/>
          <w:szCs w:val="24"/>
          <w:highlight w:val="none"/>
        </w:rPr>
        <w:t>·韶关市）将予以拒收。</w:t>
      </w:r>
    </w:p>
    <w:p w14:paraId="6051D660">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13.2  </w:t>
      </w:r>
      <w:r>
        <w:rPr>
          <w:rFonts w:hint="eastAsia" w:ascii="宋体" w:hAnsi="宋体" w:eastAsia="宋体" w:cs="宋体"/>
          <w:color w:val="auto"/>
          <w:spacing w:val="2"/>
          <w:sz w:val="24"/>
          <w:szCs w:val="24"/>
          <w:highlight w:val="none"/>
        </w:rPr>
        <w:t>提交时间和地点：见本章第二节“重要事项时间地点一览表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p>
    <w:p w14:paraId="00486459">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13.3  </w:t>
      </w:r>
      <w:r>
        <w:rPr>
          <w:rFonts w:hint="eastAsia" w:ascii="宋体" w:hAnsi="宋体" w:eastAsia="宋体" w:cs="宋体"/>
          <w:color w:val="auto"/>
          <w:spacing w:val="-1"/>
          <w:sz w:val="24"/>
          <w:szCs w:val="24"/>
          <w:highlight w:val="none"/>
        </w:rPr>
        <w:t>递交时间和地点：投标人如有招标</w:t>
      </w:r>
      <w:r>
        <w:rPr>
          <w:rFonts w:hint="eastAsia" w:ascii="宋体" w:hAnsi="宋体" w:eastAsia="宋体" w:cs="宋体"/>
          <w:color w:val="auto"/>
          <w:spacing w:val="-2"/>
          <w:sz w:val="24"/>
          <w:szCs w:val="24"/>
          <w:highlight w:val="none"/>
        </w:rPr>
        <w:t>文件要求提交的用于评审的证书、证件、证明原件（附一式两份清单</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由投标人法定代表人或其委托代理人在指定的时间和</w:t>
      </w:r>
      <w:r>
        <w:rPr>
          <w:rFonts w:hint="eastAsia" w:ascii="宋体" w:hAnsi="宋体" w:eastAsia="宋体" w:cs="宋体"/>
          <w:color w:val="auto"/>
          <w:spacing w:val="-1"/>
          <w:sz w:val="24"/>
          <w:szCs w:val="24"/>
          <w:highlight w:val="none"/>
        </w:rPr>
        <w:t>地点递交（见“重要事项时间地点一览表</w:t>
      </w:r>
      <w:r>
        <w:rPr>
          <w:rFonts w:hint="eastAsia" w:ascii="宋体" w:hAnsi="宋体" w:eastAsia="宋体" w:cs="宋体"/>
          <w:color w:val="auto"/>
          <w:spacing w:val="-77"/>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w:t>
      </w:r>
    </w:p>
    <w:p w14:paraId="3B37374D">
      <w:pPr>
        <w:spacing w:before="112" w:line="219" w:lineRule="auto"/>
        <w:ind w:firstLine="478"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13.4  </w:t>
      </w:r>
      <w:r>
        <w:rPr>
          <w:rFonts w:hint="eastAsia" w:ascii="宋体" w:hAnsi="宋体" w:eastAsia="宋体" w:cs="宋体"/>
          <w:color w:val="auto"/>
          <w:spacing w:val="-1"/>
          <w:sz w:val="24"/>
          <w:szCs w:val="24"/>
          <w:highlight w:val="none"/>
        </w:rPr>
        <w:t>代理机构对因不可抗力事件造成的投</w:t>
      </w:r>
      <w:r>
        <w:rPr>
          <w:rFonts w:hint="eastAsia" w:ascii="宋体" w:hAnsi="宋体" w:eastAsia="宋体" w:cs="宋体"/>
          <w:color w:val="auto"/>
          <w:spacing w:val="-2"/>
          <w:sz w:val="24"/>
          <w:szCs w:val="24"/>
          <w:highlight w:val="none"/>
        </w:rPr>
        <w:t>标文件的损坏、丢失的，不承担责任。</w:t>
      </w:r>
    </w:p>
    <w:p w14:paraId="4AB75F24">
      <w:pPr>
        <w:spacing w:before="116" w:line="220"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13.5</w:t>
      </w:r>
      <w:r>
        <w:rPr>
          <w:rFonts w:hint="eastAsia" w:ascii="宋体" w:hAnsi="宋体" w:eastAsia="宋体" w:cs="宋体"/>
          <w:b/>
          <w:bCs/>
          <w:color w:val="auto"/>
          <w:spacing w:val="15"/>
          <w:sz w:val="24"/>
          <w:szCs w:val="24"/>
          <w:highlight w:val="none"/>
        </w:rPr>
        <w:t xml:space="preserve">  </w:t>
      </w:r>
      <w:r>
        <w:rPr>
          <w:rFonts w:hint="eastAsia" w:ascii="宋体" w:hAnsi="宋体" w:eastAsia="宋体" w:cs="宋体"/>
          <w:color w:val="auto"/>
          <w:spacing w:val="-1"/>
          <w:sz w:val="24"/>
          <w:szCs w:val="24"/>
          <w:highlight w:val="none"/>
        </w:rPr>
        <w:t>出现下述情形之一，属于未成功提</w:t>
      </w:r>
      <w:r>
        <w:rPr>
          <w:rFonts w:hint="eastAsia" w:ascii="宋体" w:hAnsi="宋体" w:eastAsia="宋体" w:cs="宋体"/>
          <w:color w:val="auto"/>
          <w:spacing w:val="-2"/>
          <w:sz w:val="24"/>
          <w:szCs w:val="24"/>
          <w:highlight w:val="none"/>
        </w:rPr>
        <w:t>交投标文件，按无效投标处理：</w:t>
      </w:r>
    </w:p>
    <w:p w14:paraId="7078EE47">
      <w:pPr>
        <w:spacing w:before="115" w:line="219"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（1）至提交投标文件截止时，投标文件未完整上传及提交标书；</w:t>
      </w:r>
    </w:p>
    <w:p w14:paraId="182F51BA">
      <w:pPr>
        <w:spacing w:before="114"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（2）解密失败且在规定时间内未重新提交投标文件的；</w:t>
      </w:r>
    </w:p>
    <w:p w14:paraId="42D26110">
      <w:pPr>
        <w:spacing w:before="115" w:line="220" w:lineRule="auto"/>
        <w:ind w:left="74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（3）投标文件损坏或格式不正确的；</w:t>
      </w:r>
    </w:p>
    <w:p w14:paraId="375241E2">
      <w:pPr>
        <w:spacing w:before="115"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13.6  </w:t>
      </w:r>
      <w:r>
        <w:rPr>
          <w:rFonts w:hint="eastAsia" w:ascii="宋体" w:hAnsi="宋体" w:eastAsia="宋体" w:cs="宋体"/>
          <w:color w:val="auto"/>
          <w:spacing w:val="-1"/>
          <w:sz w:val="24"/>
          <w:szCs w:val="24"/>
          <w:highlight w:val="none"/>
        </w:rPr>
        <w:t>联合体投标的，由联合体牵头人按以上要求递交相关资料。</w:t>
      </w:r>
    </w:p>
    <w:p w14:paraId="3A0B8A8C">
      <w:pPr>
        <w:spacing w:before="113" w:line="279" w:lineRule="auto"/>
        <w:ind w:left="9" w:right="24" w:firstLine="486"/>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2"/>
          <w:sz w:val="24"/>
          <w:szCs w:val="24"/>
          <w:highlight w:val="none"/>
        </w:rPr>
        <w:t xml:space="preserve">13.7  </w:t>
      </w:r>
      <w:r>
        <w:rPr>
          <w:rFonts w:hint="eastAsia" w:ascii="宋体" w:hAnsi="宋体" w:eastAsia="宋体" w:cs="宋体"/>
          <w:color w:val="auto"/>
          <w:spacing w:val="-2"/>
          <w:sz w:val="24"/>
          <w:szCs w:val="24"/>
          <w:highlight w:val="none"/>
        </w:rPr>
        <w:t>招标人或其授权的招标代理机构核对、接收投标人递交的投标相关资料后，</w:t>
      </w:r>
      <w:r>
        <w:rPr>
          <w:rFonts w:hint="eastAsia" w:ascii="宋体" w:hAnsi="宋体" w:eastAsia="宋体" w:cs="宋体"/>
          <w:color w:val="auto"/>
          <w:spacing w:val="-1"/>
          <w:sz w:val="24"/>
          <w:szCs w:val="24"/>
          <w:highlight w:val="none"/>
        </w:rPr>
        <w:t>应向投标人出具标明签收</w:t>
      </w:r>
      <w:r>
        <w:rPr>
          <w:rFonts w:hint="eastAsia" w:ascii="宋体" w:hAnsi="宋体" w:eastAsia="宋体" w:cs="宋体"/>
          <w:color w:val="auto"/>
          <w:spacing w:val="-2"/>
          <w:sz w:val="24"/>
          <w:szCs w:val="24"/>
          <w:highlight w:val="none"/>
        </w:rPr>
        <w:t>人和签收时间的凭证，并妥善保管。</w:t>
      </w:r>
    </w:p>
    <w:p w14:paraId="4E2CDC3E">
      <w:pPr>
        <w:spacing w:before="113" w:line="279" w:lineRule="auto"/>
        <w:ind w:left="9" w:right="24" w:firstLine="48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13.8 </w:t>
      </w:r>
      <w:r>
        <w:rPr>
          <w:rFonts w:hint="eastAsia" w:ascii="宋体" w:hAnsi="宋体" w:eastAsia="宋体" w:cs="宋体"/>
          <w:color w:val="auto"/>
          <w:spacing w:val="-2"/>
          <w:sz w:val="24"/>
          <w:szCs w:val="24"/>
          <w:highlight w:val="none"/>
        </w:rPr>
        <w:t xml:space="preserve"> 本次招标投标有效期为</w:t>
      </w:r>
      <w:r>
        <w:rPr>
          <w:rFonts w:hint="eastAsia" w:ascii="宋体" w:hAnsi="宋体" w:eastAsia="宋体" w:cs="宋体"/>
          <w:color w:val="auto"/>
          <w:spacing w:val="-2"/>
          <w:sz w:val="24"/>
          <w:szCs w:val="24"/>
          <w:highlight w:val="none"/>
          <w:u w:val="single"/>
          <w:lang w:eastAsia="zh-CN"/>
        </w:rPr>
        <w:t>90</w:t>
      </w:r>
      <w:r>
        <w:rPr>
          <w:rFonts w:hint="eastAsia" w:ascii="宋体" w:hAnsi="宋体" w:eastAsia="宋体" w:cs="宋体"/>
          <w:color w:val="auto"/>
          <w:spacing w:val="-2"/>
          <w:sz w:val="24"/>
          <w:szCs w:val="24"/>
          <w:highlight w:val="none"/>
        </w:rPr>
        <w:t>个日历天，投标有效期从提交投标文件的截止之日起计算。在此期间，投标人不得撤销或修改其</w:t>
      </w:r>
      <w:r>
        <w:rPr>
          <w:rFonts w:hint="eastAsia" w:ascii="宋体" w:hAnsi="宋体" w:eastAsia="宋体" w:cs="宋体"/>
          <w:color w:val="auto"/>
          <w:spacing w:val="-7"/>
          <w:sz w:val="24"/>
          <w:szCs w:val="24"/>
          <w:highlight w:val="none"/>
        </w:rPr>
        <w:t>投标文件，否则其投标保证不予退还。</w:t>
      </w:r>
    </w:p>
    <w:p w14:paraId="2A2F821B">
      <w:pPr>
        <w:spacing w:before="145" w:line="221" w:lineRule="auto"/>
        <w:ind w:left="496"/>
        <w:outlineLvl w:val="2"/>
        <w:rPr>
          <w:rFonts w:hint="eastAsia" w:ascii="宋体" w:hAnsi="宋体" w:eastAsia="宋体" w:cs="宋体"/>
          <w:color w:val="auto"/>
          <w:sz w:val="24"/>
          <w:szCs w:val="24"/>
          <w:highlight w:val="none"/>
        </w:rPr>
      </w:pPr>
      <w:bookmarkStart w:id="62" w:name="_Toc22047"/>
      <w:bookmarkStart w:id="63" w:name="_Toc8365"/>
      <w:r>
        <w:rPr>
          <w:rFonts w:hint="eastAsia" w:ascii="宋体" w:hAnsi="宋体" w:eastAsia="宋体" w:cs="宋体"/>
          <w:b/>
          <w:bCs/>
          <w:color w:val="auto"/>
          <w:spacing w:val="-11"/>
          <w:sz w:val="24"/>
          <w:szCs w:val="24"/>
          <w:highlight w:val="none"/>
        </w:rPr>
        <w:t>14</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．开标</w:t>
      </w:r>
      <w:bookmarkEnd w:id="62"/>
      <w:bookmarkEnd w:id="63"/>
    </w:p>
    <w:p w14:paraId="792BE085">
      <w:pPr>
        <w:spacing w:before="155" w:line="329" w:lineRule="auto"/>
        <w:ind w:left="10" w:right="81" w:firstLine="48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14.1  </w:t>
      </w:r>
      <w:r>
        <w:rPr>
          <w:rFonts w:hint="eastAsia" w:ascii="宋体" w:hAnsi="宋体" w:eastAsia="宋体" w:cs="宋体"/>
          <w:color w:val="auto"/>
          <w:spacing w:val="-3"/>
          <w:sz w:val="24"/>
          <w:szCs w:val="24"/>
          <w:highlight w:val="none"/>
        </w:rPr>
        <w:t>招标人邀请所有正确获取招标文件、电子投标、缴纳投标保证的投标人参加</w:t>
      </w:r>
      <w:r>
        <w:rPr>
          <w:rFonts w:hint="eastAsia" w:ascii="宋体" w:hAnsi="宋体" w:eastAsia="宋体" w:cs="宋体"/>
          <w:color w:val="auto"/>
          <w:spacing w:val="-1"/>
          <w:sz w:val="24"/>
          <w:szCs w:val="24"/>
          <w:highlight w:val="none"/>
        </w:rPr>
        <w:t>开标，投标人可自主决定是否参加。投标人可登陆交易平台</w:t>
      </w:r>
      <w:r>
        <w:rPr>
          <w:rFonts w:hint="eastAsia" w:ascii="宋体" w:hAnsi="宋体" w:eastAsia="宋体" w:cs="宋体"/>
          <w:color w:val="auto"/>
          <w:spacing w:val="-2"/>
          <w:sz w:val="24"/>
          <w:szCs w:val="24"/>
          <w:highlight w:val="none"/>
        </w:rPr>
        <w:t>观看开标实况、提出异议</w:t>
      </w:r>
      <w:r>
        <w:rPr>
          <w:rFonts w:hint="eastAsia" w:ascii="宋体" w:hAnsi="宋体" w:eastAsia="宋体" w:cs="宋体"/>
          <w:color w:val="auto"/>
          <w:spacing w:val="-1"/>
          <w:sz w:val="24"/>
          <w:szCs w:val="24"/>
          <w:highlight w:val="none"/>
        </w:rPr>
        <w:t>或进行澄清、确认等操作（具体按招标文件和系统操作手册</w:t>
      </w:r>
      <w:r>
        <w:rPr>
          <w:rFonts w:hint="eastAsia" w:ascii="宋体" w:hAnsi="宋体" w:eastAsia="宋体" w:cs="宋体"/>
          <w:color w:val="auto"/>
          <w:spacing w:val="-2"/>
          <w:sz w:val="24"/>
          <w:szCs w:val="24"/>
          <w:highlight w:val="none"/>
        </w:rPr>
        <w:t>为准）。投标人不参加开</w:t>
      </w:r>
      <w:bookmarkStart w:id="64" w:name="bookmark123"/>
      <w:bookmarkEnd w:id="64"/>
      <w:r>
        <w:rPr>
          <w:rFonts w:hint="eastAsia" w:ascii="宋体" w:hAnsi="宋体" w:eastAsia="宋体" w:cs="宋体"/>
          <w:color w:val="auto"/>
          <w:sz w:val="24"/>
          <w:szCs w:val="24"/>
          <w:highlight w:val="none"/>
        </w:rPr>
        <w:t>标的，视其默认开标结果，以及放弃在开标期间见证、</w:t>
      </w:r>
      <w:r>
        <w:rPr>
          <w:rFonts w:hint="eastAsia" w:ascii="宋体" w:hAnsi="宋体" w:eastAsia="宋体" w:cs="宋体"/>
          <w:color w:val="auto"/>
          <w:spacing w:val="-1"/>
          <w:sz w:val="24"/>
          <w:szCs w:val="24"/>
          <w:highlight w:val="none"/>
        </w:rPr>
        <w:t>监督、投诉、申辩的权利。</w:t>
      </w:r>
    </w:p>
    <w:p w14:paraId="3DC2018F">
      <w:pPr>
        <w:spacing w:before="156"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14.1.1  </w:t>
      </w:r>
      <w:r>
        <w:rPr>
          <w:rFonts w:hint="eastAsia" w:ascii="宋体" w:hAnsi="宋体" w:eastAsia="宋体" w:cs="宋体"/>
          <w:color w:val="auto"/>
          <w:sz w:val="24"/>
          <w:szCs w:val="24"/>
          <w:highlight w:val="none"/>
        </w:rPr>
        <w:t>开标时间和地点：见本章第</w:t>
      </w:r>
      <w:r>
        <w:rPr>
          <w:rFonts w:hint="eastAsia" w:ascii="宋体" w:hAnsi="宋体" w:eastAsia="宋体" w:cs="宋体"/>
          <w:color w:val="auto"/>
          <w:spacing w:val="-1"/>
          <w:sz w:val="24"/>
          <w:szCs w:val="24"/>
          <w:highlight w:val="none"/>
        </w:rPr>
        <w:t>二节“重要事项时间地点一览表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w:t>
      </w:r>
    </w:p>
    <w:p w14:paraId="652A2E38">
      <w:pPr>
        <w:keepNext w:val="0"/>
        <w:keepLines w:val="0"/>
        <w:pageBreakBefore w:val="0"/>
        <w:widowControl/>
        <w:kinsoku w:val="0"/>
        <w:wordWrap w:val="0"/>
        <w:overflowPunct/>
        <w:topLinePunct w:val="0"/>
        <w:autoSpaceDE w:val="0"/>
        <w:autoSpaceDN w:val="0"/>
        <w:bidi w:val="0"/>
        <w:adjustRightInd w:val="0"/>
        <w:snapToGrid w:val="0"/>
        <w:spacing w:before="153" w:line="320" w:lineRule="auto"/>
        <w:ind w:left="11" w:firstLine="488"/>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 xml:space="preserve">14.1.2 </w:t>
      </w:r>
      <w:r>
        <w:rPr>
          <w:rFonts w:hint="eastAsia" w:ascii="宋体" w:hAnsi="宋体" w:eastAsia="宋体" w:cs="宋体"/>
          <w:color w:val="auto"/>
          <w:spacing w:val="-7"/>
          <w:sz w:val="24"/>
          <w:szCs w:val="24"/>
          <w:highlight w:val="none"/>
        </w:rPr>
        <w:t>开标前</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7"/>
          <w:sz w:val="24"/>
          <w:szCs w:val="24"/>
          <w:highlight w:val="none"/>
        </w:rPr>
        <w:t>24</w:t>
      </w:r>
      <w:r>
        <w:rPr>
          <w:rFonts w:hint="eastAsia" w:ascii="宋体" w:hAnsi="宋体" w:eastAsia="宋体" w:cs="宋体"/>
          <w:color w:val="auto"/>
          <w:spacing w:val="-44"/>
          <w:sz w:val="24"/>
          <w:szCs w:val="24"/>
          <w:highlight w:val="none"/>
        </w:rPr>
        <w:t xml:space="preserve"> </w:t>
      </w:r>
      <w:r>
        <w:rPr>
          <w:rFonts w:hint="eastAsia" w:ascii="宋体" w:hAnsi="宋体" w:eastAsia="宋体" w:cs="宋体"/>
          <w:color w:val="auto"/>
          <w:spacing w:val="-7"/>
          <w:sz w:val="24"/>
          <w:szCs w:val="24"/>
          <w:highlight w:val="none"/>
        </w:rPr>
        <w:t>小时，若建设工程交易系统显示缴</w:t>
      </w:r>
      <w:r>
        <w:rPr>
          <w:rFonts w:hint="eastAsia" w:ascii="宋体" w:hAnsi="宋体" w:eastAsia="宋体" w:cs="宋体"/>
          <w:color w:val="auto"/>
          <w:spacing w:val="-8"/>
          <w:sz w:val="24"/>
          <w:szCs w:val="24"/>
          <w:highlight w:val="none"/>
        </w:rPr>
        <w:t>纳投标保证（包括投标保证金、</w:t>
      </w:r>
      <w:r>
        <w:rPr>
          <w:rFonts w:hint="eastAsia" w:ascii="宋体" w:hAnsi="宋体" w:eastAsia="宋体" w:cs="宋体"/>
          <w:color w:val="auto"/>
          <w:spacing w:val="-2"/>
          <w:sz w:val="24"/>
          <w:szCs w:val="24"/>
          <w:highlight w:val="none"/>
        </w:rPr>
        <w:t>投标保证担保、投标保证保险）的投标人数量不足</w:t>
      </w:r>
      <w:r>
        <w:rPr>
          <w:rFonts w:hint="eastAsia" w:ascii="宋体" w:hAnsi="宋体" w:eastAsia="宋体" w:cs="宋体"/>
          <w:color w:val="auto"/>
          <w:spacing w:val="-42"/>
          <w:sz w:val="24"/>
          <w:szCs w:val="24"/>
          <w:highlight w:val="none"/>
        </w:rPr>
        <w:t xml:space="preserve"> </w:t>
      </w:r>
      <w:r>
        <w:rPr>
          <w:rFonts w:hint="eastAsia" w:ascii="宋体" w:hAnsi="宋体" w:eastAsia="宋体" w:cs="宋体"/>
          <w:color w:val="auto"/>
          <w:spacing w:val="-2"/>
          <w:sz w:val="24"/>
          <w:szCs w:val="24"/>
          <w:highlight w:val="none"/>
        </w:rPr>
        <w:t>3</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个时，招标人将取消原定于次日</w:t>
      </w:r>
      <w:r>
        <w:rPr>
          <w:rFonts w:hint="eastAsia" w:ascii="宋体" w:hAnsi="宋体" w:eastAsia="宋体" w:cs="宋体"/>
          <w:color w:val="auto"/>
          <w:spacing w:val="-1"/>
          <w:sz w:val="24"/>
          <w:szCs w:val="24"/>
          <w:highlight w:val="none"/>
        </w:rPr>
        <w:t>召开的开标活动。投标人可在投标保证缴纳截止时间（见本章</w:t>
      </w:r>
      <w:r>
        <w:rPr>
          <w:rFonts w:hint="eastAsia" w:ascii="宋体" w:hAnsi="宋体" w:eastAsia="宋体" w:cs="宋体"/>
          <w:color w:val="auto"/>
          <w:spacing w:val="-2"/>
          <w:sz w:val="24"/>
          <w:szCs w:val="24"/>
          <w:highlight w:val="none"/>
        </w:rPr>
        <w:t>第二节“重要事项时间</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地点一览表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”）至电子投标截止时间（见本章第二节“重要事项时间地点一览</w:t>
      </w:r>
      <w:r>
        <w:rPr>
          <w:rFonts w:hint="eastAsia" w:ascii="宋体" w:hAnsi="宋体" w:eastAsia="宋体" w:cs="宋体"/>
          <w:color w:val="auto"/>
          <w:spacing w:val="-2"/>
          <w:sz w:val="24"/>
          <w:szCs w:val="24"/>
          <w:highlight w:val="none"/>
        </w:rPr>
        <w:t>表</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期间登录全国公共资源交易平台（广东省</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22"/>
          <w:sz w:val="24"/>
          <w:szCs w:val="24"/>
          <w:highlight w:val="none"/>
        </w:rPr>
        <w:t>）（</w:t>
      </w:r>
      <w:r>
        <w:rPr>
          <w:rFonts w:hint="eastAsia" w:ascii="宋体" w:hAnsi="宋体" w:eastAsia="宋体" w:cs="宋体"/>
          <w:color w:val="auto"/>
          <w:spacing w:val="-2"/>
          <w:sz w:val="24"/>
          <w:szCs w:val="24"/>
          <w:highlight w:val="none"/>
        </w:rPr>
        <w:t>https://ygp.gdzwfw.gov.cn/</w:t>
      </w:r>
      <w:r>
        <w:rPr>
          <w:rFonts w:hint="eastAsia" w:ascii="宋体" w:hAnsi="宋体" w:eastAsia="宋体" w:cs="宋体"/>
          <w:color w:val="auto"/>
          <w:sz w:val="24"/>
          <w:szCs w:val="24"/>
          <w:highlight w:val="none"/>
        </w:rPr>
        <w:t xml:space="preserve"> ggzy-portal/#/440200/index）查询是否发布了取</w:t>
      </w:r>
      <w:r>
        <w:rPr>
          <w:rFonts w:hint="eastAsia" w:ascii="宋体" w:hAnsi="宋体" w:eastAsia="宋体" w:cs="宋体"/>
          <w:color w:val="auto"/>
          <w:spacing w:val="-1"/>
          <w:sz w:val="24"/>
          <w:szCs w:val="24"/>
          <w:highlight w:val="none"/>
        </w:rPr>
        <w:t>消开标活动的相关信息。</w:t>
      </w:r>
    </w:p>
    <w:p w14:paraId="30562814">
      <w:pPr>
        <w:spacing w:before="159" w:line="319" w:lineRule="auto"/>
        <w:ind w:left="10" w:right="80" w:firstLine="49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14.1.3</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本项目实行全流程电子化招标投标，投标人在交易平台按要求上传加盖电</w:t>
      </w:r>
      <w:r>
        <w:rPr>
          <w:rFonts w:hint="eastAsia" w:ascii="宋体" w:hAnsi="宋体" w:eastAsia="宋体" w:cs="宋体"/>
          <w:color w:val="auto"/>
          <w:spacing w:val="-1"/>
          <w:sz w:val="24"/>
          <w:szCs w:val="24"/>
          <w:highlight w:val="none"/>
        </w:rPr>
        <w:t>子印章并经加密的电子投标文件，并在交易平台录入准确的</w:t>
      </w:r>
      <w:r>
        <w:rPr>
          <w:rFonts w:hint="eastAsia" w:ascii="宋体" w:hAnsi="宋体" w:eastAsia="宋体" w:cs="宋体"/>
          <w:color w:val="auto"/>
          <w:spacing w:val="-2"/>
          <w:sz w:val="24"/>
          <w:szCs w:val="24"/>
          <w:highlight w:val="none"/>
        </w:rPr>
        <w:t>页码信息即可完成在线投</w:t>
      </w:r>
      <w:r>
        <w:rPr>
          <w:rFonts w:hint="eastAsia" w:ascii="宋体" w:hAnsi="宋体" w:eastAsia="宋体" w:cs="宋体"/>
          <w:color w:val="auto"/>
          <w:spacing w:val="-1"/>
          <w:sz w:val="24"/>
          <w:szCs w:val="24"/>
          <w:highlight w:val="none"/>
        </w:rPr>
        <w:t>标</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由于投标人原因导致未按投标截至时限上传完整投标文</w:t>
      </w:r>
      <w:r>
        <w:rPr>
          <w:rFonts w:hint="eastAsia" w:ascii="宋体" w:hAnsi="宋体" w:eastAsia="宋体" w:cs="宋体"/>
          <w:color w:val="auto"/>
          <w:spacing w:val="-2"/>
          <w:sz w:val="24"/>
          <w:szCs w:val="24"/>
          <w:highlight w:val="none"/>
        </w:rPr>
        <w:t>件、在交易平台中上传的</w:t>
      </w:r>
      <w:r>
        <w:rPr>
          <w:rFonts w:hint="eastAsia" w:ascii="宋体" w:hAnsi="宋体" w:eastAsia="宋体" w:cs="宋体"/>
          <w:color w:val="auto"/>
          <w:spacing w:val="-1"/>
          <w:sz w:val="24"/>
          <w:szCs w:val="24"/>
          <w:highlight w:val="none"/>
        </w:rPr>
        <w:t>投标文件无法解密、投标文件损坏或格式不正确、投标文件</w:t>
      </w:r>
      <w:r>
        <w:rPr>
          <w:rFonts w:hint="eastAsia" w:ascii="宋体" w:hAnsi="宋体" w:eastAsia="宋体" w:cs="宋体"/>
          <w:color w:val="auto"/>
          <w:spacing w:val="-2"/>
          <w:sz w:val="24"/>
          <w:szCs w:val="24"/>
          <w:highlight w:val="none"/>
        </w:rPr>
        <w:t>未按招标文件要求加盖电</w:t>
      </w:r>
      <w:r>
        <w:rPr>
          <w:rFonts w:hint="eastAsia" w:ascii="宋体" w:hAnsi="宋体" w:eastAsia="宋体" w:cs="宋体"/>
          <w:color w:val="auto"/>
          <w:spacing w:val="-1"/>
          <w:sz w:val="24"/>
          <w:szCs w:val="24"/>
          <w:highlight w:val="none"/>
        </w:rPr>
        <w:t>子印章或电子印章不完整、电子投标文件解密失败且未按要</w:t>
      </w:r>
      <w:r>
        <w:rPr>
          <w:rFonts w:hint="eastAsia" w:ascii="宋体" w:hAnsi="宋体" w:eastAsia="宋体" w:cs="宋体"/>
          <w:color w:val="auto"/>
          <w:spacing w:val="-2"/>
          <w:sz w:val="24"/>
          <w:szCs w:val="24"/>
          <w:highlight w:val="none"/>
        </w:rPr>
        <w:t>求上传备用投标文件等情</w:t>
      </w:r>
      <w:r>
        <w:rPr>
          <w:rFonts w:hint="eastAsia" w:ascii="宋体" w:hAnsi="宋体" w:eastAsia="宋体" w:cs="宋体"/>
          <w:color w:val="auto"/>
          <w:spacing w:val="-1"/>
          <w:sz w:val="24"/>
          <w:szCs w:val="24"/>
          <w:highlight w:val="none"/>
        </w:rPr>
        <w:t>形导致投标无效的，由投标人自行负责。</w:t>
      </w:r>
    </w:p>
    <w:p w14:paraId="16B5CEF9">
      <w:pPr>
        <w:spacing w:before="152" w:line="221"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14.2  </w:t>
      </w:r>
      <w:r>
        <w:rPr>
          <w:rFonts w:hint="eastAsia" w:ascii="宋体" w:hAnsi="宋体" w:eastAsia="宋体" w:cs="宋体"/>
          <w:color w:val="auto"/>
          <w:spacing w:val="-2"/>
          <w:sz w:val="24"/>
          <w:szCs w:val="24"/>
          <w:highlight w:val="none"/>
        </w:rPr>
        <w:t>开标程序</w:t>
      </w:r>
    </w:p>
    <w:p w14:paraId="497CFDD0">
      <w:pPr>
        <w:spacing w:before="42" w:line="219" w:lineRule="auto"/>
        <w:ind w:left="501"/>
        <w:outlineLvl w:val="9"/>
        <w:rPr>
          <w:rFonts w:hint="eastAsia" w:ascii="宋体" w:hAnsi="宋体" w:eastAsia="宋体" w:cs="宋体"/>
          <w:color w:val="auto"/>
          <w:sz w:val="24"/>
          <w:szCs w:val="24"/>
          <w:highlight w:val="none"/>
        </w:rPr>
      </w:pPr>
      <w:bookmarkStart w:id="65" w:name="_Toc15587"/>
      <w:bookmarkStart w:id="66" w:name="_Toc10685"/>
      <w:bookmarkStart w:id="67" w:name="_Toc10291"/>
      <w:bookmarkStart w:id="68" w:name="_Toc8314"/>
      <w:r>
        <w:rPr>
          <w:rFonts w:hint="eastAsia" w:ascii="宋体" w:hAnsi="宋体" w:eastAsia="宋体" w:cs="宋体"/>
          <w:color w:val="auto"/>
          <w:spacing w:val="-1"/>
          <w:sz w:val="24"/>
          <w:szCs w:val="24"/>
          <w:highlight w:val="none"/>
        </w:rPr>
        <w:t>（1）主持人（招标人代表或招标人授权的招标代理机构人员）宣读开标纪律。</w:t>
      </w:r>
      <w:bookmarkEnd w:id="65"/>
      <w:bookmarkEnd w:id="66"/>
      <w:bookmarkEnd w:id="67"/>
      <w:bookmarkEnd w:id="68"/>
    </w:p>
    <w:p w14:paraId="5EAC246A">
      <w:pPr>
        <w:spacing w:before="181" w:line="219" w:lineRule="auto"/>
        <w:ind w:left="501"/>
        <w:outlineLvl w:val="9"/>
        <w:rPr>
          <w:rFonts w:hint="eastAsia" w:ascii="宋体" w:hAnsi="宋体" w:eastAsia="宋体" w:cs="宋体"/>
          <w:color w:val="auto"/>
          <w:sz w:val="24"/>
          <w:szCs w:val="24"/>
          <w:highlight w:val="none"/>
        </w:rPr>
      </w:pPr>
      <w:bookmarkStart w:id="69" w:name="_Toc16292"/>
      <w:bookmarkStart w:id="70" w:name="_Toc2011"/>
      <w:bookmarkStart w:id="71" w:name="_Toc30853"/>
      <w:bookmarkStart w:id="72" w:name="_Toc20238"/>
      <w:r>
        <w:rPr>
          <w:rFonts w:hint="eastAsia" w:ascii="宋体" w:hAnsi="宋体" w:eastAsia="宋体" w:cs="宋体"/>
          <w:color w:val="auto"/>
          <w:spacing w:val="-1"/>
          <w:sz w:val="24"/>
          <w:szCs w:val="24"/>
          <w:highlight w:val="none"/>
        </w:rPr>
        <w:t>（2）主持人宣布唱标人、记录人、见证人、监督人等有关人员姓名。</w:t>
      </w:r>
      <w:bookmarkEnd w:id="69"/>
      <w:bookmarkEnd w:id="70"/>
      <w:bookmarkEnd w:id="71"/>
      <w:bookmarkEnd w:id="72"/>
    </w:p>
    <w:p w14:paraId="7443DF73">
      <w:pPr>
        <w:spacing w:before="183" w:line="219" w:lineRule="auto"/>
        <w:ind w:left="501"/>
        <w:outlineLvl w:val="9"/>
        <w:rPr>
          <w:rFonts w:hint="eastAsia" w:ascii="宋体" w:hAnsi="宋体" w:eastAsia="宋体" w:cs="宋体"/>
          <w:color w:val="auto"/>
          <w:sz w:val="24"/>
          <w:szCs w:val="24"/>
          <w:highlight w:val="none"/>
        </w:rPr>
      </w:pPr>
      <w:bookmarkStart w:id="73" w:name="_Toc17462"/>
      <w:bookmarkStart w:id="74" w:name="_Toc26494"/>
      <w:bookmarkStart w:id="75" w:name="_Toc31716"/>
      <w:bookmarkStart w:id="76" w:name="_Toc1974"/>
      <w:r>
        <w:rPr>
          <w:rFonts w:hint="eastAsia" w:ascii="宋体" w:hAnsi="宋体" w:eastAsia="宋体" w:cs="宋体"/>
          <w:color w:val="auto"/>
          <w:spacing w:val="-1"/>
          <w:sz w:val="24"/>
          <w:szCs w:val="24"/>
          <w:highlight w:val="none"/>
        </w:rPr>
        <w:t>（3）唱标人公布在投标截止时间前进行投标文件的投标人数量和名称</w:t>
      </w:r>
      <w:bookmarkEnd w:id="73"/>
      <w:bookmarkEnd w:id="74"/>
      <w:bookmarkEnd w:id="75"/>
      <w:bookmarkEnd w:id="76"/>
    </w:p>
    <w:p w14:paraId="3324CC32">
      <w:pPr>
        <w:spacing w:before="181" w:line="219" w:lineRule="auto"/>
        <w:ind w:left="501"/>
        <w:outlineLvl w:val="9"/>
        <w:rPr>
          <w:rFonts w:hint="eastAsia" w:ascii="宋体" w:hAnsi="宋体" w:eastAsia="宋体" w:cs="宋体"/>
          <w:color w:val="auto"/>
          <w:sz w:val="24"/>
          <w:szCs w:val="24"/>
          <w:highlight w:val="none"/>
        </w:rPr>
      </w:pPr>
      <w:bookmarkStart w:id="77" w:name="_Toc8179"/>
      <w:bookmarkStart w:id="78" w:name="_Toc27967"/>
      <w:bookmarkStart w:id="79" w:name="_Toc15860"/>
      <w:bookmarkStart w:id="80" w:name="_Toc20559"/>
      <w:r>
        <w:rPr>
          <w:rFonts w:hint="eastAsia" w:ascii="宋体" w:hAnsi="宋体" w:eastAsia="宋体" w:cs="宋体"/>
          <w:color w:val="auto"/>
          <w:spacing w:val="2"/>
          <w:sz w:val="24"/>
          <w:szCs w:val="24"/>
          <w:highlight w:val="none"/>
        </w:rPr>
        <w:t>（4）招标代理机构会同交易场所工作人员对投标人的</w:t>
      </w:r>
      <w:r>
        <w:rPr>
          <w:rFonts w:hint="eastAsia" w:ascii="宋体" w:hAnsi="宋体" w:eastAsia="宋体" w:cs="宋体"/>
          <w:color w:val="auto"/>
          <w:spacing w:val="1"/>
          <w:sz w:val="24"/>
          <w:szCs w:val="24"/>
          <w:highlight w:val="none"/>
        </w:rPr>
        <w:t>电子投标信息进行解密，</w:t>
      </w:r>
      <w:bookmarkEnd w:id="77"/>
      <w:bookmarkEnd w:id="78"/>
      <w:bookmarkEnd w:id="79"/>
      <w:bookmarkEnd w:id="80"/>
    </w:p>
    <w:p w14:paraId="2BAFEA97">
      <w:pPr>
        <w:spacing w:before="183" w:line="220" w:lineRule="auto"/>
        <w:ind w:left="1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建设工程交易系统自动生成《投标保证缴纳情况表》和《开标一览表》。</w:t>
      </w:r>
    </w:p>
    <w:p w14:paraId="03A06962">
      <w:pPr>
        <w:spacing w:before="182" w:line="360" w:lineRule="auto"/>
        <w:ind w:firstLine="466" w:firstLineChars="200"/>
        <w:outlineLvl w:val="9"/>
        <w:rPr>
          <w:rFonts w:hint="eastAsia" w:ascii="宋体" w:hAnsi="宋体" w:eastAsia="宋体" w:cs="宋体"/>
          <w:color w:val="auto"/>
          <w:sz w:val="24"/>
          <w:szCs w:val="24"/>
          <w:highlight w:val="none"/>
        </w:rPr>
      </w:pPr>
      <w:bookmarkStart w:id="81" w:name="_Toc28266"/>
      <w:bookmarkStart w:id="82" w:name="_Toc2199"/>
      <w:bookmarkStart w:id="83" w:name="_Toc28812"/>
      <w:bookmarkStart w:id="84" w:name="_Toc26216"/>
      <w:r>
        <w:rPr>
          <w:rFonts w:hint="eastAsia" w:ascii="宋体" w:hAnsi="宋体" w:eastAsia="宋体" w:cs="宋体"/>
          <w:b/>
          <w:bCs/>
          <w:color w:val="auto"/>
          <w:spacing w:val="-4"/>
          <w:sz w:val="24"/>
          <w:szCs w:val="24"/>
          <w:highlight w:val="none"/>
        </w:rPr>
        <w:t>温馨提示：因本项目实行全流程电子化招标投标，投标人无须进行现场签到，可</w:t>
      </w:r>
      <w:bookmarkEnd w:id="81"/>
      <w:bookmarkEnd w:id="82"/>
      <w:bookmarkEnd w:id="83"/>
      <w:r>
        <w:rPr>
          <w:rFonts w:hint="eastAsia" w:ascii="宋体" w:hAnsi="宋体" w:eastAsia="宋体" w:cs="宋体"/>
          <w:b/>
          <w:bCs/>
          <w:color w:val="auto"/>
          <w:spacing w:val="-4"/>
          <w:sz w:val="24"/>
          <w:szCs w:val="24"/>
          <w:highlight w:val="none"/>
        </w:rPr>
        <w:t>登录交易平台观看开标实况、提出异议或进行澄清、确认等操作，对开标事项的异议</w:t>
      </w:r>
      <w:r>
        <w:rPr>
          <w:rFonts w:hint="eastAsia" w:ascii="宋体" w:hAnsi="宋体" w:eastAsia="宋体" w:cs="宋体"/>
          <w:b/>
          <w:bCs/>
          <w:color w:val="auto"/>
          <w:spacing w:val="-2"/>
          <w:sz w:val="24"/>
          <w:szCs w:val="24"/>
          <w:highlight w:val="none"/>
        </w:rPr>
        <w:t>未在开标期间提出的，招标</w:t>
      </w:r>
      <w:r>
        <w:rPr>
          <w:rFonts w:hint="eastAsia" w:ascii="宋体" w:hAnsi="宋体" w:eastAsia="宋体" w:cs="宋体"/>
          <w:b/>
          <w:bCs/>
          <w:color w:val="auto"/>
          <w:spacing w:val="-2"/>
          <w:sz w:val="24"/>
          <w:szCs w:val="24"/>
          <w:highlight w:val="none"/>
          <w:lang w:eastAsia="zh-CN"/>
        </w:rPr>
        <w:t>人不</w:t>
      </w:r>
      <w:r>
        <w:rPr>
          <w:rFonts w:hint="eastAsia" w:ascii="宋体" w:hAnsi="宋体" w:eastAsia="宋体" w:cs="宋体"/>
          <w:b/>
          <w:bCs/>
          <w:color w:val="auto"/>
          <w:spacing w:val="-2"/>
          <w:sz w:val="24"/>
          <w:szCs w:val="24"/>
          <w:highlight w:val="none"/>
        </w:rPr>
        <w:t>予受理。具体按招标文件和系统操作手册为</w:t>
      </w:r>
      <w:r>
        <w:rPr>
          <w:rFonts w:hint="eastAsia" w:ascii="宋体" w:hAnsi="宋体" w:eastAsia="宋体" w:cs="宋体"/>
          <w:b/>
          <w:bCs/>
          <w:color w:val="auto"/>
          <w:spacing w:val="-3"/>
          <w:sz w:val="24"/>
          <w:szCs w:val="24"/>
          <w:highlight w:val="none"/>
        </w:rPr>
        <w:t>准。</w:t>
      </w:r>
      <w:bookmarkEnd w:id="84"/>
    </w:p>
    <w:p w14:paraId="40440713">
      <w:pPr>
        <w:spacing w:before="143" w:line="299" w:lineRule="auto"/>
        <w:ind w:left="11" w:right="80"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14.3  </w:t>
      </w:r>
      <w:r>
        <w:rPr>
          <w:rFonts w:hint="eastAsia" w:ascii="宋体" w:hAnsi="宋体" w:eastAsia="宋体" w:cs="宋体"/>
          <w:color w:val="auto"/>
          <w:spacing w:val="-3"/>
          <w:sz w:val="24"/>
          <w:szCs w:val="24"/>
          <w:highlight w:val="none"/>
        </w:rPr>
        <w:t>投标人对开标相关事项（如开标程序等）有异议的，必须在开标期间和开标</w:t>
      </w:r>
      <w:r>
        <w:rPr>
          <w:rFonts w:hint="eastAsia" w:ascii="宋体" w:hAnsi="宋体" w:eastAsia="宋体" w:cs="宋体"/>
          <w:color w:val="auto"/>
          <w:spacing w:val="-1"/>
          <w:sz w:val="24"/>
          <w:szCs w:val="24"/>
          <w:highlight w:val="none"/>
        </w:rPr>
        <w:t>现场提出，招标人或其授权的招标代理机构应当场作出答</w:t>
      </w:r>
      <w:r>
        <w:rPr>
          <w:rFonts w:hint="eastAsia" w:ascii="宋体" w:hAnsi="宋体" w:eastAsia="宋体" w:cs="宋体"/>
          <w:color w:val="auto"/>
          <w:spacing w:val="-2"/>
          <w:sz w:val="24"/>
          <w:szCs w:val="24"/>
          <w:highlight w:val="none"/>
        </w:rPr>
        <w:t>复，并记录在案。对开标事</w:t>
      </w:r>
      <w:r>
        <w:rPr>
          <w:rFonts w:hint="eastAsia" w:ascii="宋体" w:hAnsi="宋体" w:eastAsia="宋体" w:cs="宋体"/>
          <w:color w:val="auto"/>
          <w:spacing w:val="-1"/>
          <w:sz w:val="24"/>
          <w:szCs w:val="24"/>
          <w:highlight w:val="none"/>
        </w:rPr>
        <w:t>项的异议未在开标期间和开标现场提出的，招标人不予受理。</w:t>
      </w:r>
    </w:p>
    <w:p w14:paraId="203FF0F7">
      <w:pPr>
        <w:spacing w:before="155" w:line="279" w:lineRule="auto"/>
        <w:ind w:left="8" w:right="82" w:firstLine="48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 xml:space="preserve">14.4 </w:t>
      </w:r>
      <w:r>
        <w:rPr>
          <w:rFonts w:hint="eastAsia" w:ascii="宋体" w:hAnsi="宋体" w:eastAsia="宋体" w:cs="宋体"/>
          <w:color w:val="auto"/>
          <w:spacing w:val="-1"/>
          <w:sz w:val="24"/>
          <w:szCs w:val="24"/>
          <w:highlight w:val="none"/>
        </w:rPr>
        <w:t>招标代理机构将资料原件（如有）</w:t>
      </w:r>
      <w:r>
        <w:rPr>
          <w:rFonts w:hint="eastAsia" w:ascii="宋体" w:hAnsi="宋体" w:eastAsia="宋体" w:cs="宋体"/>
          <w:color w:val="auto"/>
          <w:spacing w:val="-2"/>
          <w:sz w:val="24"/>
          <w:szCs w:val="24"/>
          <w:highlight w:val="none"/>
        </w:rPr>
        <w:t>、《开标一览表》以及其他有关资料移交评标委员会。</w:t>
      </w:r>
    </w:p>
    <w:p w14:paraId="47BF78F2">
      <w:pPr>
        <w:spacing w:before="78" w:line="221" w:lineRule="auto"/>
        <w:ind w:left="496"/>
        <w:outlineLvl w:val="2"/>
        <w:rPr>
          <w:rFonts w:hint="eastAsia" w:ascii="宋体" w:hAnsi="宋体" w:eastAsia="宋体" w:cs="宋体"/>
          <w:color w:val="auto"/>
          <w:highlight w:val="none"/>
        </w:rPr>
      </w:pPr>
      <w:bookmarkStart w:id="85" w:name="_Toc554"/>
      <w:bookmarkStart w:id="86" w:name="_Toc961"/>
      <w:r>
        <w:rPr>
          <w:rFonts w:hint="eastAsia" w:ascii="宋体" w:hAnsi="宋体" w:eastAsia="宋体" w:cs="宋体"/>
          <w:b/>
          <w:bCs/>
          <w:color w:val="auto"/>
          <w:spacing w:val="-11"/>
          <w:sz w:val="24"/>
          <w:szCs w:val="24"/>
          <w:highlight w:val="none"/>
        </w:rPr>
        <w:t>15</w:t>
      </w:r>
      <w:r>
        <w:rPr>
          <w:rFonts w:hint="eastAsia" w:ascii="宋体" w:hAnsi="宋体" w:eastAsia="宋体" w:cs="宋体"/>
          <w:b/>
          <w:bCs/>
          <w:color w:val="auto"/>
          <w:spacing w:val="-28"/>
          <w:sz w:val="24"/>
          <w:szCs w:val="24"/>
          <w:highlight w:val="none"/>
        </w:rPr>
        <w:t xml:space="preserve"> </w:t>
      </w:r>
      <w:r>
        <w:rPr>
          <w:rFonts w:hint="eastAsia" w:ascii="宋体" w:hAnsi="宋体" w:eastAsia="宋体" w:cs="宋体"/>
          <w:b/>
          <w:bCs/>
          <w:color w:val="auto"/>
          <w:spacing w:val="-11"/>
          <w:sz w:val="24"/>
          <w:szCs w:val="24"/>
          <w:highlight w:val="none"/>
        </w:rPr>
        <w:t>．评标</w:t>
      </w:r>
      <w:bookmarkEnd w:id="85"/>
      <w:bookmarkEnd w:id="86"/>
    </w:p>
    <w:p w14:paraId="5CEBE6C5">
      <w:pPr>
        <w:keepNext w:val="0"/>
        <w:keepLines w:val="0"/>
        <w:pageBreakBefore w:val="0"/>
        <w:widowControl w:val="0"/>
        <w:kinsoku/>
        <w:wordWrap w:val="0"/>
        <w:overflowPunct/>
        <w:topLinePunct w:val="0"/>
        <w:autoSpaceDE w:val="0"/>
        <w:autoSpaceDN w:val="0"/>
        <w:bidi w:val="0"/>
        <w:adjustRightInd/>
        <w:snapToGrid/>
        <w:spacing w:before="0" w:beforeLines="50" w:line="360" w:lineRule="auto"/>
        <w:ind w:firstLine="480" w:firstLineChars="200"/>
        <w:textAlignment w:val="baseline"/>
        <w:rPr>
          <w:rFonts w:hint="eastAsia" w:ascii="宋体" w:hAnsi="宋体" w:eastAsia="宋体" w:cs="宋体"/>
          <w:snapToGrid w:val="0"/>
          <w:color w:val="auto"/>
          <w:kern w:val="0"/>
          <w:sz w:val="24"/>
          <w:szCs w:val="24"/>
          <w:highlight w:val="none"/>
        </w:rPr>
      </w:pPr>
      <w:bookmarkStart w:id="87" w:name="bookmark124"/>
      <w:bookmarkEnd w:id="87"/>
      <w:r>
        <w:rPr>
          <w:rFonts w:hint="eastAsia" w:ascii="宋体" w:hAnsi="宋体" w:eastAsia="宋体" w:cs="宋体"/>
          <w:snapToGrid w:val="0"/>
          <w:color w:val="auto"/>
          <w:kern w:val="0"/>
          <w:sz w:val="24"/>
          <w:szCs w:val="24"/>
          <w:highlight w:val="none"/>
        </w:rPr>
        <w:t>评标分为初步评审和详细评审两个阶段，由评标委员会在有关部门的监督下，严格按照本招标文件指定的评标方法，对投标人的投标文件进行审查、评审。评标委员会完成评标后，评标委员会按照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排序），并向招标人提交由全体评标委员会成员签字的评标报告。</w:t>
      </w:r>
    </w:p>
    <w:p w14:paraId="74FE6A41">
      <w:pPr>
        <w:spacing w:before="38" w:line="219" w:lineRule="auto"/>
        <w:ind w:left="49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15.1  </w:t>
      </w:r>
      <w:r>
        <w:rPr>
          <w:rFonts w:hint="eastAsia" w:ascii="宋体" w:hAnsi="宋体" w:eastAsia="宋体" w:cs="宋体"/>
          <w:color w:val="auto"/>
          <w:spacing w:val="-2"/>
          <w:sz w:val="24"/>
          <w:szCs w:val="24"/>
          <w:highlight w:val="none"/>
        </w:rPr>
        <w:t>评标委员会</w:t>
      </w:r>
    </w:p>
    <w:p w14:paraId="6FF11D03">
      <w:pPr>
        <w:wordWrap w:val="0"/>
        <w:adjustRightInd w:val="0"/>
        <w:snapToGrid w:val="0"/>
        <w:spacing w:line="360" w:lineRule="auto"/>
        <w:ind w:firstLine="478"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1"/>
          <w:sz w:val="24"/>
          <w:szCs w:val="24"/>
          <w:highlight w:val="none"/>
        </w:rPr>
        <w:t xml:space="preserve">15.1.1 </w:t>
      </w:r>
      <w:r>
        <w:rPr>
          <w:rFonts w:hint="eastAsia" w:ascii="宋体" w:hAnsi="宋体" w:eastAsia="宋体" w:cs="宋体"/>
          <w:color w:val="auto"/>
          <w:sz w:val="24"/>
          <w:szCs w:val="24"/>
          <w:highlight w:val="none"/>
        </w:rPr>
        <w:t>评标委员会由</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人组成，其中招标人代表</w:t>
      </w:r>
      <w:r>
        <w:rPr>
          <w:rFonts w:hint="eastAsia" w:ascii="宋体" w:hAnsi="宋体" w:eastAsia="宋体" w:cs="宋体"/>
          <w:color w:val="auto"/>
          <w:sz w:val="24"/>
          <w:szCs w:val="24"/>
          <w:highlight w:val="none"/>
          <w:u w:val="single"/>
        </w:rPr>
        <w:t xml:space="preserve"> 0 </w:t>
      </w:r>
      <w:r>
        <w:rPr>
          <w:rFonts w:hint="eastAsia" w:ascii="宋体" w:hAnsi="宋体" w:eastAsia="宋体" w:cs="宋体"/>
          <w:color w:val="auto"/>
          <w:sz w:val="24"/>
          <w:szCs w:val="24"/>
          <w:highlight w:val="none"/>
        </w:rPr>
        <w:t>人，专家</w:t>
      </w:r>
      <w:r>
        <w:rPr>
          <w:rFonts w:hint="eastAsia" w:ascii="宋体" w:hAnsi="宋体" w:eastAsia="宋体" w:cs="宋体"/>
          <w:color w:val="auto"/>
          <w:sz w:val="24"/>
          <w:szCs w:val="24"/>
          <w:highlight w:val="none"/>
          <w:u w:val="single"/>
        </w:rPr>
        <w:t xml:space="preserve"> 5 </w:t>
      </w:r>
      <w:r>
        <w:rPr>
          <w:rFonts w:hint="eastAsia" w:ascii="宋体" w:hAnsi="宋体" w:eastAsia="宋体" w:cs="宋体"/>
          <w:color w:val="auto"/>
          <w:sz w:val="24"/>
          <w:szCs w:val="24"/>
          <w:highlight w:val="none"/>
        </w:rPr>
        <w:t>人。专家从</w:t>
      </w:r>
      <w:r>
        <w:rPr>
          <w:rFonts w:hint="eastAsia" w:ascii="宋体" w:hAnsi="宋体" w:eastAsia="宋体" w:cs="宋体"/>
          <w:color w:val="auto"/>
          <w:sz w:val="24"/>
          <w:szCs w:val="24"/>
          <w:highlight w:val="none"/>
          <w:u w:val="single"/>
        </w:rPr>
        <w:t>广东省综合评标评审专家库</w:t>
      </w:r>
      <w:r>
        <w:rPr>
          <w:rFonts w:hint="eastAsia" w:ascii="宋体" w:hAnsi="宋体" w:eastAsia="宋体" w:cs="宋体"/>
          <w:color w:val="auto"/>
          <w:sz w:val="24"/>
          <w:szCs w:val="24"/>
          <w:highlight w:val="none"/>
          <w:u w:val="single"/>
          <w:lang w:val="en-US" w:eastAsia="zh-CN"/>
        </w:rPr>
        <w:t>韶关区域及远程异地中随机抽取</w:t>
      </w:r>
      <w:r>
        <w:rPr>
          <w:rFonts w:hint="eastAsia" w:ascii="宋体" w:hAnsi="宋体" w:eastAsia="宋体" w:cs="宋体"/>
          <w:color w:val="auto"/>
          <w:sz w:val="24"/>
          <w:szCs w:val="24"/>
          <w:highlight w:val="none"/>
        </w:rPr>
        <w:t>，其中技术类专家</w:t>
      </w:r>
      <w:r>
        <w:rPr>
          <w:rFonts w:hint="eastAsia" w:ascii="宋体" w:hAnsi="宋体" w:eastAsia="宋体" w:cs="宋体"/>
          <w:color w:val="auto"/>
          <w:sz w:val="24"/>
          <w:szCs w:val="24"/>
          <w:highlight w:val="none"/>
          <w:u w:val="single"/>
        </w:rPr>
        <w:t xml:space="preserve"> 3 </w:t>
      </w:r>
      <w:r>
        <w:rPr>
          <w:rFonts w:hint="eastAsia" w:ascii="宋体" w:hAnsi="宋体" w:eastAsia="宋体" w:cs="宋体"/>
          <w:color w:val="auto"/>
          <w:sz w:val="24"/>
          <w:szCs w:val="24"/>
          <w:highlight w:val="none"/>
        </w:rPr>
        <w:t>人，经济类专家</w:t>
      </w:r>
      <w:r>
        <w:rPr>
          <w:rFonts w:hint="eastAsia" w:ascii="宋体" w:hAnsi="宋体" w:eastAsia="宋体" w:cs="宋体"/>
          <w:color w:val="auto"/>
          <w:sz w:val="24"/>
          <w:szCs w:val="24"/>
          <w:highlight w:val="none"/>
          <w:u w:val="single"/>
        </w:rPr>
        <w:t xml:space="preserve"> 2 </w:t>
      </w:r>
      <w:r>
        <w:rPr>
          <w:rFonts w:hint="eastAsia" w:ascii="宋体" w:hAnsi="宋体" w:eastAsia="宋体" w:cs="宋体"/>
          <w:color w:val="auto"/>
          <w:sz w:val="24"/>
          <w:szCs w:val="24"/>
          <w:highlight w:val="none"/>
        </w:rPr>
        <w:t>人。</w:t>
      </w:r>
      <w:r>
        <w:rPr>
          <w:rFonts w:hint="eastAsia" w:ascii="宋体" w:hAnsi="宋体" w:eastAsia="宋体" w:cs="宋体"/>
          <w:color w:val="auto"/>
          <w:spacing w:val="-1"/>
          <w:sz w:val="24"/>
          <w:szCs w:val="24"/>
          <w:highlight w:val="none"/>
        </w:rPr>
        <w:t>评标委员会设负责人，由评标委员会成员推举产生</w:t>
      </w:r>
      <w:r>
        <w:rPr>
          <w:rFonts w:hint="eastAsia" w:ascii="宋体" w:hAnsi="宋体" w:eastAsia="宋体" w:cs="宋体"/>
          <w:color w:val="auto"/>
          <w:spacing w:val="-2"/>
          <w:sz w:val="24"/>
          <w:szCs w:val="24"/>
          <w:highlight w:val="none"/>
        </w:rPr>
        <w:t>。评标委员会负责人与评</w:t>
      </w:r>
      <w:r>
        <w:rPr>
          <w:rFonts w:hint="eastAsia" w:ascii="宋体" w:hAnsi="宋体" w:eastAsia="宋体" w:cs="宋体"/>
          <w:color w:val="auto"/>
          <w:spacing w:val="-1"/>
          <w:sz w:val="24"/>
          <w:szCs w:val="24"/>
          <w:highlight w:val="none"/>
        </w:rPr>
        <w:t>标委员会的其他成员有同等的表决权。</w:t>
      </w:r>
    </w:p>
    <w:p w14:paraId="4CE798F0">
      <w:pPr>
        <w:wordWrap w:val="0"/>
        <w:adjustRightInd w:val="0"/>
        <w:snapToGrid w:val="0"/>
        <w:spacing w:line="360" w:lineRule="auto"/>
        <w:ind w:firstLine="474" w:firstLineChars="200"/>
        <w:rPr>
          <w:rFonts w:hint="eastAsia" w:ascii="宋体" w:hAnsi="宋体" w:eastAsia="宋体" w:cs="宋体"/>
          <w:snapToGrid w:val="0"/>
          <w:color w:val="auto"/>
          <w:kern w:val="0"/>
          <w:sz w:val="24"/>
          <w:highlight w:val="none"/>
        </w:rPr>
      </w:pPr>
      <w:r>
        <w:rPr>
          <w:rFonts w:hint="eastAsia" w:ascii="宋体" w:hAnsi="宋体" w:eastAsia="宋体" w:cs="宋体"/>
          <w:b/>
          <w:bCs/>
          <w:color w:val="auto"/>
          <w:spacing w:val="-2"/>
          <w:sz w:val="24"/>
          <w:szCs w:val="24"/>
          <w:highlight w:val="none"/>
        </w:rPr>
        <w:t>15.1.2</w:t>
      </w:r>
      <w:r>
        <w:rPr>
          <w:rFonts w:hint="eastAsia" w:ascii="宋体" w:hAnsi="宋体" w:eastAsia="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lang w:eastAsia="zh-CN"/>
        </w:rPr>
        <w:t>评标专家</w:t>
      </w:r>
      <w:r>
        <w:rPr>
          <w:rFonts w:hint="eastAsia" w:ascii="宋体" w:hAnsi="宋体" w:eastAsia="宋体" w:cs="宋体"/>
          <w:snapToGrid w:val="0"/>
          <w:color w:val="auto"/>
          <w:kern w:val="0"/>
          <w:sz w:val="24"/>
          <w:highlight w:val="none"/>
        </w:rPr>
        <w:t>应按时参加评标活动，自觉遵守工作纪律和服从现场管理</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采用远程异地评标方式评标的</w:t>
      </w:r>
      <w:r>
        <w:rPr>
          <w:rFonts w:hint="eastAsia" w:ascii="宋体" w:hAnsi="宋体" w:eastAsia="宋体" w:cs="宋体"/>
          <w:snapToGrid w:val="0"/>
          <w:color w:val="auto"/>
          <w:kern w:val="0"/>
          <w:sz w:val="24"/>
          <w:highlight w:val="none"/>
          <w:lang w:eastAsia="zh-CN"/>
        </w:rPr>
        <w:t>，</w:t>
      </w:r>
      <w:r>
        <w:rPr>
          <w:rFonts w:hint="eastAsia" w:ascii="宋体" w:hAnsi="宋体" w:eastAsia="宋体" w:cs="宋体"/>
          <w:snapToGrid w:val="0"/>
          <w:color w:val="auto"/>
          <w:kern w:val="0"/>
          <w:sz w:val="24"/>
          <w:highlight w:val="none"/>
        </w:rPr>
        <w:t>主场、副场各自负责本场所</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成员身份核验和签到工作，统一保管其通讯工具，指引评标专家至远程异地评标室，并为其提供技术协助和服务。在评标过程中如遇评标专家对投标文件存在疑问或意见分歧的，应由</w:t>
      </w:r>
      <w:r>
        <w:rPr>
          <w:rFonts w:hint="eastAsia" w:ascii="宋体" w:hAnsi="宋体" w:eastAsia="宋体" w:cs="宋体"/>
          <w:snapToGrid w:val="0"/>
          <w:color w:val="auto"/>
          <w:kern w:val="0"/>
          <w:sz w:val="24"/>
          <w:highlight w:val="none"/>
          <w:lang w:eastAsia="zh-CN"/>
        </w:rPr>
        <w:t>评标委员会</w:t>
      </w:r>
      <w:r>
        <w:rPr>
          <w:rFonts w:hint="eastAsia" w:ascii="宋体" w:hAnsi="宋体" w:eastAsia="宋体" w:cs="宋体"/>
          <w:snapToGrid w:val="0"/>
          <w:color w:val="auto"/>
          <w:kern w:val="0"/>
          <w:sz w:val="24"/>
          <w:highlight w:val="none"/>
        </w:rPr>
        <w:t>成员推举产生</w:t>
      </w:r>
      <w:r>
        <w:rPr>
          <w:rFonts w:hint="eastAsia" w:ascii="宋体" w:hAnsi="宋体" w:eastAsia="宋体" w:cs="宋体"/>
          <w:snapToGrid w:val="0"/>
          <w:color w:val="auto"/>
          <w:kern w:val="0"/>
          <w:sz w:val="24"/>
          <w:highlight w:val="none"/>
          <w:lang w:eastAsia="zh-CN"/>
        </w:rPr>
        <w:t>的评标委员会组长</w:t>
      </w:r>
      <w:r>
        <w:rPr>
          <w:rFonts w:hint="eastAsia" w:ascii="宋体" w:hAnsi="宋体" w:eastAsia="宋体" w:cs="宋体"/>
          <w:snapToGrid w:val="0"/>
          <w:color w:val="auto"/>
          <w:kern w:val="0"/>
          <w:sz w:val="24"/>
          <w:highlight w:val="none"/>
        </w:rPr>
        <w:t>组织</w:t>
      </w:r>
      <w:r>
        <w:rPr>
          <w:rFonts w:hint="eastAsia" w:ascii="宋体" w:hAnsi="宋体" w:eastAsia="宋体" w:cs="宋体"/>
          <w:snapToGrid w:val="0"/>
          <w:color w:val="auto"/>
          <w:kern w:val="0"/>
          <w:sz w:val="24"/>
          <w:highlight w:val="none"/>
          <w:lang w:eastAsia="zh-CN"/>
        </w:rPr>
        <w:t>各</w:t>
      </w:r>
      <w:r>
        <w:rPr>
          <w:rFonts w:hint="eastAsia" w:ascii="宋体" w:hAnsi="宋体" w:eastAsia="宋体" w:cs="宋体"/>
          <w:snapToGrid w:val="0"/>
          <w:color w:val="auto"/>
          <w:kern w:val="0"/>
          <w:sz w:val="24"/>
          <w:highlight w:val="none"/>
        </w:rPr>
        <w:t>成员协商讨论。在评标过程中需要进行讨论或者通过实名投票方式表决意见的，应当通过视频会议系统进行，并做好相关记录。</w:t>
      </w:r>
    </w:p>
    <w:p w14:paraId="34609F4C">
      <w:pPr>
        <w:keepNext w:val="0"/>
        <w:keepLines w:val="0"/>
        <w:pageBreakBefore w:val="0"/>
        <w:shd w:val="clear" w:color="auto" w:fill="auto"/>
        <w:kinsoku/>
        <w:wordWrap/>
        <w:overflowPunct/>
        <w:topLinePunct w:val="0"/>
        <w:bidi w:val="0"/>
        <w:adjustRightInd/>
        <w:snapToGrid/>
        <w:spacing w:line="340" w:lineRule="exact"/>
        <w:ind w:left="0" w:leftChars="0" w:firstLine="474"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b/>
          <w:bCs/>
          <w:color w:val="auto"/>
          <w:sz w:val="24"/>
          <w:highlight w:val="none"/>
          <w:lang w:val="en-US" w:eastAsia="zh-CN"/>
        </w:rPr>
        <w:t>15.1.3</w:t>
      </w:r>
      <w:r>
        <w:rPr>
          <w:rFonts w:hint="eastAsia" w:ascii="宋体" w:hAnsi="宋体" w:eastAsia="宋体" w:cs="宋体"/>
          <w:color w:val="auto"/>
          <w:sz w:val="24"/>
          <w:highlight w:val="none"/>
          <w:lang w:eastAsia="zh-CN"/>
        </w:rPr>
        <w:t>评标委员会应</w:t>
      </w:r>
      <w:r>
        <w:rPr>
          <w:rFonts w:hint="eastAsia" w:ascii="宋体" w:hAnsi="宋体" w:eastAsia="宋体" w:cs="宋体"/>
          <w:color w:val="auto"/>
          <w:sz w:val="24"/>
          <w:highlight w:val="none"/>
        </w:rPr>
        <w:t>严格按照招标文件的评标办法规定的评标程序、评标标准和方法进行评标，招标文件没有规定的评标标准和方法不得作为评标的依据。</w:t>
      </w:r>
      <w:r>
        <w:rPr>
          <w:rFonts w:hint="eastAsia" w:ascii="宋体" w:hAnsi="宋体" w:eastAsia="宋体" w:cs="宋体"/>
          <w:color w:val="auto"/>
          <w:sz w:val="24"/>
          <w:highlight w:val="none"/>
          <w:lang w:eastAsia="zh-CN"/>
        </w:rPr>
        <w:t>并且</w:t>
      </w:r>
      <w:r>
        <w:rPr>
          <w:rFonts w:hint="eastAsia" w:ascii="宋体" w:hAnsi="宋体" w:eastAsia="宋体" w:cs="宋体"/>
          <w:color w:val="auto"/>
          <w:sz w:val="24"/>
          <w:highlight w:val="none"/>
        </w:rPr>
        <w:t>自觉接受有关行政部门监督，协助配合有关异议和投诉处理。采用远程异地评标方式评标的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主场、副场评标专家在评标过程中具有同等权利和义务</w:t>
      </w:r>
    </w:p>
    <w:p w14:paraId="15C81B7D">
      <w:pPr>
        <w:keepNext w:val="0"/>
        <w:keepLines w:val="0"/>
        <w:pageBreakBefore w:val="0"/>
        <w:shd w:val="clear" w:color="auto" w:fill="auto"/>
        <w:kinsoku/>
        <w:wordWrap/>
        <w:overflowPunct/>
        <w:topLinePunct w:val="0"/>
        <w:bidi w:val="0"/>
        <w:adjustRightInd/>
        <w:snapToGrid/>
        <w:spacing w:line="340" w:lineRule="exact"/>
        <w:ind w:left="0" w:leftChars="0" w:firstLine="482"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15.1.4</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应切实履行评标职责，对同一个问题不一致的，按程序要求记录。</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实行少数服从多数的原则，以记名投票方式表决，评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结果经</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全体成员过半数通过有效。</w:t>
      </w:r>
    </w:p>
    <w:p w14:paraId="2691AA18">
      <w:pPr>
        <w:wordWrap w:val="0"/>
        <w:adjustRightInd w:val="0"/>
        <w:snapToGrid w:val="0"/>
        <w:spacing w:line="360" w:lineRule="auto"/>
        <w:ind w:firstLine="560"/>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15.1.5</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成员应当独立、客观、公正地对投标文件提出评审意见，对评审结果签字确认，并对所提出的评审意见承担个人责任。禁止</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成员将个人意见强加给他人，影响正常评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秩序和妨碍评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结论的公正性。对评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结果有不同意见的</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成员应当以书面形式说明其不同意见和理由，</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应当注明该不同意见。</w:t>
      </w:r>
      <w:r>
        <w:rPr>
          <w:rFonts w:hint="eastAsia" w:ascii="宋体" w:hAnsi="宋体" w:eastAsia="宋体" w:cs="宋体"/>
          <w:color w:val="auto"/>
          <w:sz w:val="24"/>
          <w:highlight w:val="none"/>
          <w:lang w:eastAsia="zh-CN"/>
        </w:rPr>
        <w:t>评标委员会</w:t>
      </w:r>
      <w:r>
        <w:rPr>
          <w:rFonts w:hint="eastAsia" w:ascii="宋体" w:hAnsi="宋体" w:eastAsia="宋体" w:cs="宋体"/>
          <w:color w:val="auto"/>
          <w:sz w:val="24"/>
          <w:highlight w:val="none"/>
        </w:rPr>
        <w:t>成员拒绝在</w:t>
      </w:r>
      <w:r>
        <w:rPr>
          <w:rFonts w:hint="eastAsia" w:ascii="宋体" w:hAnsi="宋体" w:eastAsia="宋体" w:cs="宋体"/>
          <w:color w:val="auto"/>
          <w:sz w:val="24"/>
          <w:highlight w:val="none"/>
          <w:lang w:eastAsia="zh-CN"/>
        </w:rPr>
        <w:t>资格后审报告（</w:t>
      </w:r>
      <w:r>
        <w:rPr>
          <w:rFonts w:hint="eastAsia" w:ascii="宋体" w:hAnsi="宋体" w:eastAsia="宋体" w:cs="宋体"/>
          <w:color w:val="auto"/>
          <w:sz w:val="24"/>
          <w:highlight w:val="none"/>
        </w:rPr>
        <w:t>评标报告</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上签字又不书面说明其不同意见和理由的，视为同意评</w:t>
      </w:r>
      <w:r>
        <w:rPr>
          <w:rFonts w:hint="eastAsia" w:ascii="宋体" w:hAnsi="宋体" w:eastAsia="宋体" w:cs="宋体"/>
          <w:color w:val="auto"/>
          <w:sz w:val="24"/>
          <w:highlight w:val="none"/>
          <w:lang w:eastAsia="zh-CN"/>
        </w:rPr>
        <w:t>审</w:t>
      </w:r>
      <w:r>
        <w:rPr>
          <w:rFonts w:hint="eastAsia" w:ascii="宋体" w:hAnsi="宋体" w:eastAsia="宋体" w:cs="宋体"/>
          <w:color w:val="auto"/>
          <w:sz w:val="24"/>
          <w:highlight w:val="none"/>
        </w:rPr>
        <w:t>结果。</w:t>
      </w:r>
    </w:p>
    <w:p w14:paraId="71525F17">
      <w:pPr>
        <w:wordWrap w:val="0"/>
        <w:adjustRightInd w:val="0"/>
        <w:snapToGrid w:val="0"/>
        <w:spacing w:line="360" w:lineRule="auto"/>
        <w:ind w:firstLine="560"/>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15.2</w:t>
      </w:r>
      <w:r>
        <w:rPr>
          <w:rFonts w:hint="eastAsia" w:ascii="宋体" w:hAnsi="宋体" w:eastAsia="宋体" w:cs="宋体"/>
          <w:b/>
          <w:color w:val="auto"/>
          <w:sz w:val="24"/>
          <w:highlight w:val="none"/>
        </w:rPr>
        <w:t>评标过程的回避</w:t>
      </w:r>
    </w:p>
    <w:p w14:paraId="6E04259D">
      <w:pPr>
        <w:spacing w:before="32" w:line="280" w:lineRule="auto"/>
        <w:ind w:left="13" w:right="7" w:firstLine="56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lang w:val="en-US" w:eastAsia="zh-CN"/>
        </w:rPr>
        <w:t>15.2.1</w:t>
      </w:r>
      <w:r>
        <w:rPr>
          <w:rFonts w:hint="eastAsia" w:ascii="宋体" w:hAnsi="宋体" w:eastAsia="宋体" w:cs="宋体"/>
          <w:color w:val="auto"/>
          <w:spacing w:val="-2"/>
          <w:sz w:val="24"/>
          <w:szCs w:val="24"/>
          <w:highlight w:val="none"/>
        </w:rPr>
        <w:t>评标委员会应认真、公正、诚实、廉洁地履行职责。有下列情形之一的，不得担任评标委员会成员：</w:t>
      </w:r>
    </w:p>
    <w:p w14:paraId="5B6D30EB">
      <w:pPr>
        <w:spacing w:before="154"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（1）投标人或投标人主要负责人的近亲属；</w:t>
      </w:r>
    </w:p>
    <w:p w14:paraId="311A3C6A">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（2）项目主管部门或者行政监督部门的人员；</w:t>
      </w:r>
    </w:p>
    <w:p w14:paraId="5160DFA2">
      <w:pPr>
        <w:spacing w:before="155" w:line="221" w:lineRule="auto"/>
        <w:ind w:left="58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（3）与投标人有经济利益关系，可能影响对投标公正评审的；</w:t>
      </w:r>
    </w:p>
    <w:p w14:paraId="62119D0A">
      <w:pPr>
        <w:spacing w:before="153" w:line="279" w:lineRule="auto"/>
        <w:ind w:left="8" w:right="65" w:firstLine="57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（4）曾因在招标、评标以及其他与招标投标有关活动中从事违法行为而受过行政处罚或刑事处罚的。</w:t>
      </w:r>
    </w:p>
    <w:p w14:paraId="39AEDCC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15.2.2</w:t>
      </w:r>
      <w:r>
        <w:rPr>
          <w:rFonts w:hint="eastAsia" w:ascii="宋体" w:hAnsi="宋体" w:eastAsia="宋体" w:cs="宋体"/>
          <w:b w:val="0"/>
          <w:bCs w:val="0"/>
          <w:color w:val="auto"/>
          <w:sz w:val="24"/>
          <w:highlight w:val="none"/>
          <w:lang w:eastAsia="zh-CN"/>
        </w:rPr>
        <w:t>评标委员会</w:t>
      </w:r>
      <w:r>
        <w:rPr>
          <w:rFonts w:hint="eastAsia" w:ascii="宋体" w:hAnsi="宋体" w:eastAsia="宋体" w:cs="宋体"/>
          <w:color w:val="auto"/>
          <w:sz w:val="24"/>
          <w:highlight w:val="none"/>
        </w:rPr>
        <w:t>专家不主动提出回避的，一经发现，应立即终止其评标活动，已完成评标活动的，其评标结果无效。</w:t>
      </w:r>
    </w:p>
    <w:p w14:paraId="1642B4B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b/>
          <w:color w:val="auto"/>
          <w:sz w:val="24"/>
          <w:highlight w:val="none"/>
        </w:rPr>
      </w:pPr>
      <w:r>
        <w:rPr>
          <w:rFonts w:hint="eastAsia" w:ascii="宋体" w:hAnsi="宋体" w:cs="宋体"/>
          <w:b/>
          <w:bCs/>
          <w:snapToGrid w:val="0"/>
          <w:color w:val="auto"/>
          <w:kern w:val="0"/>
          <w:sz w:val="24"/>
          <w:highlight w:val="none"/>
          <w:lang w:val="en-US" w:eastAsia="zh-CN"/>
        </w:rPr>
        <w:t>15.3</w:t>
      </w:r>
      <w:r>
        <w:rPr>
          <w:rFonts w:hint="eastAsia" w:ascii="宋体" w:hAnsi="宋体" w:cs="宋体"/>
          <w:snapToGrid w:val="0"/>
          <w:color w:val="auto"/>
          <w:kern w:val="0"/>
          <w:sz w:val="24"/>
          <w:highlight w:val="none"/>
        </w:rPr>
        <w:t xml:space="preserve"> </w:t>
      </w:r>
      <w:r>
        <w:rPr>
          <w:rFonts w:hint="eastAsia" w:ascii="宋体" w:hAnsi="宋体" w:eastAsia="宋体" w:cs="宋体"/>
          <w:b/>
          <w:color w:val="auto"/>
          <w:sz w:val="24"/>
          <w:highlight w:val="none"/>
        </w:rPr>
        <w:t>评标过程的保密</w:t>
      </w:r>
    </w:p>
    <w:p w14:paraId="163002D0">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15.3.1</w:t>
      </w:r>
      <w:r>
        <w:rPr>
          <w:rFonts w:hint="eastAsia" w:ascii="宋体" w:hAnsi="宋体" w:eastAsia="宋体" w:cs="宋体"/>
          <w:color w:val="auto"/>
          <w:kern w:val="0"/>
          <w:sz w:val="24"/>
          <w:highlight w:val="none"/>
        </w:rPr>
        <w:t xml:space="preserve"> 开标后，直至授予中标人合同为止，凡属于对投标人文件的审查、澄清、评价和比较有关的资料及与中标候选人的推荐情况，与评标有关的其他任何情况均应严格保密。</w:t>
      </w:r>
    </w:p>
    <w:p w14:paraId="4694A313">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15.3.2</w:t>
      </w:r>
      <w:r>
        <w:rPr>
          <w:rFonts w:hint="eastAsia" w:ascii="宋体" w:hAnsi="宋体" w:eastAsia="宋体" w:cs="宋体"/>
          <w:color w:val="auto"/>
          <w:kern w:val="0"/>
          <w:sz w:val="24"/>
          <w:highlight w:val="none"/>
        </w:rPr>
        <w:t xml:space="preserve"> 在投标文件的评审和比较、中标候选人推荐以及授予合同的过程中，投标人向招标人和评标委员会施加影响的任何行为，都将会导致其投标被拒绝。</w:t>
      </w:r>
    </w:p>
    <w:p w14:paraId="3745944F">
      <w:pPr>
        <w:keepNext w:val="0"/>
        <w:keepLines w:val="0"/>
        <w:pageBreakBefore w:val="0"/>
        <w:shd w:val="clear" w:color="auto" w:fill="auto"/>
        <w:kinsoku/>
        <w:wordWrap/>
        <w:overflowPunct/>
        <w:topLinePunct w:val="0"/>
        <w:bidi w:val="0"/>
        <w:adjustRightInd/>
        <w:snapToGrid/>
        <w:spacing w:line="340" w:lineRule="exact"/>
        <w:ind w:left="0" w:leftChars="0" w:firstLine="480" w:firstLineChars="200"/>
        <w:jc w:val="both"/>
        <w:textAlignment w:val="auto"/>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15.3.3</w:t>
      </w:r>
      <w:r>
        <w:rPr>
          <w:rFonts w:hint="eastAsia" w:ascii="宋体" w:hAnsi="宋体" w:eastAsia="宋体" w:cs="宋体"/>
          <w:color w:val="auto"/>
          <w:kern w:val="0"/>
          <w:sz w:val="24"/>
          <w:highlight w:val="none"/>
        </w:rPr>
        <w:t>中标人确定后，招标人不对未中标人就评标过程以及未能中标原因作出任何解释。未中标人不得向评标委员会组成人员或其他有关人员索问评标过程的情况和材料。</w:t>
      </w:r>
    </w:p>
    <w:p w14:paraId="4433A9EB">
      <w:pPr>
        <w:spacing w:before="154" w:line="279" w:lineRule="auto"/>
        <w:ind w:left="8" w:right="65" w:firstLine="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lang w:val="en-US" w:eastAsia="zh-CN"/>
        </w:rPr>
        <w:t>15.3.4</w:t>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评标全过程实行封闭式管理，在中标结果公</w:t>
      </w:r>
      <w:r>
        <w:rPr>
          <w:rFonts w:hint="eastAsia" w:ascii="宋体" w:hAnsi="宋体" w:eastAsia="宋体" w:cs="宋体"/>
          <w:color w:val="auto"/>
          <w:spacing w:val="-2"/>
          <w:sz w:val="24"/>
          <w:szCs w:val="24"/>
          <w:highlight w:val="none"/>
        </w:rPr>
        <w:t>布前，禁止评标委员会成员以</w:t>
      </w:r>
      <w:r>
        <w:rPr>
          <w:rFonts w:hint="eastAsia" w:ascii="宋体" w:hAnsi="宋体" w:eastAsia="宋体" w:cs="宋体"/>
          <w:color w:val="auto"/>
          <w:spacing w:val="-1"/>
          <w:sz w:val="24"/>
          <w:szCs w:val="24"/>
          <w:highlight w:val="none"/>
        </w:rPr>
        <w:t>任何方式私下接触投标人。</w:t>
      </w:r>
    </w:p>
    <w:p w14:paraId="103791E4">
      <w:pPr>
        <w:spacing w:before="157" w:line="298" w:lineRule="auto"/>
        <w:ind w:left="11" w:right="65" w:firstLine="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15.</w:t>
      </w:r>
      <w:r>
        <w:rPr>
          <w:rFonts w:hint="eastAsia" w:ascii="宋体" w:hAnsi="宋体" w:eastAsia="宋体" w:cs="宋体"/>
          <w:b/>
          <w:bCs/>
          <w:color w:val="auto"/>
          <w:spacing w:val="-1"/>
          <w:sz w:val="24"/>
          <w:szCs w:val="24"/>
          <w:highlight w:val="none"/>
          <w:lang w:val="en-US" w:eastAsia="zh-CN"/>
        </w:rPr>
        <w:t>3.5</w:t>
      </w:r>
      <w:r>
        <w:rPr>
          <w:rFonts w:hint="eastAsia" w:ascii="宋体" w:hAnsi="宋体" w:eastAsia="宋体" w:cs="宋体"/>
          <w:color w:val="auto"/>
          <w:spacing w:val="-1"/>
          <w:sz w:val="24"/>
          <w:szCs w:val="24"/>
          <w:highlight w:val="none"/>
        </w:rPr>
        <w:t>在评标过程中，评标委员会可以书面形式要</w:t>
      </w:r>
      <w:r>
        <w:rPr>
          <w:rFonts w:hint="eastAsia" w:ascii="宋体" w:hAnsi="宋体" w:eastAsia="宋体" w:cs="宋体"/>
          <w:color w:val="auto"/>
          <w:spacing w:val="-2"/>
          <w:sz w:val="24"/>
          <w:szCs w:val="24"/>
          <w:highlight w:val="none"/>
        </w:rPr>
        <w:t>求投标人对所提交的投标文件</w:t>
      </w:r>
      <w:r>
        <w:rPr>
          <w:rFonts w:hint="eastAsia" w:ascii="宋体" w:hAnsi="宋体" w:eastAsia="宋体" w:cs="宋体"/>
          <w:color w:val="auto"/>
          <w:spacing w:val="-1"/>
          <w:sz w:val="24"/>
          <w:szCs w:val="24"/>
          <w:highlight w:val="none"/>
        </w:rPr>
        <w:t>中不明确的内容进行书面澄清或说明，但不接受投标人主</w:t>
      </w:r>
      <w:r>
        <w:rPr>
          <w:rFonts w:hint="eastAsia" w:ascii="宋体" w:hAnsi="宋体" w:eastAsia="宋体" w:cs="宋体"/>
          <w:color w:val="auto"/>
          <w:spacing w:val="-2"/>
          <w:sz w:val="24"/>
          <w:szCs w:val="24"/>
          <w:highlight w:val="none"/>
        </w:rPr>
        <w:t>动提出的澄清或说明。投标</w:t>
      </w:r>
      <w:r>
        <w:rPr>
          <w:rFonts w:hint="eastAsia" w:ascii="宋体" w:hAnsi="宋体" w:eastAsia="宋体" w:cs="宋体"/>
          <w:color w:val="auto"/>
          <w:spacing w:val="-1"/>
          <w:sz w:val="24"/>
          <w:szCs w:val="24"/>
          <w:highlight w:val="none"/>
        </w:rPr>
        <w:t>人的书面澄清或说明不得改变投标文件的实质性内容，并</w:t>
      </w:r>
      <w:r>
        <w:rPr>
          <w:rFonts w:hint="eastAsia" w:ascii="宋体" w:hAnsi="宋体" w:eastAsia="宋体" w:cs="宋体"/>
          <w:color w:val="auto"/>
          <w:spacing w:val="-2"/>
          <w:sz w:val="24"/>
          <w:szCs w:val="24"/>
          <w:highlight w:val="none"/>
        </w:rPr>
        <w:t>作为投标文件的组成部分。</w:t>
      </w:r>
    </w:p>
    <w:p w14:paraId="4EE9F1E7">
      <w:pPr>
        <w:spacing w:before="156" w:line="309" w:lineRule="auto"/>
        <w:ind w:left="8" w:right="65" w:firstLine="569"/>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3.6</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在任何评标环节中，当评标委员会就某</w:t>
      </w:r>
      <w:r>
        <w:rPr>
          <w:rFonts w:hint="eastAsia" w:ascii="宋体" w:hAnsi="宋体" w:eastAsia="宋体" w:cs="宋体"/>
          <w:color w:val="auto"/>
          <w:spacing w:val="-4"/>
          <w:sz w:val="24"/>
          <w:szCs w:val="24"/>
          <w:highlight w:val="none"/>
        </w:rPr>
        <w:t>项定性的评审结论不统一、需要做</w:t>
      </w:r>
      <w:r>
        <w:rPr>
          <w:rFonts w:hint="eastAsia" w:ascii="宋体" w:hAnsi="宋体" w:eastAsia="宋体" w:cs="宋体"/>
          <w:color w:val="auto"/>
          <w:spacing w:val="-1"/>
          <w:sz w:val="24"/>
          <w:szCs w:val="24"/>
          <w:highlight w:val="none"/>
        </w:rPr>
        <w:t>出表决时，由评标委员会全体成员按照少数服从多数的原则，以</w:t>
      </w:r>
      <w:r>
        <w:rPr>
          <w:rFonts w:hint="eastAsia" w:ascii="宋体" w:hAnsi="宋体" w:eastAsia="宋体" w:cs="宋体"/>
          <w:color w:val="auto"/>
          <w:spacing w:val="-2"/>
          <w:sz w:val="24"/>
          <w:szCs w:val="24"/>
          <w:highlight w:val="none"/>
        </w:rPr>
        <w:t>记名投票方式表决。</w:t>
      </w:r>
      <w:r>
        <w:rPr>
          <w:rFonts w:hint="eastAsia" w:ascii="宋体" w:hAnsi="宋体" w:eastAsia="宋体" w:cs="宋体"/>
          <w:color w:val="auto"/>
          <w:spacing w:val="-1"/>
          <w:sz w:val="24"/>
          <w:szCs w:val="24"/>
          <w:highlight w:val="none"/>
        </w:rPr>
        <w:t>评标委员会全体成员应共同遵守和执行表决结果，严禁评标委员</w:t>
      </w:r>
      <w:r>
        <w:rPr>
          <w:rFonts w:hint="eastAsia" w:ascii="宋体" w:hAnsi="宋体" w:eastAsia="宋体" w:cs="宋体"/>
          <w:color w:val="auto"/>
          <w:spacing w:val="-2"/>
          <w:sz w:val="24"/>
          <w:szCs w:val="24"/>
          <w:highlight w:val="none"/>
        </w:rPr>
        <w:t>会任何成员将个人意</w:t>
      </w:r>
      <w:r>
        <w:rPr>
          <w:rFonts w:hint="eastAsia" w:ascii="宋体" w:hAnsi="宋体" w:eastAsia="宋体" w:cs="宋体"/>
          <w:color w:val="auto"/>
          <w:spacing w:val="-1"/>
          <w:sz w:val="24"/>
          <w:szCs w:val="24"/>
          <w:highlight w:val="none"/>
        </w:rPr>
        <w:t>见强加给他人、影响评标正常秩序和妨碍评审结论的公正性。</w:t>
      </w:r>
    </w:p>
    <w:p w14:paraId="43D102BA">
      <w:pPr>
        <w:spacing w:before="79" w:line="221" w:lineRule="auto"/>
        <w:ind w:left="577"/>
        <w:rPr>
          <w:rFonts w:hint="eastAsia" w:ascii="宋体" w:hAnsi="宋体" w:eastAsia="宋体" w:cs="宋体"/>
          <w:color w:val="auto"/>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3</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评标方法</w:t>
      </w:r>
    </w:p>
    <w:p w14:paraId="6D924BEF">
      <w:pPr>
        <w:spacing w:before="78" w:line="326" w:lineRule="auto"/>
        <w:ind w:left="231" w:right="181" w:firstLine="560"/>
        <w:rPr>
          <w:rFonts w:hint="eastAsia" w:ascii="宋体" w:hAnsi="宋体" w:eastAsia="宋体" w:cs="宋体"/>
          <w:color w:val="auto"/>
          <w:highlight w:val="none"/>
        </w:rPr>
      </w:pPr>
      <w:bookmarkStart w:id="88" w:name="bookmark125"/>
      <w:bookmarkEnd w:id="88"/>
      <w:r>
        <w:rPr>
          <w:rFonts w:hint="eastAsia" w:ascii="宋体" w:hAnsi="宋体" w:eastAsia="宋体" w:cs="宋体"/>
          <w:color w:val="auto"/>
          <w:spacing w:val="-4"/>
          <w:sz w:val="24"/>
          <w:szCs w:val="24"/>
          <w:highlight w:val="none"/>
        </w:rPr>
        <w:t>根据有关法律、法规的相关规定，结合本招标项目资金来源和规模特点，本次招</w:t>
      </w:r>
      <w:r>
        <w:rPr>
          <w:rFonts w:hint="eastAsia" w:ascii="宋体" w:hAnsi="宋体" w:eastAsia="宋体" w:cs="宋体"/>
          <w:color w:val="auto"/>
          <w:spacing w:val="-1"/>
          <w:sz w:val="24"/>
          <w:szCs w:val="24"/>
          <w:highlight w:val="none"/>
        </w:rPr>
        <w:t>标采用</w:t>
      </w:r>
      <w:r>
        <w:rPr>
          <w:rFonts w:hint="eastAsia" w:ascii="宋体" w:hAnsi="宋体" w:eastAsia="宋体" w:cs="宋体"/>
          <w:b/>
          <w:bCs/>
          <w:color w:val="auto"/>
          <w:spacing w:val="-4"/>
          <w:sz w:val="24"/>
          <w:szCs w:val="24"/>
          <w:highlight w:val="none"/>
          <w:u w:val="single"/>
          <w:lang w:eastAsia="zh-CN"/>
        </w:rPr>
        <w:t xml:space="preserve"> 综合评分法</w:t>
      </w:r>
      <w:r>
        <w:rPr>
          <w:rFonts w:hint="eastAsia" w:ascii="宋体" w:hAnsi="宋体" w:eastAsia="宋体" w:cs="宋体"/>
          <w:b/>
          <w:bCs/>
          <w:color w:val="auto"/>
          <w:spacing w:val="-4"/>
          <w:sz w:val="24"/>
          <w:szCs w:val="24"/>
          <w:highlight w:val="none"/>
          <w:u w:val="single"/>
        </w:rPr>
        <w:t xml:space="preserve"> </w:t>
      </w:r>
      <w:r>
        <w:rPr>
          <w:rFonts w:hint="eastAsia" w:ascii="宋体" w:hAnsi="宋体" w:eastAsia="宋体" w:cs="宋体"/>
          <w:color w:val="auto"/>
          <w:spacing w:val="-1"/>
          <w:sz w:val="24"/>
          <w:szCs w:val="24"/>
          <w:highlight w:val="none"/>
        </w:rPr>
        <w:t>进行评标。</w:t>
      </w:r>
    </w:p>
    <w:p w14:paraId="083CCE6C">
      <w:pPr>
        <w:spacing w:before="154" w:line="269" w:lineRule="auto"/>
        <w:ind w:left="220" w:right="33" w:firstLine="496"/>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4</w:t>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评审范围：评标委员会应对所有投标人的投标文件进行评审。</w:t>
      </w:r>
    </w:p>
    <w:p w14:paraId="49E70C10">
      <w:pPr>
        <w:spacing w:before="153" w:line="220" w:lineRule="auto"/>
        <w:ind w:left="71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初步评审阶段</w:t>
      </w:r>
    </w:p>
    <w:p w14:paraId="5B763A9F">
      <w:pPr>
        <w:spacing w:before="153" w:line="220" w:lineRule="auto"/>
        <w:ind w:left="70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初步评审阶段分为资格评审、形式评审和响应性评审三个环节。</w:t>
      </w:r>
    </w:p>
    <w:p w14:paraId="5EFB8E43">
      <w:pPr>
        <w:spacing w:before="155" w:line="279" w:lineRule="auto"/>
        <w:ind w:left="719" w:right="6303" w:hanging="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.1</w:t>
      </w:r>
      <w:r>
        <w:rPr>
          <w:rFonts w:hint="eastAsia" w:ascii="宋体" w:hAnsi="宋体" w:eastAsia="宋体" w:cs="宋体"/>
          <w:b/>
          <w:bCs/>
          <w:color w:val="auto"/>
          <w:spacing w:val="9"/>
          <w:sz w:val="24"/>
          <w:szCs w:val="24"/>
          <w:highlight w:val="none"/>
        </w:rPr>
        <w:t xml:space="preserve"> </w:t>
      </w:r>
      <w:r>
        <w:rPr>
          <w:rFonts w:hint="eastAsia" w:ascii="宋体" w:hAnsi="宋体" w:eastAsia="宋体" w:cs="宋体"/>
          <w:color w:val="auto"/>
          <w:spacing w:val="-2"/>
          <w:sz w:val="24"/>
          <w:szCs w:val="24"/>
          <w:highlight w:val="none"/>
        </w:rPr>
        <w:t xml:space="preserve"> 资格评审环</w:t>
      </w:r>
      <w:r>
        <w:rPr>
          <w:rFonts w:hint="eastAsia" w:ascii="宋体" w:hAnsi="宋体" w:eastAsia="宋体" w:cs="宋体"/>
          <w:color w:val="auto"/>
          <w:spacing w:val="-3"/>
          <w:sz w:val="24"/>
          <w:szCs w:val="24"/>
          <w:highlight w:val="none"/>
        </w:rPr>
        <w:t>节</w:t>
      </w:r>
      <w:r>
        <w:rPr>
          <w:rFonts w:hint="eastAsia" w:ascii="宋体" w:hAnsi="宋体" w:eastAsia="宋体" w:cs="宋体"/>
          <w:color w:val="auto"/>
          <w:spacing w:val="1"/>
          <w:sz w:val="24"/>
          <w:szCs w:val="24"/>
          <w:highlight w:val="none"/>
        </w:rPr>
        <w:t xml:space="preserve"> </w:t>
      </w:r>
    </w:p>
    <w:p w14:paraId="12AA72C0">
      <w:pPr>
        <w:spacing w:before="155" w:line="279" w:lineRule="auto"/>
        <w:ind w:left="719" w:right="6303" w:hanging="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资格评审事项包括：</w:t>
      </w:r>
    </w:p>
    <w:p w14:paraId="3C2A7C1E">
      <w:pPr>
        <w:keepNext w:val="0"/>
        <w:keepLines w:val="0"/>
        <w:pageBreakBefore w:val="0"/>
        <w:widowControl/>
        <w:kinsoku w:val="0"/>
        <w:wordWrap/>
        <w:overflowPunct/>
        <w:topLinePunct w:val="0"/>
        <w:autoSpaceDE w:val="0"/>
        <w:autoSpaceDN w:val="0"/>
        <w:bidi w:val="0"/>
        <w:adjustRightInd w:val="0"/>
        <w:snapToGrid w:val="0"/>
        <w:spacing w:line="360" w:lineRule="auto"/>
        <w:ind w:left="232" w:firstLine="488"/>
        <w:textAlignment w:val="baseline"/>
        <w:rPr>
          <w:rFonts w:hint="eastAsia" w:asciiTheme="minorEastAsia" w:hAnsiTheme="minorEastAsia" w:eastAsiaTheme="minorEastAsia" w:cstheme="minorEastAsia"/>
          <w:color w:val="auto"/>
          <w:spacing w:val="-4"/>
          <w:sz w:val="24"/>
          <w:szCs w:val="24"/>
          <w:highlight w:val="none"/>
        </w:rPr>
      </w:pPr>
      <w:bookmarkStart w:id="89" w:name="_Toc22778"/>
      <w:r>
        <w:rPr>
          <w:rFonts w:hint="eastAsia" w:asciiTheme="minorEastAsia" w:hAnsiTheme="minorEastAsia" w:eastAsiaTheme="minorEastAsia" w:cstheme="minorEastAsia"/>
          <w:color w:val="auto"/>
          <w:spacing w:val="-4"/>
          <w:sz w:val="24"/>
          <w:szCs w:val="24"/>
          <w:highlight w:val="none"/>
        </w:rPr>
        <w:t>（1）投标人是否符合本章第三节第2.4条“禁止投标条款”规定。</w:t>
      </w:r>
    </w:p>
    <w:p w14:paraId="0BE4BA4B">
      <w:pPr>
        <w:keepNext w:val="0"/>
        <w:keepLines w:val="0"/>
        <w:pageBreakBefore w:val="0"/>
        <w:widowControl/>
        <w:kinsoku w:val="0"/>
        <w:overflowPunct/>
        <w:topLinePunct w:val="0"/>
        <w:autoSpaceDE w:val="0"/>
        <w:autoSpaceDN w:val="0"/>
        <w:bidi w:val="0"/>
        <w:adjustRightInd w:val="0"/>
        <w:snapToGrid w:val="0"/>
        <w:spacing w:line="360" w:lineRule="auto"/>
        <w:ind w:left="72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（2）投标人名称是否与营业执照、资质证书、安全生产许可证一致。</w:t>
      </w:r>
    </w:p>
    <w:p w14:paraId="5C81E7D4">
      <w:pPr>
        <w:keepNext w:val="0"/>
        <w:keepLines w:val="0"/>
        <w:pageBreakBefore w:val="0"/>
        <w:widowControl/>
        <w:kinsoku w:val="0"/>
        <w:wordWrap w:val="0"/>
        <w:overflowPunct/>
        <w:topLinePunct w:val="0"/>
        <w:autoSpaceDE w:val="0"/>
        <w:autoSpaceDN w:val="0"/>
        <w:bidi w:val="0"/>
        <w:adjustRightInd w:val="0"/>
        <w:snapToGrid w:val="0"/>
        <w:spacing w:line="360" w:lineRule="auto"/>
        <w:ind w:left="232" w:right="96" w:firstLine="488"/>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（3）投标人的资质是否符合招标文件规定；其营业执照、资质证书、安全生产许可证（含实时网页查询页，可参考网址 https://zlaq.mohurd.gov.cn/fwmh/bjxcjgl/fwm</w:t>
      </w:r>
      <w:bookmarkStart w:id="90" w:name="bookmark126"/>
      <w:bookmarkEnd w:id="90"/>
      <w:r>
        <w:rPr>
          <w:rFonts w:hint="eastAsia" w:asciiTheme="minorEastAsia" w:hAnsiTheme="minorEastAsia" w:eastAsiaTheme="minorEastAsia" w:cstheme="minorEastAsia"/>
          <w:color w:val="auto"/>
          <w:spacing w:val="2"/>
          <w:sz w:val="24"/>
          <w:szCs w:val="24"/>
          <w:highlight w:val="none"/>
        </w:rPr>
        <w:t>h/pages/construction_safety/qyaqscxkz/qyaqscxkz）是否合法、有效、准确</w:t>
      </w:r>
      <w:r>
        <w:rPr>
          <w:rFonts w:hint="eastAsia" w:asciiTheme="minorEastAsia" w:hAnsiTheme="minorEastAsia" w:eastAsiaTheme="minorEastAsia" w:cstheme="minorEastAsia"/>
          <w:color w:val="auto"/>
          <w:spacing w:val="-1"/>
          <w:position w:val="3"/>
          <w:sz w:val="24"/>
          <w:szCs w:val="24"/>
          <w:highlight w:val="none"/>
        </w:rPr>
        <w:t>。</w:t>
      </w:r>
    </w:p>
    <w:p w14:paraId="46BDDC87">
      <w:pPr>
        <w:keepNext w:val="0"/>
        <w:keepLines w:val="0"/>
        <w:pageBreakBefore w:val="0"/>
        <w:widowControl/>
        <w:kinsoku w:val="0"/>
        <w:overflowPunct/>
        <w:topLinePunct w:val="0"/>
        <w:autoSpaceDE w:val="0"/>
        <w:autoSpaceDN w:val="0"/>
        <w:bidi w:val="0"/>
        <w:adjustRightInd w:val="0"/>
        <w:snapToGrid w:val="0"/>
        <w:spacing w:line="360" w:lineRule="auto"/>
        <w:ind w:left="501"/>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1"/>
          <w:sz w:val="24"/>
          <w:szCs w:val="24"/>
          <w:highlight w:val="none"/>
        </w:rPr>
        <w:t>（4）《项目经理简历表》中拟派项目经理是否与《开标一览表》一致。</w:t>
      </w:r>
    </w:p>
    <w:p w14:paraId="3040E94A">
      <w:pPr>
        <w:keepNext w:val="0"/>
        <w:keepLines w:val="0"/>
        <w:pageBreakBefore w:val="0"/>
        <w:widowControl/>
        <w:kinsoku w:val="0"/>
        <w:overflowPunct/>
        <w:topLinePunct w:val="0"/>
        <w:autoSpaceDE w:val="0"/>
        <w:autoSpaceDN w:val="0"/>
        <w:bidi w:val="0"/>
        <w:adjustRightInd w:val="0"/>
        <w:snapToGrid w:val="0"/>
        <w:spacing w:line="360" w:lineRule="auto"/>
        <w:ind w:left="11" w:firstLine="489"/>
        <w:textAlignment w:val="baseline"/>
        <w:rPr>
          <w:rFonts w:hint="eastAsia" w:asciiTheme="minorEastAsia" w:hAnsiTheme="minorEastAsia" w:eastAsiaTheme="minorEastAsia" w:cstheme="minorEastAsia"/>
          <w:color w:val="auto"/>
          <w:spacing w:val="-1"/>
          <w:sz w:val="24"/>
          <w:szCs w:val="24"/>
          <w:highlight w:val="none"/>
        </w:rPr>
      </w:pPr>
      <w:r>
        <w:rPr>
          <w:rFonts w:hint="eastAsia" w:asciiTheme="minorEastAsia" w:hAnsiTheme="minorEastAsia" w:eastAsiaTheme="minorEastAsia" w:cstheme="minorEastAsia"/>
          <w:color w:val="auto"/>
          <w:spacing w:val="2"/>
          <w:sz w:val="24"/>
          <w:szCs w:val="24"/>
          <w:highlight w:val="none"/>
        </w:rPr>
        <w:t>（5）拟派项目经理、项目技术负责人、专职安全员的条件</w:t>
      </w:r>
      <w:r>
        <w:rPr>
          <w:rFonts w:hint="eastAsia" w:asciiTheme="minorEastAsia" w:hAnsiTheme="minorEastAsia" w:eastAsiaTheme="minorEastAsia" w:cstheme="minorEastAsia"/>
          <w:color w:val="auto"/>
          <w:spacing w:val="1"/>
          <w:sz w:val="24"/>
          <w:szCs w:val="24"/>
          <w:highlight w:val="none"/>
        </w:rPr>
        <w:t>是否符合招标文件规</w:t>
      </w:r>
      <w:r>
        <w:rPr>
          <w:rFonts w:hint="eastAsia" w:asciiTheme="minorEastAsia" w:hAnsiTheme="minorEastAsia" w:eastAsiaTheme="minorEastAsia" w:cstheme="minorEastAsia"/>
          <w:color w:val="auto"/>
          <w:spacing w:val="-1"/>
          <w:sz w:val="24"/>
          <w:szCs w:val="24"/>
          <w:highlight w:val="none"/>
        </w:rPr>
        <w:t>定；拟派的项目经理是否在投标文件《项目经理简历表》中签字确认；项目技术负责人是否在投标文件《项目技术负责人简历表》中签字确认；项目管理机构组成人员的各类证书、证件、证明是否合法、有效、准确；是否擅自修改、遗漏《项目经理任职声明》的实质性内容。</w:t>
      </w:r>
    </w:p>
    <w:p w14:paraId="27910BA3">
      <w:pPr>
        <w:keepNext w:val="0"/>
        <w:keepLines w:val="0"/>
        <w:pageBreakBefore w:val="0"/>
        <w:widowControl/>
        <w:kinsoku w:val="0"/>
        <w:overflowPunct/>
        <w:topLinePunct w:val="0"/>
        <w:autoSpaceDE w:val="0"/>
        <w:autoSpaceDN w:val="0"/>
        <w:bidi w:val="0"/>
        <w:adjustRightInd w:val="0"/>
        <w:snapToGrid w:val="0"/>
        <w:spacing w:line="360" w:lineRule="auto"/>
        <w:ind w:left="8" w:right="2" w:firstLine="492"/>
        <w:textAlignment w:val="baseline"/>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pacing w:val="2"/>
          <w:sz w:val="24"/>
          <w:szCs w:val="24"/>
          <w:highlight w:val="none"/>
        </w:rPr>
        <w:t>（</w:t>
      </w:r>
      <w:r>
        <w:rPr>
          <w:rFonts w:hint="eastAsia" w:asciiTheme="minorEastAsia" w:hAnsiTheme="minorEastAsia" w:eastAsiaTheme="minorEastAsia" w:cstheme="minorEastAsia"/>
          <w:color w:val="auto"/>
          <w:spacing w:val="2"/>
          <w:sz w:val="24"/>
          <w:szCs w:val="24"/>
          <w:highlight w:val="none"/>
          <w:lang w:val="en-US" w:eastAsia="zh-CN"/>
        </w:rPr>
        <w:t>6</w:t>
      </w:r>
      <w:r>
        <w:rPr>
          <w:rFonts w:hint="eastAsia" w:asciiTheme="minorEastAsia" w:hAnsiTheme="minorEastAsia" w:eastAsiaTheme="minorEastAsia" w:cstheme="minorEastAsia"/>
          <w:color w:val="auto"/>
          <w:spacing w:val="2"/>
          <w:sz w:val="24"/>
          <w:szCs w:val="24"/>
          <w:highlight w:val="none"/>
        </w:rPr>
        <w:t>）投标人为外省建筑企业的，是否按规定在“进粤</w:t>
      </w:r>
      <w:r>
        <w:rPr>
          <w:rFonts w:hint="eastAsia" w:asciiTheme="minorEastAsia" w:hAnsiTheme="minorEastAsia" w:eastAsiaTheme="minorEastAsia" w:cstheme="minorEastAsia"/>
          <w:color w:val="auto"/>
          <w:spacing w:val="1"/>
          <w:sz w:val="24"/>
          <w:szCs w:val="24"/>
          <w:highlight w:val="none"/>
        </w:rPr>
        <w:t>企业和人员诚信信息登记</w:t>
      </w:r>
      <w:r>
        <w:rPr>
          <w:rFonts w:hint="eastAsia" w:asciiTheme="minorEastAsia" w:hAnsiTheme="minorEastAsia" w:eastAsiaTheme="minorEastAsia" w:cstheme="minorEastAsia"/>
          <w:color w:val="auto"/>
          <w:spacing w:val="-2"/>
          <w:sz w:val="24"/>
          <w:szCs w:val="24"/>
          <w:highlight w:val="none"/>
        </w:rPr>
        <w:t>平台</w:t>
      </w:r>
      <w:r>
        <w:rPr>
          <w:rFonts w:hint="eastAsia" w:asciiTheme="minorEastAsia" w:hAnsiTheme="minorEastAsia" w:eastAsiaTheme="minorEastAsia" w:cstheme="minorEastAsia"/>
          <w:color w:val="auto"/>
          <w:spacing w:val="-76"/>
          <w:sz w:val="24"/>
          <w:szCs w:val="24"/>
          <w:highlight w:val="none"/>
        </w:rPr>
        <w:t xml:space="preserve"> </w:t>
      </w:r>
      <w:r>
        <w:rPr>
          <w:rFonts w:hint="eastAsia" w:asciiTheme="minorEastAsia" w:hAnsiTheme="minorEastAsia" w:eastAsiaTheme="minorEastAsia" w:cstheme="minorEastAsia"/>
          <w:color w:val="auto"/>
          <w:spacing w:val="-2"/>
          <w:sz w:val="24"/>
          <w:szCs w:val="24"/>
          <w:highlight w:val="none"/>
        </w:rPr>
        <w:t>”录入企业及其拟派人员有关信息并通过数据规范检查。</w:t>
      </w:r>
    </w:p>
    <w:p w14:paraId="5E3A3AD8">
      <w:pPr>
        <w:spacing w:before="15" w:line="360" w:lineRule="auto"/>
        <w:ind w:right="2" w:firstLine="474"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.2 </w:t>
      </w:r>
      <w:r>
        <w:rPr>
          <w:rFonts w:hint="eastAsia" w:ascii="宋体" w:hAnsi="宋体" w:eastAsia="宋体" w:cs="宋体"/>
          <w:color w:val="auto"/>
          <w:spacing w:val="1"/>
          <w:sz w:val="24"/>
          <w:szCs w:val="24"/>
          <w:highlight w:val="none"/>
        </w:rPr>
        <w:t xml:space="preserve"> 形式评审环节</w:t>
      </w:r>
    </w:p>
    <w:p w14:paraId="720A176D">
      <w:pPr>
        <w:spacing w:before="15" w:line="360" w:lineRule="auto"/>
        <w:ind w:right="2" w:firstLine="484" w:firstLineChars="200"/>
        <w:jc w:val="both"/>
        <w:outlineLvl w:val="9"/>
        <w:rPr>
          <w:rFonts w:hint="eastAsia"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rPr>
        <w:t>形式评审事</w:t>
      </w:r>
      <w:r>
        <w:rPr>
          <w:rFonts w:hint="eastAsia" w:ascii="宋体" w:hAnsi="宋体" w:eastAsia="宋体" w:cs="宋体"/>
          <w:color w:val="auto"/>
          <w:spacing w:val="1"/>
          <w:sz w:val="24"/>
          <w:szCs w:val="24"/>
          <w:highlight w:val="none"/>
          <w:lang w:eastAsia="zh-CN"/>
        </w:rPr>
        <w:t>项包括</w:t>
      </w:r>
      <w:bookmarkEnd w:id="89"/>
    </w:p>
    <w:p w14:paraId="540DEAA8">
      <w:pPr>
        <w:spacing w:before="40" w:line="360" w:lineRule="auto"/>
        <w:ind w:left="501"/>
        <w:outlineLvl w:val="9"/>
        <w:rPr>
          <w:rFonts w:hint="eastAsia" w:ascii="宋体" w:hAnsi="宋体" w:eastAsia="宋体" w:cs="宋体"/>
          <w:color w:val="auto"/>
          <w:sz w:val="24"/>
          <w:szCs w:val="24"/>
          <w:highlight w:val="none"/>
        </w:rPr>
      </w:pPr>
      <w:bookmarkStart w:id="91" w:name="_Toc4914"/>
      <w:bookmarkStart w:id="92" w:name="_Toc23632"/>
      <w:bookmarkStart w:id="93" w:name="_Toc13304"/>
      <w:bookmarkStart w:id="94" w:name="_Toc20481"/>
      <w:r>
        <w:rPr>
          <w:rFonts w:hint="eastAsia" w:ascii="宋体" w:hAnsi="宋体" w:eastAsia="宋体" w:cs="宋体"/>
          <w:color w:val="auto"/>
          <w:spacing w:val="-1"/>
          <w:sz w:val="24"/>
          <w:szCs w:val="24"/>
          <w:highlight w:val="none"/>
        </w:rPr>
        <w:t>（1）各分册是否按招标文件规定加盖电子印章。</w:t>
      </w:r>
      <w:bookmarkEnd w:id="91"/>
      <w:bookmarkEnd w:id="92"/>
      <w:bookmarkEnd w:id="93"/>
      <w:bookmarkEnd w:id="94"/>
    </w:p>
    <w:p w14:paraId="64C926F3">
      <w:pPr>
        <w:spacing w:before="15" w:line="360" w:lineRule="auto"/>
        <w:ind w:firstLine="464" w:firstLineChars="200"/>
        <w:outlineLvl w:val="9"/>
        <w:rPr>
          <w:rFonts w:hint="eastAsia" w:ascii="宋体" w:hAnsi="宋体" w:eastAsia="宋体" w:cs="宋体"/>
          <w:color w:val="auto"/>
          <w:spacing w:val="-1"/>
          <w:sz w:val="24"/>
          <w:szCs w:val="24"/>
          <w:highlight w:val="none"/>
        </w:rPr>
      </w:pPr>
      <w:bookmarkStart w:id="95" w:name="_Toc10806"/>
      <w:bookmarkStart w:id="96" w:name="_Toc28409"/>
      <w:bookmarkStart w:id="97" w:name="_Toc27432"/>
      <w:bookmarkStart w:id="98" w:name="_Toc12756"/>
      <w:r>
        <w:rPr>
          <w:rFonts w:hint="eastAsia" w:ascii="宋体" w:hAnsi="宋体" w:eastAsia="宋体" w:cs="宋体"/>
          <w:color w:val="auto"/>
          <w:spacing w:val="-4"/>
          <w:sz w:val="24"/>
          <w:szCs w:val="24"/>
          <w:highlight w:val="none"/>
        </w:rPr>
        <w:t>（2）本节第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10.2.2 目、第</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4"/>
          <w:sz w:val="24"/>
          <w:szCs w:val="24"/>
          <w:highlight w:val="none"/>
        </w:rPr>
        <w:t>10.3.2 目、第</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10.4.</w:t>
      </w:r>
      <w:r>
        <w:rPr>
          <w:rFonts w:hint="eastAsia" w:ascii="宋体" w:hAnsi="宋体" w:eastAsia="宋体" w:cs="宋体"/>
          <w:color w:val="auto"/>
          <w:spacing w:val="-4"/>
          <w:sz w:val="24"/>
          <w:szCs w:val="24"/>
          <w:highlight w:val="none"/>
          <w:lang w:val="en-US" w:eastAsia="zh-CN"/>
        </w:rPr>
        <w:t>3</w:t>
      </w:r>
      <w:r>
        <w:rPr>
          <w:rFonts w:hint="eastAsia" w:ascii="宋体" w:hAnsi="宋体" w:eastAsia="宋体" w:cs="宋体"/>
          <w:color w:val="auto"/>
          <w:spacing w:val="-4"/>
          <w:sz w:val="24"/>
          <w:szCs w:val="24"/>
          <w:highlight w:val="none"/>
        </w:rPr>
        <w:t>目中规定</w:t>
      </w:r>
      <w:r>
        <w:rPr>
          <w:rFonts w:hint="eastAsia" w:ascii="宋体" w:hAnsi="宋体" w:eastAsia="宋体" w:cs="宋体"/>
          <w:color w:val="auto"/>
          <w:spacing w:val="-5"/>
          <w:sz w:val="24"/>
          <w:szCs w:val="24"/>
          <w:highlight w:val="none"/>
        </w:rPr>
        <w:t>的“所有投标人均应提</w:t>
      </w:r>
      <w:bookmarkEnd w:id="95"/>
      <w:bookmarkEnd w:id="96"/>
      <w:bookmarkEnd w:id="97"/>
      <w:r>
        <w:rPr>
          <w:rFonts w:hint="eastAsia" w:ascii="宋体" w:hAnsi="宋体" w:eastAsia="宋体" w:cs="宋体"/>
          <w:color w:val="auto"/>
          <w:spacing w:val="-1"/>
          <w:sz w:val="24"/>
          <w:szCs w:val="24"/>
          <w:highlight w:val="none"/>
        </w:rPr>
        <w:t>供</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”的组成内容（包括该组成内容的所附资料）是否完整、齐全.</w:t>
      </w:r>
      <w:bookmarkEnd w:id="98"/>
    </w:p>
    <w:p w14:paraId="127DFB0D">
      <w:pPr>
        <w:spacing w:before="15" w:line="360" w:lineRule="auto"/>
        <w:ind w:right="2" w:firstLine="474" w:firstLineChars="200"/>
        <w:jc w:val="both"/>
        <w:outlineLvl w:val="9"/>
        <w:rPr>
          <w:rFonts w:hint="eastAsia" w:ascii="宋体" w:hAnsi="宋体" w:eastAsia="宋体" w:cs="宋体"/>
          <w:color w:val="auto"/>
          <w:spacing w:val="2"/>
          <w:sz w:val="24"/>
          <w:szCs w:val="24"/>
          <w:highlight w:val="none"/>
        </w:rPr>
      </w:pPr>
      <w:bookmarkStart w:id="99" w:name="_Toc16645"/>
      <w:bookmarkStart w:id="100" w:name="_Toc22642"/>
      <w:bookmarkStart w:id="101" w:name="_Toc22562"/>
      <w:bookmarkStart w:id="102" w:name="_Toc14202"/>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 xml:space="preserve">.3  </w:t>
      </w:r>
      <w:r>
        <w:rPr>
          <w:rFonts w:hint="eastAsia" w:ascii="宋体" w:hAnsi="宋体" w:eastAsia="宋体" w:cs="宋体"/>
          <w:color w:val="auto"/>
          <w:spacing w:val="2"/>
          <w:sz w:val="24"/>
          <w:szCs w:val="24"/>
          <w:highlight w:val="none"/>
        </w:rPr>
        <w:t xml:space="preserve">响应性评审环节 </w:t>
      </w:r>
    </w:p>
    <w:p w14:paraId="746226A2">
      <w:pPr>
        <w:spacing w:before="15" w:line="360" w:lineRule="auto"/>
        <w:ind w:right="2" w:firstLine="488" w:firstLineChars="200"/>
        <w:jc w:val="both"/>
        <w:outlineLvl w:val="9"/>
        <w:rPr>
          <w:rFonts w:hint="eastAsia" w:ascii="宋体" w:hAnsi="宋体" w:eastAsia="宋体" w:cs="宋体"/>
          <w:color w:val="auto"/>
          <w:spacing w:val="1"/>
          <w:sz w:val="24"/>
          <w:szCs w:val="24"/>
          <w:highlight w:val="none"/>
        </w:rPr>
      </w:pPr>
      <w:r>
        <w:rPr>
          <w:rFonts w:hint="eastAsia" w:ascii="宋体" w:hAnsi="宋体" w:eastAsia="宋体" w:cs="宋体"/>
          <w:color w:val="auto"/>
          <w:spacing w:val="2"/>
          <w:sz w:val="24"/>
          <w:szCs w:val="24"/>
          <w:highlight w:val="none"/>
        </w:rPr>
        <w:t>响应性评项包括：</w:t>
      </w:r>
      <w:bookmarkEnd w:id="99"/>
      <w:bookmarkEnd w:id="100"/>
      <w:bookmarkEnd w:id="101"/>
      <w:bookmarkEnd w:id="102"/>
    </w:p>
    <w:p w14:paraId="7C2C97F5">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（1）投标有效期、质量标准、工期等是否响应招标文件实</w:t>
      </w:r>
      <w:r>
        <w:rPr>
          <w:rFonts w:hint="eastAsia" w:ascii="宋体" w:hAnsi="宋体" w:eastAsia="宋体" w:cs="宋体"/>
          <w:color w:val="auto"/>
          <w:spacing w:val="1"/>
          <w:sz w:val="24"/>
          <w:szCs w:val="24"/>
          <w:highlight w:val="none"/>
        </w:rPr>
        <w:t>质性要求；是否擅自</w:t>
      </w:r>
      <w:r>
        <w:rPr>
          <w:rFonts w:hint="eastAsia" w:ascii="宋体" w:hAnsi="宋体" w:eastAsia="宋体" w:cs="宋体"/>
          <w:color w:val="auto"/>
          <w:spacing w:val="-1"/>
          <w:sz w:val="24"/>
          <w:szCs w:val="24"/>
          <w:highlight w:val="none"/>
        </w:rPr>
        <w:t>修改、遗漏《投标函》《各项承诺一览表》的实质性内容。</w:t>
      </w:r>
    </w:p>
    <w:p w14:paraId="0FC3EBE0">
      <w:pPr>
        <w:keepNext w:val="0"/>
        <w:keepLines w:val="0"/>
        <w:pageBreakBefore w:val="0"/>
        <w:widowControl/>
        <w:kinsoku w:val="0"/>
        <w:wordWrap/>
        <w:overflowPunct/>
        <w:topLinePunct w:val="0"/>
        <w:autoSpaceDE w:val="0"/>
        <w:autoSpaceDN w:val="0"/>
        <w:bidi w:val="0"/>
        <w:adjustRightInd w:val="0"/>
        <w:snapToGrid w:val="0"/>
        <w:spacing w:line="360"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（2）编制《投标总价》的造价工程师，其注册证书是否合法、有效。</w:t>
      </w:r>
    </w:p>
    <w:p w14:paraId="7272F12D">
      <w:pPr>
        <w:keepNext w:val="0"/>
        <w:keepLines w:val="0"/>
        <w:pageBreakBefore w:val="0"/>
        <w:widowControl/>
        <w:kinsoku w:val="0"/>
        <w:wordWrap/>
        <w:overflowPunct/>
        <w:topLinePunct w:val="0"/>
        <w:autoSpaceDE w:val="0"/>
        <w:autoSpaceDN w:val="0"/>
        <w:bidi w:val="0"/>
        <w:adjustRightInd w:val="0"/>
        <w:snapToGrid w:val="0"/>
        <w:spacing w:line="360" w:lineRule="auto"/>
        <w:ind w:left="23" w:right="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（3）投标人委托造价咨询单位编制《投标总价》的，是否在《投标总价扉页》“投标人</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”栏目加盖造价咨询人公章；是否提供</w:t>
      </w:r>
      <w:r>
        <w:rPr>
          <w:rFonts w:hint="eastAsia" w:ascii="宋体" w:hAnsi="宋体" w:eastAsia="宋体" w:cs="宋体"/>
          <w:color w:val="auto"/>
          <w:sz w:val="24"/>
          <w:szCs w:val="24"/>
          <w:highlight w:val="none"/>
        </w:rPr>
        <w:t>造价咨询人的营业执照</w:t>
      </w:r>
      <w:r>
        <w:rPr>
          <w:rFonts w:hint="eastAsia" w:ascii="宋体" w:hAnsi="宋体" w:eastAsia="宋体" w:cs="宋体"/>
          <w:color w:val="auto"/>
          <w:spacing w:val="-2"/>
          <w:sz w:val="24"/>
          <w:szCs w:val="24"/>
          <w:highlight w:val="none"/>
        </w:rPr>
        <w:t>副本彩色扫描件；</w:t>
      </w:r>
    </w:p>
    <w:p w14:paraId="1684033F">
      <w:pPr>
        <w:keepNext w:val="0"/>
        <w:keepLines w:val="0"/>
        <w:pageBreakBefore w:val="0"/>
        <w:widowControl/>
        <w:kinsoku w:val="0"/>
        <w:wordWrap/>
        <w:overflowPunct/>
        <w:topLinePunct w:val="0"/>
        <w:autoSpaceDE w:val="0"/>
        <w:autoSpaceDN w:val="0"/>
        <w:bidi w:val="0"/>
        <w:adjustRightInd w:val="0"/>
        <w:snapToGrid w:val="0"/>
        <w:spacing w:line="360" w:lineRule="auto"/>
        <w:ind w:left="11" w:firstLine="49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（4）投标总价是否唯一；投标总价是否超出</w:t>
      </w:r>
      <w:r>
        <w:rPr>
          <w:rFonts w:hint="eastAsia" w:ascii="宋体" w:hAnsi="宋体" w:eastAsia="宋体" w:cs="宋体"/>
          <w:b/>
          <w:bCs/>
          <w:color w:val="auto"/>
          <w:spacing w:val="1"/>
          <w:sz w:val="24"/>
          <w:szCs w:val="24"/>
          <w:highlight w:val="none"/>
          <w:lang w:val="en-US" w:eastAsia="zh-CN"/>
        </w:rPr>
        <w:t>最高投标限价</w:t>
      </w:r>
      <w:r>
        <w:rPr>
          <w:rFonts w:hint="eastAsia" w:ascii="宋体" w:hAnsi="宋体" w:eastAsia="宋体" w:cs="宋体"/>
          <w:color w:val="auto"/>
          <w:spacing w:val="1"/>
          <w:sz w:val="24"/>
          <w:szCs w:val="24"/>
          <w:highlight w:val="none"/>
        </w:rPr>
        <w:t>；</w:t>
      </w:r>
      <w:r>
        <w:rPr>
          <w:rFonts w:hint="eastAsia" w:ascii="宋体" w:hAnsi="宋体" w:eastAsia="宋体" w:cs="宋体"/>
          <w:b/>
          <w:bCs/>
          <w:color w:val="auto"/>
          <w:spacing w:val="1"/>
          <w:sz w:val="24"/>
          <w:szCs w:val="24"/>
          <w:highlight w:val="none"/>
        </w:rPr>
        <w:t>安全生产措施费</w:t>
      </w:r>
      <w:r>
        <w:rPr>
          <w:rFonts w:hint="eastAsia" w:ascii="宋体" w:hAnsi="宋体" w:eastAsia="宋体" w:cs="宋体"/>
          <w:color w:val="auto"/>
          <w:spacing w:val="-1"/>
          <w:sz w:val="24"/>
          <w:szCs w:val="24"/>
          <w:highlight w:val="none"/>
        </w:rPr>
        <w:t>是否达到最低要求；暂列金额、暂估价是否按照招标工</w:t>
      </w:r>
      <w:r>
        <w:rPr>
          <w:rFonts w:hint="eastAsia" w:ascii="宋体" w:hAnsi="宋体" w:eastAsia="宋体" w:cs="宋体"/>
          <w:color w:val="auto"/>
          <w:spacing w:val="-2"/>
          <w:sz w:val="24"/>
          <w:szCs w:val="24"/>
          <w:highlight w:val="none"/>
        </w:rPr>
        <w:t>程量清单统一报价；投</w:t>
      </w:r>
      <w:r>
        <w:rPr>
          <w:rFonts w:hint="eastAsia" w:ascii="宋体" w:hAnsi="宋体" w:eastAsia="宋体" w:cs="宋体"/>
          <w:color w:val="auto"/>
          <w:spacing w:val="-1"/>
          <w:sz w:val="24"/>
          <w:szCs w:val="24"/>
          <w:highlight w:val="none"/>
        </w:rPr>
        <w:t>标人是否以低于成本的价格竞标。</w:t>
      </w:r>
    </w:p>
    <w:p w14:paraId="07EB7BBE">
      <w:pPr>
        <w:spacing w:before="38" w:line="360" w:lineRule="auto"/>
        <w:ind w:right="2" w:firstLine="474" w:firstLineChars="200"/>
        <w:jc w:val="both"/>
        <w:rPr>
          <w:rFonts w:hint="eastAsia" w:ascii="宋体" w:hAnsi="宋体" w:eastAsia="宋体" w:cs="宋体"/>
          <w:color w:val="auto"/>
          <w:position w:val="-8"/>
          <w:sz w:val="24"/>
          <w:szCs w:val="24"/>
          <w:highlight w:val="none"/>
        </w:rPr>
      </w:pPr>
      <w:r>
        <w:rPr>
          <w:rFonts w:hint="eastAsia" w:ascii="宋体" w:hAnsi="宋体" w:eastAsia="宋体" w:cs="宋体"/>
          <w:b/>
          <w:bCs/>
          <w:color w:val="auto"/>
          <w:spacing w:val="-2"/>
          <w:sz w:val="24"/>
          <w:szCs w:val="24"/>
          <w:highlight w:val="none"/>
        </w:rPr>
        <w:t>注：如果某投标人的投标总价下浮率超过</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2"/>
          <w:sz w:val="24"/>
          <w:szCs w:val="24"/>
          <w:highlight w:val="none"/>
        </w:rPr>
        <w:t>15%</w:t>
      </w:r>
      <w:r>
        <w:rPr>
          <w:rFonts w:hint="eastAsia" w:ascii="宋体" w:hAnsi="宋体" w:eastAsia="宋体" w:cs="宋体"/>
          <w:b/>
          <w:bCs/>
          <w:color w:val="auto"/>
          <w:spacing w:val="-32"/>
          <w:sz w:val="24"/>
          <w:szCs w:val="24"/>
          <w:highlight w:val="none"/>
        </w:rPr>
        <w:t xml:space="preserve"> </w:t>
      </w:r>
      <w:r>
        <w:rPr>
          <w:rFonts w:hint="eastAsia" w:ascii="宋体" w:hAnsi="宋体" w:eastAsia="宋体" w:cs="宋体"/>
          <w:b/>
          <w:bCs/>
          <w:color w:val="auto"/>
          <w:spacing w:val="-2"/>
          <w:sz w:val="24"/>
          <w:szCs w:val="24"/>
          <w:highlight w:val="none"/>
        </w:rPr>
        <w:t>，又未提供</w:t>
      </w:r>
      <w:r>
        <w:rPr>
          <w:rFonts w:hint="eastAsia" w:ascii="宋体" w:hAnsi="宋体" w:eastAsia="宋体" w:cs="宋体"/>
          <w:b/>
          <w:bCs/>
          <w:color w:val="auto"/>
          <w:spacing w:val="-3"/>
          <w:sz w:val="24"/>
          <w:szCs w:val="24"/>
          <w:highlight w:val="none"/>
        </w:rPr>
        <w:t>相应书面说明和佐证</w:t>
      </w:r>
      <w:bookmarkStart w:id="103" w:name="bookmark127"/>
      <w:bookmarkEnd w:id="103"/>
      <w:r>
        <w:rPr>
          <w:rFonts w:hint="eastAsia" w:ascii="宋体" w:hAnsi="宋体" w:eastAsia="宋体" w:cs="宋体"/>
          <w:b/>
          <w:bCs/>
          <w:color w:val="auto"/>
          <w:spacing w:val="-4"/>
          <w:sz w:val="24"/>
          <w:szCs w:val="24"/>
          <w:highlight w:val="none"/>
        </w:rPr>
        <w:t>材料或提供的书面说明和佐证材料不能令人信服的，评标委员会应认定其以低于成本</w:t>
      </w:r>
      <w:r>
        <w:rPr>
          <w:rFonts w:hint="eastAsia" w:ascii="宋体" w:hAnsi="宋体" w:eastAsia="宋体" w:cs="宋体"/>
          <w:b/>
          <w:bCs/>
          <w:color w:val="auto"/>
          <w:spacing w:val="-9"/>
          <w:sz w:val="24"/>
          <w:szCs w:val="24"/>
          <w:highlight w:val="none"/>
        </w:rPr>
        <w:t>的价格竞标，并否决其投标。评</w:t>
      </w:r>
      <w:r>
        <w:rPr>
          <w:rFonts w:hint="eastAsia" w:ascii="宋体" w:hAnsi="宋体" w:eastAsia="宋体" w:cs="宋体"/>
          <w:b/>
          <w:bCs/>
          <w:color w:val="auto"/>
          <w:spacing w:val="-4"/>
          <w:sz w:val="24"/>
          <w:szCs w:val="24"/>
          <w:highlight w:val="none"/>
        </w:rPr>
        <w:t>标委员会接受该投标人的投标总价而未否决其投标的， 应在评标报告中说明判断理由。投标总价下浮率＝（1－投标总价÷</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）×100% 。</w:t>
      </w:r>
    </w:p>
    <w:p w14:paraId="1B4A1888">
      <w:pPr>
        <w:spacing w:before="157" w:line="360" w:lineRule="auto"/>
        <w:ind w:left="11" w:right="114" w:firstLine="505" w:firstLineChars="20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（5）施工组织设计的质量、进度保障措施是否符合国</w:t>
      </w:r>
      <w:r>
        <w:rPr>
          <w:rFonts w:hint="eastAsia" w:ascii="宋体" w:hAnsi="宋体" w:eastAsia="宋体" w:cs="宋体"/>
          <w:color w:val="auto"/>
          <w:sz w:val="24"/>
          <w:szCs w:val="24"/>
          <w:highlight w:val="none"/>
        </w:rPr>
        <w:t>家和省市现行有关规</w:t>
      </w:r>
      <w:r>
        <w:rPr>
          <w:rFonts w:hint="eastAsia" w:ascii="宋体" w:hAnsi="宋体" w:eastAsia="宋体" w:cs="宋体"/>
          <w:color w:val="auto"/>
          <w:spacing w:val="-1"/>
          <w:sz w:val="24"/>
          <w:szCs w:val="24"/>
          <w:highlight w:val="none"/>
        </w:rPr>
        <w:t>范、规定、标准，是否能实现工程质量、进度管理目标。</w:t>
      </w:r>
    </w:p>
    <w:p w14:paraId="123D5255">
      <w:pPr>
        <w:spacing w:before="82" w:line="211" w:lineRule="auto"/>
        <w:ind w:left="580"/>
        <w:outlineLvl w:val="9"/>
        <w:rPr>
          <w:rFonts w:hint="eastAsia" w:ascii="宋体" w:hAnsi="宋体" w:eastAsia="宋体" w:cs="宋体"/>
          <w:color w:val="auto"/>
          <w:sz w:val="25"/>
          <w:szCs w:val="25"/>
          <w:highlight w:val="none"/>
        </w:rPr>
      </w:pPr>
      <w:bookmarkStart w:id="104" w:name="_Toc19814"/>
      <w:bookmarkStart w:id="105" w:name="_Toc18204"/>
      <w:bookmarkStart w:id="106" w:name="_Toc15367"/>
      <w:bookmarkStart w:id="107" w:name="_Toc32114"/>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5</w:t>
      </w:r>
      <w:r>
        <w:rPr>
          <w:rFonts w:hint="eastAsia" w:ascii="宋体" w:hAnsi="宋体" w:eastAsia="宋体" w:cs="宋体"/>
          <w:b/>
          <w:bCs/>
          <w:color w:val="auto"/>
          <w:spacing w:val="-3"/>
          <w:sz w:val="24"/>
          <w:szCs w:val="24"/>
          <w:highlight w:val="none"/>
        </w:rPr>
        <w:t xml:space="preserve">.4  </w:t>
      </w:r>
      <w:r>
        <w:rPr>
          <w:rFonts w:hint="eastAsia" w:ascii="宋体" w:hAnsi="宋体" w:eastAsia="宋体" w:cs="宋体"/>
          <w:color w:val="auto"/>
          <w:spacing w:val="-3"/>
          <w:sz w:val="24"/>
          <w:szCs w:val="24"/>
          <w:highlight w:val="none"/>
        </w:rPr>
        <w:t>否决投标说明</w:t>
      </w:r>
      <w:bookmarkEnd w:id="104"/>
      <w:bookmarkEnd w:id="105"/>
      <w:bookmarkEnd w:id="106"/>
      <w:bookmarkEnd w:id="107"/>
    </w:p>
    <w:p w14:paraId="0A7D0F98">
      <w:pPr>
        <w:spacing w:before="152" w:line="333" w:lineRule="auto"/>
        <w:ind w:left="11" w:right="175" w:firstLine="561"/>
        <w:rPr>
          <w:rFonts w:hint="eastAsia" w:ascii="宋体" w:hAnsi="宋体" w:eastAsia="宋体" w:cs="宋体"/>
          <w:color w:val="auto"/>
          <w:highlight w:val="none"/>
        </w:rPr>
      </w:pPr>
      <w:r>
        <w:rPr>
          <w:rFonts w:hint="eastAsia" w:ascii="宋体" w:hAnsi="宋体" w:eastAsia="宋体" w:cs="宋体"/>
          <w:color w:val="auto"/>
          <w:spacing w:val="-5"/>
          <w:sz w:val="24"/>
          <w:szCs w:val="24"/>
          <w:highlight w:val="none"/>
        </w:rPr>
        <w:t>初步评审阶段各个环节否决投标的全部条件，在本章第四节“否决投标条件</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b/>
          <w:bCs/>
          <w:color w:val="auto"/>
          <w:sz w:val="24"/>
          <w:szCs w:val="24"/>
          <w:highlight w:val="none"/>
        </w:rPr>
        <w:t>1</w:t>
      </w:r>
      <w:r>
        <w:rPr>
          <w:rFonts w:hint="eastAsia" w:ascii="宋体" w:hAnsi="宋体" w:eastAsia="宋体" w:cs="宋体"/>
          <w:color w:val="auto"/>
          <w:sz w:val="24"/>
          <w:szCs w:val="24"/>
          <w:highlight w:val="none"/>
        </w:rPr>
        <w:t>条至第</w:t>
      </w:r>
      <w:r>
        <w:rPr>
          <w:rFonts w:hint="eastAsia" w:ascii="宋体" w:hAnsi="宋体" w:eastAsia="宋体" w:cs="宋体"/>
          <w:color w:val="auto"/>
          <w:spacing w:val="-46"/>
          <w:sz w:val="24"/>
          <w:szCs w:val="24"/>
          <w:highlight w:val="none"/>
        </w:rPr>
        <w:t xml:space="preserve"> </w:t>
      </w:r>
      <w:r>
        <w:rPr>
          <w:rFonts w:hint="eastAsia" w:ascii="宋体" w:hAnsi="宋体" w:eastAsia="宋体" w:cs="宋体"/>
          <w:b/>
          <w:bCs/>
          <w:color w:val="auto"/>
          <w:sz w:val="24"/>
          <w:szCs w:val="24"/>
          <w:highlight w:val="none"/>
        </w:rPr>
        <w:t>4</w:t>
      </w:r>
      <w:r>
        <w:rPr>
          <w:rFonts w:hint="eastAsia" w:ascii="宋体" w:hAnsi="宋体" w:eastAsia="宋体" w:cs="宋体"/>
          <w:color w:val="auto"/>
          <w:sz w:val="24"/>
          <w:szCs w:val="24"/>
          <w:highlight w:val="none"/>
        </w:rPr>
        <w:t>条中集中列示。投标人有其中所列任何一种情形的，由评标委员会否决其</w:t>
      </w:r>
      <w:r>
        <w:rPr>
          <w:rFonts w:hint="eastAsia" w:ascii="宋体" w:hAnsi="宋体" w:eastAsia="宋体" w:cs="宋体"/>
          <w:color w:val="auto"/>
          <w:spacing w:val="-1"/>
          <w:sz w:val="24"/>
          <w:szCs w:val="24"/>
          <w:highlight w:val="none"/>
        </w:rPr>
        <w:t>投标。在初步评审阶段任何环节被否决的投标人，不进入下一环</w:t>
      </w:r>
      <w:r>
        <w:rPr>
          <w:rFonts w:hint="eastAsia" w:ascii="宋体" w:hAnsi="宋体" w:eastAsia="宋体" w:cs="宋体"/>
          <w:color w:val="auto"/>
          <w:spacing w:val="-2"/>
          <w:sz w:val="24"/>
          <w:szCs w:val="24"/>
          <w:highlight w:val="none"/>
        </w:rPr>
        <w:t>节（或阶段）评审。</w:t>
      </w:r>
      <w:r>
        <w:rPr>
          <w:rFonts w:hint="eastAsia" w:ascii="宋体" w:hAnsi="宋体" w:eastAsia="宋体" w:cs="宋体"/>
          <w:color w:val="auto"/>
          <w:spacing w:val="-1"/>
          <w:sz w:val="24"/>
          <w:szCs w:val="24"/>
          <w:highlight w:val="none"/>
        </w:rPr>
        <w:t>在初步评审阶段任何环节。</w:t>
      </w:r>
      <w:r>
        <w:rPr>
          <w:rFonts w:hint="eastAsia" w:ascii="宋体" w:hAnsi="宋体" w:eastAsia="宋体" w:cs="宋体"/>
          <w:color w:val="auto"/>
          <w:sz w:val="24"/>
          <w:szCs w:val="24"/>
          <w:highlight w:val="none"/>
        </w:rPr>
        <w:t>评标委员会经评审，认为所有投标都不符合招标文件要求的，可否决所有投标，项目的所有投标被否决的，招标人应依法重新组织招标。</w:t>
      </w:r>
    </w:p>
    <w:p w14:paraId="4AB68C11">
      <w:pPr>
        <w:spacing w:before="78" w:line="221" w:lineRule="auto"/>
        <w:ind w:left="577"/>
        <w:rPr>
          <w:rFonts w:hint="eastAsia" w:ascii="宋体" w:hAnsi="宋体" w:eastAsia="宋体" w:cs="宋体"/>
          <w:color w:val="auto"/>
          <w:sz w:val="24"/>
          <w:szCs w:val="24"/>
          <w:highlight w:val="none"/>
        </w:rPr>
      </w:pPr>
      <w:r>
        <w:rPr>
          <w:rFonts w:hint="eastAsia" w:ascii="宋体" w:hAnsi="宋体" w:eastAsia="宋体" w:cs="宋体"/>
          <w:color w:val="auto"/>
          <w:highlight w:val="none"/>
        </w:rPr>
        <w:drawing>
          <wp:anchor distT="0" distB="0" distL="114300" distR="114300" simplePos="0" relativeHeight="251661312" behindDoc="1" locked="0" layoutInCell="1" allowOverlap="1">
            <wp:simplePos x="0" y="0"/>
            <wp:positionH relativeFrom="column">
              <wp:posOffset>4789170</wp:posOffset>
            </wp:positionH>
            <wp:positionV relativeFrom="paragraph">
              <wp:posOffset>236220</wp:posOffset>
            </wp:positionV>
            <wp:extent cx="6350" cy="279400"/>
            <wp:effectExtent l="0" t="0" r="0" b="0"/>
            <wp:wrapNone/>
            <wp:docPr id="31" name="IM 46"/>
            <wp:cNvGraphicFramePr/>
            <a:graphic xmlns:a="http://schemas.openxmlformats.org/drawingml/2006/main">
              <a:graphicData uri="http://schemas.openxmlformats.org/drawingml/2006/picture">
                <pic:pic xmlns:pic="http://schemas.openxmlformats.org/drawingml/2006/picture">
                  <pic:nvPicPr>
                    <pic:cNvPr id="31" name="IM 46"/>
                    <pic:cNvPicPr/>
                  </pic:nvPicPr>
                  <pic:blipFill>
                    <a:blip r:embed="rId28"/>
                    <a:stretch>
                      <a:fillRect/>
                    </a:stretch>
                  </pic:blipFill>
                  <pic:spPr>
                    <a:xfrm>
                      <a:off x="0" y="0"/>
                      <a:ext cx="6350" cy="279400"/>
                    </a:xfrm>
                    <a:prstGeom prst="rect">
                      <a:avLst/>
                    </a:prstGeom>
                    <a:noFill/>
                    <a:ln>
                      <a:noFill/>
                    </a:ln>
                  </pic:spPr>
                </pic:pic>
              </a:graphicData>
            </a:graphic>
          </wp:anchor>
        </w:drawing>
      </w:r>
      <w:bookmarkStart w:id="108" w:name="bookmark128"/>
      <w:bookmarkEnd w:id="108"/>
      <w:r>
        <w:rPr>
          <w:rFonts w:hint="eastAsia" w:ascii="宋体" w:hAnsi="宋体" w:eastAsia="宋体" w:cs="宋体"/>
          <w:b/>
          <w:bCs/>
          <w:color w:val="auto"/>
          <w:spacing w:val="-2"/>
          <w:sz w:val="24"/>
          <w:szCs w:val="24"/>
          <w:highlight w:val="none"/>
        </w:rPr>
        <w:t>1</w:t>
      </w:r>
      <w:r>
        <w:rPr>
          <w:rFonts w:hint="eastAsia" w:ascii="宋体" w:hAnsi="宋体" w:eastAsia="宋体" w:cs="宋体"/>
          <w:b/>
          <w:bCs/>
          <w:color w:val="auto"/>
          <w:spacing w:val="-2"/>
          <w:sz w:val="24"/>
          <w:szCs w:val="24"/>
          <w:highlight w:val="none"/>
          <w:lang w:val="en-US" w:eastAsia="zh-CN"/>
        </w:rPr>
        <w:t>5</w:t>
      </w:r>
      <w:r>
        <w:rPr>
          <w:rFonts w:hint="eastAsia" w:ascii="宋体" w:hAnsi="宋体" w:eastAsia="宋体" w:cs="宋体"/>
          <w:b/>
          <w:bCs/>
          <w:color w:val="auto"/>
          <w:spacing w:val="-2"/>
          <w:sz w:val="24"/>
          <w:szCs w:val="24"/>
          <w:highlight w:val="none"/>
        </w:rPr>
        <w:t>.</w:t>
      </w:r>
      <w:r>
        <w:rPr>
          <w:rFonts w:hint="eastAsia" w:ascii="宋体" w:hAnsi="宋体" w:eastAsia="宋体" w:cs="宋体"/>
          <w:b/>
          <w:bCs/>
          <w:color w:val="auto"/>
          <w:spacing w:val="-2"/>
          <w:sz w:val="24"/>
          <w:szCs w:val="24"/>
          <w:highlight w:val="none"/>
          <w:lang w:val="en-US" w:eastAsia="zh-CN"/>
        </w:rPr>
        <w:t>6</w:t>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color w:val="auto"/>
          <w:spacing w:val="-2"/>
          <w:sz w:val="24"/>
          <w:szCs w:val="24"/>
          <w:highlight w:val="none"/>
        </w:rPr>
        <w:t>详细评审阶段</w:t>
      </w:r>
    </w:p>
    <w:p w14:paraId="21AA4981">
      <w:pPr>
        <w:spacing w:before="81" w:line="211" w:lineRule="auto"/>
        <w:ind w:left="498"/>
        <w:outlineLvl w:val="9"/>
        <w:rPr>
          <w:rFonts w:hint="eastAsia" w:ascii="宋体" w:hAnsi="宋体" w:eastAsia="宋体" w:cs="宋体"/>
          <w:color w:val="auto"/>
          <w:sz w:val="25"/>
          <w:szCs w:val="25"/>
          <w:highlight w:val="none"/>
        </w:rPr>
      </w:pPr>
      <w:bookmarkStart w:id="109" w:name="_Toc10503"/>
      <w:bookmarkStart w:id="110" w:name="_Toc28572"/>
      <w:bookmarkStart w:id="111" w:name="_Toc14991"/>
      <w:bookmarkStart w:id="112" w:name="_Toc4119"/>
      <w:r>
        <w:rPr>
          <w:rFonts w:hint="eastAsia" w:ascii="宋体" w:hAnsi="宋体" w:eastAsia="宋体" w:cs="宋体"/>
          <w:b/>
          <w:bCs/>
          <w:color w:val="auto"/>
          <w:spacing w:val="-3"/>
          <w:sz w:val="24"/>
          <w:szCs w:val="24"/>
          <w:highlight w:val="none"/>
          <w:lang w:val="en-US" w:eastAsia="zh-CN"/>
        </w:rPr>
        <w:t>15</w:t>
      </w:r>
      <w:r>
        <w:rPr>
          <w:rFonts w:hint="eastAsia" w:ascii="宋体" w:hAnsi="宋体" w:eastAsia="宋体" w:cs="宋体"/>
          <w:b/>
          <w:bCs/>
          <w:color w:val="auto"/>
          <w:spacing w:val="-3"/>
          <w:sz w:val="24"/>
          <w:szCs w:val="24"/>
          <w:highlight w:val="none"/>
        </w:rPr>
        <w:t>.</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.1  </w:t>
      </w:r>
      <w:r>
        <w:rPr>
          <w:rFonts w:hint="eastAsia" w:ascii="宋体" w:hAnsi="宋体" w:eastAsia="宋体" w:cs="宋体"/>
          <w:color w:val="auto"/>
          <w:spacing w:val="-3"/>
          <w:sz w:val="24"/>
          <w:szCs w:val="24"/>
          <w:highlight w:val="none"/>
        </w:rPr>
        <w:t>“综合评估法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”评审程序</w:t>
      </w:r>
      <w:bookmarkEnd w:id="109"/>
      <w:bookmarkEnd w:id="110"/>
      <w:bookmarkEnd w:id="111"/>
      <w:bookmarkEnd w:id="112"/>
    </w:p>
    <w:p w14:paraId="5801B40B">
      <w:pPr>
        <w:spacing w:before="152" w:line="329" w:lineRule="auto"/>
        <w:ind w:left="14" w:right="81" w:firstLine="47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评审内容分为商务技术和投标报价两大部分。其中，商</w:t>
      </w:r>
      <w:r>
        <w:rPr>
          <w:rFonts w:hint="eastAsia" w:ascii="宋体" w:hAnsi="宋体" w:eastAsia="宋体" w:cs="宋体"/>
          <w:color w:val="auto"/>
          <w:spacing w:val="-2"/>
          <w:sz w:val="24"/>
          <w:szCs w:val="24"/>
          <w:highlight w:val="none"/>
        </w:rPr>
        <w:t>务技术合计满分</w:t>
      </w:r>
      <w:r>
        <w:rPr>
          <w:rFonts w:hint="eastAsia" w:ascii="宋体" w:hAnsi="宋体" w:eastAsia="宋体" w:cs="宋体"/>
          <w:color w:val="auto"/>
          <w:spacing w:val="-2"/>
          <w:sz w:val="24"/>
          <w:szCs w:val="24"/>
          <w:highlight w:val="none"/>
          <w:lang w:eastAsia="zh-CN"/>
        </w:rPr>
        <w:t>100</w:t>
      </w:r>
      <w:r>
        <w:rPr>
          <w:rFonts w:hint="eastAsia" w:ascii="宋体" w:hAnsi="宋体" w:eastAsia="宋体" w:cs="宋体"/>
          <w:color w:val="auto"/>
          <w:spacing w:val="-2"/>
          <w:sz w:val="24"/>
          <w:szCs w:val="24"/>
          <w:highlight w:val="none"/>
        </w:rPr>
        <w:t>分，权重</w:t>
      </w:r>
      <w:r>
        <w:rPr>
          <w:rFonts w:hint="eastAsia" w:ascii="宋体" w:hAnsi="宋体" w:eastAsia="宋体" w:cs="宋体"/>
          <w:color w:val="auto"/>
          <w:spacing w:val="-3"/>
          <w:sz w:val="24"/>
          <w:szCs w:val="24"/>
          <w:highlight w:val="none"/>
        </w:rPr>
        <w:t>为</w:t>
      </w:r>
      <w:r>
        <w:rPr>
          <w:rFonts w:hint="eastAsia" w:ascii="宋体" w:hAnsi="宋体" w:eastAsia="宋体" w:cs="宋体"/>
          <w:color w:val="auto"/>
          <w:spacing w:val="-3"/>
          <w:sz w:val="24"/>
          <w:szCs w:val="24"/>
          <w:highlight w:val="none"/>
          <w:lang w:eastAsia="zh-CN"/>
        </w:rPr>
        <w:t>40</w:t>
      </w:r>
      <w:r>
        <w:rPr>
          <w:rFonts w:hint="eastAsia" w:ascii="宋体" w:hAnsi="宋体" w:eastAsia="宋体" w:cs="宋体"/>
          <w:color w:val="auto"/>
          <w:spacing w:val="-3"/>
          <w:sz w:val="24"/>
          <w:szCs w:val="24"/>
          <w:highlight w:val="none"/>
        </w:rPr>
        <w:t>%；投标报价满分</w:t>
      </w:r>
      <w:r>
        <w:rPr>
          <w:rFonts w:hint="eastAsia" w:ascii="宋体" w:hAnsi="宋体" w:eastAsia="宋体" w:cs="宋体"/>
          <w:color w:val="auto"/>
          <w:spacing w:val="-30"/>
          <w:sz w:val="24"/>
          <w:szCs w:val="24"/>
          <w:highlight w:val="none"/>
        </w:rPr>
        <w:t xml:space="preserve"> </w:t>
      </w:r>
      <w:r>
        <w:rPr>
          <w:rFonts w:hint="eastAsia" w:ascii="宋体" w:hAnsi="宋体" w:eastAsia="宋体" w:cs="宋体"/>
          <w:color w:val="auto"/>
          <w:spacing w:val="-3"/>
          <w:sz w:val="24"/>
          <w:szCs w:val="24"/>
          <w:highlight w:val="none"/>
        </w:rPr>
        <w:t>100 分，权重为</w:t>
      </w:r>
      <w:r>
        <w:rPr>
          <w:rFonts w:hint="eastAsia" w:ascii="宋体" w:hAnsi="宋体" w:eastAsia="宋体" w:cs="宋体"/>
          <w:color w:val="auto"/>
          <w:spacing w:val="-3"/>
          <w:sz w:val="24"/>
          <w:szCs w:val="24"/>
          <w:highlight w:val="none"/>
          <w:lang w:eastAsia="zh-CN"/>
        </w:rPr>
        <w:t>60</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。两大部分权重之和应为</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3"/>
          <w:sz w:val="24"/>
          <w:szCs w:val="24"/>
          <w:highlight w:val="none"/>
        </w:rPr>
        <w:t>100%。</w:t>
      </w:r>
    </w:p>
    <w:p w14:paraId="7F93F86E">
      <w:pPr>
        <w:spacing w:before="153" w:line="324" w:lineRule="auto"/>
        <w:ind w:left="14"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除特别注明外，综合得分以及商务技术得分、投标报价得分的中间过程计算值和</w:t>
      </w:r>
      <w:r>
        <w:rPr>
          <w:rFonts w:hint="eastAsia" w:ascii="宋体" w:hAnsi="宋体" w:eastAsia="宋体" w:cs="宋体"/>
          <w:color w:val="auto"/>
          <w:spacing w:val="-4"/>
          <w:sz w:val="24"/>
          <w:szCs w:val="24"/>
          <w:highlight w:val="none"/>
        </w:rPr>
        <w:t>最终值，均按“</w:t>
      </w:r>
      <w:r>
        <w:rPr>
          <w:rFonts w:hint="eastAsia" w:ascii="宋体" w:hAnsi="宋体" w:eastAsia="宋体" w:cs="宋体"/>
          <w:color w:val="auto"/>
          <w:spacing w:val="-78"/>
          <w:sz w:val="24"/>
          <w:szCs w:val="24"/>
          <w:highlight w:val="none"/>
        </w:rPr>
        <w:t xml:space="preserve"> </w:t>
      </w:r>
      <w:r>
        <w:rPr>
          <w:rFonts w:hint="eastAsia" w:ascii="宋体" w:hAnsi="宋体" w:eastAsia="宋体" w:cs="宋体"/>
          <w:color w:val="auto"/>
          <w:spacing w:val="-4"/>
          <w:sz w:val="24"/>
          <w:szCs w:val="24"/>
          <w:highlight w:val="none"/>
        </w:rPr>
        <w:t>四舍五入</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”原则精确到两位小数。</w:t>
      </w:r>
    </w:p>
    <w:p w14:paraId="1F4AF271">
      <w:pPr>
        <w:spacing w:before="38" w:line="220" w:lineRule="auto"/>
        <w:ind w:left="503"/>
        <w:outlineLvl w:val="9"/>
        <w:rPr>
          <w:rFonts w:hint="eastAsia" w:ascii="宋体" w:hAnsi="宋体" w:eastAsia="宋体" w:cs="宋体"/>
          <w:color w:val="auto"/>
          <w:sz w:val="24"/>
          <w:szCs w:val="24"/>
          <w:highlight w:val="none"/>
        </w:rPr>
      </w:pPr>
      <w:bookmarkStart w:id="113" w:name="_Toc18029"/>
      <w:bookmarkStart w:id="114" w:name="_Toc17510"/>
      <w:bookmarkStart w:id="115" w:name="_Toc10398"/>
      <w:bookmarkStart w:id="116" w:name="_Toc22949"/>
      <w:r>
        <w:rPr>
          <w:rFonts w:hint="eastAsia" w:ascii="宋体" w:hAnsi="宋体" w:eastAsia="宋体" w:cs="宋体"/>
          <w:color w:val="auto"/>
          <w:spacing w:val="-3"/>
          <w:sz w:val="24"/>
          <w:szCs w:val="24"/>
          <w:highlight w:val="none"/>
        </w:rPr>
        <w:t>（1）商务技术得分</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M</w:t>
      </w:r>
      <w:bookmarkEnd w:id="113"/>
      <w:bookmarkEnd w:id="114"/>
      <w:bookmarkEnd w:id="115"/>
      <w:bookmarkEnd w:id="116"/>
    </w:p>
    <w:p w14:paraId="392026E4">
      <w:pPr>
        <w:spacing w:before="153" w:line="279" w:lineRule="auto"/>
        <w:ind w:left="15" w:right="81"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color w:val="auto"/>
          <w:spacing w:val="1"/>
          <w:sz w:val="24"/>
          <w:szCs w:val="24"/>
          <w:highlight w:val="none"/>
        </w:rPr>
        <w:t>．评标委员会按照《综合评分表》商务部分指定的评分标准对各评分因素进行</w:t>
      </w:r>
      <w:r>
        <w:rPr>
          <w:rFonts w:hint="eastAsia" w:ascii="宋体" w:hAnsi="宋体" w:eastAsia="宋体" w:cs="宋体"/>
          <w:color w:val="auto"/>
          <w:spacing w:val="-1"/>
          <w:sz w:val="24"/>
          <w:szCs w:val="24"/>
          <w:highlight w:val="none"/>
        </w:rPr>
        <w:t>打分。各评分因素得分之和即为某投标人的商务得分</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
          <w:sz w:val="24"/>
          <w:szCs w:val="24"/>
          <w:highlight w:val="none"/>
        </w:rPr>
        <w:t>。</w:t>
      </w:r>
    </w:p>
    <w:p w14:paraId="2881815B">
      <w:pPr>
        <w:spacing w:before="154" w:line="299" w:lineRule="auto"/>
        <w:ind w:left="12" w:right="8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b</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
          <w:sz w:val="24"/>
          <w:szCs w:val="24"/>
          <w:highlight w:val="none"/>
        </w:rPr>
        <w:t>．评标委员会各成员独立按照《综合评分表》技术部分（施工组织设</w:t>
      </w:r>
      <w:r>
        <w:rPr>
          <w:rFonts w:hint="eastAsia" w:ascii="宋体" w:hAnsi="宋体" w:eastAsia="宋体" w:cs="宋体"/>
          <w:color w:val="auto"/>
          <w:sz w:val="24"/>
          <w:szCs w:val="24"/>
          <w:highlight w:val="none"/>
        </w:rPr>
        <w:t>计）指定</w:t>
      </w:r>
      <w:r>
        <w:rPr>
          <w:rFonts w:hint="eastAsia" w:ascii="宋体" w:hAnsi="宋体" w:eastAsia="宋体" w:cs="宋体"/>
          <w:color w:val="auto"/>
          <w:spacing w:val="-1"/>
          <w:sz w:val="24"/>
          <w:szCs w:val="24"/>
          <w:highlight w:val="none"/>
        </w:rPr>
        <w:t>的评分标准对各评分因素进行打分，累加后得出技术评分。</w:t>
      </w:r>
      <w:r>
        <w:rPr>
          <w:rFonts w:hint="eastAsia" w:ascii="宋体" w:hAnsi="宋体" w:eastAsia="宋体" w:cs="宋体"/>
          <w:color w:val="auto"/>
          <w:spacing w:val="-2"/>
          <w:sz w:val="24"/>
          <w:szCs w:val="24"/>
          <w:highlight w:val="none"/>
        </w:rPr>
        <w:t>将评标委员会所有成员的</w:t>
      </w:r>
      <w:r>
        <w:rPr>
          <w:rFonts w:hint="eastAsia" w:ascii="宋体" w:hAnsi="宋体" w:eastAsia="宋体" w:cs="宋体"/>
          <w:color w:val="auto"/>
          <w:sz w:val="24"/>
          <w:szCs w:val="24"/>
          <w:highlight w:val="none"/>
        </w:rPr>
        <w:t>技术评分去掉最高分和最低分后，取算术平均值，即</w:t>
      </w:r>
      <w:r>
        <w:rPr>
          <w:rFonts w:hint="eastAsia" w:ascii="宋体" w:hAnsi="宋体" w:eastAsia="宋体" w:cs="宋体"/>
          <w:color w:val="auto"/>
          <w:spacing w:val="-1"/>
          <w:sz w:val="24"/>
          <w:szCs w:val="24"/>
          <w:highlight w:val="none"/>
        </w:rPr>
        <w:t>为某投标人的技术得分</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1"/>
          <w:sz w:val="24"/>
          <w:szCs w:val="24"/>
          <w:highlight w:val="none"/>
        </w:rPr>
        <w:t>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
          <w:sz w:val="24"/>
          <w:szCs w:val="24"/>
          <w:highlight w:val="none"/>
        </w:rPr>
        <w:t>。</w:t>
      </w:r>
    </w:p>
    <w:p w14:paraId="16A785CF">
      <w:pPr>
        <w:spacing w:before="155" w:line="231" w:lineRule="auto"/>
        <w:ind w:left="491"/>
        <w:rPr>
          <w:rFonts w:hint="eastAsia" w:ascii="宋体" w:hAnsi="宋体" w:eastAsia="宋体" w:cs="宋体"/>
          <w:color w:val="auto"/>
          <w:sz w:val="15"/>
          <w:szCs w:val="15"/>
          <w:highlight w:val="none"/>
        </w:rPr>
      </w:pPr>
      <w:r>
        <w:rPr>
          <w:rFonts w:hint="eastAsia" w:ascii="宋体" w:hAnsi="宋体" w:eastAsia="宋体" w:cs="宋体"/>
          <w:b/>
          <w:bCs/>
          <w:color w:val="auto"/>
          <w:spacing w:val="-12"/>
          <w:sz w:val="24"/>
          <w:szCs w:val="24"/>
          <w:highlight w:val="none"/>
        </w:rPr>
        <w:t>c</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12"/>
          <w:sz w:val="24"/>
          <w:szCs w:val="24"/>
          <w:highlight w:val="none"/>
        </w:rPr>
        <w:t>＝M</w:t>
      </w:r>
      <w:r>
        <w:rPr>
          <w:rFonts w:hint="eastAsia" w:ascii="宋体" w:hAnsi="宋体" w:eastAsia="宋体" w:cs="宋体"/>
          <w:color w:val="auto"/>
          <w:spacing w:val="-12"/>
          <w:position w:val="-1"/>
          <w:sz w:val="15"/>
          <w:szCs w:val="15"/>
          <w:highlight w:val="none"/>
        </w:rPr>
        <w:t>1</w:t>
      </w:r>
      <w:r>
        <w:rPr>
          <w:rFonts w:hint="eastAsia" w:ascii="宋体" w:hAnsi="宋体" w:eastAsia="宋体" w:cs="宋体"/>
          <w:color w:val="auto"/>
          <w:sz w:val="24"/>
          <w:szCs w:val="24"/>
          <w:highlight w:val="none"/>
        </w:rPr>
        <w:t>＋M</w:t>
      </w:r>
      <w:r>
        <w:rPr>
          <w:rFonts w:hint="eastAsia" w:ascii="宋体" w:hAnsi="宋体" w:eastAsia="宋体" w:cs="宋体"/>
          <w:color w:val="auto"/>
          <w:position w:val="-1"/>
          <w:sz w:val="15"/>
          <w:szCs w:val="15"/>
          <w:highlight w:val="none"/>
        </w:rPr>
        <w:t>2</w:t>
      </w:r>
    </w:p>
    <w:p w14:paraId="0A2F9F5C">
      <w:pPr>
        <w:spacing w:before="139" w:line="220" w:lineRule="auto"/>
        <w:ind w:left="49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12"/>
          <w:w w:val="101"/>
          <w:position w:val="-1"/>
          <w:sz w:val="15"/>
          <w:szCs w:val="15"/>
          <w:highlight w:val="none"/>
        </w:rPr>
        <w:t xml:space="preserve"> </w:t>
      </w:r>
      <w:r>
        <w:rPr>
          <w:rFonts w:hint="eastAsia" w:ascii="宋体" w:hAnsi="宋体" w:eastAsia="宋体" w:cs="宋体"/>
          <w:color w:val="auto"/>
          <w:spacing w:val="-1"/>
          <w:sz w:val="24"/>
          <w:szCs w:val="24"/>
          <w:highlight w:val="none"/>
        </w:rPr>
        <w:t>为某投标人的商务得分，M</w:t>
      </w:r>
      <w:r>
        <w:rPr>
          <w:rFonts w:hint="eastAsia" w:ascii="宋体" w:hAnsi="宋体" w:eastAsia="宋体" w:cs="宋体"/>
          <w:color w:val="auto"/>
          <w:spacing w:val="-1"/>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1"/>
          <w:sz w:val="24"/>
          <w:szCs w:val="24"/>
          <w:highlight w:val="none"/>
        </w:rPr>
        <w:t>为某投标人的</w:t>
      </w:r>
      <w:r>
        <w:rPr>
          <w:rFonts w:hint="eastAsia" w:ascii="宋体" w:hAnsi="宋体" w:eastAsia="宋体" w:cs="宋体"/>
          <w:color w:val="auto"/>
          <w:spacing w:val="-2"/>
          <w:sz w:val="24"/>
          <w:szCs w:val="24"/>
          <w:highlight w:val="none"/>
        </w:rPr>
        <w:t>技术得分。</w:t>
      </w:r>
    </w:p>
    <w:p w14:paraId="48783CD0">
      <w:pPr>
        <w:spacing w:before="153" w:line="219" w:lineRule="auto"/>
        <w:ind w:left="503"/>
        <w:outlineLvl w:val="9"/>
        <w:rPr>
          <w:rFonts w:hint="eastAsia" w:ascii="宋体" w:hAnsi="宋体" w:eastAsia="宋体" w:cs="宋体"/>
          <w:color w:val="auto"/>
          <w:sz w:val="24"/>
          <w:szCs w:val="24"/>
          <w:highlight w:val="none"/>
        </w:rPr>
      </w:pPr>
      <w:bookmarkStart w:id="117" w:name="_Toc27609"/>
      <w:bookmarkStart w:id="118" w:name="_Toc16136"/>
      <w:bookmarkStart w:id="119" w:name="_Toc14059"/>
      <w:bookmarkStart w:id="120" w:name="_Toc3958"/>
      <w:r>
        <w:rPr>
          <w:rFonts w:hint="eastAsia" w:ascii="宋体" w:hAnsi="宋体" w:eastAsia="宋体" w:cs="宋体"/>
          <w:color w:val="auto"/>
          <w:spacing w:val="-2"/>
          <w:sz w:val="24"/>
          <w:szCs w:val="24"/>
          <w:highlight w:val="none"/>
        </w:rPr>
        <w:t>（2）投标报价得分</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2"/>
          <w:sz w:val="24"/>
          <w:szCs w:val="24"/>
          <w:highlight w:val="none"/>
        </w:rPr>
        <w:t>N</w:t>
      </w:r>
      <w:bookmarkEnd w:id="117"/>
      <w:bookmarkEnd w:id="118"/>
      <w:bookmarkEnd w:id="119"/>
      <w:bookmarkEnd w:id="120"/>
    </w:p>
    <w:p w14:paraId="32CC3A83">
      <w:pPr>
        <w:spacing w:before="157" w:line="219" w:lineRule="auto"/>
        <w:ind w:firstLine="470" w:firstLineChars="20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a</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color w:val="auto"/>
          <w:spacing w:val="-3"/>
          <w:sz w:val="24"/>
          <w:szCs w:val="24"/>
          <w:highlight w:val="none"/>
        </w:rPr>
        <w:t>．评标委员会按照《综合评分表》投标报价部分指定的方法计</w:t>
      </w:r>
      <w:r>
        <w:rPr>
          <w:rFonts w:hint="eastAsia" w:ascii="宋体" w:hAnsi="宋体" w:eastAsia="宋体" w:cs="宋体"/>
          <w:color w:val="auto"/>
          <w:spacing w:val="-4"/>
          <w:sz w:val="24"/>
          <w:szCs w:val="24"/>
          <w:highlight w:val="none"/>
        </w:rPr>
        <w:t>算评标基准价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pacing w:val="-4"/>
          <w:sz w:val="24"/>
          <w:szCs w:val="24"/>
          <w:highlight w:val="none"/>
        </w:rPr>
        <w:t>D。</w:t>
      </w:r>
    </w:p>
    <w:p w14:paraId="244C81B9">
      <w:pPr>
        <w:spacing w:before="155" w:line="299" w:lineRule="auto"/>
        <w:ind w:left="12" w:right="83"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b</w:t>
      </w:r>
      <w:r>
        <w:rPr>
          <w:rFonts w:hint="eastAsia" w:ascii="宋体" w:hAnsi="宋体" w:eastAsia="宋体" w:cs="宋体"/>
          <w:b/>
          <w:bCs/>
          <w:color w:val="auto"/>
          <w:spacing w:val="-20"/>
          <w:sz w:val="24"/>
          <w:szCs w:val="24"/>
          <w:highlight w:val="none"/>
        </w:rPr>
        <w:t xml:space="preserve"> </w:t>
      </w:r>
      <w:r>
        <w:rPr>
          <w:rFonts w:hint="eastAsia" w:ascii="宋体" w:hAnsi="宋体" w:eastAsia="宋体" w:cs="宋体"/>
          <w:color w:val="auto"/>
          <w:sz w:val="24"/>
          <w:szCs w:val="24"/>
          <w:highlight w:val="none"/>
        </w:rPr>
        <w:t>．采用内插法计算某投标人的投标报价得分</w:t>
      </w:r>
      <w:r>
        <w:rPr>
          <w:rFonts w:hint="eastAsia" w:ascii="宋体" w:hAnsi="宋体" w:eastAsia="宋体" w:cs="宋体"/>
          <w:color w:val="auto"/>
          <w:spacing w:val="-60"/>
          <w:sz w:val="24"/>
          <w:szCs w:val="24"/>
          <w:highlight w:val="none"/>
        </w:rPr>
        <w:t xml:space="preserve"> </w:t>
      </w:r>
      <w:r>
        <w:rPr>
          <w:rFonts w:hint="eastAsia" w:ascii="宋体" w:hAnsi="宋体" w:eastAsia="宋体" w:cs="宋体"/>
          <w:color w:val="auto"/>
          <w:sz w:val="24"/>
          <w:szCs w:val="24"/>
          <w:highlight w:val="none"/>
        </w:rPr>
        <w:t>N</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z w:val="24"/>
          <w:szCs w:val="24"/>
          <w:highlight w:val="none"/>
        </w:rPr>
        <w:t>，即当投标人的投标总价等于评</w:t>
      </w:r>
      <w:r>
        <w:rPr>
          <w:rFonts w:hint="eastAsia" w:ascii="宋体" w:hAnsi="宋体" w:eastAsia="宋体" w:cs="宋体"/>
          <w:color w:val="auto"/>
          <w:spacing w:val="-1"/>
          <w:sz w:val="24"/>
          <w:szCs w:val="24"/>
          <w:highlight w:val="none"/>
        </w:rPr>
        <w:t>标基准价时得</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100分，每高于评标基准价一个百分点扣</w:t>
      </w:r>
      <w:r>
        <w:rPr>
          <w:rFonts w:hint="eastAsia" w:ascii="宋体" w:hAnsi="宋体" w:eastAsia="宋体" w:cs="宋体"/>
          <w:color w:val="auto"/>
          <w:spacing w:val="-44"/>
          <w:sz w:val="24"/>
          <w:szCs w:val="24"/>
          <w:highlight w:val="none"/>
        </w:rPr>
        <w:t xml:space="preserve"> </w:t>
      </w:r>
      <w:r>
        <w:rPr>
          <w:rFonts w:hint="eastAsia" w:ascii="宋体" w:hAnsi="宋体" w:eastAsia="宋体" w:cs="宋体"/>
          <w:b/>
          <w:bCs/>
          <w:color w:val="auto"/>
          <w:spacing w:val="-1"/>
          <w:sz w:val="24"/>
          <w:szCs w:val="24"/>
          <w:highlight w:val="none"/>
        </w:rPr>
        <w:t xml:space="preserve">1分,  </w:t>
      </w:r>
      <w:r>
        <w:rPr>
          <w:rFonts w:hint="eastAsia" w:ascii="宋体" w:hAnsi="宋体" w:eastAsia="宋体" w:cs="宋体"/>
          <w:color w:val="auto"/>
          <w:spacing w:val="-2"/>
          <w:sz w:val="24"/>
          <w:szCs w:val="24"/>
          <w:highlight w:val="none"/>
        </w:rPr>
        <w:t>每低于评标基准价一个百分点扣</w:t>
      </w:r>
      <w:r>
        <w:rPr>
          <w:rFonts w:hint="eastAsia" w:ascii="宋体" w:hAnsi="宋体" w:eastAsia="宋体" w:cs="宋体"/>
          <w:color w:val="auto"/>
          <w:spacing w:val="-34"/>
          <w:sz w:val="24"/>
          <w:szCs w:val="24"/>
          <w:highlight w:val="none"/>
        </w:rPr>
        <w:t xml:space="preserve"> </w:t>
      </w:r>
      <w:r>
        <w:rPr>
          <w:rFonts w:hint="eastAsia" w:ascii="宋体" w:hAnsi="宋体" w:eastAsia="宋体" w:cs="宋体"/>
          <w:b/>
          <w:bCs/>
          <w:color w:val="auto"/>
          <w:spacing w:val="-2"/>
          <w:sz w:val="24"/>
          <w:szCs w:val="24"/>
          <w:highlight w:val="none"/>
        </w:rPr>
        <w:t>0.5 分</w:t>
      </w:r>
      <w:r>
        <w:rPr>
          <w:rFonts w:hint="eastAsia" w:ascii="宋体" w:hAnsi="宋体" w:eastAsia="宋体" w:cs="宋体"/>
          <w:color w:val="auto"/>
          <w:spacing w:val="-2"/>
          <w:sz w:val="24"/>
          <w:szCs w:val="24"/>
          <w:highlight w:val="none"/>
        </w:rPr>
        <w:t>，扣完为止。公式如下：</w:t>
      </w:r>
    </w:p>
    <w:p w14:paraId="7BBB0CF5">
      <w:pPr>
        <w:spacing w:before="118" w:line="333" w:lineRule="exact"/>
        <w:ind w:left="2418"/>
        <w:rPr>
          <w:rFonts w:hint="eastAsia" w:ascii="宋体" w:hAnsi="宋体" w:eastAsia="宋体" w:cs="宋体"/>
          <w:color w:val="auto"/>
          <w:sz w:val="24"/>
          <w:szCs w:val="24"/>
          <w:highlight w:val="none"/>
        </w:rPr>
      </w:pPr>
      <w:r>
        <w:rPr>
          <w:rFonts w:hint="eastAsia" w:ascii="宋体" w:hAnsi="宋体" w:eastAsia="宋体" w:cs="宋体"/>
          <w:color w:val="auto"/>
          <w:spacing w:val="-6"/>
          <w:position w:val="3"/>
          <w:sz w:val="24"/>
          <w:szCs w:val="24"/>
          <w:highlight w:val="none"/>
        </w:rPr>
        <w:t>N</w:t>
      </w:r>
      <w:r>
        <w:rPr>
          <w:rFonts w:hint="eastAsia" w:ascii="宋体" w:hAnsi="宋体" w:eastAsia="宋体" w:cs="宋体"/>
          <w:color w:val="auto"/>
          <w:spacing w:val="-27"/>
          <w:position w:val="3"/>
          <w:sz w:val="24"/>
          <w:szCs w:val="24"/>
          <w:highlight w:val="none"/>
        </w:rPr>
        <w:t xml:space="preserve"> </w:t>
      </w:r>
      <w:r>
        <w:rPr>
          <w:rFonts w:hint="eastAsia" w:ascii="宋体" w:hAnsi="宋体" w:eastAsia="宋体" w:cs="宋体"/>
          <w:color w:val="auto"/>
          <w:spacing w:val="-6"/>
          <w:position w:val="3"/>
          <w:sz w:val="24"/>
          <w:szCs w:val="24"/>
          <w:highlight w:val="none"/>
        </w:rPr>
        <w:t>＝100</w:t>
      </w:r>
      <w:r>
        <w:rPr>
          <w:rFonts w:hint="eastAsia" w:ascii="宋体" w:hAnsi="宋体" w:eastAsia="宋体" w:cs="宋体"/>
          <w:color w:val="auto"/>
          <w:spacing w:val="-12"/>
          <w:position w:val="3"/>
          <w:sz w:val="24"/>
          <w:szCs w:val="24"/>
          <w:highlight w:val="none"/>
        </w:rPr>
        <w:t>－（</w:t>
      </w:r>
      <w:r>
        <w:rPr>
          <w:rFonts w:hint="eastAsia" w:ascii="宋体" w:hAnsi="宋体" w:eastAsia="宋体" w:cs="宋体"/>
          <w:color w:val="auto"/>
          <w:spacing w:val="-6"/>
          <w:position w:val="3"/>
          <w:sz w:val="24"/>
          <w:szCs w:val="24"/>
          <w:highlight w:val="none"/>
        </w:rPr>
        <w:t>|  Di－D</w:t>
      </w:r>
      <w:r>
        <w:rPr>
          <w:rFonts w:hint="eastAsia" w:ascii="宋体" w:hAnsi="宋体" w:eastAsia="宋体" w:cs="宋体"/>
          <w:color w:val="auto"/>
          <w:spacing w:val="9"/>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17"/>
          <w:position w:val="3"/>
          <w:sz w:val="24"/>
          <w:szCs w:val="24"/>
          <w:highlight w:val="none"/>
        </w:rPr>
        <w:t xml:space="preserve">  </w:t>
      </w:r>
      <w:r>
        <w:rPr>
          <w:rFonts w:hint="eastAsia" w:ascii="宋体" w:hAnsi="宋体" w:eastAsia="宋体" w:cs="宋体"/>
          <w:color w:val="auto"/>
          <w:spacing w:val="-6"/>
          <w:position w:val="3"/>
          <w:sz w:val="24"/>
          <w:szCs w:val="24"/>
          <w:highlight w:val="none"/>
        </w:rPr>
        <w:t>÷D）</w:t>
      </w:r>
      <w:r>
        <w:rPr>
          <w:rFonts w:hint="eastAsia" w:ascii="宋体" w:hAnsi="宋体" w:eastAsia="宋体" w:cs="宋体"/>
          <w:color w:val="auto"/>
          <w:spacing w:val="-75"/>
          <w:position w:val="3"/>
          <w:sz w:val="24"/>
          <w:szCs w:val="24"/>
          <w:highlight w:val="none"/>
        </w:rPr>
        <w:t xml:space="preserve"> </w:t>
      </w:r>
      <w:r>
        <w:rPr>
          <w:rFonts w:hint="eastAsia" w:ascii="宋体" w:hAnsi="宋体" w:eastAsia="宋体" w:cs="宋体"/>
          <w:color w:val="auto"/>
          <w:spacing w:val="-6"/>
          <w:position w:val="3"/>
          <w:sz w:val="24"/>
          <w:szCs w:val="24"/>
          <w:highlight w:val="none"/>
        </w:rPr>
        <w:t>×</w:t>
      </w:r>
      <w:r>
        <w:rPr>
          <w:rFonts w:hint="eastAsia" w:ascii="宋体" w:hAnsi="宋体" w:eastAsia="宋体" w:cs="宋体"/>
          <w:color w:val="auto"/>
          <w:spacing w:val="-92"/>
          <w:position w:val="3"/>
          <w:sz w:val="24"/>
          <w:szCs w:val="24"/>
          <w:highlight w:val="none"/>
        </w:rPr>
        <w:t xml:space="preserve"> </w:t>
      </w:r>
      <w:r>
        <w:rPr>
          <w:rFonts w:hint="eastAsia" w:ascii="宋体" w:hAnsi="宋体" w:eastAsia="宋体" w:cs="宋体"/>
          <w:color w:val="auto"/>
          <w:spacing w:val="-6"/>
          <w:position w:val="3"/>
          <w:sz w:val="24"/>
          <w:szCs w:val="24"/>
          <w:highlight w:val="none"/>
        </w:rPr>
        <w:t>100×E</w:t>
      </w:r>
    </w:p>
    <w:p w14:paraId="2D2C5A9B">
      <w:pPr>
        <w:spacing w:before="106" w:line="316" w:lineRule="auto"/>
        <w:ind w:left="7" w:right="17" w:firstLine="489"/>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式中：D 为评标基准价；Di</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为某投标人的投标总价；E</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为扣分因子，当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9"/>
          <w:sz w:val="24"/>
          <w:szCs w:val="24"/>
          <w:highlight w:val="none"/>
        </w:rPr>
        <w:t>Di＞D</w:t>
      </w:r>
      <w:r>
        <w:rPr>
          <w:rFonts w:hint="eastAsia" w:ascii="宋体" w:hAnsi="宋体" w:eastAsia="宋体" w:cs="宋体"/>
          <w:color w:val="auto"/>
          <w:spacing w:val="22"/>
          <w:w w:val="101"/>
          <w:sz w:val="24"/>
          <w:szCs w:val="24"/>
          <w:highlight w:val="none"/>
        </w:rPr>
        <w:t xml:space="preserve"> </w:t>
      </w:r>
      <w:r>
        <w:rPr>
          <w:rFonts w:hint="eastAsia" w:ascii="宋体" w:hAnsi="宋体" w:eastAsia="宋体" w:cs="宋体"/>
          <w:color w:val="auto"/>
          <w:spacing w:val="-10"/>
          <w:sz w:val="24"/>
          <w:szCs w:val="24"/>
          <w:highlight w:val="none"/>
        </w:rPr>
        <w:t>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E</w:t>
      </w:r>
      <w:r>
        <w:rPr>
          <w:rFonts w:hint="eastAsia" w:ascii="宋体" w:hAnsi="宋体" w:eastAsia="宋体" w:cs="宋体"/>
          <w:color w:val="auto"/>
          <w:spacing w:val="-24"/>
          <w:sz w:val="24"/>
          <w:szCs w:val="24"/>
          <w:highlight w:val="none"/>
        </w:rPr>
        <w:t xml:space="preserve"> </w:t>
      </w:r>
      <w:r>
        <w:rPr>
          <w:rFonts w:hint="eastAsia" w:ascii="宋体" w:hAnsi="宋体" w:eastAsia="宋体" w:cs="宋体"/>
          <w:color w:val="auto"/>
          <w:spacing w:val="-8"/>
          <w:sz w:val="24"/>
          <w:szCs w:val="24"/>
          <w:highlight w:val="none"/>
        </w:rPr>
        <w:t>＝</w:t>
      </w:r>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30"/>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8"/>
          <w:sz w:val="24"/>
          <w:szCs w:val="24"/>
          <w:highlight w:val="none"/>
        </w:rPr>
        <w:t>当</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8"/>
          <w:sz w:val="24"/>
          <w:szCs w:val="24"/>
          <w:highlight w:val="none"/>
        </w:rPr>
        <w:t>Di＜D</w:t>
      </w:r>
      <w:r>
        <w:rPr>
          <w:rFonts w:hint="eastAsia" w:ascii="宋体" w:hAnsi="宋体" w:eastAsia="宋体" w:cs="宋体"/>
          <w:color w:val="auto"/>
          <w:spacing w:val="20"/>
          <w:w w:val="101"/>
          <w:sz w:val="24"/>
          <w:szCs w:val="24"/>
          <w:highlight w:val="none"/>
        </w:rPr>
        <w:t xml:space="preserve"> </w:t>
      </w:r>
      <w:r>
        <w:rPr>
          <w:rFonts w:hint="eastAsia" w:ascii="宋体" w:hAnsi="宋体" w:eastAsia="宋体" w:cs="宋体"/>
          <w:color w:val="auto"/>
          <w:spacing w:val="-8"/>
          <w:sz w:val="24"/>
          <w:szCs w:val="24"/>
          <w:highlight w:val="none"/>
        </w:rPr>
        <w:t>时，E</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w:t>
      </w:r>
      <w:r>
        <w:rPr>
          <w:rFonts w:hint="eastAsia" w:ascii="宋体" w:hAnsi="宋体" w:eastAsia="宋体" w:cs="宋体"/>
          <w:color w:val="auto"/>
          <w:spacing w:val="-9"/>
          <w:sz w:val="24"/>
          <w:szCs w:val="24"/>
          <w:highlight w:val="none"/>
        </w:rPr>
        <w:t>0.5。</w:t>
      </w:r>
    </w:p>
    <w:p w14:paraId="25245EA0">
      <w:pPr>
        <w:spacing w:before="95" w:line="220" w:lineRule="auto"/>
        <w:ind w:left="503"/>
        <w:outlineLvl w:val="9"/>
        <w:rPr>
          <w:rFonts w:hint="eastAsia" w:ascii="宋体" w:hAnsi="宋体" w:eastAsia="宋体" w:cs="宋体"/>
          <w:color w:val="auto"/>
          <w:sz w:val="24"/>
          <w:szCs w:val="24"/>
          <w:highlight w:val="none"/>
        </w:rPr>
      </w:pPr>
      <w:bookmarkStart w:id="121" w:name="_Toc4990"/>
      <w:bookmarkStart w:id="122" w:name="_Toc3861"/>
      <w:bookmarkStart w:id="123" w:name="_Toc576"/>
      <w:bookmarkStart w:id="124" w:name="_Toc7915"/>
      <w:r>
        <w:rPr>
          <w:rFonts w:hint="eastAsia" w:ascii="宋体" w:hAnsi="宋体" w:eastAsia="宋体" w:cs="宋体"/>
          <w:color w:val="auto"/>
          <w:spacing w:val="-3"/>
          <w:sz w:val="24"/>
          <w:szCs w:val="24"/>
          <w:highlight w:val="none"/>
        </w:rPr>
        <w:t>（3）综合得分</w:t>
      </w:r>
      <w:bookmarkEnd w:id="121"/>
      <w:bookmarkEnd w:id="122"/>
      <w:bookmarkEnd w:id="123"/>
      <w:bookmarkEnd w:id="124"/>
    </w:p>
    <w:p w14:paraId="0F362937">
      <w:pPr>
        <w:spacing w:before="153" w:line="220" w:lineRule="auto"/>
        <w:ind w:left="49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综合得分换算为百分制，满分</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2"/>
          <w:sz w:val="24"/>
          <w:szCs w:val="24"/>
          <w:highlight w:val="none"/>
        </w:rPr>
        <w:t>100 分，公式如下：</w:t>
      </w:r>
    </w:p>
    <w:p w14:paraId="0C5D7075">
      <w:pPr>
        <w:spacing w:before="155" w:line="324" w:lineRule="auto"/>
        <w:ind w:left="496" w:right="532" w:hanging="33"/>
        <w:rPr>
          <w:rFonts w:hint="eastAsia" w:ascii="宋体" w:hAnsi="宋体" w:eastAsia="宋体" w:cs="宋体"/>
          <w:color w:val="auto"/>
          <w:spacing w:val="-1"/>
          <w:sz w:val="24"/>
          <w:szCs w:val="24"/>
          <w:highlight w:val="none"/>
        </w:rPr>
      </w:pPr>
      <w:r>
        <w:rPr>
          <w:rFonts w:hint="eastAsia" w:ascii="宋体" w:hAnsi="宋体" w:eastAsia="宋体" w:cs="宋体"/>
          <w:color w:val="auto"/>
          <w:sz w:val="24"/>
          <w:szCs w:val="24"/>
          <w:highlight w:val="none"/>
        </w:rPr>
        <w:t>综合得分＝M÷商务技术合计满分×100</w:t>
      </w:r>
      <w:r>
        <w:rPr>
          <w:rFonts w:hint="eastAsia" w:ascii="宋体" w:hAnsi="宋体" w:eastAsia="宋体" w:cs="宋体"/>
          <w:color w:val="auto"/>
          <w:spacing w:val="-1"/>
          <w:sz w:val="24"/>
          <w:szCs w:val="24"/>
          <w:highlight w:val="none"/>
        </w:rPr>
        <w:t>×商务技术权重＋N×投标报价权重</w:t>
      </w:r>
    </w:p>
    <w:p w14:paraId="22FAA7C0">
      <w:pPr>
        <w:spacing w:before="155" w:line="324" w:lineRule="auto"/>
        <w:ind w:left="496" w:right="532" w:hanging="3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式中：M 为商务技术得分，N 为投标报价得分。</w:t>
      </w:r>
    </w:p>
    <w:p w14:paraId="31F4B4FC">
      <w:pPr>
        <w:spacing w:before="78" w:line="329" w:lineRule="auto"/>
        <w:ind w:left="276" w:right="263" w:hanging="1"/>
        <w:jc w:val="both"/>
        <w:rPr>
          <w:rFonts w:hint="eastAsia" w:ascii="宋体" w:hAnsi="宋体" w:eastAsia="宋体" w:cs="宋体"/>
          <w:b/>
          <w:bCs/>
          <w:color w:val="auto"/>
          <w:spacing w:val="2"/>
          <w:sz w:val="24"/>
          <w:szCs w:val="24"/>
          <w:highlight w:val="none"/>
        </w:rPr>
      </w:pPr>
      <w:bookmarkStart w:id="125" w:name="_Toc2885"/>
      <w:bookmarkStart w:id="126" w:name="_Toc32384"/>
      <w:bookmarkStart w:id="127" w:name="_Toc30671"/>
      <w:bookmarkStart w:id="128" w:name="_Toc25214"/>
      <w:r>
        <w:rPr>
          <w:rFonts w:hint="eastAsia" w:ascii="宋体" w:hAnsi="宋体" w:eastAsia="宋体" w:cs="宋体"/>
          <w:b/>
          <w:bCs/>
          <w:color w:val="auto"/>
          <w:spacing w:val="2"/>
          <w:sz w:val="24"/>
          <w:szCs w:val="24"/>
          <w:highlight w:val="none"/>
        </w:rPr>
        <w:t>（4）</w:t>
      </w:r>
      <w:bookmarkEnd w:id="125"/>
      <w:bookmarkEnd w:id="126"/>
      <w:bookmarkEnd w:id="127"/>
      <w:bookmarkEnd w:id="128"/>
      <w:r>
        <w:rPr>
          <w:rFonts w:hint="eastAsia" w:ascii="宋体" w:hAnsi="宋体" w:eastAsia="宋体" w:cs="宋体"/>
          <w:b/>
          <w:bCs/>
          <w:color w:val="auto"/>
          <w:spacing w:val="2"/>
          <w:sz w:val="24"/>
          <w:szCs w:val="24"/>
          <w:highlight w:val="none"/>
        </w:rPr>
        <w:t>评标委员会根据招标文件规定的评分细则，对招标文件中的各评审因素进行评审、比较、打分，将得分前5名不排序（按企业统一社会信用代码后4位</w:t>
      </w:r>
      <w:r>
        <w:rPr>
          <w:rFonts w:hint="eastAsia" w:ascii="宋体" w:hAnsi="宋体" w:eastAsia="宋体" w:cs="宋体"/>
          <w:b/>
          <w:bCs/>
          <w:color w:val="auto"/>
          <w:spacing w:val="2"/>
          <w:sz w:val="24"/>
          <w:szCs w:val="24"/>
          <w:highlight w:val="none"/>
          <w:lang w:val="en-US" w:eastAsia="zh-CN"/>
        </w:rPr>
        <w:t>由</w:t>
      </w:r>
      <w:r>
        <w:rPr>
          <w:rFonts w:hint="eastAsia" w:ascii="宋体" w:hAnsi="宋体" w:eastAsia="宋体" w:cs="宋体"/>
          <w:b/>
          <w:bCs/>
          <w:color w:val="auto"/>
          <w:spacing w:val="2"/>
          <w:sz w:val="24"/>
          <w:szCs w:val="24"/>
          <w:highlight w:val="none"/>
        </w:rPr>
        <w:t>大</w:t>
      </w:r>
      <w:r>
        <w:rPr>
          <w:rFonts w:hint="eastAsia" w:ascii="宋体" w:hAnsi="宋体" w:eastAsia="宋体" w:cs="宋体"/>
          <w:b/>
          <w:bCs/>
          <w:color w:val="auto"/>
          <w:spacing w:val="2"/>
          <w:sz w:val="24"/>
          <w:szCs w:val="24"/>
          <w:highlight w:val="none"/>
          <w:lang w:val="en-US" w:eastAsia="zh-CN"/>
        </w:rPr>
        <w:t>到</w:t>
      </w:r>
      <w:r>
        <w:rPr>
          <w:rFonts w:hint="eastAsia" w:ascii="宋体" w:hAnsi="宋体" w:eastAsia="宋体" w:cs="宋体"/>
          <w:b/>
          <w:bCs/>
          <w:color w:val="auto"/>
          <w:spacing w:val="2"/>
          <w:sz w:val="24"/>
          <w:szCs w:val="24"/>
          <w:highlight w:val="none"/>
        </w:rPr>
        <w:t>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14:paraId="70C32CE3">
      <w:pPr>
        <w:spacing w:before="78" w:line="329" w:lineRule="auto"/>
        <w:ind w:right="263" w:firstLine="490"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spacing w:val="2"/>
          <w:sz w:val="24"/>
          <w:szCs w:val="24"/>
          <w:highlight w:val="none"/>
        </w:rPr>
        <w:t>定标候选人得分只作为评标委员会的推荐依据，不作为定标委员会对中标候选人排序的依据。当有效投标人数量不足5名但满足法定要求时，所有通过评审的有效投标人均应作为定标候选人。</w:t>
      </w:r>
    </w:p>
    <w:p w14:paraId="018D3E19">
      <w:pPr>
        <w:pStyle w:val="5"/>
        <w:spacing w:line="304" w:lineRule="auto"/>
        <w:rPr>
          <w:rFonts w:hint="eastAsia" w:ascii="宋体" w:hAnsi="宋体" w:eastAsia="宋体" w:cs="宋体"/>
          <w:color w:val="auto"/>
          <w:highlight w:val="none"/>
        </w:rPr>
      </w:pPr>
    </w:p>
    <w:p w14:paraId="2C7B650C">
      <w:pPr>
        <w:rPr>
          <w:rFonts w:hint="eastAsia"/>
          <w:color w:val="auto"/>
          <w:highlight w:val="none"/>
        </w:rPr>
      </w:pPr>
    </w:p>
    <w:p w14:paraId="003265E2">
      <w:pPr>
        <w:pStyle w:val="2"/>
        <w:rPr>
          <w:rFonts w:hint="eastAsia"/>
          <w:color w:val="auto"/>
          <w:highlight w:val="none"/>
        </w:rPr>
      </w:pPr>
    </w:p>
    <w:p w14:paraId="52A60899">
      <w:pPr>
        <w:rPr>
          <w:rFonts w:hint="eastAsia"/>
          <w:color w:val="auto"/>
          <w:highlight w:val="none"/>
        </w:rPr>
      </w:pPr>
    </w:p>
    <w:p w14:paraId="30A664AA">
      <w:pPr>
        <w:pStyle w:val="2"/>
        <w:rPr>
          <w:rFonts w:hint="eastAsia"/>
          <w:color w:val="auto"/>
          <w:highlight w:val="none"/>
        </w:rPr>
      </w:pPr>
    </w:p>
    <w:p w14:paraId="503B13E9">
      <w:pPr>
        <w:rPr>
          <w:rFonts w:hint="eastAsia"/>
          <w:color w:val="auto"/>
          <w:highlight w:val="none"/>
        </w:rPr>
      </w:pPr>
    </w:p>
    <w:p w14:paraId="6AF4536D">
      <w:pPr>
        <w:pStyle w:val="2"/>
        <w:rPr>
          <w:rFonts w:hint="eastAsia"/>
          <w:color w:val="auto"/>
          <w:highlight w:val="none"/>
        </w:rPr>
      </w:pPr>
    </w:p>
    <w:p w14:paraId="2EEAE1CF">
      <w:pPr>
        <w:rPr>
          <w:rFonts w:hint="eastAsia"/>
          <w:color w:val="auto"/>
          <w:highlight w:val="none"/>
        </w:rPr>
      </w:pPr>
    </w:p>
    <w:p w14:paraId="45EE4BFC">
      <w:pPr>
        <w:pStyle w:val="2"/>
        <w:rPr>
          <w:rFonts w:hint="eastAsia"/>
          <w:color w:val="auto"/>
          <w:highlight w:val="none"/>
        </w:rPr>
      </w:pPr>
    </w:p>
    <w:p w14:paraId="6F983CEC">
      <w:pPr>
        <w:rPr>
          <w:rFonts w:hint="eastAsia"/>
          <w:color w:val="auto"/>
          <w:highlight w:val="none"/>
        </w:rPr>
      </w:pPr>
    </w:p>
    <w:p w14:paraId="14332335">
      <w:pPr>
        <w:pStyle w:val="2"/>
        <w:rPr>
          <w:rFonts w:hint="eastAsia"/>
          <w:color w:val="auto"/>
          <w:highlight w:val="none"/>
        </w:rPr>
      </w:pPr>
    </w:p>
    <w:p w14:paraId="76095309">
      <w:pPr>
        <w:rPr>
          <w:rFonts w:hint="eastAsia"/>
          <w:color w:val="auto"/>
          <w:highlight w:val="none"/>
        </w:rPr>
      </w:pPr>
    </w:p>
    <w:p w14:paraId="64D0C39F">
      <w:pPr>
        <w:rPr>
          <w:rFonts w:hint="eastAsia"/>
          <w:color w:val="auto"/>
          <w:highlight w:val="none"/>
        </w:rPr>
      </w:pPr>
    </w:p>
    <w:p w14:paraId="1DAED1C9">
      <w:pPr>
        <w:rPr>
          <w:rFonts w:hint="eastAsia" w:ascii="宋体" w:hAnsi="宋体" w:eastAsia="宋体" w:cs="宋体"/>
          <w:b/>
          <w:bCs/>
          <w:color w:val="auto"/>
          <w:spacing w:val="-6"/>
          <w:sz w:val="30"/>
          <w:szCs w:val="30"/>
          <w:highlight w:val="none"/>
        </w:rPr>
      </w:pPr>
      <w:bookmarkStart w:id="129" w:name="_Toc17375"/>
      <w:bookmarkStart w:id="130" w:name="_Toc3020"/>
      <w:bookmarkStart w:id="131" w:name="_Toc16801"/>
    </w:p>
    <w:p w14:paraId="40D4E59D">
      <w:pPr>
        <w:spacing w:before="98" w:line="221" w:lineRule="auto"/>
        <w:ind w:left="4248"/>
        <w:outlineLvl w:val="9"/>
        <w:rPr>
          <w:rFonts w:hint="eastAsia" w:ascii="宋体" w:hAnsi="宋体" w:eastAsia="宋体" w:cs="宋体"/>
          <w:b/>
          <w:bCs/>
          <w:color w:val="auto"/>
          <w:spacing w:val="-6"/>
          <w:sz w:val="30"/>
          <w:szCs w:val="30"/>
          <w:highlight w:val="none"/>
        </w:rPr>
      </w:pPr>
      <w:r>
        <w:rPr>
          <w:rFonts w:hint="eastAsia" w:ascii="宋体" w:hAnsi="宋体" w:eastAsia="宋体" w:cs="宋体"/>
          <w:b/>
          <w:bCs/>
          <w:color w:val="auto"/>
          <w:spacing w:val="-6"/>
          <w:sz w:val="30"/>
          <w:szCs w:val="30"/>
          <w:highlight w:val="none"/>
        </w:rPr>
        <w:t>综合评分表</w:t>
      </w:r>
      <w:bookmarkEnd w:id="129"/>
      <w:bookmarkEnd w:id="130"/>
      <w:bookmarkEnd w:id="131"/>
    </w:p>
    <w:tbl>
      <w:tblPr>
        <w:tblStyle w:val="14"/>
        <w:tblW w:w="1042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91"/>
        <w:gridCol w:w="168"/>
        <w:gridCol w:w="3700"/>
        <w:gridCol w:w="5065"/>
      </w:tblGrid>
      <w:tr w14:paraId="5FB65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14:paraId="248FBA9C">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both"/>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bookmarkStart w:id="132" w:name="_Toc17436"/>
            <w:bookmarkStart w:id="133" w:name="_Toc9725"/>
            <w:bookmarkStart w:id="134" w:name="_Toc31744"/>
            <w:bookmarkStart w:id="135" w:name="_Toc5769"/>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商务部分，满分：</w:t>
            </w:r>
            <w:r>
              <w:rPr>
                <w:rFonts w:hint="eastAsia" w:asciiTheme="minorEastAsia" w:hAnsiTheme="minorEastAsia" w:eastAsiaTheme="minorEastAsia" w:cstheme="minorEastAsia"/>
                <w:b/>
                <w:bCs/>
                <w:caps w:val="0"/>
                <w:smallCaps w:val="0"/>
                <w:snapToGrid w:val="0"/>
                <w:color w:val="auto"/>
                <w:spacing w:val="0"/>
                <w:kern w:val="0"/>
                <w:sz w:val="21"/>
                <w:szCs w:val="21"/>
                <w:highlight w:val="none"/>
                <w:u w:val="single"/>
                <w:lang w:val="en-US" w:eastAsia="zh-CN"/>
              </w:rPr>
              <w:t xml:space="preserve"> 80 </w:t>
            </w: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t>分。</w:t>
            </w:r>
          </w:p>
        </w:tc>
      </w:tr>
      <w:tr w14:paraId="3362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35041F">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109D750">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2014B04">
            <w:pPr>
              <w:pStyle w:val="5"/>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t>备注</w:t>
            </w:r>
          </w:p>
        </w:tc>
      </w:tr>
      <w:tr w14:paraId="5BE33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7819ADA1">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企业奖项</w:t>
            </w:r>
          </w:p>
          <w:p w14:paraId="796CA053">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（1</w:t>
            </w:r>
            <w:r>
              <w:rPr>
                <w:rFonts w:hint="eastAsia" w:asciiTheme="minorEastAsia" w:hAnsiTheme="minorEastAsia" w:eastAsiaTheme="minorEastAsia" w:cstheme="minorEastAsia"/>
                <w:snapToGrid w:val="0"/>
                <w:color w:val="auto"/>
                <w:kern w:val="0"/>
                <w:sz w:val="21"/>
                <w:szCs w:val="21"/>
                <w:highlight w:val="none"/>
                <w:lang w:val="en-US" w:eastAsia="zh-CN"/>
              </w:rPr>
              <w:t>0</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844620A">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企业近年来（20</w:t>
            </w:r>
            <w:r>
              <w:rPr>
                <w:rFonts w:hint="eastAsia" w:ascii="Times New Roman"/>
                <w:snapToGrid w:val="0"/>
                <w:color w:val="auto"/>
                <w:kern w:val="0"/>
                <w:sz w:val="21"/>
                <w:szCs w:val="21"/>
                <w:highlight w:val="none"/>
                <w:lang w:val="en-US" w:eastAsia="zh-CN"/>
              </w:rPr>
              <w:t>20</w:t>
            </w:r>
            <w:r>
              <w:rPr>
                <w:rFonts w:hint="eastAsia" w:ascii="Times New Roman"/>
                <w:snapToGrid w:val="0"/>
                <w:color w:val="auto"/>
                <w:kern w:val="0"/>
                <w:sz w:val="21"/>
                <w:szCs w:val="21"/>
                <w:highlight w:val="none"/>
              </w:rPr>
              <w:t>年1月1日至今）获得工程类奖项情况：</w:t>
            </w:r>
          </w:p>
          <w:p w14:paraId="3927D929">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1．获得国家级奖项的，每个得</w:t>
            </w:r>
            <w:r>
              <w:rPr>
                <w:rFonts w:hint="eastAsia" w:asciiTheme="minorEastAsia" w:hAnsiTheme="minorEastAsia" w:eastAsiaTheme="minorEastAsia" w:cstheme="minorEastAsia"/>
                <w:snapToGrid w:val="0"/>
                <w:color w:val="auto"/>
                <w:kern w:val="0"/>
                <w:sz w:val="21"/>
                <w:szCs w:val="21"/>
                <w:highlight w:val="none"/>
                <w:u w:val="single"/>
              </w:rPr>
              <w:t xml:space="preserve"> 8</w:t>
            </w:r>
            <w:r>
              <w:rPr>
                <w:rFonts w:hint="eastAsia" w:asciiTheme="minorEastAsia" w:hAnsiTheme="minorEastAsia" w:eastAsiaTheme="minorEastAsia" w:cstheme="minorEastAsia"/>
                <w:snapToGrid w:val="0"/>
                <w:color w:val="auto"/>
                <w:kern w:val="0"/>
                <w:sz w:val="21"/>
                <w:szCs w:val="21"/>
                <w:highlight w:val="none"/>
              </w:rPr>
              <w:t>分。</w:t>
            </w:r>
          </w:p>
          <w:p w14:paraId="18FD29C8">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2．获得省级奖项的，每个得</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6</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rPr>
              <w:t>分。</w:t>
            </w:r>
          </w:p>
          <w:p w14:paraId="0810E912">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3．获得地市级奖项的，每个得</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4</w:t>
            </w:r>
            <w:r>
              <w:rPr>
                <w:rFonts w:hint="eastAsia" w:asciiTheme="minorEastAsia" w:hAnsiTheme="minorEastAsia" w:eastAsiaTheme="minorEastAsia" w:cstheme="minorEastAsia"/>
                <w:snapToGrid w:val="0"/>
                <w:color w:val="auto"/>
                <w:kern w:val="0"/>
                <w:sz w:val="21"/>
                <w:szCs w:val="21"/>
                <w:highlight w:val="none"/>
              </w:rPr>
              <w:t>分。</w:t>
            </w:r>
          </w:p>
          <w:p w14:paraId="57445F94">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4．以上奖项均未获得的，不予计分。</w:t>
            </w:r>
          </w:p>
          <w:p w14:paraId="4551473D">
            <w:pPr>
              <w:wordWrap w:val="0"/>
              <w:adjustRightInd w:val="0"/>
              <w:snapToGrid w:val="0"/>
              <w:spacing w:line="360" w:lineRule="auto"/>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EastAsia" w:hAnsiTheme="minorEastAsia" w:eastAsiaTheme="minorEastAsia" w:cstheme="minorEastAsia"/>
                <w:snapToGrid w:val="0"/>
                <w:color w:val="auto"/>
                <w:kern w:val="0"/>
                <w:sz w:val="21"/>
                <w:szCs w:val="21"/>
                <w:highlight w:val="none"/>
              </w:rPr>
              <w:t>5．本项最高得10分。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A4E107">
            <w:pPr>
              <w:pStyle w:val="5"/>
              <w:numPr>
                <w:ilvl w:val="0"/>
                <w:numId w:val="1"/>
              </w:numPr>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允许投标人提交多个业绩，但同一业绩只按最高级别奖项计分一次。</w:t>
            </w:r>
          </w:p>
          <w:p w14:paraId="40598BB4">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2．需附有关奖项证明复印件（或打印件），</w:t>
            </w:r>
            <w:r>
              <w:rPr>
                <w:rFonts w:hint="eastAsia" w:ascii="Times New Roman"/>
                <w:b/>
                <w:bCs/>
                <w:snapToGrid w:val="0"/>
                <w:color w:val="auto"/>
                <w:kern w:val="0"/>
                <w:sz w:val="21"/>
                <w:szCs w:val="21"/>
                <w:highlight w:val="none"/>
              </w:rPr>
              <w:t>同时提供原件供核对</w:t>
            </w:r>
            <w:r>
              <w:rPr>
                <w:rFonts w:hint="eastAsia" w:ascii="Times New Roman"/>
                <w:snapToGrid w:val="0"/>
                <w:color w:val="auto"/>
                <w:kern w:val="0"/>
                <w:sz w:val="21"/>
                <w:szCs w:val="21"/>
                <w:highlight w:val="none"/>
              </w:rPr>
              <w:t>。</w:t>
            </w:r>
          </w:p>
          <w:p w14:paraId="46516124">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3．颁发机构限定以下范围：</w:t>
            </w:r>
          </w:p>
          <w:p w14:paraId="3B08795F">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①国家级奖项： </w:t>
            </w:r>
            <w:r>
              <w:rPr>
                <w:rFonts w:hint="eastAsia" w:ascii="Times New Roman"/>
                <w:snapToGrid w:val="0"/>
                <w:color w:val="auto"/>
                <w:kern w:val="0"/>
                <w:sz w:val="21"/>
                <w:szCs w:val="21"/>
                <w:highlight w:val="none"/>
                <w:u w:val="single"/>
              </w:rPr>
              <w:t>国务院、住建部、国家级行业协会或学会</w:t>
            </w:r>
            <w:r>
              <w:rPr>
                <w:rFonts w:hint="eastAsia" w:ascii="Times New Roman"/>
                <w:snapToGrid w:val="0"/>
                <w:color w:val="auto"/>
                <w:kern w:val="0"/>
                <w:sz w:val="21"/>
                <w:szCs w:val="21"/>
                <w:highlight w:val="none"/>
              </w:rPr>
              <w:t>；（相关协会或学会需经民政部门备案）</w:t>
            </w:r>
          </w:p>
          <w:p w14:paraId="4F24FC70">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②省级奖项： </w:t>
            </w:r>
            <w:r>
              <w:rPr>
                <w:rFonts w:hint="eastAsia" w:ascii="Times New Roman"/>
                <w:snapToGrid w:val="0"/>
                <w:color w:val="auto"/>
                <w:kern w:val="0"/>
                <w:sz w:val="21"/>
                <w:szCs w:val="21"/>
                <w:highlight w:val="none"/>
                <w:u w:val="single"/>
              </w:rPr>
              <w:t>省级人民政府、省级住建部门、省级行业协会或学会</w:t>
            </w:r>
            <w:r>
              <w:rPr>
                <w:rFonts w:hint="eastAsia" w:ascii="Times New Roman"/>
                <w:snapToGrid w:val="0"/>
                <w:color w:val="auto"/>
                <w:kern w:val="0"/>
                <w:sz w:val="21"/>
                <w:szCs w:val="21"/>
                <w:highlight w:val="none"/>
              </w:rPr>
              <w:t>；（相关协会或学会需经民政部门备案）</w:t>
            </w:r>
          </w:p>
          <w:p w14:paraId="58F5471A">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 xml:space="preserve">③地市级奖项： </w:t>
            </w:r>
            <w:r>
              <w:rPr>
                <w:rFonts w:hint="eastAsia" w:ascii="Times New Roman"/>
                <w:snapToGrid w:val="0"/>
                <w:color w:val="auto"/>
                <w:kern w:val="0"/>
                <w:sz w:val="21"/>
                <w:szCs w:val="21"/>
                <w:highlight w:val="none"/>
                <w:u w:val="single"/>
              </w:rPr>
              <w:t>地市级人民政府、地市级住建部门、市级行业协会或学会</w:t>
            </w:r>
            <w:r>
              <w:rPr>
                <w:rFonts w:hint="eastAsia" w:ascii="Times New Roman"/>
                <w:snapToGrid w:val="0"/>
                <w:color w:val="auto"/>
                <w:kern w:val="0"/>
                <w:sz w:val="21"/>
                <w:szCs w:val="21"/>
                <w:highlight w:val="none"/>
              </w:rPr>
              <w:t>。（相关协会或学会需经民政部门备案）。</w:t>
            </w:r>
          </w:p>
          <w:p w14:paraId="54B5984C">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4．获奖时间以奖项证明的落款日期为准。</w:t>
            </w:r>
          </w:p>
          <w:p w14:paraId="55A06C02">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5．任一奖项有以下情形之一的，该奖项视为无效，不予计分：</w:t>
            </w:r>
          </w:p>
          <w:p w14:paraId="065C5EC0">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①未提供奖项原件的；</w:t>
            </w:r>
          </w:p>
          <w:p w14:paraId="20AB8CF2">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②奖项不属于指定类别的；</w:t>
            </w:r>
          </w:p>
          <w:p w14:paraId="704AE54C">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③颁发机构不符合要求的；</w:t>
            </w:r>
          </w:p>
          <w:p w14:paraId="044B7618">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④获奖时间不符合要求的。</w:t>
            </w:r>
          </w:p>
          <w:p w14:paraId="42970BC8">
            <w:pPr>
              <w:wordWrap w:val="0"/>
              <w:adjustRightInd w:val="0"/>
              <w:snapToGrid w:val="0"/>
              <w:spacing w:line="360" w:lineRule="auto"/>
              <w:rPr>
                <w:rFonts w:hint="eastAsia" w:asciiTheme="minorEastAsia" w:hAnsiTheme="minorEastAsia" w:eastAsiaTheme="minorEastAsia" w:cstheme="minorEastAsia"/>
                <w:color w:val="auto"/>
                <w:sz w:val="21"/>
                <w:szCs w:val="21"/>
                <w:highlight w:val="none"/>
                <w:lang w:val="en-US" w:eastAsia="zh-CN"/>
              </w:rPr>
            </w:pPr>
            <w:r>
              <w:rPr>
                <w:rFonts w:hint="eastAsia" w:ascii="Times New Roman"/>
                <w:b/>
                <w:bCs/>
                <w:snapToGrid w:val="0"/>
                <w:color w:val="auto"/>
                <w:kern w:val="0"/>
                <w:sz w:val="21"/>
                <w:szCs w:val="21"/>
                <w:highlight w:val="none"/>
              </w:rPr>
              <w:t>说明：以上所称“要求”均指本表评分标准及备注的要求，下同。</w:t>
            </w:r>
          </w:p>
        </w:tc>
      </w:tr>
      <w:tr w14:paraId="48A4B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60"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9DE7E63">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w:t>
            </w:r>
          </w:p>
          <w:p w14:paraId="46B3CD52">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综合素质</w:t>
            </w:r>
          </w:p>
          <w:p w14:paraId="7CFAEA23">
            <w:pPr>
              <w:pStyle w:val="5"/>
              <w:wordWrap w:val="0"/>
              <w:adjustRightInd w:val="0"/>
              <w:snapToGrid w:val="0"/>
              <w:spacing w:after="0" w:line="400" w:lineRule="exact"/>
              <w:jc w:val="cente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imes New Roman"/>
                <w:snapToGrid w:val="0"/>
                <w:color w:val="auto"/>
                <w:kern w:val="0"/>
                <w:sz w:val="21"/>
                <w:szCs w:val="21"/>
                <w:highlight w:val="none"/>
              </w:rPr>
              <w:t>（10分）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75DC28D4">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项目经理工程类技术职称情况：</w:t>
            </w:r>
          </w:p>
          <w:p w14:paraId="11962371">
            <w:pPr>
              <w:pStyle w:val="5"/>
              <w:numPr>
                <w:ilvl w:val="0"/>
                <w:numId w:val="2"/>
              </w:numPr>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具备工程师或以上职称的，得10分。</w:t>
            </w:r>
          </w:p>
          <w:p w14:paraId="07EC0BEA">
            <w:pPr>
              <w:pStyle w:val="5"/>
              <w:numPr>
                <w:ilvl w:val="0"/>
                <w:numId w:val="2"/>
              </w:numPr>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具备</w:t>
            </w:r>
            <w:r>
              <w:rPr>
                <w:rFonts w:hint="eastAsia" w:ascii="Times New Roman"/>
                <w:snapToGrid w:val="0"/>
                <w:color w:val="auto"/>
                <w:kern w:val="0"/>
                <w:sz w:val="21"/>
                <w:szCs w:val="21"/>
                <w:highlight w:val="none"/>
                <w:lang w:val="en-US" w:eastAsia="zh-CN"/>
              </w:rPr>
              <w:t>助理</w:t>
            </w:r>
            <w:r>
              <w:rPr>
                <w:rFonts w:hint="eastAsia" w:ascii="Times New Roman"/>
                <w:snapToGrid w:val="0"/>
                <w:color w:val="auto"/>
                <w:kern w:val="0"/>
                <w:sz w:val="21"/>
                <w:szCs w:val="21"/>
                <w:highlight w:val="none"/>
              </w:rPr>
              <w:t>工程师职称的，得5分。</w:t>
            </w:r>
          </w:p>
          <w:p w14:paraId="0CD4BF4F">
            <w:pPr>
              <w:pStyle w:val="5"/>
              <w:numPr>
                <w:ilvl w:val="0"/>
                <w:numId w:val="2"/>
              </w:numPr>
              <w:wordWrap w:val="0"/>
              <w:adjustRightInd w:val="0"/>
              <w:snapToGrid w:val="0"/>
              <w:spacing w:after="0"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imes New Roman"/>
                <w:snapToGrid w:val="0"/>
                <w:color w:val="auto"/>
                <w:kern w:val="0"/>
                <w:sz w:val="21"/>
                <w:szCs w:val="21"/>
                <w:highlight w:val="none"/>
              </w:rPr>
              <w:t>不具备以上职称的，或未提供职称证原件的，不予计分。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7C36A15">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需附职称证复印件（或打印件），</w:t>
            </w:r>
            <w:r>
              <w:rPr>
                <w:rFonts w:hint="eastAsia" w:ascii="Times New Roman"/>
                <w:b/>
                <w:bCs/>
                <w:snapToGrid w:val="0"/>
                <w:color w:val="auto"/>
                <w:kern w:val="0"/>
                <w:sz w:val="21"/>
                <w:szCs w:val="21"/>
                <w:highlight w:val="none"/>
              </w:rPr>
              <w:t>同时提供原件供核对</w:t>
            </w:r>
            <w:r>
              <w:rPr>
                <w:rFonts w:hint="eastAsia" w:ascii="Times New Roman"/>
                <w:snapToGrid w:val="0"/>
                <w:color w:val="auto"/>
                <w:kern w:val="0"/>
                <w:sz w:val="21"/>
                <w:szCs w:val="21"/>
                <w:highlight w:val="none"/>
              </w:rPr>
              <w:t>（职称证为电子证书打印件的除外）。</w:t>
            </w:r>
          </w:p>
          <w:p w14:paraId="315FFCFA">
            <w:pPr>
              <w:pStyle w:val="5"/>
              <w:wordWrap w:val="0"/>
              <w:adjustRightInd w:val="0"/>
              <w:snapToGrid w:val="0"/>
              <w:spacing w:after="0"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p>
        </w:tc>
      </w:tr>
      <w:tr w14:paraId="6DE89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39834D4">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企业业绩</w:t>
            </w:r>
          </w:p>
          <w:p w14:paraId="15F65142">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rPr>
              <w:t>（</w:t>
            </w:r>
            <w:r>
              <w:rPr>
                <w:rFonts w:hint="eastAsia" w:ascii="Times New Roman"/>
                <w:snapToGrid w:val="0"/>
                <w:color w:val="auto"/>
                <w:kern w:val="0"/>
                <w:sz w:val="21"/>
                <w:szCs w:val="21"/>
                <w:highlight w:val="none"/>
                <w:lang w:val="en-US" w:eastAsia="zh-CN"/>
              </w:rPr>
              <w:t>10</w:t>
            </w:r>
            <w:r>
              <w:rPr>
                <w:rFonts w:hint="eastAsia" w:ascii="Times New Roman"/>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04716DE">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企业近年来（20</w:t>
            </w:r>
            <w:r>
              <w:rPr>
                <w:rFonts w:hint="eastAsia" w:ascii="Times New Roman"/>
                <w:snapToGrid w:val="0"/>
                <w:color w:val="auto"/>
                <w:kern w:val="0"/>
                <w:sz w:val="21"/>
                <w:szCs w:val="21"/>
                <w:highlight w:val="none"/>
                <w:lang w:val="en-US" w:eastAsia="zh-CN"/>
              </w:rPr>
              <w:t>20</w:t>
            </w:r>
            <w:r>
              <w:rPr>
                <w:rFonts w:hint="eastAsia" w:ascii="Times New Roman"/>
                <w:snapToGrid w:val="0"/>
                <w:color w:val="auto"/>
                <w:kern w:val="0"/>
                <w:sz w:val="21"/>
                <w:szCs w:val="21"/>
                <w:highlight w:val="none"/>
              </w:rPr>
              <w:t>年1月1日至今）业绩情况：</w:t>
            </w:r>
          </w:p>
          <w:p w14:paraId="5E64A40B">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r>
              <w:rPr>
                <w:rFonts w:hint="eastAsia" w:ascii="Times New Roman"/>
                <w:snapToGrid w:val="0"/>
                <w:color w:val="auto"/>
                <w:kern w:val="0"/>
                <w:sz w:val="21"/>
                <w:szCs w:val="21"/>
                <w:highlight w:val="none"/>
                <w:u w:val="single"/>
              </w:rPr>
              <w:t xml:space="preserve">  承接 </w:t>
            </w:r>
            <w:r>
              <w:rPr>
                <w:rFonts w:hint="eastAsia" w:ascii="Times New Roman"/>
                <w:snapToGrid w:val="0"/>
                <w:color w:val="auto"/>
                <w:kern w:val="0"/>
                <w:sz w:val="21"/>
                <w:szCs w:val="21"/>
                <w:highlight w:val="none"/>
              </w:rPr>
              <w:t>过类似工程的，每个得</w:t>
            </w:r>
            <w:r>
              <w:rPr>
                <w:rFonts w:hint="eastAsia" w:ascii="Times New Roman"/>
                <w:snapToGrid w:val="0"/>
                <w:color w:val="auto"/>
                <w:kern w:val="0"/>
                <w:sz w:val="21"/>
                <w:szCs w:val="21"/>
                <w:highlight w:val="none"/>
                <w:u w:val="single"/>
              </w:rPr>
              <w:t xml:space="preserve"> 5 </w:t>
            </w:r>
            <w:r>
              <w:rPr>
                <w:rFonts w:hint="eastAsia" w:ascii="Times New Roman"/>
                <w:snapToGrid w:val="0"/>
                <w:color w:val="auto"/>
                <w:kern w:val="0"/>
                <w:sz w:val="21"/>
                <w:szCs w:val="21"/>
                <w:highlight w:val="none"/>
              </w:rPr>
              <w:t>分。</w:t>
            </w:r>
          </w:p>
          <w:p w14:paraId="679E8E7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rPr>
              <w:t>2．本项最高得</w:t>
            </w:r>
            <w:r>
              <w:rPr>
                <w:rFonts w:hint="eastAsia" w:ascii="Times New Roman"/>
                <w:snapToGrid w:val="0"/>
                <w:color w:val="auto"/>
                <w:kern w:val="0"/>
                <w:sz w:val="21"/>
                <w:szCs w:val="21"/>
                <w:highlight w:val="none"/>
                <w:lang w:val="en-US" w:eastAsia="zh-CN"/>
              </w:rPr>
              <w:t>10</w:t>
            </w:r>
            <w:r>
              <w:rPr>
                <w:rFonts w:hint="eastAsia" w:ascii="Times New Roman"/>
                <w:snapToGrid w:val="0"/>
                <w:color w:val="auto"/>
                <w:kern w:val="0"/>
                <w:sz w:val="21"/>
                <w:szCs w:val="21"/>
                <w:highlight w:val="none"/>
              </w:rPr>
              <w:t xml:space="preserve">分。 </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49BCBD02">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1．类似工程指：</w:t>
            </w:r>
            <w:r>
              <w:rPr>
                <w:rFonts w:hint="eastAsia" w:ascii="Times New Roman"/>
                <w:snapToGrid w:val="0"/>
                <w:color w:val="auto"/>
                <w:kern w:val="0"/>
                <w:sz w:val="21"/>
                <w:szCs w:val="21"/>
                <w:highlight w:val="none"/>
                <w:u w:val="single"/>
                <w:lang w:val="en-US" w:eastAsia="zh-CN"/>
              </w:rPr>
              <w:t>市政类</w:t>
            </w:r>
            <w:r>
              <w:rPr>
                <w:rFonts w:hint="eastAsia" w:ascii="Times New Roman"/>
                <w:snapToGrid w:val="0"/>
                <w:color w:val="auto"/>
                <w:kern w:val="0"/>
                <w:sz w:val="21"/>
                <w:szCs w:val="21"/>
                <w:highlight w:val="none"/>
                <w:u w:val="single"/>
              </w:rPr>
              <w:t>工程</w:t>
            </w:r>
            <w:r>
              <w:rPr>
                <w:rFonts w:hint="eastAsia" w:ascii="Times New Roman"/>
                <w:snapToGrid w:val="0"/>
                <w:color w:val="auto"/>
                <w:kern w:val="0"/>
                <w:sz w:val="21"/>
                <w:szCs w:val="21"/>
                <w:highlight w:val="none"/>
              </w:rPr>
              <w:t>。</w:t>
            </w:r>
          </w:p>
          <w:p w14:paraId="53FEBB1C">
            <w:pPr>
              <w:pStyle w:val="5"/>
              <w:wordWrap w:val="0"/>
              <w:adjustRightInd w:val="0"/>
              <w:snapToGrid w:val="0"/>
              <w:spacing w:after="0" w:line="400" w:lineRule="exact"/>
              <w:rPr>
                <w:rFonts w:ascii="Times New Roman"/>
                <w:i/>
                <w:iCs/>
                <w:snapToGrid w:val="0"/>
                <w:color w:val="auto"/>
                <w:kern w:val="0"/>
                <w:sz w:val="21"/>
                <w:szCs w:val="21"/>
                <w:highlight w:val="none"/>
              </w:rPr>
            </w:pPr>
            <w:r>
              <w:rPr>
                <w:rFonts w:hint="eastAsia" w:ascii="Times New Roman"/>
                <w:snapToGrid w:val="0"/>
                <w:color w:val="auto"/>
                <w:kern w:val="0"/>
                <w:sz w:val="21"/>
                <w:szCs w:val="21"/>
                <w:highlight w:val="none"/>
              </w:rPr>
              <w:t>2．需附有关业绩（仅限于以施工</w:t>
            </w:r>
            <w:r>
              <w:rPr>
                <w:rFonts w:hint="eastAsia" w:ascii="Times New Roman"/>
                <w:snapToGrid w:val="0"/>
                <w:color w:val="auto"/>
                <w:kern w:val="0"/>
                <w:sz w:val="21"/>
                <w:szCs w:val="21"/>
                <w:highlight w:val="none"/>
                <w:u w:val="single"/>
              </w:rPr>
              <w:t xml:space="preserve"> 总承包单位</w:t>
            </w:r>
            <w:r>
              <w:rPr>
                <w:rFonts w:hint="eastAsia" w:ascii="Times New Roman"/>
                <w:snapToGrid w:val="0"/>
                <w:color w:val="auto"/>
                <w:kern w:val="0"/>
                <w:sz w:val="21"/>
                <w:szCs w:val="21"/>
                <w:highlight w:val="none"/>
              </w:rPr>
              <w:t>身份参建的项目）合同协议书复印件（或打印件），</w:t>
            </w:r>
            <w:r>
              <w:rPr>
                <w:rFonts w:hint="eastAsia" w:ascii="Times New Roman"/>
                <w:b/>
                <w:bCs/>
                <w:snapToGrid w:val="0"/>
                <w:color w:val="auto"/>
                <w:kern w:val="0"/>
                <w:sz w:val="21"/>
                <w:szCs w:val="21"/>
                <w:highlight w:val="none"/>
              </w:rPr>
              <w:t>同时提供原件供核对</w:t>
            </w:r>
            <w:r>
              <w:rPr>
                <w:rFonts w:hint="eastAsia" w:ascii="Times New Roman"/>
                <w:snapToGrid w:val="0"/>
                <w:color w:val="auto"/>
                <w:kern w:val="0"/>
                <w:sz w:val="21"/>
                <w:szCs w:val="21"/>
                <w:highlight w:val="none"/>
              </w:rPr>
              <w:t>。</w:t>
            </w:r>
          </w:p>
          <w:p w14:paraId="156F91AA">
            <w:pPr>
              <w:pStyle w:val="5"/>
              <w:wordWrap w:val="0"/>
              <w:adjustRightInd w:val="0"/>
              <w:snapToGrid w:val="0"/>
              <w:spacing w:after="0" w:line="400" w:lineRule="exact"/>
              <w:rPr>
                <w:rFonts w:ascii="Times New Roman"/>
                <w:i/>
                <w:iCs/>
                <w:snapToGrid w:val="0"/>
                <w:color w:val="auto"/>
                <w:kern w:val="0"/>
                <w:sz w:val="21"/>
                <w:szCs w:val="21"/>
                <w:highlight w:val="none"/>
              </w:rPr>
            </w:pPr>
            <w:r>
              <w:rPr>
                <w:rFonts w:hint="eastAsia" w:ascii="Times New Roman"/>
                <w:snapToGrid w:val="0"/>
                <w:color w:val="auto"/>
                <w:kern w:val="0"/>
                <w:sz w:val="21"/>
                <w:szCs w:val="21"/>
                <w:highlight w:val="none"/>
              </w:rPr>
              <w:t>3．业绩时间以合同协议书日期为准。</w:t>
            </w:r>
          </w:p>
          <w:p w14:paraId="52FC5044">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4．任一业绩有以下情形之一的，该业绩视为无效，不予计分：</w:t>
            </w:r>
          </w:p>
          <w:p w14:paraId="4461C9C3">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①未提供业绩证明材料原件的；</w:t>
            </w:r>
          </w:p>
          <w:p w14:paraId="10646358">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②业绩不属于类似工程的；</w:t>
            </w:r>
          </w:p>
          <w:p w14:paraId="3DDEADA4">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③不是以指定身份参建的；</w:t>
            </w:r>
          </w:p>
          <w:p w14:paraId="3D22F014">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imes New Roman"/>
                <w:snapToGrid w:val="0"/>
                <w:color w:val="auto"/>
                <w:kern w:val="0"/>
                <w:sz w:val="21"/>
                <w:szCs w:val="21"/>
                <w:highlight w:val="none"/>
              </w:rPr>
              <w:t>④业绩时间不符合要求的；</w:t>
            </w:r>
          </w:p>
        </w:tc>
      </w:tr>
      <w:tr w14:paraId="2BFAC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42"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E559EC9">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企业银行</w:t>
            </w:r>
          </w:p>
          <w:p w14:paraId="19EC6C12">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资信评级</w:t>
            </w:r>
          </w:p>
          <w:p w14:paraId="19EA4D85">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rPr>
              <w:t>（</w:t>
            </w:r>
            <w:r>
              <w:rPr>
                <w:rFonts w:hint="eastAsia" w:ascii="Times New Roman"/>
                <w:snapToGrid w:val="0"/>
                <w:color w:val="auto"/>
                <w:kern w:val="0"/>
                <w:sz w:val="21"/>
                <w:szCs w:val="21"/>
                <w:highlight w:val="none"/>
                <w:lang w:val="en-US" w:eastAsia="zh-CN"/>
              </w:rPr>
              <w:t>10</w:t>
            </w:r>
            <w:r>
              <w:rPr>
                <w:rFonts w:hint="eastAsia" w:ascii="Times New Roman"/>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9555421">
            <w:pPr>
              <w:pStyle w:val="5"/>
              <w:wordWrap w:val="0"/>
              <w:adjustRightInd w:val="0"/>
              <w:snapToGrid w:val="0"/>
              <w:spacing w:after="0" w:line="400" w:lineRule="exact"/>
              <w:rPr>
                <w:rFonts w:ascii="Times New Roman"/>
                <w:snapToGrid w:val="0"/>
                <w:color w:val="auto"/>
                <w:kern w:val="0"/>
                <w:sz w:val="21"/>
                <w:szCs w:val="21"/>
                <w:highlight w:val="none"/>
              </w:rPr>
            </w:pPr>
          </w:p>
          <w:p w14:paraId="2980E2A7">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lang w:val="en-US" w:eastAsia="zh-CN"/>
              </w:rPr>
              <w:t>1</w:t>
            </w:r>
            <w:r>
              <w:rPr>
                <w:rFonts w:hint="eastAsia" w:ascii="Times New Roman"/>
                <w:snapToGrid w:val="0"/>
                <w:color w:val="auto"/>
                <w:kern w:val="0"/>
                <w:sz w:val="21"/>
                <w:szCs w:val="21"/>
                <w:highlight w:val="none"/>
              </w:rPr>
              <w:t>．银行资信评级A（含A＋、A－）</w:t>
            </w:r>
            <w:r>
              <w:rPr>
                <w:rFonts w:hint="eastAsia" w:ascii="Times New Roman"/>
                <w:snapToGrid w:val="0"/>
                <w:color w:val="auto"/>
                <w:kern w:val="0"/>
                <w:sz w:val="21"/>
                <w:szCs w:val="21"/>
                <w:highlight w:val="none"/>
                <w:lang w:val="en-US" w:eastAsia="zh-CN"/>
              </w:rPr>
              <w:t>或以上</w:t>
            </w:r>
            <w:r>
              <w:rPr>
                <w:rFonts w:hint="eastAsia" w:ascii="Times New Roman"/>
                <w:snapToGrid w:val="0"/>
                <w:color w:val="auto"/>
                <w:kern w:val="0"/>
                <w:sz w:val="21"/>
                <w:szCs w:val="21"/>
                <w:highlight w:val="none"/>
              </w:rPr>
              <w:t>的，得</w:t>
            </w:r>
            <w:r>
              <w:rPr>
                <w:rFonts w:hint="eastAsia" w:ascii="Times New Roman"/>
                <w:snapToGrid w:val="0"/>
                <w:color w:val="auto"/>
                <w:kern w:val="0"/>
                <w:sz w:val="21"/>
                <w:szCs w:val="21"/>
                <w:highlight w:val="none"/>
                <w:u w:val="single"/>
                <w:lang w:val="en-US" w:eastAsia="zh-CN"/>
              </w:rPr>
              <w:t>10</w:t>
            </w:r>
            <w:r>
              <w:rPr>
                <w:rFonts w:hint="eastAsia" w:ascii="Times New Roman"/>
                <w:snapToGrid w:val="0"/>
                <w:color w:val="auto"/>
                <w:kern w:val="0"/>
                <w:sz w:val="21"/>
                <w:szCs w:val="21"/>
                <w:highlight w:val="none"/>
              </w:rPr>
              <w:t>分。</w:t>
            </w:r>
          </w:p>
          <w:p w14:paraId="4942F3B0">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lang w:val="en-US" w:eastAsia="zh-CN"/>
              </w:rPr>
              <w:t>2</w:t>
            </w:r>
            <w:r>
              <w:rPr>
                <w:rFonts w:hint="eastAsia" w:ascii="Times New Roman"/>
                <w:snapToGrid w:val="0"/>
                <w:color w:val="auto"/>
                <w:kern w:val="0"/>
                <w:sz w:val="21"/>
                <w:szCs w:val="21"/>
                <w:highlight w:val="none"/>
              </w:rPr>
              <w:t>．未获得过以上评级的，或评级证书无效的，不予计分。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D1536D8">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1．需附在有效期内的资信评级证书（证明）复印件（或打印件），</w:t>
            </w:r>
            <w:r>
              <w:rPr>
                <w:rFonts w:hint="eastAsia" w:ascii="Times New Roman"/>
                <w:b/>
                <w:bCs/>
                <w:snapToGrid w:val="0"/>
                <w:color w:val="auto"/>
                <w:kern w:val="0"/>
                <w:sz w:val="21"/>
                <w:szCs w:val="21"/>
                <w:highlight w:val="none"/>
              </w:rPr>
              <w:t>同时提供原件供核对</w:t>
            </w:r>
            <w:r>
              <w:rPr>
                <w:rFonts w:hint="eastAsia" w:ascii="Times New Roman"/>
                <w:snapToGrid w:val="0"/>
                <w:color w:val="auto"/>
                <w:kern w:val="0"/>
                <w:sz w:val="21"/>
                <w:szCs w:val="21"/>
                <w:highlight w:val="none"/>
              </w:rPr>
              <w:t>。</w:t>
            </w:r>
          </w:p>
          <w:p w14:paraId="65F9654F">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2．评级证书（证明）须由</w:t>
            </w:r>
            <w:r>
              <w:rPr>
                <w:rFonts w:hint="eastAsia" w:ascii="Times New Roman"/>
                <w:snapToGrid w:val="0"/>
                <w:color w:val="auto"/>
                <w:kern w:val="0"/>
                <w:sz w:val="21"/>
                <w:szCs w:val="21"/>
                <w:highlight w:val="none"/>
                <w:u w:val="single"/>
              </w:rPr>
              <w:t xml:space="preserve"> 企业基本户银行或市级或以上银行</w:t>
            </w:r>
            <w:r>
              <w:rPr>
                <w:rFonts w:hint="eastAsia" w:ascii="Times New Roman"/>
                <w:snapToGrid w:val="0"/>
                <w:color w:val="auto"/>
                <w:kern w:val="0"/>
                <w:sz w:val="21"/>
                <w:szCs w:val="21"/>
                <w:highlight w:val="none"/>
              </w:rPr>
              <w:t>出具。</w:t>
            </w:r>
          </w:p>
          <w:p w14:paraId="4C2CF2C2">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3．评级证书（证明）有以下情形之一的，视为无效：</w:t>
            </w:r>
          </w:p>
          <w:p w14:paraId="093AE6F6">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①未提供评级证书（证明）原件的；</w:t>
            </w:r>
          </w:p>
          <w:p w14:paraId="140948ED">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②评级证书（证明）不在有效期内的；</w:t>
            </w:r>
          </w:p>
          <w:p w14:paraId="17D1666B">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imes New Roman"/>
                <w:snapToGrid w:val="0"/>
                <w:color w:val="auto"/>
                <w:kern w:val="0"/>
                <w:sz w:val="21"/>
                <w:szCs w:val="21"/>
                <w:highlight w:val="none"/>
              </w:rPr>
              <w:t>③出具机构不符合要求的。</w:t>
            </w:r>
          </w:p>
        </w:tc>
      </w:tr>
      <w:tr w14:paraId="7B3EB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4"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1A7FDD53">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企业管理</w:t>
            </w:r>
          </w:p>
          <w:p w14:paraId="6C1B6A88">
            <w:pPr>
              <w:pStyle w:val="5"/>
              <w:wordWrap w:val="0"/>
              <w:adjustRightInd w:val="0"/>
              <w:snapToGrid w:val="0"/>
              <w:spacing w:after="0" w:line="400" w:lineRule="exact"/>
              <w:jc w:val="center"/>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体系认证</w:t>
            </w:r>
          </w:p>
          <w:p w14:paraId="2B5694FE">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rPr>
              <w:t>（6分）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935FAD3">
            <w:pPr>
              <w:pStyle w:val="5"/>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r>
              <w:rPr>
                <w:rFonts w:ascii="Times New Roman"/>
                <w:snapToGrid w:val="0"/>
                <w:color w:val="auto"/>
                <w:kern w:val="0"/>
                <w:sz w:val="21"/>
                <w:szCs w:val="21"/>
                <w:highlight w:val="none"/>
              </w:rPr>
              <w:t>质量管理体系认证、职业健康安全管理体系认证、环境管理体系认证中，每获得 1 项认证得 2 分，最高得 6 分。</w:t>
            </w:r>
          </w:p>
          <w:p w14:paraId="3E6B9A39">
            <w:pPr>
              <w:pStyle w:val="11"/>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rPr>
              <w:t>2．</w:t>
            </w:r>
            <w:r>
              <w:rPr>
                <w:rFonts w:ascii="Times New Roman"/>
                <w:snapToGrid w:val="0"/>
                <w:color w:val="auto"/>
                <w:kern w:val="0"/>
                <w:sz w:val="21"/>
                <w:szCs w:val="21"/>
                <w:highlight w:val="none"/>
              </w:rPr>
              <w:t>未获得以上认证的，不予计分。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5693B54C">
            <w:pPr>
              <w:pStyle w:val="5"/>
              <w:wordWrap w:val="0"/>
              <w:adjustRightInd w:val="0"/>
              <w:snapToGrid w:val="0"/>
              <w:spacing w:after="0" w:line="400" w:lineRule="exact"/>
              <w:rPr>
                <w:rFonts w:hAnsi="宋体" w:cs="宋体"/>
                <w:color w:val="auto"/>
                <w:kern w:val="0"/>
                <w:sz w:val="21"/>
                <w:szCs w:val="21"/>
                <w:highlight w:val="none"/>
              </w:rPr>
            </w:pPr>
            <w:r>
              <w:rPr>
                <w:rFonts w:hint="eastAsia" w:hAnsi="宋体" w:cs="宋体"/>
                <w:color w:val="auto"/>
                <w:kern w:val="0"/>
                <w:sz w:val="21"/>
                <w:szCs w:val="21"/>
                <w:highlight w:val="none"/>
              </w:rPr>
              <w:t>1</w:t>
            </w:r>
            <w:r>
              <w:rPr>
                <w:rFonts w:hAnsi="宋体" w:cs="宋体"/>
                <w:color w:val="auto"/>
                <w:kern w:val="0"/>
                <w:sz w:val="21"/>
                <w:szCs w:val="21"/>
                <w:highlight w:val="none"/>
              </w:rPr>
              <w:t>．需附在有效期内的认证证书彩色扫描件，</w:t>
            </w:r>
            <w:r>
              <w:rPr>
                <w:rFonts w:hAnsi="宋体" w:cs="宋体"/>
                <w:b/>
                <w:bCs/>
                <w:color w:val="auto"/>
                <w:kern w:val="0"/>
                <w:sz w:val="21"/>
                <w:szCs w:val="21"/>
                <w:highlight w:val="none"/>
              </w:rPr>
              <w:t>同 时提供原件供核对</w:t>
            </w:r>
            <w:r>
              <w:rPr>
                <w:rFonts w:hAnsi="宋体" w:cs="宋体"/>
                <w:color w:val="auto"/>
                <w:kern w:val="0"/>
                <w:sz w:val="21"/>
                <w:szCs w:val="21"/>
                <w:highlight w:val="none"/>
              </w:rPr>
              <w:t>（证书为电子证书的除外）。</w:t>
            </w:r>
          </w:p>
          <w:p w14:paraId="24AE25D7">
            <w:pPr>
              <w:pStyle w:val="5"/>
              <w:wordWrap w:val="0"/>
              <w:adjustRightInd w:val="0"/>
              <w:snapToGrid w:val="0"/>
              <w:spacing w:after="0" w:line="400" w:lineRule="exact"/>
              <w:rPr>
                <w:rFonts w:hint="eastAsia" w:hAnsi="宋体" w:cs="宋体"/>
                <w:color w:val="auto"/>
                <w:kern w:val="0"/>
                <w:sz w:val="21"/>
                <w:szCs w:val="21"/>
                <w:highlight w:val="none"/>
              </w:rPr>
            </w:pPr>
            <w:r>
              <w:rPr>
                <w:rFonts w:hAnsi="宋体" w:cs="宋体"/>
                <w:color w:val="auto"/>
                <w:kern w:val="0"/>
                <w:sz w:val="21"/>
                <w:szCs w:val="21"/>
                <w:highlight w:val="none"/>
              </w:rPr>
              <w:t xml:space="preserve"> 2．任一认证证书有以下情形之一的，该认证证 书视为无效，不予计分：</w:t>
            </w:r>
          </w:p>
          <w:p w14:paraId="4D006513">
            <w:pPr>
              <w:pStyle w:val="5"/>
              <w:wordWrap w:val="0"/>
              <w:adjustRightInd w:val="0"/>
              <w:snapToGrid w:val="0"/>
              <w:spacing w:after="0" w:line="400" w:lineRule="exact"/>
              <w:rPr>
                <w:rFonts w:hint="eastAsia" w:hAnsi="宋体" w:cs="宋体"/>
                <w:color w:val="auto"/>
                <w:kern w:val="0"/>
                <w:sz w:val="21"/>
                <w:szCs w:val="21"/>
                <w:highlight w:val="none"/>
              </w:rPr>
            </w:pPr>
            <w:r>
              <w:rPr>
                <w:rFonts w:hAnsi="宋体" w:cs="宋体"/>
                <w:color w:val="auto"/>
                <w:kern w:val="0"/>
                <w:sz w:val="21"/>
                <w:szCs w:val="21"/>
                <w:highlight w:val="none"/>
              </w:rPr>
              <w:t xml:space="preserve">①未提供认证证书原件的； </w:t>
            </w:r>
          </w:p>
          <w:p w14:paraId="466E26AA">
            <w:pPr>
              <w:pStyle w:val="5"/>
              <w:wordWrap w:val="0"/>
              <w:adjustRightInd w:val="0"/>
              <w:snapToGrid w:val="0"/>
              <w:spacing w:after="0" w:line="400" w:lineRule="exact"/>
              <w:rPr>
                <w:rFonts w:hint="eastAsia" w:asciiTheme="minorEastAsia" w:hAnsiTheme="minorEastAsia" w:eastAsiaTheme="minorEastAsia" w:cstheme="minorEastAsia"/>
                <w:color w:val="auto"/>
                <w:sz w:val="21"/>
                <w:szCs w:val="21"/>
                <w:highlight w:val="none"/>
                <w:lang w:val="en-US" w:eastAsia="zh-CN"/>
              </w:rPr>
            </w:pPr>
            <w:r>
              <w:rPr>
                <w:rFonts w:hAnsi="宋体" w:cs="宋体"/>
                <w:color w:val="auto"/>
                <w:kern w:val="0"/>
                <w:sz w:val="21"/>
                <w:szCs w:val="21"/>
                <w:highlight w:val="none"/>
              </w:rPr>
              <w:t>②认证证书不在有效期内的。</w:t>
            </w:r>
          </w:p>
        </w:tc>
      </w:tr>
      <w:tr w14:paraId="5DE56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76" w:hRule="atLeast"/>
          <w:jc w:val="center"/>
        </w:trPr>
        <w:tc>
          <w:tcPr>
            <w:tcW w:w="1491" w:type="dxa"/>
            <w:tcBorders>
              <w:top w:val="single" w:color="auto" w:sz="4" w:space="0"/>
              <w:left w:val="single" w:color="auto" w:sz="4" w:space="0"/>
              <w:right w:val="single" w:color="auto" w:sz="4" w:space="0"/>
            </w:tcBorders>
            <w:noWrap w:val="0"/>
            <w:vAlign w:val="center"/>
          </w:tcPr>
          <w:p w14:paraId="239FD3FC">
            <w:pPr>
              <w:pStyle w:val="5"/>
              <w:wordWrap w:val="0"/>
              <w:adjustRightInd w:val="0"/>
              <w:snapToGrid w:val="0"/>
              <w:spacing w:after="0" w:line="400" w:lineRule="exact"/>
              <w:jc w:val="center"/>
              <w:rPr>
                <w:rFonts w:ascii="Times New Roman"/>
                <w:snapToGrid w:val="0"/>
                <w:color w:val="auto"/>
                <w:kern w:val="0"/>
                <w:sz w:val="21"/>
                <w:szCs w:val="21"/>
                <w:highlight w:val="none"/>
                <w:lang w:bidi="ar"/>
              </w:rPr>
            </w:pPr>
            <w:r>
              <w:rPr>
                <w:rFonts w:hint="eastAsia" w:ascii="Times New Roman"/>
                <w:snapToGrid w:val="0"/>
                <w:color w:val="auto"/>
                <w:kern w:val="0"/>
                <w:sz w:val="21"/>
                <w:szCs w:val="21"/>
                <w:highlight w:val="none"/>
                <w:lang w:bidi="ar"/>
              </w:rPr>
              <w:t>企业</w:t>
            </w:r>
          </w:p>
          <w:p w14:paraId="4FB6B73D">
            <w:pPr>
              <w:pStyle w:val="5"/>
              <w:wordWrap w:val="0"/>
              <w:adjustRightInd w:val="0"/>
              <w:snapToGrid w:val="0"/>
              <w:spacing w:after="0" w:line="400" w:lineRule="exact"/>
              <w:jc w:val="center"/>
              <w:rPr>
                <w:rFonts w:ascii="Times New Roman"/>
                <w:strike/>
                <w:snapToGrid w:val="0"/>
                <w:color w:val="auto"/>
                <w:kern w:val="0"/>
                <w:sz w:val="21"/>
                <w:szCs w:val="21"/>
                <w:highlight w:val="none"/>
              </w:rPr>
            </w:pPr>
            <w:r>
              <w:rPr>
                <w:rFonts w:hint="eastAsia" w:ascii="Times New Roman"/>
                <w:snapToGrid w:val="0"/>
                <w:color w:val="auto"/>
                <w:kern w:val="0"/>
                <w:sz w:val="21"/>
                <w:szCs w:val="21"/>
                <w:highlight w:val="none"/>
                <w:lang w:bidi="ar"/>
              </w:rPr>
              <w:t>财务状况</w:t>
            </w:r>
          </w:p>
          <w:p w14:paraId="75BA472B">
            <w:pPr>
              <w:pStyle w:val="5"/>
              <w:wordWrap w:val="0"/>
              <w:adjustRightInd w:val="0"/>
              <w:snapToGrid w:val="0"/>
              <w:spacing w:after="0" w:line="400" w:lineRule="exact"/>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imes New Roman"/>
                <w:snapToGrid w:val="0"/>
                <w:color w:val="auto"/>
                <w:kern w:val="0"/>
                <w:sz w:val="21"/>
                <w:szCs w:val="21"/>
                <w:highlight w:val="none"/>
                <w:lang w:bidi="ar"/>
              </w:rPr>
              <w:t>（</w:t>
            </w:r>
            <w:r>
              <w:rPr>
                <w:rFonts w:hint="eastAsia" w:ascii="Times New Roman"/>
                <w:b/>
                <w:bCs/>
                <w:snapToGrid w:val="0"/>
                <w:color w:val="auto"/>
                <w:kern w:val="0"/>
                <w:sz w:val="21"/>
                <w:szCs w:val="21"/>
                <w:highlight w:val="none"/>
                <w:lang w:val="en-US" w:eastAsia="zh-CN" w:bidi="ar"/>
              </w:rPr>
              <w:t>9</w:t>
            </w:r>
            <w:r>
              <w:rPr>
                <w:rFonts w:hint="eastAsia" w:ascii="Times New Roman"/>
                <w:snapToGrid w:val="0"/>
                <w:color w:val="auto"/>
                <w:kern w:val="0"/>
                <w:sz w:val="21"/>
                <w:szCs w:val="21"/>
                <w:highlight w:val="none"/>
                <w:lang w:bidi="ar"/>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7952EE6">
            <w:pPr>
              <w:pStyle w:val="38"/>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eastAsia="宋体"/>
                <w:snapToGrid w:val="0"/>
                <w:color w:val="auto"/>
                <w:kern w:val="0"/>
                <w:szCs w:val="21"/>
                <w:highlight w:val="none"/>
              </w:rPr>
              <w:t>1．提供投标人基本账户在本项目招标公告发布之日起至投标截止时间期间出现过至少连续3日不少于</w:t>
            </w:r>
            <w:r>
              <w:rPr>
                <w:rFonts w:hint="eastAsia" w:eastAsia="宋体"/>
                <w:snapToGrid w:val="0"/>
                <w:color w:val="auto"/>
                <w:kern w:val="0"/>
                <w:szCs w:val="21"/>
                <w:highlight w:val="none"/>
                <w:u w:val="single"/>
                <w:lang w:val="en-US" w:eastAsia="zh-CN"/>
              </w:rPr>
              <w:t>180</w:t>
            </w:r>
            <w:r>
              <w:rPr>
                <w:rFonts w:hint="eastAsia" w:eastAsia="宋体"/>
                <w:snapToGrid w:val="0"/>
                <w:color w:val="auto"/>
                <w:kern w:val="0"/>
                <w:szCs w:val="21"/>
                <w:highlight w:val="none"/>
              </w:rPr>
              <w:t>万元存款余额资金流水证明的，得</w:t>
            </w:r>
            <w:r>
              <w:rPr>
                <w:rFonts w:hint="eastAsia" w:eastAsia="宋体"/>
                <w:snapToGrid w:val="0"/>
                <w:color w:val="auto"/>
                <w:kern w:val="0"/>
                <w:szCs w:val="21"/>
                <w:highlight w:val="none"/>
                <w:lang w:val="en-US" w:eastAsia="zh-CN"/>
              </w:rPr>
              <w:t>9</w:t>
            </w:r>
            <w:r>
              <w:rPr>
                <w:rFonts w:hint="eastAsia" w:eastAsia="宋体"/>
                <w:snapToGrid w:val="0"/>
                <w:color w:val="auto"/>
                <w:kern w:val="0"/>
                <w:szCs w:val="21"/>
                <w:highlight w:val="none"/>
              </w:rPr>
              <w:t>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00B06F7">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r>
              <w:rPr>
                <w:rFonts w:ascii="Times New Roman"/>
                <w:snapToGrid w:val="0"/>
                <w:color w:val="auto"/>
                <w:kern w:val="0"/>
                <w:sz w:val="21"/>
                <w:szCs w:val="21"/>
                <w:highlight w:val="none"/>
              </w:rPr>
              <w:t xml:space="preserve">．存款余额资金流水证明有以下情形之一的， 视为无效，不予计分： </w:t>
            </w:r>
          </w:p>
          <w:p w14:paraId="65388A17">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hAnsi="宋体" w:cs="宋体"/>
                <w:snapToGrid w:val="0"/>
                <w:color w:val="auto"/>
                <w:kern w:val="0"/>
                <w:sz w:val="21"/>
                <w:szCs w:val="21"/>
                <w:highlight w:val="none"/>
              </w:rPr>
              <w:t>①</w:t>
            </w:r>
            <w:r>
              <w:rPr>
                <w:rFonts w:ascii="Times New Roman"/>
                <w:snapToGrid w:val="0"/>
                <w:color w:val="auto"/>
                <w:kern w:val="0"/>
                <w:sz w:val="21"/>
                <w:szCs w:val="21"/>
                <w:highlight w:val="none"/>
              </w:rPr>
              <w:t xml:space="preserve">存款账户不是基本账户的； </w:t>
            </w:r>
          </w:p>
          <w:p w14:paraId="01423B5F">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hAnsi="宋体" w:cs="宋体"/>
                <w:snapToGrid w:val="0"/>
                <w:color w:val="auto"/>
                <w:kern w:val="0"/>
                <w:sz w:val="21"/>
                <w:szCs w:val="21"/>
                <w:highlight w:val="none"/>
              </w:rPr>
              <w:t>②</w:t>
            </w:r>
            <w:r>
              <w:rPr>
                <w:rFonts w:ascii="Times New Roman"/>
                <w:snapToGrid w:val="0"/>
                <w:color w:val="auto"/>
                <w:kern w:val="0"/>
                <w:sz w:val="21"/>
                <w:szCs w:val="21"/>
                <w:highlight w:val="none"/>
              </w:rPr>
              <w:t xml:space="preserve">存款时间不符合要求的； </w:t>
            </w:r>
          </w:p>
          <w:p w14:paraId="59FEEE6C">
            <w:pPr>
              <w:pStyle w:val="5"/>
              <w:wordWrap w:val="0"/>
              <w:adjustRightInd w:val="0"/>
              <w:snapToGrid w:val="0"/>
              <w:spacing w:after="0" w:line="400" w:lineRule="exac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hAnsi="宋体" w:cs="宋体"/>
                <w:snapToGrid w:val="0"/>
                <w:color w:val="auto"/>
                <w:kern w:val="0"/>
                <w:sz w:val="21"/>
                <w:szCs w:val="21"/>
                <w:highlight w:val="none"/>
              </w:rPr>
              <w:t>③</w:t>
            </w:r>
            <w:r>
              <w:rPr>
                <w:rFonts w:ascii="Times New Roman"/>
                <w:snapToGrid w:val="0"/>
                <w:color w:val="auto"/>
                <w:kern w:val="0"/>
                <w:sz w:val="21"/>
                <w:szCs w:val="21"/>
                <w:highlight w:val="none"/>
              </w:rPr>
              <w:t>存款额度不符合要求的。</w:t>
            </w:r>
          </w:p>
        </w:tc>
      </w:tr>
      <w:tr w14:paraId="3F579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restart"/>
            <w:tcBorders>
              <w:top w:val="single" w:color="auto" w:sz="4" w:space="0"/>
              <w:left w:val="single" w:color="auto" w:sz="4" w:space="0"/>
              <w:right w:val="single" w:color="auto" w:sz="4" w:space="0"/>
            </w:tcBorders>
            <w:noWrap w:val="0"/>
            <w:vAlign w:val="center"/>
          </w:tcPr>
          <w:p w14:paraId="37334844">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招标人</w:t>
            </w:r>
          </w:p>
          <w:p w14:paraId="6AD2B496">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trike w:val="0"/>
                <w:dstrike w:val="0"/>
                <w:color w:val="auto"/>
                <w:sz w:val="21"/>
                <w:szCs w:val="21"/>
                <w:highlight w:val="none"/>
              </w:rPr>
            </w:pPr>
            <w:r>
              <w:rPr>
                <w:rFonts w:hint="eastAsia" w:asciiTheme="minorEastAsia" w:hAnsiTheme="minorEastAsia" w:eastAsiaTheme="minorEastAsia" w:cstheme="minorEastAsia"/>
                <w:strike w:val="0"/>
                <w:dstrike w:val="0"/>
                <w:color w:val="auto"/>
                <w:sz w:val="21"/>
                <w:szCs w:val="21"/>
                <w:highlight w:val="none"/>
              </w:rPr>
              <w:t>自选项</w:t>
            </w:r>
          </w:p>
          <w:p w14:paraId="66D3CA87">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trike w:val="0"/>
                <w:dstrike w:val="0"/>
                <w:color w:val="auto"/>
                <w:sz w:val="21"/>
                <w:szCs w:val="21"/>
                <w:highlight w:val="none"/>
              </w:rPr>
              <w:t>（</w:t>
            </w:r>
            <w:r>
              <w:rPr>
                <w:rFonts w:hint="eastAsia" w:asciiTheme="minorEastAsia" w:hAnsiTheme="minorEastAsia" w:eastAsiaTheme="minorEastAsia" w:cstheme="minorEastAsia"/>
                <w:strike w:val="0"/>
                <w:dstrike w:val="0"/>
                <w:color w:val="auto"/>
                <w:sz w:val="21"/>
                <w:szCs w:val="21"/>
                <w:highlight w:val="none"/>
                <w:lang w:val="en-US" w:eastAsia="zh-CN"/>
              </w:rPr>
              <w:t>25</w:t>
            </w:r>
            <w:r>
              <w:rPr>
                <w:rFonts w:hint="eastAsia" w:asciiTheme="minorEastAsia" w:hAnsiTheme="minorEastAsia" w:eastAsiaTheme="minorEastAsia" w:cstheme="minorEastAsia"/>
                <w:strike w:val="0"/>
                <w:dstrike w:val="0"/>
                <w:color w:val="auto"/>
                <w:sz w:val="21"/>
                <w:szCs w:val="21"/>
                <w:highlight w:val="none"/>
              </w:rPr>
              <w:t>分</w:t>
            </w:r>
            <w:r>
              <w:rPr>
                <w:rFonts w:hint="eastAsia" w:asciiTheme="minorEastAsia" w:hAnsiTheme="minorEastAsia" w:eastAsiaTheme="minorEastAsia" w:cstheme="minorEastAsia"/>
                <w:strike w:val="0"/>
                <w:dstrike w:val="0"/>
                <w:color w:val="auto"/>
                <w:sz w:val="21"/>
                <w:szCs w:val="21"/>
                <w:highlight w:val="none"/>
                <w:lang w:eastAsia="zh-CN"/>
              </w:rPr>
              <w:t>）</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7A905CE">
            <w:pPr>
              <w:pStyle w:val="5"/>
              <w:numPr>
                <w:ilvl w:val="0"/>
                <w:numId w:val="0"/>
              </w:numPr>
              <w:wordWrap w:val="0"/>
              <w:adjustRightInd w:val="0"/>
              <w:snapToGrid w:val="0"/>
              <w:spacing w:line="276"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1.投标人连续5年或以上（其中必须有2025年度）获得纳税信用A级纳税人的，得5分。</w:t>
            </w:r>
          </w:p>
          <w:p w14:paraId="047C641A">
            <w:pPr>
              <w:pStyle w:val="5"/>
              <w:numPr>
                <w:ilvl w:val="0"/>
                <w:numId w:val="0"/>
              </w:numPr>
              <w:wordWrap w:val="0"/>
              <w:adjustRightInd w:val="0"/>
              <w:snapToGrid w:val="0"/>
              <w:spacing w:line="276" w:lineRule="auto"/>
              <w:ind w:left="0" w:leftChars="0" w:firstLine="0" w:firstLineChars="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15E7819">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1.必须提供企业纳税信用 A 级纳税人证明材料（或证书）及国家税务总局网上查询截图，否则不得分。</w:t>
            </w:r>
          </w:p>
          <w:p w14:paraId="34DC44B7">
            <w:pPr>
              <w:keepNext w:val="0"/>
              <w:keepLines w:val="0"/>
              <w:widowControl/>
              <w:suppressLineNumbers w:val="0"/>
              <w:jc w:val="left"/>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2.只计算投标人自身（不计算投标人的分公司、子公司及分支机构）</w:t>
            </w:r>
          </w:p>
        </w:tc>
      </w:tr>
      <w:tr w14:paraId="083F5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8" w:hRule="atLeast"/>
          <w:jc w:val="center"/>
        </w:trPr>
        <w:tc>
          <w:tcPr>
            <w:tcW w:w="1491" w:type="dxa"/>
            <w:vMerge w:val="continue"/>
            <w:tcBorders>
              <w:left w:val="single" w:color="auto" w:sz="4" w:space="0"/>
              <w:right w:val="single" w:color="auto" w:sz="4" w:space="0"/>
            </w:tcBorders>
            <w:noWrap w:val="0"/>
            <w:vAlign w:val="center"/>
          </w:tcPr>
          <w:p w14:paraId="1892ED3A">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981F124">
            <w:pPr>
              <w:pStyle w:val="5"/>
              <w:numPr>
                <w:ilvl w:val="0"/>
                <w:numId w:val="0"/>
              </w:numPr>
              <w:wordWrap w:val="0"/>
              <w:adjustRightInd w:val="0"/>
              <w:snapToGrid w:val="0"/>
              <w:spacing w:line="276"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1.投标人2023年至今连续两年或以上获得省级或以上商业联合会颁发的诚信兴商证书的，得5分。 </w:t>
            </w:r>
          </w:p>
          <w:p w14:paraId="2387C907">
            <w:pPr>
              <w:pStyle w:val="5"/>
              <w:numPr>
                <w:ilvl w:val="0"/>
                <w:numId w:val="0"/>
              </w:numPr>
              <w:wordWrap w:val="0"/>
              <w:adjustRightInd w:val="0"/>
              <w:snapToGrid w:val="0"/>
              <w:spacing w:line="276" w:lineRule="auto"/>
              <w:ind w:left="0" w:leftChars="0" w:firstLine="0" w:firstLineChars="0"/>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DCD12EE">
            <w:pPr>
              <w:keepNext w:val="0"/>
              <w:keepLines w:val="0"/>
              <w:widowControl/>
              <w:suppressLineNumbers w:val="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1.证书由省级或以上商业联合会颁发，须提供有关证书彩色扫描件，</w:t>
            </w:r>
            <w:r>
              <w:rPr>
                <w:rFonts w:hint="eastAsia" w:ascii="宋体" w:hAnsi="宋体" w:eastAsia="宋体" w:cs="宋体"/>
                <w:b/>
                <w:bCs/>
                <w:color w:val="auto"/>
                <w:kern w:val="0"/>
                <w:sz w:val="21"/>
                <w:szCs w:val="21"/>
                <w:highlight w:val="none"/>
                <w:lang w:val="en-US" w:eastAsia="zh-CN" w:bidi="ar"/>
              </w:rPr>
              <w:t>同时提供原件核对</w:t>
            </w:r>
            <w:r>
              <w:rPr>
                <w:rFonts w:hint="eastAsia" w:ascii="宋体" w:hAnsi="宋体" w:eastAsia="宋体" w:cs="宋体"/>
                <w:color w:val="auto"/>
                <w:kern w:val="0"/>
                <w:sz w:val="21"/>
                <w:szCs w:val="21"/>
                <w:highlight w:val="none"/>
                <w:lang w:val="en-US" w:eastAsia="zh-CN" w:bidi="ar"/>
              </w:rPr>
              <w:t xml:space="preserve">。 </w:t>
            </w:r>
          </w:p>
          <w:p w14:paraId="3C55F589">
            <w:pPr>
              <w:keepNext w:val="0"/>
              <w:keepLines w:val="0"/>
              <w:widowControl/>
              <w:suppressLineNumbers w:val="0"/>
              <w:jc w:val="left"/>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2．未提供原件的，颁发机构、时间不符合要求的，按第2项标准处理。</w:t>
            </w:r>
          </w:p>
        </w:tc>
      </w:tr>
      <w:tr w14:paraId="239B4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jc w:val="center"/>
        </w:trPr>
        <w:tc>
          <w:tcPr>
            <w:tcW w:w="1491" w:type="dxa"/>
            <w:vMerge w:val="continue"/>
            <w:tcBorders>
              <w:left w:val="single" w:color="auto" w:sz="4" w:space="0"/>
              <w:right w:val="single" w:color="auto" w:sz="4" w:space="0"/>
            </w:tcBorders>
            <w:noWrap w:val="0"/>
            <w:vAlign w:val="center"/>
          </w:tcPr>
          <w:p w14:paraId="7DF9C02D">
            <w:pPr>
              <w:pStyle w:val="5"/>
              <w:keepNext w:val="0"/>
              <w:keepLines w:val="0"/>
              <w:pageBreakBefore w:val="0"/>
              <w:widowControl w:val="0"/>
              <w:kinsoku/>
              <w:wordWrap w:val="0"/>
              <w:overflowPunct/>
              <w:topLinePunct w:val="0"/>
              <w:autoSpaceDE/>
              <w:autoSpaceDN/>
              <w:bidi w:val="0"/>
              <w:adjustRightInd w:val="0"/>
              <w:snapToGrid w:val="0"/>
              <w:spacing w:after="0"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bidi="ar"/>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BD0F407">
            <w:pPr>
              <w:pStyle w:val="5"/>
              <w:numPr>
                <w:ilvl w:val="0"/>
                <w:numId w:val="0"/>
              </w:numPr>
              <w:wordWrap w:val="0"/>
              <w:adjustRightInd w:val="0"/>
              <w:snapToGrid w:val="0"/>
              <w:spacing w:line="276"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1.投标人获得以下有效证书：①市政工程施工安全认证证书</w:t>
            </w:r>
            <w:r>
              <w:rPr>
                <w:rFonts w:hint="eastAsia" w:hAnsi="宋体" w:cs="宋体"/>
                <w:snapToGrid w:val="0"/>
                <w:color w:val="auto"/>
                <w:kern w:val="0"/>
                <w:sz w:val="21"/>
                <w:szCs w:val="21"/>
                <w:highlight w:val="none"/>
                <w:lang w:val="en-US" w:eastAsia="zh-CN" w:bidi="ar-SA"/>
              </w:rPr>
              <w:t>、</w:t>
            </w:r>
            <w:r>
              <w:rPr>
                <w:rFonts w:hint="eastAsia" w:ascii="宋体" w:hAnsi="宋体" w:eastAsia="宋体" w:cs="宋体"/>
                <w:snapToGrid w:val="0"/>
                <w:color w:val="auto"/>
                <w:kern w:val="0"/>
                <w:sz w:val="21"/>
                <w:szCs w:val="21"/>
                <w:highlight w:val="none"/>
                <w:lang w:val="en-US" w:eastAsia="zh-CN" w:bidi="ar-SA"/>
              </w:rPr>
              <w:t>②工程质量控制规范认证证书的，得5分。</w:t>
            </w:r>
          </w:p>
          <w:p w14:paraId="162EB860">
            <w:pPr>
              <w:pStyle w:val="5"/>
              <w:numPr>
                <w:ilvl w:val="0"/>
                <w:numId w:val="0"/>
              </w:numPr>
              <w:wordWrap w:val="0"/>
              <w:adjustRightInd w:val="0"/>
              <w:snapToGrid w:val="0"/>
              <w:spacing w:line="276" w:lineRule="auto"/>
              <w:ind w:left="0" w:leftChars="0" w:firstLine="0" w:firstLineChars="0"/>
              <w:rPr>
                <w:rFonts w:hint="eastAsia" w:asciiTheme="minorEastAsia" w:hAnsiTheme="minorEastAsia" w:eastAsiaTheme="minorEastAsia" w:cstheme="minorEastAsia"/>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782A5DD1">
            <w:pPr>
              <w:pStyle w:val="5"/>
              <w:wordWrap w:val="0"/>
              <w:adjustRightInd w:val="0"/>
              <w:snapToGrid w:val="0"/>
              <w:spacing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1．</w:t>
            </w:r>
            <w:r>
              <w:rPr>
                <w:snapToGrid w:val="0"/>
                <w:color w:val="auto"/>
                <w:sz w:val="21"/>
                <w:szCs w:val="21"/>
                <w:highlight w:val="none"/>
              </w:rPr>
              <w:t>需提供证书彩色扫描件及“全国认证认可信息公共服务平台”（网址</w:t>
            </w:r>
            <w:r>
              <w:rPr>
                <w:rFonts w:hint="eastAsia"/>
                <w:snapToGrid w:val="0"/>
                <w:color w:val="auto"/>
                <w:sz w:val="21"/>
                <w:szCs w:val="21"/>
                <w:highlight w:val="none"/>
              </w:rPr>
              <w:t>：</w:t>
            </w:r>
            <w:r>
              <w:rPr>
                <w:snapToGrid w:val="0"/>
                <w:color w:val="auto"/>
                <w:sz w:val="21"/>
                <w:szCs w:val="21"/>
                <w:highlight w:val="none"/>
              </w:rPr>
              <w:t>http://cx.cnca.cn/）网页查询截图或打印件</w:t>
            </w:r>
            <w:r>
              <w:rPr>
                <w:rFonts w:hint="eastAsia"/>
                <w:snapToGrid w:val="0"/>
                <w:color w:val="auto"/>
                <w:sz w:val="21"/>
                <w:szCs w:val="21"/>
                <w:highlight w:val="none"/>
                <w:lang w:eastAsia="zh-CN"/>
              </w:rPr>
              <w:t>，</w:t>
            </w:r>
            <w:r>
              <w:rPr>
                <w:b/>
                <w:bCs/>
                <w:color w:val="auto"/>
                <w:sz w:val="21"/>
                <w:szCs w:val="21"/>
                <w:highlight w:val="none"/>
              </w:rPr>
              <w:t>同时提供原件供核对</w:t>
            </w:r>
            <w:r>
              <w:rPr>
                <w:rFonts w:hint="eastAsia" w:ascii="Times New Roman"/>
                <w:snapToGrid w:val="0"/>
                <w:color w:val="auto"/>
                <w:kern w:val="0"/>
                <w:sz w:val="21"/>
                <w:szCs w:val="21"/>
                <w:highlight w:val="none"/>
              </w:rPr>
              <w:t>。</w:t>
            </w:r>
          </w:p>
          <w:p w14:paraId="438F28C8">
            <w:pPr>
              <w:pStyle w:val="5"/>
              <w:wordWrap w:val="0"/>
              <w:spacing w:after="0"/>
              <w:rPr>
                <w:rFonts w:hint="default" w:ascii="Calibri" w:hAnsi="Calibri" w:cs="Calibri"/>
                <w:snapToGrid w:val="0"/>
                <w:color w:val="auto"/>
                <w:sz w:val="21"/>
                <w:szCs w:val="21"/>
                <w:highlight w:val="none"/>
                <w:lang w:val="en-US" w:eastAsia="zh-CN"/>
              </w:rPr>
            </w:pPr>
            <w:r>
              <w:rPr>
                <w:rFonts w:hint="eastAsia" w:asciiTheme="minorHAnsi" w:hAnsiTheme="minorHAnsi" w:eastAsiaTheme="minorEastAsia" w:cstheme="minorBidi"/>
                <w:color w:val="auto"/>
                <w:kern w:val="2"/>
                <w:sz w:val="21"/>
                <w:szCs w:val="22"/>
                <w:highlight w:val="none"/>
                <w:lang w:val="en-US" w:eastAsia="zh-CN" w:bidi="ar-SA"/>
              </w:rPr>
              <w:t>2.证书</w:t>
            </w:r>
            <w:r>
              <w:rPr>
                <w:color w:val="auto"/>
                <w:sz w:val="21"/>
                <w:szCs w:val="21"/>
                <w:highlight w:val="none"/>
              </w:rPr>
              <w:t>①</w:t>
            </w:r>
            <w:r>
              <w:rPr>
                <w:rFonts w:hint="eastAsia" w:ascii="Calibri" w:hAnsi="Calibri" w:cs="Calibri"/>
                <w:snapToGrid w:val="0"/>
                <w:color w:val="auto"/>
                <w:sz w:val="21"/>
                <w:szCs w:val="21"/>
                <w:highlight w:val="none"/>
                <w:lang w:val="en-US" w:eastAsia="zh-CN"/>
              </w:rPr>
              <w:t>符合CJJ/T 275-2018及ZSGP CTS0001-2023标准；证书</w:t>
            </w:r>
            <w:r>
              <w:rPr>
                <w:color w:val="auto"/>
                <w:sz w:val="21"/>
                <w:szCs w:val="21"/>
                <w:highlight w:val="none"/>
              </w:rPr>
              <w:t>②</w:t>
            </w:r>
            <w:r>
              <w:rPr>
                <w:rFonts w:hint="eastAsia" w:ascii="Calibri" w:hAnsi="Calibri" w:cs="Calibri"/>
                <w:snapToGrid w:val="0"/>
                <w:color w:val="auto"/>
                <w:sz w:val="21"/>
                <w:szCs w:val="21"/>
                <w:highlight w:val="none"/>
                <w:lang w:val="en-US" w:eastAsia="zh-CN"/>
              </w:rPr>
              <w:t>符合GB55032-2022及ZSGPCTS0001-2023标准，证书需</w:t>
            </w:r>
            <w:r>
              <w:rPr>
                <w:rFonts w:hint="eastAsia" w:ascii="宋体" w:hAnsi="宋体" w:eastAsia="宋体" w:cs="宋体"/>
                <w:snapToGrid w:val="0"/>
                <w:color w:val="auto"/>
                <w:kern w:val="0"/>
                <w:sz w:val="21"/>
                <w:szCs w:val="21"/>
                <w:highlight w:val="none"/>
                <w:lang w:val="en-US" w:eastAsia="zh-CN" w:bidi="ar-SA"/>
              </w:rPr>
              <w:t>在招标公告发布日前获得。</w:t>
            </w:r>
          </w:p>
          <w:p w14:paraId="2DDC1147">
            <w:pPr>
              <w:pStyle w:val="11"/>
              <w:rPr>
                <w:rFonts w:hint="eastAsia" w:asciiTheme="minorEastAsia" w:hAnsiTheme="minorEastAsia" w:eastAsiaTheme="minorEastAsia" w:cstheme="minorEastAsia"/>
                <w:snapToGrid w:val="0"/>
                <w:color w:val="auto"/>
                <w:kern w:val="0"/>
                <w:sz w:val="21"/>
                <w:szCs w:val="21"/>
                <w:highlight w:val="none"/>
              </w:rPr>
            </w:pPr>
            <w:r>
              <w:rPr>
                <w:rFonts w:hint="eastAsia" w:ascii="Calibri" w:hAnsi="Calibri" w:cs="Calibri"/>
                <w:snapToGrid w:val="0"/>
                <w:color w:val="auto"/>
                <w:sz w:val="21"/>
                <w:szCs w:val="21"/>
                <w:highlight w:val="none"/>
                <w:lang w:val="en-US" w:eastAsia="zh-CN"/>
              </w:rPr>
              <w:t>3.未提供原件的或已获得证书但证书被“撤销、注销”的，不予计分。</w:t>
            </w:r>
          </w:p>
        </w:tc>
      </w:tr>
      <w:tr w14:paraId="2DE5A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34" w:hRule="atLeast"/>
          <w:jc w:val="center"/>
        </w:trPr>
        <w:tc>
          <w:tcPr>
            <w:tcW w:w="1491" w:type="dxa"/>
            <w:vMerge w:val="continue"/>
            <w:tcBorders>
              <w:left w:val="single" w:color="auto" w:sz="4" w:space="0"/>
              <w:right w:val="single" w:color="auto" w:sz="4" w:space="0"/>
            </w:tcBorders>
            <w:noWrap w:val="0"/>
            <w:vAlign w:val="center"/>
          </w:tcPr>
          <w:p w14:paraId="15A2A450">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3BB2192">
            <w:pPr>
              <w:pStyle w:val="38"/>
              <w:numPr>
                <w:ilvl w:val="0"/>
                <w:numId w:val="3"/>
              </w:numPr>
              <w:adjustRightInd w:val="0"/>
              <w:snapToGrid w:val="0"/>
              <w:spacing w:line="400" w:lineRule="exact"/>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投标人从2023年1月1日至今具有“生产经营单位生产安全事故应急预案备案”证明的，得5分。   </w:t>
            </w:r>
          </w:p>
          <w:p w14:paraId="4BF9F43A">
            <w:pPr>
              <w:pStyle w:val="38"/>
              <w:numPr>
                <w:ilvl w:val="0"/>
                <w:numId w:val="0"/>
              </w:numPr>
              <w:adjustRightInd w:val="0"/>
              <w:snapToGrid w:val="0"/>
              <w:spacing w:line="400" w:lineRule="exact"/>
              <w:jc w:val="both"/>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2.其他情形的，不予计分。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63311969">
            <w:pPr>
              <w:pStyle w:val="5"/>
              <w:wordWrap w:val="0"/>
              <w:spacing w:after="0"/>
              <w:rPr>
                <w:rFonts w:hint="eastAsia" w:asciiTheme="minorHAnsi" w:hAnsiTheme="minorHAnsi" w:eastAsiaTheme="minorEastAsia" w:cstheme="minorBidi"/>
                <w:color w:val="auto"/>
                <w:kern w:val="2"/>
                <w:sz w:val="21"/>
                <w:szCs w:val="22"/>
                <w:highlight w:val="none"/>
                <w:lang w:val="en-US" w:eastAsia="zh-CN" w:bidi="ar-SA"/>
              </w:rPr>
            </w:pPr>
            <w:r>
              <w:rPr>
                <w:rFonts w:hint="eastAsia" w:asciiTheme="minorHAnsi" w:hAnsiTheme="minorHAnsi" w:eastAsiaTheme="minorEastAsia" w:cstheme="minorBidi"/>
                <w:color w:val="auto"/>
                <w:kern w:val="2"/>
                <w:sz w:val="21"/>
                <w:szCs w:val="22"/>
                <w:highlight w:val="none"/>
                <w:lang w:val="en-US" w:eastAsia="zh-CN" w:bidi="ar-SA"/>
              </w:rPr>
              <w:t>1.需提供应急管理局出具“生产经营单位生产安全事故应急预案备案”证明彩色扫描件，</w:t>
            </w:r>
            <w:r>
              <w:rPr>
                <w:rFonts w:hint="eastAsia" w:asciiTheme="minorHAnsi" w:hAnsiTheme="minorHAnsi" w:eastAsiaTheme="minorEastAsia" w:cstheme="minorBidi"/>
                <w:b/>
                <w:bCs/>
                <w:color w:val="auto"/>
                <w:kern w:val="2"/>
                <w:sz w:val="21"/>
                <w:szCs w:val="22"/>
                <w:highlight w:val="none"/>
                <w:lang w:val="en-US" w:eastAsia="zh-CN" w:bidi="ar-SA"/>
              </w:rPr>
              <w:t>同时提供原件供核对。</w:t>
            </w:r>
            <w:r>
              <w:rPr>
                <w:rFonts w:hint="eastAsia" w:asciiTheme="minorHAnsi" w:hAnsiTheme="minorHAnsi" w:eastAsiaTheme="minorEastAsia" w:cstheme="minorBidi"/>
                <w:color w:val="auto"/>
                <w:kern w:val="2"/>
                <w:sz w:val="21"/>
                <w:szCs w:val="22"/>
                <w:highlight w:val="none"/>
                <w:lang w:val="en-US" w:eastAsia="zh-CN" w:bidi="ar-SA"/>
              </w:rPr>
              <w:t>（证书为电子证书的除外）；</w:t>
            </w:r>
          </w:p>
          <w:p w14:paraId="1B6839A5">
            <w:pPr>
              <w:pStyle w:val="5"/>
              <w:wordWrap w:val="0"/>
              <w:spacing w:after="0"/>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Theme="minorHAnsi" w:hAnsiTheme="minorHAnsi" w:eastAsiaTheme="minorEastAsia" w:cstheme="minorBidi"/>
                <w:color w:val="auto"/>
                <w:kern w:val="2"/>
                <w:sz w:val="21"/>
                <w:szCs w:val="22"/>
                <w:highlight w:val="none"/>
                <w:lang w:val="en-US" w:eastAsia="zh-CN" w:bidi="ar-SA"/>
              </w:rPr>
              <w:t>2.未提供原件的；颁发机构不符合评分标准和备注规定的，不予得分。</w:t>
            </w:r>
          </w:p>
        </w:tc>
      </w:tr>
      <w:tr w14:paraId="5077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64" w:hRule="atLeast"/>
          <w:jc w:val="center"/>
        </w:trPr>
        <w:tc>
          <w:tcPr>
            <w:tcW w:w="1491" w:type="dxa"/>
            <w:vMerge w:val="continue"/>
            <w:tcBorders>
              <w:left w:val="single" w:color="auto" w:sz="4" w:space="0"/>
              <w:right w:val="single" w:color="auto" w:sz="4" w:space="0"/>
            </w:tcBorders>
            <w:noWrap w:val="0"/>
            <w:vAlign w:val="center"/>
          </w:tcPr>
          <w:p w14:paraId="619368FF">
            <w:pPr>
              <w:keepNext w:val="0"/>
              <w:keepLines w:val="0"/>
              <w:pageBreakBefore w:val="0"/>
              <w:widowControl w:val="0"/>
              <w:kinsoku/>
              <w:wordWrap w:val="0"/>
              <w:overflowPunct/>
              <w:topLinePunct w:val="0"/>
              <w:autoSpaceDE/>
              <w:autoSpaceDN/>
              <w:bidi w:val="0"/>
              <w:adjustRightInd w:val="0"/>
              <w:snapToGrid w:val="0"/>
              <w:spacing w:line="288" w:lineRule="auto"/>
              <w:jc w:val="center"/>
              <w:textAlignment w:val="auto"/>
              <w:rPr>
                <w:rFonts w:hint="eastAsia" w:asciiTheme="minorEastAsia" w:hAnsiTheme="minorEastAsia" w:eastAsiaTheme="minorEastAsia" w:cstheme="minorEastAsia"/>
                <w:snapToGrid w:val="0"/>
                <w:color w:val="auto"/>
                <w:kern w:val="0"/>
                <w:sz w:val="21"/>
                <w:szCs w:val="21"/>
                <w:highlight w:val="none"/>
                <w:lang w:val="en-US" w:eastAsia="zh-CN"/>
              </w:rPr>
            </w:pPr>
          </w:p>
        </w:tc>
        <w:tc>
          <w:tcPr>
            <w:tcW w:w="3868" w:type="dxa"/>
            <w:gridSpan w:val="2"/>
            <w:tcBorders>
              <w:top w:val="single" w:color="auto" w:sz="4" w:space="0"/>
              <w:left w:val="single" w:color="auto" w:sz="4" w:space="0"/>
              <w:right w:val="single" w:color="auto" w:sz="4" w:space="0"/>
            </w:tcBorders>
            <w:noWrap w:val="0"/>
            <w:vAlign w:val="center"/>
          </w:tcPr>
          <w:p w14:paraId="1F45DDB2">
            <w:pPr>
              <w:pStyle w:val="5"/>
              <w:numPr>
                <w:ilvl w:val="0"/>
                <w:numId w:val="0"/>
              </w:numPr>
              <w:wordWrap w:val="0"/>
              <w:adjustRightInd w:val="0"/>
              <w:snapToGrid w:val="0"/>
              <w:spacing w:line="276"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1.投标人从2023年1月1日至今未发生事故等级为一般事故及以上的生产安全事故、一般质量事故及以上的工程质量事故的，得5分。</w:t>
            </w:r>
          </w:p>
          <w:p w14:paraId="49797C12">
            <w:pPr>
              <w:pStyle w:val="5"/>
              <w:numPr>
                <w:ilvl w:val="0"/>
                <w:numId w:val="0"/>
              </w:numPr>
              <w:wordWrap w:val="0"/>
              <w:adjustRightInd w:val="0"/>
              <w:snapToGrid w:val="0"/>
              <w:spacing w:line="276" w:lineRule="auto"/>
              <w:ind w:left="0" w:leftChars="0" w:firstLine="0" w:firstLineChars="0"/>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bidi="ar-SA"/>
              </w:rPr>
              <w:t>2.其他情形的，不予计分。</w:t>
            </w:r>
          </w:p>
        </w:tc>
        <w:tc>
          <w:tcPr>
            <w:tcW w:w="5065" w:type="dxa"/>
            <w:tcBorders>
              <w:top w:val="single" w:color="auto" w:sz="4" w:space="0"/>
              <w:left w:val="single" w:color="auto" w:sz="4" w:space="0"/>
              <w:right w:val="single" w:color="auto" w:sz="4" w:space="0"/>
            </w:tcBorders>
            <w:noWrap w:val="0"/>
            <w:vAlign w:val="center"/>
          </w:tcPr>
          <w:p w14:paraId="31336966">
            <w:pPr>
              <w:pStyle w:val="5"/>
              <w:numPr>
                <w:ilvl w:val="0"/>
                <w:numId w:val="0"/>
              </w:numPr>
              <w:wordWrap w:val="0"/>
              <w:adjustRightInd w:val="0"/>
              <w:snapToGrid w:val="0"/>
              <w:spacing w:line="276" w:lineRule="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1.需提供本单位承诺书（格式自定）并加盖本单位公章。</w:t>
            </w:r>
          </w:p>
          <w:p w14:paraId="18237E7B">
            <w:pPr>
              <w:pStyle w:val="5"/>
              <w:numPr>
                <w:ilvl w:val="0"/>
                <w:numId w:val="0"/>
              </w:numPr>
              <w:wordWrap w:val="0"/>
              <w:adjustRightInd w:val="0"/>
              <w:snapToGrid w:val="0"/>
              <w:spacing w:line="276" w:lineRule="auto"/>
              <w:ind w:left="0" w:leftChars="0" w:firstLine="0" w:firstLineChars="0"/>
              <w:rPr>
                <w:rFonts w:hint="eastAsia" w:asciiTheme="minorEastAsia" w:hAnsiTheme="minorEastAsia" w:eastAsiaTheme="minorEastAsia" w:cstheme="minorEastAsia"/>
                <w:b w:val="0"/>
                <w:bCs w:val="0"/>
                <w:color w:val="auto"/>
                <w:sz w:val="21"/>
                <w:szCs w:val="21"/>
                <w:highlight w:val="none"/>
                <w:lang w:eastAsia="zh-CN"/>
              </w:rPr>
            </w:pPr>
            <w:r>
              <w:rPr>
                <w:rFonts w:hint="eastAsia" w:ascii="宋体" w:hAnsi="宋体" w:eastAsia="宋体" w:cs="宋体"/>
                <w:snapToGrid w:val="0"/>
                <w:color w:val="auto"/>
                <w:kern w:val="0"/>
                <w:sz w:val="21"/>
                <w:szCs w:val="21"/>
                <w:highlight w:val="none"/>
                <w:lang w:val="en-US" w:eastAsia="zh-CN" w:bidi="ar-SA"/>
              </w:rPr>
              <w:t>2.未提供本单位承诺书并加盖本单位公章的，按第2项标准处理。</w:t>
            </w:r>
          </w:p>
        </w:tc>
      </w:tr>
      <w:tr w14:paraId="47C95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2"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11D6A432">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技术部分（施工组织设计），满分：</w:t>
            </w:r>
            <w:r>
              <w:rPr>
                <w:rFonts w:hint="eastAsia" w:asciiTheme="minorEastAsia" w:hAnsiTheme="minorEastAsia" w:eastAsiaTheme="minorEastAsia" w:cstheme="minorEastAsia"/>
                <w:b/>
                <w:bCs/>
                <w:caps w:val="0"/>
                <w:smallCaps w:val="0"/>
                <w:snapToGrid w:val="0"/>
                <w:color w:val="auto"/>
                <w:spacing w:val="0"/>
                <w:kern w:val="0"/>
                <w:sz w:val="21"/>
                <w:szCs w:val="21"/>
                <w:highlight w:val="none"/>
                <w:u w:val="single"/>
                <w:lang w:val="en-US" w:eastAsia="zh-CN"/>
              </w:rPr>
              <w:t xml:space="preserve">  20  </w:t>
            </w: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val="en-US" w:eastAsia="zh-CN"/>
              </w:rPr>
              <w:t>分。</w:t>
            </w:r>
          </w:p>
        </w:tc>
      </w:tr>
      <w:tr w14:paraId="6C61E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1" w:hRule="exac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9F6191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rPr>
              <w:t>评分因素</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34FD14D">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rPr>
              <w:t>评分标准</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DE5B26F">
            <w:pPr>
              <w:pStyle w:val="5"/>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b/>
                <w:bCs/>
                <w:caps w:val="0"/>
                <w:smallCaps w:val="0"/>
                <w:snapToGrid w:val="0"/>
                <w:color w:val="auto"/>
                <w:spacing w:val="0"/>
                <w:kern w:val="0"/>
                <w:sz w:val="21"/>
                <w:szCs w:val="21"/>
                <w:highlight w:val="none"/>
                <w:lang w:eastAsia="zh-CN"/>
              </w:rPr>
              <w:t>备注</w:t>
            </w:r>
          </w:p>
        </w:tc>
      </w:tr>
      <w:tr w14:paraId="25B26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4EC4B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 xml:space="preserve"> 总体概述</w:t>
            </w:r>
          </w:p>
          <w:p w14:paraId="7333D43A">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6F62EC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43B3257C">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56D845F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3FD7098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3D54074">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【优】对项目总体有深刻认识，表述清晰、完整、严谨、合理，措施先进、具体、有效、成熟，采用了新技术、新工艺、新材料、新设备；施工段划分呼应总体表述，划分清晰、合理，符合规范要求。</w:t>
            </w:r>
          </w:p>
          <w:p w14:paraId="12153FF5">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【良】对项目总体有一定认识，表述清晰、完整，措施具体有效；施工段划分呼应总体表述，划分清晰，符合规范要求。</w:t>
            </w:r>
          </w:p>
          <w:p w14:paraId="5EBA7D58">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【中】对项目总体有认识，有一定的措施但部分不具体；施工段划分较合理，符合规范要求。</w:t>
            </w:r>
          </w:p>
          <w:p w14:paraId="5C73A9B2">
            <w:pPr>
              <w:keepNext w:val="0"/>
              <w:keepLines w:val="0"/>
              <w:pageBreakBefore w:val="0"/>
              <w:widowControl w:val="0"/>
              <w:kinsoku/>
              <w:wordWrap w:val="0"/>
              <w:overflowPunct/>
              <w:topLinePunct w:val="0"/>
              <w:autoSpaceDE/>
              <w:autoSpaceDN/>
              <w:bidi w:val="0"/>
              <w:adjustRightInd w:val="0"/>
              <w:snapToGrid w:val="0"/>
              <w:spacing w:before="0" w:afterAutospacing="0" w:line="340" w:lineRule="exact"/>
              <w:ind w:left="0" w:leftChars="0" w:right="0" w:rightChars="0" w:firstLine="0" w:firstLineChars="0"/>
              <w:jc w:val="left"/>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【差】对项目认识不足，表述不清晰，措施不具体；施工段划分不合理。</w:t>
            </w:r>
          </w:p>
        </w:tc>
      </w:tr>
      <w:tr w14:paraId="037BB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6"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4426F8C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施工总进</w:t>
            </w:r>
          </w:p>
          <w:p w14:paraId="3DAB3C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度计划及</w:t>
            </w:r>
          </w:p>
          <w:p w14:paraId="6FB92D0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保证措施</w:t>
            </w:r>
          </w:p>
          <w:p w14:paraId="6780E20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55E909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2BB77EA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6971F76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058DCEF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08EE883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经济赔偿合理。</w:t>
            </w:r>
          </w:p>
          <w:p w14:paraId="2EA5956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经济赔偿较合理。</w:t>
            </w:r>
          </w:p>
          <w:p w14:paraId="6207766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【中】关键线路基本准确，计划编制基本合理。关键节点的控制措施基本可行。人、材、机需求和进场计划与进度计划相呼应，基本满足施工需要，调配投入计划基本合理。进度违约责任承诺具体。</w:t>
            </w:r>
          </w:p>
          <w:p w14:paraId="6FD8C0F5">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【差】关键线路不准确，计划编制不合理。关键节点的控制不可行。人、材、机需求和进场计划与进度计划不相呼应，不能满足施工需要。没有违约责任承诺。</w:t>
            </w:r>
          </w:p>
        </w:tc>
      </w:tr>
      <w:tr w14:paraId="0D76A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7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595ED5F9">
            <w:pPr>
              <w:pStyle w:val="27"/>
              <w:wordWrap w:val="0"/>
              <w:adjustRightInd w:val="0"/>
              <w:snapToGrid w:val="0"/>
              <w:spacing w:line="400" w:lineRule="exact"/>
              <w:jc w:val="center"/>
              <w:rPr>
                <w:rFonts w:eastAsia="宋体"/>
                <w:snapToGrid w:val="0"/>
                <w:color w:val="auto"/>
                <w:kern w:val="0"/>
                <w:szCs w:val="21"/>
                <w:highlight w:val="none"/>
              </w:rPr>
            </w:pPr>
            <w:r>
              <w:rPr>
                <w:rFonts w:hint="eastAsia" w:eastAsia="宋体"/>
                <w:snapToGrid w:val="0"/>
                <w:color w:val="auto"/>
                <w:kern w:val="0"/>
                <w:szCs w:val="21"/>
                <w:highlight w:val="none"/>
              </w:rPr>
              <w:t>质量</w:t>
            </w:r>
          </w:p>
          <w:p w14:paraId="64482CF6">
            <w:pPr>
              <w:pStyle w:val="27"/>
              <w:wordWrap w:val="0"/>
              <w:adjustRightInd w:val="0"/>
              <w:snapToGrid w:val="0"/>
              <w:spacing w:line="400" w:lineRule="exact"/>
              <w:jc w:val="center"/>
              <w:rPr>
                <w:rFonts w:eastAsia="宋体"/>
                <w:snapToGrid w:val="0"/>
                <w:color w:val="auto"/>
                <w:kern w:val="0"/>
                <w:szCs w:val="21"/>
                <w:highlight w:val="none"/>
              </w:rPr>
            </w:pPr>
            <w:r>
              <w:rPr>
                <w:rFonts w:hint="eastAsia" w:eastAsia="宋体"/>
                <w:snapToGrid w:val="0"/>
                <w:color w:val="auto"/>
                <w:kern w:val="0"/>
                <w:szCs w:val="21"/>
                <w:highlight w:val="none"/>
              </w:rPr>
              <w:t>保证措施</w:t>
            </w:r>
          </w:p>
          <w:p w14:paraId="1CC12203">
            <w:pPr>
              <w:pStyle w:val="27"/>
              <w:wordWrap w:val="0"/>
              <w:adjustRightInd w:val="0"/>
              <w:snapToGrid w:val="0"/>
              <w:spacing w:line="400" w:lineRule="exact"/>
              <w:jc w:val="center"/>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eastAsia="宋体"/>
                <w:snapToGrid w:val="0"/>
                <w:color w:val="auto"/>
                <w:kern w:val="0"/>
                <w:szCs w:val="21"/>
                <w:highlight w:val="none"/>
              </w:rPr>
              <w:t>（4</w:t>
            </w:r>
            <w:r>
              <w:rPr>
                <w:rFonts w:hint="eastAsia" w:eastAsia="宋体"/>
                <w:snapToGrid w:val="0"/>
                <w:color w:val="auto"/>
                <w:kern w:val="0"/>
                <w:szCs w:val="21"/>
                <w:highlight w:val="none"/>
                <w:u w:val="single"/>
              </w:rPr>
              <w:t xml:space="preserve"> </w:t>
            </w:r>
            <w:r>
              <w:rPr>
                <w:rFonts w:hint="eastAsia" w:eastAsia="宋体"/>
                <w:snapToGrid w:val="0"/>
                <w:color w:val="auto"/>
                <w:kern w:val="0"/>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6B18153F">
            <w:pPr>
              <w:pStyle w:val="26"/>
              <w:wordWrap w:val="0"/>
              <w:adjustRightInd w:val="0"/>
              <w:snapToGrid w:val="0"/>
              <w:spacing w:line="400" w:lineRule="exact"/>
              <w:rPr>
                <w:rFonts w:eastAsia="宋体"/>
                <w:snapToGrid w:val="0"/>
                <w:color w:val="auto"/>
                <w:kern w:val="0"/>
                <w:szCs w:val="21"/>
                <w:highlight w:val="none"/>
              </w:rPr>
            </w:pPr>
            <w:r>
              <w:rPr>
                <w:rFonts w:hint="eastAsia" w:eastAsia="宋体"/>
                <w:snapToGrid w:val="0"/>
                <w:color w:val="auto"/>
                <w:kern w:val="0"/>
                <w:szCs w:val="21"/>
                <w:highlight w:val="none"/>
              </w:rPr>
              <w:t>【优】得该项评分因素分值的95%～100%（含95%）。</w:t>
            </w:r>
          </w:p>
          <w:p w14:paraId="57C7AE10">
            <w:pPr>
              <w:pStyle w:val="26"/>
              <w:wordWrap w:val="0"/>
              <w:adjustRightInd w:val="0"/>
              <w:snapToGrid w:val="0"/>
              <w:spacing w:line="400" w:lineRule="exact"/>
              <w:rPr>
                <w:rFonts w:eastAsia="宋体"/>
                <w:snapToGrid w:val="0"/>
                <w:color w:val="auto"/>
                <w:kern w:val="0"/>
                <w:szCs w:val="21"/>
                <w:highlight w:val="none"/>
              </w:rPr>
            </w:pPr>
            <w:r>
              <w:rPr>
                <w:rFonts w:hint="eastAsia" w:eastAsia="宋体"/>
                <w:snapToGrid w:val="0"/>
                <w:color w:val="auto"/>
                <w:kern w:val="0"/>
                <w:szCs w:val="21"/>
                <w:highlight w:val="none"/>
              </w:rPr>
              <w:t>【良】得该项评分因素分值的90%～95%（含90%）。</w:t>
            </w:r>
          </w:p>
          <w:p w14:paraId="78803DFE">
            <w:pPr>
              <w:pStyle w:val="26"/>
              <w:wordWrap w:val="0"/>
              <w:adjustRightInd w:val="0"/>
              <w:snapToGrid w:val="0"/>
              <w:spacing w:line="400" w:lineRule="exact"/>
              <w:rPr>
                <w:rFonts w:eastAsia="宋体"/>
                <w:snapToGrid w:val="0"/>
                <w:color w:val="auto"/>
                <w:kern w:val="0"/>
                <w:szCs w:val="21"/>
                <w:highlight w:val="none"/>
              </w:rPr>
            </w:pPr>
            <w:r>
              <w:rPr>
                <w:rFonts w:hint="eastAsia" w:eastAsia="宋体"/>
                <w:snapToGrid w:val="0"/>
                <w:color w:val="auto"/>
                <w:kern w:val="0"/>
                <w:szCs w:val="21"/>
                <w:highlight w:val="none"/>
              </w:rPr>
              <w:t>【中】得该项评分因素分值的85%～90%（含85%）。</w:t>
            </w:r>
          </w:p>
          <w:p w14:paraId="5579A178">
            <w:pPr>
              <w:pStyle w:val="28"/>
              <w:wordWrap w:val="0"/>
              <w:adjustRightInd w:val="0"/>
              <w:snapToGrid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eastAsia="宋体"/>
                <w:snapToGrid w:val="0"/>
                <w:color w:val="auto"/>
                <w:kern w:val="0"/>
                <w:szCs w:val="21"/>
                <w:highlight w:val="none"/>
              </w:rPr>
              <w:t>【差】得该项评分因素分值的80～85%（含80%）。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5C93211">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优】应用新技术、新工艺、新材料、新设备，针对项目实际提出先进、可行、具体的保证措施。超过招标文件的质量要求。投标人企业注册地或分支机构所在地与项目所在地的距离或全资子公司与项目所在地距离100公里内、投标人在相同地质条件业绩情况等相关证明资料。</w:t>
            </w:r>
          </w:p>
          <w:p w14:paraId="17CADA9C">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良】针对项目实际提出先进、可行、具体的保证措施。满足招标文件的质量要求。投标人企业注册地或分支机构所在地与项目所在地的距离或全资子公司与项目所在地距离200公里内、投标人在相同地质条件业绩情况等相关证明资料。</w:t>
            </w:r>
          </w:p>
          <w:p w14:paraId="02529A20">
            <w:pPr>
              <w:pStyle w:val="5"/>
              <w:wordWrap w:val="0"/>
              <w:adjustRightInd w:val="0"/>
              <w:snapToGrid w:val="0"/>
              <w:spacing w:after="0" w:line="400" w:lineRule="exact"/>
              <w:rPr>
                <w:rFonts w:ascii="Times New Roman"/>
                <w:snapToGrid w:val="0"/>
                <w:color w:val="auto"/>
                <w:kern w:val="0"/>
                <w:sz w:val="21"/>
                <w:szCs w:val="21"/>
                <w:highlight w:val="none"/>
              </w:rPr>
            </w:pPr>
            <w:r>
              <w:rPr>
                <w:rFonts w:hint="eastAsia" w:ascii="Times New Roman"/>
                <w:snapToGrid w:val="0"/>
                <w:color w:val="auto"/>
                <w:kern w:val="0"/>
                <w:sz w:val="21"/>
                <w:szCs w:val="21"/>
                <w:highlight w:val="none"/>
              </w:rPr>
              <w:t>【中】具体措施可行。满足招标文件的质量要求。投标人企业注册地或分支机构所在地与项目所在地的距离或全资子公司与项目所在地距离300公里内、投标人在相同地质条件业绩情况等相关证明资料。</w:t>
            </w:r>
          </w:p>
          <w:p w14:paraId="51FB6AE3">
            <w:pPr>
              <w:pStyle w:val="28"/>
              <w:wordWrap w:val="0"/>
              <w:adjustRightInd w:val="0"/>
              <w:snapToGrid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eastAsia="宋体"/>
                <w:snapToGrid w:val="0"/>
                <w:color w:val="auto"/>
                <w:kern w:val="0"/>
                <w:szCs w:val="21"/>
                <w:highlight w:val="none"/>
              </w:rPr>
              <w:t>【差】措施不可行，没有质量违约责任承诺。</w:t>
            </w:r>
          </w:p>
        </w:tc>
      </w:tr>
      <w:tr w14:paraId="7D45C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61"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4309F9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施工</w:t>
            </w:r>
          </w:p>
          <w:p w14:paraId="10E0DBE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技术措施</w:t>
            </w:r>
          </w:p>
          <w:p w14:paraId="7A2152B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2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D6A5A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46B998B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7813884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45B4BB13">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03F18B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经济赔偿合理。</w:t>
            </w:r>
          </w:p>
          <w:p w14:paraId="417C0F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b/>
                <w:bCs/>
                <w:caps w:val="0"/>
                <w:smallCaps w:val="0"/>
                <w:strike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Theme="minorEastAsia" w:hAnsiTheme="minorEastAsia" w:eastAsiaTheme="minorEastAsia" w:cstheme="minorEastAsia"/>
                <w:b/>
                <w:bCs/>
                <w:caps w:val="0"/>
                <w:smallCaps w:val="0"/>
                <w:strike w:val="0"/>
                <w:dstrike w:val="0"/>
                <w:snapToGrid w:val="0"/>
                <w:color w:val="auto"/>
                <w:spacing w:val="0"/>
                <w:kern w:val="0"/>
                <w:sz w:val="21"/>
                <w:szCs w:val="21"/>
                <w:highlight w:val="none"/>
                <w:lang w:val="en-US" w:eastAsia="zh-CN" w:bidi="ar-SA"/>
              </w:rPr>
              <w:t>经济赔偿较合理。</w:t>
            </w:r>
          </w:p>
          <w:p w14:paraId="44507D0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对项目关键技术有一定了解，对重点、难点有建议，解决方案基本可行。有新技术措施，但验证材料不充分，对节约投资和工期可能有一定收益，但对采用的新技术可能产生的风险预见不足。有违约责任承诺。</w:t>
            </w:r>
          </w:p>
          <w:p w14:paraId="1AB9CBE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【差】对项目关键技术有表述，对重点、难点有建议，解决方案不可行。采用的新技术针对性不强或验证材料不可靠，对节约投资、工期没有具体收益。无违约责任承诺。</w:t>
            </w:r>
          </w:p>
        </w:tc>
      </w:tr>
      <w:tr w14:paraId="77615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3"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0644BF9B">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绿色施工、</w:t>
            </w:r>
          </w:p>
          <w:p w14:paraId="6C81D19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安全防护、</w:t>
            </w:r>
          </w:p>
          <w:p w14:paraId="638C625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文明施工</w:t>
            </w:r>
          </w:p>
          <w:p w14:paraId="78E2CFA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措施计划</w:t>
            </w:r>
          </w:p>
          <w:p w14:paraId="0AEC977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3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2ADD8C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5EE1FBD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0DFD8EAD">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1B36B2CF">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2687ED96">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【优】针对项目实际情况，有先进、具体、完整、可行的措施，采用规范准确、清晰。</w:t>
            </w:r>
          </w:p>
          <w:p w14:paraId="14A6ED7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【良】针对项目实际情况，有合理的措施且具体、完整，采用规范准确。</w:t>
            </w:r>
          </w:p>
          <w:p w14:paraId="72D94C8E">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【中】有基本合理的措施，采用规范准确。</w:t>
            </w:r>
          </w:p>
          <w:p w14:paraId="06B16B6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【差】措施不力，采用规范不正确。</w:t>
            </w:r>
          </w:p>
        </w:tc>
      </w:tr>
      <w:tr w14:paraId="6CB4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8"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62956FD4">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施工平面</w:t>
            </w:r>
          </w:p>
          <w:p w14:paraId="25BBEE0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布置和临时设施布置</w:t>
            </w:r>
          </w:p>
          <w:p w14:paraId="1D6C6A0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center"/>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eastAsia="zh-CN"/>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w:t>
            </w:r>
            <w:r>
              <w:rPr>
                <w:rFonts w:hint="eastAsia" w:asciiTheme="minorEastAsia" w:hAnsiTheme="minorEastAsia" w:eastAsiaTheme="minorEastAsia" w:cstheme="minorEastAsia"/>
                <w:caps w:val="0"/>
                <w:smallCaps w:val="0"/>
                <w:snapToGrid w:val="0"/>
                <w:color w:val="auto"/>
                <w:spacing w:val="0"/>
                <w:kern w:val="0"/>
                <w:sz w:val="21"/>
                <w:szCs w:val="21"/>
                <w:highlight w:val="none"/>
                <w:u w:val="single"/>
                <w:lang w:val="en-US" w:eastAsia="zh-CN" w:bidi="ar-SA"/>
              </w:rPr>
              <w:t xml:space="preserve"> 2 </w:t>
            </w: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19AAB17A">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【优】得该项评分因素分值的90%～100%（含90%）。</w:t>
            </w:r>
          </w:p>
          <w:p w14:paraId="24A2C3A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【良】得该项评分因素分值的80%～90%（含80%）。</w:t>
            </w:r>
          </w:p>
          <w:p w14:paraId="23E105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【中】得该项评分因素分值的70%～80%（含70%）。</w:t>
            </w:r>
          </w:p>
          <w:p w14:paraId="3A880DA1">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3B0E8C07">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【优】总体布置有针对性、合理，较好满足施工需要，符合绿色施工、安全防护、文明施工要求。</w:t>
            </w:r>
          </w:p>
          <w:p w14:paraId="652713E2">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【良】总体布置合理，能满足施工需要，基本符合绿色施工、安全防护、文明施工要求。</w:t>
            </w:r>
          </w:p>
          <w:p w14:paraId="657291C0">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【中】总体布置基本合理，基本满足施工需要。</w:t>
            </w:r>
          </w:p>
          <w:p w14:paraId="63EE77B9">
            <w:pPr>
              <w:keepNext w:val="0"/>
              <w:keepLines w:val="0"/>
              <w:pageBreakBefore w:val="0"/>
              <w:widowControl w:val="0"/>
              <w:kinsoku/>
              <w:wordWrap w:val="0"/>
              <w:overflowPunct/>
              <w:topLinePunct w:val="0"/>
              <w:autoSpaceDE/>
              <w:autoSpaceDN/>
              <w:bidi w:val="0"/>
              <w:adjustRightInd w:val="0"/>
              <w:snapToGrid w:val="0"/>
              <w:spacing w:before="0" w:line="340" w:lineRule="exact"/>
              <w:ind w:left="0" w:leftChars="0" w:right="0" w:rightChars="0" w:firstLine="0" w:firstLineChars="0"/>
              <w:jc w:val="both"/>
              <w:textAlignment w:val="auto"/>
              <w:outlineLvl w:val="9"/>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caps w:val="0"/>
                <w:smallCaps w:val="0"/>
                <w:snapToGrid w:val="0"/>
                <w:color w:val="auto"/>
                <w:spacing w:val="0"/>
                <w:kern w:val="0"/>
                <w:sz w:val="21"/>
                <w:szCs w:val="21"/>
                <w:highlight w:val="none"/>
                <w:lang w:val="en-US" w:eastAsia="zh-CN" w:bidi="ar-SA"/>
              </w:rPr>
              <w:t>【差】总体布置不合理，不符合绿色施工、安全防护、文明施工要求。</w:t>
            </w:r>
          </w:p>
        </w:tc>
      </w:tr>
      <w:tr w14:paraId="53AF7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7" w:hRule="atLeast"/>
          <w:jc w:val="center"/>
        </w:trPr>
        <w:tc>
          <w:tcPr>
            <w:tcW w:w="1491" w:type="dxa"/>
            <w:tcBorders>
              <w:top w:val="single" w:color="auto" w:sz="4" w:space="0"/>
              <w:left w:val="single" w:color="auto" w:sz="4" w:space="0"/>
              <w:bottom w:val="single" w:color="auto" w:sz="4" w:space="0"/>
              <w:right w:val="single" w:color="auto" w:sz="4" w:space="0"/>
            </w:tcBorders>
            <w:noWrap w:val="0"/>
            <w:vAlign w:val="center"/>
          </w:tcPr>
          <w:p w14:paraId="2B6196E3">
            <w:pPr>
              <w:pStyle w:val="27"/>
              <w:wordWrap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项目</w:t>
            </w:r>
          </w:p>
          <w:p w14:paraId="1931B2B7">
            <w:pPr>
              <w:pStyle w:val="27"/>
              <w:wordWrap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管理机构</w:t>
            </w:r>
          </w:p>
          <w:p w14:paraId="0EC815FA">
            <w:pPr>
              <w:pStyle w:val="27"/>
              <w:wordWrap w:val="0"/>
              <w:spacing w:line="400" w:lineRule="exact"/>
              <w:jc w:val="center"/>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w:t>
            </w:r>
            <w:r>
              <w:rPr>
                <w:rFonts w:hint="eastAsia" w:asciiTheme="minorEastAsia" w:hAnsiTheme="minorEastAsia" w:eastAsiaTheme="minorEastAsia" w:cstheme="minorEastAsia"/>
                <w:snapToGrid w:val="0"/>
                <w:color w:val="auto"/>
                <w:kern w:val="0"/>
                <w:sz w:val="21"/>
                <w:szCs w:val="21"/>
                <w:highlight w:val="none"/>
                <w:u w:val="single"/>
              </w:rPr>
              <w:t xml:space="preserve"> 3 </w:t>
            </w:r>
            <w:r>
              <w:rPr>
                <w:rFonts w:hint="eastAsia" w:asciiTheme="minorEastAsia" w:hAnsiTheme="minorEastAsia" w:eastAsiaTheme="minorEastAsia" w:cstheme="minorEastAsia"/>
                <w:snapToGrid w:val="0"/>
                <w:color w:val="auto"/>
                <w:kern w:val="0"/>
                <w:sz w:val="21"/>
                <w:szCs w:val="21"/>
                <w:highlight w:val="none"/>
              </w:rPr>
              <w:t>分）</w:t>
            </w:r>
          </w:p>
        </w:tc>
        <w:tc>
          <w:tcPr>
            <w:tcW w:w="3868" w:type="dxa"/>
            <w:gridSpan w:val="2"/>
            <w:tcBorders>
              <w:top w:val="single" w:color="auto" w:sz="4" w:space="0"/>
              <w:left w:val="single" w:color="auto" w:sz="4" w:space="0"/>
              <w:bottom w:val="single" w:color="auto" w:sz="4" w:space="0"/>
              <w:right w:val="single" w:color="auto" w:sz="4" w:space="0"/>
            </w:tcBorders>
            <w:noWrap w:val="0"/>
            <w:vAlign w:val="center"/>
          </w:tcPr>
          <w:p w14:paraId="34F47295">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【优】得该项评分因素分值的90%～100%（含90%）。</w:t>
            </w:r>
          </w:p>
          <w:p w14:paraId="21C01A3F">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【良】得该项评分因素分值的80%～90%（含80%）。</w:t>
            </w:r>
          </w:p>
          <w:p w14:paraId="0CE6CB42">
            <w:pPr>
              <w:pStyle w:val="26"/>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【中】得该项评分因素分值的70%～80%（含70%）。</w:t>
            </w:r>
          </w:p>
          <w:p w14:paraId="6255D4DE">
            <w:pPr>
              <w:pStyle w:val="28"/>
              <w:wordWrap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【差】得该项评分因素分值的60～70%（含60%）。</w:t>
            </w:r>
          </w:p>
        </w:tc>
        <w:tc>
          <w:tcPr>
            <w:tcW w:w="5065" w:type="dxa"/>
            <w:tcBorders>
              <w:top w:val="single" w:color="auto" w:sz="4" w:space="0"/>
              <w:left w:val="single" w:color="auto" w:sz="4" w:space="0"/>
              <w:bottom w:val="single" w:color="auto" w:sz="4" w:space="0"/>
              <w:right w:val="single" w:color="auto" w:sz="4" w:space="0"/>
            </w:tcBorders>
            <w:noWrap w:val="0"/>
            <w:vAlign w:val="center"/>
          </w:tcPr>
          <w:p w14:paraId="107FF9CF">
            <w:pPr>
              <w:pStyle w:val="28"/>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【优】组织机构形式合理，有完善的指挥系统，生产及质量、绿色施工、安全、文明施工、创优达标监控系统、联络协调系统，项目管理人员内高级职称人员20%（含20%）以上、中级职称人员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60%（含60%）以上。</w:t>
            </w:r>
          </w:p>
          <w:p w14:paraId="22B3AF54">
            <w:pPr>
              <w:pStyle w:val="28"/>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【良】组织机构形式合理，指挥系统，生产及质量、绿色施工、安全、文明施工、创优达标监控系统、联络协调系统齐全，项目管理人员内高级职称人员15%～20%（含15%）、中级职称</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人员50%～60%（含50%）。</w:t>
            </w:r>
          </w:p>
          <w:p w14:paraId="71B3578F">
            <w:pPr>
              <w:pStyle w:val="28"/>
              <w:wordWrap w:val="0"/>
              <w:spacing w:line="400" w:lineRule="exac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【中】组织机构形式基本合理，有指挥系统，生产及质量、绿色施工、安全、文明施工、创优达标监控系统、联络协调系统，项目管理人员内高级职称人员10%～15%（含10%）、中级职称人员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40%～50%（含40%）。</w:t>
            </w:r>
          </w:p>
          <w:p w14:paraId="36C01698">
            <w:pPr>
              <w:pStyle w:val="28"/>
              <w:wordWrap w:val="0"/>
              <w:spacing w:line="400" w:lineRule="exact"/>
              <w:rPr>
                <w:rFonts w:hint="eastAsia" w:asciiTheme="minorEastAsia" w:hAnsiTheme="minorEastAsia" w:eastAsiaTheme="minorEastAsia" w:cstheme="minorEastAsia"/>
                <w:caps w:val="0"/>
                <w:smallCaps w:val="0"/>
                <w:snapToGrid w:val="0"/>
                <w:color w:val="auto"/>
                <w:spacing w:val="0"/>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【差】组织机构形式合理，指挥系统，生产及质量、绿色施工、安全、文明施工、创优达标监控系统、联络协调系统不齐全，项目管理人员内高级职称人员10%以下、中级职称人员</w:t>
            </w:r>
            <w:r>
              <w:rPr>
                <w:rFonts w:hint="eastAsia" w:asciiTheme="minorEastAsia" w:hAnsiTheme="minorEastAsia" w:eastAsiaTheme="minorEastAsia" w:cstheme="minorEastAsia"/>
                <w:b/>
                <w:bCs/>
                <w:snapToGrid w:val="0"/>
                <w:color w:val="auto"/>
                <w:kern w:val="0"/>
                <w:sz w:val="21"/>
                <w:szCs w:val="21"/>
                <w:highlight w:val="none"/>
              </w:rPr>
              <w:t>及以上职称</w:t>
            </w:r>
            <w:r>
              <w:rPr>
                <w:rFonts w:hint="eastAsia" w:asciiTheme="minorEastAsia" w:hAnsiTheme="minorEastAsia" w:eastAsiaTheme="minorEastAsia" w:cstheme="minorEastAsia"/>
                <w:snapToGrid w:val="0"/>
                <w:color w:val="auto"/>
                <w:kern w:val="0"/>
                <w:sz w:val="21"/>
                <w:szCs w:val="21"/>
                <w:highlight w:val="none"/>
              </w:rPr>
              <w:t>40%以下。</w:t>
            </w:r>
          </w:p>
        </w:tc>
      </w:tr>
      <w:tr w14:paraId="196A1D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08" w:hRule="exact"/>
          <w:jc w:val="center"/>
        </w:trPr>
        <w:tc>
          <w:tcPr>
            <w:tcW w:w="1042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E34843">
            <w:pPr>
              <w:wordWrap w:val="0"/>
              <w:adjustRightInd w:val="0"/>
              <w:snapToGrid w:val="0"/>
              <w:spacing w:line="400" w:lineRule="exact"/>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投标报价部分，满分：100分。</w:t>
            </w:r>
          </w:p>
        </w:tc>
      </w:tr>
      <w:tr w14:paraId="29320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exac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7151DCBB">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评分事项</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5294EC3">
            <w:pPr>
              <w:wordWrap w:val="0"/>
              <w:adjustRightInd w:val="0"/>
              <w:snapToGrid w:val="0"/>
              <w:spacing w:line="44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评分方法</w:t>
            </w:r>
          </w:p>
        </w:tc>
      </w:tr>
      <w:tr w14:paraId="663D5B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1"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07019414">
            <w:pPr>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评标基准价D</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789BE193">
            <w:pPr>
              <w:numPr>
                <w:ilvl w:val="0"/>
                <w:numId w:val="4"/>
              </w:numPr>
              <w:wordWrap w:val="0"/>
              <w:adjustRightInd w:val="0"/>
              <w:snapToGrid w:val="0"/>
              <w:spacing w:line="400" w:lineRule="exact"/>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确定最高投标限价下浮系数n：用1～21号球分别代表一个下浮系数，由评委代表从这21个号码中随机抽取</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u w:val="single"/>
                <w:lang w:val="en-US" w:eastAsia="zh-CN"/>
              </w:rPr>
              <w:t>3</w:t>
            </w:r>
            <w:r>
              <w:rPr>
                <w:rFonts w:hint="eastAsia" w:asciiTheme="minorEastAsia" w:hAnsiTheme="minorEastAsia" w:eastAsiaTheme="minorEastAsia" w:cstheme="minorEastAsia"/>
                <w:snapToGrid w:val="0"/>
                <w:color w:val="auto"/>
                <w:kern w:val="0"/>
                <w:sz w:val="21"/>
                <w:szCs w:val="21"/>
                <w:highlight w:val="none"/>
                <w:u w:val="single"/>
              </w:rPr>
              <w:t xml:space="preserve"> </w:t>
            </w:r>
            <w:r>
              <w:rPr>
                <w:rFonts w:hint="eastAsia" w:asciiTheme="minorEastAsia" w:hAnsiTheme="minorEastAsia" w:eastAsiaTheme="minorEastAsia" w:cstheme="minorEastAsia"/>
                <w:snapToGrid w:val="0"/>
                <w:color w:val="auto"/>
                <w:kern w:val="0"/>
                <w:sz w:val="21"/>
                <w:szCs w:val="21"/>
                <w:highlight w:val="none"/>
              </w:rPr>
              <w:t>次，每次抽取1个号码，抽出的号球不参与下次抽取。所抽取的</w:t>
            </w:r>
            <w:r>
              <w:rPr>
                <w:rFonts w:hint="eastAsia" w:asciiTheme="minorEastAsia" w:hAnsiTheme="minorEastAsia" w:eastAsiaTheme="minorEastAsia" w:cstheme="minorEastAsia"/>
                <w:snapToGrid w:val="0"/>
                <w:color w:val="auto"/>
                <w:kern w:val="0"/>
                <w:sz w:val="21"/>
                <w:szCs w:val="21"/>
                <w:highlight w:val="none"/>
                <w:lang w:val="en-US" w:eastAsia="zh-CN"/>
              </w:rPr>
              <w:t>3</w:t>
            </w:r>
            <w:r>
              <w:rPr>
                <w:rFonts w:hint="eastAsia" w:asciiTheme="minorEastAsia" w:hAnsiTheme="minorEastAsia" w:eastAsiaTheme="minorEastAsia" w:cstheme="minorEastAsia"/>
                <w:snapToGrid w:val="0"/>
                <w:color w:val="auto"/>
                <w:kern w:val="0"/>
                <w:sz w:val="21"/>
                <w:szCs w:val="21"/>
                <w:highlight w:val="none"/>
              </w:rPr>
              <w:t>个号码对应下浮系数的算术平均值作为最高投标限价下浮系数n。具体号码对应的下浮系数详见下表：</w:t>
            </w:r>
          </w:p>
          <w:tbl>
            <w:tblPr>
              <w:tblStyle w:val="14"/>
              <w:tblW w:w="0" w:type="auto"/>
              <w:jc w:val="center"/>
              <w:tblLayout w:type="fixed"/>
              <w:tblCellMar>
                <w:top w:w="0" w:type="dxa"/>
                <w:left w:w="108" w:type="dxa"/>
                <w:bottom w:w="0" w:type="dxa"/>
                <w:right w:w="108" w:type="dxa"/>
              </w:tblCellMar>
            </w:tblPr>
            <w:tblGrid>
              <w:gridCol w:w="1744"/>
              <w:gridCol w:w="889"/>
              <w:gridCol w:w="836"/>
              <w:gridCol w:w="870"/>
              <w:gridCol w:w="854"/>
              <w:gridCol w:w="888"/>
              <w:gridCol w:w="835"/>
              <w:gridCol w:w="959"/>
            </w:tblGrid>
            <w:tr w14:paraId="4BFF4480">
              <w:tblPrEx>
                <w:tblCellMar>
                  <w:top w:w="0" w:type="dxa"/>
                  <w:left w:w="108" w:type="dxa"/>
                  <w:bottom w:w="0" w:type="dxa"/>
                  <w:right w:w="108" w:type="dxa"/>
                </w:tblCellMar>
              </w:tblPrEx>
              <w:trPr>
                <w:trHeight w:val="447"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09D16B1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7D566F6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E1BBB25">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5F89D5A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3</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AA7FF55">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4</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D0A8C41">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5</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0A78A6DC">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6</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7E28F5AC">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7</w:t>
                  </w:r>
                </w:p>
              </w:tc>
            </w:tr>
            <w:tr w14:paraId="305AAC0D">
              <w:tblPrEx>
                <w:tblCellMar>
                  <w:top w:w="0" w:type="dxa"/>
                  <w:left w:w="108" w:type="dxa"/>
                  <w:bottom w:w="0" w:type="dxa"/>
                  <w:right w:w="108" w:type="dxa"/>
                </w:tblCellMar>
              </w:tblPrEx>
              <w:trPr>
                <w:trHeight w:val="529"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24CC9318">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A512ABA">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1.0</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350A15C9">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1.1</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A0F514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1.2</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1FC5EF59">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1.3</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29ACDBC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1.4</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817863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1.5</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3EF62A9B">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1.6</w:t>
                  </w:r>
                </w:p>
              </w:tc>
            </w:tr>
            <w:tr w14:paraId="4C97E2E6">
              <w:tblPrEx>
                <w:tblCellMar>
                  <w:top w:w="0" w:type="dxa"/>
                  <w:left w:w="108" w:type="dxa"/>
                  <w:bottom w:w="0" w:type="dxa"/>
                  <w:right w:w="108" w:type="dxa"/>
                </w:tblCellMar>
              </w:tblPrEx>
              <w:trPr>
                <w:trHeight w:val="572"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F8CA7AF">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18636AF9">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8</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70914681">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9</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4923A9D">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10</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57911D2B">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11</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6AF21244">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12</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CAD09C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13</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C3DD023">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14</w:t>
                  </w:r>
                </w:p>
              </w:tc>
            </w:tr>
            <w:tr w14:paraId="33CDB21A">
              <w:tblPrEx>
                <w:tblCellMar>
                  <w:top w:w="0" w:type="dxa"/>
                  <w:left w:w="108" w:type="dxa"/>
                  <w:bottom w:w="0" w:type="dxa"/>
                  <w:right w:w="108" w:type="dxa"/>
                </w:tblCellMar>
              </w:tblPrEx>
              <w:trPr>
                <w:trHeight w:val="480"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48D405D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223940D3">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1.7</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425B0BDE">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1.8</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2C3545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1.9</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D9C0F3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2.0</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F7E6007">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2.1</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6084DD71">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2.2</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505EDAA6">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2.3</w:t>
                  </w:r>
                </w:p>
              </w:tc>
            </w:tr>
            <w:tr w14:paraId="08886A4B">
              <w:tblPrEx>
                <w:tblCellMar>
                  <w:top w:w="0" w:type="dxa"/>
                  <w:left w:w="108" w:type="dxa"/>
                  <w:bottom w:w="0" w:type="dxa"/>
                  <w:right w:w="108" w:type="dxa"/>
                </w:tblCellMar>
              </w:tblPrEx>
              <w:trPr>
                <w:trHeight w:val="523"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6C938F2B">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号球</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5C7DA5D5">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15</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AADC8E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16</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0C46356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17</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2FE6FD2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18</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776A584E">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19</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2CB98248">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20</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62A60AE7">
                  <w:pPr>
                    <w:wordWrap w:val="0"/>
                    <w:adjustRightInd w:val="0"/>
                    <w:snapToGrid w:val="0"/>
                    <w:spacing w:line="400" w:lineRule="exact"/>
                    <w:jc w:val="center"/>
                    <w:rPr>
                      <w:rFonts w:hint="eastAsia" w:asciiTheme="minorEastAsia" w:hAnsiTheme="minorEastAsia" w:eastAsiaTheme="minorEastAsia" w:cstheme="minorEastAsia"/>
                      <w:b/>
                      <w:bCs/>
                      <w:snapToGrid w:val="0"/>
                      <w:color w:val="auto"/>
                      <w:kern w:val="0"/>
                      <w:sz w:val="21"/>
                      <w:szCs w:val="21"/>
                      <w:highlight w:val="none"/>
                    </w:rPr>
                  </w:pPr>
                  <w:r>
                    <w:rPr>
                      <w:rFonts w:hint="eastAsia" w:asciiTheme="minorEastAsia" w:hAnsiTheme="minorEastAsia" w:eastAsiaTheme="minorEastAsia" w:cstheme="minorEastAsia"/>
                      <w:b/>
                      <w:bCs/>
                      <w:snapToGrid w:val="0"/>
                      <w:color w:val="auto"/>
                      <w:kern w:val="0"/>
                      <w:sz w:val="21"/>
                      <w:szCs w:val="21"/>
                      <w:highlight w:val="none"/>
                    </w:rPr>
                    <w:t>21</w:t>
                  </w:r>
                </w:p>
              </w:tc>
            </w:tr>
            <w:tr w14:paraId="1D1D8002">
              <w:tblPrEx>
                <w:tblCellMar>
                  <w:top w:w="0" w:type="dxa"/>
                  <w:left w:w="108" w:type="dxa"/>
                  <w:bottom w:w="0" w:type="dxa"/>
                  <w:right w:w="108" w:type="dxa"/>
                </w:tblCellMar>
              </w:tblPrEx>
              <w:trPr>
                <w:trHeight w:val="578" w:hRule="atLeast"/>
                <w:jc w:val="center"/>
              </w:trPr>
              <w:tc>
                <w:tcPr>
                  <w:tcW w:w="1744" w:type="dxa"/>
                  <w:tcBorders>
                    <w:top w:val="single" w:color="000000" w:sz="4" w:space="0"/>
                    <w:left w:val="single" w:color="000000" w:sz="4" w:space="0"/>
                    <w:bottom w:val="single" w:color="000000" w:sz="4" w:space="0"/>
                    <w:right w:val="single" w:color="000000" w:sz="4" w:space="0"/>
                  </w:tcBorders>
                  <w:noWrap w:val="0"/>
                  <w:vAlign w:val="center"/>
                </w:tcPr>
                <w:p w14:paraId="18765233">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下浮系数（%）</w:t>
                  </w:r>
                </w:p>
              </w:tc>
              <w:tc>
                <w:tcPr>
                  <w:tcW w:w="889" w:type="dxa"/>
                  <w:tcBorders>
                    <w:top w:val="single" w:color="000000" w:sz="4" w:space="0"/>
                    <w:left w:val="single" w:color="000000" w:sz="4" w:space="0"/>
                    <w:bottom w:val="single" w:color="000000" w:sz="4" w:space="0"/>
                    <w:right w:val="single" w:color="000000" w:sz="4" w:space="0"/>
                  </w:tcBorders>
                  <w:noWrap w:val="0"/>
                  <w:vAlign w:val="center"/>
                </w:tcPr>
                <w:p w14:paraId="05995ADB">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2.4</w:t>
                  </w:r>
                </w:p>
              </w:tc>
              <w:tc>
                <w:tcPr>
                  <w:tcW w:w="836" w:type="dxa"/>
                  <w:tcBorders>
                    <w:top w:val="single" w:color="000000" w:sz="4" w:space="0"/>
                    <w:left w:val="single" w:color="000000" w:sz="4" w:space="0"/>
                    <w:bottom w:val="single" w:color="000000" w:sz="4" w:space="0"/>
                    <w:right w:val="single" w:color="000000" w:sz="4" w:space="0"/>
                  </w:tcBorders>
                  <w:noWrap w:val="0"/>
                  <w:vAlign w:val="center"/>
                </w:tcPr>
                <w:p w14:paraId="1D436B7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2.5</w:t>
                  </w: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B83B293">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2.6</w:t>
                  </w:r>
                </w:p>
              </w:tc>
              <w:tc>
                <w:tcPr>
                  <w:tcW w:w="854" w:type="dxa"/>
                  <w:tcBorders>
                    <w:top w:val="single" w:color="000000" w:sz="4" w:space="0"/>
                    <w:left w:val="single" w:color="000000" w:sz="4" w:space="0"/>
                    <w:bottom w:val="single" w:color="000000" w:sz="4" w:space="0"/>
                    <w:right w:val="single" w:color="000000" w:sz="4" w:space="0"/>
                  </w:tcBorders>
                  <w:noWrap w:val="0"/>
                  <w:vAlign w:val="center"/>
                </w:tcPr>
                <w:p w14:paraId="7413FF59">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2.7</w:t>
                  </w:r>
                </w:p>
              </w:tc>
              <w:tc>
                <w:tcPr>
                  <w:tcW w:w="888" w:type="dxa"/>
                  <w:tcBorders>
                    <w:top w:val="single" w:color="000000" w:sz="4" w:space="0"/>
                    <w:left w:val="single" w:color="000000" w:sz="4" w:space="0"/>
                    <w:bottom w:val="single" w:color="000000" w:sz="4" w:space="0"/>
                    <w:right w:val="single" w:color="000000" w:sz="4" w:space="0"/>
                  </w:tcBorders>
                  <w:noWrap w:val="0"/>
                  <w:vAlign w:val="center"/>
                </w:tcPr>
                <w:p w14:paraId="33DA7520">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2.8</w:t>
                  </w:r>
                </w:p>
              </w:tc>
              <w:tc>
                <w:tcPr>
                  <w:tcW w:w="835" w:type="dxa"/>
                  <w:tcBorders>
                    <w:top w:val="single" w:color="000000" w:sz="4" w:space="0"/>
                    <w:left w:val="single" w:color="000000" w:sz="4" w:space="0"/>
                    <w:bottom w:val="single" w:color="000000" w:sz="4" w:space="0"/>
                    <w:right w:val="single" w:color="000000" w:sz="4" w:space="0"/>
                  </w:tcBorders>
                  <w:noWrap w:val="0"/>
                  <w:vAlign w:val="center"/>
                </w:tcPr>
                <w:p w14:paraId="19EE272D">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2.9</w:t>
                  </w:r>
                </w:p>
              </w:tc>
              <w:tc>
                <w:tcPr>
                  <w:tcW w:w="959" w:type="dxa"/>
                  <w:tcBorders>
                    <w:top w:val="single" w:color="000000" w:sz="4" w:space="0"/>
                    <w:left w:val="single" w:color="000000" w:sz="4" w:space="0"/>
                    <w:bottom w:val="single" w:color="000000" w:sz="4" w:space="0"/>
                    <w:right w:val="single" w:color="000000" w:sz="4" w:space="0"/>
                  </w:tcBorders>
                  <w:noWrap w:val="0"/>
                  <w:vAlign w:val="center"/>
                </w:tcPr>
                <w:p w14:paraId="064D9440">
                  <w:pPr>
                    <w:wordWrap w:val="0"/>
                    <w:adjustRightInd w:val="0"/>
                    <w:snapToGrid w:val="0"/>
                    <w:spacing w:line="400" w:lineRule="exact"/>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3.0</w:t>
                  </w:r>
                </w:p>
              </w:tc>
            </w:tr>
          </w:tbl>
          <w:p w14:paraId="7055DB77">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rPr>
            </w:pPr>
          </w:p>
          <w:p w14:paraId="382953F3">
            <w:pPr>
              <w:wordWrap w:val="0"/>
              <w:adjustRightInd w:val="0"/>
              <w:snapToGrid w:val="0"/>
              <w:spacing w:line="400" w:lineRule="exact"/>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（2）评标基准价D＝最高投标限价×（1－n）</w:t>
            </w:r>
          </w:p>
        </w:tc>
      </w:tr>
      <w:tr w14:paraId="5BAB61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386" w:hRule="atLeast"/>
          <w:jc w:val="center"/>
        </w:trPr>
        <w:tc>
          <w:tcPr>
            <w:tcW w:w="1659" w:type="dxa"/>
            <w:gridSpan w:val="2"/>
            <w:tcBorders>
              <w:top w:val="single" w:color="auto" w:sz="4" w:space="0"/>
              <w:left w:val="single" w:color="auto" w:sz="4" w:space="0"/>
              <w:bottom w:val="single" w:color="auto" w:sz="4" w:space="0"/>
              <w:right w:val="single" w:color="auto" w:sz="4" w:space="0"/>
            </w:tcBorders>
            <w:noWrap w:val="0"/>
            <w:vAlign w:val="center"/>
          </w:tcPr>
          <w:p w14:paraId="4D26BCA4">
            <w:pPr>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投标报价</w:t>
            </w:r>
          </w:p>
          <w:p w14:paraId="194373B5">
            <w:pPr>
              <w:jc w:val="cente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color w:val="auto"/>
                <w:sz w:val="21"/>
                <w:szCs w:val="21"/>
                <w:highlight w:val="none"/>
              </w:rPr>
              <w:t>得分N</w:t>
            </w:r>
          </w:p>
        </w:tc>
        <w:tc>
          <w:tcPr>
            <w:tcW w:w="8765" w:type="dxa"/>
            <w:gridSpan w:val="2"/>
            <w:tcBorders>
              <w:top w:val="single" w:color="auto" w:sz="4" w:space="0"/>
              <w:left w:val="single" w:color="auto" w:sz="4" w:space="0"/>
              <w:bottom w:val="single" w:color="auto" w:sz="4" w:space="0"/>
              <w:right w:val="single" w:color="auto" w:sz="4" w:space="0"/>
            </w:tcBorders>
            <w:noWrap w:val="0"/>
            <w:vAlign w:val="center"/>
          </w:tcPr>
          <w:p w14:paraId="0B5C54CE">
            <w:pPr>
              <w:wordWrap w:val="0"/>
              <w:adjustRightInd w:val="0"/>
              <w:snapToGrid w:val="0"/>
              <w:spacing w:line="40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采用内插法计算某投标人的投标报价得分N，即当投标人的投标总价等于评标基准价时得100分，每高于评标基准价一个百分点扣1 分，每低于评标基准价一个百分点扣0.5分，扣完为止。公式如下：</w:t>
            </w:r>
          </w:p>
          <w:p w14:paraId="40D8946D">
            <w:pPr>
              <w:wordWrap w:val="0"/>
              <w:adjustRightInd w:val="0"/>
              <w:snapToGrid w:val="0"/>
              <w:spacing w:line="400" w:lineRule="exact"/>
              <w:ind w:firstLine="420" w:firstLineChars="2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N＝100－（| Di－D | ÷D）×100×E</w:t>
            </w:r>
          </w:p>
          <w:p w14:paraId="2F9ECC02">
            <w:pPr>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式中：D为评标基准价；Di为某投标人的投标总价；E为扣分因子，当Di＞D时，E＝1 ；当Di＜D时，E＝0.5。</w:t>
            </w:r>
          </w:p>
        </w:tc>
      </w:tr>
    </w:tbl>
    <w:p w14:paraId="37B21C64">
      <w:pPr>
        <w:spacing w:before="155" w:line="211" w:lineRule="auto"/>
        <w:ind w:firstLine="470" w:firstLineChars="200"/>
        <w:outlineLvl w:val="9"/>
        <w:rPr>
          <w:rFonts w:hint="eastAsia" w:ascii="宋体" w:hAnsi="宋体" w:eastAsia="宋体" w:cs="宋体"/>
          <w:color w:val="auto"/>
          <w:sz w:val="25"/>
          <w:szCs w:val="25"/>
          <w:highlight w:val="none"/>
        </w:rPr>
      </w:pPr>
      <w:r>
        <w:rPr>
          <w:rFonts w:hint="eastAsia" w:ascii="宋体" w:hAnsi="宋体" w:eastAsia="宋体" w:cs="宋体"/>
          <w:b/>
          <w:bCs/>
          <w:color w:val="auto"/>
          <w:spacing w:val="-3"/>
          <w:sz w:val="24"/>
          <w:szCs w:val="24"/>
          <w:highlight w:val="none"/>
        </w:rPr>
        <w:t>15.</w:t>
      </w:r>
      <w:r>
        <w:rPr>
          <w:rFonts w:hint="eastAsia" w:ascii="宋体" w:hAnsi="宋体" w:eastAsia="宋体" w:cs="宋体"/>
          <w:b/>
          <w:bCs/>
          <w:color w:val="auto"/>
          <w:spacing w:val="-3"/>
          <w:sz w:val="24"/>
          <w:szCs w:val="24"/>
          <w:highlight w:val="none"/>
          <w:lang w:val="en-US" w:eastAsia="zh-CN"/>
        </w:rPr>
        <w:t>6</w:t>
      </w:r>
      <w:r>
        <w:rPr>
          <w:rFonts w:hint="eastAsia" w:ascii="宋体" w:hAnsi="宋体" w:eastAsia="宋体" w:cs="宋体"/>
          <w:b/>
          <w:bCs/>
          <w:color w:val="auto"/>
          <w:spacing w:val="-3"/>
          <w:sz w:val="24"/>
          <w:szCs w:val="24"/>
          <w:highlight w:val="none"/>
        </w:rPr>
        <w:t xml:space="preserve">.2  </w:t>
      </w:r>
      <w:r>
        <w:rPr>
          <w:rFonts w:hint="eastAsia" w:ascii="宋体" w:hAnsi="宋体" w:eastAsia="宋体" w:cs="宋体"/>
          <w:color w:val="auto"/>
          <w:spacing w:val="-3"/>
          <w:sz w:val="24"/>
          <w:szCs w:val="24"/>
          <w:highlight w:val="none"/>
        </w:rPr>
        <w:t>否决投标说明</w:t>
      </w:r>
      <w:bookmarkEnd w:id="132"/>
      <w:bookmarkEnd w:id="133"/>
      <w:bookmarkEnd w:id="134"/>
      <w:bookmarkEnd w:id="135"/>
    </w:p>
    <w:p w14:paraId="3A277E6B">
      <w:pPr>
        <w:spacing w:before="150" w:line="332" w:lineRule="auto"/>
        <w:ind w:left="10" w:right="195" w:firstLine="564"/>
        <w:rPr>
          <w:rFonts w:hint="eastAsia" w:ascii="宋体" w:hAnsi="宋体" w:eastAsia="宋体" w:cs="宋体"/>
          <w:color w:val="auto"/>
          <w:spacing w:val="-5"/>
          <w:sz w:val="24"/>
          <w:szCs w:val="24"/>
          <w:highlight w:val="none"/>
        </w:rPr>
      </w:pPr>
      <w:r>
        <w:rPr>
          <w:rFonts w:hint="eastAsia" w:ascii="宋体" w:hAnsi="宋体" w:eastAsia="宋体" w:cs="宋体"/>
          <w:color w:val="auto"/>
          <w:spacing w:val="-5"/>
          <w:sz w:val="24"/>
          <w:szCs w:val="24"/>
          <w:highlight w:val="none"/>
        </w:rPr>
        <w:t>详细评审阶段否决投标的全部条件，在本章第四节“否决投标条件 ”第1条至第4条中集中列示。投标人有其中所列任何一种情形的，由评标委员会否决其投标。评标委员会经评审，认为所有投标都不符合招标文件要求的，可否决所有投标，项目的所有投标被否决的，招标人应依法重新组织招标。</w:t>
      </w:r>
    </w:p>
    <w:p w14:paraId="78A719F9">
      <w:pPr>
        <w:spacing w:before="59" w:line="330" w:lineRule="auto"/>
        <w:ind w:left="10" w:right="195" w:firstLine="480"/>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注：投标人在详细评审阶段根据评分方法提供的佐证材料，其合法性、有效性和准确性不符合要求的，有关量化因素（或评分因素）的折算、调整（或评分）按相应</w:t>
      </w:r>
      <w:r>
        <w:rPr>
          <w:rFonts w:hint="eastAsia" w:ascii="宋体" w:hAnsi="宋体" w:eastAsia="宋体" w:cs="宋体"/>
          <w:b/>
          <w:bCs/>
          <w:color w:val="auto"/>
          <w:spacing w:val="-3"/>
          <w:sz w:val="24"/>
          <w:szCs w:val="24"/>
          <w:highlight w:val="none"/>
        </w:rPr>
        <w:t>量化标准（或评分标准）处理，但不否决投标。</w:t>
      </w:r>
    </w:p>
    <w:p w14:paraId="634CACC5">
      <w:pPr>
        <w:pStyle w:val="3"/>
        <w:keepNext w:val="0"/>
        <w:keepLines w:val="0"/>
        <w:pageBreakBefore w:val="0"/>
        <w:widowControl w:val="0"/>
        <w:kinsoku/>
        <w:wordWrap w:val="0"/>
        <w:overflowPunct/>
        <w:topLinePunct w:val="0"/>
        <w:autoSpaceDE/>
        <w:autoSpaceDN/>
        <w:bidi w:val="0"/>
        <w:adjustRightInd/>
        <w:snapToGrid/>
        <w:spacing w:before="0" w:beforeLines="0" w:after="0" w:afterLines="0" w:line="440" w:lineRule="exact"/>
        <w:ind w:firstLine="480"/>
        <w:jc w:val="both"/>
        <w:textAlignment w:val="auto"/>
        <w:rPr>
          <w:rFonts w:hint="eastAsia" w:ascii="宋体" w:hAnsi="宋体" w:eastAsia="宋体" w:cs="宋体"/>
          <w:b/>
          <w:snapToGrid w:val="0"/>
          <w:color w:val="auto"/>
          <w:sz w:val="24"/>
          <w:szCs w:val="24"/>
          <w:highlight w:val="none"/>
        </w:rPr>
      </w:pPr>
      <w:bookmarkStart w:id="136" w:name="bookmark138"/>
      <w:bookmarkEnd w:id="136"/>
      <w:bookmarkStart w:id="137" w:name="bookmark137"/>
      <w:bookmarkEnd w:id="137"/>
      <w:bookmarkStart w:id="138" w:name="_Toc19232"/>
      <w:bookmarkStart w:id="139" w:name="_Toc18711"/>
      <w:bookmarkStart w:id="140" w:name="_Toc2769"/>
      <w:bookmarkStart w:id="141" w:name="_Toc13897"/>
      <w:bookmarkStart w:id="142" w:name="_Toc7762"/>
      <w:bookmarkStart w:id="143" w:name="_Toc10900"/>
      <w:bookmarkStart w:id="144" w:name="_Toc32569"/>
      <w:r>
        <w:rPr>
          <w:rFonts w:hint="eastAsia" w:ascii="宋体" w:hAnsi="宋体" w:eastAsia="宋体" w:cs="宋体"/>
          <w:b/>
          <w:snapToGrid w:val="0"/>
          <w:color w:val="auto"/>
          <w:sz w:val="24"/>
          <w:szCs w:val="24"/>
          <w:highlight w:val="none"/>
        </w:rPr>
        <w:t>16．</w:t>
      </w:r>
      <w:bookmarkEnd w:id="138"/>
      <w:bookmarkEnd w:id="139"/>
      <w:bookmarkEnd w:id="140"/>
      <w:bookmarkEnd w:id="141"/>
      <w:bookmarkEnd w:id="142"/>
      <w:r>
        <w:rPr>
          <w:rFonts w:hint="eastAsia" w:ascii="宋体" w:hAnsi="宋体" w:eastAsia="宋体" w:cs="宋体"/>
          <w:b/>
          <w:snapToGrid w:val="0"/>
          <w:color w:val="auto"/>
          <w:sz w:val="24"/>
          <w:szCs w:val="24"/>
          <w:highlight w:val="none"/>
          <w:lang w:eastAsia="zh-CN"/>
        </w:rPr>
        <w:t>评标结果公示</w:t>
      </w:r>
      <w:bookmarkEnd w:id="143"/>
      <w:bookmarkEnd w:id="144"/>
    </w:p>
    <w:p w14:paraId="006A16BE">
      <w:pPr>
        <w:keepNext w:val="0"/>
        <w:keepLines w:val="0"/>
        <w:pageBreakBefore w:val="0"/>
        <w:widowControl w:val="0"/>
        <w:kinsoku/>
        <w:wordWrap w:val="0"/>
        <w:overflowPunct/>
        <w:topLinePunct w:val="0"/>
        <w:autoSpaceDE/>
        <w:autoSpaceDN/>
        <w:bidi w:val="0"/>
        <w:adjustRightInd/>
        <w:snapToGrid/>
        <w:spacing w:line="44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16.1</w:t>
      </w:r>
      <w:r>
        <w:rPr>
          <w:rFonts w:hint="eastAsia" w:ascii="宋体" w:hAnsi="宋体" w:eastAsia="宋体" w:cs="宋体"/>
          <w:snapToGrid w:val="0"/>
          <w:color w:val="auto"/>
          <w:kern w:val="0"/>
          <w:sz w:val="24"/>
          <w:szCs w:val="24"/>
          <w:highlight w:val="none"/>
        </w:rPr>
        <w:t xml:space="preserve"> 评标委员会按照</w:t>
      </w:r>
      <w:r>
        <w:rPr>
          <w:rFonts w:hint="eastAsia" w:ascii="宋体" w:hAnsi="宋体" w:eastAsia="宋体" w:cs="宋体"/>
          <w:snapToGrid w:val="0"/>
          <w:color w:val="auto"/>
          <w:kern w:val="0"/>
          <w:sz w:val="24"/>
          <w:szCs w:val="24"/>
          <w:highlight w:val="none"/>
          <w:lang w:eastAsia="zh-CN"/>
        </w:rPr>
        <w:t>投标人</w:t>
      </w:r>
      <w:r>
        <w:rPr>
          <w:rFonts w:hint="eastAsia" w:ascii="宋体" w:hAnsi="宋体" w:eastAsia="宋体" w:cs="宋体"/>
          <w:snapToGrid w:val="0"/>
          <w:color w:val="auto"/>
          <w:kern w:val="0"/>
          <w:sz w:val="24"/>
          <w:szCs w:val="24"/>
          <w:highlight w:val="none"/>
        </w:rPr>
        <w:t>评审综合总得分</w:t>
      </w:r>
      <w:r>
        <w:rPr>
          <w:rFonts w:hint="eastAsia" w:ascii="宋体" w:hAnsi="宋体" w:eastAsia="宋体" w:cs="宋体"/>
          <w:snapToGrid w:val="0"/>
          <w:color w:val="auto"/>
          <w:kern w:val="0"/>
          <w:sz w:val="24"/>
          <w:szCs w:val="24"/>
          <w:highlight w:val="none"/>
          <w:lang w:eastAsia="zh-CN"/>
        </w:rPr>
        <w:t>由</w:t>
      </w:r>
      <w:r>
        <w:rPr>
          <w:rFonts w:hint="eastAsia" w:ascii="宋体" w:hAnsi="宋体" w:eastAsia="宋体" w:cs="宋体"/>
          <w:snapToGrid w:val="0"/>
          <w:color w:val="auto"/>
          <w:kern w:val="0"/>
          <w:sz w:val="24"/>
          <w:szCs w:val="24"/>
          <w:highlight w:val="none"/>
        </w:rPr>
        <w:t>高</w:t>
      </w:r>
      <w:r>
        <w:rPr>
          <w:rFonts w:hint="eastAsia" w:ascii="宋体" w:hAnsi="宋体" w:eastAsia="宋体" w:cs="宋体"/>
          <w:snapToGrid w:val="0"/>
          <w:color w:val="auto"/>
          <w:kern w:val="0"/>
          <w:sz w:val="24"/>
          <w:szCs w:val="24"/>
          <w:highlight w:val="none"/>
          <w:lang w:eastAsia="zh-CN"/>
        </w:rPr>
        <w:t>到</w:t>
      </w:r>
      <w:r>
        <w:rPr>
          <w:rFonts w:hint="eastAsia" w:ascii="宋体" w:hAnsi="宋体" w:eastAsia="宋体" w:cs="宋体"/>
          <w:snapToGrid w:val="0"/>
          <w:color w:val="auto"/>
          <w:kern w:val="0"/>
          <w:sz w:val="24"/>
          <w:szCs w:val="24"/>
          <w:highlight w:val="none"/>
        </w:rPr>
        <w:t>低的</w:t>
      </w:r>
      <w:r>
        <w:rPr>
          <w:rFonts w:hint="eastAsia" w:ascii="宋体" w:hAnsi="宋体" w:eastAsia="宋体" w:cs="宋体"/>
          <w:snapToGrid w:val="0"/>
          <w:color w:val="auto"/>
          <w:kern w:val="0"/>
          <w:sz w:val="24"/>
          <w:szCs w:val="24"/>
          <w:highlight w:val="none"/>
          <w:lang w:eastAsia="zh-CN"/>
        </w:rPr>
        <w:t>原则</w:t>
      </w:r>
      <w:r>
        <w:rPr>
          <w:rFonts w:hint="eastAsia" w:ascii="宋体" w:hAnsi="宋体" w:eastAsia="宋体" w:cs="宋体"/>
          <w:snapToGrid w:val="0"/>
          <w:color w:val="auto"/>
          <w:kern w:val="0"/>
          <w:sz w:val="24"/>
          <w:szCs w:val="24"/>
          <w:highlight w:val="none"/>
        </w:rPr>
        <w:t>,向招标人推荐</w:t>
      </w:r>
      <w:r>
        <w:rPr>
          <w:rFonts w:hint="eastAsia" w:ascii="宋体" w:hAnsi="宋体" w:eastAsia="宋体" w:cs="宋体"/>
          <w:snapToGrid w:val="0"/>
          <w:color w:val="auto"/>
          <w:kern w:val="0"/>
          <w:sz w:val="24"/>
          <w:szCs w:val="24"/>
          <w:highlight w:val="none"/>
          <w:lang w:val="en-US" w:eastAsia="zh-CN"/>
        </w:rPr>
        <w:t>已明确的</w:t>
      </w:r>
      <w:r>
        <w:rPr>
          <w:rFonts w:hint="eastAsia" w:ascii="宋体" w:hAnsi="宋体" w:eastAsia="宋体" w:cs="宋体"/>
          <w:snapToGrid w:val="0"/>
          <w:color w:val="auto"/>
          <w:kern w:val="0"/>
          <w:sz w:val="24"/>
          <w:szCs w:val="24"/>
          <w:highlight w:val="none"/>
        </w:rPr>
        <w:t>定标候选人</w:t>
      </w:r>
      <w:r>
        <w:rPr>
          <w:rFonts w:hint="eastAsia" w:ascii="宋体" w:hAnsi="宋体" w:eastAsia="宋体" w:cs="宋体"/>
          <w:snapToGrid w:val="0"/>
          <w:color w:val="auto"/>
          <w:kern w:val="0"/>
          <w:sz w:val="24"/>
          <w:szCs w:val="24"/>
          <w:highlight w:val="none"/>
          <w:lang w:eastAsia="zh-CN"/>
        </w:rPr>
        <w:t>数量</w:t>
      </w:r>
      <w:r>
        <w:rPr>
          <w:rFonts w:hint="eastAsia" w:ascii="宋体" w:hAnsi="宋体" w:eastAsia="宋体" w:cs="宋体"/>
          <w:snapToGrid w:val="0"/>
          <w:color w:val="auto"/>
          <w:kern w:val="0"/>
          <w:sz w:val="24"/>
          <w:szCs w:val="24"/>
          <w:highlight w:val="none"/>
        </w:rPr>
        <w:t>（不</w:t>
      </w:r>
      <w:r>
        <w:rPr>
          <w:rFonts w:hint="eastAsia" w:ascii="宋体" w:hAnsi="宋体" w:eastAsia="宋体" w:cs="宋体"/>
          <w:snapToGrid w:val="0"/>
          <w:color w:val="auto"/>
          <w:kern w:val="0"/>
          <w:sz w:val="24"/>
          <w:szCs w:val="24"/>
          <w:highlight w:val="none"/>
          <w:lang w:val="en-US" w:eastAsia="zh-CN"/>
        </w:rPr>
        <w:t>标明</w:t>
      </w:r>
      <w:r>
        <w:rPr>
          <w:rFonts w:hint="eastAsia" w:ascii="宋体" w:hAnsi="宋体" w:eastAsia="宋体" w:cs="宋体"/>
          <w:snapToGrid w:val="0"/>
          <w:color w:val="auto"/>
          <w:kern w:val="0"/>
          <w:sz w:val="24"/>
          <w:szCs w:val="24"/>
          <w:highlight w:val="none"/>
        </w:rPr>
        <w:t>排序）</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评标委员会推荐定标候选人后，</w:t>
      </w:r>
      <w:r>
        <w:rPr>
          <w:rFonts w:hint="eastAsia" w:ascii="宋体" w:hAnsi="宋体" w:eastAsia="宋体" w:cs="宋体"/>
          <w:snapToGrid w:val="0"/>
          <w:color w:val="auto"/>
          <w:kern w:val="0"/>
          <w:sz w:val="24"/>
          <w:szCs w:val="24"/>
          <w:highlight w:val="none"/>
        </w:rPr>
        <w:t>招标人应</w:t>
      </w:r>
      <w:r>
        <w:rPr>
          <w:rFonts w:hint="eastAsia" w:ascii="宋体" w:hAnsi="宋体" w:eastAsia="宋体" w:cs="宋体"/>
          <w:snapToGrid w:val="0"/>
          <w:color w:val="auto"/>
          <w:kern w:val="0"/>
          <w:sz w:val="24"/>
          <w:szCs w:val="24"/>
          <w:highlight w:val="none"/>
          <w:lang w:eastAsia="zh-CN"/>
        </w:rPr>
        <w:t>于评标会结束后</w:t>
      </w:r>
      <w:r>
        <w:rPr>
          <w:rFonts w:hint="eastAsia" w:ascii="宋体" w:hAnsi="宋体" w:eastAsia="宋体" w:cs="宋体"/>
          <w:snapToGrid w:val="0"/>
          <w:color w:val="auto"/>
          <w:kern w:val="0"/>
          <w:sz w:val="24"/>
          <w:szCs w:val="24"/>
          <w:highlight w:val="none"/>
          <w:lang w:val="en-US" w:eastAsia="zh-CN"/>
        </w:rPr>
        <w:t>3日内将</w:t>
      </w:r>
      <w:r>
        <w:rPr>
          <w:rFonts w:hint="eastAsia" w:ascii="宋体" w:hAnsi="宋体" w:eastAsia="宋体" w:cs="宋体"/>
          <w:snapToGrid w:val="0"/>
          <w:color w:val="auto"/>
          <w:kern w:val="0"/>
          <w:sz w:val="24"/>
          <w:szCs w:val="24"/>
          <w:highlight w:val="none"/>
          <w:lang w:eastAsia="zh-CN"/>
        </w:rPr>
        <w:t>定</w:t>
      </w:r>
      <w:r>
        <w:rPr>
          <w:rFonts w:hint="eastAsia" w:ascii="宋体" w:hAnsi="宋体" w:eastAsia="宋体" w:cs="宋体"/>
          <w:snapToGrid w:val="0"/>
          <w:color w:val="auto"/>
          <w:kern w:val="0"/>
          <w:sz w:val="24"/>
          <w:szCs w:val="24"/>
          <w:highlight w:val="none"/>
        </w:rPr>
        <w:t>标候选</w:t>
      </w:r>
      <w:r>
        <w:rPr>
          <w:rFonts w:hint="eastAsia" w:ascii="宋体" w:hAnsi="宋体" w:eastAsia="宋体" w:cs="宋体"/>
          <w:snapToGrid w:val="0"/>
          <w:color w:val="auto"/>
          <w:kern w:val="0"/>
          <w:sz w:val="24"/>
          <w:szCs w:val="24"/>
          <w:highlight w:val="none"/>
          <w:lang w:eastAsia="zh-CN"/>
        </w:rPr>
        <w:t>人和评标情况</w:t>
      </w:r>
      <w:r>
        <w:rPr>
          <w:rFonts w:hint="eastAsia" w:ascii="宋体" w:hAnsi="宋体" w:eastAsia="宋体" w:cs="宋体"/>
          <w:snapToGrid w:val="0"/>
          <w:color w:val="auto"/>
          <w:kern w:val="0"/>
          <w:sz w:val="24"/>
          <w:szCs w:val="24"/>
          <w:highlight w:val="none"/>
          <w:lang w:val="en-US" w:eastAsia="zh-CN"/>
        </w:rPr>
        <w:t>在广东省招标投标监管网和</w:t>
      </w:r>
      <w:r>
        <w:rPr>
          <w:rFonts w:hint="eastAsia" w:ascii="宋体" w:hAnsi="宋体" w:eastAsia="宋体" w:cs="宋体"/>
          <w:snapToGrid w:val="0"/>
          <w:color w:val="auto"/>
          <w:kern w:val="0"/>
          <w:sz w:val="24"/>
          <w:szCs w:val="24"/>
          <w:highlight w:val="none"/>
        </w:rPr>
        <w:t>韶关市公共资源交易中心</w:t>
      </w:r>
      <w:r>
        <w:rPr>
          <w:rFonts w:hint="eastAsia" w:ascii="宋体" w:hAnsi="宋体" w:eastAsia="宋体" w:cs="宋体"/>
          <w:snapToGrid w:val="0"/>
          <w:color w:val="auto"/>
          <w:kern w:val="0"/>
          <w:sz w:val="24"/>
          <w:szCs w:val="24"/>
          <w:highlight w:val="none"/>
          <w:lang w:eastAsia="zh-CN"/>
        </w:rPr>
        <w:t>建设工程交易系统</w:t>
      </w:r>
      <w:r>
        <w:rPr>
          <w:rFonts w:hint="eastAsia" w:ascii="宋体" w:hAnsi="宋体" w:eastAsia="宋体" w:cs="宋体"/>
          <w:snapToGrid w:val="0"/>
          <w:color w:val="auto"/>
          <w:kern w:val="0"/>
          <w:sz w:val="24"/>
          <w:szCs w:val="24"/>
          <w:highlight w:val="none"/>
          <w:lang w:val="en-US" w:eastAsia="zh-CN"/>
        </w:rPr>
        <w:t>上</w:t>
      </w:r>
      <w:r>
        <w:rPr>
          <w:rFonts w:hint="eastAsia" w:ascii="宋体" w:hAnsi="宋体" w:eastAsia="宋体" w:cs="宋体"/>
          <w:snapToGrid w:val="0"/>
          <w:color w:val="auto"/>
          <w:kern w:val="0"/>
          <w:sz w:val="24"/>
          <w:szCs w:val="24"/>
          <w:highlight w:val="none"/>
        </w:rPr>
        <w:t>公示</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lang w:val="en-US" w:eastAsia="zh-CN"/>
        </w:rPr>
        <w:t>公示时间不少于3日。</w:t>
      </w:r>
      <w:r>
        <w:rPr>
          <w:rFonts w:hint="eastAsia" w:ascii="宋体" w:hAnsi="宋体" w:eastAsia="宋体" w:cs="宋体"/>
          <w:snapToGrid w:val="0"/>
          <w:color w:val="auto"/>
          <w:kern w:val="0"/>
          <w:sz w:val="24"/>
          <w:szCs w:val="24"/>
          <w:highlight w:val="none"/>
          <w:lang w:eastAsia="zh-CN"/>
        </w:rPr>
        <w:t>公示主要内容包括：（</w:t>
      </w:r>
      <w:r>
        <w:rPr>
          <w:rFonts w:hint="eastAsia" w:ascii="宋体" w:hAnsi="宋体" w:eastAsia="宋体" w:cs="宋体"/>
          <w:snapToGrid w:val="0"/>
          <w:color w:val="auto"/>
          <w:kern w:val="0"/>
          <w:sz w:val="24"/>
          <w:szCs w:val="24"/>
          <w:highlight w:val="none"/>
          <w:lang w:val="en-US" w:eastAsia="zh-CN"/>
        </w:rPr>
        <w:t>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14:paraId="732B4744">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680F7091">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19AD75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34EE0DB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871E195">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A66E3B3">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00A57E76">
      <w:pPr>
        <w:pStyle w:val="2"/>
        <w:rPr>
          <w:rFonts w:hint="eastAsia" w:ascii="宋体" w:hAnsi="宋体" w:eastAsia="宋体" w:cs="宋体"/>
          <w:b/>
          <w:bCs/>
          <w:color w:val="auto"/>
          <w:spacing w:val="-3"/>
          <w:sz w:val="24"/>
          <w:szCs w:val="24"/>
          <w:highlight w:val="none"/>
        </w:rPr>
      </w:pPr>
    </w:p>
    <w:p w14:paraId="4925A408">
      <w:pPr>
        <w:rPr>
          <w:rFonts w:hint="eastAsia" w:ascii="宋体" w:hAnsi="宋体" w:eastAsia="宋体" w:cs="宋体"/>
          <w:b/>
          <w:bCs/>
          <w:color w:val="auto"/>
          <w:spacing w:val="-3"/>
          <w:sz w:val="24"/>
          <w:szCs w:val="24"/>
          <w:highlight w:val="none"/>
        </w:rPr>
      </w:pPr>
    </w:p>
    <w:p w14:paraId="6F59C649">
      <w:pPr>
        <w:pStyle w:val="2"/>
        <w:rPr>
          <w:rFonts w:hint="eastAsia" w:ascii="宋体" w:hAnsi="宋体" w:eastAsia="宋体" w:cs="宋体"/>
          <w:b/>
          <w:bCs/>
          <w:color w:val="auto"/>
          <w:spacing w:val="-3"/>
          <w:sz w:val="24"/>
          <w:szCs w:val="24"/>
          <w:highlight w:val="none"/>
        </w:rPr>
      </w:pPr>
    </w:p>
    <w:p w14:paraId="6BBCB9F8">
      <w:pPr>
        <w:rPr>
          <w:rFonts w:hint="eastAsia" w:ascii="宋体" w:hAnsi="宋体" w:eastAsia="宋体" w:cs="宋体"/>
          <w:b/>
          <w:bCs/>
          <w:color w:val="auto"/>
          <w:spacing w:val="-3"/>
          <w:sz w:val="24"/>
          <w:szCs w:val="24"/>
          <w:highlight w:val="none"/>
        </w:rPr>
      </w:pPr>
    </w:p>
    <w:p w14:paraId="159532D6">
      <w:pPr>
        <w:pStyle w:val="2"/>
        <w:rPr>
          <w:rFonts w:hint="eastAsia" w:ascii="宋体" w:hAnsi="宋体" w:eastAsia="宋体" w:cs="宋体"/>
          <w:b/>
          <w:bCs/>
          <w:color w:val="auto"/>
          <w:spacing w:val="-3"/>
          <w:sz w:val="24"/>
          <w:szCs w:val="24"/>
          <w:highlight w:val="none"/>
        </w:rPr>
      </w:pPr>
    </w:p>
    <w:p w14:paraId="721B48EF">
      <w:pPr>
        <w:rPr>
          <w:rFonts w:hint="eastAsia" w:ascii="宋体" w:hAnsi="宋体" w:eastAsia="宋体" w:cs="宋体"/>
          <w:b/>
          <w:bCs/>
          <w:color w:val="auto"/>
          <w:spacing w:val="-3"/>
          <w:sz w:val="24"/>
          <w:szCs w:val="24"/>
          <w:highlight w:val="none"/>
        </w:rPr>
      </w:pPr>
    </w:p>
    <w:p w14:paraId="3F205844">
      <w:pPr>
        <w:pStyle w:val="2"/>
        <w:rPr>
          <w:rFonts w:hint="eastAsia" w:ascii="宋体" w:hAnsi="宋体" w:eastAsia="宋体" w:cs="宋体"/>
          <w:b/>
          <w:bCs/>
          <w:color w:val="auto"/>
          <w:spacing w:val="-3"/>
          <w:sz w:val="24"/>
          <w:szCs w:val="24"/>
          <w:highlight w:val="none"/>
        </w:rPr>
      </w:pPr>
    </w:p>
    <w:p w14:paraId="57815C17">
      <w:pPr>
        <w:rPr>
          <w:rFonts w:hint="eastAsia" w:ascii="宋体" w:hAnsi="宋体" w:eastAsia="宋体" w:cs="宋体"/>
          <w:b/>
          <w:bCs/>
          <w:color w:val="auto"/>
          <w:spacing w:val="-3"/>
          <w:sz w:val="24"/>
          <w:szCs w:val="24"/>
          <w:highlight w:val="none"/>
        </w:rPr>
      </w:pPr>
    </w:p>
    <w:p w14:paraId="0C07855B">
      <w:pPr>
        <w:pStyle w:val="2"/>
        <w:rPr>
          <w:rFonts w:hint="eastAsia" w:ascii="宋体" w:hAnsi="宋体" w:eastAsia="宋体" w:cs="宋体"/>
          <w:b/>
          <w:bCs/>
          <w:color w:val="auto"/>
          <w:spacing w:val="-3"/>
          <w:sz w:val="24"/>
          <w:szCs w:val="24"/>
          <w:highlight w:val="none"/>
        </w:rPr>
      </w:pPr>
    </w:p>
    <w:p w14:paraId="2B5089AA">
      <w:pPr>
        <w:rPr>
          <w:rFonts w:hint="eastAsia" w:ascii="宋体" w:hAnsi="宋体" w:eastAsia="宋体" w:cs="宋体"/>
          <w:b/>
          <w:bCs/>
          <w:color w:val="auto"/>
          <w:spacing w:val="-3"/>
          <w:sz w:val="24"/>
          <w:szCs w:val="24"/>
          <w:highlight w:val="none"/>
        </w:rPr>
      </w:pPr>
    </w:p>
    <w:p w14:paraId="71C0AC53">
      <w:pPr>
        <w:pStyle w:val="2"/>
        <w:rPr>
          <w:rFonts w:hint="eastAsia" w:ascii="宋体" w:hAnsi="宋体" w:eastAsia="宋体" w:cs="宋体"/>
          <w:b/>
          <w:bCs/>
          <w:color w:val="auto"/>
          <w:spacing w:val="-3"/>
          <w:sz w:val="24"/>
          <w:szCs w:val="24"/>
          <w:highlight w:val="none"/>
        </w:rPr>
      </w:pPr>
    </w:p>
    <w:p w14:paraId="6BB7269A">
      <w:pPr>
        <w:rPr>
          <w:rFonts w:hint="eastAsia" w:ascii="宋体" w:hAnsi="宋体" w:eastAsia="宋体" w:cs="宋体"/>
          <w:b/>
          <w:bCs/>
          <w:color w:val="auto"/>
          <w:spacing w:val="-3"/>
          <w:sz w:val="24"/>
          <w:szCs w:val="24"/>
          <w:highlight w:val="none"/>
        </w:rPr>
      </w:pPr>
    </w:p>
    <w:p w14:paraId="74D83047">
      <w:pPr>
        <w:pStyle w:val="2"/>
        <w:rPr>
          <w:rFonts w:hint="eastAsia" w:ascii="宋体" w:hAnsi="宋体" w:eastAsia="宋体" w:cs="宋体"/>
          <w:b/>
          <w:bCs/>
          <w:color w:val="auto"/>
          <w:spacing w:val="-3"/>
          <w:sz w:val="24"/>
          <w:szCs w:val="24"/>
          <w:highlight w:val="none"/>
        </w:rPr>
      </w:pPr>
    </w:p>
    <w:p w14:paraId="320DF1D6">
      <w:pPr>
        <w:rPr>
          <w:rFonts w:hint="eastAsia" w:ascii="宋体" w:hAnsi="宋体" w:eastAsia="宋体" w:cs="宋体"/>
          <w:b/>
          <w:bCs/>
          <w:color w:val="auto"/>
          <w:spacing w:val="-3"/>
          <w:sz w:val="24"/>
          <w:szCs w:val="24"/>
          <w:highlight w:val="none"/>
        </w:rPr>
      </w:pPr>
    </w:p>
    <w:p w14:paraId="7F58BD76">
      <w:pPr>
        <w:pStyle w:val="2"/>
        <w:rPr>
          <w:rFonts w:hint="eastAsia" w:ascii="宋体" w:hAnsi="宋体" w:eastAsia="宋体" w:cs="宋体"/>
          <w:b/>
          <w:bCs/>
          <w:color w:val="auto"/>
          <w:spacing w:val="-3"/>
          <w:sz w:val="24"/>
          <w:szCs w:val="24"/>
          <w:highlight w:val="none"/>
        </w:rPr>
      </w:pPr>
    </w:p>
    <w:p w14:paraId="071312DE">
      <w:pPr>
        <w:rPr>
          <w:rFonts w:hint="eastAsia" w:ascii="宋体" w:hAnsi="宋体" w:eastAsia="宋体" w:cs="宋体"/>
          <w:b/>
          <w:bCs/>
          <w:color w:val="auto"/>
          <w:spacing w:val="-3"/>
          <w:sz w:val="24"/>
          <w:szCs w:val="24"/>
          <w:highlight w:val="none"/>
        </w:rPr>
      </w:pPr>
    </w:p>
    <w:p w14:paraId="77B60377">
      <w:pPr>
        <w:pStyle w:val="2"/>
        <w:rPr>
          <w:rFonts w:hint="eastAsia" w:ascii="宋体" w:hAnsi="宋体" w:eastAsia="宋体" w:cs="宋体"/>
          <w:b/>
          <w:bCs/>
          <w:color w:val="auto"/>
          <w:spacing w:val="-3"/>
          <w:sz w:val="24"/>
          <w:szCs w:val="24"/>
          <w:highlight w:val="none"/>
        </w:rPr>
      </w:pPr>
    </w:p>
    <w:p w14:paraId="1BA76BEF">
      <w:pPr>
        <w:rPr>
          <w:rFonts w:hint="eastAsia"/>
          <w:color w:val="auto"/>
          <w:highlight w:val="none"/>
        </w:rPr>
      </w:pPr>
    </w:p>
    <w:p w14:paraId="7058147D">
      <w:pPr>
        <w:spacing w:before="78" w:line="220" w:lineRule="auto"/>
        <w:ind w:left="9"/>
        <w:jc w:val="center"/>
        <w:outlineLvl w:val="1"/>
        <w:rPr>
          <w:rFonts w:hint="eastAsia" w:ascii="宋体" w:hAnsi="宋体" w:eastAsia="宋体" w:cs="宋体"/>
          <w:b/>
          <w:bCs/>
          <w:color w:val="auto"/>
          <w:spacing w:val="-3"/>
          <w:sz w:val="24"/>
          <w:szCs w:val="24"/>
          <w:highlight w:val="none"/>
        </w:rPr>
      </w:pPr>
    </w:p>
    <w:p w14:paraId="5C1476C7">
      <w:pPr>
        <w:spacing w:before="78" w:line="220" w:lineRule="auto"/>
        <w:ind w:left="9"/>
        <w:jc w:val="center"/>
        <w:outlineLvl w:val="1"/>
        <w:rPr>
          <w:rFonts w:hint="eastAsia" w:ascii="宋体" w:hAnsi="宋体" w:eastAsia="宋体" w:cs="宋体"/>
          <w:color w:val="auto"/>
          <w:sz w:val="24"/>
          <w:szCs w:val="24"/>
          <w:highlight w:val="none"/>
        </w:rPr>
      </w:pPr>
      <w:bookmarkStart w:id="145" w:name="_Toc16554"/>
      <w:r>
        <w:rPr>
          <w:rFonts w:hint="eastAsia" w:ascii="宋体" w:hAnsi="宋体" w:eastAsia="宋体" w:cs="宋体"/>
          <w:b/>
          <w:bCs/>
          <w:color w:val="auto"/>
          <w:spacing w:val="-3"/>
          <w:sz w:val="24"/>
          <w:szCs w:val="24"/>
          <w:highlight w:val="none"/>
        </w:rPr>
        <w:t>第四节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否决投标条件</w:t>
      </w:r>
      <w:bookmarkEnd w:id="145"/>
    </w:p>
    <w:p w14:paraId="2637533F">
      <w:pPr>
        <w:pStyle w:val="5"/>
        <w:spacing w:line="256" w:lineRule="auto"/>
        <w:rPr>
          <w:rFonts w:hint="eastAsia" w:ascii="宋体" w:hAnsi="宋体" w:eastAsia="宋体" w:cs="宋体"/>
          <w:color w:val="auto"/>
          <w:highlight w:val="none"/>
        </w:rPr>
      </w:pPr>
    </w:p>
    <w:p w14:paraId="16FA277C">
      <w:pPr>
        <w:spacing w:before="78" w:line="330" w:lineRule="auto"/>
        <w:ind w:left="10" w:right="65"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本节所集中列示的否决投标条件，是本章第三节“投标人须知正文</w:t>
      </w:r>
      <w:r>
        <w:rPr>
          <w:rFonts w:hint="eastAsia" w:ascii="宋体" w:hAnsi="宋体" w:eastAsia="宋体" w:cs="宋体"/>
          <w:color w:val="auto"/>
          <w:spacing w:val="-72"/>
          <w:sz w:val="24"/>
          <w:szCs w:val="24"/>
          <w:highlight w:val="none"/>
        </w:rPr>
        <w:t xml:space="preserve"> </w:t>
      </w:r>
      <w:r>
        <w:rPr>
          <w:rFonts w:hint="eastAsia" w:ascii="宋体" w:hAnsi="宋体" w:eastAsia="宋体" w:cs="宋体"/>
          <w:color w:val="auto"/>
          <w:spacing w:val="-3"/>
          <w:sz w:val="24"/>
          <w:szCs w:val="24"/>
          <w:highlight w:val="none"/>
        </w:rPr>
        <w:t>”的组成部分，</w:t>
      </w:r>
      <w:r>
        <w:rPr>
          <w:rFonts w:hint="eastAsia" w:ascii="宋体" w:hAnsi="宋体" w:eastAsia="宋体" w:cs="宋体"/>
          <w:color w:val="auto"/>
          <w:spacing w:val="-2"/>
          <w:sz w:val="24"/>
          <w:szCs w:val="24"/>
          <w:highlight w:val="none"/>
        </w:rPr>
        <w:t>是对本章第三节所规定的否决投标条件的总</w:t>
      </w:r>
      <w:r>
        <w:rPr>
          <w:rFonts w:hint="eastAsia" w:ascii="宋体" w:hAnsi="宋体" w:eastAsia="宋体" w:cs="宋体"/>
          <w:color w:val="auto"/>
          <w:spacing w:val="-3"/>
          <w:sz w:val="24"/>
          <w:szCs w:val="24"/>
          <w:highlight w:val="none"/>
        </w:rPr>
        <w:t>结和补充。</w:t>
      </w:r>
      <w:r>
        <w:rPr>
          <w:rFonts w:hint="eastAsia" w:ascii="宋体" w:hAnsi="宋体" w:eastAsia="宋体" w:cs="宋体"/>
          <w:b/>
          <w:bCs/>
          <w:color w:val="auto"/>
          <w:spacing w:val="-3"/>
          <w:sz w:val="24"/>
          <w:szCs w:val="24"/>
          <w:highlight w:val="none"/>
        </w:rPr>
        <w:t>投标人未有列入本节情形的，评</w:t>
      </w:r>
      <w:r>
        <w:rPr>
          <w:rFonts w:hint="eastAsia" w:ascii="宋体" w:hAnsi="宋体" w:eastAsia="宋体" w:cs="宋体"/>
          <w:b/>
          <w:bCs/>
          <w:color w:val="auto"/>
          <w:spacing w:val="-2"/>
          <w:sz w:val="24"/>
          <w:szCs w:val="24"/>
          <w:highlight w:val="none"/>
        </w:rPr>
        <w:t>标时一律不得否决其投标。</w:t>
      </w:r>
      <w:r>
        <w:rPr>
          <w:rFonts w:hint="eastAsia" w:ascii="宋体" w:hAnsi="宋体" w:eastAsia="宋体" w:cs="宋体"/>
          <w:color w:val="auto"/>
          <w:spacing w:val="-2"/>
          <w:sz w:val="24"/>
          <w:szCs w:val="24"/>
          <w:highlight w:val="none"/>
        </w:rPr>
        <w:t>本节所称“规定</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”均指招标文件的规</w:t>
      </w:r>
      <w:r>
        <w:rPr>
          <w:rFonts w:hint="eastAsia" w:ascii="宋体" w:hAnsi="宋体" w:eastAsia="宋体" w:cs="宋体"/>
          <w:color w:val="auto"/>
          <w:spacing w:val="-3"/>
          <w:sz w:val="24"/>
          <w:szCs w:val="24"/>
          <w:highlight w:val="none"/>
        </w:rPr>
        <w:t>定。</w:t>
      </w:r>
    </w:p>
    <w:p w14:paraId="3B6FE9A6">
      <w:pPr>
        <w:spacing w:before="34" w:line="220" w:lineRule="auto"/>
        <w:ind w:left="495"/>
        <w:outlineLvl w:val="2"/>
        <w:rPr>
          <w:rFonts w:hint="eastAsia" w:ascii="宋体" w:hAnsi="宋体" w:eastAsia="宋体" w:cs="宋体"/>
          <w:color w:val="auto"/>
          <w:sz w:val="24"/>
          <w:szCs w:val="24"/>
          <w:highlight w:val="none"/>
        </w:rPr>
      </w:pPr>
      <w:bookmarkStart w:id="146" w:name="_Toc15082"/>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．资格评审环节</w:t>
      </w:r>
      <w:bookmarkEnd w:id="146"/>
    </w:p>
    <w:p w14:paraId="51ABE522">
      <w:pPr>
        <w:spacing w:before="150" w:line="280" w:lineRule="auto"/>
        <w:ind w:right="200" w:firstLine="492"/>
        <w:rPr>
          <w:rFonts w:hint="eastAsia" w:ascii="宋体" w:hAnsi="宋体" w:eastAsia="宋体" w:cs="宋体"/>
          <w:color w:val="auto"/>
          <w:spacing w:val="-3"/>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投标人有下列情形之一的，评标委员会应否决其投标。被否决的投标人，不进入形</w:t>
      </w:r>
      <w:r>
        <w:rPr>
          <w:rFonts w:hint="eastAsia" w:ascii="宋体" w:hAnsi="宋体" w:eastAsia="宋体" w:cs="宋体"/>
          <w:color w:val="auto"/>
          <w:spacing w:val="-3"/>
          <w:sz w:val="24"/>
          <w:szCs w:val="24"/>
          <w:highlight w:val="none"/>
        </w:rPr>
        <w:t>式评审环节。</w:t>
      </w:r>
    </w:p>
    <w:p w14:paraId="5A5D99B5">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（1）有本章第三节第 2.4 条“禁止投标条款 ”规定的任何一种情形；</w:t>
      </w:r>
    </w:p>
    <w:p w14:paraId="128D62E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（2）投标人资质不符合规定的；</w:t>
      </w:r>
    </w:p>
    <w:p w14:paraId="19664B7F">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名称与营业执照、资质证书、安全生产许可证上的企业名称相互不一致的；其资质证书、安全生产许可证不是由住房城乡建设主管部门颁发的；营业执照、资质证书、安全生产许可证（含实时网页查询页，可参考网址 https://zlaq.mohurd.gov.cn/fwmh/bjxcjgl/fwmh/pages/construction_safety/qyaqscxkz/qyaqscxkz）被吊销、暂扣或不在有效期内的；</w:t>
      </w:r>
    </w:p>
    <w:p w14:paraId="28A1098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14:paraId="660246F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240" w:firstLineChars="100"/>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（4）拟派项目经理、项目技术负责人、专职安全员的条件不符合规定的；拟派专职安全员数量不符合规定的；项目技术负责人未在投标文件《项目技术负责人简历表》中签字确认。</w:t>
      </w:r>
    </w:p>
    <w:p w14:paraId="67723322">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温馨提示：建造师打印电子证书后，应在个人签名处手写本人签名，未手写签名或与签名图像笔迹不一致的，该电子证书无效。</w:t>
      </w:r>
    </w:p>
    <w:p w14:paraId="4935AD73">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项目经理简历表》中拟派项目经理与《开标一览表》不一致的；拟派的项目经理未在投标文件《项目经理简历表》中签字确认；一级建造师的注册证书不是国家住建部颁发的；二级建造师的电子注册证书不是省级住建厅颁发的；建造师的注册单位与投标人不一致的；项目管理班子组成人员的各类证书、证件、证明不在有效期内的（建造师注册证书不在使用有效期内的）；擅自修改、遗漏《项目经理任职声明》实质性内容的；</w:t>
      </w:r>
    </w:p>
    <w:p w14:paraId="5D58D1E1">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注：投标人已经工商变更，但其员工执业资格注册证书的注册单位名称未完成变更的，不得否决其投标。</w:t>
      </w:r>
    </w:p>
    <w:p w14:paraId="6CDD9500">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鉴于目前继续教育开展的实际情况，建筑和市政工程施工现场专业人员（例如：施工员、质量员、材料员、资料员）的岗位证书或培训证书不审查其证书的有效期。</w:t>
      </w:r>
    </w:p>
    <w:p w14:paraId="4B23118B">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（6）招标文件规定不接受联合体投标，但以联合体投标的；</w:t>
      </w:r>
    </w:p>
    <w:p w14:paraId="1E3DF654">
      <w:pPr>
        <w:keepNext w:val="0"/>
        <w:keepLines w:val="0"/>
        <w:pageBreakBefore w:val="0"/>
        <w:widowControl/>
        <w:kinsoku w:val="0"/>
        <w:wordWrap/>
        <w:overflowPunct/>
        <w:topLinePunct w:val="0"/>
        <w:autoSpaceDE w:val="0"/>
        <w:autoSpaceDN w:val="0"/>
        <w:bidi w:val="0"/>
        <w:adjustRightInd w:val="0"/>
        <w:snapToGrid w:val="0"/>
        <w:spacing w:line="360" w:lineRule="auto"/>
        <w:ind w:right="198" w:firstLine="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）投标人为外省建筑企业，但未提供“进粤企业和人员诚信信息登记平台 ”企业和拟派人员信息情况打印页或网页截图的。</w:t>
      </w:r>
    </w:p>
    <w:p w14:paraId="62EEE4F7">
      <w:pPr>
        <w:spacing w:before="154" w:line="221" w:lineRule="auto"/>
        <w:ind w:left="477"/>
        <w:outlineLvl w:val="2"/>
        <w:rPr>
          <w:rFonts w:hint="eastAsia" w:ascii="宋体" w:hAnsi="宋体" w:eastAsia="宋体" w:cs="宋体"/>
          <w:color w:val="auto"/>
          <w:sz w:val="24"/>
          <w:szCs w:val="24"/>
          <w:highlight w:val="none"/>
        </w:rPr>
      </w:pPr>
      <w:bookmarkStart w:id="147" w:name="_Toc5925"/>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．形式评审环节</w:t>
      </w:r>
      <w:bookmarkEnd w:id="147"/>
    </w:p>
    <w:p w14:paraId="053CEC5E">
      <w:pPr>
        <w:keepNext w:val="0"/>
        <w:keepLines w:val="0"/>
        <w:pageBreakBefore w:val="0"/>
        <w:widowControl/>
        <w:kinsoku w:val="0"/>
        <w:wordWrap/>
        <w:overflowPunct/>
        <w:topLinePunct w:val="0"/>
        <w:autoSpaceDE w:val="0"/>
        <w:autoSpaceDN w:val="0"/>
        <w:bidi w:val="0"/>
        <w:adjustRightInd w:val="0"/>
        <w:snapToGrid w:val="0"/>
        <w:spacing w:line="360" w:lineRule="auto"/>
        <w:ind w:right="200" w:firstLine="48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投标人有下列情形之一的，评标委员会应否决其投标。被否决的投标人，不进入响应性评审环节。</w:t>
      </w:r>
    </w:p>
    <w:p w14:paraId="18B6E674">
      <w:pPr>
        <w:keepNext w:val="0"/>
        <w:keepLines w:val="0"/>
        <w:pageBreakBefore w:val="0"/>
        <w:widowControl/>
        <w:kinsoku w:val="0"/>
        <w:wordWrap/>
        <w:overflowPunct/>
        <w:topLinePunct w:val="0"/>
        <w:autoSpaceDE w:val="0"/>
        <w:autoSpaceDN w:val="0"/>
        <w:bidi w:val="0"/>
        <w:adjustRightInd w:val="0"/>
        <w:snapToGrid w:val="0"/>
        <w:spacing w:line="360" w:lineRule="auto"/>
        <w:ind w:left="49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（1）各分册没按招标文件规定加盖电子印章；</w:t>
      </w:r>
    </w:p>
    <w:p w14:paraId="74AD0720">
      <w:pPr>
        <w:keepNext w:val="0"/>
        <w:keepLines w:val="0"/>
        <w:pageBreakBefore w:val="0"/>
        <w:widowControl/>
        <w:kinsoku w:val="0"/>
        <w:wordWrap/>
        <w:overflowPunct/>
        <w:topLinePunct w:val="0"/>
        <w:autoSpaceDE w:val="0"/>
        <w:autoSpaceDN w:val="0"/>
        <w:bidi w:val="0"/>
        <w:adjustRightInd w:val="0"/>
        <w:snapToGrid w:val="0"/>
        <w:spacing w:line="360" w:lineRule="auto"/>
        <w:ind w:left="1" w:right="200" w:firstLine="49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（2）本章第三节第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10.2.2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10.3.2</w:t>
      </w:r>
      <w:r>
        <w:rPr>
          <w:rFonts w:hint="eastAsia" w:ascii="宋体" w:hAnsi="宋体" w:eastAsia="宋体" w:cs="宋体"/>
          <w:color w:val="auto"/>
          <w:spacing w:val="-8"/>
          <w:sz w:val="24"/>
          <w:szCs w:val="24"/>
          <w:highlight w:val="none"/>
        </w:rPr>
        <w:t xml:space="preserve"> 目、第</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8"/>
          <w:sz w:val="24"/>
          <w:szCs w:val="24"/>
          <w:highlight w:val="none"/>
        </w:rPr>
        <w:t>10.4.3</w:t>
      </w:r>
      <w:r>
        <w:rPr>
          <w:rFonts w:hint="eastAsia" w:ascii="宋体" w:hAnsi="宋体" w:eastAsia="宋体" w:cs="宋体"/>
          <w:color w:val="auto"/>
          <w:spacing w:val="-8"/>
          <w:sz w:val="24"/>
          <w:szCs w:val="24"/>
          <w:highlight w:val="none"/>
        </w:rPr>
        <w:t xml:space="preserve"> 目中规定的“所有投标人</w:t>
      </w:r>
      <w:r>
        <w:rPr>
          <w:rFonts w:hint="eastAsia" w:ascii="宋体" w:hAnsi="宋体" w:eastAsia="宋体" w:cs="宋体"/>
          <w:color w:val="auto"/>
          <w:spacing w:val="-1"/>
          <w:sz w:val="24"/>
          <w:szCs w:val="24"/>
          <w:highlight w:val="none"/>
        </w:rPr>
        <w:t>均应提供</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”的组成内容（包括该组成内容的所附资料）中，</w:t>
      </w:r>
      <w:r>
        <w:rPr>
          <w:rFonts w:hint="eastAsia" w:ascii="宋体" w:hAnsi="宋体" w:eastAsia="宋体" w:cs="宋体"/>
          <w:color w:val="auto"/>
          <w:spacing w:val="-2"/>
          <w:sz w:val="24"/>
          <w:szCs w:val="24"/>
          <w:highlight w:val="none"/>
        </w:rPr>
        <w:t>任何一项有缺漏的；</w:t>
      </w:r>
    </w:p>
    <w:p w14:paraId="5933D0A3">
      <w:pPr>
        <w:keepNext w:val="0"/>
        <w:keepLines w:val="0"/>
        <w:pageBreakBefore w:val="0"/>
        <w:widowControl/>
        <w:kinsoku w:val="0"/>
        <w:wordWrap/>
        <w:overflowPunct/>
        <w:topLinePunct w:val="0"/>
        <w:autoSpaceDE w:val="0"/>
        <w:autoSpaceDN w:val="0"/>
        <w:bidi w:val="0"/>
        <w:adjustRightInd w:val="0"/>
        <w:snapToGrid w:val="0"/>
        <w:spacing w:line="360" w:lineRule="auto"/>
        <w:ind w:left="8" w:right="200" w:firstLine="4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（3）关键字迹模糊、无法辨认，且该种过错将导致评标委员会无法判断投标文件是</w:t>
      </w:r>
      <w:r>
        <w:rPr>
          <w:rFonts w:hint="eastAsia" w:ascii="宋体" w:hAnsi="宋体" w:eastAsia="宋体" w:cs="宋体"/>
          <w:color w:val="auto"/>
          <w:spacing w:val="-2"/>
          <w:sz w:val="24"/>
          <w:szCs w:val="24"/>
          <w:highlight w:val="none"/>
        </w:rPr>
        <w:t>否响应招标文件实质性要求的；有涂改、行间插字或删除，但未加盖单位章或由投标人</w:t>
      </w:r>
      <w:r>
        <w:rPr>
          <w:rFonts w:hint="eastAsia" w:ascii="宋体" w:hAnsi="宋体" w:eastAsia="宋体" w:cs="宋体"/>
          <w:color w:val="auto"/>
          <w:spacing w:val="-1"/>
          <w:sz w:val="24"/>
          <w:szCs w:val="24"/>
          <w:highlight w:val="none"/>
        </w:rPr>
        <w:t>的法定代表人或其委托代理人签字确认的；</w:t>
      </w:r>
    </w:p>
    <w:p w14:paraId="54158009">
      <w:pPr>
        <w:keepNext w:val="0"/>
        <w:keepLines w:val="0"/>
        <w:pageBreakBefore w:val="0"/>
        <w:widowControl/>
        <w:kinsoku w:val="0"/>
        <w:wordWrap/>
        <w:overflowPunct/>
        <w:topLinePunct w:val="0"/>
        <w:autoSpaceDE w:val="0"/>
        <w:autoSpaceDN w:val="0"/>
        <w:bidi w:val="0"/>
        <w:adjustRightInd w:val="0"/>
        <w:snapToGrid w:val="0"/>
        <w:spacing w:line="360" w:lineRule="auto"/>
        <w:ind w:left="43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（4）投标文件未按规定签字、盖章的。</w:t>
      </w:r>
    </w:p>
    <w:p w14:paraId="39AD0DAE">
      <w:pPr>
        <w:spacing w:before="227" w:line="221" w:lineRule="auto"/>
        <w:ind w:left="475"/>
        <w:outlineLvl w:val="2"/>
        <w:rPr>
          <w:rFonts w:hint="eastAsia" w:ascii="宋体" w:hAnsi="宋体" w:eastAsia="宋体" w:cs="宋体"/>
          <w:color w:val="auto"/>
          <w:sz w:val="24"/>
          <w:szCs w:val="24"/>
          <w:highlight w:val="none"/>
        </w:rPr>
      </w:pPr>
      <w:bookmarkStart w:id="148" w:name="_Toc19828"/>
      <w:r>
        <w:rPr>
          <w:rFonts w:hint="eastAsia" w:ascii="宋体" w:hAnsi="宋体" w:eastAsia="宋体" w:cs="宋体"/>
          <w:b/>
          <w:bCs/>
          <w:color w:val="auto"/>
          <w:spacing w:val="-6"/>
          <w:sz w:val="24"/>
          <w:szCs w:val="24"/>
          <w:highlight w:val="none"/>
        </w:rPr>
        <w:t>3</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6"/>
          <w:sz w:val="24"/>
          <w:szCs w:val="24"/>
          <w:highlight w:val="none"/>
        </w:rPr>
        <w:t>．响应性评审环节</w:t>
      </w:r>
      <w:bookmarkEnd w:id="148"/>
    </w:p>
    <w:p w14:paraId="4686AB01">
      <w:pPr>
        <w:spacing w:before="151" w:line="327" w:lineRule="auto"/>
        <w:ind w:left="1" w:right="200"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投标人有下列情形之一的，评标委员会应否决其投标。被否决的投标人，不进入详细评审阶段。</w:t>
      </w:r>
    </w:p>
    <w:p w14:paraId="3A367586">
      <w:pPr>
        <w:spacing w:before="31" w:line="279" w:lineRule="auto"/>
        <w:ind w:left="40" w:right="200" w:firstLine="45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（1）承诺的投标有效期短于规定的；质量标准低于规定的；工期超出规定的；擅</w:t>
      </w:r>
      <w:r>
        <w:rPr>
          <w:rFonts w:hint="eastAsia" w:ascii="宋体" w:hAnsi="宋体" w:eastAsia="宋体" w:cs="宋体"/>
          <w:color w:val="auto"/>
          <w:spacing w:val="-2"/>
          <w:sz w:val="24"/>
          <w:szCs w:val="24"/>
          <w:highlight w:val="none"/>
        </w:rPr>
        <w:t>自修改、遗漏《投标函》《各项承诺一览表》实质性内容的；</w:t>
      </w:r>
    </w:p>
    <w:p w14:paraId="7740EF66">
      <w:pPr>
        <w:spacing w:before="157" w:line="278" w:lineRule="auto"/>
        <w:ind w:left="2" w:right="200" w:firstLine="489"/>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（2）编制《投标总价》的造价工程师，其注册证书不是</w:t>
      </w:r>
      <w:r>
        <w:rPr>
          <w:rFonts w:hint="eastAsia" w:ascii="宋体" w:hAnsi="宋体" w:eastAsia="宋体" w:cs="宋体"/>
          <w:b/>
          <w:bCs/>
          <w:color w:val="auto"/>
          <w:spacing w:val="1"/>
          <w:sz w:val="24"/>
          <w:szCs w:val="24"/>
          <w:highlight w:val="none"/>
        </w:rPr>
        <w:t>住建部门</w:t>
      </w:r>
      <w:r>
        <w:rPr>
          <w:rFonts w:hint="eastAsia" w:ascii="宋体" w:hAnsi="宋体" w:eastAsia="宋体" w:cs="宋体"/>
          <w:color w:val="auto"/>
          <w:spacing w:val="1"/>
          <w:sz w:val="24"/>
          <w:szCs w:val="24"/>
          <w:highlight w:val="none"/>
        </w:rPr>
        <w:t>颁发的；其注册</w:t>
      </w:r>
      <w:r>
        <w:rPr>
          <w:rFonts w:hint="eastAsia" w:ascii="宋体" w:hAnsi="宋体" w:eastAsia="宋体" w:cs="宋体"/>
          <w:color w:val="auto"/>
          <w:sz w:val="24"/>
          <w:szCs w:val="24"/>
          <w:highlight w:val="none"/>
        </w:rPr>
        <w:t>单位与投标人（或造价咨询人）不一致的；</w:t>
      </w:r>
      <w:r>
        <w:rPr>
          <w:rFonts w:hint="eastAsia" w:ascii="宋体" w:hAnsi="宋体" w:eastAsia="宋体" w:cs="宋体"/>
          <w:color w:val="auto"/>
          <w:spacing w:val="-1"/>
          <w:sz w:val="24"/>
          <w:szCs w:val="24"/>
          <w:highlight w:val="none"/>
        </w:rPr>
        <w:t>其注册证书不在有效期内的。</w:t>
      </w:r>
    </w:p>
    <w:p w14:paraId="5077F36E">
      <w:pPr>
        <w:spacing w:before="156" w:line="329" w:lineRule="auto"/>
        <w:ind w:right="200" w:firstLine="480"/>
        <w:jc w:val="both"/>
        <w:rPr>
          <w:rFonts w:hint="eastAsia" w:ascii="宋体" w:hAnsi="宋体" w:eastAsia="宋体" w:cs="宋体"/>
          <w:color w:val="auto"/>
          <w:highlight w:val="none"/>
        </w:rPr>
      </w:pPr>
      <w:r>
        <w:rPr>
          <w:rFonts w:hint="eastAsia" w:ascii="宋体" w:hAnsi="宋体" w:eastAsia="宋体" w:cs="宋体"/>
          <w:b/>
          <w:bCs/>
          <w:color w:val="auto"/>
          <w:spacing w:val="-4"/>
          <w:sz w:val="24"/>
          <w:szCs w:val="24"/>
          <w:highlight w:val="none"/>
        </w:rPr>
        <w:t>注：投标人（或造价咨询人）已经工商变更，但其员工的执业资格注</w:t>
      </w:r>
      <w:r>
        <w:rPr>
          <w:rFonts w:hint="eastAsia" w:ascii="宋体" w:hAnsi="宋体" w:eastAsia="宋体" w:cs="宋体"/>
          <w:b/>
          <w:bCs/>
          <w:color w:val="auto"/>
          <w:spacing w:val="-5"/>
          <w:sz w:val="24"/>
          <w:szCs w:val="24"/>
          <w:highlight w:val="none"/>
        </w:rPr>
        <w:t>册证书的注册单位名称未完成变更的，不得否决其投标。此条与 10.3.1 中的造价工程师执业（含二级造价工程师）指引相一致。</w:t>
      </w:r>
    </w:p>
    <w:p w14:paraId="2A683A42">
      <w:pPr>
        <w:spacing w:before="78" w:line="299" w:lineRule="auto"/>
        <w:ind w:left="2" w:right="81"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（3）投标人委托造价咨询单位编制《投标总价》，但未在《投标总价扉页》“投标人</w:t>
      </w:r>
      <w:r>
        <w:rPr>
          <w:rFonts w:hint="eastAsia" w:ascii="宋体" w:hAnsi="宋体" w:eastAsia="宋体" w:cs="宋体"/>
          <w:color w:val="auto"/>
          <w:spacing w:val="-86"/>
          <w:sz w:val="24"/>
          <w:szCs w:val="24"/>
          <w:highlight w:val="none"/>
        </w:rPr>
        <w:t xml:space="preserve"> </w:t>
      </w:r>
      <w:r>
        <w:rPr>
          <w:rFonts w:hint="eastAsia" w:ascii="宋体" w:hAnsi="宋体" w:eastAsia="宋体" w:cs="宋体"/>
          <w:color w:val="auto"/>
          <w:spacing w:val="1"/>
          <w:sz w:val="24"/>
          <w:szCs w:val="24"/>
          <w:highlight w:val="none"/>
        </w:rPr>
        <w:t>”栏目加盖造价咨询人公章的；未提</w:t>
      </w:r>
      <w:r>
        <w:rPr>
          <w:rFonts w:hint="eastAsia" w:ascii="宋体" w:hAnsi="宋体" w:eastAsia="宋体" w:cs="宋体"/>
          <w:color w:val="auto"/>
          <w:sz w:val="24"/>
          <w:szCs w:val="24"/>
          <w:highlight w:val="none"/>
        </w:rPr>
        <w:t>供造价咨询人的营业执照副本彩</w:t>
      </w:r>
      <w:r>
        <w:rPr>
          <w:rFonts w:hint="eastAsia" w:ascii="宋体" w:hAnsi="宋体" w:eastAsia="宋体" w:cs="宋体"/>
          <w:color w:val="auto"/>
          <w:spacing w:val="-3"/>
          <w:sz w:val="24"/>
          <w:szCs w:val="24"/>
          <w:highlight w:val="none"/>
        </w:rPr>
        <w:t>色扫描件；</w:t>
      </w:r>
    </w:p>
    <w:p w14:paraId="3D7914BD">
      <w:pPr>
        <w:spacing w:before="151" w:line="360" w:lineRule="auto"/>
        <w:ind w:right="21" w:firstLine="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（4）出现两个或两个以上投标总价的（同一个投标总价大、小写不一致的除外</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投标总价超出</w:t>
      </w:r>
      <w:r>
        <w:rPr>
          <w:rFonts w:hint="eastAsia" w:ascii="宋体" w:hAnsi="宋体" w:eastAsia="宋体" w:cs="宋体"/>
          <w:b/>
          <w:bCs/>
          <w:color w:val="auto"/>
          <w:spacing w:val="-2"/>
          <w:sz w:val="24"/>
          <w:szCs w:val="24"/>
          <w:highlight w:val="none"/>
          <w:lang w:eastAsia="zh-CN"/>
        </w:rPr>
        <w:t>最高投标限价</w:t>
      </w:r>
      <w:r>
        <w:rPr>
          <w:rFonts w:hint="eastAsia" w:ascii="宋体" w:hAnsi="宋体" w:eastAsia="宋体" w:cs="宋体"/>
          <w:color w:val="auto"/>
          <w:spacing w:val="-2"/>
          <w:sz w:val="24"/>
          <w:szCs w:val="24"/>
          <w:highlight w:val="none"/>
        </w:rPr>
        <w:t>的；</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少于规定的；暂列金额、暂估</w:t>
      </w:r>
      <w:r>
        <w:rPr>
          <w:rFonts w:hint="eastAsia" w:ascii="宋体" w:hAnsi="宋体" w:eastAsia="宋体" w:cs="宋体"/>
          <w:color w:val="auto"/>
          <w:spacing w:val="-3"/>
          <w:sz w:val="24"/>
          <w:szCs w:val="24"/>
          <w:highlight w:val="none"/>
        </w:rPr>
        <w:t>价未按照招标工程量清单统一报价的；投标总价下浮率超过</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3"/>
          <w:sz w:val="24"/>
          <w:szCs w:val="24"/>
          <w:highlight w:val="none"/>
        </w:rPr>
        <w:t>15%，又未提供相应书面说</w:t>
      </w:r>
      <w:r>
        <w:rPr>
          <w:rFonts w:hint="eastAsia" w:ascii="宋体" w:hAnsi="宋体" w:eastAsia="宋体" w:cs="宋体"/>
          <w:color w:val="auto"/>
          <w:spacing w:val="-2"/>
          <w:sz w:val="24"/>
          <w:szCs w:val="24"/>
          <w:highlight w:val="none"/>
        </w:rPr>
        <w:t>明和佐证材料或提供的书面说明和佐证材料不能令人信服，被评标委员会认定以低于成</w:t>
      </w:r>
      <w:r>
        <w:rPr>
          <w:rFonts w:hint="eastAsia" w:ascii="宋体" w:hAnsi="宋体" w:eastAsia="宋体" w:cs="宋体"/>
          <w:color w:val="auto"/>
          <w:sz w:val="24"/>
          <w:szCs w:val="24"/>
          <w:highlight w:val="none"/>
        </w:rPr>
        <w:t>本报价竞标的；擅自修改、增减招标工程量清单</w:t>
      </w:r>
      <w:r>
        <w:rPr>
          <w:rFonts w:hint="eastAsia" w:ascii="宋体" w:hAnsi="宋体" w:eastAsia="宋体" w:cs="宋体"/>
          <w:color w:val="auto"/>
          <w:spacing w:val="-1"/>
          <w:sz w:val="24"/>
          <w:szCs w:val="24"/>
          <w:highlight w:val="none"/>
        </w:rPr>
        <w:t>项目（包括措施项目）的；</w:t>
      </w:r>
    </w:p>
    <w:p w14:paraId="7BE05ED8">
      <w:pPr>
        <w:spacing w:before="156" w:line="299" w:lineRule="auto"/>
        <w:ind w:right="81" w:firstLine="49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（5）在施工组织设计评审中，评标委员会认定质量、进度保障措施与国家和省市</w:t>
      </w:r>
      <w:r>
        <w:rPr>
          <w:rFonts w:hint="eastAsia" w:ascii="宋体" w:hAnsi="宋体" w:eastAsia="宋体" w:cs="宋体"/>
          <w:color w:val="auto"/>
          <w:spacing w:val="-3"/>
          <w:sz w:val="24"/>
          <w:szCs w:val="24"/>
          <w:highlight w:val="none"/>
        </w:rPr>
        <w:t>现行有关规范、规定、标准有重大偏差，</w:t>
      </w:r>
      <w:r>
        <w:rPr>
          <w:rFonts w:hint="eastAsia" w:ascii="宋体" w:hAnsi="宋体" w:eastAsia="宋体" w:cs="宋体"/>
          <w:b/>
          <w:bCs/>
          <w:color w:val="auto"/>
          <w:spacing w:val="-3"/>
          <w:sz w:val="24"/>
          <w:szCs w:val="24"/>
          <w:highlight w:val="none"/>
        </w:rPr>
        <w:t>且该种过错将导致工程质量、进度管理目标无</w:t>
      </w:r>
      <w:r>
        <w:rPr>
          <w:rFonts w:hint="eastAsia" w:ascii="宋体" w:hAnsi="宋体" w:eastAsia="宋体" w:cs="宋体"/>
          <w:b/>
          <w:bCs/>
          <w:color w:val="auto"/>
          <w:spacing w:val="-4"/>
          <w:sz w:val="24"/>
          <w:szCs w:val="24"/>
          <w:highlight w:val="none"/>
        </w:rPr>
        <w:t>法实现的</w:t>
      </w:r>
      <w:r>
        <w:rPr>
          <w:rFonts w:hint="eastAsia" w:ascii="宋体" w:hAnsi="宋体" w:eastAsia="宋体" w:cs="宋体"/>
          <w:color w:val="auto"/>
          <w:spacing w:val="-4"/>
          <w:sz w:val="24"/>
          <w:szCs w:val="24"/>
          <w:highlight w:val="none"/>
        </w:rPr>
        <w:t>。</w:t>
      </w:r>
    </w:p>
    <w:p w14:paraId="1F2CAFD7">
      <w:pPr>
        <w:spacing w:before="151" w:line="221" w:lineRule="auto"/>
        <w:ind w:left="476"/>
        <w:outlineLvl w:val="2"/>
        <w:rPr>
          <w:rFonts w:hint="eastAsia" w:ascii="宋体" w:hAnsi="宋体" w:eastAsia="宋体" w:cs="宋体"/>
          <w:color w:val="auto"/>
          <w:sz w:val="24"/>
          <w:szCs w:val="24"/>
          <w:highlight w:val="none"/>
        </w:rPr>
      </w:pPr>
      <w:bookmarkStart w:id="149" w:name="_Toc1458"/>
      <w:r>
        <w:rPr>
          <w:rFonts w:hint="eastAsia" w:ascii="宋体" w:hAnsi="宋体" w:eastAsia="宋体" w:cs="宋体"/>
          <w:b/>
          <w:bCs/>
          <w:color w:val="auto"/>
          <w:spacing w:val="-11"/>
          <w:sz w:val="24"/>
          <w:szCs w:val="24"/>
          <w:highlight w:val="none"/>
        </w:rPr>
        <w:t>4</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11"/>
          <w:sz w:val="24"/>
          <w:szCs w:val="24"/>
          <w:highlight w:val="none"/>
        </w:rPr>
        <w:t>．其他</w:t>
      </w:r>
      <w:bookmarkEnd w:id="149"/>
    </w:p>
    <w:p w14:paraId="4300F4C0">
      <w:pPr>
        <w:spacing w:before="153" w:line="326" w:lineRule="auto"/>
        <w:ind w:firstLine="47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在任何评标环节（或阶段</w:t>
      </w:r>
      <w:r>
        <w:rPr>
          <w:rFonts w:hint="eastAsia" w:ascii="宋体" w:hAnsi="宋体" w:eastAsia="宋体" w:cs="宋体"/>
          <w:color w:val="auto"/>
          <w:spacing w:val="-36"/>
          <w:sz w:val="24"/>
          <w:szCs w:val="24"/>
          <w:highlight w:val="none"/>
        </w:rPr>
        <w:t>），</w:t>
      </w:r>
      <w:r>
        <w:rPr>
          <w:rFonts w:hint="eastAsia" w:ascii="宋体" w:hAnsi="宋体" w:eastAsia="宋体" w:cs="宋体"/>
          <w:color w:val="auto"/>
          <w:spacing w:val="-4"/>
          <w:sz w:val="24"/>
          <w:szCs w:val="24"/>
          <w:highlight w:val="none"/>
        </w:rPr>
        <w:t>投标人有下列情形之一的，评标委员会应否</w:t>
      </w:r>
      <w:r>
        <w:rPr>
          <w:rFonts w:hint="eastAsia" w:ascii="宋体" w:hAnsi="宋体" w:eastAsia="宋体" w:cs="宋体"/>
          <w:color w:val="auto"/>
          <w:spacing w:val="-5"/>
          <w:sz w:val="24"/>
          <w:szCs w:val="24"/>
          <w:highlight w:val="none"/>
        </w:rPr>
        <w:t>决其投标。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被否决的投标人，不进入下一环节（或阶段）。</w:t>
      </w:r>
    </w:p>
    <w:p w14:paraId="780DC4D6">
      <w:pPr>
        <w:spacing w:before="33"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（1）不按评标委员会要求澄清、说明或补正的；</w:t>
      </w:r>
    </w:p>
    <w:p w14:paraId="1BD88C6E">
      <w:pPr>
        <w:spacing w:before="154" w:line="219"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（2）有下列情形之一，被评标委员会认定属于串通投标的：</w:t>
      </w:r>
    </w:p>
    <w:p w14:paraId="1240E21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①不同投标人的投标文件两处以上（含两处）错、漏一致；</w:t>
      </w:r>
    </w:p>
    <w:p w14:paraId="00F333AB">
      <w:pPr>
        <w:keepNext w:val="0"/>
        <w:keepLines w:val="0"/>
        <w:pageBreakBefore w:val="0"/>
        <w:widowControl/>
        <w:kinsoku w:val="0"/>
        <w:wordWrap/>
        <w:overflowPunct/>
        <w:topLinePunct w:val="0"/>
        <w:autoSpaceDE w:val="0"/>
        <w:autoSpaceDN w:val="0"/>
        <w:bidi w:val="0"/>
        <w:adjustRightInd w:val="0"/>
        <w:snapToGrid w:val="0"/>
        <w:spacing w:before="156" w:line="278" w:lineRule="auto"/>
        <w:ind w:right="21"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②不同投标人的投标总价相近且各分项报价、综合单价分析表内容混乱不能相互对</w:t>
      </w:r>
      <w:r>
        <w:rPr>
          <w:rFonts w:hint="eastAsia" w:ascii="宋体" w:hAnsi="宋体" w:eastAsia="宋体" w:cs="宋体"/>
          <w:color w:val="auto"/>
          <w:spacing w:val="-6"/>
          <w:sz w:val="24"/>
          <w:szCs w:val="24"/>
          <w:highlight w:val="none"/>
        </w:rPr>
        <w:t>应、乱调乱压或乱抬的，而在询标时没有合理的解释或者不能提供计算依据和</w:t>
      </w:r>
      <w:r>
        <w:rPr>
          <w:rFonts w:hint="eastAsia" w:ascii="宋体" w:hAnsi="宋体" w:eastAsia="宋体" w:cs="宋体"/>
          <w:color w:val="auto"/>
          <w:spacing w:val="-7"/>
          <w:sz w:val="24"/>
          <w:szCs w:val="24"/>
          <w:highlight w:val="none"/>
        </w:rPr>
        <w:t>报价依据；</w:t>
      </w:r>
    </w:p>
    <w:p w14:paraId="3F875C43">
      <w:pPr>
        <w:keepNext w:val="0"/>
        <w:keepLines w:val="0"/>
        <w:pageBreakBefore w:val="0"/>
        <w:widowControl/>
        <w:kinsoku w:val="0"/>
        <w:wordWrap/>
        <w:overflowPunct/>
        <w:topLinePunct w:val="0"/>
        <w:autoSpaceDE w:val="0"/>
        <w:autoSpaceDN w:val="0"/>
        <w:bidi w:val="0"/>
        <w:adjustRightInd w:val="0"/>
        <w:snapToGrid w:val="0"/>
        <w:spacing w:before="157"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③不同投标人的投标各项报价存在异常一致</w:t>
      </w:r>
      <w:r>
        <w:rPr>
          <w:rFonts w:hint="eastAsia" w:ascii="宋体" w:hAnsi="宋体" w:eastAsia="宋体" w:cs="宋体"/>
          <w:color w:val="auto"/>
          <w:spacing w:val="-1"/>
          <w:sz w:val="24"/>
          <w:szCs w:val="24"/>
          <w:highlight w:val="none"/>
        </w:rPr>
        <w:t>或者呈规律性变化；</w:t>
      </w:r>
    </w:p>
    <w:p w14:paraId="46E9D77B">
      <w:pPr>
        <w:keepNext w:val="0"/>
        <w:keepLines w:val="0"/>
        <w:pageBreakBefore w:val="0"/>
        <w:widowControl/>
        <w:kinsoku w:val="0"/>
        <w:wordWrap/>
        <w:overflowPunct/>
        <w:topLinePunct w:val="0"/>
        <w:autoSpaceDE w:val="0"/>
        <w:autoSpaceDN w:val="0"/>
        <w:bidi w:val="0"/>
        <w:adjustRightInd w:val="0"/>
        <w:snapToGrid w:val="0"/>
        <w:spacing w:before="156"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④不同投标人的投标文件由同一单位或者同一个人编制；</w:t>
      </w:r>
    </w:p>
    <w:p w14:paraId="09D8E95C">
      <w:pPr>
        <w:keepNext w:val="0"/>
        <w:keepLines w:val="0"/>
        <w:pageBreakBefore w:val="0"/>
        <w:widowControl/>
        <w:kinsoku w:val="0"/>
        <w:wordWrap/>
        <w:overflowPunct/>
        <w:topLinePunct w:val="0"/>
        <w:autoSpaceDE w:val="0"/>
        <w:autoSpaceDN w:val="0"/>
        <w:bidi w:val="0"/>
        <w:adjustRightInd w:val="0"/>
        <w:snapToGrid w:val="0"/>
        <w:spacing w:before="157" w:line="280" w:lineRule="auto"/>
        <w:ind w:left="1" w:right="81" w:firstLine="47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⑤不同投标人的投标文件中投标资料（包括电子资料）相互混装或项目班子成员出</w:t>
      </w:r>
      <w:r>
        <w:rPr>
          <w:rFonts w:hint="eastAsia" w:ascii="宋体" w:hAnsi="宋体" w:eastAsia="宋体" w:cs="宋体"/>
          <w:color w:val="auto"/>
          <w:spacing w:val="-3"/>
          <w:sz w:val="24"/>
          <w:szCs w:val="24"/>
          <w:highlight w:val="none"/>
        </w:rPr>
        <w:t>现同一人；</w:t>
      </w:r>
    </w:p>
    <w:p w14:paraId="510230E6">
      <w:pPr>
        <w:keepNext w:val="0"/>
        <w:keepLines w:val="0"/>
        <w:pageBreakBefore w:val="0"/>
        <w:widowControl/>
        <w:kinsoku w:val="0"/>
        <w:wordWrap/>
        <w:overflowPunct/>
        <w:topLinePunct w:val="0"/>
        <w:autoSpaceDE w:val="0"/>
        <w:autoSpaceDN w:val="0"/>
        <w:bidi w:val="0"/>
        <w:adjustRightInd w:val="0"/>
        <w:snapToGrid w:val="0"/>
        <w:spacing w:before="152" w:line="279" w:lineRule="auto"/>
        <w:ind w:left="3" w:right="8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⑥不同投标人的投标文件由同一电脑编制或同一台附属设备打印，或投标报价用同</w:t>
      </w:r>
      <w:r>
        <w:rPr>
          <w:rFonts w:hint="eastAsia" w:ascii="宋体" w:hAnsi="宋体" w:eastAsia="宋体" w:cs="宋体"/>
          <w:color w:val="auto"/>
          <w:spacing w:val="-1"/>
          <w:sz w:val="24"/>
          <w:szCs w:val="24"/>
          <w:highlight w:val="none"/>
        </w:rPr>
        <w:t>一个预算编制软件密码锁制作或出自同一电子文档；</w:t>
      </w:r>
    </w:p>
    <w:p w14:paraId="5A36E25E">
      <w:pPr>
        <w:keepNext w:val="0"/>
        <w:keepLines w:val="0"/>
        <w:pageBreakBefore w:val="0"/>
        <w:widowControl/>
        <w:kinsoku w:val="0"/>
        <w:wordWrap/>
        <w:overflowPunct/>
        <w:topLinePunct w:val="0"/>
        <w:autoSpaceDE w:val="0"/>
        <w:autoSpaceDN w:val="0"/>
        <w:bidi w:val="0"/>
        <w:adjustRightInd w:val="0"/>
        <w:snapToGrid w:val="0"/>
        <w:spacing w:before="155" w:line="218" w:lineRule="auto"/>
        <w:ind w:left="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⑦不同投标人的投标保证由同一企业或同一账户资金缴纳；</w:t>
      </w:r>
    </w:p>
    <w:p w14:paraId="5239CFAB">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rPr>
        <w:t>⑧不同投标人委托同一个人或注册在同一家企业的注册人员或同一家企业为其投</w:t>
      </w:r>
      <w:r>
        <w:rPr>
          <w:rFonts w:hint="eastAsia" w:ascii="宋体" w:hAnsi="宋体" w:eastAsia="宋体" w:cs="宋体"/>
          <w:color w:val="auto"/>
          <w:spacing w:val="-2"/>
          <w:sz w:val="24"/>
          <w:szCs w:val="24"/>
          <w:highlight w:val="none"/>
        </w:rPr>
        <w:t>标提供投标咨询、商务报价、技术咨询（招标项目本身要求采用专有技术的除外）等服</w:t>
      </w:r>
      <w:r>
        <w:rPr>
          <w:rFonts w:hint="eastAsia" w:ascii="宋体" w:hAnsi="宋体" w:eastAsia="宋体" w:cs="宋体"/>
          <w:color w:val="auto"/>
          <w:spacing w:val="-6"/>
          <w:sz w:val="24"/>
          <w:szCs w:val="24"/>
          <w:highlight w:val="none"/>
        </w:rPr>
        <w:t>务</w:t>
      </w:r>
      <w:r>
        <w:rPr>
          <w:rFonts w:hint="eastAsia" w:ascii="宋体" w:hAnsi="宋体" w:eastAsia="宋体" w:cs="宋体"/>
          <w:color w:val="auto"/>
          <w:spacing w:val="-6"/>
          <w:sz w:val="24"/>
          <w:szCs w:val="24"/>
          <w:highlight w:val="none"/>
          <w:lang w:eastAsia="zh-CN"/>
        </w:rPr>
        <w:t>；</w:t>
      </w:r>
    </w:p>
    <w:p w14:paraId="2AE1062E">
      <w:pPr>
        <w:keepNext w:val="0"/>
        <w:keepLines w:val="0"/>
        <w:pageBreakBefore w:val="0"/>
        <w:widowControl/>
        <w:kinsoku w:val="0"/>
        <w:wordWrap/>
        <w:overflowPunct/>
        <w:topLinePunct w:val="0"/>
        <w:autoSpaceDE w:val="0"/>
        <w:autoSpaceDN w:val="0"/>
        <w:bidi w:val="0"/>
        <w:adjustRightInd w:val="0"/>
        <w:snapToGrid w:val="0"/>
        <w:spacing w:before="157" w:line="299" w:lineRule="auto"/>
        <w:ind w:right="81" w:firstLine="477"/>
        <w:textAlignment w:val="baseline"/>
        <w:rPr>
          <w:rFonts w:hint="eastAsia" w:ascii="宋体" w:hAnsi="宋体" w:eastAsia="宋体" w:cs="宋体"/>
          <w:color w:val="auto"/>
          <w:spacing w:val="-2"/>
          <w:sz w:val="24"/>
          <w:szCs w:val="24"/>
          <w:highlight w:val="none"/>
          <w:lang w:eastAsia="zh-CN"/>
        </w:rPr>
        <w:sectPr>
          <w:headerReference r:id="rId9" w:type="default"/>
          <w:footerReference r:id="rId10" w:type="default"/>
          <w:pgSz w:w="11906" w:h="16839"/>
          <w:pgMar w:top="1440" w:right="946"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2"/>
          <w:sz w:val="24"/>
          <w:szCs w:val="24"/>
          <w:highlight w:val="none"/>
        </w:rPr>
        <w:t>⑨监督部门于韶关市公共交易一体化平台发现系统提示风险预警，如提示投标单位上传投标文件使用的电脑IP地址一致等</w:t>
      </w:r>
      <w:r>
        <w:rPr>
          <w:rFonts w:hint="eastAsia" w:ascii="宋体" w:hAnsi="宋体" w:eastAsia="宋体" w:cs="宋体"/>
          <w:color w:val="auto"/>
          <w:spacing w:val="-2"/>
          <w:sz w:val="24"/>
          <w:szCs w:val="24"/>
          <w:highlight w:val="none"/>
          <w:lang w:eastAsia="zh-CN"/>
        </w:rPr>
        <w:t>。</w:t>
      </w:r>
    </w:p>
    <w:p w14:paraId="592EEFA9">
      <w:pPr>
        <w:spacing w:before="78" w:line="220" w:lineRule="auto"/>
        <w:ind w:left="9"/>
        <w:jc w:val="center"/>
        <w:outlineLvl w:val="1"/>
        <w:rPr>
          <w:rFonts w:hint="eastAsia" w:ascii="宋体" w:hAnsi="宋体" w:eastAsia="宋体" w:cs="宋体"/>
          <w:color w:val="auto"/>
          <w:sz w:val="24"/>
          <w:szCs w:val="24"/>
          <w:highlight w:val="none"/>
        </w:rPr>
      </w:pPr>
      <w:bookmarkStart w:id="150" w:name="bookmark57"/>
      <w:bookmarkEnd w:id="150"/>
      <w:bookmarkStart w:id="151" w:name="_Toc22243"/>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五</w:t>
      </w:r>
      <w:r>
        <w:rPr>
          <w:rFonts w:hint="eastAsia" w:ascii="宋体" w:hAnsi="宋体" w:eastAsia="宋体" w:cs="宋体"/>
          <w:b/>
          <w:bCs/>
          <w:color w:val="auto"/>
          <w:spacing w:val="-3"/>
          <w:sz w:val="24"/>
          <w:szCs w:val="24"/>
          <w:highlight w:val="none"/>
        </w:rPr>
        <w:t>节</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定标规定及细则（本项目采用票决数量法定标）</w:t>
      </w:r>
      <w:bookmarkEnd w:id="151"/>
    </w:p>
    <w:p w14:paraId="68BF1814">
      <w:pPr>
        <w:pStyle w:val="5"/>
        <w:spacing w:line="256" w:lineRule="auto"/>
        <w:rPr>
          <w:rFonts w:hint="eastAsia" w:ascii="宋体" w:hAnsi="宋体" w:eastAsia="宋体" w:cs="宋体"/>
          <w:color w:val="auto"/>
          <w:highlight w:val="none"/>
        </w:rPr>
      </w:pPr>
    </w:p>
    <w:p w14:paraId="10B417A3">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14:paraId="766A39D9">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14:paraId="5FB42728">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14:paraId="239D68EE">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定标委员会由项目业主单位负责组建和管理。定标委员会的组成方式、组长和成员由项目业主单位按相关规定自行确定。招标项目对技术、商务等有特别要求的可从广东省综合评标评审专家库（韶关区域）抽取专家(外部人员）补足，成员数量为7人及以上单数，成员数量应在招标文件中明确。专家人数原则上不超过2人。定标委员会成员数量在本投标人须知前附表中约定。</w:t>
      </w:r>
    </w:p>
    <w:p w14:paraId="0166038F">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14:paraId="170F3163">
      <w:pPr>
        <w:keepNext w:val="0"/>
        <w:keepLines w:val="0"/>
        <w:pageBreakBefore w:val="0"/>
        <w:wordWrap/>
        <w:overflowPunct/>
        <w:topLinePunct w:val="0"/>
        <w:bidi w:val="0"/>
        <w:spacing w:line="360" w:lineRule="auto"/>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14:paraId="690E8EBF">
      <w:pPr>
        <w:keepNext w:val="0"/>
        <w:keepLines w:val="0"/>
        <w:pageBreakBefore w:val="0"/>
        <w:wordWrap/>
        <w:overflowPunct/>
        <w:topLinePunct w:val="0"/>
        <w:bidi w:val="0"/>
        <w:spacing w:line="360" w:lineRule="auto"/>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14:paraId="451680C4">
      <w:pPr>
        <w:keepNext w:val="0"/>
        <w:keepLines w:val="0"/>
        <w:pageBreakBefore w:val="0"/>
        <w:wordWrap/>
        <w:overflowPunct/>
        <w:topLinePunct w:val="0"/>
        <w:bidi w:val="0"/>
        <w:spacing w:line="360" w:lineRule="auto"/>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项目业主应组建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14:paraId="7D9B31AD">
      <w:pPr>
        <w:keepNext w:val="0"/>
        <w:keepLines w:val="0"/>
        <w:pageBreakBefore w:val="0"/>
        <w:wordWrap/>
        <w:overflowPunct/>
        <w:topLinePunct w:val="0"/>
        <w:bidi w:val="0"/>
        <w:spacing w:line="360" w:lineRule="auto"/>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14:paraId="65B6341F">
      <w:pPr>
        <w:keepNext w:val="0"/>
        <w:keepLines w:val="0"/>
        <w:pageBreakBefore w:val="0"/>
        <w:wordWrap/>
        <w:overflowPunct/>
        <w:topLinePunct w:val="0"/>
        <w:bidi w:val="0"/>
        <w:spacing w:line="360" w:lineRule="auto"/>
        <w:ind w:firstLine="240" w:firstLineChars="1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定标办法由招标人按本投标人须知前附表的规定确定（只能选定其中一种定标办法）。</w:t>
      </w:r>
    </w:p>
    <w:p w14:paraId="2E09F1EC">
      <w:pPr>
        <w:keepNext w:val="0"/>
        <w:keepLines w:val="0"/>
        <w:pageBreakBefore w:val="0"/>
        <w:wordWrap/>
        <w:overflowPunct/>
        <w:topLinePunct w:val="0"/>
        <w:bidi w:val="0"/>
        <w:spacing w:line="360" w:lineRule="auto"/>
        <w:ind w:firstLine="480" w:firstLineChars="200"/>
        <w:rPr>
          <w:rFonts w:hint="eastAsia"/>
          <w:color w:val="auto"/>
          <w:sz w:val="24"/>
          <w:szCs w:val="24"/>
          <w:highlight w:val="none"/>
        </w:rPr>
      </w:pPr>
      <w:bookmarkStart w:id="152" w:name="OLE_LINK3"/>
      <w:r>
        <w:rPr>
          <w:rFonts w:hint="eastAsia"/>
          <w:b/>
          <w:bCs/>
          <w:color w:val="auto"/>
          <w:sz w:val="24"/>
          <w:szCs w:val="24"/>
          <w:highlight w:val="none"/>
          <w:lang w:val="en-US" w:eastAsia="zh-CN"/>
        </w:rPr>
        <w:t>本项目</w:t>
      </w:r>
      <w:bookmarkEnd w:id="152"/>
      <w:r>
        <w:rPr>
          <w:rFonts w:hint="eastAsia"/>
          <w:b/>
          <w:bCs/>
          <w:color w:val="auto"/>
          <w:sz w:val="24"/>
          <w:szCs w:val="24"/>
          <w:highlight w:val="none"/>
          <w:lang w:val="en-US" w:eastAsia="zh-CN"/>
        </w:rPr>
        <w:t>采用票决数量法定标。</w:t>
      </w:r>
    </w:p>
    <w:p w14:paraId="7DC142B9">
      <w:pPr>
        <w:keepNext w:val="0"/>
        <w:keepLines w:val="0"/>
        <w:pageBreakBefore w:val="0"/>
        <w:wordWrap/>
        <w:overflowPunct/>
        <w:topLinePunct w:val="0"/>
        <w:bidi w:val="0"/>
        <w:spacing w:line="360" w:lineRule="auto"/>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14:paraId="21B82FE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14:paraId="322D43F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14:paraId="40D9E50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14:paraId="31594E7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14:paraId="2B63202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14:paraId="65146BA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14:paraId="28D62039">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14:paraId="7F6080F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14:paraId="2116CA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14:paraId="3D9FAC9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14:paraId="358DA39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14:paraId="6F04ECF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14:paraId="73597560">
      <w:pPr>
        <w:pStyle w:val="12"/>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auto"/>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14:paraId="42C77B4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14:paraId="6C6211A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14:paraId="546EFB8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定标因素和相对标准有以下几个方面：</w:t>
      </w:r>
    </w:p>
    <w:p w14:paraId="6264BCE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（1）拟派团队管理能力与水平（履约能力）</w:t>
      </w:r>
    </w:p>
    <w:p w14:paraId="088F27F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14:paraId="0AD9522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（2）企业信誉</w:t>
      </w:r>
    </w:p>
    <w:p w14:paraId="746214B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14:paraId="29593FC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（3）企业社会贡献（助力“百千万工程”、社会公益项目）</w:t>
      </w:r>
    </w:p>
    <w:p w14:paraId="05E40F0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相对标准：承诺助力“百千万工程”的定标候选人优于未承诺的定标候选人（以《助力项目承诺书》为准）；参与过社会公益项目的定标候选人优于未参与过的定标候选人（提供相关佐证）。</w:t>
      </w:r>
    </w:p>
    <w:p w14:paraId="2CEA812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（4）评标报告</w:t>
      </w:r>
    </w:p>
    <w:p w14:paraId="2AADDC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14:paraId="30E1ECD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（5）农民工工资保障情况</w:t>
      </w:r>
    </w:p>
    <w:p w14:paraId="71F4519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14:paraId="59CB27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14:paraId="3FF6B90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韶关市公共资源交易中心工程交易系统上公示，公示时间不少于3日。公示主要内容包括：定标报告（定标成员信息除外）、中标人名单、中标价和拟投入本项目的项目负责人、技术负责人及各专业负责人（如有）等内容。</w:t>
      </w:r>
    </w:p>
    <w:p w14:paraId="030EA7EB">
      <w:pPr>
        <w:keepNext w:val="0"/>
        <w:keepLines w:val="0"/>
        <w:pageBreakBefore w:val="0"/>
        <w:wordWrap/>
        <w:overflowPunct/>
        <w:topLinePunct w:val="0"/>
        <w:bidi w:val="0"/>
        <w:spacing w:line="360" w:lineRule="auto"/>
        <w:rPr>
          <w:rFonts w:hint="eastAsia"/>
          <w:color w:val="auto"/>
          <w:sz w:val="24"/>
          <w:szCs w:val="24"/>
          <w:highlight w:val="none"/>
          <w:lang w:val="en-US" w:eastAsia="zh-CN"/>
        </w:rPr>
      </w:pPr>
    </w:p>
    <w:p w14:paraId="63554396">
      <w:pPr>
        <w:keepNext w:val="0"/>
        <w:keepLines w:val="0"/>
        <w:pageBreakBefore w:val="0"/>
        <w:wordWrap/>
        <w:overflowPunct/>
        <w:topLinePunct w:val="0"/>
        <w:bidi w:val="0"/>
        <w:spacing w:before="78" w:line="360" w:lineRule="auto"/>
        <w:ind w:left="3525"/>
        <w:outlineLvl w:val="0"/>
        <w:rPr>
          <w:rFonts w:hint="eastAsia" w:ascii="宋体" w:hAnsi="宋体" w:eastAsia="宋体" w:cs="宋体"/>
          <w:b/>
          <w:bCs/>
          <w:color w:val="auto"/>
          <w:spacing w:val="-7"/>
          <w:sz w:val="24"/>
          <w:szCs w:val="24"/>
          <w:highlight w:val="none"/>
        </w:rPr>
      </w:pPr>
    </w:p>
    <w:p w14:paraId="09ABEA5F">
      <w:pPr>
        <w:pStyle w:val="2"/>
        <w:rPr>
          <w:rFonts w:hint="eastAsia" w:ascii="宋体" w:hAnsi="宋体" w:eastAsia="宋体" w:cs="宋体"/>
          <w:b/>
          <w:bCs/>
          <w:color w:val="auto"/>
          <w:spacing w:val="-7"/>
          <w:sz w:val="24"/>
          <w:szCs w:val="24"/>
          <w:highlight w:val="none"/>
        </w:rPr>
      </w:pPr>
    </w:p>
    <w:p w14:paraId="0A396179">
      <w:pPr>
        <w:rPr>
          <w:rFonts w:hint="eastAsia" w:ascii="宋体" w:hAnsi="宋体" w:eastAsia="宋体" w:cs="宋体"/>
          <w:b/>
          <w:bCs/>
          <w:color w:val="auto"/>
          <w:spacing w:val="-7"/>
          <w:sz w:val="24"/>
          <w:szCs w:val="24"/>
          <w:highlight w:val="none"/>
        </w:rPr>
      </w:pPr>
    </w:p>
    <w:p w14:paraId="4AD40A13">
      <w:pPr>
        <w:pStyle w:val="2"/>
        <w:rPr>
          <w:rFonts w:hint="eastAsia" w:ascii="宋体" w:hAnsi="宋体" w:eastAsia="宋体" w:cs="宋体"/>
          <w:b/>
          <w:bCs/>
          <w:color w:val="auto"/>
          <w:spacing w:val="-7"/>
          <w:sz w:val="24"/>
          <w:szCs w:val="24"/>
          <w:highlight w:val="none"/>
        </w:rPr>
      </w:pPr>
    </w:p>
    <w:p w14:paraId="62C08327">
      <w:pPr>
        <w:rPr>
          <w:rFonts w:hint="eastAsia" w:ascii="宋体" w:hAnsi="宋体" w:eastAsia="宋体" w:cs="宋体"/>
          <w:b/>
          <w:bCs/>
          <w:color w:val="auto"/>
          <w:spacing w:val="-7"/>
          <w:sz w:val="24"/>
          <w:szCs w:val="24"/>
          <w:highlight w:val="none"/>
        </w:rPr>
      </w:pPr>
    </w:p>
    <w:p w14:paraId="78BF5276">
      <w:pPr>
        <w:pStyle w:val="2"/>
        <w:rPr>
          <w:rFonts w:hint="eastAsia" w:ascii="宋体" w:hAnsi="宋体" w:eastAsia="宋体" w:cs="宋体"/>
          <w:b/>
          <w:bCs/>
          <w:color w:val="auto"/>
          <w:spacing w:val="-7"/>
          <w:sz w:val="24"/>
          <w:szCs w:val="24"/>
          <w:highlight w:val="none"/>
        </w:rPr>
      </w:pPr>
    </w:p>
    <w:p w14:paraId="31DF38DE">
      <w:pPr>
        <w:rPr>
          <w:rFonts w:hint="eastAsia" w:ascii="宋体" w:hAnsi="宋体" w:eastAsia="宋体" w:cs="宋体"/>
          <w:b/>
          <w:bCs/>
          <w:color w:val="auto"/>
          <w:spacing w:val="-7"/>
          <w:sz w:val="24"/>
          <w:szCs w:val="24"/>
          <w:highlight w:val="none"/>
        </w:rPr>
      </w:pPr>
    </w:p>
    <w:p w14:paraId="019A8ECB">
      <w:pPr>
        <w:pStyle w:val="2"/>
        <w:rPr>
          <w:rFonts w:hint="eastAsia"/>
          <w:color w:val="auto"/>
          <w:highlight w:val="none"/>
        </w:rPr>
      </w:pPr>
    </w:p>
    <w:p w14:paraId="5F34689B">
      <w:pPr>
        <w:pStyle w:val="2"/>
        <w:rPr>
          <w:rFonts w:hint="eastAsia"/>
          <w:color w:val="auto"/>
          <w:highlight w:val="none"/>
        </w:rPr>
      </w:pPr>
    </w:p>
    <w:p w14:paraId="4AEC3161">
      <w:pPr>
        <w:rPr>
          <w:rFonts w:hint="eastAsia" w:ascii="宋体" w:hAnsi="宋体" w:eastAsia="宋体" w:cs="宋体"/>
          <w:b/>
          <w:bCs/>
          <w:color w:val="auto"/>
          <w:spacing w:val="-7"/>
          <w:sz w:val="24"/>
          <w:szCs w:val="24"/>
          <w:highlight w:val="none"/>
        </w:rPr>
      </w:pPr>
    </w:p>
    <w:p w14:paraId="154A867D">
      <w:pPr>
        <w:spacing w:before="78" w:line="220" w:lineRule="auto"/>
        <w:ind w:left="9"/>
        <w:jc w:val="center"/>
        <w:outlineLvl w:val="1"/>
        <w:rPr>
          <w:rFonts w:hint="eastAsia" w:ascii="宋体" w:hAnsi="宋体" w:eastAsia="宋体" w:cs="宋体"/>
          <w:b/>
          <w:bCs/>
          <w:color w:val="auto"/>
          <w:spacing w:val="-3"/>
          <w:sz w:val="24"/>
          <w:szCs w:val="24"/>
          <w:highlight w:val="none"/>
        </w:rPr>
      </w:pPr>
      <w:bookmarkStart w:id="153" w:name="_Toc209"/>
      <w:bookmarkStart w:id="154" w:name="_Toc4926"/>
    </w:p>
    <w:p w14:paraId="125A965B">
      <w:pPr>
        <w:spacing w:before="78" w:line="220" w:lineRule="auto"/>
        <w:ind w:left="9"/>
        <w:jc w:val="center"/>
        <w:outlineLvl w:val="1"/>
        <w:rPr>
          <w:rFonts w:hint="eastAsia" w:ascii="宋体" w:hAnsi="宋体" w:eastAsia="宋体" w:cs="宋体"/>
          <w:b/>
          <w:bCs/>
          <w:color w:val="auto"/>
          <w:spacing w:val="-3"/>
          <w:sz w:val="24"/>
          <w:szCs w:val="24"/>
          <w:highlight w:val="none"/>
          <w:lang w:val="en-US" w:eastAsia="zh-CN"/>
        </w:rPr>
      </w:pPr>
      <w:r>
        <w:rPr>
          <w:rFonts w:hint="eastAsia" w:ascii="宋体" w:hAnsi="宋体" w:eastAsia="宋体" w:cs="宋体"/>
          <w:b/>
          <w:bCs/>
          <w:color w:val="auto"/>
          <w:spacing w:val="-3"/>
          <w:sz w:val="24"/>
          <w:szCs w:val="24"/>
          <w:highlight w:val="none"/>
        </w:rPr>
        <w:t>第</w:t>
      </w:r>
      <w:r>
        <w:rPr>
          <w:rFonts w:hint="eastAsia" w:ascii="宋体" w:hAnsi="宋体" w:eastAsia="宋体" w:cs="宋体"/>
          <w:b/>
          <w:bCs/>
          <w:color w:val="auto"/>
          <w:spacing w:val="-3"/>
          <w:sz w:val="24"/>
          <w:szCs w:val="24"/>
          <w:highlight w:val="none"/>
          <w:lang w:val="en-US" w:eastAsia="zh-CN"/>
        </w:rPr>
        <w:t>六</w:t>
      </w:r>
      <w:r>
        <w:rPr>
          <w:rFonts w:hint="eastAsia" w:ascii="宋体" w:hAnsi="宋体" w:eastAsia="宋体" w:cs="宋体"/>
          <w:b/>
          <w:bCs/>
          <w:color w:val="auto"/>
          <w:spacing w:val="-3"/>
          <w:sz w:val="24"/>
          <w:szCs w:val="24"/>
          <w:highlight w:val="none"/>
        </w:rPr>
        <w:t>节 中标确认</w:t>
      </w:r>
      <w:bookmarkEnd w:id="153"/>
      <w:bookmarkEnd w:id="154"/>
    </w:p>
    <w:p w14:paraId="276CA96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14:paraId="3A29BAB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14:paraId="2EA71A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14:paraId="58F427C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14:paraId="723C0190">
      <w:pPr>
        <w:keepNext w:val="0"/>
        <w:keepLines w:val="0"/>
        <w:pageBreakBefore w:val="0"/>
        <w:widowControl w:val="0"/>
        <w:shd w:val="clear" w:color="auto" w:fill="auto"/>
        <w:kinsoku/>
        <w:wordWrap/>
        <w:overflowPunct/>
        <w:topLinePunct w:val="0"/>
        <w:autoSpaceDE/>
        <w:autoSpaceDN/>
        <w:bidi w:val="0"/>
        <w:adjustRightInd/>
        <w:snapToGrid/>
        <w:spacing w:line="360" w:lineRule="auto"/>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14:paraId="50752233">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14:paraId="3DC88F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14:paraId="79D9286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14:paraId="46163FFD">
      <w:pPr>
        <w:pStyle w:val="12"/>
        <w:keepNext w:val="0"/>
        <w:keepLines w:val="0"/>
        <w:pageBreakBefore w:val="0"/>
        <w:widowControl w:val="0"/>
        <w:shd w:val="clear" w:color="auto" w:fill="auto"/>
        <w:kinsoku/>
        <w:wordWrap/>
        <w:overflowPunct/>
        <w:topLinePunct w:val="0"/>
        <w:bidi w:val="0"/>
        <w:adjustRightInd/>
        <w:snapToGrid/>
        <w:spacing w:before="0" w:beforeLines="0" w:after="0" w:afterLines="0" w:line="360" w:lineRule="auto"/>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155" w:name="_Toc236550039"/>
      <w:r>
        <w:rPr>
          <w:rStyle w:val="17"/>
          <w:rFonts w:hint="eastAsia" w:ascii="宋体" w:hAnsi="宋体" w:eastAsia="宋体" w:cs="宋体"/>
          <w:b/>
          <w:bCs/>
          <w:i w:val="0"/>
          <w:color w:val="auto"/>
          <w:sz w:val="24"/>
          <w:szCs w:val="24"/>
          <w:highlight w:val="none"/>
          <w:lang w:val="en-US" w:eastAsia="zh-CN"/>
        </w:rPr>
        <w:t>3</w:t>
      </w:r>
      <w:r>
        <w:rPr>
          <w:rStyle w:val="17"/>
          <w:rFonts w:hint="eastAsia" w:ascii="宋体" w:hAnsi="宋体" w:eastAsia="宋体" w:cs="宋体"/>
          <w:b/>
          <w:bCs/>
          <w:i w:val="0"/>
          <w:color w:val="auto"/>
          <w:sz w:val="24"/>
          <w:szCs w:val="24"/>
          <w:highlight w:val="none"/>
        </w:rPr>
        <w:t>．废除授标</w:t>
      </w:r>
      <w:bookmarkEnd w:id="155"/>
      <w:r>
        <w:rPr>
          <w:rStyle w:val="17"/>
          <w:rFonts w:hint="eastAsia" w:ascii="宋体" w:hAnsi="宋体" w:eastAsia="宋体" w:cs="宋体"/>
          <w:b/>
          <w:bCs/>
          <w:i w:val="0"/>
          <w:color w:val="auto"/>
          <w:sz w:val="24"/>
          <w:szCs w:val="24"/>
          <w:highlight w:val="none"/>
        </w:rPr>
        <w:t>及授标</w:t>
      </w:r>
    </w:p>
    <w:p w14:paraId="0362AA0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14:paraId="2CBAA0D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14:paraId="24BDE8D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14:paraId="6C85C9F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14:paraId="7C70DC6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14:paraId="7AB9C1D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14:paraId="6044F17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14:paraId="0B03F671">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14:paraId="155A8FD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14:paraId="7BE77A82">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14:paraId="24E9515C">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14:paraId="6FB0715F">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14:paraId="271899B8">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14:paraId="02A329C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14:paraId="5E11F3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14:paraId="196BBAC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14:paraId="5913D60E">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14:paraId="541DA46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14:paraId="06AE4C69">
      <w:pPr>
        <w:keepNext w:val="0"/>
        <w:keepLines w:val="0"/>
        <w:pageBreakBefore w:val="0"/>
        <w:wordWrap/>
        <w:overflowPunct/>
        <w:topLinePunct w:val="0"/>
        <w:bidi w:val="0"/>
        <w:spacing w:line="360" w:lineRule="auto"/>
        <w:rPr>
          <w:rFonts w:hint="eastAsia"/>
          <w:color w:val="auto"/>
          <w:sz w:val="24"/>
          <w:szCs w:val="24"/>
          <w:highlight w:val="none"/>
        </w:rPr>
        <w:sectPr>
          <w:endnotePr>
            <w:numFmt w:val="decimal"/>
          </w:endnotePr>
          <w:pgSz w:w="11906" w:h="16838"/>
          <w:pgMar w:top="1247" w:right="1304" w:bottom="1247" w:left="1304" w:header="850" w:footer="544" w:gutter="0"/>
          <w:cols w:space="720" w:num="1"/>
          <w:rtlGutter w:val="0"/>
          <w:docGrid w:linePitch="327" w:charSpace="0"/>
        </w:sectPr>
      </w:pPr>
    </w:p>
    <w:p w14:paraId="477FF410">
      <w:pPr>
        <w:spacing w:before="78" w:line="219" w:lineRule="auto"/>
        <w:ind w:left="3525"/>
        <w:outlineLvl w:val="0"/>
        <w:rPr>
          <w:rFonts w:hint="eastAsia" w:ascii="宋体" w:hAnsi="宋体" w:eastAsia="宋体" w:cs="宋体"/>
          <w:color w:val="auto"/>
          <w:sz w:val="24"/>
          <w:szCs w:val="24"/>
          <w:highlight w:val="none"/>
        </w:rPr>
      </w:pPr>
      <w:bookmarkStart w:id="156" w:name="_Toc13655"/>
      <w:r>
        <w:rPr>
          <w:rFonts w:hint="eastAsia" w:ascii="宋体" w:hAnsi="宋体" w:eastAsia="宋体" w:cs="宋体"/>
          <w:b/>
          <w:bCs/>
          <w:color w:val="auto"/>
          <w:spacing w:val="-7"/>
          <w:sz w:val="24"/>
          <w:szCs w:val="24"/>
          <w:highlight w:val="none"/>
        </w:rPr>
        <w:t>第二章</w:t>
      </w:r>
      <w:r>
        <w:rPr>
          <w:rFonts w:hint="eastAsia" w:ascii="宋体" w:hAnsi="宋体" w:eastAsia="宋体" w:cs="宋体"/>
          <w:color w:val="auto"/>
          <w:spacing w:val="32"/>
          <w:sz w:val="24"/>
          <w:szCs w:val="24"/>
          <w:highlight w:val="none"/>
        </w:rPr>
        <w:t xml:space="preserve"> </w:t>
      </w:r>
      <w:r>
        <w:rPr>
          <w:rFonts w:hint="eastAsia" w:ascii="宋体" w:hAnsi="宋体" w:eastAsia="宋体" w:cs="宋体"/>
          <w:b/>
          <w:bCs/>
          <w:color w:val="auto"/>
          <w:spacing w:val="-7"/>
          <w:sz w:val="24"/>
          <w:szCs w:val="24"/>
          <w:highlight w:val="none"/>
        </w:rPr>
        <w:t>中标人须知</w:t>
      </w:r>
      <w:bookmarkEnd w:id="156"/>
    </w:p>
    <w:p w14:paraId="0D76B119">
      <w:pPr>
        <w:spacing w:before="78" w:line="219" w:lineRule="auto"/>
        <w:ind w:left="582"/>
        <w:outlineLvl w:val="2"/>
        <w:rPr>
          <w:rFonts w:hint="eastAsia" w:ascii="宋体" w:hAnsi="宋体" w:eastAsia="宋体" w:cs="宋体"/>
          <w:color w:val="auto"/>
          <w:sz w:val="24"/>
          <w:szCs w:val="24"/>
          <w:highlight w:val="none"/>
        </w:rPr>
      </w:pPr>
      <w:bookmarkStart w:id="157" w:name="_Toc21697"/>
      <w:r>
        <w:rPr>
          <w:rFonts w:hint="eastAsia" w:ascii="宋体" w:hAnsi="宋体" w:eastAsia="宋体" w:cs="宋体"/>
          <w:b/>
          <w:bCs/>
          <w:color w:val="auto"/>
          <w:spacing w:val="-9"/>
          <w:sz w:val="24"/>
          <w:szCs w:val="24"/>
          <w:highlight w:val="none"/>
        </w:rPr>
        <w:t>1</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9"/>
          <w:sz w:val="24"/>
          <w:szCs w:val="24"/>
          <w:highlight w:val="none"/>
        </w:rPr>
        <w:t>．中标通知书</w:t>
      </w:r>
      <w:bookmarkEnd w:id="157"/>
    </w:p>
    <w:p w14:paraId="32F31BA3">
      <w:pPr>
        <w:spacing w:before="152" w:line="332" w:lineRule="auto"/>
        <w:ind w:left="17" w:firstLine="559"/>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招标人确定第一中标候选人为中标人，并在中标人确定之日起</w:t>
      </w:r>
      <w:r>
        <w:rPr>
          <w:rFonts w:hint="eastAsia" w:ascii="宋体" w:hAnsi="宋体" w:eastAsia="宋体" w:cs="宋体"/>
          <w:color w:val="auto"/>
          <w:spacing w:val="-49"/>
          <w:sz w:val="24"/>
          <w:szCs w:val="24"/>
          <w:highlight w:val="none"/>
        </w:rPr>
        <w:t xml:space="preserve"> </w:t>
      </w:r>
      <w:r>
        <w:rPr>
          <w:rFonts w:hint="eastAsia" w:ascii="宋体" w:hAnsi="宋体" w:eastAsia="宋体" w:cs="宋体"/>
          <w:color w:val="auto"/>
          <w:spacing w:val="1"/>
          <w:sz w:val="24"/>
          <w:szCs w:val="24"/>
          <w:highlight w:val="none"/>
        </w:rPr>
        <w:t>7日内向中</w:t>
      </w:r>
      <w:r>
        <w:rPr>
          <w:rFonts w:hint="eastAsia" w:ascii="宋体" w:hAnsi="宋体" w:eastAsia="宋体" w:cs="宋体"/>
          <w:color w:val="auto"/>
          <w:sz w:val="24"/>
          <w:szCs w:val="24"/>
          <w:highlight w:val="none"/>
        </w:rPr>
        <w:t>标人发</w:t>
      </w:r>
      <w:r>
        <w:rPr>
          <w:rFonts w:hint="eastAsia" w:ascii="宋体" w:hAnsi="宋体" w:eastAsia="宋体" w:cs="宋体"/>
          <w:color w:val="auto"/>
          <w:spacing w:val="-3"/>
          <w:sz w:val="24"/>
          <w:szCs w:val="24"/>
          <w:highlight w:val="none"/>
        </w:rPr>
        <w:t>出中标通知书，中标人必须按韶关市公共资源交易中心的规定办理相关手续后方可领取。</w:t>
      </w:r>
      <w:r>
        <w:rPr>
          <w:rFonts w:hint="eastAsia" w:ascii="宋体" w:hAnsi="宋体" w:eastAsia="宋体" w:cs="宋体"/>
          <w:color w:val="auto"/>
          <w:spacing w:val="-2"/>
          <w:sz w:val="24"/>
          <w:szCs w:val="24"/>
          <w:highlight w:val="none"/>
        </w:rPr>
        <w:t>中标通知书对招标人和中标人均具有法律约束力。中标通知书发出后，招标人改变中标</w:t>
      </w:r>
      <w:r>
        <w:rPr>
          <w:rFonts w:hint="eastAsia" w:ascii="宋体" w:hAnsi="宋体" w:eastAsia="宋体" w:cs="宋体"/>
          <w:color w:val="auto"/>
          <w:spacing w:val="-1"/>
          <w:sz w:val="24"/>
          <w:szCs w:val="24"/>
          <w:highlight w:val="none"/>
        </w:rPr>
        <w:t>结果和中标人放弃中标的，应当承担法律责任。</w:t>
      </w:r>
    </w:p>
    <w:p w14:paraId="013B0F34">
      <w:pPr>
        <w:pStyle w:val="5"/>
        <w:spacing w:line="394" w:lineRule="auto"/>
        <w:rPr>
          <w:rFonts w:hint="eastAsia" w:ascii="宋体" w:hAnsi="宋体" w:eastAsia="宋体" w:cs="宋体"/>
          <w:color w:val="auto"/>
          <w:highlight w:val="none"/>
        </w:rPr>
      </w:pPr>
    </w:p>
    <w:p w14:paraId="05CE895D">
      <w:pPr>
        <w:spacing w:before="78" w:line="221" w:lineRule="auto"/>
        <w:ind w:left="572"/>
        <w:outlineLvl w:val="2"/>
        <w:rPr>
          <w:rFonts w:hint="eastAsia" w:ascii="宋体" w:hAnsi="宋体" w:eastAsia="宋体" w:cs="宋体"/>
          <w:color w:val="auto"/>
          <w:sz w:val="24"/>
          <w:szCs w:val="24"/>
          <w:highlight w:val="none"/>
        </w:rPr>
      </w:pPr>
      <w:bookmarkStart w:id="158" w:name="_Toc979"/>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．中标结果公示</w:t>
      </w:r>
      <w:bookmarkEnd w:id="158"/>
    </w:p>
    <w:p w14:paraId="3A691EA9">
      <w:pPr>
        <w:spacing w:before="115" w:line="316" w:lineRule="auto"/>
        <w:ind w:left="2" w:right="203" w:firstLine="595"/>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中标通知书发出后</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2"/>
          <w:sz w:val="24"/>
          <w:szCs w:val="24"/>
          <w:highlight w:val="none"/>
        </w:rPr>
        <w:t>15日内，招标人应将中标结果在广东省招标投标</w:t>
      </w:r>
      <w:r>
        <w:rPr>
          <w:rFonts w:hint="eastAsia" w:ascii="宋体" w:hAnsi="宋体" w:eastAsia="宋体" w:cs="宋体"/>
          <w:color w:val="auto"/>
          <w:spacing w:val="-3"/>
          <w:sz w:val="24"/>
          <w:szCs w:val="24"/>
          <w:highlight w:val="none"/>
        </w:rPr>
        <w:t>监管网（http:</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//zbtb.gd.gov.cn）、全国公共资源交易平台（广东省</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·韶关市</w:t>
      </w:r>
      <w:r>
        <w:rPr>
          <w:rFonts w:hint="eastAsia" w:ascii="宋体" w:hAnsi="宋体" w:eastAsia="宋体" w:cs="宋体"/>
          <w:color w:val="auto"/>
          <w:spacing w:val="-34"/>
          <w:sz w:val="24"/>
          <w:szCs w:val="24"/>
          <w:highlight w:val="none"/>
        </w:rPr>
        <w:t>）（</w:t>
      </w:r>
      <w:r>
        <w:rPr>
          <w:rFonts w:hint="eastAsia" w:ascii="宋体" w:hAnsi="宋体" w:eastAsia="宋体" w:cs="宋体"/>
          <w:color w:val="auto"/>
          <w:spacing w:val="-2"/>
          <w:sz w:val="24"/>
          <w:szCs w:val="24"/>
          <w:highlight w:val="none"/>
        </w:rPr>
        <w:t>https://ygp.</w:t>
      </w:r>
      <w:r>
        <w:rPr>
          <w:rFonts w:hint="eastAsia" w:ascii="宋体" w:hAnsi="宋体" w:eastAsia="宋体" w:cs="宋体"/>
          <w:color w:val="auto"/>
          <w:spacing w:val="-3"/>
          <w:sz w:val="24"/>
          <w:szCs w:val="24"/>
          <w:highlight w:val="none"/>
        </w:rPr>
        <w:t>gdzwfw.gov.</w:t>
      </w:r>
      <w:r>
        <w:rPr>
          <w:rFonts w:hint="eastAsia" w:ascii="宋体" w:hAnsi="宋体" w:eastAsia="宋体" w:cs="宋体"/>
          <w:color w:val="auto"/>
          <w:sz w:val="24"/>
          <w:szCs w:val="24"/>
          <w:highlight w:val="none"/>
        </w:rPr>
        <w:t xml:space="preserve"> cn/ggzy-portal/#/440200/index）进行公示。</w:t>
      </w:r>
    </w:p>
    <w:p w14:paraId="48284D2A">
      <w:pPr>
        <w:pStyle w:val="5"/>
        <w:spacing w:line="475" w:lineRule="auto"/>
        <w:rPr>
          <w:rFonts w:hint="eastAsia" w:ascii="宋体" w:hAnsi="宋体" w:eastAsia="宋体" w:cs="宋体"/>
          <w:color w:val="auto"/>
          <w:highlight w:val="none"/>
        </w:rPr>
      </w:pPr>
    </w:p>
    <w:p w14:paraId="7F9996BC">
      <w:pPr>
        <w:spacing w:before="79" w:line="221" w:lineRule="auto"/>
        <w:ind w:left="570"/>
        <w:outlineLvl w:val="2"/>
        <w:rPr>
          <w:rFonts w:hint="eastAsia" w:ascii="宋体" w:hAnsi="宋体" w:eastAsia="宋体" w:cs="宋体"/>
          <w:color w:val="auto"/>
          <w:sz w:val="24"/>
          <w:szCs w:val="24"/>
          <w:highlight w:val="none"/>
        </w:rPr>
      </w:pPr>
      <w:bookmarkStart w:id="159" w:name="_Toc13145"/>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．履约保证</w:t>
      </w:r>
      <w:bookmarkEnd w:id="159"/>
    </w:p>
    <w:p w14:paraId="2A654F72">
      <w:pPr>
        <w:keepNext w:val="0"/>
        <w:keepLines w:val="0"/>
        <w:pageBreakBefore w:val="0"/>
        <w:widowControl/>
        <w:kinsoku w:val="0"/>
        <w:wordWrap/>
        <w:overflowPunct/>
        <w:topLinePunct w:val="0"/>
        <w:autoSpaceDE w:val="0"/>
        <w:autoSpaceDN w:val="0"/>
        <w:bidi w:val="0"/>
        <w:adjustRightInd w:val="0"/>
        <w:snapToGrid w:val="0"/>
        <w:spacing w:before="153" w:line="312" w:lineRule="auto"/>
        <w:ind w:firstLine="470" w:firstLineChars="200"/>
        <w:textAlignment w:val="baseline"/>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3.1</w:t>
      </w:r>
      <w:r>
        <w:rPr>
          <w:rFonts w:hint="eastAsia" w:ascii="宋体" w:hAnsi="宋体" w:eastAsia="宋体" w:cs="宋体"/>
          <w:b/>
          <w:bCs/>
          <w:color w:val="auto"/>
          <w:spacing w:val="17"/>
          <w:sz w:val="24"/>
          <w:szCs w:val="24"/>
          <w:highlight w:val="none"/>
        </w:rPr>
        <w:t xml:space="preserve">  </w:t>
      </w:r>
      <w:r>
        <w:rPr>
          <w:rFonts w:hint="eastAsia" w:ascii="宋体" w:hAnsi="宋体" w:eastAsia="宋体" w:cs="宋体"/>
          <w:color w:val="auto"/>
          <w:spacing w:val="-3"/>
          <w:sz w:val="24"/>
          <w:szCs w:val="24"/>
          <w:highlight w:val="none"/>
        </w:rPr>
        <w:t>中标人须在领取中标通知书之日起</w:t>
      </w:r>
      <w:r>
        <w:rPr>
          <w:rFonts w:hint="eastAsia" w:ascii="宋体" w:hAnsi="宋体" w:eastAsia="宋体" w:cs="宋体"/>
          <w:color w:val="auto"/>
          <w:spacing w:val="-3"/>
          <w:sz w:val="24"/>
          <w:szCs w:val="24"/>
          <w:highlight w:val="none"/>
          <w:u w:val="single"/>
          <w:lang w:val="en-US" w:eastAsia="zh-CN"/>
        </w:rPr>
        <w:t xml:space="preserve"> 10 </w:t>
      </w:r>
      <w:r>
        <w:rPr>
          <w:rFonts w:hint="eastAsia" w:ascii="宋体" w:hAnsi="宋体" w:eastAsia="宋体" w:cs="宋体"/>
          <w:color w:val="auto"/>
          <w:spacing w:val="-3"/>
          <w:sz w:val="24"/>
          <w:szCs w:val="24"/>
          <w:highlight w:val="none"/>
        </w:rPr>
        <w:t>个工作日内、签订合同前向招标人提交金额</w:t>
      </w:r>
      <w:r>
        <w:rPr>
          <w:rFonts w:hint="eastAsia" w:ascii="宋体" w:hAnsi="宋体" w:eastAsia="宋体" w:cs="宋体"/>
          <w:color w:val="auto"/>
          <w:spacing w:val="-1"/>
          <w:position w:val="2"/>
          <w:sz w:val="24"/>
          <w:szCs w:val="24"/>
          <w:highlight w:val="none"/>
        </w:rPr>
        <w:t>为中标价</w:t>
      </w:r>
      <w:r>
        <w:rPr>
          <w:rFonts w:hint="eastAsia" w:ascii="宋体" w:hAnsi="宋体" w:eastAsia="宋体" w:cs="宋体"/>
          <w:color w:val="auto"/>
          <w:spacing w:val="-1"/>
          <w:position w:val="2"/>
          <w:sz w:val="24"/>
          <w:szCs w:val="24"/>
          <w:highlight w:val="none"/>
          <w:u w:val="single"/>
          <w:lang w:val="en-US" w:eastAsia="zh-CN"/>
        </w:rPr>
        <w:t xml:space="preserve"> 5</w:t>
      </w:r>
      <w:r>
        <w:rPr>
          <w:rFonts w:hint="eastAsia" w:ascii="宋体" w:hAnsi="宋体" w:eastAsia="宋体" w:cs="宋体"/>
          <w:color w:val="auto"/>
          <w:spacing w:val="-1"/>
          <w:position w:val="2"/>
          <w:sz w:val="24"/>
          <w:szCs w:val="24"/>
          <w:highlight w:val="none"/>
          <w:u w:val="single"/>
        </w:rPr>
        <w:t xml:space="preserve">%  </w:t>
      </w:r>
      <w:r>
        <w:rPr>
          <w:rFonts w:hint="eastAsia" w:ascii="宋体" w:hAnsi="宋体" w:eastAsia="宋体" w:cs="宋体"/>
          <w:color w:val="auto"/>
          <w:spacing w:val="-1"/>
          <w:position w:val="2"/>
          <w:sz w:val="24"/>
          <w:szCs w:val="24"/>
          <w:highlight w:val="none"/>
        </w:rPr>
        <w:t>的履约保证。联合体中标的，由联合体牵头人提交。</w:t>
      </w:r>
    </w:p>
    <w:p w14:paraId="63F343AD">
      <w:pPr>
        <w:spacing w:before="89" w:line="286" w:lineRule="auto"/>
        <w:ind w:left="12" w:right="108" w:firstLine="473"/>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3.2</w:t>
      </w:r>
      <w:r>
        <w:rPr>
          <w:rFonts w:hint="eastAsia" w:ascii="宋体" w:hAnsi="宋体" w:eastAsia="宋体" w:cs="宋体"/>
          <w:b/>
          <w:bCs/>
          <w:color w:val="auto"/>
          <w:spacing w:val="34"/>
          <w:w w:val="101"/>
          <w:sz w:val="24"/>
          <w:szCs w:val="24"/>
          <w:highlight w:val="none"/>
        </w:rPr>
        <w:t xml:space="preserve"> </w:t>
      </w:r>
      <w:r>
        <w:rPr>
          <w:rFonts w:hint="eastAsia" w:ascii="宋体" w:hAnsi="宋体" w:eastAsia="宋体" w:cs="宋体"/>
          <w:color w:val="auto"/>
          <w:spacing w:val="-1"/>
          <w:position w:val="2"/>
          <w:sz w:val="24"/>
          <w:szCs w:val="24"/>
          <w:highlight w:val="none"/>
        </w:rPr>
        <w:t>中标人根据《关于统一在市公共资源交易一体化服务平台缴退工程建设项目履约保证金的通知》办理相关手续，履约保证的形式包括履约保证金、履约保证担保、履约保证保险三种，由中标人自主选择</w:t>
      </w:r>
      <w:r>
        <w:rPr>
          <w:rFonts w:hint="eastAsia" w:ascii="宋体" w:hAnsi="宋体" w:eastAsia="宋体" w:cs="宋体"/>
          <w:color w:val="auto"/>
          <w:spacing w:val="-2"/>
          <w:sz w:val="24"/>
          <w:szCs w:val="24"/>
          <w:highlight w:val="none"/>
        </w:rPr>
        <w:t>。商业保函、银行保函或保险合同（或保险单）的</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1"/>
          <w:sz w:val="24"/>
          <w:szCs w:val="24"/>
          <w:highlight w:val="none"/>
        </w:rPr>
        <w:t>有效期应当自合同生效之日起至项目通过竣工验收之日后</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
          <w:sz w:val="24"/>
          <w:szCs w:val="24"/>
          <w:highlight w:val="none"/>
        </w:rPr>
        <w:t>28 天止。</w:t>
      </w:r>
    </w:p>
    <w:p w14:paraId="78DED6D5">
      <w:pPr>
        <w:wordWrap w:val="0"/>
        <w:spacing w:line="440" w:lineRule="exact"/>
        <w:ind w:firstLine="562"/>
        <w:rPr>
          <w:rFonts w:hint="eastAsia" w:ascii="宋体" w:hAnsi="宋体" w:eastAsia="宋体" w:cs="宋体"/>
          <w:color w:val="auto"/>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position w:val="2"/>
          <w:sz w:val="24"/>
          <w:szCs w:val="24"/>
          <w:highlight w:val="none"/>
          <w:lang w:eastAsia="zh-CN"/>
        </w:rPr>
        <w:t>注：中标通知书发出时，招标人发起收缴履约保证金并填写保证金金额、缴交时限和项目工期；由中标人在建设工程交易系统中自主选择一种进行缴交。项目竣工后，由招标人发起退保。）</w:t>
      </w:r>
    </w:p>
    <w:p w14:paraId="5680480B">
      <w:pPr>
        <w:spacing w:before="145" w:line="319" w:lineRule="auto"/>
        <w:ind w:left="12" w:right="108"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3.3</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4"/>
          <w:sz w:val="24"/>
          <w:szCs w:val="24"/>
          <w:highlight w:val="none"/>
        </w:rPr>
        <w:t>中标人在领取中标通知书之日起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 个工</w:t>
      </w:r>
      <w:r>
        <w:rPr>
          <w:rFonts w:hint="eastAsia" w:ascii="宋体" w:hAnsi="宋体" w:eastAsia="宋体" w:cs="宋体"/>
          <w:color w:val="auto"/>
          <w:spacing w:val="-5"/>
          <w:sz w:val="24"/>
          <w:szCs w:val="24"/>
          <w:highlight w:val="none"/>
        </w:rPr>
        <w:t>作日内仍未提交履约保证的，招标人发</w:t>
      </w:r>
      <w:r>
        <w:rPr>
          <w:rFonts w:hint="eastAsia" w:ascii="宋体" w:hAnsi="宋体" w:eastAsia="宋体" w:cs="宋体"/>
          <w:color w:val="auto"/>
          <w:spacing w:val="1"/>
          <w:sz w:val="24"/>
          <w:szCs w:val="24"/>
          <w:highlight w:val="none"/>
        </w:rPr>
        <w:t>出第一次提醒函；在领取中标通知书之日起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1"/>
          <w:sz w:val="24"/>
          <w:szCs w:val="24"/>
          <w:highlight w:val="none"/>
        </w:rPr>
        <w:t>15 个工作日内仍未提交的</w:t>
      </w:r>
      <w:r>
        <w:rPr>
          <w:rFonts w:hint="eastAsia" w:ascii="宋体" w:hAnsi="宋体" w:eastAsia="宋体" w:cs="宋体"/>
          <w:color w:val="auto"/>
          <w:sz w:val="24"/>
          <w:szCs w:val="24"/>
          <w:highlight w:val="none"/>
        </w:rPr>
        <w:t>，招标人发出第</w:t>
      </w:r>
      <w:r>
        <w:rPr>
          <w:rFonts w:hint="eastAsia" w:ascii="宋体" w:hAnsi="宋体" w:eastAsia="宋体" w:cs="宋体"/>
          <w:color w:val="auto"/>
          <w:spacing w:val="1"/>
          <w:sz w:val="24"/>
          <w:szCs w:val="24"/>
          <w:highlight w:val="none"/>
        </w:rPr>
        <w:t>二次提醒函；在领取中标通知书之日起</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1"/>
          <w:sz w:val="24"/>
          <w:szCs w:val="24"/>
          <w:highlight w:val="none"/>
        </w:rPr>
        <w:t>20 个工作日内仍未提交的，视其放弃中标。并</w:t>
      </w:r>
      <w:r>
        <w:rPr>
          <w:rFonts w:hint="eastAsia" w:ascii="宋体" w:hAnsi="宋体" w:eastAsia="宋体" w:cs="宋体"/>
          <w:color w:val="auto"/>
          <w:spacing w:val="-2"/>
          <w:sz w:val="24"/>
          <w:szCs w:val="24"/>
          <w:highlight w:val="none"/>
        </w:rPr>
        <w:t>由招标人通报建设行政管理部门。如采用商业保函、银行保函或保险合同方式缴纳履约保证金，在保函或保险合同到期前一个月，中标人须主动办理续期手续或提交新的商业</w:t>
      </w:r>
      <w:r>
        <w:rPr>
          <w:rFonts w:hint="eastAsia" w:ascii="宋体" w:hAnsi="宋体" w:eastAsia="宋体" w:cs="宋体"/>
          <w:color w:val="auto"/>
          <w:spacing w:val="-1"/>
          <w:sz w:val="24"/>
          <w:szCs w:val="24"/>
          <w:highlight w:val="none"/>
        </w:rPr>
        <w:t>保函、银行保函或保险合同。</w:t>
      </w:r>
    </w:p>
    <w:p w14:paraId="1772FFBF">
      <w:pPr>
        <w:spacing w:before="152" w:line="299" w:lineRule="auto"/>
        <w:ind w:left="12"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3.4  </w:t>
      </w:r>
      <w:r>
        <w:rPr>
          <w:rFonts w:hint="eastAsia" w:ascii="宋体" w:hAnsi="宋体" w:eastAsia="宋体" w:cs="宋体"/>
          <w:color w:val="auto"/>
          <w:sz w:val="24"/>
          <w:szCs w:val="24"/>
          <w:highlight w:val="none"/>
        </w:rPr>
        <w:t>在工程实施过程中，如果承包人（即招标阶段的中标人，下同）由于自身的资</w:t>
      </w:r>
      <w:r>
        <w:rPr>
          <w:rFonts w:hint="eastAsia" w:ascii="宋体" w:hAnsi="宋体" w:eastAsia="宋体" w:cs="宋体"/>
          <w:color w:val="auto"/>
          <w:spacing w:val="-2"/>
          <w:sz w:val="24"/>
          <w:szCs w:val="24"/>
          <w:highlight w:val="none"/>
        </w:rPr>
        <w:t>金、技术、质量、非不可抗力等原因给发包人（即招标阶段的招标人，下同）造成经济</w:t>
      </w:r>
      <w:r>
        <w:rPr>
          <w:rFonts w:hint="eastAsia" w:ascii="宋体" w:hAnsi="宋体" w:eastAsia="宋体" w:cs="宋体"/>
          <w:color w:val="auto"/>
          <w:spacing w:val="-1"/>
          <w:sz w:val="24"/>
          <w:szCs w:val="24"/>
          <w:highlight w:val="none"/>
        </w:rPr>
        <w:t>损失，发包人有权扣划相应金额的履约保证。</w:t>
      </w:r>
    </w:p>
    <w:p w14:paraId="10E237DB">
      <w:pPr>
        <w:spacing w:before="154" w:line="220" w:lineRule="auto"/>
        <w:ind w:left="48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3.5  </w:t>
      </w:r>
      <w:r>
        <w:rPr>
          <w:rFonts w:hint="eastAsia" w:ascii="宋体" w:hAnsi="宋体" w:eastAsia="宋体" w:cs="宋体"/>
          <w:color w:val="auto"/>
          <w:sz w:val="24"/>
          <w:szCs w:val="24"/>
          <w:highlight w:val="none"/>
        </w:rPr>
        <w:t>项目通过竣工验收之日后</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28 天内，发包人将履</w:t>
      </w:r>
      <w:r>
        <w:rPr>
          <w:rFonts w:hint="eastAsia" w:ascii="宋体" w:hAnsi="宋体" w:eastAsia="宋体" w:cs="宋体"/>
          <w:color w:val="auto"/>
          <w:spacing w:val="-1"/>
          <w:sz w:val="24"/>
          <w:szCs w:val="24"/>
          <w:highlight w:val="none"/>
        </w:rPr>
        <w:t>约保证退还给承包人。</w:t>
      </w:r>
    </w:p>
    <w:p w14:paraId="432F8D77">
      <w:pPr>
        <w:pStyle w:val="5"/>
        <w:spacing w:line="256" w:lineRule="auto"/>
        <w:rPr>
          <w:rFonts w:hint="eastAsia" w:ascii="宋体" w:hAnsi="宋体" w:eastAsia="宋体" w:cs="宋体"/>
          <w:color w:val="auto"/>
          <w:highlight w:val="none"/>
        </w:rPr>
      </w:pPr>
    </w:p>
    <w:p w14:paraId="53274F32">
      <w:pPr>
        <w:pStyle w:val="5"/>
        <w:spacing w:line="257" w:lineRule="auto"/>
        <w:rPr>
          <w:rFonts w:hint="eastAsia" w:ascii="宋体" w:hAnsi="宋体" w:eastAsia="宋体" w:cs="宋体"/>
          <w:color w:val="auto"/>
          <w:highlight w:val="none"/>
        </w:rPr>
      </w:pPr>
    </w:p>
    <w:p w14:paraId="1374047A">
      <w:pPr>
        <w:spacing w:before="78" w:line="222" w:lineRule="auto"/>
        <w:ind w:left="488"/>
        <w:outlineLvl w:val="2"/>
        <w:rPr>
          <w:rFonts w:hint="eastAsia" w:ascii="宋体" w:hAnsi="宋体" w:eastAsia="宋体" w:cs="宋体"/>
          <w:color w:val="auto"/>
          <w:sz w:val="24"/>
          <w:szCs w:val="24"/>
          <w:highlight w:val="none"/>
        </w:rPr>
      </w:pPr>
      <w:bookmarkStart w:id="160" w:name="_Toc133"/>
      <w:r>
        <w:rPr>
          <w:rFonts w:hint="eastAsia" w:ascii="宋体" w:hAnsi="宋体" w:eastAsia="宋体" w:cs="宋体"/>
          <w:b/>
          <w:bCs/>
          <w:color w:val="auto"/>
          <w:spacing w:val="-8"/>
          <w:sz w:val="24"/>
          <w:szCs w:val="24"/>
          <w:highlight w:val="none"/>
        </w:rPr>
        <w:t>4</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8"/>
          <w:sz w:val="24"/>
          <w:szCs w:val="24"/>
          <w:highlight w:val="none"/>
        </w:rPr>
        <w:t>．合同订立</w:t>
      </w:r>
      <w:bookmarkEnd w:id="160"/>
    </w:p>
    <w:p w14:paraId="1A200521">
      <w:pPr>
        <w:spacing w:before="150" w:line="279" w:lineRule="auto"/>
        <w:ind w:left="13" w:right="108"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4.1  </w:t>
      </w:r>
      <w:r>
        <w:rPr>
          <w:rFonts w:hint="eastAsia" w:ascii="宋体" w:hAnsi="宋体" w:eastAsia="宋体" w:cs="宋体"/>
          <w:color w:val="auto"/>
          <w:sz w:val="24"/>
          <w:szCs w:val="24"/>
          <w:highlight w:val="none"/>
        </w:rPr>
        <w:t>招标人应当自中标通知书发出之日起</w:t>
      </w:r>
      <w:r>
        <w:rPr>
          <w:rFonts w:hint="eastAsia" w:ascii="宋体" w:hAnsi="宋体" w:eastAsia="宋体" w:cs="宋体"/>
          <w:color w:val="auto"/>
          <w:sz w:val="24"/>
          <w:szCs w:val="24"/>
          <w:highlight w:val="none"/>
          <w:u w:val="single"/>
          <w:lang w:val="en-US" w:eastAsia="zh-CN"/>
        </w:rPr>
        <w:t xml:space="preserve"> 三十 </w:t>
      </w:r>
      <w:r>
        <w:rPr>
          <w:rFonts w:hint="eastAsia" w:ascii="宋体" w:hAnsi="宋体" w:eastAsia="宋体" w:cs="宋体"/>
          <w:color w:val="auto"/>
          <w:sz w:val="24"/>
          <w:szCs w:val="24"/>
          <w:highlight w:val="none"/>
        </w:rPr>
        <w:t>日内，按照招标文件、中标人的投标</w:t>
      </w:r>
      <w:r>
        <w:rPr>
          <w:rFonts w:hint="eastAsia" w:ascii="宋体" w:hAnsi="宋体" w:eastAsia="宋体" w:cs="宋体"/>
          <w:color w:val="auto"/>
          <w:spacing w:val="-1"/>
          <w:sz w:val="24"/>
          <w:szCs w:val="24"/>
          <w:highlight w:val="none"/>
        </w:rPr>
        <w:t>文件与中标人订立书面合同。</w:t>
      </w:r>
    </w:p>
    <w:p w14:paraId="2679C49D">
      <w:pPr>
        <w:spacing w:before="156"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4.2  </w:t>
      </w:r>
      <w:r>
        <w:rPr>
          <w:rFonts w:hint="eastAsia" w:ascii="宋体" w:hAnsi="宋体" w:eastAsia="宋体" w:cs="宋体"/>
          <w:color w:val="auto"/>
          <w:spacing w:val="-1"/>
          <w:sz w:val="24"/>
          <w:szCs w:val="24"/>
          <w:highlight w:val="none"/>
        </w:rPr>
        <w:t>不正常报价的梳理和确认</w:t>
      </w:r>
    </w:p>
    <w:p w14:paraId="4BC8F1D0">
      <w:pPr>
        <w:spacing w:before="154" w:line="299" w:lineRule="auto"/>
        <w:ind w:left="14" w:right="64"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4.2.1 合同订立期间，在不改变中标人的投标总价的前提下，招标人应对中标人的</w:t>
      </w:r>
      <w:r>
        <w:rPr>
          <w:rFonts w:hint="eastAsia" w:ascii="宋体" w:hAnsi="宋体" w:eastAsia="宋体" w:cs="宋体"/>
          <w:b/>
          <w:bCs/>
          <w:color w:val="auto"/>
          <w:spacing w:val="-3"/>
          <w:sz w:val="24"/>
          <w:szCs w:val="24"/>
          <w:highlight w:val="none"/>
        </w:rPr>
        <w:t>投标报价进行全面分析和整理，从而发现并提取其中可能存在的算术性错误、错漏项、不平衡报价等不正常报价，并修正其中的算术性错误。</w:t>
      </w:r>
      <w:r>
        <w:rPr>
          <w:rFonts w:hint="eastAsia" w:ascii="宋体" w:hAnsi="宋体" w:eastAsia="宋体" w:cs="宋体"/>
          <w:color w:val="auto"/>
          <w:spacing w:val="-3"/>
          <w:sz w:val="24"/>
          <w:szCs w:val="24"/>
          <w:highlight w:val="none"/>
        </w:rPr>
        <w:t>招标人不具备</w:t>
      </w:r>
      <w:r>
        <w:rPr>
          <w:rFonts w:hint="eastAsia" w:ascii="宋体" w:hAnsi="宋体" w:eastAsia="宋体" w:cs="宋体"/>
          <w:color w:val="auto"/>
          <w:spacing w:val="-4"/>
          <w:sz w:val="24"/>
          <w:szCs w:val="24"/>
          <w:highlight w:val="none"/>
        </w:rPr>
        <w:t>以上能力的，可授</w:t>
      </w:r>
      <w:r>
        <w:rPr>
          <w:rFonts w:hint="eastAsia" w:ascii="宋体" w:hAnsi="宋体" w:eastAsia="宋体" w:cs="宋体"/>
          <w:color w:val="auto"/>
          <w:spacing w:val="-1"/>
          <w:sz w:val="24"/>
          <w:szCs w:val="24"/>
          <w:highlight w:val="none"/>
        </w:rPr>
        <w:t>权编制本项目</w:t>
      </w:r>
      <w:r>
        <w:rPr>
          <w:rFonts w:hint="eastAsia" w:ascii="宋体" w:hAnsi="宋体" w:eastAsia="宋体" w:cs="宋体"/>
          <w:color w:val="auto"/>
          <w:spacing w:val="-1"/>
          <w:sz w:val="24"/>
          <w:szCs w:val="24"/>
          <w:highlight w:val="none"/>
          <w:lang w:eastAsia="zh-CN"/>
        </w:rPr>
        <w:t>最高投标限价</w:t>
      </w:r>
      <w:r>
        <w:rPr>
          <w:rFonts w:hint="eastAsia" w:ascii="宋体" w:hAnsi="宋体" w:eastAsia="宋体" w:cs="宋体"/>
          <w:color w:val="auto"/>
          <w:spacing w:val="-1"/>
          <w:sz w:val="24"/>
          <w:szCs w:val="24"/>
          <w:highlight w:val="none"/>
        </w:rPr>
        <w:t>的造价咨询单位实施。</w:t>
      </w:r>
    </w:p>
    <w:p w14:paraId="4CE5699A">
      <w:pPr>
        <w:spacing w:before="121" w:line="309" w:lineRule="auto"/>
        <w:ind w:left="14" w:right="65" w:firstLine="47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4.2.2  </w:t>
      </w:r>
      <w:r>
        <w:rPr>
          <w:rFonts w:hint="eastAsia" w:ascii="宋体" w:hAnsi="宋体" w:eastAsia="宋体" w:cs="宋体"/>
          <w:color w:val="auto"/>
          <w:spacing w:val="2"/>
          <w:sz w:val="24"/>
          <w:szCs w:val="24"/>
          <w:highlight w:val="none"/>
        </w:rPr>
        <w:t>算术性错误的分析和修正。投标报价汇</w:t>
      </w:r>
      <w:r>
        <w:rPr>
          <w:rFonts w:hint="eastAsia" w:ascii="宋体" w:hAnsi="宋体" w:eastAsia="宋体" w:cs="宋体"/>
          <w:color w:val="auto"/>
          <w:spacing w:val="1"/>
          <w:sz w:val="24"/>
          <w:szCs w:val="24"/>
          <w:highlight w:val="none"/>
        </w:rPr>
        <w:t>总表中，投标总价与各分项费用之和</w:t>
      </w:r>
      <w:r>
        <w:rPr>
          <w:rFonts w:hint="eastAsia" w:ascii="宋体" w:hAnsi="宋体" w:eastAsia="宋体" w:cs="宋体"/>
          <w:color w:val="auto"/>
          <w:spacing w:val="-2"/>
          <w:sz w:val="24"/>
          <w:szCs w:val="24"/>
          <w:highlight w:val="none"/>
        </w:rPr>
        <w:t>不一致的，以投标总价为准修正分项费用；投标报价汇总表的各分项费用与对应分项表中的费用不一致的，以投标报价汇总表中的分项费用为准修正对应分项表中的费用；各</w:t>
      </w:r>
      <w:r>
        <w:rPr>
          <w:rFonts w:hint="eastAsia" w:ascii="宋体" w:hAnsi="宋体" w:eastAsia="宋体" w:cs="宋体"/>
          <w:color w:val="auto"/>
          <w:sz w:val="24"/>
          <w:szCs w:val="24"/>
          <w:highlight w:val="none"/>
        </w:rPr>
        <w:t>分项表中总价金额与依据单价计算出的结果不</w:t>
      </w:r>
      <w:r>
        <w:rPr>
          <w:rFonts w:hint="eastAsia" w:ascii="宋体" w:hAnsi="宋体" w:eastAsia="宋体" w:cs="宋体"/>
          <w:color w:val="auto"/>
          <w:spacing w:val="-1"/>
          <w:sz w:val="24"/>
          <w:szCs w:val="24"/>
          <w:highlight w:val="none"/>
        </w:rPr>
        <w:t>一致的，以总价为准修正单价。</w:t>
      </w:r>
    </w:p>
    <w:p w14:paraId="11DE13F3">
      <w:pPr>
        <w:spacing w:before="157" w:line="279" w:lineRule="auto"/>
        <w:ind w:left="12" w:right="66"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4.2.3  </w:t>
      </w:r>
      <w:r>
        <w:rPr>
          <w:rFonts w:hint="eastAsia" w:ascii="宋体" w:hAnsi="宋体" w:eastAsia="宋体" w:cs="宋体"/>
          <w:color w:val="auto"/>
          <w:spacing w:val="2"/>
          <w:sz w:val="24"/>
          <w:szCs w:val="24"/>
          <w:highlight w:val="none"/>
        </w:rPr>
        <w:t>错漏项的认定。中标人已标价工程量清</w:t>
      </w:r>
      <w:r>
        <w:rPr>
          <w:rFonts w:hint="eastAsia" w:ascii="宋体" w:hAnsi="宋体" w:eastAsia="宋体" w:cs="宋体"/>
          <w:color w:val="auto"/>
          <w:spacing w:val="1"/>
          <w:sz w:val="24"/>
          <w:szCs w:val="24"/>
          <w:highlight w:val="none"/>
        </w:rPr>
        <w:t>单中，任一清单项目未填报价格或价</w:t>
      </w:r>
      <w:r>
        <w:rPr>
          <w:rFonts w:hint="eastAsia" w:ascii="宋体" w:hAnsi="宋体" w:eastAsia="宋体" w:cs="宋体"/>
          <w:color w:val="auto"/>
          <w:spacing w:val="-1"/>
          <w:sz w:val="24"/>
          <w:szCs w:val="24"/>
          <w:highlight w:val="none"/>
        </w:rPr>
        <w:t>格为零的，视为错漏项。</w:t>
      </w:r>
    </w:p>
    <w:p w14:paraId="59E7D3F9">
      <w:pPr>
        <w:spacing w:before="121" w:line="360" w:lineRule="auto"/>
        <w:ind w:firstLine="490" w:firstLineChars="2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4.2.4  </w:t>
      </w:r>
      <w:r>
        <w:rPr>
          <w:rFonts w:hint="eastAsia" w:ascii="宋体" w:hAnsi="宋体" w:eastAsia="宋体" w:cs="宋体"/>
          <w:color w:val="auto"/>
          <w:spacing w:val="2"/>
          <w:sz w:val="24"/>
          <w:szCs w:val="24"/>
          <w:highlight w:val="none"/>
        </w:rPr>
        <w:t>不平衡报价的认定。经修正算术性错误后的中标人已标价工程量清单中，</w:t>
      </w:r>
      <w:r>
        <w:rPr>
          <w:rFonts w:hint="eastAsia" w:ascii="宋体" w:hAnsi="宋体" w:eastAsia="宋体" w:cs="宋体"/>
          <w:color w:val="auto"/>
          <w:spacing w:val="2"/>
          <w:sz w:val="24"/>
          <w:szCs w:val="24"/>
          <w:highlight w:val="none"/>
          <w:u w:val="single"/>
        </w:rPr>
        <w:t>对于投标报价中综合单价相对</w:t>
      </w:r>
      <w:r>
        <w:rPr>
          <w:rFonts w:hint="eastAsia" w:ascii="宋体" w:hAnsi="宋体" w:eastAsia="宋体" w:cs="宋体"/>
          <w:color w:val="auto"/>
          <w:spacing w:val="2"/>
          <w:sz w:val="24"/>
          <w:szCs w:val="24"/>
          <w:highlight w:val="none"/>
          <w:u w:val="single"/>
          <w:lang w:eastAsia="zh-CN"/>
        </w:rPr>
        <w:t>最高投标限价</w:t>
      </w:r>
      <w:r>
        <w:rPr>
          <w:rFonts w:hint="eastAsia" w:ascii="宋体" w:hAnsi="宋体" w:eastAsia="宋体" w:cs="宋体"/>
          <w:color w:val="auto"/>
          <w:spacing w:val="2"/>
          <w:sz w:val="24"/>
          <w:szCs w:val="24"/>
          <w:highlight w:val="none"/>
          <w:u w:val="single"/>
        </w:rPr>
        <w:t xml:space="preserve">《分部分项工程和单价措施项目清单与计价表》中对应综合单价的偏差大于±15% </w:t>
      </w:r>
      <w:r>
        <w:rPr>
          <w:rFonts w:hint="eastAsia" w:ascii="宋体" w:hAnsi="宋体" w:eastAsia="宋体" w:cs="宋体"/>
          <w:color w:val="auto"/>
          <w:spacing w:val="2"/>
          <w:sz w:val="24"/>
          <w:szCs w:val="24"/>
          <w:highlight w:val="none"/>
          <w:u w:val="none"/>
        </w:rPr>
        <w:t>的清</w:t>
      </w:r>
      <w:r>
        <w:rPr>
          <w:rFonts w:hint="eastAsia" w:ascii="宋体" w:hAnsi="宋体" w:eastAsia="宋体" w:cs="宋体"/>
          <w:color w:val="auto"/>
          <w:spacing w:val="-3"/>
          <w:sz w:val="24"/>
          <w:szCs w:val="24"/>
          <w:highlight w:val="none"/>
          <w:u w:val="none"/>
        </w:rPr>
        <w:t>单项目</w:t>
      </w:r>
      <w:r>
        <w:rPr>
          <w:rFonts w:hint="eastAsia" w:ascii="宋体" w:hAnsi="宋体" w:eastAsia="宋体" w:cs="宋体"/>
          <w:color w:val="auto"/>
          <w:spacing w:val="-3"/>
          <w:sz w:val="24"/>
          <w:szCs w:val="24"/>
          <w:highlight w:val="none"/>
        </w:rPr>
        <w:t>，视为不平衡报价项目。</w:t>
      </w:r>
    </w:p>
    <w:p w14:paraId="4DB1B0CA">
      <w:pPr>
        <w:spacing w:before="146" w:line="330" w:lineRule="auto"/>
        <w:ind w:left="10" w:right="65" w:firstLine="478"/>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4.2.5 </w:t>
      </w:r>
      <w:r>
        <w:rPr>
          <w:rFonts w:hint="eastAsia" w:ascii="宋体" w:hAnsi="宋体" w:eastAsia="宋体" w:cs="宋体"/>
          <w:color w:val="auto"/>
          <w:spacing w:val="-3"/>
          <w:sz w:val="24"/>
          <w:szCs w:val="24"/>
          <w:highlight w:val="none"/>
        </w:rPr>
        <w:t>施工合同签订前，招标人或其授权的造价咨询单位应就发现的以上所有不平衡报价进行修正，形成《不平衡报价修正报告》，并由招标人和中标人共同签章确认，构成施工合同的组成部分。</w:t>
      </w:r>
    </w:p>
    <w:p w14:paraId="57725225">
      <w:pPr>
        <w:spacing w:before="34" w:line="326" w:lineRule="auto"/>
        <w:ind w:left="12" w:right="65" w:firstLine="47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4.2.6 合同履行过程中，被认定为错漏项的清单项目，结算时按照第三章“拟签订</w:t>
      </w:r>
      <w:r>
        <w:rPr>
          <w:rFonts w:hint="eastAsia" w:ascii="宋体" w:hAnsi="宋体" w:eastAsia="宋体" w:cs="宋体"/>
          <w:b/>
          <w:bCs/>
          <w:color w:val="auto"/>
          <w:spacing w:val="-6"/>
          <w:sz w:val="24"/>
          <w:szCs w:val="24"/>
          <w:highlight w:val="none"/>
        </w:rPr>
        <w:t>合同的主要条款</w:t>
      </w:r>
      <w:r>
        <w:rPr>
          <w:rFonts w:hint="eastAsia" w:ascii="宋体" w:hAnsi="宋体" w:eastAsia="宋体" w:cs="宋体"/>
          <w:color w:val="auto"/>
          <w:spacing w:val="-77"/>
          <w:sz w:val="24"/>
          <w:szCs w:val="24"/>
          <w:highlight w:val="none"/>
        </w:rPr>
        <w:t xml:space="preserve"> </w:t>
      </w:r>
      <w:r>
        <w:rPr>
          <w:rFonts w:hint="eastAsia" w:ascii="宋体" w:hAnsi="宋体" w:eastAsia="宋体" w:cs="宋体"/>
          <w:b/>
          <w:bCs/>
          <w:color w:val="auto"/>
          <w:spacing w:val="-6"/>
          <w:sz w:val="24"/>
          <w:szCs w:val="24"/>
          <w:highlight w:val="none"/>
        </w:rPr>
        <w:t>”规定处理。</w:t>
      </w:r>
    </w:p>
    <w:p w14:paraId="6AFE27E5">
      <w:pPr>
        <w:spacing w:before="33" w:line="317" w:lineRule="auto"/>
        <w:ind w:left="12" w:right="38" w:firstLine="476"/>
        <w:jc w:val="both"/>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4.2.7  合同履行过程中，合同约定的调</w:t>
      </w:r>
      <w:r>
        <w:rPr>
          <w:rFonts w:hint="eastAsia" w:ascii="宋体" w:hAnsi="宋体" w:eastAsia="宋体" w:cs="宋体"/>
          <w:b/>
          <w:bCs/>
          <w:color w:val="auto"/>
          <w:spacing w:val="-1"/>
          <w:sz w:val="24"/>
          <w:szCs w:val="24"/>
          <w:highlight w:val="none"/>
        </w:rPr>
        <w:t>整因素（如工程量偏差、工程变更、项目特</w:t>
      </w:r>
      <w:r>
        <w:rPr>
          <w:rFonts w:hint="eastAsia" w:ascii="宋体" w:hAnsi="宋体" w:eastAsia="宋体" w:cs="宋体"/>
          <w:b/>
          <w:bCs/>
          <w:color w:val="auto"/>
          <w:spacing w:val="-4"/>
          <w:sz w:val="24"/>
          <w:szCs w:val="24"/>
          <w:highlight w:val="none"/>
        </w:rPr>
        <w:t>征不符、招标工程量清单缺项等）出现时，被认定为不平衡报价的清单项目以及</w:t>
      </w:r>
      <w:r>
        <w:rPr>
          <w:rFonts w:hint="eastAsia" w:ascii="宋体" w:hAnsi="宋体" w:eastAsia="宋体" w:cs="宋体"/>
          <w:b/>
          <w:bCs/>
          <w:color w:val="auto"/>
          <w:spacing w:val="-5"/>
          <w:sz w:val="24"/>
          <w:szCs w:val="24"/>
          <w:highlight w:val="none"/>
        </w:rPr>
        <w:t>采用被</w:t>
      </w:r>
      <w:r>
        <w:rPr>
          <w:rFonts w:hint="eastAsia" w:ascii="宋体" w:hAnsi="宋体" w:eastAsia="宋体" w:cs="宋体"/>
          <w:b/>
          <w:bCs/>
          <w:color w:val="auto"/>
          <w:spacing w:val="-3"/>
          <w:sz w:val="24"/>
          <w:szCs w:val="24"/>
          <w:highlight w:val="none"/>
        </w:rPr>
        <w:t>认定为不平衡报价的清单项目的价格作为取价（或参照取</w:t>
      </w:r>
      <w:r>
        <w:rPr>
          <w:rFonts w:hint="eastAsia" w:ascii="宋体" w:hAnsi="宋体" w:eastAsia="宋体" w:cs="宋体"/>
          <w:b/>
          <w:bCs/>
          <w:color w:val="auto"/>
          <w:spacing w:val="-4"/>
          <w:sz w:val="24"/>
          <w:szCs w:val="24"/>
          <w:highlight w:val="none"/>
        </w:rPr>
        <w:t>价）依据的变更、新增项目，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3"/>
          <w:sz w:val="24"/>
          <w:szCs w:val="24"/>
          <w:highlight w:val="none"/>
        </w:rPr>
        <w:t>按照第三章“拟签订合同的主要条款</w:t>
      </w:r>
      <w:r>
        <w:rPr>
          <w:rFonts w:hint="eastAsia" w:ascii="宋体" w:hAnsi="宋体" w:eastAsia="宋体" w:cs="宋体"/>
          <w:color w:val="auto"/>
          <w:spacing w:val="-86"/>
          <w:sz w:val="24"/>
          <w:szCs w:val="24"/>
          <w:highlight w:val="none"/>
        </w:rPr>
        <w:t xml:space="preserve"> </w:t>
      </w:r>
      <w:r>
        <w:rPr>
          <w:rFonts w:hint="eastAsia" w:ascii="宋体" w:hAnsi="宋体" w:eastAsia="宋体" w:cs="宋体"/>
          <w:b/>
          <w:bCs/>
          <w:color w:val="auto"/>
          <w:spacing w:val="-3"/>
          <w:sz w:val="24"/>
          <w:szCs w:val="24"/>
          <w:highlight w:val="none"/>
        </w:rPr>
        <w:t>”有关规定调整</w:t>
      </w:r>
      <w:r>
        <w:rPr>
          <w:rFonts w:hint="eastAsia" w:ascii="宋体" w:hAnsi="宋体" w:eastAsia="宋体" w:cs="宋体"/>
          <w:b/>
          <w:bCs/>
          <w:color w:val="auto"/>
          <w:spacing w:val="-4"/>
          <w:sz w:val="24"/>
          <w:szCs w:val="24"/>
          <w:highlight w:val="none"/>
        </w:rPr>
        <w:t>合同价款。</w:t>
      </w:r>
    </w:p>
    <w:p w14:paraId="505FDF3C">
      <w:pPr>
        <w:spacing w:before="87" w:line="276"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4.3  </w:t>
      </w:r>
      <w:r>
        <w:rPr>
          <w:rFonts w:hint="eastAsia" w:ascii="宋体" w:hAnsi="宋体" w:eastAsia="宋体" w:cs="宋体"/>
          <w:color w:val="auto"/>
          <w:sz w:val="24"/>
          <w:szCs w:val="24"/>
          <w:highlight w:val="none"/>
        </w:rPr>
        <w:t>本招标项目合同计价方式为：</w:t>
      </w:r>
      <w:r>
        <w:rPr>
          <w:rFonts w:hint="eastAsia" w:ascii="宋体" w:hAnsi="宋体" w:eastAsia="宋体" w:cs="宋体"/>
          <w:color w:val="auto"/>
          <w:sz w:val="24"/>
          <w:szCs w:val="24"/>
          <w:highlight w:val="none"/>
          <w:u w:val="single"/>
        </w:rPr>
        <w:t xml:space="preserve"> 单价 </w:t>
      </w:r>
      <w:r>
        <w:rPr>
          <w:rFonts w:hint="eastAsia" w:ascii="宋体" w:hAnsi="宋体" w:eastAsia="宋体" w:cs="宋体"/>
          <w:color w:val="auto"/>
          <w:spacing w:val="-1"/>
          <w:sz w:val="24"/>
          <w:szCs w:val="24"/>
          <w:highlight w:val="none"/>
        </w:rPr>
        <w:t>合同。</w:t>
      </w:r>
    </w:p>
    <w:p w14:paraId="5126E8F2">
      <w:pPr>
        <w:spacing w:before="120" w:line="298" w:lineRule="auto"/>
        <w:ind w:left="11" w:right="28"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 xml:space="preserve">4.4  </w:t>
      </w:r>
      <w:r>
        <w:rPr>
          <w:rFonts w:hint="eastAsia" w:ascii="宋体" w:hAnsi="宋体" w:eastAsia="宋体" w:cs="宋体"/>
          <w:color w:val="auto"/>
          <w:spacing w:val="-4"/>
          <w:sz w:val="24"/>
          <w:szCs w:val="24"/>
          <w:highlight w:val="none"/>
        </w:rPr>
        <w:t>合同的标的、质量、履行期限条款和合同的价款、单</w:t>
      </w:r>
      <w:r>
        <w:rPr>
          <w:rFonts w:hint="eastAsia" w:ascii="宋体" w:hAnsi="宋体" w:eastAsia="宋体" w:cs="宋体"/>
          <w:color w:val="auto"/>
          <w:spacing w:val="-5"/>
          <w:sz w:val="24"/>
          <w:szCs w:val="24"/>
          <w:highlight w:val="none"/>
        </w:rPr>
        <w:t>价、比例条款等主要条款，</w:t>
      </w:r>
      <w:r>
        <w:rPr>
          <w:rFonts w:hint="eastAsia" w:ascii="宋体" w:hAnsi="宋体" w:eastAsia="宋体" w:cs="宋体"/>
          <w:color w:val="auto"/>
          <w:spacing w:val="-2"/>
          <w:sz w:val="24"/>
          <w:szCs w:val="24"/>
          <w:highlight w:val="none"/>
        </w:rPr>
        <w:t>应当与招标文件、中标人的投标文件的内容一致。中标人在签订合同时不得向招标人提出附加条件。</w:t>
      </w:r>
    </w:p>
    <w:p w14:paraId="1A98BEF7">
      <w:pPr>
        <w:spacing w:before="158" w:line="298" w:lineRule="auto"/>
        <w:ind w:left="12" w:right="9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4.5  </w:t>
      </w:r>
      <w:r>
        <w:rPr>
          <w:rFonts w:hint="eastAsia" w:ascii="宋体" w:hAnsi="宋体" w:eastAsia="宋体" w:cs="宋体"/>
          <w:color w:val="auto"/>
          <w:spacing w:val="-3"/>
          <w:sz w:val="24"/>
          <w:szCs w:val="24"/>
          <w:highlight w:val="none"/>
        </w:rPr>
        <w:t>若中标人在领取中标通知书之日起</w:t>
      </w:r>
      <w:r>
        <w:rPr>
          <w:rFonts w:hint="eastAsia" w:ascii="宋体" w:hAnsi="宋体" w:eastAsia="宋体" w:cs="宋体"/>
          <w:color w:val="auto"/>
          <w:spacing w:val="-50"/>
          <w:sz w:val="24"/>
          <w:szCs w:val="24"/>
          <w:highlight w:val="none"/>
        </w:rPr>
        <w:t xml:space="preserve"> </w:t>
      </w:r>
      <w:r>
        <w:rPr>
          <w:rFonts w:hint="eastAsia" w:ascii="宋体" w:hAnsi="宋体" w:eastAsia="宋体" w:cs="宋体"/>
          <w:color w:val="auto"/>
          <w:spacing w:val="-4"/>
          <w:sz w:val="24"/>
          <w:szCs w:val="24"/>
          <w:highlight w:val="none"/>
        </w:rPr>
        <w:t>30天内仍未签订合同，招标人发出第一次提</w:t>
      </w:r>
      <w:r>
        <w:rPr>
          <w:rFonts w:hint="eastAsia" w:ascii="宋体" w:hAnsi="宋体" w:eastAsia="宋体" w:cs="宋体"/>
          <w:color w:val="auto"/>
          <w:spacing w:val="1"/>
          <w:sz w:val="24"/>
          <w:szCs w:val="24"/>
          <w:highlight w:val="none"/>
        </w:rPr>
        <w:t>醒函；在领取中标通知书之日起</w:t>
      </w:r>
      <w:r>
        <w:rPr>
          <w:rFonts w:hint="eastAsia" w:ascii="宋体" w:hAnsi="宋体" w:eastAsia="宋体" w:cs="宋体"/>
          <w:color w:val="auto"/>
          <w:spacing w:val="-53"/>
          <w:sz w:val="24"/>
          <w:szCs w:val="24"/>
          <w:highlight w:val="none"/>
        </w:rPr>
        <w:t xml:space="preserve"> </w:t>
      </w:r>
      <w:r>
        <w:rPr>
          <w:rFonts w:hint="eastAsia" w:ascii="宋体" w:hAnsi="宋体" w:eastAsia="宋体" w:cs="宋体"/>
          <w:color w:val="auto"/>
          <w:spacing w:val="1"/>
          <w:sz w:val="24"/>
          <w:szCs w:val="24"/>
          <w:highlight w:val="none"/>
        </w:rPr>
        <w:t>40天内仍未签订，招标人发出第二次提醒函；在</w:t>
      </w:r>
      <w:r>
        <w:rPr>
          <w:rFonts w:hint="eastAsia" w:ascii="宋体" w:hAnsi="宋体" w:eastAsia="宋体" w:cs="宋体"/>
          <w:color w:val="auto"/>
          <w:sz w:val="24"/>
          <w:szCs w:val="24"/>
          <w:highlight w:val="none"/>
        </w:rPr>
        <w:t>领取</w:t>
      </w:r>
      <w:r>
        <w:rPr>
          <w:rFonts w:hint="eastAsia" w:ascii="宋体" w:hAnsi="宋体" w:eastAsia="宋体" w:cs="宋体"/>
          <w:color w:val="auto"/>
          <w:spacing w:val="-1"/>
          <w:sz w:val="24"/>
          <w:szCs w:val="24"/>
          <w:highlight w:val="none"/>
        </w:rPr>
        <w:t>中标通知书之日起</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
          <w:sz w:val="24"/>
          <w:szCs w:val="24"/>
          <w:highlight w:val="none"/>
        </w:rPr>
        <w:t>45天内仍未签订，视其放弃中标。</w:t>
      </w:r>
    </w:p>
    <w:p w14:paraId="2096A616">
      <w:pPr>
        <w:spacing w:before="155" w:line="299" w:lineRule="auto"/>
        <w:ind w:left="12" w:right="82"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4.6  </w:t>
      </w:r>
      <w:r>
        <w:rPr>
          <w:rFonts w:hint="eastAsia" w:ascii="宋体" w:hAnsi="宋体" w:eastAsia="宋体" w:cs="宋体"/>
          <w:color w:val="auto"/>
          <w:sz w:val="24"/>
          <w:szCs w:val="24"/>
          <w:highlight w:val="none"/>
        </w:rPr>
        <w:t>在书面合同订立之日起</w:t>
      </w:r>
      <w:r>
        <w:rPr>
          <w:rFonts w:hint="eastAsia" w:ascii="宋体" w:hAnsi="宋体" w:eastAsia="宋体" w:cs="宋体"/>
          <w:color w:val="auto"/>
          <w:spacing w:val="-55"/>
          <w:sz w:val="24"/>
          <w:szCs w:val="24"/>
          <w:highlight w:val="none"/>
        </w:rPr>
        <w:t xml:space="preserve"> </w:t>
      </w:r>
      <w:r>
        <w:rPr>
          <w:rFonts w:hint="eastAsia" w:ascii="宋体" w:hAnsi="宋体" w:eastAsia="宋体" w:cs="宋体"/>
          <w:color w:val="auto"/>
          <w:sz w:val="24"/>
          <w:szCs w:val="24"/>
          <w:highlight w:val="none"/>
        </w:rPr>
        <w:t>2 个工作日内，由中标人或招标代理机构将合同上传至</w:t>
      </w:r>
      <w:r>
        <w:rPr>
          <w:rFonts w:hint="eastAsia" w:ascii="宋体" w:hAnsi="宋体" w:eastAsia="宋体" w:cs="宋体"/>
          <w:color w:val="auto"/>
          <w:spacing w:val="-2"/>
          <w:sz w:val="24"/>
          <w:szCs w:val="24"/>
          <w:highlight w:val="none"/>
        </w:rPr>
        <w:t>建设工程交易系统，并发起退还投标保证的申请。韶关市公共资源交易中心在收到申请之日起</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2"/>
          <w:sz w:val="24"/>
          <w:szCs w:val="24"/>
          <w:highlight w:val="none"/>
        </w:rPr>
        <w:t>3 个工作日内，将投标保证金（或银行保函）退还给中标人和其他中标候选人。</w:t>
      </w:r>
    </w:p>
    <w:p w14:paraId="736E5DE8">
      <w:pPr>
        <w:spacing w:before="78" w:line="220" w:lineRule="auto"/>
        <w:ind w:left="489"/>
        <w:outlineLvl w:val="2"/>
        <w:rPr>
          <w:rFonts w:hint="eastAsia" w:ascii="宋体" w:hAnsi="宋体" w:eastAsia="宋体" w:cs="宋体"/>
          <w:color w:val="auto"/>
          <w:sz w:val="24"/>
          <w:szCs w:val="24"/>
          <w:highlight w:val="none"/>
        </w:rPr>
      </w:pPr>
      <w:bookmarkStart w:id="161" w:name="_Toc4089"/>
      <w:r>
        <w:rPr>
          <w:rFonts w:hint="eastAsia" w:ascii="宋体" w:hAnsi="宋体" w:eastAsia="宋体" w:cs="宋体"/>
          <w:b/>
          <w:bCs/>
          <w:color w:val="auto"/>
          <w:spacing w:val="-6"/>
          <w:sz w:val="24"/>
          <w:szCs w:val="24"/>
          <w:highlight w:val="none"/>
        </w:rPr>
        <w:t>5</w:t>
      </w:r>
      <w:r>
        <w:rPr>
          <w:rFonts w:hint="eastAsia" w:ascii="宋体" w:hAnsi="宋体" w:eastAsia="宋体" w:cs="宋体"/>
          <w:b/>
          <w:bCs/>
          <w:color w:val="auto"/>
          <w:spacing w:val="-29"/>
          <w:sz w:val="24"/>
          <w:szCs w:val="24"/>
          <w:highlight w:val="none"/>
        </w:rPr>
        <w:t xml:space="preserve"> </w:t>
      </w:r>
      <w:r>
        <w:rPr>
          <w:rFonts w:hint="eastAsia" w:ascii="宋体" w:hAnsi="宋体" w:eastAsia="宋体" w:cs="宋体"/>
          <w:b/>
          <w:bCs/>
          <w:color w:val="auto"/>
          <w:spacing w:val="-6"/>
          <w:sz w:val="24"/>
          <w:szCs w:val="24"/>
          <w:highlight w:val="none"/>
        </w:rPr>
        <w:t>．放弃中标的处理</w:t>
      </w:r>
      <w:bookmarkEnd w:id="161"/>
    </w:p>
    <w:p w14:paraId="148812D5">
      <w:pPr>
        <w:spacing w:before="150" w:line="319" w:lineRule="auto"/>
        <w:ind w:left="12" w:right="91" w:firstLine="477"/>
        <w:rPr>
          <w:rFonts w:hint="eastAsia" w:ascii="宋体" w:hAnsi="宋体" w:eastAsia="宋体" w:cs="宋体"/>
          <w:color w:val="auto"/>
          <w:highlight w:val="none"/>
        </w:rPr>
      </w:pPr>
      <w:r>
        <w:rPr>
          <w:rFonts w:hint="eastAsia" w:ascii="宋体" w:hAnsi="宋体" w:eastAsia="宋体" w:cs="宋体"/>
          <w:b/>
          <w:bCs/>
          <w:color w:val="auto"/>
          <w:spacing w:val="-1"/>
          <w:sz w:val="24"/>
          <w:szCs w:val="24"/>
          <w:highlight w:val="none"/>
        </w:rPr>
        <w:t>5.1</w:t>
      </w:r>
      <w:r>
        <w:rPr>
          <w:rFonts w:hint="eastAsia" w:ascii="宋体" w:hAnsi="宋体" w:eastAsia="宋体" w:cs="宋体"/>
          <w:b/>
          <w:bCs/>
          <w:color w:val="auto"/>
          <w:spacing w:val="19"/>
          <w:w w:val="101"/>
          <w:sz w:val="24"/>
          <w:szCs w:val="24"/>
          <w:highlight w:val="none"/>
        </w:rPr>
        <w:t xml:space="preserve">  </w:t>
      </w:r>
      <w:r>
        <w:rPr>
          <w:rFonts w:hint="eastAsia" w:ascii="宋体" w:hAnsi="宋体" w:eastAsia="宋体" w:cs="宋体"/>
          <w:color w:val="auto"/>
          <w:spacing w:val="-1"/>
          <w:sz w:val="24"/>
          <w:szCs w:val="24"/>
          <w:highlight w:val="none"/>
        </w:rPr>
        <w:t>中标人无正当理由放弃中标的，取消其中标资格，其投标保证不予退还，给招</w:t>
      </w:r>
      <w:r>
        <w:rPr>
          <w:rFonts w:hint="eastAsia" w:ascii="宋体" w:hAnsi="宋体" w:eastAsia="宋体" w:cs="宋体"/>
          <w:color w:val="auto"/>
          <w:spacing w:val="-2"/>
          <w:sz w:val="24"/>
          <w:szCs w:val="24"/>
          <w:highlight w:val="none"/>
        </w:rPr>
        <w:t>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因此种情况造成招标人重新招标的，招标人可不接受该弃标人再次投标。同时，</w:t>
      </w:r>
      <w:r>
        <w:rPr>
          <w:rFonts w:hint="eastAsia" w:ascii="宋体" w:hAnsi="宋体" w:eastAsia="宋体" w:cs="宋体"/>
          <w:b/>
          <w:bCs/>
          <w:color w:val="auto"/>
          <w:spacing w:val="-2"/>
          <w:sz w:val="24"/>
          <w:szCs w:val="24"/>
          <w:highlight w:val="none"/>
        </w:rPr>
        <w:t>招</w:t>
      </w:r>
      <w:r>
        <w:rPr>
          <w:rFonts w:hint="eastAsia" w:ascii="宋体" w:hAnsi="宋体" w:eastAsia="宋体" w:cs="宋体"/>
          <w:b/>
          <w:bCs/>
          <w:color w:val="auto"/>
          <w:spacing w:val="-3"/>
          <w:sz w:val="24"/>
          <w:szCs w:val="24"/>
          <w:highlight w:val="none"/>
        </w:rPr>
        <w:t>标人应将该弃标人的失信行为向行政监督部门报告。</w:t>
      </w:r>
    </w:p>
    <w:p w14:paraId="7BD56114">
      <w:pPr>
        <w:spacing w:before="79" w:line="298" w:lineRule="auto"/>
        <w:ind w:left="10" w:right="91"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5.2</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5"/>
          <w:sz w:val="24"/>
          <w:szCs w:val="24"/>
          <w:highlight w:val="none"/>
        </w:rPr>
        <w:t>中标人因不可抗力提出不能履行合同的，须在领取中标通知书之日起</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10天</w:t>
      </w:r>
      <w:r>
        <w:rPr>
          <w:rFonts w:hint="eastAsia" w:ascii="宋体" w:hAnsi="宋体" w:eastAsia="宋体" w:cs="宋体"/>
          <w:color w:val="auto"/>
          <w:spacing w:val="-6"/>
          <w:sz w:val="24"/>
          <w:szCs w:val="24"/>
          <w:highlight w:val="none"/>
        </w:rPr>
        <w:t>内提</w:t>
      </w:r>
      <w:r>
        <w:rPr>
          <w:rFonts w:hint="eastAsia" w:ascii="宋体" w:hAnsi="宋体" w:eastAsia="宋体" w:cs="宋体"/>
          <w:color w:val="auto"/>
          <w:spacing w:val="-2"/>
          <w:sz w:val="24"/>
          <w:szCs w:val="24"/>
          <w:highlight w:val="none"/>
        </w:rPr>
        <w:t>供有关证明文件或资料，其投标保证予以退还，招标人可按照评标委员会提出的中标候选人名单排序依次确定其他中标候选人为中标人。如果招标人认为其他中标候选人的条</w:t>
      </w:r>
      <w:bookmarkStart w:id="162" w:name="bookmark84"/>
      <w:bookmarkEnd w:id="162"/>
      <w:r>
        <w:rPr>
          <w:rFonts w:hint="eastAsia" w:ascii="宋体" w:hAnsi="宋体" w:eastAsia="宋体" w:cs="宋体"/>
          <w:color w:val="auto"/>
          <w:spacing w:val="-2"/>
          <w:sz w:val="24"/>
          <w:szCs w:val="24"/>
          <w:highlight w:val="none"/>
        </w:rPr>
        <w:t>件明显不利于招标人的，也可以重新招标</w:t>
      </w:r>
      <w:r>
        <w:rPr>
          <w:rFonts w:hint="eastAsia" w:ascii="宋体" w:hAnsi="宋体" w:eastAsia="宋体" w:cs="宋体"/>
          <w:color w:val="auto"/>
          <w:spacing w:val="-1"/>
          <w:sz w:val="24"/>
          <w:szCs w:val="24"/>
          <w:highlight w:val="none"/>
        </w:rPr>
        <w:t>。</w:t>
      </w:r>
    </w:p>
    <w:p w14:paraId="40983202">
      <w:pPr>
        <w:pStyle w:val="13"/>
        <w:rPr>
          <w:rFonts w:hint="eastAsia" w:ascii="宋体" w:hAnsi="宋体" w:eastAsia="宋体" w:cs="宋体"/>
          <w:color w:val="auto"/>
          <w:highlight w:val="none"/>
        </w:rPr>
        <w:sectPr>
          <w:footerReference r:id="rId1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0B3EAE0">
      <w:pPr>
        <w:spacing w:before="78" w:line="219" w:lineRule="auto"/>
        <w:ind w:left="2923"/>
        <w:outlineLvl w:val="0"/>
        <w:rPr>
          <w:rFonts w:hint="eastAsia" w:ascii="宋体" w:hAnsi="宋体" w:eastAsia="宋体" w:cs="宋体"/>
          <w:color w:val="auto"/>
          <w:sz w:val="24"/>
          <w:szCs w:val="24"/>
          <w:highlight w:val="none"/>
        </w:rPr>
      </w:pPr>
      <w:bookmarkStart w:id="163" w:name="bookmark86"/>
      <w:bookmarkEnd w:id="163"/>
      <w:bookmarkStart w:id="164" w:name="_Toc7715"/>
      <w:r>
        <w:rPr>
          <w:rFonts w:hint="eastAsia" w:ascii="宋体" w:hAnsi="宋体" w:eastAsia="宋体" w:cs="宋体"/>
          <w:b/>
          <w:bCs/>
          <w:color w:val="auto"/>
          <w:spacing w:val="-3"/>
          <w:sz w:val="24"/>
          <w:szCs w:val="24"/>
          <w:highlight w:val="none"/>
        </w:rPr>
        <w:t>第三章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拟签订合同的主要条款</w:t>
      </w:r>
      <w:bookmarkEnd w:id="164"/>
    </w:p>
    <w:p w14:paraId="5C534CD3">
      <w:pPr>
        <w:pStyle w:val="5"/>
        <w:spacing w:line="257" w:lineRule="auto"/>
        <w:rPr>
          <w:rFonts w:hint="eastAsia" w:ascii="宋体" w:hAnsi="宋体" w:eastAsia="宋体" w:cs="宋体"/>
          <w:color w:val="auto"/>
          <w:highlight w:val="none"/>
        </w:rPr>
      </w:pPr>
    </w:p>
    <w:p w14:paraId="69498346">
      <w:pPr>
        <w:pStyle w:val="5"/>
        <w:spacing w:line="257" w:lineRule="auto"/>
        <w:rPr>
          <w:rFonts w:hint="eastAsia" w:ascii="宋体" w:hAnsi="宋体" w:eastAsia="宋体" w:cs="宋体"/>
          <w:color w:val="auto"/>
          <w:highlight w:val="none"/>
        </w:rPr>
      </w:pPr>
    </w:p>
    <w:p w14:paraId="50F7B5FC">
      <w:pPr>
        <w:spacing w:before="78" w:line="220" w:lineRule="auto"/>
        <w:ind w:left="498"/>
        <w:outlineLvl w:val="2"/>
        <w:rPr>
          <w:rFonts w:hint="eastAsia" w:ascii="宋体" w:hAnsi="宋体" w:eastAsia="宋体" w:cs="宋体"/>
          <w:color w:val="auto"/>
          <w:sz w:val="24"/>
          <w:szCs w:val="24"/>
          <w:highlight w:val="none"/>
        </w:rPr>
      </w:pPr>
      <w:bookmarkStart w:id="165" w:name="_Toc6603"/>
      <w:r>
        <w:rPr>
          <w:rFonts w:hint="eastAsia" w:ascii="宋体" w:hAnsi="宋体" w:eastAsia="宋体" w:cs="宋体"/>
          <w:b/>
          <w:bCs/>
          <w:color w:val="auto"/>
          <w:spacing w:val="-8"/>
          <w:sz w:val="24"/>
          <w:szCs w:val="24"/>
          <w:highlight w:val="none"/>
        </w:rPr>
        <w:t>1</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8"/>
          <w:sz w:val="24"/>
          <w:szCs w:val="24"/>
          <w:highlight w:val="none"/>
        </w:rPr>
        <w:t>．工程承包方式</w:t>
      </w:r>
      <w:bookmarkEnd w:id="165"/>
    </w:p>
    <w:p w14:paraId="15E51171">
      <w:pPr>
        <w:spacing w:before="153" w:line="299" w:lineRule="auto"/>
        <w:ind w:left="11" w:right="295" w:firstLine="487"/>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1.1  </w:t>
      </w:r>
      <w:r>
        <w:rPr>
          <w:rFonts w:hint="eastAsia" w:ascii="宋体" w:hAnsi="宋体" w:eastAsia="宋体" w:cs="宋体"/>
          <w:color w:val="auto"/>
          <w:sz w:val="24"/>
          <w:szCs w:val="24"/>
          <w:highlight w:val="none"/>
        </w:rPr>
        <w:t>承包人以中标价按包工包料、包质量、包安全包文明施工、包工期</w:t>
      </w:r>
      <w:r>
        <w:rPr>
          <w:rFonts w:hint="eastAsia" w:ascii="宋体" w:hAnsi="宋体" w:eastAsia="宋体" w:cs="宋体"/>
          <w:color w:val="auto"/>
          <w:spacing w:val="-1"/>
          <w:sz w:val="24"/>
          <w:szCs w:val="24"/>
          <w:highlight w:val="none"/>
        </w:rPr>
        <w:t>方式总承包</w:t>
      </w:r>
      <w:r>
        <w:rPr>
          <w:rFonts w:hint="eastAsia" w:ascii="宋体" w:hAnsi="宋体" w:eastAsia="宋体" w:cs="宋体"/>
          <w:color w:val="auto"/>
          <w:spacing w:val="-2"/>
          <w:sz w:val="24"/>
          <w:szCs w:val="24"/>
          <w:highlight w:val="none"/>
        </w:rPr>
        <w:t>施工，不允许转包和违法分包，如果确需分包须与发包人协商，在得到发包人和监理单</w:t>
      </w:r>
      <w:r>
        <w:rPr>
          <w:rFonts w:hint="eastAsia" w:ascii="宋体" w:hAnsi="宋体" w:eastAsia="宋体" w:cs="宋体"/>
          <w:color w:val="auto"/>
          <w:spacing w:val="-1"/>
          <w:sz w:val="24"/>
          <w:szCs w:val="24"/>
          <w:highlight w:val="none"/>
        </w:rPr>
        <w:t>位同意后报建设行政主管部门备案。</w:t>
      </w:r>
    </w:p>
    <w:p w14:paraId="2B524C76">
      <w:pPr>
        <w:spacing w:before="153"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1.1.1  </w:t>
      </w:r>
      <w:r>
        <w:rPr>
          <w:rFonts w:hint="eastAsia" w:ascii="宋体" w:hAnsi="宋体" w:eastAsia="宋体" w:cs="宋体"/>
          <w:color w:val="auto"/>
          <w:spacing w:val="-1"/>
          <w:sz w:val="24"/>
          <w:szCs w:val="24"/>
          <w:highlight w:val="none"/>
        </w:rPr>
        <w:t>包工包料：材料符合招标文件要求并报验使用；办理用工保险。</w:t>
      </w:r>
    </w:p>
    <w:p w14:paraId="2C8F6059">
      <w:pPr>
        <w:spacing w:before="156"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1.1.2  </w:t>
      </w:r>
      <w:r>
        <w:rPr>
          <w:rFonts w:hint="eastAsia" w:ascii="宋体" w:hAnsi="宋体" w:eastAsia="宋体" w:cs="宋体"/>
          <w:color w:val="auto"/>
          <w:spacing w:val="-1"/>
          <w:sz w:val="24"/>
          <w:szCs w:val="24"/>
          <w:highlight w:val="none"/>
        </w:rPr>
        <w:t>包质量：符合招标文件要求。</w:t>
      </w:r>
    </w:p>
    <w:p w14:paraId="0FB12A34">
      <w:pPr>
        <w:spacing w:before="153" w:line="220"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1.1.3  </w:t>
      </w:r>
      <w:r>
        <w:rPr>
          <w:rFonts w:hint="eastAsia" w:ascii="宋体" w:hAnsi="宋体" w:eastAsia="宋体" w:cs="宋体"/>
          <w:color w:val="auto"/>
          <w:spacing w:val="-1"/>
          <w:sz w:val="24"/>
          <w:szCs w:val="24"/>
          <w:highlight w:val="none"/>
        </w:rPr>
        <w:t>包安全包文明施工：符合招标文件要求。</w:t>
      </w:r>
    </w:p>
    <w:p w14:paraId="3398DD31">
      <w:pPr>
        <w:spacing w:before="154" w:line="219" w:lineRule="auto"/>
        <w:ind w:left="58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1.1.4  </w:t>
      </w:r>
      <w:r>
        <w:rPr>
          <w:rFonts w:hint="eastAsia" w:ascii="宋体" w:hAnsi="宋体" w:eastAsia="宋体" w:cs="宋体"/>
          <w:color w:val="auto"/>
          <w:spacing w:val="-1"/>
          <w:sz w:val="24"/>
          <w:szCs w:val="24"/>
          <w:highlight w:val="none"/>
        </w:rPr>
        <w:t>包工期：本招标项目施工必须在招标工期内完成。</w:t>
      </w:r>
    </w:p>
    <w:p w14:paraId="1E6FD563">
      <w:pPr>
        <w:pStyle w:val="5"/>
        <w:spacing w:line="257" w:lineRule="auto"/>
        <w:rPr>
          <w:rFonts w:hint="eastAsia" w:ascii="宋体" w:hAnsi="宋体" w:eastAsia="宋体" w:cs="宋体"/>
          <w:color w:val="auto"/>
          <w:highlight w:val="none"/>
        </w:rPr>
      </w:pPr>
    </w:p>
    <w:p w14:paraId="0E04F086">
      <w:pPr>
        <w:pStyle w:val="5"/>
        <w:spacing w:line="257" w:lineRule="auto"/>
        <w:rPr>
          <w:rFonts w:hint="eastAsia" w:ascii="宋体" w:hAnsi="宋体" w:eastAsia="宋体" w:cs="宋体"/>
          <w:color w:val="auto"/>
          <w:highlight w:val="none"/>
        </w:rPr>
      </w:pPr>
    </w:p>
    <w:p w14:paraId="53182D61">
      <w:pPr>
        <w:spacing w:before="78" w:line="220" w:lineRule="auto"/>
        <w:ind w:left="488"/>
        <w:outlineLvl w:val="2"/>
        <w:rPr>
          <w:rFonts w:hint="eastAsia" w:ascii="宋体" w:hAnsi="宋体" w:eastAsia="宋体" w:cs="宋体"/>
          <w:color w:val="auto"/>
          <w:sz w:val="24"/>
          <w:szCs w:val="24"/>
          <w:highlight w:val="none"/>
        </w:rPr>
      </w:pPr>
      <w:bookmarkStart w:id="166" w:name="bookmark88"/>
      <w:bookmarkEnd w:id="166"/>
      <w:bookmarkStart w:id="167" w:name="_Toc24910"/>
      <w:r>
        <w:rPr>
          <w:rFonts w:hint="eastAsia" w:ascii="宋体" w:hAnsi="宋体" w:eastAsia="宋体" w:cs="宋体"/>
          <w:b/>
          <w:bCs/>
          <w:color w:val="auto"/>
          <w:spacing w:val="-7"/>
          <w:sz w:val="24"/>
          <w:szCs w:val="24"/>
          <w:highlight w:val="none"/>
        </w:rPr>
        <w:t>2</w:t>
      </w:r>
      <w:r>
        <w:rPr>
          <w:rFonts w:hint="eastAsia" w:ascii="宋体" w:hAnsi="宋体" w:eastAsia="宋体" w:cs="宋体"/>
          <w:b/>
          <w:bCs/>
          <w:color w:val="auto"/>
          <w:spacing w:val="-24"/>
          <w:sz w:val="24"/>
          <w:szCs w:val="24"/>
          <w:highlight w:val="none"/>
        </w:rPr>
        <w:t xml:space="preserve"> </w:t>
      </w:r>
      <w:r>
        <w:rPr>
          <w:rFonts w:hint="eastAsia" w:ascii="宋体" w:hAnsi="宋体" w:eastAsia="宋体" w:cs="宋体"/>
          <w:b/>
          <w:bCs/>
          <w:color w:val="auto"/>
          <w:spacing w:val="-7"/>
          <w:sz w:val="24"/>
          <w:szCs w:val="24"/>
          <w:highlight w:val="none"/>
        </w:rPr>
        <w:t>．工程结算原则</w:t>
      </w:r>
      <w:bookmarkEnd w:id="167"/>
    </w:p>
    <w:p w14:paraId="684618CF">
      <w:pPr>
        <w:spacing w:before="153" w:line="219"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2.1 </w:t>
      </w:r>
      <w:r>
        <w:rPr>
          <w:rFonts w:hint="eastAsia" w:ascii="宋体" w:hAnsi="宋体" w:eastAsia="宋体" w:cs="宋体"/>
          <w:color w:val="auto"/>
          <w:spacing w:val="-1"/>
          <w:sz w:val="24"/>
          <w:szCs w:val="24"/>
          <w:highlight w:val="none"/>
        </w:rPr>
        <w:t>承包人的投标总价为中标价，即为签约合同价。</w:t>
      </w:r>
    </w:p>
    <w:p w14:paraId="50873142">
      <w:pPr>
        <w:spacing w:before="155" w:line="319" w:lineRule="auto"/>
        <w:ind w:left="12" w:right="231"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2.2 </w:t>
      </w:r>
      <w:r>
        <w:rPr>
          <w:rFonts w:hint="eastAsia" w:ascii="宋体" w:hAnsi="宋体" w:eastAsia="宋体" w:cs="宋体"/>
          <w:color w:val="auto"/>
          <w:spacing w:val="2"/>
          <w:sz w:val="24"/>
          <w:szCs w:val="24"/>
          <w:highlight w:val="none"/>
        </w:rPr>
        <w:t>招标工程量清单标明的工程量是投标人投标报价的</w:t>
      </w:r>
      <w:r>
        <w:rPr>
          <w:rFonts w:hint="eastAsia" w:ascii="宋体" w:hAnsi="宋体" w:eastAsia="宋体" w:cs="宋体"/>
          <w:color w:val="auto"/>
          <w:spacing w:val="1"/>
          <w:sz w:val="24"/>
          <w:szCs w:val="24"/>
          <w:highlight w:val="none"/>
        </w:rPr>
        <w:t>共同基础，竣工结算的工程</w:t>
      </w:r>
      <w:r>
        <w:rPr>
          <w:rFonts w:hint="eastAsia" w:ascii="宋体" w:hAnsi="宋体" w:eastAsia="宋体" w:cs="宋体"/>
          <w:color w:val="auto"/>
          <w:spacing w:val="-5"/>
          <w:sz w:val="24"/>
          <w:szCs w:val="24"/>
          <w:highlight w:val="none"/>
        </w:rPr>
        <w:t>量按</w:t>
      </w:r>
      <w:bookmarkStart w:id="168" w:name="OLE_LINK28"/>
      <w:r>
        <w:rPr>
          <w:rFonts w:hint="eastAsia" w:ascii="宋体" w:hAnsi="宋体" w:eastAsia="宋体" w:cs="宋体"/>
          <w:color w:val="auto"/>
          <w:spacing w:val="-5"/>
          <w:sz w:val="24"/>
          <w:szCs w:val="24"/>
          <w:highlight w:val="none"/>
        </w:rPr>
        <w:t>《建设工程工程量清单计价</w:t>
      </w:r>
      <w:r>
        <w:rPr>
          <w:rFonts w:hint="eastAsia" w:ascii="宋体" w:hAnsi="宋体" w:eastAsia="宋体" w:cs="宋体"/>
          <w:color w:val="auto"/>
          <w:spacing w:val="-5"/>
          <w:sz w:val="24"/>
          <w:szCs w:val="24"/>
          <w:highlight w:val="none"/>
          <w:lang w:val="en-US" w:eastAsia="zh-CN"/>
        </w:rPr>
        <w:t>标准</w:t>
      </w:r>
      <w:r>
        <w:rPr>
          <w:rFonts w:hint="eastAsia" w:ascii="宋体" w:hAnsi="宋体" w:eastAsia="宋体" w:cs="宋体"/>
          <w:color w:val="auto"/>
          <w:spacing w:val="-5"/>
          <w:sz w:val="24"/>
          <w:szCs w:val="24"/>
          <w:highlight w:val="none"/>
        </w:rPr>
        <w:t>》（GB50500—</w:t>
      </w:r>
      <w:r>
        <w:rPr>
          <w:rFonts w:hint="eastAsia" w:ascii="宋体" w:hAnsi="宋体" w:eastAsia="宋体" w:cs="宋体"/>
          <w:color w:val="auto"/>
          <w:spacing w:val="-5"/>
          <w:sz w:val="24"/>
          <w:szCs w:val="24"/>
          <w:highlight w:val="none"/>
          <w:lang w:val="en-US" w:eastAsia="zh-CN"/>
        </w:rPr>
        <w:t>2024</w:t>
      </w:r>
      <w:r>
        <w:rPr>
          <w:rFonts w:hint="eastAsia" w:ascii="宋体" w:hAnsi="宋体" w:eastAsia="宋体" w:cs="宋体"/>
          <w:color w:val="auto"/>
          <w:spacing w:val="-5"/>
          <w:sz w:val="24"/>
          <w:szCs w:val="24"/>
          <w:highlight w:val="none"/>
        </w:rPr>
        <w:t>）对工程计量的规定进行计量，</w:t>
      </w:r>
      <w:r>
        <w:rPr>
          <w:rFonts w:hint="eastAsia" w:ascii="宋体" w:hAnsi="宋体" w:eastAsia="宋体" w:cs="宋体"/>
          <w:color w:val="auto"/>
          <w:spacing w:val="-2"/>
          <w:sz w:val="24"/>
          <w:szCs w:val="24"/>
          <w:highlight w:val="none"/>
        </w:rPr>
        <w:t>必须以承包人完成合同工程应予计量的工程量确定。施</w:t>
      </w:r>
      <w:bookmarkEnd w:id="168"/>
      <w:r>
        <w:rPr>
          <w:rFonts w:hint="eastAsia" w:ascii="宋体" w:hAnsi="宋体" w:eastAsia="宋体" w:cs="宋体"/>
          <w:color w:val="auto"/>
          <w:spacing w:val="-2"/>
          <w:sz w:val="24"/>
          <w:szCs w:val="24"/>
          <w:highlight w:val="none"/>
        </w:rPr>
        <w:t>工中进行工程计量，当发现招标工程量清单中出现缺项、工程量偏差、或因工程变更引起工程量增减时，应按承包人在履行合同义务中完成的工程量计算。因承包人原因造成的超出合同工程范围施工或返工</w:t>
      </w:r>
      <w:r>
        <w:rPr>
          <w:rFonts w:hint="eastAsia" w:ascii="宋体" w:hAnsi="宋体" w:eastAsia="宋体" w:cs="宋体"/>
          <w:color w:val="auto"/>
          <w:spacing w:val="-1"/>
          <w:sz w:val="24"/>
          <w:szCs w:val="24"/>
          <w:highlight w:val="none"/>
        </w:rPr>
        <w:t>的工程量，发包人不予计量，由</w:t>
      </w:r>
      <w:r>
        <w:rPr>
          <w:rFonts w:hint="eastAsia" w:ascii="宋体" w:hAnsi="宋体" w:eastAsia="宋体" w:cs="宋体"/>
          <w:color w:val="auto"/>
          <w:spacing w:val="-1"/>
          <w:sz w:val="24"/>
          <w:szCs w:val="24"/>
          <w:highlight w:val="none"/>
          <w:lang w:val="en-US" w:eastAsia="zh-CN"/>
        </w:rPr>
        <w:t>承包人</w:t>
      </w:r>
      <w:r>
        <w:rPr>
          <w:rFonts w:hint="eastAsia" w:ascii="宋体" w:hAnsi="宋体" w:eastAsia="宋体" w:cs="宋体"/>
          <w:color w:val="auto"/>
          <w:spacing w:val="-1"/>
          <w:sz w:val="24"/>
          <w:szCs w:val="24"/>
          <w:highlight w:val="none"/>
        </w:rPr>
        <w:t>自行承担相关责任和费用。</w:t>
      </w:r>
    </w:p>
    <w:p w14:paraId="52C2BD5C">
      <w:pPr>
        <w:spacing w:before="38" w:line="299" w:lineRule="auto"/>
        <w:ind w:left="12" w:right="183" w:firstLine="475"/>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2.3  </w:t>
      </w:r>
      <w:r>
        <w:rPr>
          <w:rFonts w:hint="eastAsia" w:ascii="宋体" w:hAnsi="宋体" w:eastAsia="宋体" w:cs="宋体"/>
          <w:color w:val="auto"/>
          <w:sz w:val="24"/>
          <w:szCs w:val="24"/>
          <w:highlight w:val="none"/>
        </w:rPr>
        <w:t>施工合同履行期间，若出现下列情形的，发、承包双方应当按照以下规定调整</w:t>
      </w:r>
      <w:r>
        <w:rPr>
          <w:rFonts w:hint="eastAsia" w:ascii="宋体" w:hAnsi="宋体" w:eastAsia="宋体" w:cs="宋体"/>
          <w:color w:val="auto"/>
          <w:spacing w:val="-3"/>
          <w:sz w:val="24"/>
          <w:szCs w:val="24"/>
          <w:highlight w:val="none"/>
        </w:rPr>
        <w:t>合同价款：</w:t>
      </w:r>
    </w:p>
    <w:p w14:paraId="123F83B6">
      <w:pPr>
        <w:spacing w:before="227"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2.3.1  </w:t>
      </w:r>
      <w:r>
        <w:rPr>
          <w:rFonts w:hint="eastAsia" w:ascii="宋体" w:hAnsi="宋体" w:eastAsia="宋体" w:cs="宋体"/>
          <w:color w:val="auto"/>
          <w:spacing w:val="-1"/>
          <w:sz w:val="24"/>
          <w:szCs w:val="24"/>
          <w:highlight w:val="none"/>
        </w:rPr>
        <w:t>法律法规变化</w:t>
      </w:r>
    </w:p>
    <w:p w14:paraId="4F8CA025">
      <w:pPr>
        <w:spacing w:before="156" w:line="298"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2.3.1.1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基准日之后，因国家法律、法规、规章和政策发生变化引起工程造价增减变</w:t>
      </w:r>
      <w:r>
        <w:rPr>
          <w:rFonts w:hint="eastAsia" w:ascii="宋体" w:hAnsi="宋体" w:eastAsia="宋体" w:cs="宋体"/>
          <w:color w:val="auto"/>
          <w:spacing w:val="-2"/>
          <w:sz w:val="24"/>
          <w:szCs w:val="24"/>
          <w:highlight w:val="none"/>
        </w:rPr>
        <w:t>化时，发、承包双方应按照省级建设主管部门（或省级行业主管部门）或其授权的工程</w:t>
      </w:r>
      <w:r>
        <w:rPr>
          <w:rFonts w:hint="eastAsia" w:ascii="宋体" w:hAnsi="宋体" w:eastAsia="宋体" w:cs="宋体"/>
          <w:color w:val="auto"/>
          <w:spacing w:val="-1"/>
          <w:sz w:val="24"/>
          <w:szCs w:val="24"/>
          <w:highlight w:val="none"/>
        </w:rPr>
        <w:t>造价管理机构据此发布的最新规定调整合同价款。</w:t>
      </w:r>
    </w:p>
    <w:p w14:paraId="1DD96964">
      <w:pPr>
        <w:spacing w:before="157" w:line="325" w:lineRule="auto"/>
        <w:ind w:left="12" w:right="183" w:firstLine="479"/>
        <w:rPr>
          <w:rFonts w:hint="eastAsia" w:ascii="宋体" w:hAnsi="宋体" w:eastAsia="宋体" w:cs="宋体"/>
          <w:color w:val="auto"/>
          <w:sz w:val="24"/>
          <w:szCs w:val="24"/>
          <w:highlight w:val="none"/>
        </w:rPr>
      </w:pPr>
      <w:r>
        <w:rPr>
          <w:rFonts w:hint="eastAsia" w:ascii="宋体" w:hAnsi="宋体" w:eastAsia="宋体" w:cs="宋体"/>
          <w:b/>
          <w:bCs/>
          <w:color w:val="auto"/>
          <w:spacing w:val="-11"/>
          <w:sz w:val="24"/>
          <w:szCs w:val="24"/>
          <w:highlight w:val="none"/>
        </w:rPr>
        <w:t>注：本招标文件所称“基准日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11"/>
          <w:sz w:val="24"/>
          <w:szCs w:val="24"/>
          <w:highlight w:val="none"/>
        </w:rPr>
        <w:t>”，均指投标文</w:t>
      </w:r>
      <w:r>
        <w:rPr>
          <w:rFonts w:hint="eastAsia" w:ascii="宋体" w:hAnsi="宋体" w:eastAsia="宋体" w:cs="宋体"/>
          <w:b/>
          <w:bCs/>
          <w:color w:val="auto"/>
          <w:spacing w:val="-12"/>
          <w:sz w:val="24"/>
          <w:szCs w:val="24"/>
          <w:highlight w:val="none"/>
        </w:rPr>
        <w:t>件递交截止时间（见第一章第二节“重</w:t>
      </w:r>
      <w:r>
        <w:rPr>
          <w:rFonts w:hint="eastAsia" w:ascii="宋体" w:hAnsi="宋体" w:eastAsia="宋体" w:cs="宋体"/>
          <w:b/>
          <w:bCs/>
          <w:color w:val="auto"/>
          <w:spacing w:val="-5"/>
          <w:sz w:val="24"/>
          <w:szCs w:val="24"/>
          <w:highlight w:val="none"/>
        </w:rPr>
        <w:t>要事项时间地点一览表</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5"/>
          <w:sz w:val="24"/>
          <w:szCs w:val="24"/>
          <w:highlight w:val="none"/>
        </w:rPr>
        <w:t>”）前</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5"/>
          <w:sz w:val="24"/>
          <w:szCs w:val="24"/>
          <w:highlight w:val="none"/>
        </w:rPr>
        <w:t>28 天。</w:t>
      </w:r>
    </w:p>
    <w:p w14:paraId="5D934C11">
      <w:pPr>
        <w:spacing w:before="33" w:line="299" w:lineRule="auto"/>
        <w:ind w:left="11"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"2.3.1.2"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2.3.1.2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1"/>
          <w:sz w:val="24"/>
          <w:szCs w:val="24"/>
          <w:highlight w:val="none"/>
        </w:rPr>
        <w:t>因承包人原因导致工程延误，本章第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1"/>
          <w:sz w:val="24"/>
          <w:szCs w:val="24"/>
          <w:highlight w:val="none"/>
        </w:rPr>
        <w:t>2</w:t>
      </w:r>
      <w:r>
        <w:rPr>
          <w:rFonts w:hint="eastAsia" w:ascii="宋体" w:hAnsi="宋体" w:eastAsia="宋体" w:cs="宋体"/>
          <w:b/>
          <w:bCs/>
          <w:color w:val="auto"/>
          <w:sz w:val="24"/>
          <w:szCs w:val="24"/>
          <w:highlight w:val="none"/>
        </w:rPr>
        <w:t xml:space="preserve">.3.1.1 </w:t>
      </w:r>
      <w:r>
        <w:rPr>
          <w:rFonts w:hint="eastAsia" w:ascii="宋体" w:hAnsi="宋体" w:eastAsia="宋体" w:cs="宋体"/>
          <w:color w:val="auto"/>
          <w:sz w:val="24"/>
          <w:szCs w:val="24"/>
          <w:highlight w:val="none"/>
        </w:rPr>
        <w:t>子目中的法定机构根据国家法</w:t>
      </w:r>
      <w:r>
        <w:rPr>
          <w:rFonts w:hint="eastAsia" w:ascii="宋体" w:hAnsi="宋体" w:eastAsia="宋体" w:cs="宋体"/>
          <w:color w:val="auto"/>
          <w:spacing w:val="-3"/>
          <w:sz w:val="24"/>
          <w:szCs w:val="24"/>
          <w:highlight w:val="none"/>
        </w:rPr>
        <w:t>律法规变化发布新规的时间在合同工程原定竣工时间之后的，合同价款调增的不予调整，</w:t>
      </w:r>
      <w:r>
        <w:rPr>
          <w:rFonts w:hint="eastAsia" w:ascii="宋体" w:hAnsi="宋体" w:eastAsia="宋体" w:cs="宋体"/>
          <w:color w:val="auto"/>
          <w:spacing w:val="-1"/>
          <w:sz w:val="24"/>
          <w:szCs w:val="24"/>
          <w:highlight w:val="none"/>
        </w:rPr>
        <w:t>合同价款调减的予以调整。</w:t>
      </w:r>
    </w:p>
    <w:p w14:paraId="0FEEE35F">
      <w:pPr>
        <w:spacing w:before="155" w:line="220" w:lineRule="auto"/>
        <w:ind w:left="48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2.3.2  </w:t>
      </w:r>
      <w:r>
        <w:rPr>
          <w:rFonts w:hint="eastAsia" w:ascii="宋体" w:hAnsi="宋体" w:eastAsia="宋体" w:cs="宋体"/>
          <w:color w:val="auto"/>
          <w:spacing w:val="-1"/>
          <w:sz w:val="24"/>
          <w:szCs w:val="24"/>
          <w:highlight w:val="none"/>
        </w:rPr>
        <w:t>工程量偏差或变化</w:t>
      </w:r>
    </w:p>
    <w:p w14:paraId="692AAD08">
      <w:pPr>
        <w:spacing w:before="158" w:line="309" w:lineRule="auto"/>
        <w:ind w:left="10" w:right="183"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2.3.2.1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合同履行期间，当应予计算的实际工程量与招标工程量清单出现偏差或因工程变更引起已标价工程量清单项目的工程数量发生变化时，工程量偏差或变化在</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3"/>
          <w:sz w:val="24"/>
          <w:szCs w:val="24"/>
          <w:highlight w:val="none"/>
        </w:rPr>
        <w:t>15%以</w:t>
      </w:r>
      <w:r>
        <w:rPr>
          <w:rFonts w:hint="eastAsia" w:ascii="宋体" w:hAnsi="宋体" w:eastAsia="宋体" w:cs="宋体"/>
          <w:color w:val="auto"/>
          <w:spacing w:val="-4"/>
          <w:sz w:val="24"/>
          <w:szCs w:val="24"/>
          <w:highlight w:val="none"/>
        </w:rPr>
        <w:t>内（含</w:t>
      </w:r>
      <w:r>
        <w:rPr>
          <w:rFonts w:hint="eastAsia" w:ascii="宋体" w:hAnsi="宋体" w:eastAsia="宋体" w:cs="宋体"/>
          <w:color w:val="auto"/>
          <w:spacing w:val="-26"/>
          <w:sz w:val="24"/>
          <w:szCs w:val="24"/>
          <w:highlight w:val="none"/>
        </w:rPr>
        <w:t xml:space="preserve"> </w:t>
      </w:r>
      <w:r>
        <w:rPr>
          <w:rFonts w:hint="eastAsia" w:ascii="宋体" w:hAnsi="宋体" w:eastAsia="宋体" w:cs="宋体"/>
          <w:color w:val="auto"/>
          <w:spacing w:val="-4"/>
          <w:sz w:val="24"/>
          <w:szCs w:val="24"/>
          <w:highlight w:val="none"/>
        </w:rPr>
        <w:t>15%）的，其综合单价不予调整；工程量偏差或变化超过</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15%的，按照以下规定</w:t>
      </w:r>
      <w:r>
        <w:rPr>
          <w:rFonts w:hint="eastAsia" w:ascii="宋体" w:hAnsi="宋体" w:eastAsia="宋体" w:cs="宋体"/>
          <w:color w:val="auto"/>
          <w:spacing w:val="-3"/>
          <w:sz w:val="24"/>
          <w:szCs w:val="24"/>
          <w:highlight w:val="none"/>
        </w:rPr>
        <w:t>调整：</w:t>
      </w:r>
    </w:p>
    <w:p w14:paraId="5440C71D">
      <w:pPr>
        <w:spacing w:before="78" w:line="327" w:lineRule="auto"/>
        <w:ind w:left="12" w:firstLine="478"/>
        <w:jc w:val="both"/>
        <w:rPr>
          <w:rFonts w:hint="eastAsia" w:ascii="宋体" w:hAnsi="宋体" w:eastAsia="宋体" w:cs="宋体"/>
          <w:color w:val="auto"/>
          <w:sz w:val="24"/>
          <w:szCs w:val="24"/>
          <w:highlight w:val="none"/>
        </w:rPr>
      </w:pPr>
      <w:bookmarkStart w:id="169" w:name="bookmark142"/>
      <w:bookmarkEnd w:id="169"/>
      <w:r>
        <w:rPr>
          <w:rFonts w:hint="eastAsia" w:ascii="宋体" w:hAnsi="宋体" w:eastAsia="宋体" w:cs="宋体"/>
          <w:color w:val="auto"/>
          <w:spacing w:val="-3"/>
          <w:sz w:val="24"/>
          <w:szCs w:val="24"/>
          <w:highlight w:val="none"/>
        </w:rPr>
        <w:t>对于合理报价的清单项目，当工程量增加超过</w:t>
      </w:r>
      <w:r>
        <w:rPr>
          <w:rFonts w:hint="eastAsia" w:ascii="宋体" w:hAnsi="宋体" w:eastAsia="宋体" w:cs="宋体"/>
          <w:color w:val="auto"/>
          <w:spacing w:val="-27"/>
          <w:sz w:val="24"/>
          <w:szCs w:val="24"/>
          <w:highlight w:val="none"/>
        </w:rPr>
        <w:t xml:space="preserve"> </w:t>
      </w:r>
      <w:r>
        <w:rPr>
          <w:rFonts w:hint="eastAsia" w:ascii="宋体" w:hAnsi="宋体" w:eastAsia="宋体" w:cs="宋体"/>
          <w:color w:val="auto"/>
          <w:spacing w:val="-3"/>
          <w:sz w:val="24"/>
          <w:szCs w:val="24"/>
          <w:highlight w:val="none"/>
        </w:rPr>
        <w:t>15%时，增加部分的工程量的综合单</w:t>
      </w:r>
      <w:r>
        <w:rPr>
          <w:rFonts w:hint="eastAsia" w:ascii="宋体" w:hAnsi="宋体" w:eastAsia="宋体" w:cs="宋体"/>
          <w:color w:val="auto"/>
          <w:spacing w:val="-7"/>
          <w:sz w:val="24"/>
          <w:szCs w:val="24"/>
          <w:highlight w:val="none"/>
        </w:rPr>
        <w:t>价以</w:t>
      </w:r>
      <w:r>
        <w:rPr>
          <w:rFonts w:hint="eastAsia" w:ascii="宋体" w:hAnsi="宋体" w:eastAsia="宋体" w:cs="宋体"/>
          <w:color w:val="auto"/>
          <w:spacing w:val="-3"/>
          <w:sz w:val="24"/>
          <w:szCs w:val="24"/>
          <w:highlight w:val="none"/>
        </w:rPr>
        <w:t>投标报价《分部分项工程和单价措施项目清单与计价表》中综合单价为基价调低 3%；当工程量减少超过 15%时，减少后剩余部分的工程量的综合单价以投标报价《分部分项工程和单价措施项目清单与计价表》中综合单价为基价调高 3%</w:t>
      </w:r>
      <w:r>
        <w:rPr>
          <w:rFonts w:hint="eastAsia" w:ascii="宋体" w:hAnsi="宋体" w:eastAsia="宋体" w:cs="宋体"/>
          <w:color w:val="auto"/>
          <w:spacing w:val="-1"/>
          <w:sz w:val="24"/>
          <w:szCs w:val="24"/>
          <w:highlight w:val="none"/>
        </w:rPr>
        <w:t>。</w:t>
      </w:r>
    </w:p>
    <w:p w14:paraId="2282BBC8">
      <w:pPr>
        <w:spacing w:before="97" w:line="324" w:lineRule="auto"/>
        <w:ind w:left="13" w:right="179"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rPr>
        <w:t>对于按照第二章“</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 条被认定为不平衡报价的清单项目，其综合</w:t>
      </w:r>
      <w:r>
        <w:rPr>
          <w:rFonts w:hint="eastAsia" w:ascii="宋体" w:hAnsi="宋体" w:eastAsia="宋体" w:cs="宋体"/>
          <w:b/>
          <w:bCs/>
          <w:color w:val="auto"/>
          <w:spacing w:val="-3"/>
          <w:sz w:val="24"/>
          <w:szCs w:val="24"/>
          <w:highlight w:val="none"/>
        </w:rPr>
        <w:t>单价按照以下方法调整：</w:t>
      </w:r>
    </w:p>
    <w:p w14:paraId="36DE154B">
      <w:pPr>
        <w:spacing w:before="97" w:line="324" w:lineRule="auto"/>
        <w:ind w:left="13" w:right="179" w:firstLine="477"/>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t>以</w:t>
      </w:r>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中《分部分项工程和单价措施项目清单与计价表》子目相对应综合单价×（1-中标下浮率）。</w:t>
      </w:r>
    </w:p>
    <w:p w14:paraId="55E5B01A">
      <w:pPr>
        <w:spacing w:before="97" w:line="324" w:lineRule="auto"/>
        <w:ind w:left="13" w:right="179" w:firstLine="477"/>
        <w:rPr>
          <w:rFonts w:hint="eastAsia" w:ascii="宋体" w:hAnsi="宋体" w:eastAsia="宋体" w:cs="宋体"/>
          <w:b/>
          <w:bCs/>
          <w:color w:val="auto"/>
          <w:spacing w:val="-4"/>
          <w:sz w:val="24"/>
          <w:szCs w:val="24"/>
          <w:highlight w:val="none"/>
        </w:rPr>
      </w:pPr>
      <w:bookmarkStart w:id="170" w:name="_Toc12035"/>
      <w:bookmarkStart w:id="171" w:name="_Toc18478"/>
      <w:bookmarkStart w:id="172" w:name="_Toc30068"/>
      <w:r>
        <w:rPr>
          <w:rFonts w:hint="eastAsia" w:ascii="宋体" w:hAnsi="宋体" w:eastAsia="宋体" w:cs="宋体"/>
          <w:b/>
          <w:bCs/>
          <w:color w:val="auto"/>
          <w:spacing w:val="-4"/>
          <w:sz w:val="24"/>
          <w:szCs w:val="24"/>
          <w:highlight w:val="none"/>
        </w:rPr>
        <w:t>中标下浮率=[1-（中标价-</w:t>
      </w:r>
      <w:r>
        <w:rPr>
          <w:rFonts w:hint="eastAsia" w:ascii="宋体" w:hAnsi="宋体" w:eastAsia="宋体" w:cs="宋体"/>
          <w:b/>
          <w:bCs/>
          <w:color w:val="auto"/>
          <w:spacing w:val="-4"/>
          <w:sz w:val="24"/>
          <w:szCs w:val="24"/>
          <w:highlight w:val="none"/>
          <w:lang w:val="en-US" w:eastAsia="zh-CN"/>
        </w:rPr>
        <w:t>中标安全生产措施费</w:t>
      </w:r>
      <w:r>
        <w:rPr>
          <w:rFonts w:hint="eastAsia" w:ascii="宋体" w:hAnsi="宋体" w:eastAsia="宋体" w:cs="宋体"/>
          <w:b/>
          <w:bCs/>
          <w:color w:val="auto"/>
          <w:spacing w:val="-4"/>
          <w:sz w:val="24"/>
          <w:szCs w:val="24"/>
          <w:highlight w:val="none"/>
        </w:rPr>
        <w:t>-暂列金额-暂估价）/（</w:t>
      </w:r>
      <w:bookmarkEnd w:id="170"/>
      <w:bookmarkEnd w:id="171"/>
      <w:bookmarkStart w:id="173" w:name="_Toc13602"/>
      <w:bookmarkStart w:id="174" w:name="_Toc15512"/>
      <w:r>
        <w:rPr>
          <w:rFonts w:hint="eastAsia" w:ascii="宋体" w:hAnsi="宋体" w:eastAsia="宋体" w:cs="宋体"/>
          <w:b/>
          <w:bCs/>
          <w:color w:val="auto"/>
          <w:spacing w:val="-4"/>
          <w:sz w:val="24"/>
          <w:szCs w:val="24"/>
          <w:highlight w:val="none"/>
          <w:lang w:eastAsia="zh-CN"/>
        </w:rPr>
        <w:t>最高投标限价</w:t>
      </w:r>
      <w:r>
        <w:rPr>
          <w:rFonts w:hint="eastAsia" w:ascii="宋体" w:hAnsi="宋体" w:eastAsia="宋体" w:cs="宋体"/>
          <w:b/>
          <w:bCs/>
          <w:color w:val="auto"/>
          <w:spacing w:val="-4"/>
          <w:sz w:val="24"/>
          <w:szCs w:val="24"/>
          <w:highlight w:val="none"/>
        </w:rPr>
        <w:t>-控制价</w:t>
      </w:r>
      <w:r>
        <w:rPr>
          <w:rFonts w:hint="eastAsia" w:ascii="宋体" w:hAnsi="宋体" w:eastAsia="宋体" w:cs="宋体"/>
          <w:b/>
          <w:bCs/>
          <w:color w:val="auto"/>
          <w:spacing w:val="-4"/>
          <w:sz w:val="24"/>
          <w:szCs w:val="24"/>
          <w:highlight w:val="none"/>
          <w:lang w:val="en-US" w:eastAsia="zh-CN"/>
        </w:rPr>
        <w:t>安全生产措施费</w:t>
      </w:r>
      <w:r>
        <w:rPr>
          <w:rFonts w:hint="eastAsia" w:ascii="宋体" w:hAnsi="宋体" w:eastAsia="宋体" w:cs="宋体"/>
          <w:b/>
          <w:bCs/>
          <w:color w:val="auto"/>
          <w:spacing w:val="-4"/>
          <w:sz w:val="24"/>
          <w:szCs w:val="24"/>
          <w:highlight w:val="none"/>
        </w:rPr>
        <w:t>-暂列金额-暂估价）] ×100%</w:t>
      </w:r>
      <w:bookmarkEnd w:id="172"/>
      <w:bookmarkEnd w:id="173"/>
      <w:bookmarkEnd w:id="174"/>
    </w:p>
    <w:p w14:paraId="6ABFAD1C">
      <w:pPr>
        <w:spacing w:before="123" w:line="301" w:lineRule="auto"/>
        <w:ind w:left="10" w:right="116" w:firstLine="482"/>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若修正后的该部分《分部分项工程和单价措施项目清单与计价表》总金额大于原投</w:t>
      </w:r>
      <w:r>
        <w:rPr>
          <w:rFonts w:hint="eastAsia" w:ascii="宋体" w:hAnsi="宋体" w:eastAsia="宋体" w:cs="宋体"/>
          <w:color w:val="auto"/>
          <w:spacing w:val="-1"/>
          <w:sz w:val="24"/>
          <w:szCs w:val="24"/>
          <w:highlight w:val="none"/>
        </w:rPr>
        <w:t>标报价中的该部分总金额，则从投标报价需</w:t>
      </w:r>
      <w:r>
        <w:rPr>
          <w:rFonts w:hint="eastAsia" w:ascii="宋体" w:hAnsi="宋体" w:eastAsia="宋体" w:cs="宋体"/>
          <w:color w:val="auto"/>
          <w:spacing w:val="-2"/>
          <w:sz w:val="24"/>
          <w:szCs w:val="24"/>
          <w:highlight w:val="none"/>
        </w:rPr>
        <w:t>调高的综合单价中选择偏离最大的清单开始</w:t>
      </w:r>
      <w:r>
        <w:rPr>
          <w:rFonts w:hint="eastAsia" w:ascii="宋体" w:hAnsi="宋体" w:eastAsia="宋体" w:cs="宋体"/>
          <w:color w:val="auto"/>
          <w:spacing w:val="-1"/>
          <w:sz w:val="24"/>
          <w:szCs w:val="24"/>
          <w:highlight w:val="none"/>
        </w:rPr>
        <w:t>调整，调整幅度逐步减少，直至修正后的该</w:t>
      </w:r>
      <w:r>
        <w:rPr>
          <w:rFonts w:hint="eastAsia" w:ascii="宋体" w:hAnsi="宋体" w:eastAsia="宋体" w:cs="宋体"/>
          <w:color w:val="auto"/>
          <w:spacing w:val="-2"/>
          <w:sz w:val="24"/>
          <w:szCs w:val="24"/>
          <w:highlight w:val="none"/>
        </w:rPr>
        <w:t>部分《分部分项工程和单价措施项目清单与</w:t>
      </w:r>
      <w:r>
        <w:rPr>
          <w:rFonts w:hint="eastAsia" w:ascii="宋体" w:hAnsi="宋体" w:eastAsia="宋体" w:cs="宋体"/>
          <w:color w:val="auto"/>
          <w:spacing w:val="-1"/>
          <w:sz w:val="24"/>
          <w:szCs w:val="24"/>
          <w:highlight w:val="none"/>
        </w:rPr>
        <w:t>计价表》总金额与原投标报价中的该部分总</w:t>
      </w:r>
      <w:r>
        <w:rPr>
          <w:rFonts w:hint="eastAsia" w:ascii="宋体" w:hAnsi="宋体" w:eastAsia="宋体" w:cs="宋体"/>
          <w:color w:val="auto"/>
          <w:spacing w:val="-2"/>
          <w:sz w:val="24"/>
          <w:szCs w:val="24"/>
          <w:highlight w:val="none"/>
        </w:rPr>
        <w:t>金额一致；若修正后的该部分《分部分项工</w:t>
      </w:r>
      <w:r>
        <w:rPr>
          <w:rFonts w:hint="eastAsia" w:ascii="宋体" w:hAnsi="宋体" w:eastAsia="宋体" w:cs="宋体"/>
          <w:color w:val="auto"/>
          <w:spacing w:val="-1"/>
          <w:sz w:val="24"/>
          <w:szCs w:val="24"/>
          <w:highlight w:val="none"/>
        </w:rPr>
        <w:t>程和单价措施项目清单与计价表》总金额小</w:t>
      </w:r>
      <w:r>
        <w:rPr>
          <w:rFonts w:hint="eastAsia" w:ascii="宋体" w:hAnsi="宋体" w:eastAsia="宋体" w:cs="宋体"/>
          <w:color w:val="auto"/>
          <w:spacing w:val="-2"/>
          <w:sz w:val="24"/>
          <w:szCs w:val="24"/>
          <w:highlight w:val="none"/>
        </w:rPr>
        <w:t>于原投标报价中的该部分总金额，则从投标</w:t>
      </w:r>
      <w:r>
        <w:rPr>
          <w:rFonts w:hint="eastAsia" w:ascii="宋体" w:hAnsi="宋体" w:eastAsia="宋体" w:cs="宋体"/>
          <w:color w:val="auto"/>
          <w:spacing w:val="-1"/>
          <w:sz w:val="24"/>
          <w:szCs w:val="24"/>
          <w:highlight w:val="none"/>
        </w:rPr>
        <w:t>报价需调低的综合单价中选择偏离最大的清</w:t>
      </w:r>
      <w:r>
        <w:rPr>
          <w:rFonts w:hint="eastAsia" w:ascii="宋体" w:hAnsi="宋体" w:eastAsia="宋体" w:cs="宋体"/>
          <w:color w:val="auto"/>
          <w:spacing w:val="-2"/>
          <w:sz w:val="24"/>
          <w:szCs w:val="24"/>
          <w:highlight w:val="none"/>
        </w:rPr>
        <w:t>单开始调整，调整幅度逐步减少，直至修正</w:t>
      </w:r>
      <w:r>
        <w:rPr>
          <w:rFonts w:hint="eastAsia" w:ascii="宋体" w:hAnsi="宋体" w:eastAsia="宋体" w:cs="宋体"/>
          <w:color w:val="auto"/>
          <w:spacing w:val="-1"/>
          <w:sz w:val="24"/>
          <w:szCs w:val="24"/>
          <w:highlight w:val="none"/>
        </w:rPr>
        <w:t>后的该部分《分部分项工程和单价措施项目</w:t>
      </w:r>
      <w:r>
        <w:rPr>
          <w:rFonts w:hint="eastAsia" w:ascii="宋体" w:hAnsi="宋体" w:eastAsia="宋体" w:cs="宋体"/>
          <w:color w:val="auto"/>
          <w:spacing w:val="-2"/>
          <w:sz w:val="24"/>
          <w:szCs w:val="24"/>
          <w:highlight w:val="none"/>
        </w:rPr>
        <w:t>清单与计价表》总金额与原投标报价中的该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2"/>
          <w:sz w:val="24"/>
          <w:szCs w:val="24"/>
          <w:highlight w:val="none"/>
        </w:rPr>
        <w:t>部分总金额一致。修正后的总造价应与总中标价保持一致，形成《不平衡报价修正报告》，</w:t>
      </w:r>
      <w:r>
        <w:rPr>
          <w:rFonts w:hint="eastAsia" w:ascii="宋体" w:hAnsi="宋体" w:eastAsia="宋体" w:cs="宋体"/>
          <w:color w:val="auto"/>
          <w:spacing w:val="-1"/>
          <w:sz w:val="24"/>
          <w:szCs w:val="24"/>
          <w:highlight w:val="none"/>
        </w:rPr>
        <w:t>并由招标人和中标人共同签章确认。</w:t>
      </w:r>
    </w:p>
    <w:p w14:paraId="2BD2CB57">
      <w:pPr>
        <w:spacing w:before="129" w:line="299" w:lineRule="auto"/>
        <w:ind w:left="12" w:right="17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"2.3.2.2"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2.3.2.2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如果工程量出现本章第</w:t>
      </w:r>
      <w:r>
        <w:rPr>
          <w:rFonts w:hint="eastAsia" w:ascii="宋体" w:hAnsi="宋体" w:eastAsia="宋体" w:cs="宋体"/>
          <w:color w:val="auto"/>
          <w:spacing w:val="-41"/>
          <w:sz w:val="24"/>
          <w:szCs w:val="24"/>
          <w:highlight w:val="none"/>
        </w:rPr>
        <w:t xml:space="preserve"> </w:t>
      </w:r>
      <w:r>
        <w:rPr>
          <w:rFonts w:hint="eastAsia" w:ascii="宋体" w:hAnsi="宋体" w:eastAsia="宋体" w:cs="宋体"/>
          <w:b/>
          <w:bCs/>
          <w:color w:val="auto"/>
          <w:spacing w:val="1"/>
          <w:sz w:val="24"/>
          <w:szCs w:val="24"/>
          <w:highlight w:val="none"/>
        </w:rPr>
        <w:t xml:space="preserve">2.3.2.1 </w:t>
      </w:r>
      <w:r>
        <w:rPr>
          <w:rFonts w:hint="eastAsia" w:ascii="宋体" w:hAnsi="宋体" w:eastAsia="宋体" w:cs="宋体"/>
          <w:color w:val="auto"/>
          <w:spacing w:val="1"/>
          <w:sz w:val="24"/>
          <w:szCs w:val="24"/>
          <w:highlight w:val="none"/>
        </w:rPr>
        <w:t>子目的变化，且该变化引起相关措施项目相</w:t>
      </w:r>
      <w:r>
        <w:rPr>
          <w:rFonts w:hint="eastAsia" w:ascii="宋体" w:hAnsi="宋体" w:eastAsia="宋体" w:cs="宋体"/>
          <w:color w:val="auto"/>
          <w:spacing w:val="-2"/>
          <w:sz w:val="24"/>
          <w:szCs w:val="24"/>
          <w:highlight w:val="none"/>
        </w:rPr>
        <w:t>应发生变化时，按系数或单一总价方式计价的，工程量增加的措施项目费调增，工程量</w:t>
      </w:r>
      <w:r>
        <w:rPr>
          <w:rFonts w:hint="eastAsia" w:ascii="宋体" w:hAnsi="宋体" w:eastAsia="宋体" w:cs="宋体"/>
          <w:color w:val="auto"/>
          <w:spacing w:val="-1"/>
          <w:sz w:val="24"/>
          <w:szCs w:val="24"/>
          <w:highlight w:val="none"/>
        </w:rPr>
        <w:t>减少的措施项目费调减。</w:t>
      </w:r>
    </w:p>
    <w:p w14:paraId="06C738C3">
      <w:pPr>
        <w:spacing w:before="154" w:line="221" w:lineRule="auto"/>
        <w:ind w:left="488"/>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2.3.3  </w:t>
      </w:r>
      <w:r>
        <w:rPr>
          <w:rFonts w:hint="eastAsia" w:ascii="宋体" w:hAnsi="宋体" w:eastAsia="宋体" w:cs="宋体"/>
          <w:color w:val="auto"/>
          <w:spacing w:val="-1"/>
          <w:sz w:val="24"/>
          <w:szCs w:val="24"/>
          <w:highlight w:val="none"/>
        </w:rPr>
        <w:t>工程变更</w:t>
      </w:r>
    </w:p>
    <w:p w14:paraId="46C43F19">
      <w:pPr>
        <w:spacing w:before="153" w:line="279" w:lineRule="auto"/>
        <w:ind w:left="19" w:right="179" w:firstLine="468"/>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合同履行期间，因工程变更引起已标价工程量清单项目发生变化时，按照以下规定调整：</w:t>
      </w:r>
    </w:p>
    <w:p w14:paraId="02B699CB">
      <w:pPr>
        <w:numPr>
          <w:ilvl w:val="0"/>
          <w:numId w:val="5"/>
        </w:numPr>
        <w:spacing w:before="78" w:line="360" w:lineRule="auto"/>
        <w:ind w:firstLine="242" w:firstLineChars="100"/>
        <w:rPr>
          <w:rFonts w:hint="eastAsia" w:ascii="宋体" w:hAnsi="宋体" w:eastAsia="宋体" w:cs="宋体"/>
          <w:b/>
          <w:bCs/>
          <w:color w:val="auto"/>
          <w:spacing w:val="-2"/>
          <w:sz w:val="24"/>
          <w:szCs w:val="24"/>
          <w:highlight w:val="none"/>
        </w:rPr>
      </w:pPr>
      <w:r>
        <w:rPr>
          <w:rFonts w:hint="eastAsia" w:ascii="宋体" w:hAnsi="宋体" w:eastAsia="宋体" w:cs="宋体"/>
          <w:color w:val="auto"/>
          <w:spacing w:val="1"/>
          <w:sz w:val="24"/>
          <w:szCs w:val="24"/>
          <w:highlight w:val="none"/>
        </w:rPr>
        <w:t>已标价工程量清单中有适用于变更工程项目的，采用该项目的单价。</w:t>
      </w:r>
      <w:r>
        <w:rPr>
          <w:rFonts w:hint="eastAsia" w:ascii="宋体" w:hAnsi="宋体" w:eastAsia="宋体" w:cs="宋体"/>
          <w:b/>
          <w:bCs/>
          <w:color w:val="auto"/>
          <w:spacing w:val="1"/>
          <w:sz w:val="24"/>
          <w:szCs w:val="24"/>
          <w:highlight w:val="none"/>
        </w:rPr>
        <w:t>但如果</w:t>
      </w:r>
      <w:bookmarkStart w:id="175" w:name="bookmark143"/>
      <w:bookmarkEnd w:id="175"/>
      <w:r>
        <w:rPr>
          <w:rFonts w:hint="eastAsia" w:ascii="宋体" w:hAnsi="宋体" w:eastAsia="宋体" w:cs="宋体"/>
          <w:b/>
          <w:bCs/>
          <w:color w:val="auto"/>
          <w:spacing w:val="-7"/>
          <w:sz w:val="24"/>
          <w:szCs w:val="24"/>
          <w:highlight w:val="none"/>
        </w:rPr>
        <w:t>被采用的项目属于按照第二章“中标人须知</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7"/>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8"/>
          <w:sz w:val="24"/>
          <w:szCs w:val="24"/>
          <w:highlight w:val="none"/>
        </w:rPr>
        <w:t>4.2 条被认定为不平衡报价的清单项目，</w:t>
      </w:r>
      <w:r>
        <w:rPr>
          <w:rFonts w:hint="eastAsia" w:ascii="宋体" w:hAnsi="宋体" w:eastAsia="宋体" w:cs="宋体"/>
          <w:color w:val="auto"/>
          <w:sz w:val="24"/>
          <w:szCs w:val="24"/>
          <w:highlight w:val="none"/>
        </w:rPr>
        <w:t xml:space="preserve"> </w:t>
      </w:r>
      <w:r>
        <w:rPr>
          <w:rFonts w:hint="eastAsia" w:ascii="宋体" w:hAnsi="宋体" w:eastAsia="宋体" w:cs="宋体"/>
          <w:b/>
          <w:bCs/>
          <w:color w:val="auto"/>
          <w:spacing w:val="-2"/>
          <w:sz w:val="24"/>
          <w:szCs w:val="24"/>
          <w:highlight w:val="none"/>
        </w:rPr>
        <w:t>变更工程项目的单价按照</w:t>
      </w:r>
      <w:r>
        <w:rPr>
          <w:rFonts w:hint="eastAsia" w:ascii="宋体" w:hAnsi="宋体" w:eastAsia="宋体" w:cs="宋体"/>
          <w:b/>
          <w:bCs/>
          <w:color w:val="auto"/>
          <w:spacing w:val="-7"/>
          <w:sz w:val="24"/>
          <w:szCs w:val="24"/>
          <w:highlight w:val="none"/>
        </w:rPr>
        <w:t>本章 2.3.2.1 的</w:t>
      </w:r>
      <w:r>
        <w:rPr>
          <w:rFonts w:hint="eastAsia" w:ascii="宋体" w:hAnsi="宋体" w:eastAsia="宋体" w:cs="宋体"/>
          <w:b/>
          <w:bCs/>
          <w:color w:val="auto"/>
          <w:spacing w:val="-2"/>
          <w:sz w:val="24"/>
          <w:szCs w:val="24"/>
          <w:highlight w:val="none"/>
        </w:rPr>
        <w:t>方法调整。】</w:t>
      </w:r>
    </w:p>
    <w:p w14:paraId="607212D6">
      <w:pPr>
        <w:numPr>
          <w:ilvl w:val="0"/>
          <w:numId w:val="0"/>
        </w:numPr>
        <w:spacing w:before="78" w:line="360" w:lineRule="auto"/>
        <w:ind w:firstLine="237" w:firstLineChars="100"/>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b/>
          <w:bCs/>
          <w:color w:val="auto"/>
          <w:spacing w:val="-2"/>
          <w:sz w:val="24"/>
          <w:szCs w:val="24"/>
          <w:highlight w:val="none"/>
          <w:lang w:val="en-US" w:eastAsia="zh-CN"/>
        </w:rPr>
        <w:t>2</w:t>
      </w:r>
      <w:r>
        <w:rPr>
          <w:rFonts w:hint="eastAsia" w:ascii="宋体" w:hAnsi="宋体" w:eastAsia="宋体" w:cs="宋体"/>
          <w:b/>
          <w:bCs/>
          <w:color w:val="auto"/>
          <w:spacing w:val="-2"/>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已标价工程量清单中没有适用但有类似于变更工程项目的，可在合理范围内</w:t>
      </w:r>
      <w:r>
        <w:rPr>
          <w:rFonts w:hint="eastAsia" w:ascii="宋体" w:hAnsi="宋体" w:eastAsia="宋体" w:cs="宋体"/>
          <w:color w:val="auto"/>
          <w:spacing w:val="-3"/>
          <w:sz w:val="24"/>
          <w:szCs w:val="24"/>
          <w:highlight w:val="none"/>
        </w:rPr>
        <w:t>参照类似项目的单价。</w:t>
      </w:r>
      <w:r>
        <w:rPr>
          <w:rFonts w:hint="eastAsia" w:ascii="宋体" w:hAnsi="宋体" w:eastAsia="宋体" w:cs="宋体"/>
          <w:b/>
          <w:bCs/>
          <w:color w:val="auto"/>
          <w:spacing w:val="-3"/>
          <w:sz w:val="24"/>
          <w:szCs w:val="24"/>
          <w:highlight w:val="none"/>
        </w:rPr>
        <w:t>但如果被参考的类似项目属于按照第二章“</w:t>
      </w:r>
      <w:r>
        <w:rPr>
          <w:rFonts w:hint="eastAsia" w:ascii="宋体" w:hAnsi="宋体" w:eastAsia="宋体" w:cs="宋体"/>
          <w:color w:val="auto"/>
          <w:spacing w:val="-88"/>
          <w:sz w:val="24"/>
          <w:szCs w:val="24"/>
          <w:highlight w:val="none"/>
        </w:rPr>
        <w:t xml:space="preserve"> </w:t>
      </w:r>
      <w:r>
        <w:rPr>
          <w:rFonts w:hint="eastAsia" w:ascii="宋体" w:hAnsi="宋体" w:eastAsia="宋体" w:cs="宋体"/>
          <w:b/>
          <w:bCs/>
          <w:color w:val="auto"/>
          <w:spacing w:val="-4"/>
          <w:sz w:val="24"/>
          <w:szCs w:val="24"/>
          <w:highlight w:val="none"/>
        </w:rPr>
        <w:t>中标人须知</w:t>
      </w:r>
      <w:r>
        <w:rPr>
          <w:rFonts w:hint="eastAsia" w:ascii="宋体" w:hAnsi="宋体" w:eastAsia="宋体" w:cs="宋体"/>
          <w:color w:val="auto"/>
          <w:spacing w:val="-85"/>
          <w:sz w:val="24"/>
          <w:szCs w:val="24"/>
          <w:highlight w:val="none"/>
        </w:rPr>
        <w:t xml:space="preserve"> </w:t>
      </w:r>
      <w:r>
        <w:rPr>
          <w:rFonts w:hint="eastAsia" w:ascii="宋体" w:hAnsi="宋体" w:eastAsia="宋体" w:cs="宋体"/>
          <w:b/>
          <w:bCs/>
          <w:color w:val="auto"/>
          <w:spacing w:val="-4"/>
          <w:sz w:val="24"/>
          <w:szCs w:val="24"/>
          <w:highlight w:val="none"/>
        </w:rPr>
        <w:t>”第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4"/>
          <w:sz w:val="24"/>
          <w:szCs w:val="24"/>
          <w:highlight w:val="none"/>
        </w:rPr>
        <w:t>4.2</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spacing w:val="-4"/>
          <w:sz w:val="24"/>
          <w:szCs w:val="24"/>
          <w:highlight w:val="none"/>
        </w:rPr>
        <w:t>条被认定为不平衡报价的清单项目，变更工程项目的单价按照本章2.3.2.1 的方法调整。</w:t>
      </w:r>
    </w:p>
    <w:p w14:paraId="614A34F7">
      <w:pPr>
        <w:numPr>
          <w:ilvl w:val="0"/>
          <w:numId w:val="0"/>
        </w:numPr>
        <w:spacing w:before="38" w:line="310" w:lineRule="auto"/>
        <w:ind w:right="81" w:rightChars="0" w:firstLine="242" w:firstLineChars="100"/>
        <w:jc w:val="both"/>
        <w:rPr>
          <w:rFonts w:hint="eastAsia" w:ascii="宋体" w:hAnsi="宋体" w:eastAsia="宋体" w:cs="宋体"/>
          <w:color w:val="auto"/>
          <w:spacing w:val="-2"/>
          <w:sz w:val="24"/>
          <w:szCs w:val="24"/>
          <w:highlight w:val="none"/>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3</w:t>
      </w: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rPr>
        <w:t>已标价工程量清单中没有适用也没有类似于变更工程项目的，由承包人根据</w:t>
      </w:r>
      <w:r>
        <w:rPr>
          <w:rFonts w:hint="eastAsia" w:ascii="宋体" w:hAnsi="宋体" w:eastAsia="宋体" w:cs="宋体"/>
          <w:color w:val="auto"/>
          <w:spacing w:val="-2"/>
          <w:sz w:val="24"/>
          <w:szCs w:val="24"/>
          <w:highlight w:val="none"/>
        </w:rPr>
        <w:t>变更工程资料、计量规则、计价办法、施工当月项目所在地工程造价管理机构发布的价格信息和中标下浮率提出变更工程项目的单价，报发包人确认后调整。中标下浮率的计算公式如下：</w:t>
      </w:r>
    </w:p>
    <w:p w14:paraId="5948F271">
      <w:pPr>
        <w:spacing w:before="126" w:line="314" w:lineRule="auto"/>
        <w:ind w:left="29" w:right="21" w:firstLine="503"/>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中标下浮率=[1-（中标价-中标</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2"/>
          <w:sz w:val="24"/>
          <w:szCs w:val="24"/>
          <w:highlight w:val="none"/>
        </w:rPr>
        <w:t>-暂列</w:t>
      </w:r>
      <w:r>
        <w:rPr>
          <w:rFonts w:hint="eastAsia" w:ascii="宋体" w:hAnsi="宋体" w:eastAsia="宋体" w:cs="宋体"/>
          <w:b/>
          <w:bCs/>
          <w:color w:val="auto"/>
          <w:spacing w:val="-3"/>
          <w:sz w:val="24"/>
          <w:szCs w:val="24"/>
          <w:highlight w:val="none"/>
        </w:rPr>
        <w:t>金额-暂估价）/（</w:t>
      </w:r>
      <w:r>
        <w:rPr>
          <w:rFonts w:hint="eastAsia" w:ascii="宋体" w:hAnsi="宋体" w:eastAsia="宋体" w:cs="宋体"/>
          <w:b/>
          <w:bCs/>
          <w:color w:val="auto"/>
          <w:spacing w:val="-3"/>
          <w:sz w:val="24"/>
          <w:szCs w:val="24"/>
          <w:highlight w:val="none"/>
          <w:lang w:eastAsia="zh-CN"/>
        </w:rPr>
        <w:t>最高投标限价</w:t>
      </w:r>
      <w:r>
        <w:rPr>
          <w:rFonts w:hint="eastAsia" w:ascii="宋体" w:hAnsi="宋体" w:eastAsia="宋体" w:cs="宋体"/>
          <w:b/>
          <w:bCs/>
          <w:color w:val="auto"/>
          <w:spacing w:val="-3"/>
          <w:sz w:val="24"/>
          <w:szCs w:val="24"/>
          <w:highlight w:val="none"/>
        </w:rPr>
        <w:t>-控制价</w:t>
      </w:r>
      <w:r>
        <w:rPr>
          <w:rFonts w:hint="eastAsia" w:ascii="宋体" w:hAnsi="宋体" w:eastAsia="宋体" w:cs="宋体"/>
          <w:b/>
          <w:bCs/>
          <w:color w:val="auto"/>
          <w:spacing w:val="-2"/>
          <w:sz w:val="24"/>
          <w:szCs w:val="24"/>
          <w:highlight w:val="none"/>
          <w:lang w:val="en-US" w:eastAsia="zh-CN"/>
        </w:rPr>
        <w:t>安全生产措施费</w:t>
      </w:r>
      <w:r>
        <w:rPr>
          <w:rFonts w:hint="eastAsia" w:ascii="宋体" w:hAnsi="宋体" w:eastAsia="宋体" w:cs="宋体"/>
          <w:b/>
          <w:bCs/>
          <w:color w:val="auto"/>
          <w:spacing w:val="-3"/>
          <w:sz w:val="24"/>
          <w:szCs w:val="24"/>
          <w:highlight w:val="none"/>
        </w:rPr>
        <w:t>-暂列金额-暂估价）]</w:t>
      </w:r>
      <w:r>
        <w:rPr>
          <w:rFonts w:hint="eastAsia" w:ascii="宋体" w:hAnsi="宋体" w:eastAsia="宋体" w:cs="宋体"/>
          <w:color w:val="auto"/>
          <w:spacing w:val="-73"/>
          <w:sz w:val="24"/>
          <w:szCs w:val="24"/>
          <w:highlight w:val="none"/>
        </w:rPr>
        <w:t xml:space="preserve"> </w:t>
      </w:r>
      <w:r>
        <w:rPr>
          <w:rFonts w:hint="eastAsia" w:ascii="宋体" w:hAnsi="宋体" w:eastAsia="宋体" w:cs="宋体"/>
          <w:b/>
          <w:bCs/>
          <w:color w:val="auto"/>
          <w:spacing w:val="-3"/>
          <w:sz w:val="24"/>
          <w:szCs w:val="24"/>
          <w:highlight w:val="none"/>
        </w:rPr>
        <w:t>×100%</w:t>
      </w:r>
    </w:p>
    <w:p w14:paraId="3F324216">
      <w:pPr>
        <w:spacing w:before="145" w:line="309" w:lineRule="auto"/>
        <w:ind w:right="81" w:firstLine="242" w:firstLineChars="1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spacing w:val="1"/>
          <w:sz w:val="24"/>
          <w:szCs w:val="24"/>
          <w:highlight w:val="none"/>
          <w:lang w:eastAsia="zh-CN"/>
        </w:rPr>
        <w:t>（</w:t>
      </w:r>
      <w:r>
        <w:rPr>
          <w:rFonts w:hint="eastAsia" w:ascii="宋体" w:hAnsi="宋体" w:eastAsia="宋体" w:cs="宋体"/>
          <w:color w:val="auto"/>
          <w:spacing w:val="1"/>
          <w:sz w:val="24"/>
          <w:szCs w:val="24"/>
          <w:highlight w:val="none"/>
          <w:lang w:val="en-US" w:eastAsia="zh-CN"/>
        </w:rPr>
        <w:t>4</w:t>
      </w:r>
      <w:r>
        <w:rPr>
          <w:rFonts w:hint="eastAsia" w:ascii="宋体" w:hAnsi="宋体" w:eastAsia="宋体" w:cs="宋体"/>
          <w:color w:val="auto"/>
          <w:spacing w:val="1"/>
          <w:sz w:val="24"/>
          <w:szCs w:val="24"/>
          <w:highlight w:val="none"/>
          <w:lang w:eastAsia="zh-CN"/>
        </w:rPr>
        <w:t>）</w:t>
      </w:r>
      <w:r>
        <w:rPr>
          <w:rFonts w:hint="eastAsia" w:ascii="宋体" w:hAnsi="宋体" w:eastAsia="宋体" w:cs="宋体"/>
          <w:snapToGrid w:val="0"/>
          <w:color w:val="auto"/>
          <w:kern w:val="0"/>
          <w:sz w:val="24"/>
          <w:szCs w:val="24"/>
          <w:highlight w:val="none"/>
          <w:lang w:eastAsia="zh-CN"/>
        </w:rPr>
        <w:t>已标价工程量清单中没有适用也没有类似于变更工程项目，且施工当月项目所在地工程造价管理机构发布的价格信息缺项的，由承包人根据变更工程资料、计量规则、计价办法和通过市场调查等取得有合法依据的市场价格提出变更工程项目的单价，报发包人确认后调整。</w:t>
      </w:r>
    </w:p>
    <w:p w14:paraId="5B2F5D0A">
      <w:pPr>
        <w:spacing w:before="156" w:line="309" w:lineRule="auto"/>
        <w:ind w:left="7" w:right="81"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2.3.3.2</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工程变更引起施工方案改变并使措施项目发生变化时，承包人提出调整措施</w:t>
      </w:r>
      <w:r>
        <w:rPr>
          <w:rFonts w:hint="eastAsia" w:ascii="宋体" w:hAnsi="宋体" w:eastAsia="宋体" w:cs="宋体"/>
          <w:color w:val="auto"/>
          <w:spacing w:val="-2"/>
          <w:sz w:val="24"/>
          <w:szCs w:val="24"/>
          <w:highlight w:val="none"/>
        </w:rPr>
        <w:t>项目费的，应事先将拟实施的方案提交发包人确认，并应详细说明与原方案措施项目相比的变化情况。拟实施的方案经发、承包双方确认后执行，并按照本章下列规定调整措施项目费：</w:t>
      </w:r>
    </w:p>
    <w:p w14:paraId="2F8C611A">
      <w:pPr>
        <w:spacing w:before="152" w:line="220" w:lineRule="auto"/>
        <w:ind w:left="499"/>
        <w:rPr>
          <w:rFonts w:hint="eastAsia" w:ascii="宋体" w:hAnsi="宋体" w:eastAsia="宋体" w:cs="宋体"/>
          <w:b w:val="0"/>
          <w:bCs w:val="0"/>
          <w:color w:val="auto"/>
          <w:sz w:val="24"/>
          <w:szCs w:val="24"/>
          <w:highlight w:val="none"/>
        </w:rPr>
      </w:pPr>
      <w:r>
        <w:rPr>
          <w:rFonts w:hint="eastAsia" w:ascii="宋体" w:hAnsi="宋体" w:eastAsia="宋体" w:cs="宋体"/>
          <w:color w:val="auto"/>
          <w:spacing w:val="-1"/>
          <w:sz w:val="24"/>
          <w:szCs w:val="24"/>
          <w:highlight w:val="none"/>
        </w:rPr>
        <w:t>（1</w:t>
      </w:r>
      <w:r>
        <w:rPr>
          <w:rFonts w:hint="eastAsia" w:ascii="宋体" w:hAnsi="宋体" w:eastAsia="宋体" w:cs="宋体"/>
          <w:b/>
          <w:bCs/>
          <w:color w:val="auto"/>
          <w:spacing w:val="-1"/>
          <w:sz w:val="24"/>
          <w:szCs w:val="24"/>
          <w:highlight w:val="none"/>
        </w:rPr>
        <w:t>）</w:t>
      </w:r>
      <w:r>
        <w:rPr>
          <w:rFonts w:hint="eastAsia" w:ascii="宋体" w:hAnsi="宋体" w:eastAsia="宋体" w:cs="宋体"/>
          <w:b w:val="0"/>
          <w:bCs w:val="0"/>
          <w:color w:val="auto"/>
          <w:spacing w:val="-1"/>
          <w:sz w:val="24"/>
          <w:szCs w:val="24"/>
          <w:highlight w:val="none"/>
        </w:rPr>
        <w:t>安全生产措施费应按照实际发生变化的措施项目计算。</w:t>
      </w:r>
    </w:p>
    <w:p w14:paraId="333CD790">
      <w:pPr>
        <w:spacing w:before="156" w:line="309" w:lineRule="auto"/>
        <w:ind w:left="7" w:right="81" w:firstLine="477"/>
        <w:rPr>
          <w:rFonts w:hint="eastAsia" w:ascii="宋体" w:hAnsi="宋体" w:eastAsia="宋体" w:cs="宋体"/>
          <w:color w:val="auto"/>
          <w:spacing w:val="-3"/>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3"/>
          <w:sz w:val="24"/>
          <w:szCs w:val="24"/>
          <w:highlight w:val="none"/>
        </w:rPr>
        <w:t>采用单价计算的措施项目费，应按照实际发生变化的措施项目，按本章第 2.3.3.1 子目的规定确定单价。</w:t>
      </w:r>
    </w:p>
    <w:p w14:paraId="088DAF00">
      <w:pPr>
        <w:spacing w:before="154" w:line="360" w:lineRule="auto"/>
        <w:ind w:left="8" w:right="81" w:firstLine="491"/>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（3）按总价或系数计算的措施项目费，应按照实际发生变化的措施项目费调整并</w:t>
      </w:r>
      <w:r>
        <w:rPr>
          <w:rFonts w:hint="eastAsia" w:ascii="宋体" w:hAnsi="宋体" w:eastAsia="宋体" w:cs="宋体"/>
          <w:color w:val="auto"/>
          <w:spacing w:val="-3"/>
          <w:sz w:val="24"/>
          <w:szCs w:val="24"/>
          <w:highlight w:val="none"/>
        </w:rPr>
        <w:t>考虑中标下浮率因素，即调整金额＝按照实际变化调整后的金额×（ 1-中标下浮率）。</w:t>
      </w:r>
    </w:p>
    <w:p w14:paraId="515109DD">
      <w:pPr>
        <w:spacing w:before="157" w:line="324" w:lineRule="auto"/>
        <w:ind w:left="21" w:right="81" w:firstLine="47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如果承包人未事先将拟实施的方案提交发包人确认，视为工程变更不引起措施项目费的调整或承包人放弃调整措施项目费的权利。</w:t>
      </w:r>
    </w:p>
    <w:p w14:paraId="0D1EB54E">
      <w:pPr>
        <w:spacing w:before="35" w:line="309" w:lineRule="auto"/>
        <w:ind w:right="81"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"2.3.3.3"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2.3.3.3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当因非承包人原因，发包人提出的工程变更删减了合同中的某项原定工作或</w:t>
      </w:r>
      <w:r>
        <w:rPr>
          <w:rFonts w:hint="eastAsia" w:ascii="宋体" w:hAnsi="宋体" w:eastAsia="宋体" w:cs="宋体"/>
          <w:color w:val="auto"/>
          <w:spacing w:val="-2"/>
          <w:sz w:val="24"/>
          <w:szCs w:val="24"/>
          <w:highlight w:val="none"/>
        </w:rPr>
        <w:t>工程，致使承包人发生的费用或（和）得到的收益不能被包括在其他已支付或应支付的项目中，也未被包含在任何替代的工作或工程中时，承包人有权提出并应得到合理的费用及利润补偿。</w:t>
      </w:r>
    </w:p>
    <w:p w14:paraId="047FB0FC">
      <w:pPr>
        <w:spacing w:before="155" w:line="220"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2.3.4  </w:t>
      </w:r>
      <w:r>
        <w:rPr>
          <w:rFonts w:hint="eastAsia" w:ascii="宋体" w:hAnsi="宋体" w:eastAsia="宋体" w:cs="宋体"/>
          <w:color w:val="auto"/>
          <w:spacing w:val="-1"/>
          <w:sz w:val="24"/>
          <w:szCs w:val="24"/>
          <w:highlight w:val="none"/>
        </w:rPr>
        <w:t>项目特征不符</w:t>
      </w:r>
    </w:p>
    <w:p w14:paraId="6D62B6B4">
      <w:pPr>
        <w:spacing w:before="78" w:line="331" w:lineRule="auto"/>
        <w:ind w:left="8" w:right="108" w:firstLine="480"/>
        <w:jc w:val="both"/>
        <w:rPr>
          <w:rFonts w:hint="eastAsia" w:ascii="宋体" w:hAnsi="宋体" w:eastAsia="宋体" w:cs="宋体"/>
          <w:color w:val="auto"/>
          <w:sz w:val="24"/>
          <w:szCs w:val="24"/>
          <w:highlight w:val="none"/>
        </w:rPr>
      </w:pPr>
      <w:bookmarkStart w:id="176" w:name="bookmark144"/>
      <w:bookmarkEnd w:id="176"/>
      <w:r>
        <w:rPr>
          <w:rFonts w:hint="eastAsia" w:ascii="宋体" w:hAnsi="宋体" w:eastAsia="宋体" w:cs="宋体"/>
          <w:color w:val="auto"/>
          <w:spacing w:val="-2"/>
          <w:sz w:val="24"/>
          <w:szCs w:val="24"/>
          <w:highlight w:val="none"/>
        </w:rPr>
        <w:t>承包人应按照发包人提供的设计图纸实施合同工程，若在合同履行期间出现设计图纸（含设计变更）与招标工程量清单任一项目的特征描述不符，且该变化引起该项目工</w:t>
      </w:r>
      <w:r>
        <w:rPr>
          <w:rFonts w:hint="eastAsia" w:ascii="宋体" w:hAnsi="宋体" w:eastAsia="宋体" w:cs="宋体"/>
          <w:color w:val="auto"/>
          <w:sz w:val="24"/>
          <w:szCs w:val="24"/>
          <w:highlight w:val="none"/>
        </w:rPr>
        <w:t>程造价增减变化的，应按照实际施工的项目特征，并按本章第</w:t>
      </w:r>
      <w:r>
        <w:rPr>
          <w:rFonts w:hint="eastAsia" w:ascii="宋体" w:hAnsi="宋体" w:eastAsia="宋体" w:cs="宋体"/>
          <w:color w:val="auto"/>
          <w:spacing w:val="-52"/>
          <w:sz w:val="24"/>
          <w:szCs w:val="24"/>
          <w:highlight w:val="none"/>
        </w:rPr>
        <w:t xml:space="preserve"> </w:t>
      </w:r>
      <w:r>
        <w:rPr>
          <w:rFonts w:hint="eastAsia" w:ascii="宋体" w:hAnsi="宋体" w:eastAsia="宋体" w:cs="宋体"/>
          <w:b/>
          <w:bCs/>
          <w:color w:val="auto"/>
          <w:sz w:val="24"/>
          <w:szCs w:val="24"/>
          <w:highlight w:val="none"/>
        </w:rPr>
        <w:t xml:space="preserve">2.3.3 </w:t>
      </w:r>
      <w:r>
        <w:rPr>
          <w:rFonts w:hint="eastAsia" w:ascii="宋体" w:hAnsi="宋体" w:eastAsia="宋体" w:cs="宋体"/>
          <w:color w:val="auto"/>
          <w:sz w:val="24"/>
          <w:szCs w:val="24"/>
          <w:highlight w:val="none"/>
        </w:rPr>
        <w:t>目相</w:t>
      </w:r>
      <w:r>
        <w:rPr>
          <w:rFonts w:hint="eastAsia" w:ascii="宋体" w:hAnsi="宋体" w:eastAsia="宋体" w:cs="宋体"/>
          <w:color w:val="auto"/>
          <w:spacing w:val="-1"/>
          <w:sz w:val="24"/>
          <w:szCs w:val="24"/>
          <w:highlight w:val="none"/>
        </w:rPr>
        <w:t>关条款的规定重新确定相应工程量清单项目的综合单价，并调整合同价款。</w:t>
      </w:r>
    </w:p>
    <w:p w14:paraId="5EC40401">
      <w:pPr>
        <w:spacing w:before="38" w:line="221"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2.3.5  </w:t>
      </w:r>
      <w:r>
        <w:rPr>
          <w:rFonts w:hint="eastAsia" w:ascii="宋体" w:hAnsi="宋体" w:eastAsia="宋体" w:cs="宋体"/>
          <w:color w:val="auto"/>
          <w:spacing w:val="-1"/>
          <w:sz w:val="24"/>
          <w:szCs w:val="24"/>
          <w:highlight w:val="none"/>
        </w:rPr>
        <w:t>招标工程量清单缺项</w:t>
      </w:r>
    </w:p>
    <w:p w14:paraId="0C2F665E">
      <w:pPr>
        <w:spacing w:before="152" w:line="278" w:lineRule="auto"/>
        <w:ind w:left="9" w:right="56"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2.3.5.1</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合同履行期间，由于招标</w:t>
      </w:r>
      <w:r>
        <w:rPr>
          <w:rFonts w:hint="eastAsia" w:ascii="宋体" w:hAnsi="宋体" w:eastAsia="宋体" w:cs="宋体"/>
          <w:color w:val="auto"/>
          <w:spacing w:val="-2"/>
          <w:sz w:val="24"/>
          <w:szCs w:val="24"/>
          <w:highlight w:val="none"/>
        </w:rPr>
        <w:t>工程量清单中缺项，新增分部分项工程清单项目，</w:t>
      </w:r>
      <w:r>
        <w:rPr>
          <w:rFonts w:hint="eastAsia" w:ascii="宋体" w:hAnsi="宋体" w:eastAsia="宋体" w:cs="宋体"/>
          <w:color w:val="auto"/>
          <w:spacing w:val="-1"/>
          <w:sz w:val="24"/>
          <w:szCs w:val="24"/>
          <w:highlight w:val="none"/>
        </w:rPr>
        <w:t>应按照本章第</w:t>
      </w:r>
      <w:r>
        <w:rPr>
          <w:rFonts w:hint="eastAsia" w:ascii="宋体" w:hAnsi="宋体" w:eastAsia="宋体" w:cs="宋体"/>
          <w:color w:val="auto"/>
          <w:spacing w:val="-39"/>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子目的规定确定单价，并调整合同价款。</w:t>
      </w:r>
    </w:p>
    <w:p w14:paraId="44C1D396">
      <w:pPr>
        <w:spacing w:before="157" w:line="219" w:lineRule="auto"/>
        <w:ind w:firstLine="420" w:firstLineChars="200"/>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1"/>
          <w:sz w:val="24"/>
          <w:szCs w:val="24"/>
          <w:highlight w:val="none"/>
        </w:rPr>
        <w:t>2.3.5.2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新增分部分项工程清单项目后，引起</w:t>
      </w:r>
      <w:r>
        <w:rPr>
          <w:rFonts w:hint="eastAsia" w:ascii="宋体" w:hAnsi="宋体" w:eastAsia="宋体" w:cs="宋体"/>
          <w:color w:val="auto"/>
          <w:spacing w:val="-2"/>
          <w:sz w:val="24"/>
          <w:szCs w:val="24"/>
          <w:highlight w:val="none"/>
        </w:rPr>
        <w:t>措施项目发生变化的，应按照本章第</w:t>
      </w:r>
      <w:r>
        <w:rPr>
          <w:rFonts w:hint="eastAsia" w:ascii="宋体" w:hAnsi="宋体" w:eastAsia="宋体" w:cs="宋体"/>
          <w:color w:val="auto"/>
          <w:spacing w:val="-54"/>
          <w:sz w:val="24"/>
          <w:szCs w:val="24"/>
          <w:highlight w:val="none"/>
        </w:rPr>
        <w:t xml:space="preserve"> </w:t>
      </w:r>
      <w:r>
        <w:rPr>
          <w:rFonts w:hint="eastAsia" w:ascii="宋体" w:hAnsi="宋体" w:eastAsia="宋体" w:cs="宋体"/>
          <w:b/>
          <w:bCs/>
          <w:color w:val="auto"/>
          <w:spacing w:val="-2"/>
          <w:sz w:val="24"/>
          <w:szCs w:val="24"/>
          <w:highlight w:val="none"/>
        </w:rPr>
        <w:t>2.</w:t>
      </w:r>
      <w:r>
        <w:rPr>
          <w:rFonts w:hint="eastAsia" w:ascii="宋体" w:hAnsi="宋体" w:eastAsia="宋体" w:cs="宋体"/>
          <w:b/>
          <w:bCs/>
          <w:color w:val="auto"/>
          <w:sz w:val="24"/>
          <w:szCs w:val="24"/>
          <w:highlight w:val="none"/>
        </w:rPr>
        <w:t xml:space="preserve">3.3.2 </w:t>
      </w:r>
      <w:r>
        <w:rPr>
          <w:rFonts w:hint="eastAsia" w:ascii="宋体" w:hAnsi="宋体" w:eastAsia="宋体" w:cs="宋体"/>
          <w:color w:val="auto"/>
          <w:sz w:val="24"/>
          <w:szCs w:val="24"/>
          <w:highlight w:val="none"/>
        </w:rPr>
        <w:t>子目的规定，在承包人提交的实施方案被发包人批准后调整</w:t>
      </w:r>
      <w:r>
        <w:rPr>
          <w:rFonts w:hint="eastAsia" w:ascii="宋体" w:hAnsi="宋体" w:eastAsia="宋体" w:cs="宋体"/>
          <w:color w:val="auto"/>
          <w:spacing w:val="-1"/>
          <w:sz w:val="24"/>
          <w:szCs w:val="24"/>
          <w:highlight w:val="none"/>
        </w:rPr>
        <w:t>合同价款。</w:t>
      </w:r>
    </w:p>
    <w:p w14:paraId="068505DF">
      <w:pPr>
        <w:spacing w:before="156" w:line="279" w:lineRule="auto"/>
        <w:ind w:left="13" w:right="108" w:firstLine="471"/>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"2.3.5.3"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4"/>
          <w:sz w:val="24"/>
          <w:szCs w:val="24"/>
          <w:highlight w:val="none"/>
        </w:rPr>
        <w:t>2.3.5.3</w:t>
      </w:r>
      <w:r>
        <w:rPr>
          <w:rFonts w:hint="eastAsia" w:ascii="宋体" w:hAnsi="宋体" w:eastAsia="宋体" w:cs="宋体"/>
          <w:b/>
          <w:bCs/>
          <w:color w:val="auto"/>
          <w:spacing w:val="-4"/>
          <w:sz w:val="24"/>
          <w:szCs w:val="24"/>
          <w:highlight w:val="none"/>
        </w:rPr>
        <w:fldChar w:fldCharType="end"/>
      </w:r>
      <w:r>
        <w:rPr>
          <w:rFonts w:hint="eastAsia" w:ascii="宋体" w:hAnsi="宋体" w:eastAsia="宋体" w:cs="宋体"/>
          <w:b/>
          <w:bCs/>
          <w:color w:val="auto"/>
          <w:spacing w:val="22"/>
          <w:w w:val="101"/>
          <w:sz w:val="24"/>
          <w:szCs w:val="24"/>
          <w:highlight w:val="none"/>
        </w:rPr>
        <w:t xml:space="preserve">  </w:t>
      </w:r>
      <w:r>
        <w:rPr>
          <w:rFonts w:hint="eastAsia" w:ascii="宋体" w:hAnsi="宋体" w:eastAsia="宋体" w:cs="宋体"/>
          <w:color w:val="auto"/>
          <w:spacing w:val="-4"/>
          <w:sz w:val="24"/>
          <w:szCs w:val="24"/>
          <w:highlight w:val="none"/>
        </w:rPr>
        <w:t>由于招标工程量清单中措施项目缺项，承包人应将新增措施项目实施方案提</w:t>
      </w:r>
      <w:r>
        <w:rPr>
          <w:rFonts w:hint="eastAsia" w:ascii="宋体" w:hAnsi="宋体" w:eastAsia="宋体" w:cs="宋体"/>
          <w:color w:val="auto"/>
          <w:spacing w:val="-1"/>
          <w:sz w:val="24"/>
          <w:szCs w:val="24"/>
          <w:highlight w:val="none"/>
        </w:rPr>
        <w:t>交发包人批准后，按照本章第</w:t>
      </w:r>
      <w:r>
        <w:rPr>
          <w:rFonts w:hint="eastAsia" w:ascii="宋体" w:hAnsi="宋体" w:eastAsia="宋体" w:cs="宋体"/>
          <w:color w:val="auto"/>
          <w:spacing w:val="-36"/>
          <w:sz w:val="24"/>
          <w:szCs w:val="24"/>
          <w:highlight w:val="none"/>
        </w:rPr>
        <w:t xml:space="preserve"> </w:t>
      </w:r>
      <w:r>
        <w:rPr>
          <w:rFonts w:hint="eastAsia" w:ascii="宋体" w:hAnsi="宋体" w:eastAsia="宋体" w:cs="宋体"/>
          <w:b/>
          <w:bCs/>
          <w:color w:val="auto"/>
          <w:spacing w:val="-1"/>
          <w:sz w:val="24"/>
          <w:szCs w:val="24"/>
          <w:highlight w:val="none"/>
        </w:rPr>
        <w:t xml:space="preserve">2.3.3.1 </w:t>
      </w:r>
      <w:r>
        <w:rPr>
          <w:rFonts w:hint="eastAsia" w:ascii="宋体" w:hAnsi="宋体" w:eastAsia="宋体" w:cs="宋体"/>
          <w:color w:val="auto"/>
          <w:spacing w:val="-1"/>
          <w:sz w:val="24"/>
          <w:szCs w:val="24"/>
          <w:highlight w:val="none"/>
        </w:rPr>
        <w:t>子目、第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 xml:space="preserve">2.3.3.2 </w:t>
      </w:r>
      <w:r>
        <w:rPr>
          <w:rFonts w:hint="eastAsia" w:ascii="宋体" w:hAnsi="宋体" w:eastAsia="宋体" w:cs="宋体"/>
          <w:color w:val="auto"/>
          <w:spacing w:val="-1"/>
          <w:sz w:val="24"/>
          <w:szCs w:val="24"/>
          <w:highlight w:val="none"/>
        </w:rPr>
        <w:t>子目的规定调整合同价款。</w:t>
      </w:r>
    </w:p>
    <w:p w14:paraId="13F65CBF">
      <w:pPr>
        <w:spacing w:before="154" w:line="219" w:lineRule="auto"/>
        <w:ind w:left="485"/>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2.3.6  </w:t>
      </w:r>
      <w:r>
        <w:rPr>
          <w:rFonts w:hint="eastAsia" w:ascii="宋体" w:hAnsi="宋体" w:eastAsia="宋体" w:cs="宋体"/>
          <w:color w:val="auto"/>
          <w:spacing w:val="-1"/>
          <w:sz w:val="24"/>
          <w:szCs w:val="24"/>
          <w:highlight w:val="none"/>
        </w:rPr>
        <w:t>物价变化</w:t>
      </w:r>
    </w:p>
    <w:p w14:paraId="2033D4F9">
      <w:pPr>
        <w:spacing w:before="156" w:line="315" w:lineRule="auto"/>
        <w:ind w:left="8" w:right="108"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2.3.6.1</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合同履行期间，项目所在地工程造价管理机构发布的动态人工调整系数发生变化时，如果承包人投标报价中人工费（以下简称“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中标人工费</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4"/>
          <w:sz w:val="24"/>
          <w:szCs w:val="24"/>
          <w:highlight w:val="none"/>
        </w:rPr>
        <w:t>等于或超过施工当</w:t>
      </w:r>
      <w:r>
        <w:rPr>
          <w:rFonts w:hint="eastAsia" w:ascii="宋体" w:hAnsi="宋体" w:eastAsia="宋体" w:cs="宋体"/>
          <w:color w:val="auto"/>
          <w:spacing w:val="-2"/>
          <w:sz w:val="24"/>
          <w:szCs w:val="24"/>
          <w:highlight w:val="none"/>
        </w:rPr>
        <w:t>月经动态调整后的定额人工费，该清单项目中标人工费不予调整；如果中标人工费低于施工当月经动态调整后的定额人工费，该清单项目中标人工费可以调整，相关费用按有</w:t>
      </w:r>
      <w:r>
        <w:rPr>
          <w:rFonts w:hint="eastAsia" w:ascii="宋体" w:hAnsi="宋体" w:eastAsia="宋体" w:cs="宋体"/>
          <w:color w:val="auto"/>
          <w:spacing w:val="-1"/>
          <w:sz w:val="24"/>
          <w:szCs w:val="24"/>
          <w:highlight w:val="none"/>
        </w:rPr>
        <w:t>关规定进行相应调整。结算人工费调整公式为：</w:t>
      </w:r>
    </w:p>
    <w:p w14:paraId="29AB0F6A">
      <w:pPr>
        <w:spacing w:before="153" w:line="220" w:lineRule="auto"/>
        <w:ind w:left="494"/>
        <w:rPr>
          <w:rFonts w:hint="eastAsia" w:ascii="宋体" w:hAnsi="宋体" w:eastAsia="宋体" w:cs="宋体"/>
          <w:color w:val="auto"/>
          <w:sz w:val="15"/>
          <w:szCs w:val="15"/>
          <w:highlight w:val="none"/>
        </w:rPr>
      </w:pPr>
      <w:r>
        <w:rPr>
          <w:rFonts w:hint="eastAsia" w:ascii="宋体" w:hAnsi="宋体" w:eastAsia="宋体" w:cs="宋体"/>
          <w:color w:val="auto"/>
          <w:spacing w:val="-1"/>
          <w:sz w:val="24"/>
          <w:szCs w:val="24"/>
          <w:highlight w:val="none"/>
        </w:rPr>
        <w:t>结算人工费＝中标人工费×F</w:t>
      </w:r>
      <w:r>
        <w:rPr>
          <w:rFonts w:hint="eastAsia" w:ascii="宋体" w:hAnsi="宋体" w:eastAsia="宋体" w:cs="宋体"/>
          <w:color w:val="auto"/>
          <w:spacing w:val="-1"/>
          <w:position w:val="-1"/>
          <w:sz w:val="15"/>
          <w:szCs w:val="15"/>
          <w:highlight w:val="none"/>
        </w:rPr>
        <w:t>1</w:t>
      </w:r>
    </w:p>
    <w:p w14:paraId="27F82D1B">
      <w:pPr>
        <w:spacing w:before="152"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式中，F</w:t>
      </w:r>
      <w:r>
        <w:rPr>
          <w:rFonts w:hint="eastAsia" w:ascii="宋体" w:hAnsi="宋体" w:eastAsia="宋体" w:cs="宋体"/>
          <w:color w:val="auto"/>
          <w:spacing w:val="-1"/>
          <w:position w:val="-1"/>
          <w:sz w:val="15"/>
          <w:szCs w:val="15"/>
          <w:highlight w:val="none"/>
        </w:rPr>
        <w:t>1</w:t>
      </w:r>
      <w:r>
        <w:rPr>
          <w:rFonts w:hint="eastAsia" w:ascii="宋体" w:hAnsi="宋体" w:eastAsia="宋体" w:cs="宋体"/>
          <w:color w:val="auto"/>
          <w:spacing w:val="23"/>
          <w:w w:val="101"/>
          <w:position w:val="-1"/>
          <w:sz w:val="15"/>
          <w:szCs w:val="15"/>
          <w:highlight w:val="none"/>
        </w:rPr>
        <w:t xml:space="preserve"> </w:t>
      </w:r>
      <w:r>
        <w:rPr>
          <w:rFonts w:hint="eastAsia" w:ascii="宋体" w:hAnsi="宋体" w:eastAsia="宋体" w:cs="宋体"/>
          <w:color w:val="auto"/>
          <w:spacing w:val="-1"/>
          <w:sz w:val="24"/>
          <w:szCs w:val="24"/>
          <w:highlight w:val="none"/>
        </w:rPr>
        <w:t>为施工当月项目所在地工程造价管理机构发布的动态人工调整系数。</w:t>
      </w:r>
    </w:p>
    <w:p w14:paraId="6301761F">
      <w:pPr>
        <w:spacing w:before="119" w:line="324" w:lineRule="auto"/>
        <w:ind w:left="1" w:right="108" w:firstLine="483"/>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fldChar w:fldCharType="begin"/>
      </w:r>
      <w:r>
        <w:rPr>
          <w:rFonts w:hint="eastAsia" w:ascii="宋体" w:hAnsi="宋体" w:eastAsia="宋体" w:cs="宋体"/>
          <w:b/>
          <w:bCs/>
          <w:color w:val="auto"/>
          <w:spacing w:val="-1"/>
          <w:sz w:val="24"/>
          <w:szCs w:val="24"/>
          <w:highlight w:val="none"/>
        </w:rPr>
        <w:instrText xml:space="preserve"> HYPERLINK "2.3.6.2" </w:instrText>
      </w:r>
      <w:r>
        <w:rPr>
          <w:rFonts w:hint="eastAsia" w:ascii="宋体" w:hAnsi="宋体" w:eastAsia="宋体" w:cs="宋体"/>
          <w:b/>
          <w:bCs/>
          <w:color w:val="auto"/>
          <w:spacing w:val="-1"/>
          <w:sz w:val="24"/>
          <w:szCs w:val="24"/>
          <w:highlight w:val="none"/>
        </w:rPr>
        <w:fldChar w:fldCharType="separate"/>
      </w:r>
      <w:r>
        <w:rPr>
          <w:rFonts w:hint="eastAsia" w:ascii="宋体" w:hAnsi="宋体" w:eastAsia="宋体" w:cs="宋体"/>
          <w:b/>
          <w:bCs/>
          <w:color w:val="auto"/>
          <w:spacing w:val="-1"/>
          <w:sz w:val="24"/>
          <w:szCs w:val="24"/>
          <w:highlight w:val="none"/>
        </w:rPr>
        <w:t>2.3.6.2</w:t>
      </w:r>
      <w:r>
        <w:rPr>
          <w:rFonts w:hint="eastAsia" w:ascii="宋体" w:hAnsi="宋体" w:eastAsia="宋体" w:cs="宋体"/>
          <w:b/>
          <w:bCs/>
          <w:color w:val="auto"/>
          <w:spacing w:val="-1"/>
          <w:sz w:val="24"/>
          <w:szCs w:val="24"/>
          <w:highlight w:val="none"/>
        </w:rPr>
        <w:fldChar w:fldCharType="end"/>
      </w:r>
      <w:r>
        <w:rPr>
          <w:rFonts w:hint="eastAsia" w:ascii="宋体" w:hAnsi="宋体" w:eastAsia="宋体" w:cs="宋体"/>
          <w:b/>
          <w:bCs/>
          <w:color w:val="auto"/>
          <w:spacing w:val="-1"/>
          <w:sz w:val="24"/>
          <w:szCs w:val="24"/>
          <w:highlight w:val="none"/>
        </w:rPr>
        <w:t xml:space="preserve">  </w:t>
      </w:r>
      <w:r>
        <w:rPr>
          <w:rFonts w:hint="eastAsia" w:ascii="宋体" w:hAnsi="宋体" w:eastAsia="宋体" w:cs="宋体"/>
          <w:color w:val="auto"/>
          <w:spacing w:val="-1"/>
          <w:sz w:val="24"/>
          <w:szCs w:val="24"/>
          <w:highlight w:val="none"/>
        </w:rPr>
        <w:t>本招标项目约定，材料、工程设备</w:t>
      </w:r>
      <w:r>
        <w:rPr>
          <w:rFonts w:hint="eastAsia" w:ascii="宋体" w:hAnsi="宋体" w:eastAsia="宋体" w:cs="宋体"/>
          <w:color w:val="auto"/>
          <w:spacing w:val="-2"/>
          <w:sz w:val="24"/>
          <w:szCs w:val="24"/>
          <w:highlight w:val="none"/>
        </w:rPr>
        <w:t>单价涨跌风险幅度值</w:t>
      </w:r>
      <w:r>
        <w:rPr>
          <w:rFonts w:hint="eastAsia" w:ascii="宋体" w:hAnsi="宋体" w:eastAsia="宋体" w:cs="宋体"/>
          <w:color w:val="auto"/>
          <w:spacing w:val="-59"/>
          <w:sz w:val="24"/>
          <w:szCs w:val="24"/>
          <w:highlight w:val="none"/>
        </w:rPr>
        <w:t xml:space="preserve"> </w:t>
      </w:r>
      <w:r>
        <w:rPr>
          <w:rFonts w:hint="eastAsia" w:ascii="宋体" w:hAnsi="宋体" w:eastAsia="宋体" w:cs="宋体"/>
          <w:color w:val="auto"/>
          <w:spacing w:val="-2"/>
          <w:sz w:val="24"/>
          <w:szCs w:val="24"/>
          <w:highlight w:val="none"/>
        </w:rPr>
        <w:t>A 为</w:t>
      </w:r>
      <w:r>
        <w:rPr>
          <w:rFonts w:hint="eastAsia" w:ascii="宋体" w:hAnsi="宋体" w:eastAsia="宋体" w:cs="宋体"/>
          <w:color w:val="auto"/>
          <w:spacing w:val="-2"/>
          <w:sz w:val="24"/>
          <w:szCs w:val="24"/>
          <w:highlight w:val="none"/>
          <w:u w:val="single"/>
        </w:rPr>
        <w:t xml:space="preserve">  5%   </w:t>
      </w:r>
      <w:r>
        <w:rPr>
          <w:rFonts w:hint="eastAsia" w:ascii="宋体" w:hAnsi="宋体" w:eastAsia="宋体" w:cs="宋体"/>
          <w:color w:val="auto"/>
          <w:spacing w:val="-2"/>
          <w:sz w:val="24"/>
          <w:szCs w:val="24"/>
          <w:highlight w:val="none"/>
        </w:rPr>
        <w:t>。合同履</w:t>
      </w:r>
      <w:r>
        <w:rPr>
          <w:rFonts w:hint="eastAsia" w:ascii="宋体" w:hAnsi="宋体" w:eastAsia="宋体" w:cs="宋体"/>
          <w:color w:val="auto"/>
          <w:spacing w:val="-1"/>
          <w:sz w:val="24"/>
          <w:szCs w:val="24"/>
          <w:highlight w:val="none"/>
        </w:rPr>
        <w:t>行期间，当《承包人提供主要材料和工程设备一览表》（</w:t>
      </w:r>
      <w:r>
        <w:rPr>
          <w:rFonts w:hint="eastAsia" w:ascii="宋体" w:hAnsi="宋体" w:eastAsia="宋体" w:cs="宋体"/>
          <w:color w:val="auto"/>
          <w:spacing w:val="-2"/>
          <w:sz w:val="24"/>
          <w:szCs w:val="24"/>
          <w:highlight w:val="none"/>
        </w:rPr>
        <w:t>详见招标工程量清单）中的材</w:t>
      </w:r>
      <w:r>
        <w:rPr>
          <w:rFonts w:hint="eastAsia" w:ascii="宋体" w:hAnsi="宋体" w:eastAsia="宋体" w:cs="宋体"/>
          <w:color w:val="auto"/>
          <w:spacing w:val="-3"/>
          <w:sz w:val="24"/>
          <w:szCs w:val="24"/>
          <w:highlight w:val="none"/>
        </w:rPr>
        <w:t>料、工程设备单价涨跌幅度等于或低于</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3"/>
          <w:sz w:val="24"/>
          <w:szCs w:val="24"/>
          <w:highlight w:val="none"/>
        </w:rPr>
        <w:t>A 值时，该材料、工程设备单价不予调整；超过</w:t>
      </w:r>
      <w:r>
        <w:rPr>
          <w:rFonts w:hint="eastAsia" w:ascii="宋体" w:hAnsi="宋体" w:eastAsia="宋体" w:cs="宋体"/>
          <w:color w:val="auto"/>
          <w:sz w:val="24"/>
          <w:szCs w:val="24"/>
          <w:highlight w:val="none"/>
        </w:rPr>
        <w:t>A 值时，其超过部分可以调整。相关费用按有关规定进行相</w:t>
      </w:r>
      <w:r>
        <w:rPr>
          <w:rFonts w:hint="eastAsia" w:ascii="宋体" w:hAnsi="宋体" w:eastAsia="宋体" w:cs="宋体"/>
          <w:color w:val="auto"/>
          <w:spacing w:val="-1"/>
          <w:sz w:val="24"/>
          <w:szCs w:val="24"/>
          <w:highlight w:val="none"/>
        </w:rPr>
        <w:t>应调整。</w:t>
      </w:r>
    </w:p>
    <w:p w14:paraId="266AED0D">
      <w:pPr>
        <w:spacing w:before="126" w:line="295" w:lineRule="auto"/>
        <w:ind w:left="11" w:right="108" w:firstLine="477"/>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a ．如果承包人投标报价中材料、工程设备单价（以下简称“ 中标单价 ”）低于基准日当月项目所在地工程造价管理机构发布的对应材料、工程设备单价（以下简称“基准单价 ”），该材料、工程设备的结算单价调整公式为：</w:t>
      </w:r>
    </w:p>
    <w:p w14:paraId="17CE028D">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a．涨价时，</w:t>
      </w:r>
      <w:r>
        <w:rPr>
          <w:rFonts w:hint="eastAsia" w:ascii="宋体" w:hAnsi="宋体" w:eastAsia="宋体" w:cs="宋体"/>
          <w:snapToGrid w:val="0"/>
          <w:color w:val="auto"/>
          <w:kern w:val="0"/>
          <w:position w:val="-30"/>
          <w:sz w:val="24"/>
          <w:szCs w:val="24"/>
          <w:highlight w:val="none"/>
        </w:rPr>
        <w:object>
          <v:shape id="_x0000_i1025" o:spt="75" type="#_x0000_t75" style="height:33.95pt;width:200.95pt;" o:ole="t" filled="f" o:preferrelative="t" stroked="f" coordsize="21600,21600">
            <v:path/>
            <v:fill on="f" focussize="0,0"/>
            <v:stroke on="f"/>
            <v:imagedata r:id="rId30" embosscolor="#FFFFFF" o:title=""/>
            <o:lock v:ext="edit" grouping="f" rotation="f" text="f" aspectratio="t"/>
            <w10:wrap type="none"/>
            <w10:anchorlock/>
          </v:shape>
          <o:OLEObject Type="Embed" ProgID="Equation.KSEE3" ShapeID="_x0000_i1025" DrawAspect="Content" ObjectID="_1468075725" r:id="rId29">
            <o:LockedField>false</o:LockedField>
          </o:OLEObject>
        </w:object>
      </w:r>
    </w:p>
    <w:p w14:paraId="1DAEC11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6" o:spt="75" type="#_x0000_t75" style="height:33.95pt;width:198.95pt;" o:ole="t" filled="f" o:preferrelative="t" stroked="f" coordsize="21600,21600">
            <v:path/>
            <v:fill on="f" focussize="0,0"/>
            <v:stroke on="f"/>
            <v:imagedata r:id="rId32" embosscolor="#FFFFFF" o:title=""/>
            <o:lock v:ext="edit" grouping="f" rotation="f" text="f" aspectratio="t"/>
            <w10:wrap type="none"/>
            <w10:anchorlock/>
          </v:shape>
          <o:OLEObject Type="Embed" ProgID="Equation.KSEE3" ShapeID="_x0000_i1026" DrawAspect="Content" ObjectID="_1468075726" r:id="rId31">
            <o:LockedField>false</o:LockedField>
          </o:OLEObject>
        </w:object>
      </w:r>
    </w:p>
    <w:p w14:paraId="0F78345B">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b．涨价时，</w:t>
      </w:r>
      <w:r>
        <w:rPr>
          <w:rFonts w:hint="eastAsia" w:ascii="宋体" w:hAnsi="宋体" w:eastAsia="宋体" w:cs="宋体"/>
          <w:snapToGrid w:val="0"/>
          <w:color w:val="auto"/>
          <w:kern w:val="0"/>
          <w:position w:val="-30"/>
          <w:sz w:val="24"/>
          <w:szCs w:val="24"/>
          <w:highlight w:val="none"/>
        </w:rPr>
        <w:object>
          <v:shape id="_x0000_i1027" o:spt="75" type="#_x0000_t75" style="height:33.95pt;width:198.95pt;" o:ole="t" filled="f" o:preferrelative="t" stroked="f" coordsize="21600,21600">
            <v:path/>
            <v:fill on="f" focussize="0,0"/>
            <v:stroke on="f"/>
            <v:imagedata r:id="rId34" embosscolor="#FFFFFF" o:title=""/>
            <o:lock v:ext="edit" grouping="f" rotation="f" text="f" aspectratio="t"/>
            <w10:wrap type="none"/>
            <w10:anchorlock/>
          </v:shape>
          <o:OLEObject Type="Embed" ProgID="Equation.KSEE3" ShapeID="_x0000_i1027" DrawAspect="Content" ObjectID="_1468075727" r:id="rId33">
            <o:LockedField>false</o:LockedField>
          </o:OLEObject>
        </w:object>
      </w:r>
    </w:p>
    <w:p w14:paraId="27B2B57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28" o:spt="75" type="#_x0000_t75" style="height:33.95pt;width:200.95pt;" o:ole="t" filled="f" o:preferrelative="t" stroked="f" coordsize="21600,21600">
            <v:path/>
            <v:fill on="f" focussize="0,0"/>
            <v:stroke on="f"/>
            <v:imagedata r:id="rId36" embosscolor="#FFFFFF" o:title=""/>
            <o:lock v:ext="edit" grouping="f" rotation="f" text="f" aspectratio="t"/>
            <w10:wrap type="none"/>
            <w10:anchorlock/>
          </v:shape>
          <o:OLEObject Type="Embed" ProgID="Equation.KSEE3" ShapeID="_x0000_i1028" DrawAspect="Content" ObjectID="_1468075728" r:id="rId35">
            <o:LockedField>false</o:LockedField>
          </o:OLEObject>
        </w:object>
      </w:r>
    </w:p>
    <w:p w14:paraId="14309D9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c．涨价时，</w:t>
      </w:r>
      <w:r>
        <w:rPr>
          <w:rFonts w:hint="eastAsia" w:ascii="宋体" w:hAnsi="宋体" w:eastAsia="宋体" w:cs="宋体"/>
          <w:snapToGrid w:val="0"/>
          <w:color w:val="auto"/>
          <w:kern w:val="0"/>
          <w:position w:val="-30"/>
          <w:sz w:val="24"/>
          <w:szCs w:val="24"/>
          <w:highlight w:val="none"/>
        </w:rPr>
        <w:object>
          <v:shape id="_x0000_i1029" o:spt="75" type="#_x0000_t75" style="height:33.95pt;width:200.95pt;" o:ole="t" filled="f" o:preferrelative="t" stroked="f" coordsize="21600,21600">
            <v:path/>
            <v:fill on="f" focussize="0,0"/>
            <v:stroke on="f"/>
            <v:imagedata r:id="rId38" embosscolor="#FFFFFF" o:title=""/>
            <o:lock v:ext="edit" grouping="f" rotation="f" text="f" aspectratio="t"/>
            <w10:wrap type="none"/>
            <w10:anchorlock/>
          </v:shape>
          <o:OLEObject Type="Embed" ProgID="Equation.KSEE3" ShapeID="_x0000_i1029" DrawAspect="Content" ObjectID="_1468075729" r:id="rId37">
            <o:LockedField>false</o:LockedField>
          </o:OLEObject>
        </w:object>
      </w:r>
    </w:p>
    <w:p w14:paraId="55761B5C">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0" o:spt="75" type="#_x0000_t75" style="height:33.95pt;width:200.95pt;" o:ole="t" filled="f" o:preferrelative="t" stroked="f" coordsize="21600,21600">
            <v:path/>
            <v:fill on="f" focussize="0,0"/>
            <v:stroke on="f"/>
            <v:imagedata r:id="rId40" embosscolor="#FFFFFF" o:title=""/>
            <o:lock v:ext="edit" grouping="f" rotation="f" text="f" aspectratio="t"/>
            <w10:wrap type="none"/>
            <w10:anchorlock/>
          </v:shape>
          <o:OLEObject Type="Embed" ProgID="Equation.KSEE3" ShapeID="_x0000_i1030" DrawAspect="Content" ObjectID="_1468075730" r:id="rId39">
            <o:LockedField>false</o:LockedField>
          </o:OLEObject>
        </w:object>
      </w:r>
    </w:p>
    <w:p w14:paraId="4364D528">
      <w:pPr>
        <w:spacing w:before="78"/>
        <w:ind w:left="330"/>
        <w:rPr>
          <w:rFonts w:hint="eastAsia" w:ascii="宋体" w:hAnsi="宋体" w:eastAsia="宋体" w:cs="宋体"/>
          <w:color w:val="auto"/>
          <w:sz w:val="24"/>
          <w:szCs w:val="24"/>
          <w:highlight w:val="none"/>
        </w:rPr>
      </w:pPr>
    </w:p>
    <w:p w14:paraId="57864BBF">
      <w:pPr>
        <w:spacing w:before="140" w:line="196" w:lineRule="auto"/>
        <w:ind w:left="3758"/>
        <w:rPr>
          <w:rFonts w:hint="eastAsia" w:ascii="宋体" w:hAnsi="宋体" w:eastAsia="宋体" w:cs="宋体"/>
          <w:color w:val="auto"/>
          <w:sz w:val="13"/>
          <w:szCs w:val="13"/>
          <w:highlight w:val="none"/>
        </w:rPr>
      </w:pPr>
      <w:r>
        <w:rPr>
          <w:rFonts w:hint="eastAsia" w:ascii="宋体" w:hAnsi="宋体" w:eastAsia="宋体" w:cs="宋体"/>
          <w:color w:val="auto"/>
          <w:spacing w:val="-2"/>
          <w:position w:val="1"/>
          <w:sz w:val="24"/>
          <w:szCs w:val="24"/>
          <w:highlight w:val="none"/>
        </w:rPr>
        <w:t>F</w:t>
      </w:r>
      <w:r>
        <w:rPr>
          <w:rFonts w:hint="eastAsia" w:ascii="宋体" w:hAnsi="宋体" w:eastAsia="宋体" w:cs="宋体"/>
          <w:color w:val="auto"/>
          <w:spacing w:val="-2"/>
          <w:position w:val="-4"/>
          <w:sz w:val="13"/>
          <w:szCs w:val="13"/>
          <w:highlight w:val="none"/>
        </w:rPr>
        <w:t>0</w:t>
      </w:r>
    </w:p>
    <w:p w14:paraId="07ED61AB">
      <w:pPr>
        <w:spacing w:before="78" w:line="330" w:lineRule="auto"/>
        <w:ind w:right="59" w:firstLine="507"/>
        <w:jc w:val="both"/>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理机构发布的材料、工程设备单价；A 为合同约定的材料</w:t>
      </w:r>
      <w:r>
        <w:rPr>
          <w:rFonts w:hint="eastAsia" w:ascii="宋体" w:hAnsi="宋体" w:eastAsia="宋体" w:cs="宋体"/>
          <w:color w:val="auto"/>
          <w:spacing w:val="-2"/>
          <w:sz w:val="24"/>
          <w:szCs w:val="24"/>
          <w:highlight w:val="none"/>
        </w:rPr>
        <w:t>、工程设备单价涨跌风险幅度</w:t>
      </w:r>
      <w:r>
        <w:rPr>
          <w:rFonts w:hint="eastAsia" w:ascii="宋体" w:hAnsi="宋体" w:eastAsia="宋体" w:cs="宋体"/>
          <w:color w:val="auto"/>
          <w:spacing w:val="-5"/>
          <w:sz w:val="24"/>
          <w:szCs w:val="24"/>
          <w:highlight w:val="none"/>
        </w:rPr>
        <w:t>值。</w:t>
      </w:r>
    </w:p>
    <w:p w14:paraId="30753A35">
      <w:pPr>
        <w:spacing w:before="33" w:line="299" w:lineRule="auto"/>
        <w:ind w:right="59" w:firstLine="476"/>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"2.3.6.3"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2.3.6.3</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合同履行期间，当《发包人提供材料和工程设备一览表》（详见招标工程量</w:t>
      </w:r>
      <w:r>
        <w:rPr>
          <w:rFonts w:hint="eastAsia" w:ascii="宋体" w:hAnsi="宋体" w:eastAsia="宋体" w:cs="宋体"/>
          <w:color w:val="auto"/>
          <w:spacing w:val="-2"/>
          <w:sz w:val="24"/>
          <w:szCs w:val="24"/>
          <w:highlight w:val="none"/>
        </w:rPr>
        <w:t>清单）中的材料、工程设备单价发生变化时，由发包人按照实际变化调整，并列入合同</w:t>
      </w:r>
      <w:r>
        <w:rPr>
          <w:rFonts w:hint="eastAsia" w:ascii="宋体" w:hAnsi="宋体" w:eastAsia="宋体" w:cs="宋体"/>
          <w:color w:val="auto"/>
          <w:spacing w:val="-4"/>
          <w:sz w:val="24"/>
          <w:szCs w:val="24"/>
          <w:highlight w:val="none"/>
        </w:rPr>
        <w:t>价款。</w:t>
      </w:r>
    </w:p>
    <w:p w14:paraId="0E854E2A">
      <w:pPr>
        <w:spacing w:before="121" w:line="308" w:lineRule="auto"/>
        <w:ind w:firstLine="477"/>
        <w:rPr>
          <w:rFonts w:hint="eastAsia" w:ascii="宋体" w:hAnsi="宋体" w:eastAsia="宋体" w:cs="宋体"/>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"2.3.6.4"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3"/>
          <w:sz w:val="24"/>
          <w:szCs w:val="24"/>
          <w:highlight w:val="none"/>
        </w:rPr>
        <w:t>2.3.6.4</w:t>
      </w:r>
      <w:r>
        <w:rPr>
          <w:rFonts w:hint="eastAsia" w:ascii="宋体" w:hAnsi="宋体" w:eastAsia="宋体" w:cs="宋体"/>
          <w:b/>
          <w:bCs/>
          <w:color w:val="auto"/>
          <w:spacing w:val="-3"/>
          <w:sz w:val="24"/>
          <w:szCs w:val="24"/>
          <w:highlight w:val="none"/>
        </w:rPr>
        <w:fldChar w:fldCharType="end"/>
      </w:r>
      <w:r>
        <w:rPr>
          <w:rFonts w:hint="eastAsia" w:ascii="宋体" w:hAnsi="宋体" w:eastAsia="宋体" w:cs="宋体"/>
          <w:b/>
          <w:bCs/>
          <w:color w:val="auto"/>
          <w:spacing w:val="-3"/>
          <w:sz w:val="24"/>
          <w:szCs w:val="24"/>
          <w:highlight w:val="none"/>
        </w:rPr>
        <w:t xml:space="preserve">  </w:t>
      </w:r>
      <w:r>
        <w:rPr>
          <w:rFonts w:hint="eastAsia" w:ascii="宋体" w:hAnsi="宋体" w:eastAsia="宋体" w:cs="宋体"/>
          <w:color w:val="auto"/>
          <w:spacing w:val="-3"/>
          <w:sz w:val="24"/>
          <w:szCs w:val="24"/>
          <w:highlight w:val="none"/>
        </w:rPr>
        <w:t>本招标项目约定，施工机具台班单价涨跌风险幅度值</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3"/>
          <w:sz w:val="24"/>
          <w:szCs w:val="24"/>
          <w:highlight w:val="none"/>
        </w:rPr>
        <w:t>B</w:t>
      </w:r>
      <w:r>
        <w:rPr>
          <w:rFonts w:hint="eastAsia" w:ascii="宋体" w:hAnsi="宋体" w:eastAsia="宋体" w:cs="宋体"/>
          <w:color w:val="auto"/>
          <w:spacing w:val="-4"/>
          <w:sz w:val="24"/>
          <w:szCs w:val="24"/>
          <w:highlight w:val="none"/>
        </w:rPr>
        <w:t xml:space="preserve"> 为</w:t>
      </w:r>
      <w:r>
        <w:rPr>
          <w:rFonts w:hint="eastAsia" w:ascii="宋体" w:hAnsi="宋体" w:eastAsia="宋体" w:cs="宋体"/>
          <w:color w:val="auto"/>
          <w:spacing w:val="14"/>
          <w:sz w:val="24"/>
          <w:szCs w:val="24"/>
          <w:highlight w:val="none"/>
          <w:u w:val="single"/>
        </w:rPr>
        <w:t xml:space="preserve">  </w:t>
      </w:r>
      <w:r>
        <w:rPr>
          <w:rFonts w:hint="eastAsia" w:ascii="宋体" w:hAnsi="宋体" w:eastAsia="宋体" w:cs="宋体"/>
          <w:color w:val="auto"/>
          <w:spacing w:val="-4"/>
          <w:sz w:val="24"/>
          <w:szCs w:val="24"/>
          <w:highlight w:val="none"/>
          <w:u w:val="single"/>
        </w:rPr>
        <w:t xml:space="preserve">10%  </w:t>
      </w:r>
      <w:r>
        <w:rPr>
          <w:rFonts w:hint="eastAsia" w:ascii="宋体" w:hAnsi="宋体" w:eastAsia="宋体" w:cs="宋体"/>
          <w:color w:val="auto"/>
          <w:spacing w:val="-4"/>
          <w:sz w:val="24"/>
          <w:szCs w:val="24"/>
          <w:highlight w:val="none"/>
        </w:rPr>
        <w:t>。合同履行</w:t>
      </w:r>
      <w:r>
        <w:rPr>
          <w:rFonts w:hint="eastAsia" w:ascii="宋体" w:hAnsi="宋体" w:eastAsia="宋体" w:cs="宋体"/>
          <w:color w:val="auto"/>
          <w:spacing w:val="-7"/>
          <w:sz w:val="24"/>
          <w:szCs w:val="24"/>
          <w:highlight w:val="none"/>
        </w:rPr>
        <w:t>期间，当施工机具台班单价涨跌幅度等于或低于</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pacing w:val="-7"/>
          <w:sz w:val="24"/>
          <w:szCs w:val="24"/>
          <w:highlight w:val="none"/>
        </w:rPr>
        <w:t>B 值时，该施工机具台班单价不予调</w:t>
      </w:r>
      <w:r>
        <w:rPr>
          <w:rFonts w:hint="eastAsia" w:ascii="宋体" w:hAnsi="宋体" w:eastAsia="宋体" w:cs="宋体"/>
          <w:color w:val="auto"/>
          <w:spacing w:val="-8"/>
          <w:sz w:val="24"/>
          <w:szCs w:val="24"/>
          <w:highlight w:val="none"/>
        </w:rPr>
        <w:t>整；</w:t>
      </w:r>
      <w:r>
        <w:rPr>
          <w:rFonts w:hint="eastAsia" w:ascii="宋体" w:hAnsi="宋体" w:eastAsia="宋体" w:cs="宋体"/>
          <w:color w:val="auto"/>
          <w:sz w:val="24"/>
          <w:szCs w:val="24"/>
          <w:highlight w:val="none"/>
        </w:rPr>
        <w:t>超过</w:t>
      </w:r>
      <w:r>
        <w:rPr>
          <w:rFonts w:hint="eastAsia" w:ascii="宋体" w:hAnsi="宋体" w:eastAsia="宋体" w:cs="宋体"/>
          <w:color w:val="auto"/>
          <w:spacing w:val="-56"/>
          <w:sz w:val="24"/>
          <w:szCs w:val="24"/>
          <w:highlight w:val="none"/>
        </w:rPr>
        <w:t xml:space="preserve"> </w:t>
      </w:r>
      <w:r>
        <w:rPr>
          <w:rFonts w:hint="eastAsia" w:ascii="宋体" w:hAnsi="宋体" w:eastAsia="宋体" w:cs="宋体"/>
          <w:color w:val="auto"/>
          <w:sz w:val="24"/>
          <w:szCs w:val="24"/>
          <w:highlight w:val="none"/>
        </w:rPr>
        <w:t>B 值时，其超过部分可以调整。相关费</w:t>
      </w:r>
      <w:r>
        <w:rPr>
          <w:rFonts w:hint="eastAsia" w:ascii="宋体" w:hAnsi="宋体" w:eastAsia="宋体" w:cs="宋体"/>
          <w:color w:val="auto"/>
          <w:spacing w:val="-1"/>
          <w:sz w:val="24"/>
          <w:szCs w:val="24"/>
          <w:highlight w:val="none"/>
        </w:rPr>
        <w:t>用按有关规定进行相应调整。</w:t>
      </w:r>
    </w:p>
    <w:p w14:paraId="56D691D2">
      <w:pPr>
        <w:spacing w:before="153" w:line="278" w:lineRule="auto"/>
        <w:ind w:left="42" w:right="59" w:firstLine="440"/>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a</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color w:val="auto"/>
          <w:spacing w:val="-1"/>
          <w:sz w:val="24"/>
          <w:szCs w:val="24"/>
          <w:highlight w:val="none"/>
        </w:rPr>
        <w:t>．如果承包人投标报价中施工机具台班单价（以下简称“</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1"/>
          <w:sz w:val="24"/>
          <w:szCs w:val="24"/>
          <w:highlight w:val="none"/>
        </w:rPr>
        <w:t>中标单价</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pacing w:val="-1"/>
          <w:sz w:val="24"/>
          <w:szCs w:val="24"/>
          <w:highlight w:val="none"/>
        </w:rPr>
        <w:t>”</w:t>
      </w:r>
      <w:r>
        <w:rPr>
          <w:rFonts w:hint="eastAsia" w:ascii="宋体" w:hAnsi="宋体" w:eastAsia="宋体" w:cs="宋体"/>
          <w:color w:val="auto"/>
          <w:spacing w:val="-2"/>
          <w:sz w:val="24"/>
          <w:szCs w:val="24"/>
          <w:highlight w:val="none"/>
        </w:rPr>
        <w:t>）低于基准</w:t>
      </w:r>
      <w:r>
        <w:rPr>
          <w:rFonts w:hint="eastAsia" w:ascii="宋体" w:hAnsi="宋体" w:eastAsia="宋体" w:cs="宋体"/>
          <w:color w:val="auto"/>
          <w:spacing w:val="-3"/>
          <w:sz w:val="24"/>
          <w:szCs w:val="24"/>
          <w:highlight w:val="none"/>
        </w:rPr>
        <w:t>日当月项目所在地工程造价管理机构发布的对应施工机具台班单价（以下简称“基准单</w:t>
      </w:r>
      <w:r>
        <w:rPr>
          <w:rFonts w:hint="eastAsia" w:ascii="宋体" w:hAnsi="宋体" w:eastAsia="宋体" w:cs="宋体"/>
          <w:color w:val="auto"/>
          <w:spacing w:val="-2"/>
          <w:sz w:val="24"/>
          <w:szCs w:val="24"/>
          <w:highlight w:val="none"/>
        </w:rPr>
        <w:t>价</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”），该施工机具台班的结算单价调整公式为：</w:t>
      </w:r>
    </w:p>
    <w:p w14:paraId="2EFEBCF0">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1" o:spt="75" type="#_x0000_t75" style="height:33.95pt;width:200.95pt;" o:ole="t" filled="f" o:preferrelative="t" stroked="f" coordsize="21600,21600">
            <v:path/>
            <v:fill on="f" focussize="0,0"/>
            <v:stroke on="f"/>
            <v:imagedata r:id="rId42" embosscolor="#FFFFFF" o:title=""/>
            <o:lock v:ext="edit" grouping="f" rotation="f" text="f" aspectratio="t"/>
            <w10:wrap type="none"/>
            <w10:anchorlock/>
          </v:shape>
          <o:OLEObject Type="Embed" ProgID="Equation.KSEE3" ShapeID="_x0000_i1031" DrawAspect="Content" ObjectID="_1468075731" r:id="rId41">
            <o:LockedField>false</o:LockedField>
          </o:OLEObject>
        </w:object>
      </w:r>
    </w:p>
    <w:p w14:paraId="05977695">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2" o:spt="75" type="#_x0000_t75" style="height:33.95pt;width:198pt;" o:ole="t" filled="f" o:preferrelative="t" stroked="f" coordsize="21600,21600">
            <v:path/>
            <v:fill on="f" focussize="0,0"/>
            <v:stroke on="f"/>
            <v:imagedata r:id="rId44" embosscolor="#FFFFFF" o:title=""/>
            <o:lock v:ext="edit" grouping="f" rotation="f" text="f" aspectratio="t"/>
            <w10:wrap type="none"/>
            <w10:anchorlock/>
          </v:shape>
          <o:OLEObject Type="Embed" ProgID="Equation.KSEE3" ShapeID="_x0000_i1032" DrawAspect="Content" ObjectID="_1468075732" r:id="rId43">
            <o:LockedField>false</o:LockedField>
          </o:OLEObject>
        </w:object>
      </w:r>
    </w:p>
    <w:p w14:paraId="60ECB2AB">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b</w:t>
      </w:r>
      <w:r>
        <w:rPr>
          <w:rFonts w:hint="eastAsia" w:ascii="宋体" w:hAnsi="宋体" w:eastAsia="宋体" w:cs="宋体"/>
          <w:snapToGrid w:val="0"/>
          <w:color w:val="auto"/>
          <w:kern w:val="0"/>
          <w:sz w:val="24"/>
          <w:szCs w:val="24"/>
          <w:highlight w:val="none"/>
        </w:rPr>
        <w:t>．如果中标单价高于基准单价，该施工机具台班的结算单价调整公式为：</w:t>
      </w:r>
    </w:p>
    <w:p w14:paraId="1397C7BC">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3" o:spt="75" type="#_x0000_t75" style="height:33.95pt;width:198pt;" o:ole="t" filled="f" o:preferrelative="t" stroked="f" coordsize="21600,21600">
            <v:path/>
            <v:fill on="f" focussize="0,0"/>
            <v:stroke on="f"/>
            <v:imagedata r:id="rId46" embosscolor="#FFFFFF" o:title=""/>
            <o:lock v:ext="edit" grouping="f" rotation="f" text="f" aspectratio="t"/>
            <w10:wrap type="none"/>
            <w10:anchorlock/>
          </v:shape>
          <o:OLEObject Type="Embed" ProgID="Equation.KSEE3" ShapeID="_x0000_i1033" DrawAspect="Content" ObjectID="_1468075733" r:id="rId45">
            <o:LockedField>false</o:LockedField>
          </o:OLEObject>
        </w:object>
      </w:r>
    </w:p>
    <w:p w14:paraId="7EAE322B">
      <w:pPr>
        <w:wordWrap w:val="0"/>
        <w:adjustRightIn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4" o:spt="75" type="#_x0000_t75" style="height:33.95pt;width:200.95pt;" o:ole="t" filled="f" o:preferrelative="t" stroked="f" coordsize="21600,21600">
            <v:path/>
            <v:fill on="f" focussize="0,0"/>
            <v:stroke on="f"/>
            <v:imagedata r:id="rId48" embosscolor="#FFFFFF" o:title=""/>
            <o:lock v:ext="edit" grouping="f" rotation="f" text="f" aspectratio="t"/>
            <w10:wrap type="none"/>
            <w10:anchorlock/>
          </v:shape>
          <o:OLEObject Type="Embed" ProgID="Equation.KSEE3" ShapeID="_x0000_i1034" DrawAspect="Content" ObjectID="_1468075734" r:id="rId47">
            <o:LockedField>false</o:LockedField>
          </o:OLEObject>
        </w:object>
      </w:r>
    </w:p>
    <w:p w14:paraId="601355E0">
      <w:pPr>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c</w:t>
      </w:r>
      <w:r>
        <w:rPr>
          <w:rFonts w:hint="eastAsia" w:ascii="宋体" w:hAnsi="宋体" w:eastAsia="宋体" w:cs="宋体"/>
          <w:snapToGrid w:val="0"/>
          <w:color w:val="auto"/>
          <w:kern w:val="0"/>
          <w:sz w:val="24"/>
          <w:szCs w:val="24"/>
          <w:highlight w:val="none"/>
        </w:rPr>
        <w:t>．如果中标单价等于基准单价，该施工机具台班的结算单价调整公式为：</w:t>
      </w:r>
    </w:p>
    <w:p w14:paraId="78ED18B4">
      <w:pPr>
        <w:wordWrap w:val="0"/>
        <w:adjustRightInd w:val="0"/>
        <w:snapToGrid w:val="0"/>
        <w:spacing w:before="360" w:beforeLines="150" w:after="240" w:afterLines="100"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涨价时，</w:t>
      </w:r>
      <w:r>
        <w:rPr>
          <w:rFonts w:hint="eastAsia" w:ascii="宋体" w:hAnsi="宋体" w:eastAsia="宋体" w:cs="宋体"/>
          <w:snapToGrid w:val="0"/>
          <w:color w:val="auto"/>
          <w:kern w:val="0"/>
          <w:position w:val="-30"/>
          <w:sz w:val="24"/>
          <w:szCs w:val="24"/>
          <w:highlight w:val="none"/>
        </w:rPr>
        <w:object>
          <v:shape id="_x0000_i1035" o:spt="75" type="#_x0000_t75" style="height:33.95pt;width:200.95pt;" o:ole="t" filled="f" o:preferrelative="t" stroked="f" coordsize="21600,21600">
            <v:path/>
            <v:fill on="f" focussize="0,0"/>
            <v:stroke on="f"/>
            <v:imagedata r:id="rId50" embosscolor="#FFFFFF" o:title=""/>
            <o:lock v:ext="edit" grouping="f" rotation="f" text="f" aspectratio="t"/>
            <w10:wrap type="none"/>
            <w10:anchorlock/>
          </v:shape>
          <o:OLEObject Type="Embed" ProgID="Equation.KSEE3" ShapeID="_x0000_i1035" DrawAspect="Content" ObjectID="_1468075735" r:id="rId49">
            <o:LockedField>false</o:LockedField>
          </o:OLEObject>
        </w:object>
      </w:r>
    </w:p>
    <w:p w14:paraId="11B28D87">
      <w:pPr>
        <w:spacing w:before="79" w:line="324" w:lineRule="auto"/>
        <w:ind w:left="11" w:right="65" w:firstLine="504"/>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跌价时，</w:t>
      </w:r>
      <w:r>
        <w:rPr>
          <w:rFonts w:hint="eastAsia" w:ascii="宋体" w:hAnsi="宋体" w:eastAsia="宋体" w:cs="宋体"/>
          <w:snapToGrid w:val="0"/>
          <w:color w:val="auto"/>
          <w:kern w:val="0"/>
          <w:position w:val="-30"/>
          <w:sz w:val="24"/>
          <w:szCs w:val="24"/>
          <w:highlight w:val="none"/>
        </w:rPr>
        <w:object>
          <v:shape id="_x0000_i1036" o:spt="75" type="#_x0000_t75" style="height:33.95pt;width:200.95pt;" o:ole="t" filled="f" o:preferrelative="t" stroked="f" coordsize="21600,21600">
            <v:path/>
            <v:fill on="f" focussize="0,0"/>
            <v:stroke on="f"/>
            <v:imagedata r:id="rId52" embosscolor="#FFFFFF" o:title=""/>
            <o:lock v:ext="edit" grouping="f" rotation="f" text="f" aspectratio="t"/>
            <w10:wrap type="none"/>
            <w10:anchorlock/>
          </v:shape>
          <o:OLEObject Type="Embed" ProgID="Equation.KSEE3" ShapeID="_x0000_i1036" DrawAspect="Content" ObjectID="_1468075736" r:id="rId51">
            <o:LockedField>false</o:LockedField>
          </o:OLEObject>
        </w:object>
      </w:r>
    </w:p>
    <w:p w14:paraId="419E4FE0">
      <w:pPr>
        <w:spacing w:before="79" w:line="324" w:lineRule="auto"/>
        <w:ind w:left="11" w:right="65" w:firstLine="50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以上公式中，F</w:t>
      </w:r>
      <w:r>
        <w:rPr>
          <w:rFonts w:hint="eastAsia" w:ascii="宋体" w:hAnsi="宋体" w:eastAsia="宋体" w:cs="宋体"/>
          <w:color w:val="auto"/>
          <w:spacing w:val="-4"/>
          <w:position w:val="-1"/>
          <w:sz w:val="15"/>
          <w:szCs w:val="15"/>
          <w:highlight w:val="none"/>
        </w:rPr>
        <w:t>1</w:t>
      </w:r>
      <w:r>
        <w:rPr>
          <w:rFonts w:hint="eastAsia" w:ascii="宋体" w:hAnsi="宋体" w:eastAsia="宋体" w:cs="宋体"/>
          <w:color w:val="auto"/>
          <w:spacing w:val="26"/>
          <w:position w:val="-1"/>
          <w:sz w:val="15"/>
          <w:szCs w:val="15"/>
          <w:highlight w:val="none"/>
        </w:rPr>
        <w:t xml:space="preserve"> </w:t>
      </w:r>
      <w:r>
        <w:rPr>
          <w:rFonts w:hint="eastAsia" w:ascii="宋体" w:hAnsi="宋体" w:eastAsia="宋体" w:cs="宋体"/>
          <w:color w:val="auto"/>
          <w:spacing w:val="-4"/>
          <w:sz w:val="24"/>
          <w:szCs w:val="24"/>
          <w:highlight w:val="none"/>
        </w:rPr>
        <w:t>为中标单价；F</w:t>
      </w:r>
      <w:r>
        <w:rPr>
          <w:rFonts w:hint="eastAsia" w:ascii="宋体" w:hAnsi="宋体" w:eastAsia="宋体" w:cs="宋体"/>
          <w:color w:val="auto"/>
          <w:spacing w:val="-4"/>
          <w:position w:val="-1"/>
          <w:sz w:val="15"/>
          <w:szCs w:val="15"/>
          <w:highlight w:val="none"/>
        </w:rPr>
        <w:t>0</w:t>
      </w:r>
      <w:r>
        <w:rPr>
          <w:rFonts w:hint="eastAsia" w:ascii="宋体" w:hAnsi="宋体" w:eastAsia="宋体" w:cs="宋体"/>
          <w:color w:val="auto"/>
          <w:spacing w:val="14"/>
          <w:w w:val="101"/>
          <w:position w:val="-1"/>
          <w:sz w:val="15"/>
          <w:szCs w:val="15"/>
          <w:highlight w:val="none"/>
        </w:rPr>
        <w:t xml:space="preserve"> </w:t>
      </w:r>
      <w:r>
        <w:rPr>
          <w:rFonts w:hint="eastAsia" w:ascii="宋体" w:hAnsi="宋体" w:eastAsia="宋体" w:cs="宋体"/>
          <w:color w:val="auto"/>
          <w:spacing w:val="-4"/>
          <w:sz w:val="24"/>
          <w:szCs w:val="24"/>
          <w:highlight w:val="none"/>
        </w:rPr>
        <w:t>为基准单价；F</w:t>
      </w:r>
      <w:r>
        <w:rPr>
          <w:rFonts w:hint="eastAsia" w:ascii="宋体" w:hAnsi="宋体" w:eastAsia="宋体" w:cs="宋体"/>
          <w:color w:val="auto"/>
          <w:spacing w:val="-4"/>
          <w:position w:val="-1"/>
          <w:sz w:val="15"/>
          <w:szCs w:val="15"/>
          <w:highlight w:val="none"/>
        </w:rPr>
        <w:t>2</w:t>
      </w:r>
      <w:r>
        <w:rPr>
          <w:rFonts w:hint="eastAsia" w:ascii="宋体" w:hAnsi="宋体" w:eastAsia="宋体" w:cs="宋体"/>
          <w:color w:val="auto"/>
          <w:spacing w:val="12"/>
          <w:position w:val="-1"/>
          <w:sz w:val="15"/>
          <w:szCs w:val="15"/>
          <w:highlight w:val="none"/>
        </w:rPr>
        <w:t xml:space="preserve"> </w:t>
      </w:r>
      <w:r>
        <w:rPr>
          <w:rFonts w:hint="eastAsia" w:ascii="宋体" w:hAnsi="宋体" w:eastAsia="宋体" w:cs="宋体"/>
          <w:color w:val="auto"/>
          <w:spacing w:val="-4"/>
          <w:sz w:val="24"/>
          <w:szCs w:val="24"/>
          <w:highlight w:val="none"/>
        </w:rPr>
        <w:t>为施工当月项目所在地工程造价管</w:t>
      </w:r>
      <w:r>
        <w:rPr>
          <w:rFonts w:hint="eastAsia" w:ascii="宋体" w:hAnsi="宋体" w:eastAsia="宋体" w:cs="宋体"/>
          <w:color w:val="auto"/>
          <w:spacing w:val="-1"/>
          <w:sz w:val="24"/>
          <w:szCs w:val="24"/>
          <w:highlight w:val="none"/>
        </w:rPr>
        <w:t>理机构发布的施工机具台班单价；B 为合同约定的施工机具台班单价</w:t>
      </w:r>
      <w:r>
        <w:rPr>
          <w:rFonts w:hint="eastAsia" w:ascii="宋体" w:hAnsi="宋体" w:eastAsia="宋体" w:cs="宋体"/>
          <w:color w:val="auto"/>
          <w:spacing w:val="-2"/>
          <w:sz w:val="24"/>
          <w:szCs w:val="24"/>
          <w:highlight w:val="none"/>
        </w:rPr>
        <w:t>涨跌风险幅度值。</w:t>
      </w:r>
    </w:p>
    <w:p w14:paraId="2203A1B8">
      <w:pPr>
        <w:spacing w:before="39" w:line="219" w:lineRule="auto"/>
        <w:ind w:left="48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2.3.7  </w:t>
      </w:r>
      <w:r>
        <w:rPr>
          <w:rFonts w:hint="eastAsia" w:ascii="宋体" w:hAnsi="宋体" w:eastAsia="宋体" w:cs="宋体"/>
          <w:color w:val="auto"/>
          <w:spacing w:val="-1"/>
          <w:sz w:val="24"/>
          <w:szCs w:val="24"/>
          <w:highlight w:val="none"/>
        </w:rPr>
        <w:t>暂估价和暂列金额</w:t>
      </w:r>
    </w:p>
    <w:p w14:paraId="07450170">
      <w:pPr>
        <w:spacing w:before="154" w:line="299" w:lineRule="auto"/>
        <w:ind w:left="7" w:right="57" w:firstLine="477"/>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"2.3.7.1"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2"/>
          <w:sz w:val="24"/>
          <w:szCs w:val="24"/>
          <w:highlight w:val="none"/>
        </w:rPr>
        <w:t>2.3.7.1</w:t>
      </w:r>
      <w:r>
        <w:rPr>
          <w:rFonts w:hint="eastAsia" w:ascii="宋体" w:hAnsi="宋体" w:eastAsia="宋体" w:cs="宋体"/>
          <w:b/>
          <w:bCs/>
          <w:color w:val="auto"/>
          <w:spacing w:val="-2"/>
          <w:sz w:val="24"/>
          <w:szCs w:val="24"/>
          <w:highlight w:val="none"/>
        </w:rPr>
        <w:fldChar w:fldCharType="end"/>
      </w:r>
      <w:r>
        <w:rPr>
          <w:rFonts w:hint="eastAsia" w:ascii="宋体" w:hAnsi="宋体" w:eastAsia="宋体" w:cs="宋体"/>
          <w:b/>
          <w:bCs/>
          <w:color w:val="auto"/>
          <w:spacing w:val="-2"/>
          <w:sz w:val="24"/>
          <w:szCs w:val="24"/>
          <w:highlight w:val="none"/>
        </w:rPr>
        <w:t xml:space="preserve">  </w:t>
      </w:r>
      <w:r>
        <w:rPr>
          <w:rFonts w:hint="eastAsia" w:ascii="宋体" w:hAnsi="宋体" w:eastAsia="宋体" w:cs="宋体"/>
          <w:snapToGrid w:val="0"/>
          <w:color w:val="auto"/>
          <w:kern w:val="0"/>
          <w:sz w:val="24"/>
          <w:szCs w:val="24"/>
          <w:highlight w:val="none"/>
          <w:lang w:eastAsia="zh-CN"/>
        </w:rPr>
        <w:t xml:space="preserve">暂估价项目按第一章第三节“投标人须知正文 ”第 </w:t>
      </w:r>
      <w:r>
        <w:rPr>
          <w:rFonts w:hint="eastAsia" w:ascii="宋体" w:hAnsi="宋体" w:eastAsia="宋体" w:cs="宋体"/>
          <w:b/>
          <w:bCs/>
          <w:snapToGrid w:val="0"/>
          <w:color w:val="auto"/>
          <w:kern w:val="0"/>
          <w:sz w:val="24"/>
          <w:szCs w:val="24"/>
          <w:highlight w:val="none"/>
          <w:lang w:eastAsia="zh-CN"/>
        </w:rPr>
        <w:t>8.5</w:t>
      </w:r>
      <w:r>
        <w:rPr>
          <w:rFonts w:hint="eastAsia" w:ascii="宋体" w:hAnsi="宋体" w:eastAsia="宋体" w:cs="宋体"/>
          <w:snapToGrid w:val="0"/>
          <w:color w:val="auto"/>
          <w:kern w:val="0"/>
          <w:sz w:val="24"/>
          <w:szCs w:val="24"/>
          <w:highlight w:val="none"/>
          <w:lang w:eastAsia="zh-CN"/>
        </w:rPr>
        <w:t xml:space="preserve"> 条的规定确定专业工程承包人（或材料供应商、工程设备供应商）后，将专业工程合同价款（或材料单价、工程设备单价）取代相应暂估价，并调整合同价款。</w:t>
      </w:r>
    </w:p>
    <w:p w14:paraId="73FF33E6">
      <w:pPr>
        <w:spacing w:before="153" w:line="315" w:lineRule="auto"/>
        <w:ind w:left="8" w:right="2" w:firstLine="476"/>
        <w:rPr>
          <w:rFonts w:hint="eastAsia" w:ascii="宋体" w:hAnsi="宋体" w:eastAsia="宋体" w:cs="宋体"/>
          <w:color w:val="auto"/>
          <w:spacing w:val="-3"/>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"2.3.7.2" </w:instrText>
      </w:r>
      <w:r>
        <w:rPr>
          <w:rFonts w:hint="eastAsia" w:ascii="宋体" w:hAnsi="宋体" w:eastAsia="宋体" w:cs="宋体"/>
          <w:color w:val="auto"/>
          <w:highlight w:val="none"/>
        </w:rPr>
        <w:fldChar w:fldCharType="separate"/>
      </w:r>
      <w:r>
        <w:rPr>
          <w:rFonts w:hint="eastAsia" w:ascii="宋体" w:hAnsi="宋体" w:eastAsia="宋体" w:cs="宋体"/>
          <w:b/>
          <w:bCs/>
          <w:color w:val="auto"/>
          <w:spacing w:val="-8"/>
          <w:sz w:val="24"/>
          <w:szCs w:val="24"/>
          <w:highlight w:val="none"/>
        </w:rPr>
        <w:t>2.3.7.2</w:t>
      </w:r>
      <w:r>
        <w:rPr>
          <w:rFonts w:hint="eastAsia" w:ascii="宋体" w:hAnsi="宋体" w:eastAsia="宋体" w:cs="宋体"/>
          <w:b/>
          <w:bCs/>
          <w:color w:val="auto"/>
          <w:spacing w:val="-8"/>
          <w:sz w:val="24"/>
          <w:szCs w:val="24"/>
          <w:highlight w:val="none"/>
        </w:rPr>
        <w:fldChar w:fldCharType="end"/>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暂列金额由发包人掌握和使用。暂列金额项目若有发</w:t>
      </w:r>
      <w:r>
        <w:rPr>
          <w:rFonts w:hint="eastAsia" w:ascii="宋体" w:hAnsi="宋体" w:eastAsia="宋体" w:cs="宋体"/>
          <w:color w:val="auto"/>
          <w:spacing w:val="-9"/>
          <w:sz w:val="24"/>
          <w:szCs w:val="24"/>
          <w:highlight w:val="none"/>
        </w:rPr>
        <w:t>生，按第一章第三节“投</w:t>
      </w:r>
      <w:r>
        <w:rPr>
          <w:rFonts w:hint="eastAsia" w:ascii="宋体" w:hAnsi="宋体" w:eastAsia="宋体" w:cs="宋体"/>
          <w:color w:val="auto"/>
          <w:spacing w:val="-5"/>
          <w:sz w:val="24"/>
          <w:szCs w:val="24"/>
          <w:highlight w:val="none"/>
        </w:rPr>
        <w:t>标人须知正文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”第</w:t>
      </w:r>
      <w:r>
        <w:rPr>
          <w:rFonts w:hint="eastAsia" w:ascii="宋体" w:hAnsi="宋体" w:eastAsia="宋体" w:cs="宋体"/>
          <w:color w:val="auto"/>
          <w:spacing w:val="-51"/>
          <w:sz w:val="24"/>
          <w:szCs w:val="24"/>
          <w:highlight w:val="none"/>
        </w:rPr>
        <w:t xml:space="preserve"> </w:t>
      </w:r>
      <w:r>
        <w:rPr>
          <w:rFonts w:hint="eastAsia" w:ascii="宋体" w:hAnsi="宋体" w:eastAsia="宋体" w:cs="宋体"/>
          <w:b/>
          <w:bCs/>
          <w:color w:val="auto"/>
          <w:spacing w:val="-5"/>
          <w:sz w:val="24"/>
          <w:szCs w:val="24"/>
          <w:highlight w:val="none"/>
        </w:rPr>
        <w:t xml:space="preserve">8.6 </w:t>
      </w:r>
      <w:r>
        <w:rPr>
          <w:rFonts w:hint="eastAsia" w:ascii="宋体" w:hAnsi="宋体" w:eastAsia="宋体" w:cs="宋体"/>
          <w:color w:val="auto"/>
          <w:spacing w:val="-5"/>
          <w:sz w:val="24"/>
          <w:szCs w:val="24"/>
          <w:highlight w:val="none"/>
        </w:rPr>
        <w:t>条的规定确定材料供应商（或工程设备供</w:t>
      </w:r>
      <w:r>
        <w:rPr>
          <w:rFonts w:hint="eastAsia" w:ascii="宋体" w:hAnsi="宋体" w:eastAsia="宋体" w:cs="宋体"/>
          <w:color w:val="auto"/>
          <w:spacing w:val="-6"/>
          <w:sz w:val="24"/>
          <w:szCs w:val="24"/>
          <w:highlight w:val="none"/>
        </w:rPr>
        <w:t>应商、服务供应商）后，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材料（或工程设备、服务）的合同价款从暂列金额中支付。暂列金额扣除已发生的暂列金额项目合同价款、已发生的合同约定调整因素出现时的调整价款、已发生的索赔以及</w:t>
      </w:r>
      <w:r>
        <w:rPr>
          <w:rFonts w:hint="eastAsia" w:ascii="宋体" w:hAnsi="宋体" w:eastAsia="宋体" w:cs="宋体"/>
          <w:color w:val="auto"/>
          <w:spacing w:val="-1"/>
          <w:sz w:val="24"/>
          <w:szCs w:val="24"/>
          <w:highlight w:val="none"/>
        </w:rPr>
        <w:t>现场签证确认等的费用后，余额（若有）归发包人所有。</w:t>
      </w:r>
    </w:p>
    <w:p w14:paraId="3313F8DF">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2.3.8</w:t>
      </w:r>
      <w:r>
        <w:rPr>
          <w:rFonts w:hint="eastAsia" w:ascii="宋体" w:hAnsi="宋体" w:eastAsia="宋体" w:cs="宋体"/>
          <w:color w:val="auto"/>
          <w:spacing w:val="-8"/>
          <w:sz w:val="24"/>
          <w:szCs w:val="24"/>
          <w:highlight w:val="none"/>
        </w:rPr>
        <w:t xml:space="preserve"> 预算包干费：根据《市政工程工程量计算标准》（GB/T 50857-2024）、《房屋建筑与装饰工程工程量计算标准》（GB/T 50854-2024）、《通用安装工程工程量计算标准》（GB/T 50856-2024）、《园林绿化工程工程量计算标准》（GB/T 50858-2024），以各专业分部分项的人工费与施工机具费之和为基础计算预算包干费。本工程的预算包干内容包括：按《广东省建设工程计价依据（2024）》相关规定。若发生工程签证变更，应按合同约定计取预算包干费。</w:t>
      </w:r>
    </w:p>
    <w:p w14:paraId="1A14D812">
      <w:pPr>
        <w:spacing w:before="153" w:line="315" w:lineRule="auto"/>
        <w:ind w:left="8" w:right="2" w:firstLine="476"/>
        <w:rPr>
          <w:rFonts w:hint="eastAsia" w:ascii="宋体" w:hAnsi="宋体" w:eastAsia="宋体" w:cs="宋体"/>
          <w:color w:val="auto"/>
          <w:spacing w:val="-8"/>
          <w:sz w:val="24"/>
          <w:szCs w:val="24"/>
          <w:highlight w:val="none"/>
        </w:rPr>
      </w:pPr>
      <w:r>
        <w:rPr>
          <w:rFonts w:hint="eastAsia" w:ascii="宋体" w:hAnsi="宋体" w:eastAsia="宋体" w:cs="宋体"/>
          <w:b/>
          <w:bCs/>
          <w:color w:val="auto"/>
          <w:spacing w:val="-8"/>
          <w:sz w:val="24"/>
          <w:szCs w:val="24"/>
          <w:highlight w:val="none"/>
        </w:rPr>
        <w:t>2.3.</w:t>
      </w:r>
      <w:r>
        <w:rPr>
          <w:rFonts w:hint="eastAsia" w:ascii="宋体" w:hAnsi="宋体" w:eastAsia="宋体" w:cs="宋体"/>
          <w:b/>
          <w:bCs/>
          <w:color w:val="auto"/>
          <w:spacing w:val="-8"/>
          <w:sz w:val="24"/>
          <w:szCs w:val="24"/>
          <w:highlight w:val="none"/>
          <w:lang w:val="en-US" w:eastAsia="zh-CN"/>
        </w:rPr>
        <w:t>9</w:t>
      </w:r>
      <w:r>
        <w:rPr>
          <w:rFonts w:hint="eastAsia" w:ascii="宋体" w:hAnsi="宋体" w:eastAsia="宋体" w:cs="宋体"/>
          <w:b/>
          <w:bCs/>
          <w:color w:val="auto"/>
          <w:spacing w:val="-8"/>
          <w:sz w:val="24"/>
          <w:szCs w:val="24"/>
          <w:highlight w:val="none"/>
        </w:rPr>
        <w:t xml:space="preserve"> </w:t>
      </w:r>
      <w:r>
        <w:rPr>
          <w:rFonts w:hint="eastAsia" w:ascii="宋体" w:hAnsi="宋体" w:eastAsia="宋体" w:cs="宋体"/>
          <w:color w:val="auto"/>
          <w:spacing w:val="-8"/>
          <w:sz w:val="24"/>
          <w:szCs w:val="24"/>
          <w:highlight w:val="none"/>
        </w:rPr>
        <w:t>其余事项（如不可抗力、索赔、现场签证等）的调整原则按照《建设工程工程量清单计价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8"/>
          <w:sz w:val="24"/>
          <w:szCs w:val="24"/>
          <w:highlight w:val="none"/>
        </w:rPr>
        <w:t>》（GB50500—20</w:t>
      </w:r>
      <w:r>
        <w:rPr>
          <w:rFonts w:hint="eastAsia" w:ascii="宋体" w:hAnsi="宋体" w:eastAsia="宋体" w:cs="宋体"/>
          <w:color w:val="auto"/>
          <w:spacing w:val="-8"/>
          <w:sz w:val="24"/>
          <w:szCs w:val="24"/>
          <w:highlight w:val="none"/>
          <w:lang w:val="en-US" w:eastAsia="zh-CN"/>
        </w:rPr>
        <w:t>24</w:t>
      </w:r>
      <w:r>
        <w:rPr>
          <w:rFonts w:hint="eastAsia" w:ascii="宋体" w:hAnsi="宋体" w:eastAsia="宋体" w:cs="宋体"/>
          <w:color w:val="auto"/>
          <w:spacing w:val="-8"/>
          <w:sz w:val="24"/>
          <w:szCs w:val="24"/>
          <w:highlight w:val="none"/>
        </w:rPr>
        <w:t>）有关规定执行。</w:t>
      </w:r>
    </w:p>
    <w:p w14:paraId="13236EE1">
      <w:pPr>
        <w:spacing w:before="156" w:line="299" w:lineRule="auto"/>
        <w:ind w:left="12" w:right="65" w:firstLine="556"/>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2.4  </w:t>
      </w:r>
      <w:r>
        <w:rPr>
          <w:rFonts w:hint="eastAsia" w:ascii="宋体" w:hAnsi="宋体" w:eastAsia="宋体" w:cs="宋体"/>
          <w:color w:val="auto"/>
          <w:sz w:val="24"/>
          <w:szCs w:val="24"/>
          <w:highlight w:val="none"/>
        </w:rPr>
        <w:t>凡将引起合同价款调增的事项，承包人必须于拟实施</w:t>
      </w:r>
      <w:r>
        <w:rPr>
          <w:rFonts w:hint="eastAsia" w:ascii="宋体" w:hAnsi="宋体" w:eastAsia="宋体" w:cs="宋体"/>
          <w:color w:val="auto"/>
          <w:spacing w:val="-31"/>
          <w:sz w:val="24"/>
          <w:szCs w:val="24"/>
          <w:highlight w:val="none"/>
        </w:rPr>
        <w:t xml:space="preserve"> </w:t>
      </w:r>
      <w:r>
        <w:rPr>
          <w:rFonts w:hint="eastAsia" w:ascii="宋体" w:hAnsi="宋体" w:eastAsia="宋体" w:cs="宋体"/>
          <w:color w:val="auto"/>
          <w:sz w:val="24"/>
          <w:szCs w:val="24"/>
          <w:highlight w:val="none"/>
        </w:rPr>
        <w:t>14</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z w:val="24"/>
          <w:szCs w:val="24"/>
          <w:highlight w:val="none"/>
        </w:rPr>
        <w:t>天前，将详细的</w:t>
      </w:r>
      <w:r>
        <w:rPr>
          <w:rFonts w:hint="eastAsia" w:ascii="宋体" w:hAnsi="宋体" w:eastAsia="宋体" w:cs="宋体"/>
          <w:color w:val="auto"/>
          <w:spacing w:val="-1"/>
          <w:sz w:val="24"/>
          <w:szCs w:val="24"/>
          <w:highlight w:val="none"/>
        </w:rPr>
        <w:t>报价</w:t>
      </w:r>
      <w:r>
        <w:rPr>
          <w:rFonts w:hint="eastAsia" w:ascii="宋体" w:hAnsi="宋体" w:eastAsia="宋体" w:cs="宋体"/>
          <w:color w:val="auto"/>
          <w:spacing w:val="-2"/>
          <w:sz w:val="24"/>
          <w:szCs w:val="24"/>
          <w:highlight w:val="none"/>
        </w:rPr>
        <w:t>书（含拟实施项目名称、变更部位、理由、预计造价等）报监理单位审核和发包人批准后方可实施。</w:t>
      </w:r>
    </w:p>
    <w:p w14:paraId="6D92B8A8">
      <w:pPr>
        <w:spacing w:before="153" w:line="279" w:lineRule="auto"/>
        <w:ind w:left="9" w:right="102" w:firstLine="477"/>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2.5 </w:t>
      </w:r>
      <w:r>
        <w:rPr>
          <w:rFonts w:hint="eastAsia" w:ascii="宋体" w:hAnsi="宋体" w:eastAsia="宋体" w:cs="宋体"/>
          <w:color w:val="auto"/>
          <w:spacing w:val="1"/>
          <w:sz w:val="24"/>
          <w:szCs w:val="24"/>
          <w:highlight w:val="none"/>
        </w:rPr>
        <w:t>承包人不得以不完全了解现场情况为理由，提出额外付</w:t>
      </w:r>
      <w:r>
        <w:rPr>
          <w:rFonts w:hint="eastAsia" w:ascii="宋体" w:hAnsi="宋体" w:eastAsia="宋体" w:cs="宋体"/>
          <w:color w:val="auto"/>
          <w:sz w:val="24"/>
          <w:szCs w:val="24"/>
          <w:highlight w:val="none"/>
        </w:rPr>
        <w:t>款或延长工期等要求。</w:t>
      </w:r>
      <w:r>
        <w:rPr>
          <w:rFonts w:hint="eastAsia" w:ascii="宋体" w:hAnsi="宋体" w:eastAsia="宋体" w:cs="宋体"/>
          <w:color w:val="auto"/>
          <w:spacing w:val="-1"/>
          <w:sz w:val="24"/>
          <w:szCs w:val="24"/>
          <w:highlight w:val="none"/>
        </w:rPr>
        <w:t>对此类要求，发包人不作任何考虑及答复。</w:t>
      </w:r>
    </w:p>
    <w:p w14:paraId="1C6774BB">
      <w:pPr>
        <w:spacing w:before="154" w:line="279" w:lineRule="auto"/>
        <w:ind w:left="10" w:right="63" w:firstLine="476"/>
        <w:rPr>
          <w:rFonts w:hint="eastAsia" w:ascii="宋体" w:hAnsi="宋体" w:eastAsia="宋体" w:cs="宋体"/>
          <w:color w:val="auto"/>
          <w:sz w:val="24"/>
          <w:szCs w:val="24"/>
          <w:highlight w:val="none"/>
        </w:rPr>
      </w:pPr>
      <w:r>
        <w:rPr>
          <w:rFonts w:hint="eastAsia" w:ascii="宋体" w:hAnsi="宋体" w:eastAsia="宋体" w:cs="宋体"/>
          <w:b/>
          <w:bCs/>
          <w:color w:val="auto"/>
          <w:spacing w:val="2"/>
          <w:sz w:val="24"/>
          <w:szCs w:val="24"/>
          <w:highlight w:val="none"/>
        </w:rPr>
        <w:t xml:space="preserve">2.6 </w:t>
      </w:r>
      <w:r>
        <w:rPr>
          <w:rFonts w:hint="eastAsia" w:ascii="宋体" w:hAnsi="宋体" w:eastAsia="宋体" w:cs="宋体"/>
          <w:color w:val="auto"/>
          <w:spacing w:val="2"/>
          <w:sz w:val="24"/>
          <w:szCs w:val="24"/>
          <w:highlight w:val="none"/>
        </w:rPr>
        <w:t>承包人已标价工程量清单中漏报、错报或少报的清单项目</w:t>
      </w:r>
      <w:r>
        <w:rPr>
          <w:rFonts w:hint="eastAsia" w:ascii="宋体" w:hAnsi="宋体" w:eastAsia="宋体" w:cs="宋体"/>
          <w:color w:val="auto"/>
          <w:spacing w:val="1"/>
          <w:sz w:val="24"/>
          <w:szCs w:val="24"/>
          <w:highlight w:val="none"/>
        </w:rPr>
        <w:t>，其价格均视为已经</w:t>
      </w:r>
      <w:r>
        <w:rPr>
          <w:rFonts w:hint="eastAsia" w:ascii="宋体" w:hAnsi="宋体" w:eastAsia="宋体" w:cs="宋体"/>
          <w:color w:val="auto"/>
          <w:spacing w:val="-1"/>
          <w:sz w:val="24"/>
          <w:szCs w:val="24"/>
          <w:highlight w:val="none"/>
        </w:rPr>
        <w:t>包含在其它清单项目中，竣工结算时不得重新组价和调整。</w:t>
      </w:r>
    </w:p>
    <w:p w14:paraId="761E818F">
      <w:pPr>
        <w:spacing w:before="155" w:line="299" w:lineRule="auto"/>
        <w:ind w:left="12" w:right="65" w:firstLine="474"/>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 xml:space="preserve">2.7  </w:t>
      </w:r>
      <w:r>
        <w:rPr>
          <w:rFonts w:hint="eastAsia" w:ascii="宋体" w:hAnsi="宋体" w:eastAsia="宋体" w:cs="宋体"/>
          <w:color w:val="auto"/>
          <w:sz w:val="24"/>
          <w:szCs w:val="24"/>
          <w:highlight w:val="none"/>
        </w:rPr>
        <w:t>项目完工后，发、承包双方和受其委托具备相应资质的工程造价咨询单位必须</w:t>
      </w:r>
      <w:r>
        <w:rPr>
          <w:rFonts w:hint="eastAsia" w:ascii="宋体" w:hAnsi="宋体" w:eastAsia="宋体" w:cs="宋体"/>
          <w:color w:val="auto"/>
          <w:spacing w:val="-1"/>
          <w:sz w:val="24"/>
          <w:szCs w:val="24"/>
          <w:highlight w:val="none"/>
        </w:rPr>
        <w:t>按照《建设工程工程量清单计价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1"/>
          <w:sz w:val="24"/>
          <w:szCs w:val="24"/>
          <w:highlight w:val="none"/>
        </w:rPr>
        <w:t>）和国家、省、市的有关规定</w:t>
      </w:r>
      <w:r>
        <w:rPr>
          <w:rFonts w:hint="eastAsia" w:ascii="宋体" w:hAnsi="宋体" w:eastAsia="宋体" w:cs="宋体"/>
          <w:color w:val="auto"/>
          <w:spacing w:val="-2"/>
          <w:sz w:val="24"/>
          <w:szCs w:val="24"/>
          <w:highlight w:val="none"/>
        </w:rPr>
        <w:t>办理竣工结算。</w:t>
      </w:r>
    </w:p>
    <w:p w14:paraId="6404574C">
      <w:pPr>
        <w:spacing w:before="152" w:line="319" w:lineRule="auto"/>
        <w:ind w:left="8" w:right="38" w:firstLine="559"/>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 xml:space="preserve">2.8  </w:t>
      </w:r>
      <w:r>
        <w:rPr>
          <w:rFonts w:hint="eastAsia" w:ascii="宋体" w:hAnsi="宋体" w:eastAsia="宋体" w:cs="宋体"/>
          <w:color w:val="auto"/>
          <w:spacing w:val="-1"/>
          <w:sz w:val="24"/>
          <w:szCs w:val="24"/>
          <w:highlight w:val="none"/>
        </w:rPr>
        <w:t>承包人已标价工程量清单中没有的材料（或工程设备</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1"/>
          <w:sz w:val="24"/>
          <w:szCs w:val="24"/>
          <w:highlight w:val="none"/>
        </w:rPr>
        <w:t>承包人在使</w:t>
      </w:r>
      <w:r>
        <w:rPr>
          <w:rFonts w:hint="eastAsia" w:ascii="宋体" w:hAnsi="宋体" w:eastAsia="宋体" w:cs="宋体"/>
          <w:color w:val="auto"/>
          <w:spacing w:val="-2"/>
          <w:sz w:val="24"/>
          <w:szCs w:val="24"/>
          <w:highlight w:val="none"/>
        </w:rPr>
        <w:t>用前必须</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将材料（或工程设备）样板、材料合格证明（或产品合格证书）、材料（或工程设备）检验报告提交给监理单位和发包人审核。发</w:t>
      </w:r>
      <w:r>
        <w:rPr>
          <w:rFonts w:hint="eastAsia" w:ascii="宋体" w:hAnsi="宋体" w:eastAsia="宋体" w:cs="宋体"/>
          <w:color w:val="auto"/>
          <w:spacing w:val="-2"/>
          <w:sz w:val="24"/>
          <w:szCs w:val="24"/>
          <w:highlight w:val="none"/>
        </w:rPr>
        <w:t>包人审定并确定价格后，承包人方可采购和</w:t>
      </w:r>
      <w:r>
        <w:rPr>
          <w:rFonts w:hint="eastAsia" w:ascii="宋体" w:hAnsi="宋体" w:eastAsia="宋体" w:cs="宋体"/>
          <w:color w:val="auto"/>
          <w:spacing w:val="-1"/>
          <w:sz w:val="24"/>
          <w:szCs w:val="24"/>
          <w:highlight w:val="none"/>
        </w:rPr>
        <w:t>使用。如果在交货验收和使用过程中发现货</w:t>
      </w:r>
      <w:r>
        <w:rPr>
          <w:rFonts w:hint="eastAsia" w:ascii="宋体" w:hAnsi="宋体" w:eastAsia="宋体" w:cs="宋体"/>
          <w:color w:val="auto"/>
          <w:spacing w:val="-2"/>
          <w:sz w:val="24"/>
          <w:szCs w:val="24"/>
          <w:highlight w:val="none"/>
        </w:rPr>
        <w:t>不对板，监理单位和发包人有权拒用，并要</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求承包人立即进行更换。更换后的材料（或</w:t>
      </w:r>
      <w:r>
        <w:rPr>
          <w:rFonts w:hint="eastAsia" w:ascii="宋体" w:hAnsi="宋体" w:eastAsia="宋体" w:cs="宋体"/>
          <w:color w:val="auto"/>
          <w:spacing w:val="-2"/>
          <w:sz w:val="24"/>
          <w:szCs w:val="24"/>
          <w:highlight w:val="none"/>
        </w:rPr>
        <w:t>工程设备）应再次进行检查和检验。由此增</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加的费用和（或）工期延误由承包人承担。</w:t>
      </w:r>
    </w:p>
    <w:p w14:paraId="623BFEFE">
      <w:pPr>
        <w:spacing w:before="152" w:line="319" w:lineRule="auto"/>
        <w:ind w:left="8" w:right="38" w:firstLine="559"/>
        <w:rPr>
          <w:rFonts w:hint="eastAsia" w:ascii="宋体" w:hAnsi="宋体" w:eastAsia="宋体" w:cs="宋体"/>
          <w:color w:val="auto"/>
          <w:spacing w:val="-1"/>
          <w:sz w:val="24"/>
          <w:szCs w:val="24"/>
          <w:highlight w:val="none"/>
        </w:rPr>
      </w:pPr>
      <w:r>
        <w:rPr>
          <w:rFonts w:hint="eastAsia" w:ascii="宋体" w:hAnsi="宋体" w:eastAsia="宋体" w:cs="宋体"/>
          <w:b/>
          <w:bCs/>
          <w:color w:val="auto"/>
          <w:spacing w:val="-1"/>
          <w:sz w:val="24"/>
          <w:szCs w:val="24"/>
          <w:highlight w:val="none"/>
        </w:rPr>
        <w:t xml:space="preserve">2.9 </w:t>
      </w:r>
      <w:r>
        <w:rPr>
          <w:rFonts w:hint="eastAsia" w:ascii="宋体" w:hAnsi="宋体" w:eastAsia="宋体" w:cs="宋体"/>
          <w:color w:val="auto"/>
          <w:spacing w:val="-1"/>
          <w:sz w:val="24"/>
          <w:szCs w:val="24"/>
          <w:highlight w:val="none"/>
        </w:rPr>
        <w:t>承包人已标价工程量清单中没有的材料（或工程设备）结算价格确定原则：按施工当月项目所在地工程造价管理机构发布的信息价格；若当地信息价格缺项的，由承包人根据变更工程资料依次参考韶关、清远、佛山、东莞、肇庆、惠州、广州等广东省内地区信息价执行；若以上城市均没有信息价则按厂商信息价、</w:t>
      </w:r>
      <w:r>
        <w:rPr>
          <w:rFonts w:hint="eastAsia" w:ascii="宋体" w:hAnsi="宋体" w:eastAsia="宋体" w:cs="宋体"/>
          <w:color w:val="auto"/>
          <w:spacing w:val="-1"/>
          <w:sz w:val="24"/>
          <w:szCs w:val="24"/>
          <w:highlight w:val="none"/>
          <w:lang w:val="en-US" w:eastAsia="zh-CN"/>
        </w:rPr>
        <w:t>造价通、</w:t>
      </w:r>
      <w:r>
        <w:rPr>
          <w:rFonts w:hint="eastAsia" w:ascii="宋体" w:hAnsi="宋体" w:eastAsia="宋体" w:cs="宋体"/>
          <w:color w:val="auto"/>
          <w:spacing w:val="-1"/>
          <w:sz w:val="24"/>
          <w:szCs w:val="24"/>
          <w:highlight w:val="none"/>
        </w:rPr>
        <w:t>电商平台价格（优先从京东、国美、苏宁等大型电商平台查询取其平均价）；若以上方式均无法确定材料价格 的，则采用厂商报价或市场询价等方式取得有合法依据的市场价格，报发包人确认。</w:t>
      </w:r>
    </w:p>
    <w:p w14:paraId="5DDA4611">
      <w:pPr>
        <w:pStyle w:val="29"/>
        <w:snapToGrid w:val="0"/>
        <w:spacing w:line="440" w:lineRule="exact"/>
        <w:ind w:firstLine="480"/>
        <w:jc w:val="both"/>
        <w:outlineLvl w:val="2"/>
        <w:rPr>
          <w:rStyle w:val="20"/>
          <w:rFonts w:hint="eastAsia" w:ascii="宋体" w:hAnsi="宋体" w:eastAsia="宋体" w:cs="宋体"/>
          <w:b/>
          <w:bCs/>
          <w:color w:val="auto"/>
          <w:sz w:val="24"/>
          <w:szCs w:val="24"/>
          <w:highlight w:val="none"/>
        </w:rPr>
      </w:pPr>
      <w:bookmarkStart w:id="177" w:name="_Toc5247"/>
      <w:bookmarkStart w:id="178" w:name="_Toc1816"/>
      <w:r>
        <w:rPr>
          <w:rStyle w:val="20"/>
          <w:rFonts w:hint="eastAsia" w:ascii="宋体" w:hAnsi="宋体" w:eastAsia="宋体" w:cs="宋体"/>
          <w:b/>
          <w:bCs/>
          <w:color w:val="auto"/>
          <w:sz w:val="24"/>
          <w:szCs w:val="24"/>
          <w:highlight w:val="none"/>
        </w:rPr>
        <w:t>3. 工程付款办法</w:t>
      </w:r>
      <w:bookmarkEnd w:id="177"/>
      <w:bookmarkEnd w:id="178"/>
    </w:p>
    <w:p w14:paraId="700B0E9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3.1</w:t>
      </w:r>
      <w:r>
        <w:rPr>
          <w:rFonts w:hint="eastAsia" w:ascii="宋体" w:hAnsi="宋体" w:eastAsia="宋体" w:cs="宋体"/>
          <w:snapToGrid w:val="0"/>
          <w:color w:val="auto"/>
          <w:kern w:val="0"/>
          <w:sz w:val="24"/>
          <w:szCs w:val="20"/>
          <w:highlight w:val="none"/>
          <w:lang w:eastAsia="zh-CN"/>
        </w:rPr>
        <w:t xml:space="preserve"> 本工程 </w:t>
      </w:r>
      <w:r>
        <w:rPr>
          <w:rFonts w:hint="eastAsia" w:ascii="宋体" w:hAnsi="宋体" w:eastAsia="宋体" w:cs="宋体"/>
          <w:snapToGrid w:val="0"/>
          <w:color w:val="auto"/>
          <w:kern w:val="0"/>
          <w:sz w:val="24"/>
          <w:szCs w:val="20"/>
          <w:highlight w:val="none"/>
          <w:u w:val="single"/>
          <w:lang w:eastAsia="zh-CN"/>
        </w:rPr>
        <w:t>支付</w:t>
      </w:r>
      <w:r>
        <w:rPr>
          <w:rFonts w:hint="eastAsia" w:ascii="宋体" w:hAnsi="宋体" w:eastAsia="宋体" w:cs="宋体"/>
          <w:snapToGrid w:val="0"/>
          <w:color w:val="auto"/>
          <w:kern w:val="0"/>
          <w:sz w:val="24"/>
          <w:szCs w:val="20"/>
          <w:highlight w:val="none"/>
          <w:lang w:eastAsia="zh-CN"/>
        </w:rPr>
        <w:t xml:space="preserve"> 施工预付款。</w:t>
      </w:r>
    </w:p>
    <w:p w14:paraId="48B832B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snapToGrid w:val="0"/>
          <w:color w:val="auto"/>
          <w:kern w:val="0"/>
          <w:sz w:val="24"/>
          <w:szCs w:val="20"/>
          <w:highlight w:val="none"/>
          <w:lang w:eastAsia="zh-CN"/>
        </w:rPr>
        <w:t xml:space="preserve"> 施工预付款必须专用于合同工程，并按以下原则支付和抵扣：</w:t>
      </w:r>
    </w:p>
    <w:p w14:paraId="207970D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3.2.1</w:t>
      </w:r>
      <w:r>
        <w:rPr>
          <w:rFonts w:hint="eastAsia" w:ascii="宋体" w:hAnsi="宋体" w:eastAsia="宋体" w:cs="宋体"/>
          <w:snapToGrid w:val="0"/>
          <w:color w:val="auto"/>
          <w:kern w:val="0"/>
          <w:sz w:val="24"/>
          <w:szCs w:val="20"/>
          <w:highlight w:val="none"/>
          <w:lang w:eastAsia="zh-CN"/>
        </w:rPr>
        <w:t xml:space="preserve"> 施工预付款支付比例为：按施工合同价扣除“暂列金额、计日工价款、专业工程暂估价”后</w:t>
      </w:r>
      <w:r>
        <w:rPr>
          <w:rFonts w:hint="eastAsia" w:ascii="宋体" w:hAnsi="宋体" w:eastAsia="宋体" w:cs="宋体"/>
          <w:snapToGrid w:val="0"/>
          <w:color w:val="auto"/>
          <w:kern w:val="0"/>
          <w:sz w:val="24"/>
          <w:szCs w:val="20"/>
          <w:highlight w:val="none"/>
          <w:u w:val="single"/>
          <w:lang w:eastAsia="zh-CN"/>
        </w:rPr>
        <w:t xml:space="preserve"> 30% </w:t>
      </w:r>
      <w:r>
        <w:rPr>
          <w:rFonts w:hint="eastAsia" w:ascii="宋体" w:hAnsi="宋体" w:eastAsia="宋体" w:cs="宋体"/>
          <w:snapToGrid w:val="0"/>
          <w:color w:val="auto"/>
          <w:kern w:val="0"/>
          <w:sz w:val="24"/>
          <w:szCs w:val="20"/>
          <w:highlight w:val="none"/>
          <w:lang w:eastAsia="zh-CN"/>
        </w:rPr>
        <w:t>支付。</w:t>
      </w:r>
    </w:p>
    <w:p w14:paraId="751D5DD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3.2.2</w:t>
      </w:r>
      <w:r>
        <w:rPr>
          <w:rFonts w:hint="eastAsia" w:ascii="宋体" w:hAnsi="宋体" w:eastAsia="宋体" w:cs="宋体"/>
          <w:snapToGrid w:val="0"/>
          <w:color w:val="auto"/>
          <w:kern w:val="0"/>
          <w:sz w:val="24"/>
          <w:szCs w:val="20"/>
          <w:highlight w:val="none"/>
          <w:lang w:eastAsia="zh-CN"/>
        </w:rPr>
        <w:t xml:space="preserve"> 本招标项目</w:t>
      </w:r>
      <w:r>
        <w:rPr>
          <w:rFonts w:hint="eastAsia" w:ascii="宋体" w:hAnsi="宋体" w:eastAsia="宋体" w:cs="宋体"/>
          <w:b/>
          <w:bCs/>
          <w:snapToGrid w:val="0"/>
          <w:color w:val="auto"/>
          <w:kern w:val="0"/>
          <w:sz w:val="24"/>
          <w:szCs w:val="20"/>
          <w:highlight w:val="none"/>
          <w:u w:val="single"/>
          <w:lang w:eastAsia="zh-CN"/>
        </w:rPr>
        <w:t xml:space="preserve"> 要求 </w:t>
      </w:r>
      <w:r>
        <w:rPr>
          <w:rFonts w:hint="eastAsia" w:ascii="宋体" w:hAnsi="宋体" w:eastAsia="宋体" w:cs="宋体"/>
          <w:snapToGrid w:val="0"/>
          <w:color w:val="auto"/>
          <w:kern w:val="0"/>
          <w:sz w:val="24"/>
          <w:szCs w:val="20"/>
          <w:highlight w:val="none"/>
          <w:lang w:eastAsia="zh-CN"/>
        </w:rPr>
        <w:t>承包人提供与预付款等额的预付款保函。</w:t>
      </w:r>
    </w:p>
    <w:p w14:paraId="3205B6D0">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3.2.3</w:t>
      </w:r>
      <w:r>
        <w:rPr>
          <w:rFonts w:hint="eastAsia" w:ascii="宋体" w:hAnsi="宋体" w:eastAsia="宋体" w:cs="宋体"/>
          <w:snapToGrid w:val="0"/>
          <w:color w:val="auto"/>
          <w:kern w:val="0"/>
          <w:sz w:val="24"/>
          <w:szCs w:val="20"/>
          <w:highlight w:val="none"/>
          <w:lang w:eastAsia="zh-CN"/>
        </w:rPr>
        <w:t xml:space="preserve"> 承包人应在签订合同后，</w:t>
      </w:r>
      <w:r>
        <w:rPr>
          <w:rFonts w:hint="eastAsia" w:ascii="宋体" w:hAnsi="宋体" w:eastAsia="宋体" w:cs="宋体"/>
          <w:b/>
          <w:bCs/>
          <w:snapToGrid w:val="0"/>
          <w:color w:val="auto"/>
          <w:kern w:val="0"/>
          <w:sz w:val="24"/>
          <w:szCs w:val="20"/>
          <w:highlight w:val="none"/>
          <w:lang w:eastAsia="zh-CN"/>
        </w:rPr>
        <w:t>在提供符合要求的预付款保函或预付款保险</w:t>
      </w:r>
      <w:r>
        <w:rPr>
          <w:rFonts w:hint="eastAsia" w:ascii="宋体" w:hAnsi="宋体" w:eastAsia="宋体" w:cs="宋体"/>
          <w:snapToGrid w:val="0"/>
          <w:color w:val="auto"/>
          <w:kern w:val="0"/>
          <w:sz w:val="24"/>
          <w:szCs w:val="20"/>
          <w:highlight w:val="none"/>
          <w:lang w:eastAsia="zh-CN"/>
        </w:rPr>
        <w:t>及具备施工条件的前提下，向发包人提交预付款支付申请。发包人应对在收到支付申请的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天内进行核实后向承包人发出预付款支付证书，并在签发支付证书后的</w:t>
      </w:r>
      <w:r>
        <w:rPr>
          <w:rFonts w:hint="eastAsia" w:ascii="宋体" w:hAnsi="宋体" w:eastAsia="宋体" w:cs="宋体"/>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天内向承包人支付预付款。凡未签订合同或不具备施工条件的工程，发包人不得预付工程款。</w:t>
      </w:r>
    </w:p>
    <w:p w14:paraId="4D1856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3.2.</w:t>
      </w:r>
      <w:r>
        <w:rPr>
          <w:rFonts w:hint="eastAsia" w:ascii="宋体" w:hAnsi="宋体" w:eastAsia="宋体" w:cs="宋体"/>
          <w:b/>
          <w:bCs/>
          <w:snapToGrid w:val="0"/>
          <w:color w:val="auto"/>
          <w:kern w:val="0"/>
          <w:sz w:val="24"/>
          <w:szCs w:val="20"/>
          <w:highlight w:val="none"/>
          <w:lang w:val="en-US" w:eastAsia="zh-CN"/>
        </w:rPr>
        <w:t>4</w:t>
      </w:r>
      <w:r>
        <w:rPr>
          <w:rFonts w:hint="eastAsia" w:ascii="宋体" w:hAnsi="宋体" w:eastAsia="宋体" w:cs="宋体"/>
          <w:snapToGrid w:val="0"/>
          <w:color w:val="auto"/>
          <w:kern w:val="0"/>
          <w:sz w:val="24"/>
          <w:szCs w:val="20"/>
          <w:highlight w:val="none"/>
          <w:lang w:eastAsia="zh-CN"/>
        </w:rPr>
        <w:t xml:space="preserve"> 发包人没有按时支付预付款的，承包人可催告发包人支付；发包人在付款期满后的 7 天内仍未支付的，承包人可在付款期满后的第 8 天起暂停施工。发包人应向承包人支付应付款的利息（从付款期满后之日起计算，利率按同期银行贷款利率计算），并承担违约责任。</w:t>
      </w:r>
    </w:p>
    <w:p w14:paraId="7338FAE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val="en-US" w:eastAsia="zh-CN"/>
        </w:rPr>
        <w:t>3.2.5</w:t>
      </w:r>
      <w:r>
        <w:rPr>
          <w:rFonts w:hint="eastAsia" w:ascii="宋体" w:hAnsi="宋体" w:eastAsia="宋体" w:cs="宋体"/>
          <w:snapToGrid w:val="0"/>
          <w:color w:val="auto"/>
          <w:kern w:val="0"/>
          <w:sz w:val="24"/>
          <w:szCs w:val="20"/>
          <w:highlight w:val="none"/>
          <w:lang w:val="en-US" w:eastAsia="zh-CN"/>
        </w:rPr>
        <w:t xml:space="preserve"> 预付款应从每支付期应支付给承包人的工程进度款中扣回，直到扣回的金额达到合同约定的预付款金额为止。</w:t>
      </w:r>
    </w:p>
    <w:p w14:paraId="070C0CBD">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3.3</w:t>
      </w:r>
      <w:r>
        <w:rPr>
          <w:rFonts w:hint="eastAsia" w:ascii="宋体" w:hAnsi="宋体" w:eastAsia="宋体" w:cs="宋体"/>
          <w:snapToGrid w:val="0"/>
          <w:color w:val="auto"/>
          <w:kern w:val="0"/>
          <w:sz w:val="24"/>
          <w:szCs w:val="20"/>
          <w:highlight w:val="none"/>
          <w:lang w:eastAsia="zh-CN"/>
        </w:rPr>
        <w:t xml:space="preserve"> 施工过程中按月支付工程进度款：承包人每月按工程实际完成工程量（含变更及增加工程）申报，承包人必须将《已完成工程量报表》和《工程付款申请书》于当月26 日前报监理单位核实。经监理单位审核、发包人审定后的工程进度款（指已经按照合同约定，扣除该支付期内因承包人违约而应扣除的管理费），于申报次月支付。</w:t>
      </w:r>
    </w:p>
    <w:p w14:paraId="75B9AF6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3.4</w:t>
      </w:r>
      <w:r>
        <w:rPr>
          <w:rFonts w:hint="eastAsia" w:ascii="宋体" w:hAnsi="宋体" w:eastAsia="宋体" w:cs="宋体"/>
          <w:snapToGrid w:val="0"/>
          <w:color w:val="auto"/>
          <w:kern w:val="0"/>
          <w:sz w:val="24"/>
          <w:szCs w:val="20"/>
          <w:highlight w:val="none"/>
          <w:lang w:eastAsia="zh-CN"/>
        </w:rPr>
        <w:t xml:space="preserve"> 每月的工程进度款按工程实际完成工程量的 80% 申请支付，工程进度款中的作业工人工资款项由发包人单独足额拨付到承包人的工资专户。</w:t>
      </w:r>
    </w:p>
    <w:p w14:paraId="3A73F845">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5</w:t>
      </w:r>
      <w:r>
        <w:rPr>
          <w:rFonts w:hint="eastAsia" w:ascii="宋体" w:hAnsi="宋体" w:eastAsia="宋体" w:cs="宋体"/>
          <w:snapToGrid w:val="0"/>
          <w:color w:val="auto"/>
          <w:kern w:val="0"/>
          <w:sz w:val="24"/>
          <w:szCs w:val="20"/>
          <w:highlight w:val="none"/>
          <w:lang w:eastAsia="zh-CN"/>
        </w:rPr>
        <w:t xml:space="preserve"> 措施项目费中的“</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”拨付按照《广东省建设工程计价依据（20</w:t>
      </w:r>
      <w:r>
        <w:rPr>
          <w:rFonts w:hint="eastAsia" w:ascii="宋体" w:hAnsi="宋体" w:eastAsia="宋体" w:cs="宋体"/>
          <w:snapToGrid w:val="0"/>
          <w:color w:val="auto"/>
          <w:kern w:val="0"/>
          <w:sz w:val="24"/>
          <w:szCs w:val="20"/>
          <w:highlight w:val="none"/>
          <w:lang w:val="en-US" w:eastAsia="zh-CN"/>
        </w:rPr>
        <w:t>24</w:t>
      </w:r>
      <w:r>
        <w:rPr>
          <w:rFonts w:hint="eastAsia" w:ascii="宋体" w:hAnsi="宋体" w:eastAsia="宋体" w:cs="宋体"/>
          <w:snapToGrid w:val="0"/>
          <w:color w:val="auto"/>
          <w:kern w:val="0"/>
          <w:sz w:val="24"/>
          <w:szCs w:val="20"/>
          <w:highlight w:val="none"/>
          <w:lang w:eastAsia="zh-CN"/>
        </w:rPr>
        <w:t>）》执行，按照项目所在地的建设行政主管部门有关规定支付。发生一般事故及以上等级重大安全事故的，发包人可扣除承包人金额相当于所有“</w:t>
      </w:r>
      <w:r>
        <w:rPr>
          <w:rFonts w:hint="eastAsia" w:ascii="宋体" w:hAnsi="宋体" w:eastAsia="宋体" w:cs="宋体"/>
          <w:snapToGrid w:val="0"/>
          <w:color w:val="auto"/>
          <w:kern w:val="0"/>
          <w:sz w:val="24"/>
          <w:szCs w:val="20"/>
          <w:highlight w:val="none"/>
          <w:lang w:val="en-US" w:eastAsia="zh-CN"/>
        </w:rPr>
        <w:t>安全生产措施费</w:t>
      </w:r>
      <w:r>
        <w:rPr>
          <w:rFonts w:hint="eastAsia" w:ascii="宋体" w:hAnsi="宋体" w:eastAsia="宋体" w:cs="宋体"/>
          <w:snapToGrid w:val="0"/>
          <w:color w:val="auto"/>
          <w:kern w:val="0"/>
          <w:sz w:val="24"/>
          <w:szCs w:val="20"/>
          <w:highlight w:val="none"/>
          <w:lang w:eastAsia="zh-CN"/>
        </w:rPr>
        <w:t>”的工程管理费。</w:t>
      </w:r>
    </w:p>
    <w:p w14:paraId="738F555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6</w:t>
      </w:r>
      <w:r>
        <w:rPr>
          <w:rFonts w:hint="eastAsia" w:ascii="宋体" w:hAnsi="宋体" w:eastAsia="宋体" w:cs="宋体"/>
          <w:snapToGrid w:val="0"/>
          <w:color w:val="auto"/>
          <w:kern w:val="0"/>
          <w:sz w:val="24"/>
          <w:szCs w:val="20"/>
          <w:highlight w:val="none"/>
          <w:lang w:eastAsia="zh-CN"/>
        </w:rPr>
        <w:t xml:space="preserve"> 变更工程造价必须经监理单位核实，并经发包人核定后方可支付。</w:t>
      </w:r>
    </w:p>
    <w:p w14:paraId="29EEE166">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7</w:t>
      </w:r>
      <w:r>
        <w:rPr>
          <w:rFonts w:hint="eastAsia" w:ascii="宋体" w:hAnsi="宋体" w:eastAsia="宋体" w:cs="宋体"/>
          <w:snapToGrid w:val="0"/>
          <w:color w:val="auto"/>
          <w:kern w:val="0"/>
          <w:sz w:val="24"/>
          <w:szCs w:val="20"/>
          <w:highlight w:val="none"/>
          <w:lang w:eastAsia="zh-CN"/>
        </w:rPr>
        <w:t xml:space="preserve"> 结算审核完成后，</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支付至合同价格的97%，剩余3%转为质量保证金；承包人提交了等额质量保证担保或质量保证保险的，</w:t>
      </w:r>
      <w:r>
        <w:rPr>
          <w:rFonts w:hint="eastAsia" w:ascii="宋体" w:hAnsi="宋体" w:eastAsia="宋体" w:cs="宋体"/>
          <w:snapToGrid w:val="0"/>
          <w:color w:val="auto"/>
          <w:kern w:val="0"/>
          <w:sz w:val="24"/>
          <w:szCs w:val="20"/>
          <w:highlight w:val="none"/>
          <w:lang w:val="en-US" w:eastAsia="zh-CN"/>
        </w:rPr>
        <w:t>可</w:t>
      </w:r>
      <w:r>
        <w:rPr>
          <w:rFonts w:hint="eastAsia" w:ascii="宋体" w:hAnsi="宋体" w:eastAsia="宋体" w:cs="宋体"/>
          <w:snapToGrid w:val="0"/>
          <w:color w:val="auto"/>
          <w:kern w:val="0"/>
          <w:sz w:val="24"/>
          <w:szCs w:val="20"/>
          <w:highlight w:val="none"/>
          <w:lang w:eastAsia="zh-CN"/>
        </w:rPr>
        <w:t>一次性结清合同价格。</w:t>
      </w:r>
    </w:p>
    <w:p w14:paraId="35128F04">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8</w:t>
      </w:r>
      <w:r>
        <w:rPr>
          <w:rFonts w:hint="eastAsia" w:ascii="宋体" w:hAnsi="宋体" w:eastAsia="宋体" w:cs="宋体"/>
          <w:snapToGrid w:val="0"/>
          <w:color w:val="auto"/>
          <w:kern w:val="0"/>
          <w:sz w:val="24"/>
          <w:szCs w:val="20"/>
          <w:highlight w:val="none"/>
          <w:lang w:eastAsia="zh-CN"/>
        </w:rPr>
        <w:t>本招标项目缺陷责任期为</w:t>
      </w:r>
      <w:r>
        <w:rPr>
          <w:rFonts w:hint="eastAsia" w:ascii="宋体" w:hAnsi="宋体" w:eastAsia="宋体" w:cs="宋体"/>
          <w:snapToGrid w:val="0"/>
          <w:color w:val="auto"/>
          <w:kern w:val="0"/>
          <w:sz w:val="24"/>
          <w:szCs w:val="20"/>
          <w:highlight w:val="none"/>
          <w:u w:val="single"/>
          <w:lang w:val="en-US" w:eastAsia="zh-CN"/>
        </w:rPr>
        <w:t>2</w:t>
      </w:r>
      <w:r>
        <w:rPr>
          <w:rFonts w:hint="eastAsia" w:ascii="宋体" w:hAnsi="宋体" w:eastAsia="宋体" w:cs="宋体"/>
          <w:snapToGrid w:val="0"/>
          <w:color w:val="auto"/>
          <w:kern w:val="0"/>
          <w:sz w:val="24"/>
          <w:szCs w:val="20"/>
          <w:highlight w:val="none"/>
          <w:lang w:eastAsia="zh-CN"/>
        </w:rPr>
        <w:t xml:space="preserve"> 年（自通过竣工验收之日起计）。缺陷责任期到期后，承包人向发包人申请退还质量保证。发包人收到退还申请后，于</w:t>
      </w:r>
      <w:r>
        <w:rPr>
          <w:rFonts w:hint="eastAsia" w:ascii="宋体" w:hAnsi="宋体" w:eastAsia="宋体" w:cs="宋体"/>
          <w:snapToGrid w:val="0"/>
          <w:color w:val="auto"/>
          <w:kern w:val="0"/>
          <w:sz w:val="24"/>
          <w:szCs w:val="20"/>
          <w:highlight w:val="none"/>
          <w:u w:val="single"/>
          <w:lang w:eastAsia="zh-CN"/>
        </w:rPr>
        <w:t>14</w:t>
      </w:r>
      <w:r>
        <w:rPr>
          <w:rFonts w:hint="eastAsia" w:ascii="宋体" w:hAnsi="宋体" w:eastAsia="宋体" w:cs="宋体"/>
          <w:snapToGrid w:val="0"/>
          <w:color w:val="auto"/>
          <w:kern w:val="0"/>
          <w:sz w:val="24"/>
          <w:szCs w:val="20"/>
          <w:highlight w:val="none"/>
          <w:lang w:eastAsia="zh-CN"/>
        </w:rPr>
        <w:t>天内会同承包人进行核实。经双方核实且均无异议后，发包人在核实之日起</w:t>
      </w:r>
      <w:r>
        <w:rPr>
          <w:rFonts w:hint="eastAsia" w:ascii="宋体" w:hAnsi="宋体" w:eastAsia="宋体" w:cs="宋体"/>
          <w:snapToGrid w:val="0"/>
          <w:color w:val="auto"/>
          <w:kern w:val="0"/>
          <w:sz w:val="24"/>
          <w:szCs w:val="20"/>
          <w:highlight w:val="none"/>
          <w:u w:val="single"/>
          <w:lang w:eastAsia="zh-CN"/>
        </w:rPr>
        <w:t xml:space="preserve"> 14 </w:t>
      </w:r>
      <w:r>
        <w:rPr>
          <w:rFonts w:hint="eastAsia" w:ascii="宋体" w:hAnsi="宋体" w:eastAsia="宋体" w:cs="宋体"/>
          <w:snapToGrid w:val="0"/>
          <w:color w:val="auto"/>
          <w:kern w:val="0"/>
          <w:sz w:val="24"/>
          <w:szCs w:val="20"/>
          <w:highlight w:val="none"/>
          <w:lang w:eastAsia="zh-CN"/>
        </w:rPr>
        <w:t>天内将应返保证金（或银行保函）退还承包人。</w:t>
      </w:r>
    </w:p>
    <w:p w14:paraId="7B410B9A">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3.9</w:t>
      </w:r>
      <w:r>
        <w:rPr>
          <w:rFonts w:hint="eastAsia" w:ascii="宋体" w:hAnsi="宋体" w:eastAsia="宋体" w:cs="宋体"/>
          <w:snapToGrid w:val="0"/>
          <w:color w:val="auto"/>
          <w:kern w:val="0"/>
          <w:sz w:val="24"/>
          <w:szCs w:val="20"/>
          <w:highlight w:val="none"/>
          <w:lang w:eastAsia="zh-CN"/>
        </w:rPr>
        <w:t xml:space="preserve"> </w:t>
      </w:r>
      <w:r>
        <w:rPr>
          <w:rFonts w:hint="eastAsia" w:ascii="宋体" w:hAnsi="宋体" w:eastAsia="宋体" w:cs="宋体"/>
          <w:b/>
          <w:bCs/>
          <w:snapToGrid w:val="0"/>
          <w:color w:val="auto"/>
          <w:kern w:val="0"/>
          <w:sz w:val="24"/>
          <w:szCs w:val="20"/>
          <w:highlight w:val="none"/>
          <w:lang w:eastAsia="zh-CN"/>
        </w:rPr>
        <w:t>发包人每次支付工程款前，承包人均应提供有效的增值税专用发票。如果承包人无法提供符合要求的发票，由此造成的相应损失由承包人承担。</w:t>
      </w:r>
    </w:p>
    <w:p w14:paraId="79D37AA9">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lang w:eastAsia="zh-CN"/>
        </w:rPr>
      </w:pPr>
      <w:r>
        <w:rPr>
          <w:rFonts w:hint="eastAsia" w:ascii="宋体" w:hAnsi="宋体" w:eastAsia="宋体" w:cs="宋体"/>
          <w:b/>
          <w:bCs/>
          <w:snapToGrid w:val="0"/>
          <w:color w:val="auto"/>
          <w:kern w:val="0"/>
          <w:sz w:val="24"/>
          <w:szCs w:val="20"/>
          <w:highlight w:val="none"/>
          <w:lang w:eastAsia="zh-CN"/>
        </w:rPr>
        <w:t>3.</w:t>
      </w:r>
      <w:r>
        <w:rPr>
          <w:rFonts w:hint="eastAsia" w:ascii="宋体" w:hAnsi="宋体" w:eastAsia="宋体" w:cs="宋体"/>
          <w:b/>
          <w:bCs/>
          <w:snapToGrid w:val="0"/>
          <w:color w:val="auto"/>
          <w:kern w:val="0"/>
          <w:sz w:val="24"/>
          <w:szCs w:val="20"/>
          <w:highlight w:val="none"/>
          <w:lang w:val="en-US" w:eastAsia="zh-CN"/>
        </w:rPr>
        <w:t>10</w:t>
      </w:r>
      <w:r>
        <w:rPr>
          <w:rFonts w:hint="eastAsia" w:ascii="宋体" w:hAnsi="宋体" w:eastAsia="宋体" w:cs="宋体"/>
          <w:snapToGrid w:val="0"/>
          <w:color w:val="auto"/>
          <w:kern w:val="0"/>
          <w:sz w:val="24"/>
          <w:szCs w:val="20"/>
          <w:highlight w:val="none"/>
          <w:lang w:eastAsia="zh-CN"/>
        </w:rPr>
        <w:t>暂列金额支付方式：</w:t>
      </w:r>
      <w:r>
        <w:rPr>
          <w:rFonts w:hint="eastAsia" w:ascii="宋体" w:hAnsi="宋体" w:eastAsia="宋体" w:cs="宋体"/>
          <w:snapToGrid w:val="0"/>
          <w:color w:val="auto"/>
          <w:kern w:val="0"/>
          <w:sz w:val="24"/>
          <w:szCs w:val="20"/>
          <w:highlight w:val="none"/>
          <w:u w:val="single"/>
          <w:lang w:val="en-US" w:eastAsia="zh-CN"/>
        </w:rPr>
        <w:t>承包人需根据发包人发布的《工程变更管理办法》和《工程签证管理办法》完善工程变更签证相关程序后，与每个月的工程进度款一并报送；若承包人原因未按上述办法在规定时间内完善工程变更签证相关程序的，当月工程进度款中的变更签证部分暂停拨付。在暂列金额的范围内，最终经发包人委托的全过程造价咨询公司审核、发包人确认后支付至该部分实际完成工程量的80％，其余部分待结算完成审核后支付至97%，剩余3%为工程质量保修金。</w:t>
      </w:r>
    </w:p>
    <w:p w14:paraId="184A088B">
      <w:pPr>
        <w:widowControl w:val="0"/>
        <w:kinsoku/>
        <w:wordWrap w:val="0"/>
        <w:autoSpaceDE/>
        <w:autoSpaceDN/>
        <w:adjustRightInd w:val="0"/>
        <w:snapToGrid w:val="0"/>
        <w:spacing w:line="440" w:lineRule="exact"/>
        <w:ind w:firstLine="482" w:firstLineChars="200"/>
        <w:jc w:val="both"/>
        <w:textAlignment w:val="auto"/>
        <w:rPr>
          <w:rFonts w:hint="eastAsia" w:ascii="宋体" w:hAnsi="宋体" w:eastAsia="宋体" w:cs="宋体"/>
          <w:snapToGrid w:val="0"/>
          <w:color w:val="auto"/>
          <w:kern w:val="0"/>
          <w:sz w:val="24"/>
          <w:szCs w:val="20"/>
          <w:highlight w:val="none"/>
          <w:u w:val="single"/>
          <w:lang w:eastAsia="zh-CN"/>
        </w:rPr>
      </w:pPr>
      <w:r>
        <w:rPr>
          <w:rFonts w:hint="eastAsia" w:ascii="宋体" w:hAnsi="宋体" w:eastAsia="宋体" w:cs="宋体"/>
          <w:b/>
          <w:bCs/>
          <w:snapToGrid w:val="0"/>
          <w:color w:val="auto"/>
          <w:kern w:val="0"/>
          <w:sz w:val="24"/>
          <w:szCs w:val="20"/>
          <w:highlight w:val="none"/>
          <w:lang w:eastAsia="zh-CN"/>
        </w:rPr>
        <w:t>3.11</w:t>
      </w:r>
      <w:r>
        <w:rPr>
          <w:rFonts w:hint="eastAsia" w:ascii="宋体" w:hAnsi="宋体" w:eastAsia="宋体" w:cs="宋体"/>
          <w:snapToGrid w:val="0"/>
          <w:color w:val="auto"/>
          <w:kern w:val="0"/>
          <w:sz w:val="24"/>
          <w:szCs w:val="20"/>
          <w:highlight w:val="none"/>
          <w:lang w:eastAsia="zh-CN"/>
        </w:rPr>
        <w:t xml:space="preserve"> 材料暂估价、专业工程暂估价支付方式：</w:t>
      </w:r>
      <w:r>
        <w:rPr>
          <w:rFonts w:hint="eastAsia" w:ascii="宋体" w:hAnsi="宋体" w:eastAsia="宋体" w:cs="宋体"/>
          <w:snapToGrid w:val="0"/>
          <w:color w:val="auto"/>
          <w:kern w:val="0"/>
          <w:sz w:val="24"/>
          <w:szCs w:val="20"/>
          <w:highlight w:val="none"/>
          <w:u w:val="single"/>
          <w:lang w:eastAsia="zh-CN"/>
        </w:rPr>
        <w:t>材料暂估价、专业工程暂估价与每个月的工程进度款一并报送，但需要列明详细项目内容，该部分材料暂估价、专业工程暂估价按该部分实际完成工程量的50%支付，工程竣工验收合格后支付至8</w:t>
      </w:r>
      <w:r>
        <w:rPr>
          <w:rFonts w:hint="eastAsia" w:ascii="宋体" w:hAnsi="宋体" w:eastAsia="宋体" w:cs="宋体"/>
          <w:snapToGrid w:val="0"/>
          <w:color w:val="auto"/>
          <w:kern w:val="0"/>
          <w:sz w:val="24"/>
          <w:szCs w:val="20"/>
          <w:highlight w:val="none"/>
          <w:u w:val="single"/>
          <w:lang w:val="en-US" w:eastAsia="zh-CN"/>
        </w:rPr>
        <w:t>0</w:t>
      </w:r>
      <w:r>
        <w:rPr>
          <w:rFonts w:hint="eastAsia" w:ascii="宋体" w:hAnsi="宋体" w:eastAsia="宋体" w:cs="宋体"/>
          <w:snapToGrid w:val="0"/>
          <w:color w:val="auto"/>
          <w:kern w:val="0"/>
          <w:sz w:val="24"/>
          <w:szCs w:val="20"/>
          <w:highlight w:val="none"/>
          <w:u w:val="single"/>
          <w:lang w:eastAsia="zh-CN"/>
        </w:rPr>
        <w:t>%，剩余部分结算完成后支付至审定造价的97%，剩余3%为工程质量保修金。</w:t>
      </w:r>
    </w:p>
    <w:p w14:paraId="0DB87552">
      <w:pPr>
        <w:spacing w:before="154" w:line="212" w:lineRule="auto"/>
        <w:ind w:left="486"/>
        <w:outlineLvl w:val="2"/>
        <w:rPr>
          <w:rFonts w:hint="eastAsia" w:ascii="宋体" w:hAnsi="宋体" w:eastAsia="宋体" w:cs="宋体"/>
          <w:b/>
          <w:bCs/>
          <w:color w:val="auto"/>
          <w:spacing w:val="-7"/>
          <w:sz w:val="24"/>
          <w:szCs w:val="24"/>
          <w:highlight w:val="none"/>
        </w:rPr>
      </w:pPr>
      <w:bookmarkStart w:id="179" w:name="_Toc29229"/>
      <w:r>
        <w:rPr>
          <w:rFonts w:hint="eastAsia" w:ascii="宋体" w:hAnsi="宋体" w:eastAsia="宋体" w:cs="宋体"/>
          <w:b/>
          <w:bCs/>
          <w:color w:val="auto"/>
          <w:spacing w:val="-7"/>
          <w:sz w:val="24"/>
          <w:szCs w:val="24"/>
          <w:highlight w:val="none"/>
        </w:rPr>
        <w:t>4</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7"/>
          <w:sz w:val="24"/>
          <w:szCs w:val="24"/>
          <w:highlight w:val="none"/>
        </w:rPr>
        <w:t>．其他专用合同条款</w:t>
      </w:r>
      <w:bookmarkEnd w:id="179"/>
    </w:p>
    <w:p w14:paraId="01EFC9A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 </w:t>
      </w:r>
      <w:r>
        <w:rPr>
          <w:rFonts w:hint="eastAsia" w:ascii="宋体" w:hAnsi="宋体" w:eastAsia="宋体" w:cs="宋体"/>
          <w:bCs/>
          <w:snapToGrid w:val="0"/>
          <w:color w:val="auto"/>
          <w:kern w:val="0"/>
          <w:sz w:val="24"/>
          <w:szCs w:val="24"/>
          <w:highlight w:val="none"/>
          <w:lang w:val="en-US" w:eastAsia="zh-CN"/>
        </w:rPr>
        <w:t xml:space="preserve">专业工程分包 </w:t>
      </w:r>
    </w:p>
    <w:p w14:paraId="26A1ED5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 </w:t>
      </w:r>
    </w:p>
    <w:p w14:paraId="17734C5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w:t>
      </w:r>
      <w:r>
        <w:rPr>
          <w:rFonts w:hint="eastAsia" w:ascii="宋体" w:hAnsi="宋体" w:eastAsia="宋体" w:cs="宋体"/>
          <w:bCs/>
          <w:snapToGrid w:val="0"/>
          <w:color w:val="auto"/>
          <w:kern w:val="0"/>
          <w:sz w:val="24"/>
          <w:szCs w:val="24"/>
          <w:highlight w:val="none"/>
          <w:lang w:val="en-US" w:eastAsia="zh-CN"/>
        </w:rPr>
        <w:t xml:space="preserve"> 工人工资支付专用账户 </w:t>
      </w:r>
    </w:p>
    <w:p w14:paraId="5F615F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  </w:t>
      </w:r>
    </w:p>
    <w:p w14:paraId="310B41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依据人力资源社会保障部等十部门印发的《工程建设领域农民工工资专用账户管理暂行办法》（人社部发〔2021〕53 号）文件规定，承包人中标后，须到银行设立工人工资支付专用账户，用于支付工人工资。发包人支付工程款时，将按工程款（不含工人工资）和工人工资两部分分开支付，工人工资支付至专用账户。承包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 </w:t>
      </w:r>
    </w:p>
    <w:p w14:paraId="4C837173">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按韶关市人力资源和社会保障局、韶关市住房和城乡建设管理局、韶关市交通运输局韶关市水务局、韶关市金融工作局、国家金融监督管理总局韶关监管分局关于印发《韶关市工程建设领域农民工工资保证金管理实施细则》的通知(韶人社规〔2023〕2 号) 及《韶关市工程建设领域农民工工资保证金管理实施细则》（韶法审〔2023〕19 号）规定执行。承包人在签订工程施工承包合同后一个月内必须办妥该事项，并将办妥回执交发包人。 </w:t>
      </w:r>
    </w:p>
    <w:p w14:paraId="20A96B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包人代支的工资除了从当期工程款内直接扣除外,承包人须按照发包人所垫付的民工工资 2 倍向发包人支付违约金。 </w:t>
      </w:r>
    </w:p>
    <w:p w14:paraId="04932DD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4.2.3 承包人应在工资专户开立后 2 个工作日内，将开户银行及其账号、开户协议等资料提交给发包人。 </w:t>
      </w:r>
    </w:p>
    <w:p w14:paraId="2EDDE0E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（1）用人单位应当在建设项目动工前，在建设项目所在地商业银行设立工人工资支付专用账户。 </w:t>
      </w:r>
    </w:p>
    <w:p w14:paraId="393F8C3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（2）用人单位应当在用工之日起 15 日内为每一位工人办理个人银行账户。</w:t>
      </w:r>
    </w:p>
    <w:p w14:paraId="5DB0DF8B">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（3）用人单位应当指定专人负责建设项目施工现场台账管理，真实、准确记录工人名册、劳务合同、劳动合同、工程进度、工时台账、劳务承包款和工人工资支付等信息， 并保存两年以上备查。 </w:t>
      </w:r>
    </w:p>
    <w:p w14:paraId="6EBACBFE">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（4）用人单位应当按照“及时支付，按实结算”的原则，在规定日期前通过银行工人 工资支付专用账户将工人工资直接支付到工人的个人银行账户，并按月将工人工资支付 明细表报施工总承包单位和建设单位备案。</w:t>
      </w:r>
    </w:p>
    <w:p w14:paraId="29039645">
      <w:pPr>
        <w:adjustRightInd w:val="0"/>
        <w:snapToGrid w:val="0"/>
        <w:spacing w:line="440" w:lineRule="exact"/>
        <w:ind w:firstLine="480"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用人单位未建立、保存用工管理台账，或者伪造相关台账的，按照《广东省劳动保障监察条例》第五十条的规定，由人力资源社会保障部门责令改正，并可处以二千元以上二万元以下的人民币罚款。</w:t>
      </w:r>
    </w:p>
    <w:p w14:paraId="49350724">
      <w:pPr>
        <w:pStyle w:val="2"/>
        <w:rPr>
          <w:rFonts w:hint="default"/>
          <w:color w:val="auto"/>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bCs w:val="0"/>
          <w:snapToGrid w:val="0"/>
          <w:color w:val="auto"/>
          <w:kern w:val="0"/>
          <w:sz w:val="24"/>
          <w:szCs w:val="24"/>
          <w:highlight w:val="none"/>
          <w:lang w:val="en-US" w:eastAsia="zh-CN"/>
        </w:rPr>
        <w:t xml:space="preserve">  4.2.4 根据《广东省住房和城乡建设厅关于印发《广东省在建房屋市政工程项目落实用工实名制和工资支付有关制度标准化管理手册》的通知》(粤建市[2026〕63号)规定，承包人须对照《手册》要求，从合同签订、开工准备、施工建设到完工的整个工程建设阶段用工实名制和工资支付规范化管理，预防和减少因保障农民工工资支付有关制度落实不严不细引发的欠薪纠纷和隐患，切实维护建筑业企业和建筑工人的合法权益。</w:t>
      </w:r>
    </w:p>
    <w:p w14:paraId="7635F55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Cs/>
          <w:snapToGrid w:val="0"/>
          <w:color w:val="auto"/>
          <w:kern w:val="0"/>
          <w:sz w:val="24"/>
          <w:szCs w:val="24"/>
          <w:highlight w:val="none"/>
          <w:lang w:val="en-US" w:eastAsia="zh-CN"/>
        </w:rPr>
        <w:t xml:space="preserve">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 </w:t>
      </w:r>
    </w:p>
    <w:p w14:paraId="38A9E3E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4.3</w:t>
      </w:r>
      <w:r>
        <w:rPr>
          <w:rFonts w:hint="eastAsia" w:ascii="宋体" w:hAnsi="宋体" w:eastAsia="宋体" w:cs="宋体"/>
          <w:bCs/>
          <w:snapToGrid w:val="0"/>
          <w:color w:val="auto"/>
          <w:kern w:val="0"/>
          <w:sz w:val="24"/>
          <w:szCs w:val="24"/>
          <w:highlight w:val="none"/>
          <w:lang w:val="en-US" w:eastAsia="zh-CN"/>
        </w:rPr>
        <w:t xml:space="preserve"> 诚信登记 </w:t>
      </w:r>
    </w:p>
    <w:p w14:paraId="3C7D81E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根据资质管理规定，许可机关应当建立、健全建筑业企业信用档案管理制度，包括企业基本信息、资质、业绩、工程质量和安全、合同履约、社会投诉和违法行为等情况。 </w:t>
      </w:r>
    </w:p>
    <w:p w14:paraId="591F44E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w:t>
      </w:r>
      <w:r>
        <w:rPr>
          <w:rFonts w:hint="eastAsia" w:ascii="宋体" w:hAnsi="宋体" w:eastAsia="宋体" w:cs="宋体"/>
          <w:bCs/>
          <w:snapToGrid w:val="0"/>
          <w:color w:val="auto"/>
          <w:kern w:val="0"/>
          <w:sz w:val="24"/>
          <w:szCs w:val="24"/>
          <w:highlight w:val="none"/>
          <w:lang w:val="en-US" w:eastAsia="zh-CN"/>
        </w:rPr>
        <w:t xml:space="preserve"> 工期进度 </w:t>
      </w:r>
    </w:p>
    <w:p w14:paraId="5A7E027A">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4.4.1</w:t>
      </w:r>
      <w:r>
        <w:rPr>
          <w:rFonts w:hint="eastAsia" w:ascii="宋体" w:hAnsi="宋体" w:eastAsia="宋体" w:cs="宋体"/>
          <w:bCs/>
          <w:snapToGrid w:val="0"/>
          <w:color w:val="auto"/>
          <w:kern w:val="0"/>
          <w:sz w:val="24"/>
          <w:szCs w:val="24"/>
          <w:highlight w:val="none"/>
          <w:lang w:val="en-US" w:eastAsia="zh-CN"/>
        </w:rPr>
        <w:t xml:space="preserve"> 本招标项目招标工期为</w:t>
      </w:r>
      <w:r>
        <w:rPr>
          <w:rFonts w:hint="eastAsia" w:ascii="宋体" w:hAnsi="宋体" w:eastAsia="宋体" w:cs="宋体"/>
          <w:bCs/>
          <w:snapToGrid w:val="0"/>
          <w:color w:val="auto"/>
          <w:kern w:val="0"/>
          <w:sz w:val="24"/>
          <w:szCs w:val="24"/>
          <w:highlight w:val="none"/>
          <w:u w:val="single"/>
          <w:lang w:val="en-US" w:eastAsia="zh-CN"/>
        </w:rPr>
        <w:t>150</w:t>
      </w:r>
      <w:r>
        <w:rPr>
          <w:rFonts w:hint="eastAsia" w:ascii="宋体" w:hAnsi="宋体" w:eastAsia="宋体" w:cs="宋体"/>
          <w:bCs/>
          <w:snapToGrid w:val="0"/>
          <w:color w:val="auto"/>
          <w:kern w:val="0"/>
          <w:sz w:val="24"/>
          <w:szCs w:val="24"/>
          <w:highlight w:val="none"/>
          <w:lang w:val="en-US" w:eastAsia="zh-CN"/>
        </w:rPr>
        <w:t xml:space="preserve">个日历天，承包人必须在招标工期内完成招标范围内的全部内容。 </w:t>
      </w:r>
    </w:p>
    <w:p w14:paraId="3AD3FEC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4.4.2</w:t>
      </w:r>
      <w:r>
        <w:rPr>
          <w:rFonts w:hint="eastAsia" w:ascii="宋体" w:hAnsi="宋体" w:eastAsia="宋体" w:cs="宋体"/>
          <w:bCs/>
          <w:snapToGrid w:val="0"/>
          <w:color w:val="auto"/>
          <w:kern w:val="0"/>
          <w:sz w:val="24"/>
          <w:szCs w:val="24"/>
          <w:highlight w:val="none"/>
          <w:lang w:val="en-US" w:eastAsia="zh-CN"/>
        </w:rPr>
        <w:t xml:space="preserve"> 施工工期从承包人收到监理单位签发的开工令之日起计，至竣工验收合格之日止。 </w:t>
      </w:r>
    </w:p>
    <w:p w14:paraId="744114A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4.4.3</w:t>
      </w:r>
      <w:r>
        <w:rPr>
          <w:rFonts w:hint="eastAsia" w:ascii="宋体" w:hAnsi="宋体" w:eastAsia="宋体" w:cs="宋体"/>
          <w:bCs/>
          <w:snapToGrid w:val="0"/>
          <w:color w:val="auto"/>
          <w:kern w:val="0"/>
          <w:sz w:val="24"/>
          <w:szCs w:val="24"/>
          <w:highlight w:val="none"/>
          <w:lang w:val="en-US" w:eastAsia="zh-CN"/>
        </w:rPr>
        <w:t xml:space="preserve"> 工期奖罚 </w:t>
      </w:r>
    </w:p>
    <w:p w14:paraId="2645B83E">
      <w:pPr>
        <w:adjustRightInd w:val="0"/>
        <w:snapToGrid w:val="0"/>
        <w:spacing w:line="440" w:lineRule="exact"/>
        <w:ind w:firstLine="480" w:firstLineChars="200"/>
        <w:rPr>
          <w:rFonts w:hint="default" w:ascii="宋体" w:hAnsi="宋体" w:eastAsia="宋体" w:cs="宋体"/>
          <w:bCs/>
          <w:snapToGrid w:val="0"/>
          <w:color w:val="auto"/>
          <w:kern w:val="0"/>
          <w:sz w:val="24"/>
          <w:szCs w:val="24"/>
          <w:highlight w:val="none"/>
          <w:u w:val="single"/>
          <w:lang w:val="en-US"/>
        </w:rPr>
      </w:pPr>
      <w:r>
        <w:rPr>
          <w:rFonts w:hint="eastAsia" w:ascii="宋体" w:hAnsi="宋体" w:eastAsia="宋体" w:cs="宋体"/>
          <w:bCs/>
          <w:snapToGrid w:val="0"/>
          <w:color w:val="auto"/>
          <w:kern w:val="0"/>
          <w:sz w:val="24"/>
          <w:szCs w:val="24"/>
          <w:highlight w:val="none"/>
          <w:lang w:val="en-US" w:eastAsia="zh-CN"/>
        </w:rPr>
        <w:t>□竣工验收合格交付使用每提前</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天竣工；奖</w:t>
      </w:r>
      <w:r>
        <w:rPr>
          <w:rFonts w:hint="eastAsia" w:ascii="宋体" w:hAnsi="宋体" w:eastAsia="宋体" w:cs="宋体"/>
          <w:bCs/>
          <w:snapToGrid w:val="0"/>
          <w:color w:val="auto"/>
          <w:kern w:val="0"/>
          <w:sz w:val="24"/>
          <w:szCs w:val="24"/>
          <w:highlight w:val="none"/>
          <w:u w:val="single"/>
          <w:lang w:val="en-US" w:eastAsia="zh-CN"/>
        </w:rPr>
        <w:t>/</w:t>
      </w:r>
    </w:p>
    <w:p w14:paraId="0536562A">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元，奖励金额不超过合同价款的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5CDEF15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元。 </w:t>
      </w:r>
    </w:p>
    <w:p w14:paraId="29A1CCA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□按施工合同期约定,因承包人原因延误工期</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天内不处罚， 自第壹天起每延误</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天竣工,罚元。处罚金额不超过合同价款的</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%（一般为 2%～5%）且不超过万元，累计延误工期达到</w:t>
      </w:r>
      <w:r>
        <w:rPr>
          <w:rFonts w:hint="eastAsia" w:ascii="宋体" w:hAnsi="宋体" w:eastAsia="宋体" w:cs="宋体"/>
          <w:bCs/>
          <w:snapToGrid w:val="0"/>
          <w:color w:val="auto"/>
          <w:kern w:val="0"/>
          <w:sz w:val="24"/>
          <w:szCs w:val="24"/>
          <w:highlight w:val="none"/>
          <w:u w:val="single"/>
          <w:lang w:val="en-US" w:eastAsia="zh-CN"/>
        </w:rPr>
        <w:t>/</w:t>
      </w:r>
      <w:r>
        <w:rPr>
          <w:rFonts w:hint="eastAsia" w:ascii="宋体" w:hAnsi="宋体" w:eastAsia="宋体" w:cs="宋体"/>
          <w:bCs/>
          <w:snapToGrid w:val="0"/>
          <w:color w:val="auto"/>
          <w:kern w:val="0"/>
          <w:sz w:val="24"/>
          <w:szCs w:val="24"/>
          <w:highlight w:val="none"/>
          <w:lang w:val="en-US" w:eastAsia="zh-CN"/>
        </w:rPr>
        <w:t xml:space="preserve">天，报请建设行政主管部门作不良行为记录，非承包方原因或不可抗力造成延误的除外。 </w:t>
      </w:r>
    </w:p>
    <w:p w14:paraId="18751D9C">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☑其它说明：（1）因承包人原因，工程没有按期竣工时，承包人须在逾期第壹天起每天按合同价的 1‰ 向发包人返纳逾期竣工违约金。逾期竣工违约金的最高限额为合同价款的3%。</w:t>
      </w:r>
    </w:p>
    <w:p w14:paraId="0742827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2）承包人需提供各子项目的年度、季度、月、周施工计划报监理单位及发包人确认，在计划实施过程中，发包人及监理单位对承包人实际工期按周、月、季度进行检查、分析、评价，如与实际施工进度发生偏离的，由监理单位书面提醒承包人采取措施，如提醒后承包人未采取有效措施按施工计划按时完成的，每次按200元缴纳违约金给发包人，在结算中一并扣除。</w:t>
      </w:r>
    </w:p>
    <w:p w14:paraId="533F00A0">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（3）承包人在进场后7天内提交施工进度计划，并注明主要施工节点时间，送监理单位及发包人审核后，作为工期考核的阶段性指标。</w:t>
      </w:r>
    </w:p>
    <w:p w14:paraId="2CC5BC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w:t>
      </w:r>
      <w:r>
        <w:rPr>
          <w:rFonts w:hint="eastAsia" w:ascii="宋体" w:hAnsi="宋体" w:eastAsia="宋体" w:cs="宋体"/>
          <w:bCs/>
          <w:snapToGrid w:val="0"/>
          <w:color w:val="auto"/>
          <w:kern w:val="0"/>
          <w:sz w:val="24"/>
          <w:szCs w:val="24"/>
          <w:highlight w:val="none"/>
          <w:lang w:val="en-US" w:eastAsia="zh-CN"/>
        </w:rPr>
        <w:t xml:space="preserve"> 项目管理机构 </w:t>
      </w:r>
    </w:p>
    <w:p w14:paraId="6FD38FDF">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4.5.1</w:t>
      </w:r>
      <w:r>
        <w:rPr>
          <w:rFonts w:hint="eastAsia" w:ascii="宋体" w:hAnsi="宋体" w:eastAsia="宋体" w:cs="宋体"/>
          <w:bCs/>
          <w:snapToGrid w:val="0"/>
          <w:color w:val="auto"/>
          <w:kern w:val="0"/>
          <w:sz w:val="24"/>
          <w:szCs w:val="24"/>
          <w:highlight w:val="none"/>
          <w:lang w:val="en-US" w:eastAsia="zh-CN"/>
        </w:rPr>
        <w:t xml:space="preserve"> 承包人派驻的项目管理班子成员必须为其投标文件确定的人员，否则发包人有权终止合同。 </w:t>
      </w:r>
    </w:p>
    <w:p w14:paraId="1D0EAE8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4.5.2</w:t>
      </w:r>
      <w:r>
        <w:rPr>
          <w:rFonts w:hint="eastAsia" w:ascii="宋体" w:hAnsi="宋体" w:eastAsia="宋体" w:cs="宋体"/>
          <w:bCs/>
          <w:snapToGrid w:val="0"/>
          <w:color w:val="auto"/>
          <w:kern w:val="0"/>
          <w:sz w:val="24"/>
          <w:szCs w:val="24"/>
          <w:highlight w:val="none"/>
          <w:lang w:val="en-US" w:eastAsia="zh-CN"/>
        </w:rPr>
        <w:t xml:space="preserve"> 项目管理班子成员不得擅自变更。其中，项目经理若有《广东省住房和城乡建设厅关于建设工程项目招标中标后监督检查的办法》（粤建市〔2009〕8 号，以下简称“《办法》”）第九条所述除外情形之一确需变更的，承包人应填写《建设工程项目管理班子变更情况报告表》（《办法》附件 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 </w:t>
      </w:r>
    </w:p>
    <w:p w14:paraId="77D16F4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w:t>
      </w:r>
      <w:r>
        <w:rPr>
          <w:rFonts w:hint="eastAsia" w:ascii="宋体" w:hAnsi="宋体" w:eastAsia="宋体" w:cs="宋体"/>
          <w:bCs/>
          <w:snapToGrid w:val="0"/>
          <w:color w:val="auto"/>
          <w:kern w:val="0"/>
          <w:sz w:val="24"/>
          <w:szCs w:val="24"/>
          <w:highlight w:val="none"/>
          <w:lang w:val="en-US" w:eastAsia="zh-CN"/>
        </w:rPr>
        <w:t xml:space="preserve"> 现场管理 </w:t>
      </w:r>
    </w:p>
    <w:p w14:paraId="1AA7403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4.6.1</w:t>
      </w:r>
      <w:r>
        <w:rPr>
          <w:rFonts w:hint="eastAsia" w:ascii="宋体" w:hAnsi="宋体" w:eastAsia="宋体" w:cs="宋体"/>
          <w:bCs/>
          <w:snapToGrid w:val="0"/>
          <w:color w:val="auto"/>
          <w:kern w:val="0"/>
          <w:sz w:val="24"/>
          <w:szCs w:val="24"/>
          <w:highlight w:val="none"/>
          <w:lang w:val="en-US" w:eastAsia="zh-CN"/>
        </w:rPr>
        <w:t xml:space="preserve"> 承包人在施工期间应严格遵守国家、广东省、韶关市有关绿色施工、文明施工、噪音扬尘、消防爆破、环境卫生、渣土清运、治安保卫等方面的规定，并建立相应规章制度和保障措施。否则由此造成的经济损失和法律责任，均由承包人承担。 </w:t>
      </w:r>
    </w:p>
    <w:p w14:paraId="329F79D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4.6.2</w:t>
      </w:r>
      <w:r>
        <w:rPr>
          <w:rFonts w:hint="eastAsia" w:ascii="宋体" w:hAnsi="宋体" w:eastAsia="宋体" w:cs="宋体"/>
          <w:bCs/>
          <w:snapToGrid w:val="0"/>
          <w:color w:val="auto"/>
          <w:kern w:val="0"/>
          <w:sz w:val="24"/>
          <w:szCs w:val="24"/>
          <w:highlight w:val="none"/>
          <w:lang w:val="en-US" w:eastAsia="zh-CN"/>
        </w:rPr>
        <w:t xml:space="preserve"> 承包人应按安全施工有关规定，采取严格、科学的安全防护措施，确保施工和人员（包括第三者）的安全，承担由于自身安全防护措施不力所造成的安全事故责任和发生的费用。 </w:t>
      </w:r>
    </w:p>
    <w:p w14:paraId="7853C31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4.6.3</w:t>
      </w:r>
      <w:r>
        <w:rPr>
          <w:rFonts w:hint="eastAsia" w:ascii="宋体" w:hAnsi="宋体" w:eastAsia="宋体" w:cs="宋体"/>
          <w:bCs/>
          <w:snapToGrid w:val="0"/>
          <w:color w:val="auto"/>
          <w:kern w:val="0"/>
          <w:sz w:val="24"/>
          <w:szCs w:val="24"/>
          <w:highlight w:val="none"/>
          <w:lang w:val="en-US" w:eastAsia="zh-CN"/>
        </w:rPr>
        <w:t xml:space="preserve"> 为保证施工现场的环境卫生，承包人在本招标项目施工过程中，所有的车辆必须按发包人规定的行车路线行驶。 </w:t>
      </w:r>
    </w:p>
    <w:p w14:paraId="6C30F2D8">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4.7</w:t>
      </w:r>
      <w:r>
        <w:rPr>
          <w:rFonts w:hint="eastAsia" w:ascii="宋体" w:hAnsi="宋体" w:eastAsia="宋体" w:cs="宋体"/>
          <w:bCs/>
          <w:snapToGrid w:val="0"/>
          <w:color w:val="auto"/>
          <w:kern w:val="0"/>
          <w:sz w:val="24"/>
          <w:szCs w:val="24"/>
          <w:highlight w:val="none"/>
          <w:lang w:val="en-US" w:eastAsia="zh-CN"/>
        </w:rPr>
        <w:t xml:space="preserve"> 监督实施 </w:t>
      </w:r>
    </w:p>
    <w:p w14:paraId="7234F127">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须服从发包人对工程质量、进度、成本的全方位监督，施工中的年度计划、季度计划、月度计划、施工方案等应报送监理单位审批和发包人备案。施工中的质量保措施等资料均应及时报送监理单位和发包人备案。 </w:t>
      </w:r>
    </w:p>
    <w:p w14:paraId="633EA71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4.8</w:t>
      </w:r>
      <w:r>
        <w:rPr>
          <w:rFonts w:hint="eastAsia" w:ascii="宋体" w:hAnsi="宋体" w:eastAsia="宋体" w:cs="宋体"/>
          <w:bCs/>
          <w:snapToGrid w:val="0"/>
          <w:color w:val="auto"/>
          <w:kern w:val="0"/>
          <w:sz w:val="24"/>
          <w:szCs w:val="24"/>
          <w:highlight w:val="none"/>
          <w:lang w:val="en-US" w:eastAsia="zh-CN"/>
        </w:rPr>
        <w:t xml:space="preserve"> 主材的采购和使用 </w:t>
      </w:r>
    </w:p>
    <w:p w14:paraId="5DD11F32">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 </w:t>
      </w:r>
    </w:p>
    <w:p w14:paraId="18A1E2A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4.9 </w:t>
      </w:r>
      <w:r>
        <w:rPr>
          <w:rFonts w:hint="eastAsia" w:ascii="宋体" w:hAnsi="宋体" w:eastAsia="宋体" w:cs="宋体"/>
          <w:bCs/>
          <w:snapToGrid w:val="0"/>
          <w:color w:val="auto"/>
          <w:kern w:val="0"/>
          <w:sz w:val="24"/>
          <w:szCs w:val="24"/>
          <w:highlight w:val="none"/>
          <w:lang w:val="en-US" w:eastAsia="zh-CN"/>
        </w:rPr>
        <w:t xml:space="preserve">竣工资料移交 </w:t>
      </w:r>
    </w:p>
    <w:p w14:paraId="26BD64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项目竣工验收时，承包人应向监理单位和发包人提供符合国家档案部门备案要求的，编制成册的竣工图及有关的技术档案资料（含声像档案）一式份。 </w:t>
      </w:r>
    </w:p>
    <w:p w14:paraId="6CD1FDD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w:t>
      </w:r>
      <w:r>
        <w:rPr>
          <w:rFonts w:hint="eastAsia" w:ascii="宋体" w:hAnsi="宋体" w:eastAsia="宋体" w:cs="宋体"/>
          <w:bCs/>
          <w:snapToGrid w:val="0"/>
          <w:color w:val="auto"/>
          <w:kern w:val="0"/>
          <w:sz w:val="24"/>
          <w:szCs w:val="24"/>
          <w:highlight w:val="none"/>
          <w:lang w:val="en-US" w:eastAsia="zh-CN"/>
        </w:rPr>
        <w:t xml:space="preserve"> 质量保证</w:t>
      </w:r>
    </w:p>
    <w:p w14:paraId="707A6EB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4.10.1</w:t>
      </w:r>
      <w:r>
        <w:rPr>
          <w:rFonts w:hint="eastAsia" w:ascii="宋体" w:hAnsi="宋体" w:eastAsia="宋体" w:cs="宋体"/>
          <w:bCs/>
          <w:snapToGrid w:val="0"/>
          <w:color w:val="auto"/>
          <w:kern w:val="0"/>
          <w:sz w:val="24"/>
          <w:szCs w:val="24"/>
          <w:highlight w:val="none"/>
          <w:lang w:val="en-US" w:eastAsia="zh-CN"/>
        </w:rPr>
        <w:t xml:space="preserve"> 本招标项目缺陷责任期为</w:t>
      </w:r>
      <w:r>
        <w:rPr>
          <w:rFonts w:hint="eastAsia" w:ascii="宋体" w:hAnsi="宋体" w:eastAsia="宋体" w:cs="宋体"/>
          <w:bCs/>
          <w:snapToGrid w:val="0"/>
          <w:color w:val="auto"/>
          <w:kern w:val="0"/>
          <w:sz w:val="24"/>
          <w:szCs w:val="24"/>
          <w:highlight w:val="none"/>
          <w:u w:val="single"/>
          <w:lang w:val="en-US" w:eastAsia="zh-CN"/>
        </w:rPr>
        <w:t>2</w:t>
      </w:r>
      <w:r>
        <w:rPr>
          <w:rFonts w:hint="eastAsia" w:ascii="宋体" w:hAnsi="宋体" w:eastAsia="宋体" w:cs="宋体"/>
          <w:bCs/>
          <w:snapToGrid w:val="0"/>
          <w:color w:val="auto"/>
          <w:kern w:val="0"/>
          <w:sz w:val="24"/>
          <w:szCs w:val="24"/>
          <w:highlight w:val="none"/>
          <w:lang w:val="en-US" w:eastAsia="zh-CN"/>
        </w:rPr>
        <w:t>年（自通过竣工验收之日起计），在此期间预留金额为结算价</w:t>
      </w:r>
      <w:r>
        <w:rPr>
          <w:rFonts w:hint="eastAsia" w:ascii="宋体" w:hAnsi="宋体" w:eastAsia="宋体" w:cs="宋体"/>
          <w:bCs/>
          <w:snapToGrid w:val="0"/>
          <w:color w:val="auto"/>
          <w:kern w:val="0"/>
          <w:sz w:val="24"/>
          <w:szCs w:val="24"/>
          <w:highlight w:val="none"/>
          <w:u w:val="single"/>
          <w:lang w:val="en-US" w:eastAsia="zh-CN"/>
        </w:rPr>
        <w:t>3%</w:t>
      </w:r>
      <w:r>
        <w:rPr>
          <w:rFonts w:hint="eastAsia" w:ascii="宋体" w:hAnsi="宋体" w:eastAsia="宋体" w:cs="宋体"/>
          <w:bCs/>
          <w:snapToGrid w:val="0"/>
          <w:color w:val="auto"/>
          <w:kern w:val="0"/>
          <w:sz w:val="24"/>
          <w:szCs w:val="24"/>
          <w:highlight w:val="none"/>
          <w:lang w:val="en-US" w:eastAsia="zh-CN"/>
        </w:rPr>
        <w:t xml:space="preserve">的质量保证。 </w:t>
      </w:r>
    </w:p>
    <w:p w14:paraId="2398B991">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4.10.2</w:t>
      </w:r>
      <w:r>
        <w:rPr>
          <w:rFonts w:hint="eastAsia" w:ascii="宋体" w:hAnsi="宋体" w:eastAsia="宋体" w:cs="宋体"/>
          <w:bCs/>
          <w:snapToGrid w:val="0"/>
          <w:color w:val="auto"/>
          <w:kern w:val="0"/>
          <w:sz w:val="24"/>
          <w:szCs w:val="24"/>
          <w:highlight w:val="none"/>
          <w:lang w:val="en-US" w:eastAsia="zh-CN"/>
        </w:rPr>
        <w:t xml:space="preserve"> 质量保证的形式包括质量保证金、质量保证担保、质量保证保险三种，由承包人自主选择。 </w:t>
      </w:r>
    </w:p>
    <w:p w14:paraId="5B411B16">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（1）采用质量保证金形式的，在结清审定总造价时一次性扣留相应金额作为质量保证金。 </w:t>
      </w:r>
    </w:p>
    <w:p w14:paraId="1181DE18">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2）采用质量保证担保或质量保证保险的，承包人应在竣工验收时向发包人提交有效的商业保函、银行保函或保险合同（或保险单）原件，商业保函、银行保函或保险合同（或保险单）的有效期不得短于缺陷责任期。 </w:t>
      </w:r>
    </w:p>
    <w:p w14:paraId="52ED9B76">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4.10.3</w:t>
      </w:r>
      <w:r>
        <w:rPr>
          <w:rFonts w:hint="eastAsia" w:ascii="宋体" w:hAnsi="宋体" w:eastAsia="宋体" w:cs="宋体"/>
          <w:bCs/>
          <w:snapToGrid w:val="0"/>
          <w:color w:val="auto"/>
          <w:kern w:val="0"/>
          <w:sz w:val="24"/>
          <w:szCs w:val="24"/>
          <w:highlight w:val="none"/>
          <w:lang w:val="en-US" w:eastAsia="zh-CN"/>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 </w:t>
      </w:r>
    </w:p>
    <w:p w14:paraId="67B762C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由他人原因造成的缺陷，发包人负责组织维修，承包人不承担费用，且发包人不得从质量保证中扣除费用。 </w:t>
      </w:r>
    </w:p>
    <w:p w14:paraId="0DABCA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4.10.4</w:t>
      </w:r>
      <w:r>
        <w:rPr>
          <w:rFonts w:hint="eastAsia" w:ascii="宋体" w:hAnsi="宋体" w:eastAsia="宋体" w:cs="宋体"/>
          <w:bCs/>
          <w:snapToGrid w:val="0"/>
          <w:color w:val="auto"/>
          <w:kern w:val="0"/>
          <w:sz w:val="24"/>
          <w:szCs w:val="24"/>
          <w:highlight w:val="none"/>
          <w:lang w:val="en-US" w:eastAsia="zh-CN"/>
        </w:rPr>
        <w:t xml:space="preserve"> 缺陷责任期内，承包人应认真履行合同约定的责任。缺陷责任期到期后，承包人向发包人申请退还质量保证，发包人应按照《建设工程质量保证金管理办法》有关规定将质量保证退还给承包人。  </w:t>
      </w:r>
    </w:p>
    <w:p w14:paraId="0D018C9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4.11</w:t>
      </w:r>
      <w:r>
        <w:rPr>
          <w:rFonts w:hint="eastAsia" w:ascii="宋体" w:hAnsi="宋体" w:eastAsia="宋体" w:cs="宋体"/>
          <w:bCs/>
          <w:snapToGrid w:val="0"/>
          <w:color w:val="auto"/>
          <w:kern w:val="0"/>
          <w:sz w:val="24"/>
          <w:szCs w:val="24"/>
          <w:highlight w:val="none"/>
          <w:lang w:val="en-US" w:eastAsia="zh-CN"/>
        </w:rPr>
        <w:t xml:space="preserve"> 不良行为处理 </w:t>
      </w:r>
    </w:p>
    <w:p w14:paraId="68DC32D9">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及其有关人员有下列行为之一的，发包人应及时向建设行政主管部门报告。除按照有关法律、法规进行处罚外，不良行为将计入企业及有关个人诚信档案，并在韶关市住房和城乡建设管理局网站（http://zgj.sg.gov.cn）公示。 </w:t>
      </w:r>
    </w:p>
    <w:p w14:paraId="33521F9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（1）转包、违法分包或违反投标承诺分包工程的； </w:t>
      </w:r>
    </w:p>
    <w:p w14:paraId="495C334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（2）非原参加投标中标的项目经理负责组织施工或在实施过程中擅自更换项目经理的、项目的其他主要管理人员与中标文件确定的人员不相符的；</w:t>
      </w:r>
    </w:p>
    <w:p w14:paraId="10849C0B">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（3）投标文件确定的大型机械设备没有进入施工现场的； </w:t>
      </w:r>
    </w:p>
    <w:p w14:paraId="48E4FF3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（4）与建设单位、监理单位串通，签认虚假工程量或工程造价的； </w:t>
      </w:r>
    </w:p>
    <w:p w14:paraId="3BF9C0F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（5）项目经理施工现场管理不到位的； </w:t>
      </w:r>
    </w:p>
    <w:p w14:paraId="2ECD3434">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（6）项目经理在非本人资格证书注册单位从事工程项目施工管理的； </w:t>
      </w:r>
    </w:p>
    <w:p w14:paraId="39ABD251">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（7）项目经理同时承担超过一项工程项目的； </w:t>
      </w:r>
    </w:p>
    <w:p w14:paraId="02E9687E">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（8）违反有关法律、法规、规章规定的其它行为。 </w:t>
      </w:r>
    </w:p>
    <w:p w14:paraId="10E7EB8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4.12 </w:t>
      </w:r>
      <w:r>
        <w:rPr>
          <w:rFonts w:hint="eastAsia" w:ascii="宋体" w:hAnsi="宋体" w:eastAsia="宋体" w:cs="宋体"/>
          <w:bCs/>
          <w:snapToGrid w:val="0"/>
          <w:color w:val="auto"/>
          <w:kern w:val="0"/>
          <w:sz w:val="24"/>
          <w:szCs w:val="24"/>
          <w:highlight w:val="none"/>
          <w:lang w:val="en-US" w:eastAsia="zh-CN"/>
        </w:rPr>
        <w:t xml:space="preserve">信用评价条款内容 </w:t>
      </w:r>
    </w:p>
    <w:p w14:paraId="2337A1FF">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由发包人决定是否对施工单位的履约情况进行信用评价。若进行信用评价，评价条款由发包人自拟，条款内容可参考人员到位情况、服务配合程度、服务成果质量、项目后期服务及信用评价结果的运用等。 </w:t>
      </w:r>
    </w:p>
    <w:p w14:paraId="5C8044C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4.13</w:t>
      </w:r>
      <w:r>
        <w:rPr>
          <w:rFonts w:hint="eastAsia" w:ascii="宋体" w:hAnsi="宋体" w:eastAsia="宋体" w:cs="宋体"/>
          <w:bCs/>
          <w:snapToGrid w:val="0"/>
          <w:color w:val="auto"/>
          <w:kern w:val="0"/>
          <w:sz w:val="24"/>
          <w:szCs w:val="24"/>
          <w:highlight w:val="none"/>
          <w:lang w:val="en-US" w:eastAsia="zh-CN"/>
        </w:rPr>
        <w:t xml:space="preserve"> 危险性较大的分部分项工程安全管理约定 。对危险性较大的工程必须按《危险性较大的分部分项工程安全管理规定》（中华人民共和国住房和城乡建设部令第37号）的规定编制专项施工方案。同时，从承包人必须按照《危险性较大的分部分项工程安全管理规定》的规定和经审批的专项施工方案履行安全职责，严格执行国家、地方政府有关施工安全管理方面的法律、法规及规章制度，同时严格执行发包人制订的本项目安全生产管理方面的规章制度、安全检查程序及施工安全管理要求，以及监理人有关安全工作的指令。 </w:t>
      </w:r>
    </w:p>
    <w:p w14:paraId="218A7915">
      <w:pPr>
        <w:adjustRightInd w:val="0"/>
        <w:snapToGrid w:val="0"/>
        <w:spacing w:line="440" w:lineRule="exact"/>
        <w:ind w:firstLine="480"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 xml:space="preserve">承包人应根据《危险性较大的分部分项工程安全管理规定》（住房城乡建设部令第 37 号）、《住房城乡建设部办公厅关于实施&lt;危险性较大的分部分项工程安全管理规定&gt;有关问题的通知》（建办质〔2018〕31 号）、《广东省住房和城乡建设厅关于房屋市政工程危险性较大的分部分项工程安全管理的实施细则的通知》(粤建规范〔2019〕2 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 </w:t>
      </w:r>
    </w:p>
    <w:p w14:paraId="57F2618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4.14</w:t>
      </w:r>
      <w:r>
        <w:rPr>
          <w:rFonts w:hint="eastAsia" w:ascii="宋体" w:hAnsi="宋体" w:eastAsia="宋体" w:cs="宋体"/>
          <w:bCs/>
          <w:snapToGrid w:val="0"/>
          <w:color w:val="auto"/>
          <w:kern w:val="0"/>
          <w:sz w:val="24"/>
          <w:szCs w:val="24"/>
          <w:highlight w:val="none"/>
          <w:lang w:val="en-US" w:eastAsia="zh-CN"/>
        </w:rPr>
        <w:t xml:space="preserve"> 承包人在工程实施过程中，按照国家、省、市的相关规定制定相关的专项安全施工方案（如高支模、基坑支护、沉井等），编制专项施工方案报监理人、发包人审批后方可开展专项工程的施工。 </w:t>
      </w:r>
    </w:p>
    <w:p w14:paraId="451FCAB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4.15</w:t>
      </w:r>
      <w:r>
        <w:rPr>
          <w:rFonts w:hint="eastAsia" w:ascii="宋体" w:hAnsi="宋体" w:eastAsia="宋体" w:cs="宋体"/>
          <w:bCs/>
          <w:snapToGrid w:val="0"/>
          <w:color w:val="auto"/>
          <w:kern w:val="0"/>
          <w:sz w:val="24"/>
          <w:szCs w:val="24"/>
          <w:highlight w:val="none"/>
          <w:lang w:val="en-US" w:eastAsia="zh-CN"/>
        </w:rPr>
        <w:t xml:space="preserve"> 承包人须按照《韶关市建筑垃圾管理条例》（2021 年 5 月 1 日起施行），将弃土运至发包人指定的场所，否则发包人有权要求承包人无条件将弃土从违约弃土点运至发包人指定的场所并扣除违约金人民币</w:t>
      </w:r>
      <w:r>
        <w:rPr>
          <w:rFonts w:hint="eastAsia" w:ascii="宋体" w:hAnsi="宋体" w:eastAsia="宋体" w:cs="宋体"/>
          <w:color w:val="auto"/>
          <w:kern w:val="2"/>
          <w:sz w:val="24"/>
          <w:szCs w:val="24"/>
          <w:highlight w:val="none"/>
          <w:u w:val="single"/>
          <w:shd w:val="clear" w:color="auto" w:fill="FFFFFF"/>
          <w:lang w:val="en-US" w:eastAsia="zh-CN" w:bidi="ar-SA"/>
        </w:rPr>
        <w:t xml:space="preserve"> 200</w:t>
      </w:r>
      <w:r>
        <w:rPr>
          <w:rFonts w:hint="eastAsia" w:ascii="宋体" w:hAnsi="宋体" w:eastAsia="宋体" w:cs="宋体"/>
          <w:bCs/>
          <w:snapToGrid w:val="0"/>
          <w:color w:val="auto"/>
          <w:kern w:val="0"/>
          <w:sz w:val="24"/>
          <w:szCs w:val="24"/>
          <w:highlight w:val="none"/>
          <w:lang w:val="en-US" w:eastAsia="zh-CN"/>
        </w:rPr>
        <w:t xml:space="preserve">元/次。承包人对建筑垃圾须按《韶关市建筑垃圾管理条例》（2021 年 5 月 1 日起施行）的相关规定进行排放和运输，投标人在投标报价时综合考虑在报价内。承包人应在施工现场建立洗车槽和临时排水系统等确保外运车辆（土方运输车辆应符合韶关市相关规定）不带泥上路，投标人在投标报价时综合考虑在报价内，发包人不另行支付该部分费用）。建设单位、施工单位应当在施工工地出入口显著位置公示建筑垃圾处理方案主要信息，包括建设工程垃圾种类、产生量、外运处置去向等信息及各相关单位名称、联系人及联系电话等。 </w:t>
      </w:r>
    </w:p>
    <w:p w14:paraId="6BC77ED9">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4.16 </w:t>
      </w:r>
      <w:r>
        <w:rPr>
          <w:rFonts w:hint="eastAsia" w:ascii="宋体" w:hAnsi="宋体" w:eastAsia="宋体" w:cs="宋体"/>
          <w:bCs/>
          <w:snapToGrid w:val="0"/>
          <w:color w:val="auto"/>
          <w:kern w:val="0"/>
          <w:sz w:val="24"/>
          <w:szCs w:val="24"/>
          <w:highlight w:val="none"/>
          <w:lang w:val="en-US" w:eastAsia="zh-CN"/>
        </w:rPr>
        <w:t xml:space="preserve">工程竣工验收后 15 日内，承包人应按市城建档案馆的要求（质量、数量），将编制成册的施工档案资料（含声像档案和电子档案）提供给发包人、市城建档案馆、市住建管理局、管养单位及监理单位，并承担档案涉及的所有费用（制作标准和相关要求按市城建档案馆的有关规定执行）。承包人提交符合城建档案馆要求的竣工资料经发包人确认签收后，即可办理工程结算手续。 </w:t>
      </w:r>
    </w:p>
    <w:p w14:paraId="2105B66E">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4.17</w:t>
      </w:r>
      <w:r>
        <w:rPr>
          <w:rFonts w:hint="eastAsia" w:ascii="宋体" w:hAnsi="宋体" w:eastAsia="宋体" w:cs="宋体"/>
          <w:bCs/>
          <w:snapToGrid w:val="0"/>
          <w:color w:val="auto"/>
          <w:kern w:val="0"/>
          <w:sz w:val="24"/>
          <w:szCs w:val="24"/>
          <w:highlight w:val="none"/>
          <w:lang w:val="en-US" w:eastAsia="zh-CN"/>
        </w:rPr>
        <w:t xml:space="preserve"> 承包人应做好周边设施（含军用光缆、燃气、供电、供水、排水、排污、人行道、路灯、治安监控、交通电警等）的成品保护并及时与周边设施的权属单位协调解决，如因承包人原因导致上述设施发生损坏，承包人无条件按发包人规定的期限内修复，涉及成品保护费、索赔等一切费用全部由承包人自行解决。</w:t>
      </w:r>
    </w:p>
    <w:p w14:paraId="56FD5FA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 xml:space="preserve">4.17.1 </w:t>
      </w:r>
      <w:r>
        <w:rPr>
          <w:rFonts w:hint="eastAsia" w:ascii="宋体" w:hAnsi="宋体" w:eastAsia="宋体" w:cs="宋体"/>
          <w:bCs/>
          <w:snapToGrid w:val="0"/>
          <w:color w:val="auto"/>
          <w:kern w:val="0"/>
          <w:sz w:val="24"/>
          <w:szCs w:val="24"/>
          <w:highlight w:val="none"/>
          <w:lang w:val="en-US" w:eastAsia="zh-CN"/>
        </w:rPr>
        <w:t>承包人在施工阶段应做好水土保持工作，相关费用承包人自行考虑在投标报价中。</w:t>
      </w:r>
    </w:p>
    <w:p w14:paraId="377C83CD">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4.18</w:t>
      </w:r>
      <w:r>
        <w:rPr>
          <w:rFonts w:hint="eastAsia" w:ascii="宋体" w:hAnsi="宋体" w:eastAsia="宋体" w:cs="宋体"/>
          <w:bCs/>
          <w:snapToGrid w:val="0"/>
          <w:color w:val="auto"/>
          <w:kern w:val="0"/>
          <w:sz w:val="24"/>
          <w:szCs w:val="24"/>
          <w:highlight w:val="none"/>
          <w:lang w:val="en-US" w:eastAsia="zh-CN"/>
        </w:rPr>
        <w:t xml:space="preserve"> 承包人中标后必须按规定及时缴交工人工资保证金、环保噪声排污费等。 </w:t>
      </w:r>
    </w:p>
    <w:p w14:paraId="0DCEA183">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4.19</w:t>
      </w:r>
      <w:r>
        <w:rPr>
          <w:rFonts w:hint="eastAsia" w:ascii="宋体" w:hAnsi="宋体" w:eastAsia="宋体" w:cs="宋体"/>
          <w:bCs/>
          <w:snapToGrid w:val="0"/>
          <w:color w:val="auto"/>
          <w:kern w:val="0"/>
          <w:sz w:val="24"/>
          <w:szCs w:val="24"/>
          <w:highlight w:val="none"/>
          <w:lang w:val="en-US" w:eastAsia="zh-CN"/>
        </w:rPr>
        <w:t xml:space="preserve"> 工程质量保修期按《中华人民共和国建筑法》、《建设工程质量管理条例》等相关规定实施。 </w:t>
      </w:r>
    </w:p>
    <w:p w14:paraId="6C12C69B">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4.20</w:t>
      </w:r>
      <w:r>
        <w:rPr>
          <w:rFonts w:hint="eastAsia" w:ascii="宋体" w:hAnsi="宋体" w:eastAsia="宋体" w:cs="宋体"/>
          <w:bCs/>
          <w:snapToGrid w:val="0"/>
          <w:color w:val="auto"/>
          <w:kern w:val="0"/>
          <w:sz w:val="24"/>
          <w:szCs w:val="24"/>
          <w:highlight w:val="none"/>
          <w:lang w:val="en-US" w:eastAsia="zh-CN"/>
        </w:rPr>
        <w:t xml:space="preserve"> 如项目实施过程中发生了工程变更及工程签证，承包人需根据发包人发布的《工程变更管理办法》和《工程签证管理办法》完善工程变更签证相关程序。 </w:t>
      </w:r>
    </w:p>
    <w:p w14:paraId="7C2DFF9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4.21</w:t>
      </w:r>
      <w:r>
        <w:rPr>
          <w:rFonts w:hint="eastAsia" w:ascii="宋体" w:hAnsi="宋体" w:eastAsia="宋体" w:cs="宋体"/>
          <w:bCs/>
          <w:snapToGrid w:val="0"/>
          <w:color w:val="auto"/>
          <w:kern w:val="0"/>
          <w:sz w:val="24"/>
          <w:szCs w:val="24"/>
          <w:highlight w:val="none"/>
          <w:lang w:val="en-US" w:eastAsia="zh-CN"/>
        </w:rPr>
        <w:t xml:space="preserve"> 承包人需按相关规定要求，设置本工程符合相关要求的永久性标牌及规划公示牌，投标人在投标报价时综合考虑在报价内，发包人不另行支付该部分费用。 </w:t>
      </w:r>
    </w:p>
    <w:p w14:paraId="5D272057">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rPr>
      </w:pPr>
      <w:r>
        <w:rPr>
          <w:rFonts w:hint="eastAsia" w:ascii="宋体" w:hAnsi="宋体" w:eastAsia="宋体" w:cs="宋体"/>
          <w:b/>
          <w:bCs w:val="0"/>
          <w:snapToGrid w:val="0"/>
          <w:color w:val="auto"/>
          <w:kern w:val="0"/>
          <w:sz w:val="24"/>
          <w:szCs w:val="24"/>
          <w:highlight w:val="none"/>
          <w:lang w:val="en-US" w:eastAsia="zh-CN"/>
        </w:rPr>
        <w:t>4.22</w:t>
      </w:r>
      <w:r>
        <w:rPr>
          <w:rFonts w:hint="eastAsia" w:ascii="宋体" w:hAnsi="宋体" w:eastAsia="宋体" w:cs="宋体"/>
          <w:bCs/>
          <w:snapToGrid w:val="0"/>
          <w:color w:val="auto"/>
          <w:kern w:val="0"/>
          <w:sz w:val="24"/>
          <w:szCs w:val="24"/>
          <w:highlight w:val="none"/>
          <w:lang w:val="en-US" w:eastAsia="zh-CN"/>
        </w:rPr>
        <w:t xml:space="preserve"> 承包人应在项目所在地住建管理部门办理诚信登记，发包人将严格按住建管理部门诚信登记管理办法对承包人履约情况进行考核。 </w:t>
      </w:r>
    </w:p>
    <w:p w14:paraId="091BEF84">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4.23</w:t>
      </w:r>
      <w:r>
        <w:rPr>
          <w:rFonts w:hint="eastAsia" w:ascii="宋体" w:hAnsi="宋体" w:eastAsia="宋体" w:cs="宋体"/>
          <w:bCs/>
          <w:snapToGrid w:val="0"/>
          <w:color w:val="auto"/>
          <w:kern w:val="0"/>
          <w:sz w:val="24"/>
          <w:szCs w:val="24"/>
          <w:highlight w:val="none"/>
          <w:lang w:val="en-US" w:eastAsia="zh-CN"/>
        </w:rPr>
        <w:t xml:space="preserve"> 承包人应按韶关市住房和城乡建设管理局、韶关市人力资源和社会保障局等职能部门对用工实名制的相关规定,落实工人及相关软硬件设施要求。</w:t>
      </w:r>
    </w:p>
    <w:p w14:paraId="17EB941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w:t>
      </w:r>
      <w:r>
        <w:rPr>
          <w:rFonts w:hint="eastAsia" w:ascii="宋体" w:hAnsi="宋体" w:eastAsia="宋体" w:cs="宋体"/>
          <w:bCs/>
          <w:snapToGrid w:val="0"/>
          <w:color w:val="auto"/>
          <w:kern w:val="0"/>
          <w:sz w:val="24"/>
          <w:szCs w:val="24"/>
          <w:highlight w:val="none"/>
          <w:lang w:val="en-US" w:eastAsia="zh-CN"/>
        </w:rPr>
        <w:t xml:space="preserve"> 质量违约</w:t>
      </w:r>
    </w:p>
    <w:p w14:paraId="12426880">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w:t>
      </w:r>
      <w:r>
        <w:rPr>
          <w:rFonts w:hint="eastAsia" w:ascii="宋体" w:hAnsi="宋体" w:eastAsia="宋体" w:cs="宋体"/>
          <w:bCs/>
          <w:snapToGrid w:val="0"/>
          <w:color w:val="auto"/>
          <w:kern w:val="0"/>
          <w:sz w:val="24"/>
          <w:szCs w:val="24"/>
          <w:highlight w:val="none"/>
          <w:lang w:val="en-US" w:eastAsia="zh-CN"/>
        </w:rPr>
        <w:t xml:space="preserve">材料违约处理：若发现材料不符合国家标准或发包人在技术规范中规定的标准， </w:t>
      </w:r>
    </w:p>
    <w:p w14:paraId="0ED3797B">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视为承包人违约，按现行《建设工程质量管理条例》处理。 </w:t>
      </w:r>
    </w:p>
    <w:p w14:paraId="25255EB5">
      <w:pPr>
        <w:adjustRightInd w:val="0"/>
        <w:snapToGrid w:val="0"/>
        <w:spacing w:line="440" w:lineRule="exact"/>
        <w:ind w:firstLine="482" w:firstLineChars="20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4.24.1.1</w:t>
      </w:r>
      <w:r>
        <w:rPr>
          <w:rFonts w:hint="eastAsia" w:ascii="宋体" w:hAnsi="宋体" w:eastAsia="宋体" w:cs="宋体"/>
          <w:bCs/>
          <w:snapToGrid w:val="0"/>
          <w:color w:val="auto"/>
          <w:kern w:val="0"/>
          <w:sz w:val="24"/>
          <w:szCs w:val="24"/>
          <w:highlight w:val="none"/>
          <w:lang w:val="en-US" w:eastAsia="zh-CN"/>
        </w:rPr>
        <w:t xml:space="preserve"> 成品采购项目在采购前，承包人必须先行书面征求监理人、发包人的同意并 </w:t>
      </w:r>
    </w:p>
    <w:p w14:paraId="42E52D8F">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 xml:space="preserve">一起看样定版后方能实施。未经监理人、发包人同意擅自先行采购和实施的，否则因不符 </w:t>
      </w:r>
    </w:p>
    <w:p w14:paraId="2F28E572">
      <w:pPr>
        <w:adjustRightInd w:val="0"/>
        <w:snapToGrid w:val="0"/>
        <w:spacing w:line="440" w:lineRule="exact"/>
        <w:ind w:left="0" w:leftChars="0" w:firstLine="0" w:firstLineChars="0"/>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合设计要求返工造成的费用由承包人承担。</w:t>
      </w:r>
    </w:p>
    <w:p w14:paraId="63226B74">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w:t>
      </w:r>
      <w:r>
        <w:rPr>
          <w:rFonts w:hint="eastAsia" w:ascii="宋体" w:hAnsi="宋体" w:eastAsia="宋体" w:cs="宋体"/>
          <w:b w:val="0"/>
          <w:bCs/>
          <w:snapToGrid w:val="0"/>
          <w:color w:val="auto"/>
          <w:kern w:val="0"/>
          <w:sz w:val="24"/>
          <w:szCs w:val="24"/>
          <w:highlight w:val="none"/>
          <w:lang w:val="en-US" w:eastAsia="zh-CN"/>
        </w:rPr>
        <w:t xml:space="preserve">工程质量违约： </w:t>
      </w:r>
    </w:p>
    <w:p w14:paraId="66F205BC">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4.24.2.1</w:t>
      </w:r>
      <w:r>
        <w:rPr>
          <w:rFonts w:hint="eastAsia" w:ascii="宋体" w:hAnsi="宋体" w:eastAsia="宋体" w:cs="宋体"/>
          <w:b w:val="0"/>
          <w:bCs/>
          <w:snapToGrid w:val="0"/>
          <w:color w:val="auto"/>
          <w:kern w:val="0"/>
          <w:sz w:val="24"/>
          <w:szCs w:val="24"/>
          <w:highlight w:val="none"/>
          <w:lang w:val="en-US" w:eastAsia="zh-CN"/>
        </w:rPr>
        <w:t xml:space="preserve"> 在施工过程中经监理单位日常巡查或抽检发现未达到合格标准，责令承包人进 </w:t>
      </w:r>
    </w:p>
    <w:p w14:paraId="7E5E1749">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行整改，如未按规定时间进行整改或整改不到位的，每次按1000元缴纳违约金给发包人，在进度款或结算款中一并扣除。 </w:t>
      </w:r>
    </w:p>
    <w:p w14:paraId="14F3C3FF">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4.24.2.2</w:t>
      </w:r>
      <w:r>
        <w:rPr>
          <w:rFonts w:hint="eastAsia" w:ascii="宋体" w:hAnsi="宋体" w:eastAsia="宋体" w:cs="宋体"/>
          <w:b w:val="0"/>
          <w:bCs/>
          <w:snapToGrid w:val="0"/>
          <w:color w:val="auto"/>
          <w:kern w:val="0"/>
          <w:sz w:val="24"/>
          <w:szCs w:val="24"/>
          <w:highlight w:val="none"/>
          <w:lang w:val="en-US" w:eastAsia="zh-CN"/>
        </w:rPr>
        <w:t xml:space="preserve"> 工程质量标准须达到国家验收合格标准。如未达到合格标准，除无偿返工至合 </w:t>
      </w:r>
    </w:p>
    <w:p w14:paraId="69E40686">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格外，还要按合同价款的 1%向招标人支付质量违约金，工期不予顺延。 </w:t>
      </w:r>
    </w:p>
    <w:p w14:paraId="4C313533">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w:t>
      </w:r>
      <w:r>
        <w:rPr>
          <w:rFonts w:hint="eastAsia" w:ascii="宋体" w:hAnsi="宋体" w:eastAsia="宋体" w:cs="宋体"/>
          <w:b w:val="0"/>
          <w:bCs/>
          <w:snapToGrid w:val="0"/>
          <w:color w:val="auto"/>
          <w:kern w:val="0"/>
          <w:sz w:val="24"/>
          <w:szCs w:val="24"/>
          <w:highlight w:val="none"/>
          <w:lang w:val="en-US" w:eastAsia="zh-CN"/>
        </w:rPr>
        <w:t xml:space="preserve"> 重大责任事故违约 </w:t>
      </w:r>
    </w:p>
    <w:p w14:paraId="34BBCA0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4.25.1</w:t>
      </w:r>
      <w:r>
        <w:rPr>
          <w:rFonts w:hint="eastAsia" w:ascii="宋体" w:hAnsi="宋体" w:eastAsia="宋体" w:cs="宋体"/>
          <w:b w:val="0"/>
          <w:bCs/>
          <w:snapToGrid w:val="0"/>
          <w:color w:val="auto"/>
          <w:kern w:val="0"/>
          <w:sz w:val="24"/>
          <w:szCs w:val="24"/>
          <w:highlight w:val="none"/>
          <w:lang w:val="en-US" w:eastAsia="zh-CN"/>
        </w:rPr>
        <w:t xml:space="preserve"> 承包人因违反国家安全质量法规及合同有关条款约定,出现火灾、坍塌、人员重 </w:t>
      </w:r>
    </w:p>
    <w:p w14:paraId="6CC212DE">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伤、死亡等重大责任事故,则承包人应承担全部损失,并按相关法规接受行政处罚；如造成发 </w:t>
      </w:r>
    </w:p>
    <w:p w14:paraId="02D16D1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包人及对第三人利益的损害,该等损害赔偿责任均由承包人承担。 </w:t>
      </w:r>
    </w:p>
    <w:p w14:paraId="1554D55D">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w:t>
      </w:r>
      <w:r>
        <w:rPr>
          <w:rFonts w:hint="eastAsia" w:ascii="宋体" w:hAnsi="宋体" w:eastAsia="宋体" w:cs="宋体"/>
          <w:b w:val="0"/>
          <w:bCs/>
          <w:snapToGrid w:val="0"/>
          <w:color w:val="auto"/>
          <w:kern w:val="0"/>
          <w:sz w:val="24"/>
          <w:szCs w:val="24"/>
          <w:highlight w:val="none"/>
          <w:lang w:val="en-US" w:eastAsia="zh-CN"/>
        </w:rPr>
        <w:t xml:space="preserve"> 用工违约 </w:t>
      </w:r>
    </w:p>
    <w:p w14:paraId="3FBE233E">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4.26.1</w:t>
      </w:r>
      <w:r>
        <w:rPr>
          <w:rFonts w:hint="eastAsia" w:ascii="宋体" w:hAnsi="宋体" w:eastAsia="宋体" w:cs="宋体"/>
          <w:b w:val="0"/>
          <w:bCs/>
          <w:snapToGrid w:val="0"/>
          <w:color w:val="auto"/>
          <w:kern w:val="0"/>
          <w:sz w:val="24"/>
          <w:szCs w:val="24"/>
          <w:highlight w:val="none"/>
          <w:lang w:val="en-US" w:eastAsia="zh-CN"/>
        </w:rPr>
        <w:t xml:space="preserve"> 在合同履行期间，如经查实承包人拖欠或克扣农民工或劳务工工资，导致劳资纠纷或发生危及公共安全或正常社会秩序的事件的，按承包人违约处理，承包人应按拖欠或克 </w:t>
      </w:r>
    </w:p>
    <w:p w14:paraId="6458EA94">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扣农民工工资总金额 2 倍的标准向发包人缴纳惩罚性违约金。 </w:t>
      </w:r>
    </w:p>
    <w:p w14:paraId="17ADCC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w:t>
      </w:r>
      <w:r>
        <w:rPr>
          <w:rFonts w:hint="eastAsia" w:ascii="宋体" w:hAnsi="宋体" w:eastAsia="宋体" w:cs="宋体"/>
          <w:b w:val="0"/>
          <w:bCs/>
          <w:snapToGrid w:val="0"/>
          <w:color w:val="auto"/>
          <w:kern w:val="0"/>
          <w:sz w:val="24"/>
          <w:szCs w:val="24"/>
          <w:highlight w:val="none"/>
          <w:lang w:val="en-US" w:eastAsia="zh-CN"/>
        </w:rPr>
        <w:t xml:space="preserve"> 安全文明施工违约 </w:t>
      </w:r>
    </w:p>
    <w:p w14:paraId="08A3B467">
      <w:pPr>
        <w:adjustRightInd w:val="0"/>
        <w:snapToGrid w:val="0"/>
        <w:spacing w:line="440" w:lineRule="exact"/>
        <w:ind w:firstLine="482" w:firstLineChars="20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4.27.1</w:t>
      </w:r>
      <w:r>
        <w:rPr>
          <w:rFonts w:hint="eastAsia" w:ascii="宋体" w:hAnsi="宋体" w:eastAsia="宋体" w:cs="宋体"/>
          <w:b w:val="0"/>
          <w:bCs/>
          <w:snapToGrid w:val="0"/>
          <w:color w:val="auto"/>
          <w:kern w:val="0"/>
          <w:sz w:val="24"/>
          <w:szCs w:val="24"/>
          <w:highlight w:val="none"/>
          <w:lang w:val="en-US" w:eastAsia="zh-CN"/>
        </w:rPr>
        <w:t xml:space="preserve"> 如承包人违反国家、广东省、发包人及合同关于安全文明施工的规定，但尚未造 </w:t>
      </w:r>
    </w:p>
    <w:p w14:paraId="7E77E40D">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 xml:space="preserve">成安全责任事故，承包人应及时改正行为并赔偿相关方的损失，如未及时整改，针对每一违约 </w:t>
      </w:r>
    </w:p>
    <w:p w14:paraId="3DA27048">
      <w:pPr>
        <w:adjustRightInd w:val="0"/>
        <w:snapToGrid w:val="0"/>
        <w:spacing w:line="440" w:lineRule="exact"/>
        <w:ind w:left="0" w:leftChars="0" w:firstLine="0" w:firstLineChars="0"/>
        <w:rPr>
          <w:rFonts w:hint="eastAsia" w:ascii="宋体" w:hAnsi="宋体" w:eastAsia="宋体" w:cs="宋体"/>
          <w:b w:val="0"/>
          <w:bCs/>
          <w:snapToGrid w:val="0"/>
          <w:color w:val="auto"/>
          <w:kern w:val="0"/>
          <w:sz w:val="24"/>
          <w:szCs w:val="24"/>
          <w:highlight w:val="none"/>
          <w:lang w:val="en-US" w:eastAsia="zh-CN"/>
        </w:rPr>
      </w:pPr>
      <w:r>
        <w:rPr>
          <w:rFonts w:hint="eastAsia" w:ascii="宋体" w:hAnsi="宋体" w:eastAsia="宋体" w:cs="宋体"/>
          <w:b w:val="0"/>
          <w:bCs/>
          <w:snapToGrid w:val="0"/>
          <w:color w:val="auto"/>
          <w:kern w:val="0"/>
          <w:sz w:val="24"/>
          <w:szCs w:val="24"/>
          <w:highlight w:val="none"/>
          <w:lang w:val="en-US" w:eastAsia="zh-CN"/>
        </w:rPr>
        <w:t>行为应缴纳违约金1000元。</w:t>
      </w:r>
    </w:p>
    <w:p w14:paraId="0F875A79">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承包人必须接受发包人及监理单位组织的安全、文明施工的检查，检查中的不合 </w:t>
      </w:r>
    </w:p>
    <w:p w14:paraId="5D37AD04">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格项目、安全隐患必须在规定的时间内整改完成，否则每拖延一天处以200元人民币违约金，直至整改合格。</w:t>
      </w:r>
    </w:p>
    <w:p w14:paraId="4EF3DFAB">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 xml:space="preserve"> </w:t>
      </w:r>
      <w:r>
        <w:rPr>
          <w:rFonts w:hint="eastAsia" w:ascii="宋体" w:hAnsi="宋体" w:eastAsia="宋体" w:cs="宋体"/>
          <w:b w:val="0"/>
          <w:bCs/>
          <w:snapToGrid w:val="0"/>
          <w:color w:val="auto"/>
          <w:kern w:val="0"/>
          <w:sz w:val="24"/>
          <w:szCs w:val="24"/>
          <w:highlight w:val="none"/>
          <w:lang w:val="en-US" w:eastAsia="zh-CN"/>
        </w:rPr>
        <w:t xml:space="preserve">   </w:t>
      </w: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27</w:t>
      </w:r>
      <w:r>
        <w:rPr>
          <w:rFonts w:hint="default" w:ascii="宋体" w:hAnsi="宋体" w:eastAsia="宋体" w:cs="宋体"/>
          <w:b/>
          <w:bCs w:val="0"/>
          <w:snapToGrid w:val="0"/>
          <w:color w:val="auto"/>
          <w:kern w:val="0"/>
          <w:sz w:val="24"/>
          <w:szCs w:val="24"/>
          <w:highlight w:val="none"/>
          <w:lang w:val="en-US" w:eastAsia="zh-CN"/>
        </w:rPr>
        <w:t>.</w:t>
      </w:r>
      <w:r>
        <w:rPr>
          <w:rFonts w:hint="eastAsia" w:ascii="宋体" w:hAnsi="宋体" w:eastAsia="宋体" w:cs="宋体"/>
          <w:b/>
          <w:bCs w:val="0"/>
          <w:snapToGrid w:val="0"/>
          <w:color w:val="auto"/>
          <w:kern w:val="0"/>
          <w:sz w:val="24"/>
          <w:szCs w:val="24"/>
          <w:highlight w:val="none"/>
          <w:lang w:val="en-US" w:eastAsia="zh-CN"/>
        </w:rPr>
        <w:t xml:space="preserve">3 </w:t>
      </w:r>
      <w:r>
        <w:rPr>
          <w:rFonts w:hint="eastAsia" w:ascii="宋体" w:hAnsi="宋体" w:eastAsia="宋体" w:cs="宋体"/>
          <w:b w:val="0"/>
          <w:bCs/>
          <w:snapToGrid w:val="0"/>
          <w:color w:val="auto"/>
          <w:kern w:val="0"/>
          <w:sz w:val="24"/>
          <w:szCs w:val="24"/>
          <w:highlight w:val="none"/>
          <w:lang w:val="en-US" w:eastAsia="zh-CN"/>
        </w:rPr>
        <w:t>承包人现场施工人员未按相关规定佩戴安全帽和反光衣进入施工区域的，经现场发包人（监理单位）管理人员确认后，承包人须按50元/人/次缴纳违约金。</w:t>
      </w:r>
    </w:p>
    <w:p w14:paraId="63CD755A">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val="0"/>
          <w:bCs/>
          <w:snapToGrid w:val="0"/>
          <w:color w:val="auto"/>
          <w:kern w:val="0"/>
          <w:sz w:val="24"/>
          <w:szCs w:val="24"/>
          <w:highlight w:val="none"/>
          <w:lang w:val="en-US" w:eastAsia="zh-CN"/>
        </w:rPr>
        <w:t xml:space="preserve"> 其他违约 </w:t>
      </w:r>
    </w:p>
    <w:p w14:paraId="6C6C1A33">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.1</w:t>
      </w:r>
      <w:r>
        <w:rPr>
          <w:rFonts w:hint="default" w:ascii="宋体" w:hAnsi="宋体" w:eastAsia="宋体" w:cs="宋体"/>
          <w:b w:val="0"/>
          <w:bCs/>
          <w:snapToGrid w:val="0"/>
          <w:color w:val="auto"/>
          <w:kern w:val="0"/>
          <w:sz w:val="24"/>
          <w:szCs w:val="24"/>
          <w:highlight w:val="none"/>
          <w:lang w:val="en-US" w:eastAsia="zh-CN"/>
        </w:rPr>
        <w:t xml:space="preserve"> 承包人安排在施工场地的主要管理人员（主要指项目经理、项目技术负责人和专 </w:t>
      </w:r>
    </w:p>
    <w:p w14:paraId="16EE1B0E">
      <w:pPr>
        <w:adjustRightInd w:val="0"/>
        <w:snapToGrid w:val="0"/>
        <w:spacing w:line="440" w:lineRule="exact"/>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val="0"/>
          <w:bCs/>
          <w:snapToGrid w:val="0"/>
          <w:color w:val="auto"/>
          <w:kern w:val="0"/>
          <w:sz w:val="24"/>
          <w:szCs w:val="24"/>
          <w:highlight w:val="none"/>
          <w:lang w:val="en-US" w:eastAsia="zh-CN"/>
        </w:rPr>
        <w:t>职安全生产管理人员）应与承包人投标文件承诺的名单一致，并保持相对稳定。未经总监理工程师批准，上述人员不应无故不到位或被替换。若确实无法到位或需替换，需经总监理工程师审核并报发包人批准后，承包人可安排同等资历的人员替换；</w:t>
      </w:r>
      <w:r>
        <w:rPr>
          <w:rFonts w:hint="eastAsia" w:ascii="宋体" w:hAnsi="宋体" w:eastAsia="宋体" w:cs="宋体"/>
          <w:b w:val="0"/>
          <w:bCs/>
          <w:snapToGrid w:val="0"/>
          <w:color w:val="auto"/>
          <w:kern w:val="0"/>
          <w:sz w:val="24"/>
          <w:szCs w:val="24"/>
          <w:highlight w:val="none"/>
          <w:lang w:val="en-US" w:eastAsia="zh-CN"/>
        </w:rPr>
        <w:t>在日常检查及相关会议中主要管理人员不到岗，按 500元/人/次缴纳违约金给发包人。</w:t>
      </w:r>
    </w:p>
    <w:p w14:paraId="2646E737">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.2</w:t>
      </w:r>
      <w:r>
        <w:rPr>
          <w:rFonts w:hint="default" w:ascii="宋体" w:hAnsi="宋体" w:eastAsia="宋体" w:cs="宋体"/>
          <w:b w:val="0"/>
          <w:bCs/>
          <w:snapToGrid w:val="0"/>
          <w:color w:val="auto"/>
          <w:kern w:val="0"/>
          <w:sz w:val="24"/>
          <w:szCs w:val="24"/>
          <w:highlight w:val="none"/>
          <w:lang w:val="en-US" w:eastAsia="zh-CN"/>
        </w:rPr>
        <w:t xml:space="preserve"> 中标人施工资料必须与形象进度同步</w:t>
      </w:r>
      <w:r>
        <w:rPr>
          <w:rFonts w:hint="eastAsia" w:ascii="宋体" w:hAnsi="宋体" w:eastAsia="宋体" w:cs="宋体"/>
          <w:b w:val="0"/>
          <w:bCs/>
          <w:snapToGrid w:val="0"/>
          <w:color w:val="auto"/>
          <w:kern w:val="0"/>
          <w:sz w:val="24"/>
          <w:szCs w:val="24"/>
          <w:highlight w:val="none"/>
          <w:lang w:val="en-US" w:eastAsia="zh-CN"/>
        </w:rPr>
        <w:t>，如发包人在日常检查中发现不同步的现象的，视为违约并扣除违约金1000元/每次</w:t>
      </w:r>
      <w:r>
        <w:rPr>
          <w:rFonts w:hint="default" w:ascii="宋体" w:hAnsi="宋体" w:eastAsia="宋体" w:cs="宋体"/>
          <w:b w:val="0"/>
          <w:bCs/>
          <w:snapToGrid w:val="0"/>
          <w:color w:val="auto"/>
          <w:kern w:val="0"/>
          <w:sz w:val="24"/>
          <w:szCs w:val="24"/>
          <w:highlight w:val="none"/>
          <w:lang w:val="en-US" w:eastAsia="zh-CN"/>
        </w:rPr>
        <w:t xml:space="preserve">。 </w:t>
      </w:r>
    </w:p>
    <w:p w14:paraId="6316E14F">
      <w:pPr>
        <w:adjustRightInd w:val="0"/>
        <w:snapToGrid w:val="0"/>
        <w:spacing w:line="440" w:lineRule="exact"/>
        <w:ind w:firstLine="482" w:firstLineChars="200"/>
        <w:rPr>
          <w:rFonts w:hint="default" w:ascii="宋体" w:hAnsi="宋体" w:eastAsia="宋体" w:cs="宋体"/>
          <w:b w:val="0"/>
          <w:bCs/>
          <w:snapToGrid w:val="0"/>
          <w:color w:val="auto"/>
          <w:kern w:val="0"/>
          <w:sz w:val="24"/>
          <w:szCs w:val="24"/>
          <w:highlight w:val="none"/>
          <w:lang w:val="en-US" w:eastAsia="zh-CN"/>
        </w:rPr>
      </w:pPr>
      <w:r>
        <w:rPr>
          <w:rFonts w:hint="default" w:ascii="宋体" w:hAnsi="宋体" w:eastAsia="宋体" w:cs="宋体"/>
          <w:b/>
          <w:bCs w:val="0"/>
          <w:snapToGrid w:val="0"/>
          <w:color w:val="auto"/>
          <w:kern w:val="0"/>
          <w:sz w:val="24"/>
          <w:szCs w:val="24"/>
          <w:highlight w:val="none"/>
          <w:lang w:val="en-US" w:eastAsia="zh-CN"/>
        </w:rPr>
        <w:t>4.</w:t>
      </w:r>
      <w:r>
        <w:rPr>
          <w:rFonts w:hint="eastAsia" w:ascii="宋体" w:hAnsi="宋体" w:eastAsia="宋体" w:cs="宋体"/>
          <w:b/>
          <w:bCs w:val="0"/>
          <w:snapToGrid w:val="0"/>
          <w:color w:val="auto"/>
          <w:kern w:val="0"/>
          <w:sz w:val="24"/>
          <w:szCs w:val="24"/>
          <w:highlight w:val="none"/>
          <w:lang w:val="en-US" w:eastAsia="zh-CN"/>
        </w:rPr>
        <w:t>28</w:t>
      </w:r>
      <w:r>
        <w:rPr>
          <w:rFonts w:hint="default" w:ascii="宋体" w:hAnsi="宋体" w:eastAsia="宋体" w:cs="宋体"/>
          <w:b/>
          <w:bCs w:val="0"/>
          <w:snapToGrid w:val="0"/>
          <w:color w:val="auto"/>
          <w:kern w:val="0"/>
          <w:sz w:val="24"/>
          <w:szCs w:val="24"/>
          <w:highlight w:val="none"/>
          <w:lang w:val="en-US" w:eastAsia="zh-CN"/>
        </w:rPr>
        <w:t>.3</w:t>
      </w:r>
      <w:r>
        <w:rPr>
          <w:rFonts w:hint="default" w:ascii="宋体" w:hAnsi="宋体" w:eastAsia="宋体" w:cs="宋体"/>
          <w:b w:val="0"/>
          <w:bCs/>
          <w:snapToGrid w:val="0"/>
          <w:color w:val="auto"/>
          <w:kern w:val="0"/>
          <w:sz w:val="24"/>
          <w:szCs w:val="24"/>
          <w:highlight w:val="none"/>
          <w:lang w:val="en-US" w:eastAsia="zh-CN"/>
        </w:rPr>
        <w:t xml:space="preserve"> 承包人没有正当合理的理由中途退场，可扣除承包人已递交的所有履约风险保证 </w:t>
      </w:r>
    </w:p>
    <w:p w14:paraId="3AB81941">
      <w:pPr>
        <w:adjustRightInd w:val="0"/>
        <w:snapToGrid w:val="0"/>
        <w:spacing w:line="440" w:lineRule="exact"/>
        <w:rPr>
          <w:rFonts w:hint="default" w:ascii="宋体" w:hAnsi="宋体" w:eastAsia="宋体" w:cs="宋体"/>
          <w:bCs/>
          <w:snapToGrid w:val="0"/>
          <w:color w:val="auto"/>
          <w:kern w:val="0"/>
          <w:sz w:val="24"/>
          <w:szCs w:val="24"/>
          <w:highlight w:val="none"/>
          <w:lang w:val="en-US" w:eastAsia="zh-CN" w:bidi="ar-SA"/>
        </w:rPr>
      </w:pPr>
      <w:r>
        <w:rPr>
          <w:rFonts w:hint="default" w:ascii="宋体" w:hAnsi="宋体" w:eastAsia="宋体" w:cs="宋体"/>
          <w:b w:val="0"/>
          <w:bCs/>
          <w:snapToGrid w:val="0"/>
          <w:color w:val="auto"/>
          <w:kern w:val="0"/>
          <w:sz w:val="24"/>
          <w:szCs w:val="24"/>
          <w:highlight w:val="none"/>
          <w:lang w:val="en-US" w:eastAsia="zh-CN"/>
        </w:rPr>
        <w:t>金。承包人因上述违约行为而须缴纳的违约金在工程进度款中或结算时一并扣除。</w:t>
      </w:r>
    </w:p>
    <w:p w14:paraId="45319432">
      <w:pPr>
        <w:adjustRightInd w:val="0"/>
        <w:snapToGrid w:val="0"/>
        <w:spacing w:line="440" w:lineRule="exact"/>
        <w:ind w:firstLine="482" w:firstLineChars="200"/>
        <w:rPr>
          <w:rFonts w:hint="eastAsia" w:ascii="宋体" w:hAnsi="宋体" w:eastAsia="宋体" w:cs="宋体"/>
          <w:b/>
          <w:bCs w:val="0"/>
          <w:snapToGrid w:val="0"/>
          <w:color w:val="auto"/>
          <w:kern w:val="0"/>
          <w:sz w:val="24"/>
          <w:szCs w:val="24"/>
          <w:highlight w:val="none"/>
          <w:lang w:val="en-US" w:eastAsia="zh-CN"/>
        </w:rPr>
      </w:pPr>
      <w:r>
        <w:rPr>
          <w:rFonts w:hint="eastAsia" w:ascii="宋体" w:hAnsi="宋体" w:eastAsia="宋体" w:cs="宋体"/>
          <w:b/>
          <w:bCs w:val="0"/>
          <w:snapToGrid w:val="0"/>
          <w:color w:val="auto"/>
          <w:kern w:val="0"/>
          <w:sz w:val="24"/>
          <w:szCs w:val="24"/>
          <w:highlight w:val="none"/>
          <w:lang w:val="en-US" w:eastAsia="zh-CN"/>
        </w:rPr>
        <w:t>5.其他合同条款由招标人与中标人自行协商约定。</w:t>
      </w:r>
    </w:p>
    <w:p w14:paraId="4B17F356">
      <w:pPr>
        <w:pStyle w:val="13"/>
        <w:rPr>
          <w:rFonts w:hint="eastAsia" w:ascii="宋体" w:hAnsi="宋体" w:eastAsia="宋体" w:cs="宋体"/>
          <w:color w:val="auto"/>
          <w:sz w:val="24"/>
          <w:szCs w:val="24"/>
          <w:highlight w:val="none"/>
          <w:lang w:eastAsia="zh-CN"/>
        </w:rPr>
      </w:pPr>
    </w:p>
    <w:p w14:paraId="00E29B87">
      <w:pPr>
        <w:pStyle w:val="13"/>
        <w:rPr>
          <w:rFonts w:hint="eastAsia" w:ascii="宋体" w:hAnsi="宋体" w:eastAsia="宋体" w:cs="宋体"/>
          <w:color w:val="auto"/>
          <w:sz w:val="24"/>
          <w:szCs w:val="24"/>
          <w:highlight w:val="none"/>
          <w:lang w:eastAsia="zh-CN"/>
        </w:rPr>
      </w:pPr>
    </w:p>
    <w:p w14:paraId="6EE2E99C">
      <w:pPr>
        <w:pStyle w:val="13"/>
        <w:rPr>
          <w:rFonts w:hint="eastAsia" w:ascii="宋体" w:hAnsi="宋体" w:eastAsia="宋体" w:cs="宋体"/>
          <w:color w:val="auto"/>
          <w:sz w:val="24"/>
          <w:szCs w:val="24"/>
          <w:highlight w:val="none"/>
          <w:lang w:eastAsia="zh-CN"/>
        </w:rPr>
      </w:pPr>
    </w:p>
    <w:p w14:paraId="4BDA0E56">
      <w:pPr>
        <w:pStyle w:val="13"/>
        <w:rPr>
          <w:rFonts w:hint="eastAsia" w:ascii="宋体" w:hAnsi="宋体" w:eastAsia="宋体" w:cs="宋体"/>
          <w:color w:val="auto"/>
          <w:sz w:val="24"/>
          <w:szCs w:val="24"/>
          <w:highlight w:val="none"/>
          <w:lang w:eastAsia="zh-CN"/>
        </w:rPr>
      </w:pPr>
    </w:p>
    <w:p w14:paraId="673329EB">
      <w:pPr>
        <w:pStyle w:val="13"/>
        <w:rPr>
          <w:rFonts w:hint="eastAsia" w:ascii="宋体" w:hAnsi="宋体" w:eastAsia="宋体" w:cs="宋体"/>
          <w:color w:val="auto"/>
          <w:sz w:val="24"/>
          <w:szCs w:val="24"/>
          <w:highlight w:val="none"/>
          <w:lang w:eastAsia="zh-CN"/>
        </w:rPr>
      </w:pPr>
    </w:p>
    <w:p w14:paraId="42CDD58A">
      <w:pPr>
        <w:spacing w:before="78" w:line="219" w:lineRule="auto"/>
        <w:outlineLvl w:val="9"/>
        <w:rPr>
          <w:rFonts w:hint="eastAsia" w:ascii="宋体" w:hAnsi="宋体" w:eastAsia="宋体" w:cs="宋体"/>
          <w:b/>
          <w:bCs/>
          <w:color w:val="auto"/>
          <w:spacing w:val="-3"/>
          <w:sz w:val="24"/>
          <w:szCs w:val="24"/>
          <w:highlight w:val="none"/>
        </w:rPr>
      </w:pPr>
      <w:bookmarkStart w:id="180" w:name="bookmark96"/>
      <w:bookmarkEnd w:id="180"/>
    </w:p>
    <w:p w14:paraId="2BDC7F7A">
      <w:pPr>
        <w:rPr>
          <w:rFonts w:hint="eastAsia" w:ascii="宋体" w:hAnsi="宋体" w:eastAsia="宋体" w:cs="宋体"/>
          <w:b/>
          <w:bCs/>
          <w:color w:val="auto"/>
          <w:spacing w:val="-3"/>
          <w:sz w:val="24"/>
          <w:szCs w:val="24"/>
          <w:highlight w:val="none"/>
        </w:rPr>
      </w:pPr>
      <w:r>
        <w:rPr>
          <w:rFonts w:hint="eastAsia" w:ascii="宋体" w:hAnsi="宋体" w:eastAsia="宋体" w:cs="宋体"/>
          <w:b/>
          <w:bCs/>
          <w:color w:val="auto"/>
          <w:spacing w:val="-3"/>
          <w:sz w:val="24"/>
          <w:szCs w:val="24"/>
          <w:highlight w:val="none"/>
        </w:rPr>
        <w:br w:type="page"/>
      </w:r>
    </w:p>
    <w:p w14:paraId="2B87CA60">
      <w:pPr>
        <w:spacing w:before="78" w:line="219" w:lineRule="auto"/>
        <w:ind w:left="3273"/>
        <w:outlineLvl w:val="0"/>
        <w:rPr>
          <w:rFonts w:hint="eastAsia" w:ascii="宋体" w:hAnsi="宋体" w:eastAsia="宋体" w:cs="宋体"/>
          <w:color w:val="auto"/>
          <w:highlight w:val="none"/>
        </w:rPr>
      </w:pPr>
      <w:bookmarkStart w:id="181" w:name="_Toc30225"/>
      <w:r>
        <w:rPr>
          <w:rFonts w:hint="eastAsia" w:ascii="宋体" w:hAnsi="宋体" w:eastAsia="宋体" w:cs="宋体"/>
          <w:b/>
          <w:bCs/>
          <w:color w:val="auto"/>
          <w:spacing w:val="-3"/>
          <w:sz w:val="24"/>
          <w:szCs w:val="24"/>
          <w:highlight w:val="none"/>
        </w:rPr>
        <w:t>第四章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技术要求</w:t>
      </w:r>
      <w:bookmarkEnd w:id="181"/>
    </w:p>
    <w:p w14:paraId="379571EE">
      <w:pPr>
        <w:pStyle w:val="5"/>
        <w:spacing w:line="257" w:lineRule="auto"/>
        <w:rPr>
          <w:rFonts w:hint="eastAsia" w:ascii="宋体" w:hAnsi="宋体" w:eastAsia="宋体" w:cs="宋体"/>
          <w:color w:val="auto"/>
          <w:highlight w:val="none"/>
        </w:rPr>
      </w:pPr>
    </w:p>
    <w:p w14:paraId="5BE30722">
      <w:pPr>
        <w:spacing w:before="78" w:line="221" w:lineRule="auto"/>
        <w:ind w:left="125"/>
        <w:outlineLvl w:val="2"/>
        <w:rPr>
          <w:rFonts w:hint="eastAsia" w:ascii="宋体" w:hAnsi="宋体" w:eastAsia="宋体" w:cs="宋体"/>
          <w:color w:val="auto"/>
          <w:sz w:val="24"/>
          <w:szCs w:val="24"/>
          <w:highlight w:val="none"/>
        </w:rPr>
      </w:pPr>
      <w:bookmarkStart w:id="182" w:name="_Toc10155"/>
      <w:bookmarkStart w:id="183" w:name="_Toc19340"/>
      <w:r>
        <w:rPr>
          <w:rFonts w:hint="eastAsia" w:ascii="宋体" w:hAnsi="宋体" w:eastAsia="宋体" w:cs="宋体"/>
          <w:b/>
          <w:bCs/>
          <w:color w:val="auto"/>
          <w:spacing w:val="-6"/>
          <w:sz w:val="24"/>
          <w:szCs w:val="24"/>
          <w:highlight w:val="none"/>
        </w:rPr>
        <w:t>1</w:t>
      </w:r>
      <w:r>
        <w:rPr>
          <w:rFonts w:hint="eastAsia" w:ascii="宋体" w:hAnsi="宋体" w:eastAsia="宋体" w:cs="宋体"/>
          <w:b/>
          <w:bCs/>
          <w:color w:val="auto"/>
          <w:spacing w:val="-23"/>
          <w:sz w:val="24"/>
          <w:szCs w:val="24"/>
          <w:highlight w:val="none"/>
        </w:rPr>
        <w:t xml:space="preserve"> </w:t>
      </w:r>
      <w:r>
        <w:rPr>
          <w:rFonts w:hint="eastAsia" w:ascii="宋体" w:hAnsi="宋体" w:eastAsia="宋体" w:cs="宋体"/>
          <w:b/>
          <w:bCs/>
          <w:color w:val="auto"/>
          <w:spacing w:val="-6"/>
          <w:sz w:val="24"/>
          <w:szCs w:val="24"/>
          <w:highlight w:val="none"/>
        </w:rPr>
        <w:t>．</w:t>
      </w:r>
      <w:r>
        <w:rPr>
          <w:rFonts w:hint="eastAsia" w:ascii="宋体" w:hAnsi="宋体" w:eastAsia="宋体" w:cs="宋体"/>
          <w:b/>
          <w:bCs/>
          <w:color w:val="auto"/>
          <w:spacing w:val="-1"/>
          <w:sz w:val="24"/>
          <w:szCs w:val="24"/>
          <w:highlight w:val="none"/>
        </w:rPr>
        <w:t>房屋建筑工程建设项目</w:t>
      </w:r>
      <w:bookmarkEnd w:id="182"/>
      <w:bookmarkEnd w:id="183"/>
    </w:p>
    <w:p w14:paraId="3989A8B1">
      <w:pPr>
        <w:spacing w:before="152"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房屋建筑工程建设项目必须执行的现行技术规范，包括且不限于：</w:t>
      </w:r>
    </w:p>
    <w:p w14:paraId="75FB82B5">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（1）《建筑工程施工质量验收统一标准》；</w:t>
      </w:r>
    </w:p>
    <w:p w14:paraId="0F8F10F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（2）《建筑地基基础工程施工质量验收规范》；</w:t>
      </w:r>
    </w:p>
    <w:p w14:paraId="12F6D15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（3）《砌体工程施工质量验收规范》；</w:t>
      </w:r>
    </w:p>
    <w:p w14:paraId="6755EFEB">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（4）《混凝土结构工程施工质量验收规范》；</w:t>
      </w:r>
    </w:p>
    <w:p w14:paraId="3F9C2AD6">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（5）《屋面工程质量验收规范》；</w:t>
      </w:r>
    </w:p>
    <w:p w14:paraId="35E6FD8D">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（6）《地下防水工程质量验收规范》；</w:t>
      </w:r>
    </w:p>
    <w:p w14:paraId="152B7914">
      <w:pPr>
        <w:spacing w:before="156"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（7）《建筑地面工程施工质量验收规范》；</w:t>
      </w:r>
    </w:p>
    <w:p w14:paraId="63C9A67F">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（8）《建筑装饰装修工程施工质量验收规范》；</w:t>
      </w:r>
    </w:p>
    <w:p w14:paraId="2579DEFA">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（9）《建筑给排水及采暖工程施工质量验收规范》；</w:t>
      </w:r>
    </w:p>
    <w:p w14:paraId="76EE1100">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（10）《建筑电气工程施工质量验收规范》；</w:t>
      </w:r>
    </w:p>
    <w:p w14:paraId="2680FFF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（11）《住建部绿色建筑评价标准》；</w:t>
      </w:r>
    </w:p>
    <w:p w14:paraId="6AD1C11B">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（12）《建筑节能与可再生能源利用通用规范》（GB55015-2021）；</w:t>
      </w:r>
    </w:p>
    <w:p w14:paraId="439755B9">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（13）《建筑环境通用规范》；</w:t>
      </w:r>
    </w:p>
    <w:p w14:paraId="2B333EA3">
      <w:pPr>
        <w:spacing w:before="153" w:line="219" w:lineRule="auto"/>
        <w:ind w:left="130"/>
        <w:rPr>
          <w:rFonts w:hint="eastAsia" w:ascii="宋体" w:hAnsi="宋体" w:eastAsia="宋体" w:cs="宋体"/>
          <w:color w:val="auto"/>
          <w:spacing w:val="-1"/>
          <w:sz w:val="24"/>
          <w:szCs w:val="24"/>
          <w:highlight w:val="none"/>
        </w:rPr>
      </w:pPr>
      <w:bookmarkStart w:id="184" w:name="_Toc12084"/>
      <w:bookmarkStart w:id="185" w:name="_Toc16294"/>
      <w:r>
        <w:rPr>
          <w:rFonts w:hint="eastAsia" w:ascii="宋体" w:hAnsi="宋体" w:eastAsia="宋体" w:cs="宋体"/>
          <w:color w:val="auto"/>
          <w:spacing w:val="-1"/>
          <w:sz w:val="24"/>
          <w:szCs w:val="24"/>
          <w:highlight w:val="none"/>
        </w:rPr>
        <w:t>（14）《建筑与市政工程无障碍通用规范》 GB 55019-2021；</w:t>
      </w:r>
      <w:bookmarkEnd w:id="184"/>
      <w:bookmarkEnd w:id="185"/>
    </w:p>
    <w:p w14:paraId="7B3C5264">
      <w:pPr>
        <w:spacing w:before="153" w:line="219" w:lineRule="auto"/>
        <w:ind w:left="130"/>
        <w:rPr>
          <w:rFonts w:hint="eastAsia" w:ascii="宋体" w:hAnsi="宋体" w:eastAsia="宋体" w:cs="宋体"/>
          <w:color w:val="auto"/>
          <w:spacing w:val="-1"/>
          <w:sz w:val="24"/>
          <w:szCs w:val="24"/>
          <w:highlight w:val="none"/>
        </w:rPr>
      </w:pPr>
      <w:bookmarkStart w:id="186" w:name="_Toc1177"/>
      <w:bookmarkStart w:id="187" w:name="_Toc15158"/>
      <w:r>
        <w:rPr>
          <w:rFonts w:hint="eastAsia" w:ascii="宋体" w:hAnsi="宋体" w:eastAsia="宋体" w:cs="宋体"/>
          <w:color w:val="auto"/>
          <w:spacing w:val="-1"/>
          <w:sz w:val="24"/>
          <w:szCs w:val="24"/>
          <w:highlight w:val="none"/>
        </w:rPr>
        <w:t>（15）《建筑防火通用规范》GB 55037-2022;</w:t>
      </w:r>
      <w:bookmarkEnd w:id="186"/>
      <w:bookmarkEnd w:id="187"/>
    </w:p>
    <w:p w14:paraId="61F141A9">
      <w:pPr>
        <w:spacing w:before="153" w:line="219" w:lineRule="auto"/>
        <w:ind w:left="130"/>
        <w:rPr>
          <w:rFonts w:hint="eastAsia" w:ascii="宋体" w:hAnsi="宋体" w:eastAsia="宋体" w:cs="宋体"/>
          <w:color w:val="auto"/>
          <w:spacing w:val="-1"/>
          <w:sz w:val="24"/>
          <w:szCs w:val="24"/>
          <w:highlight w:val="none"/>
        </w:rPr>
      </w:pPr>
      <w:bookmarkStart w:id="188" w:name="_Toc2461"/>
      <w:bookmarkStart w:id="189" w:name="_Toc24233"/>
      <w:r>
        <w:rPr>
          <w:rFonts w:hint="eastAsia" w:ascii="宋体" w:hAnsi="宋体" w:eastAsia="宋体" w:cs="宋体"/>
          <w:color w:val="auto"/>
          <w:spacing w:val="-1"/>
          <w:sz w:val="24"/>
          <w:szCs w:val="24"/>
          <w:highlight w:val="none"/>
        </w:rPr>
        <w:t>（16）《建筑与市政工程抗震通用规范》GB55002-2001;</w:t>
      </w:r>
      <w:bookmarkEnd w:id="188"/>
      <w:bookmarkEnd w:id="189"/>
    </w:p>
    <w:p w14:paraId="3BC258D5">
      <w:pPr>
        <w:spacing w:before="153" w:line="219" w:lineRule="auto"/>
        <w:ind w:left="130"/>
        <w:rPr>
          <w:rFonts w:hint="eastAsia" w:ascii="宋体" w:hAnsi="宋体" w:eastAsia="宋体" w:cs="宋体"/>
          <w:color w:val="auto"/>
          <w:spacing w:val="-1"/>
          <w:sz w:val="24"/>
          <w:szCs w:val="24"/>
          <w:highlight w:val="none"/>
        </w:rPr>
      </w:pPr>
      <w:bookmarkStart w:id="190" w:name="_Toc5777"/>
      <w:bookmarkStart w:id="191" w:name="_Toc8109"/>
      <w:r>
        <w:rPr>
          <w:rFonts w:hint="eastAsia" w:ascii="宋体" w:hAnsi="宋体" w:eastAsia="宋体" w:cs="宋体"/>
          <w:color w:val="auto"/>
          <w:spacing w:val="-1"/>
          <w:sz w:val="24"/>
          <w:szCs w:val="24"/>
          <w:highlight w:val="none"/>
        </w:rPr>
        <w:t>（17）《建筑与市政地基基础通用规范》GB55003-2001;</w:t>
      </w:r>
      <w:bookmarkEnd w:id="190"/>
      <w:bookmarkEnd w:id="191"/>
    </w:p>
    <w:p w14:paraId="7EABE99D">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（18）《广东省住房和城乡建设厅绿色施工导则》；</w:t>
      </w:r>
    </w:p>
    <w:p w14:paraId="22C6EA0E">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（19）《广东省建筑工程绿色施工评价标准》；</w:t>
      </w:r>
    </w:p>
    <w:p w14:paraId="2E498EA8">
      <w:pPr>
        <w:spacing w:before="153" w:line="219" w:lineRule="auto"/>
        <w:ind w:left="130"/>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（20）《广东省建筑节能与绿色建筑工程施工质量验收规范》</w:t>
      </w:r>
    </w:p>
    <w:p w14:paraId="08F26131">
      <w:pPr>
        <w:spacing w:before="153" w:line="219"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（21）其他现行国家、广东省关于房建工程的施工及验收规范、定额</w:t>
      </w:r>
      <w:r>
        <w:rPr>
          <w:rFonts w:hint="eastAsia" w:ascii="宋体" w:hAnsi="宋体" w:eastAsia="宋体" w:cs="宋体"/>
          <w:color w:val="auto"/>
          <w:spacing w:val="-6"/>
          <w:sz w:val="24"/>
          <w:szCs w:val="24"/>
          <w:highlight w:val="none"/>
        </w:rPr>
        <w:t>、规程、标准。</w:t>
      </w:r>
    </w:p>
    <w:p w14:paraId="7BB3D7FB">
      <w:pPr>
        <w:pStyle w:val="5"/>
        <w:spacing w:line="257" w:lineRule="auto"/>
        <w:rPr>
          <w:rFonts w:hint="eastAsia" w:ascii="宋体" w:hAnsi="宋体" w:eastAsia="宋体" w:cs="宋体"/>
          <w:color w:val="auto"/>
          <w:highlight w:val="none"/>
        </w:rPr>
      </w:pPr>
    </w:p>
    <w:p w14:paraId="5D97A8A7">
      <w:pPr>
        <w:spacing w:before="78" w:line="220" w:lineRule="auto"/>
        <w:ind w:left="115"/>
        <w:outlineLvl w:val="2"/>
        <w:rPr>
          <w:rFonts w:hint="eastAsia" w:ascii="宋体" w:hAnsi="宋体" w:eastAsia="宋体" w:cs="宋体"/>
          <w:color w:val="auto"/>
          <w:sz w:val="24"/>
          <w:szCs w:val="24"/>
          <w:highlight w:val="none"/>
        </w:rPr>
      </w:pPr>
      <w:bookmarkStart w:id="192" w:name="_Toc16340"/>
      <w:bookmarkStart w:id="193" w:name="_Toc15652"/>
      <w:r>
        <w:rPr>
          <w:rFonts w:hint="eastAsia" w:ascii="宋体" w:hAnsi="宋体" w:eastAsia="宋体" w:cs="宋体"/>
          <w:b/>
          <w:bCs/>
          <w:color w:val="auto"/>
          <w:spacing w:val="-5"/>
          <w:sz w:val="24"/>
          <w:szCs w:val="24"/>
          <w:highlight w:val="none"/>
        </w:rPr>
        <w:t>2</w:t>
      </w:r>
      <w:r>
        <w:rPr>
          <w:rFonts w:hint="eastAsia" w:ascii="宋体" w:hAnsi="宋体" w:eastAsia="宋体" w:cs="宋体"/>
          <w:b/>
          <w:bCs/>
          <w:color w:val="auto"/>
          <w:spacing w:val="-18"/>
          <w:sz w:val="24"/>
          <w:szCs w:val="24"/>
          <w:highlight w:val="none"/>
        </w:rPr>
        <w:t xml:space="preserve"> </w:t>
      </w:r>
      <w:r>
        <w:rPr>
          <w:rFonts w:hint="eastAsia" w:ascii="宋体" w:hAnsi="宋体" w:eastAsia="宋体" w:cs="宋体"/>
          <w:b/>
          <w:bCs/>
          <w:color w:val="auto"/>
          <w:spacing w:val="-5"/>
          <w:sz w:val="24"/>
          <w:szCs w:val="24"/>
          <w:highlight w:val="none"/>
        </w:rPr>
        <w:t>．市政基础设施工程建设项目</w:t>
      </w:r>
      <w:bookmarkEnd w:id="192"/>
      <w:bookmarkEnd w:id="193"/>
    </w:p>
    <w:p w14:paraId="3D883B18">
      <w:pPr>
        <w:spacing w:before="154" w:line="220" w:lineRule="auto"/>
        <w:ind w:left="12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市政基础设施工程建设项目必须执行的现行技术规范，包括且不限于：</w:t>
      </w:r>
    </w:p>
    <w:p w14:paraId="6C693652">
      <w:pPr>
        <w:spacing w:before="155"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（1）《公路路基施工技术规范》；</w:t>
      </w:r>
    </w:p>
    <w:p w14:paraId="6D80DEC4">
      <w:pPr>
        <w:spacing w:before="153"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（2）《市政道路工程质量检验评定标准》；</w:t>
      </w:r>
    </w:p>
    <w:p w14:paraId="0237C6F7">
      <w:pPr>
        <w:spacing w:before="154" w:line="220"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（3）《市政排水管渠工程质量检验评定标准》；</w:t>
      </w:r>
    </w:p>
    <w:p w14:paraId="5A0A8A2B">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130"/>
        <w:textAlignment w:val="baseline"/>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（4）《给水排水管道工程施工及验收规范》；</w:t>
      </w:r>
    </w:p>
    <w:p w14:paraId="3F18BF51">
      <w:pPr>
        <w:keepNext w:val="0"/>
        <w:keepLines w:val="0"/>
        <w:pageBreakBefore w:val="0"/>
        <w:widowControl w:val="0"/>
        <w:kinsoku w:val="0"/>
        <w:wordWrap/>
        <w:overflowPunct/>
        <w:topLinePunct w:val="0"/>
        <w:autoSpaceDE w:val="0"/>
        <w:autoSpaceDN w:val="0"/>
        <w:bidi w:val="0"/>
        <w:adjustRightInd w:val="0"/>
        <w:snapToGrid w:val="0"/>
        <w:spacing w:before="78"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（5）《城市道路路基工程施工及验收规范》；</w:t>
      </w:r>
    </w:p>
    <w:p w14:paraId="4DD7CD7E">
      <w:pPr>
        <w:keepNext w:val="0"/>
        <w:keepLines w:val="0"/>
        <w:pageBreakBefore w:val="0"/>
        <w:widowControl w:val="0"/>
        <w:kinsoku w:val="0"/>
        <w:wordWrap/>
        <w:overflowPunct/>
        <w:topLinePunct w:val="0"/>
        <w:autoSpaceDE w:val="0"/>
        <w:autoSpaceDN w:val="0"/>
        <w:bidi w:val="0"/>
        <w:adjustRightInd w:val="0"/>
        <w:snapToGrid w:val="0"/>
        <w:spacing w:before="155"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（6）《水泥砼路面施工及验收规范》；</w:t>
      </w:r>
    </w:p>
    <w:p w14:paraId="2A6E8F8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（7）《公路水泥砼路面施工技术规范》；</w:t>
      </w:r>
    </w:p>
    <w:p w14:paraId="71A4541D">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（8）《埋地硬聚氯乙烯排水管道工程技术规程》；</w:t>
      </w:r>
    </w:p>
    <w:p w14:paraId="11417329">
      <w:pPr>
        <w:keepNext w:val="0"/>
        <w:keepLines w:val="0"/>
        <w:pageBreakBefore w:val="0"/>
        <w:widowControl w:val="0"/>
        <w:kinsoku w:val="0"/>
        <w:wordWrap/>
        <w:overflowPunct/>
        <w:topLinePunct w:val="0"/>
        <w:autoSpaceDE w:val="0"/>
        <w:autoSpaceDN w:val="0"/>
        <w:bidi w:val="0"/>
        <w:adjustRightInd w:val="0"/>
        <w:snapToGrid w:val="0"/>
        <w:spacing w:before="122" w:line="219" w:lineRule="auto"/>
        <w:ind w:left="216" w:leftChars="103" w:firstLine="0" w:firstLineChars="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（9）《沥青路面施工及验收规范》；</w:t>
      </w:r>
    </w:p>
    <w:p w14:paraId="4D5A8059">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（10）《广东省市政工程施工质量技术资料统一用表》。</w:t>
      </w:r>
    </w:p>
    <w:p w14:paraId="387D73AC">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4" w:name="_Toc30781"/>
      <w:bookmarkStart w:id="195" w:name="_Toc8494"/>
      <w:r>
        <w:rPr>
          <w:rFonts w:hint="eastAsia" w:ascii="宋体" w:hAnsi="宋体" w:eastAsia="宋体" w:cs="宋体"/>
          <w:color w:val="auto"/>
          <w:spacing w:val="-2"/>
          <w:sz w:val="24"/>
          <w:szCs w:val="24"/>
          <w:highlight w:val="none"/>
        </w:rPr>
        <w:t>（11）《建筑与市政工程无障碍通用规范》 GB 55019-2021；</w:t>
      </w:r>
      <w:bookmarkEnd w:id="194"/>
      <w:bookmarkEnd w:id="195"/>
    </w:p>
    <w:p w14:paraId="0DCC9771">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6" w:name="_Toc17383"/>
      <w:bookmarkStart w:id="197" w:name="_Toc31143"/>
      <w:r>
        <w:rPr>
          <w:rFonts w:hint="eastAsia" w:ascii="宋体" w:hAnsi="宋体" w:eastAsia="宋体" w:cs="宋体"/>
          <w:color w:val="auto"/>
          <w:spacing w:val="-2"/>
          <w:sz w:val="24"/>
          <w:szCs w:val="24"/>
          <w:highlight w:val="none"/>
        </w:rPr>
        <w:t>（12）《建筑防火通用规范》GB 55037-2022;</w:t>
      </w:r>
      <w:bookmarkEnd w:id="196"/>
      <w:bookmarkEnd w:id="197"/>
    </w:p>
    <w:p w14:paraId="1007A637">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198" w:name="_Toc954"/>
      <w:bookmarkStart w:id="199" w:name="_Toc32476"/>
      <w:r>
        <w:rPr>
          <w:rFonts w:hint="eastAsia" w:ascii="宋体" w:hAnsi="宋体" w:eastAsia="宋体" w:cs="宋体"/>
          <w:color w:val="auto"/>
          <w:spacing w:val="-2"/>
          <w:sz w:val="24"/>
          <w:szCs w:val="24"/>
          <w:highlight w:val="none"/>
        </w:rPr>
        <w:t>（13）《建筑与市政工程抗震通用规范》GB55002-2001;</w:t>
      </w:r>
      <w:bookmarkEnd w:id="198"/>
      <w:bookmarkEnd w:id="199"/>
    </w:p>
    <w:p w14:paraId="605E1A8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0" w:name="_Toc7185"/>
      <w:bookmarkStart w:id="201" w:name="_Toc27898"/>
      <w:r>
        <w:rPr>
          <w:rFonts w:hint="eastAsia" w:ascii="宋体" w:hAnsi="宋体" w:eastAsia="宋体" w:cs="宋体"/>
          <w:color w:val="auto"/>
          <w:spacing w:val="-2"/>
          <w:sz w:val="24"/>
          <w:szCs w:val="24"/>
          <w:highlight w:val="none"/>
        </w:rPr>
        <w:t>（14）《建筑与市政地基基础通用规范》GB55003-2001;</w:t>
      </w:r>
      <w:bookmarkEnd w:id="200"/>
      <w:bookmarkEnd w:id="201"/>
    </w:p>
    <w:p w14:paraId="6DD04A48">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2" w:name="_Toc17281"/>
      <w:bookmarkStart w:id="203" w:name="_Toc29669"/>
      <w:r>
        <w:rPr>
          <w:rFonts w:hint="eastAsia" w:ascii="宋体" w:hAnsi="宋体" w:eastAsia="宋体" w:cs="宋体"/>
          <w:color w:val="auto"/>
          <w:spacing w:val="-2"/>
          <w:sz w:val="24"/>
          <w:szCs w:val="24"/>
          <w:highlight w:val="none"/>
        </w:rPr>
        <w:t>（15）《城市道路照明设计标准》（CJJ45-2015）；</w:t>
      </w:r>
      <w:bookmarkEnd w:id="202"/>
      <w:bookmarkEnd w:id="203"/>
    </w:p>
    <w:p w14:paraId="6E232C70">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4" w:name="_Toc31812"/>
      <w:bookmarkStart w:id="205" w:name="_Toc9161"/>
      <w:r>
        <w:rPr>
          <w:rFonts w:hint="eastAsia" w:ascii="宋体" w:hAnsi="宋体" w:eastAsia="宋体" w:cs="宋体"/>
          <w:color w:val="auto"/>
          <w:spacing w:val="-2"/>
          <w:sz w:val="24"/>
          <w:szCs w:val="24"/>
          <w:highlight w:val="none"/>
        </w:rPr>
        <w:t>（16）《低压配电设计规范》（GB50054-2011）；</w:t>
      </w:r>
      <w:bookmarkEnd w:id="204"/>
      <w:bookmarkEnd w:id="205"/>
    </w:p>
    <w:p w14:paraId="4BA22D2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bookmarkStart w:id="206" w:name="_Toc18255"/>
      <w:bookmarkStart w:id="207" w:name="_Toc6405"/>
      <w:r>
        <w:rPr>
          <w:rFonts w:hint="eastAsia" w:ascii="宋体" w:hAnsi="宋体" w:eastAsia="宋体" w:cs="宋体"/>
          <w:color w:val="auto"/>
          <w:spacing w:val="-2"/>
          <w:sz w:val="24"/>
          <w:szCs w:val="24"/>
          <w:highlight w:val="none"/>
        </w:rPr>
        <w:t>（17）《城市道路照明工程施工及验收规程》（CJJ89-2012）；</w:t>
      </w:r>
      <w:bookmarkEnd w:id="206"/>
      <w:bookmarkEnd w:id="207"/>
    </w:p>
    <w:p w14:paraId="2778203A">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（18）《LED 道路照明工程技术规范》（DB44/T 1898-2016）；</w:t>
      </w:r>
    </w:p>
    <w:p w14:paraId="05CEC0C5">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（19）《灯具第 1 部分：一般要求与试验》（GB7000.1-2015）；</w:t>
      </w:r>
    </w:p>
    <w:p w14:paraId="020E2463">
      <w:pPr>
        <w:keepNext w:val="0"/>
        <w:keepLines w:val="0"/>
        <w:pageBreakBefore w:val="0"/>
        <w:widowControl w:val="0"/>
        <w:kinsoku w:val="0"/>
        <w:wordWrap/>
        <w:overflowPunct/>
        <w:topLinePunct w:val="0"/>
        <w:autoSpaceDE w:val="0"/>
        <w:autoSpaceDN w:val="0"/>
        <w:bidi w:val="0"/>
        <w:adjustRightInd w:val="0"/>
        <w:snapToGrid w:val="0"/>
        <w:spacing w:before="153" w:line="220" w:lineRule="auto"/>
        <w:ind w:left="216" w:leftChars="103" w:firstLine="0" w:firstLineChars="0"/>
        <w:textAlignment w:val="baseline"/>
        <w:rPr>
          <w:rFonts w:hint="eastAsia" w:ascii="宋体" w:hAnsi="宋体" w:eastAsia="宋体" w:cs="宋体"/>
          <w:color w:val="auto"/>
          <w:spacing w:val="-2"/>
          <w:sz w:val="24"/>
          <w:szCs w:val="24"/>
          <w:highlight w:val="none"/>
        </w:rPr>
      </w:pPr>
      <w:r>
        <w:rPr>
          <w:rFonts w:hint="eastAsia" w:ascii="宋体" w:hAnsi="宋体" w:eastAsia="宋体" w:cs="宋体"/>
          <w:color w:val="auto"/>
          <w:spacing w:val="-2"/>
          <w:sz w:val="24"/>
          <w:szCs w:val="24"/>
          <w:highlight w:val="none"/>
        </w:rPr>
        <w:t>（20）《电缆工程电缆设计标准》（GB50217-2018）；</w:t>
      </w:r>
    </w:p>
    <w:p w14:paraId="5EA03498">
      <w:pPr>
        <w:keepNext w:val="0"/>
        <w:keepLines w:val="0"/>
        <w:pageBreakBefore w:val="0"/>
        <w:widowControl w:val="0"/>
        <w:kinsoku w:val="0"/>
        <w:wordWrap/>
        <w:overflowPunct/>
        <w:topLinePunct w:val="0"/>
        <w:autoSpaceDE w:val="0"/>
        <w:autoSpaceDN w:val="0"/>
        <w:bidi w:val="0"/>
        <w:adjustRightInd w:val="0"/>
        <w:snapToGrid w:val="0"/>
        <w:spacing w:before="146" w:line="220" w:lineRule="auto"/>
        <w:ind w:left="216" w:leftChars="103" w:firstLine="0" w:firstLineChars="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（21）其他现行国家、广东省关于市政工程的技术及验收规范、定额、规程、标准。</w:t>
      </w:r>
    </w:p>
    <w:p w14:paraId="4FB1DDF1">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164D7E">
      <w:pPr>
        <w:pStyle w:val="5"/>
        <w:keepNext w:val="0"/>
        <w:keepLines w:val="0"/>
        <w:pageBreakBefore w:val="0"/>
        <w:widowControl w:val="0"/>
        <w:kinsoku w:val="0"/>
        <w:wordWrap/>
        <w:overflowPunct/>
        <w:topLinePunct w:val="0"/>
        <w:autoSpaceDE w:val="0"/>
        <w:autoSpaceDN w:val="0"/>
        <w:bidi w:val="0"/>
        <w:adjustRightInd w:val="0"/>
        <w:snapToGrid w:val="0"/>
        <w:spacing w:line="255" w:lineRule="auto"/>
        <w:textAlignment w:val="baseline"/>
        <w:rPr>
          <w:rFonts w:hint="eastAsia" w:ascii="宋体" w:hAnsi="宋体" w:eastAsia="宋体" w:cs="宋体"/>
          <w:color w:val="auto"/>
          <w:highlight w:val="none"/>
        </w:rPr>
      </w:pPr>
    </w:p>
    <w:p w14:paraId="4AD096E9">
      <w:pPr>
        <w:keepNext w:val="0"/>
        <w:keepLines w:val="0"/>
        <w:pageBreakBefore w:val="0"/>
        <w:widowControl w:val="0"/>
        <w:kinsoku w:val="0"/>
        <w:wordWrap/>
        <w:overflowPunct/>
        <w:topLinePunct w:val="0"/>
        <w:autoSpaceDE w:val="0"/>
        <w:autoSpaceDN w:val="0"/>
        <w:bidi w:val="0"/>
        <w:adjustRightInd w:val="0"/>
        <w:snapToGrid w:val="0"/>
        <w:spacing w:before="78" w:line="222" w:lineRule="auto"/>
        <w:ind w:left="556"/>
        <w:textAlignment w:val="baseline"/>
        <w:outlineLvl w:val="2"/>
        <w:rPr>
          <w:rFonts w:hint="eastAsia" w:ascii="宋体" w:hAnsi="宋体" w:eastAsia="宋体" w:cs="宋体"/>
          <w:color w:val="auto"/>
          <w:sz w:val="24"/>
          <w:szCs w:val="24"/>
          <w:highlight w:val="none"/>
        </w:rPr>
      </w:pPr>
      <w:bookmarkStart w:id="208" w:name="_Toc9200"/>
      <w:bookmarkStart w:id="209" w:name="_Toc31813"/>
      <w:r>
        <w:rPr>
          <w:rFonts w:hint="eastAsia" w:ascii="宋体" w:hAnsi="宋体" w:eastAsia="宋体" w:cs="宋体"/>
          <w:b/>
          <w:bCs/>
          <w:color w:val="auto"/>
          <w:spacing w:val="-8"/>
          <w:sz w:val="24"/>
          <w:szCs w:val="24"/>
          <w:highlight w:val="none"/>
        </w:rPr>
        <w:t>3</w:t>
      </w:r>
      <w:r>
        <w:rPr>
          <w:rFonts w:hint="eastAsia" w:ascii="宋体" w:hAnsi="宋体" w:eastAsia="宋体" w:cs="宋体"/>
          <w:b/>
          <w:bCs/>
          <w:color w:val="auto"/>
          <w:spacing w:val="-25"/>
          <w:sz w:val="24"/>
          <w:szCs w:val="24"/>
          <w:highlight w:val="none"/>
        </w:rPr>
        <w:t xml:space="preserve"> </w:t>
      </w:r>
      <w:r>
        <w:rPr>
          <w:rFonts w:hint="eastAsia" w:ascii="宋体" w:hAnsi="宋体" w:eastAsia="宋体" w:cs="宋体"/>
          <w:b/>
          <w:bCs/>
          <w:color w:val="auto"/>
          <w:spacing w:val="-8"/>
          <w:sz w:val="24"/>
          <w:szCs w:val="24"/>
          <w:highlight w:val="none"/>
        </w:rPr>
        <w:t>．备查要求</w:t>
      </w:r>
      <w:bookmarkEnd w:id="208"/>
      <w:bookmarkEnd w:id="209"/>
    </w:p>
    <w:p w14:paraId="54FC245A">
      <w:pPr>
        <w:keepNext w:val="0"/>
        <w:keepLines w:val="0"/>
        <w:pageBreakBefore w:val="0"/>
        <w:widowControl w:val="0"/>
        <w:kinsoku w:val="0"/>
        <w:wordWrap/>
        <w:overflowPunct/>
        <w:topLinePunct w:val="0"/>
        <w:autoSpaceDE w:val="0"/>
        <w:autoSpaceDN w:val="0"/>
        <w:bidi w:val="0"/>
        <w:adjustRightInd w:val="0"/>
        <w:snapToGrid w:val="0"/>
        <w:spacing w:before="155" w:line="324" w:lineRule="auto"/>
        <w:ind w:right="81" w:firstLine="561"/>
        <w:jc w:val="both"/>
        <w:textAlignment w:val="baseline"/>
        <w:rPr>
          <w:rFonts w:hint="eastAsia"/>
          <w:color w:val="auto"/>
          <w:highlight w:val="none"/>
        </w:rPr>
        <w:sectPr>
          <w:footerReference r:id="rId1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r>
        <w:rPr>
          <w:rFonts w:hint="eastAsia" w:ascii="宋体" w:hAnsi="宋体" w:eastAsia="宋体" w:cs="宋体"/>
          <w:color w:val="auto"/>
          <w:spacing w:val="3"/>
          <w:sz w:val="24"/>
          <w:szCs w:val="24"/>
          <w:highlight w:val="none"/>
        </w:rPr>
        <w:t>承包人必须在施工现场准备至少一套上述规范，发包人和监理单位可</w:t>
      </w:r>
      <w:r>
        <w:rPr>
          <w:rFonts w:hint="eastAsia" w:ascii="宋体" w:hAnsi="宋体" w:eastAsia="宋体" w:cs="宋体"/>
          <w:color w:val="auto"/>
          <w:spacing w:val="2"/>
          <w:sz w:val="24"/>
          <w:szCs w:val="24"/>
          <w:highlight w:val="none"/>
        </w:rPr>
        <w:t>随时检查承</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包人的上述规范，并监督承包人按规范要求执行。</w:t>
      </w:r>
    </w:p>
    <w:p w14:paraId="41B0234B">
      <w:pPr>
        <w:spacing w:before="78" w:line="219" w:lineRule="auto"/>
        <w:jc w:val="center"/>
        <w:outlineLvl w:val="0"/>
        <w:rPr>
          <w:rFonts w:hint="eastAsia" w:ascii="宋体" w:hAnsi="宋体" w:eastAsia="宋体" w:cs="宋体"/>
          <w:color w:val="auto"/>
          <w:sz w:val="24"/>
          <w:szCs w:val="24"/>
          <w:highlight w:val="none"/>
        </w:rPr>
      </w:pPr>
      <w:bookmarkStart w:id="210" w:name="bookmark100"/>
      <w:bookmarkEnd w:id="210"/>
      <w:bookmarkStart w:id="211" w:name="bookmark146"/>
      <w:bookmarkEnd w:id="211"/>
      <w:bookmarkStart w:id="212" w:name="_Toc21699"/>
      <w:r>
        <w:rPr>
          <w:rFonts w:hint="eastAsia" w:ascii="宋体" w:hAnsi="宋体" w:eastAsia="宋体" w:cs="宋体"/>
          <w:b/>
          <w:bCs/>
          <w:color w:val="auto"/>
          <w:spacing w:val="-5"/>
          <w:sz w:val="24"/>
          <w:szCs w:val="24"/>
          <w:highlight w:val="none"/>
        </w:rPr>
        <w:t>第五章</w:t>
      </w:r>
      <w:r>
        <w:rPr>
          <w:rFonts w:hint="eastAsia" w:ascii="宋体" w:hAnsi="宋体" w:eastAsia="宋体" w:cs="宋体"/>
          <w:color w:val="auto"/>
          <w:spacing w:val="33"/>
          <w:sz w:val="24"/>
          <w:szCs w:val="24"/>
          <w:highlight w:val="none"/>
        </w:rPr>
        <w:t xml:space="preserve"> </w:t>
      </w:r>
      <w:r>
        <w:rPr>
          <w:rFonts w:hint="eastAsia" w:ascii="宋体" w:hAnsi="宋体" w:eastAsia="宋体" w:cs="宋体"/>
          <w:b/>
          <w:bCs/>
          <w:color w:val="auto"/>
          <w:spacing w:val="-5"/>
          <w:sz w:val="24"/>
          <w:szCs w:val="24"/>
          <w:highlight w:val="none"/>
        </w:rPr>
        <w:t>图纸和招标工程量清单</w:t>
      </w:r>
      <w:bookmarkEnd w:id="212"/>
    </w:p>
    <w:p w14:paraId="7C6C80E2">
      <w:pPr>
        <w:pStyle w:val="5"/>
        <w:spacing w:line="283" w:lineRule="auto"/>
        <w:rPr>
          <w:rFonts w:hint="eastAsia" w:ascii="宋体" w:hAnsi="宋体" w:eastAsia="宋体" w:cs="宋体"/>
          <w:color w:val="auto"/>
          <w:highlight w:val="none"/>
        </w:rPr>
      </w:pPr>
    </w:p>
    <w:p w14:paraId="58148A80">
      <w:pPr>
        <w:pStyle w:val="5"/>
        <w:spacing w:line="284" w:lineRule="auto"/>
        <w:rPr>
          <w:rFonts w:hint="eastAsia" w:ascii="宋体" w:hAnsi="宋体" w:eastAsia="宋体" w:cs="宋体"/>
          <w:color w:val="auto"/>
          <w:highlight w:val="none"/>
        </w:rPr>
      </w:pPr>
    </w:p>
    <w:p w14:paraId="116B6A3B">
      <w:pPr>
        <w:spacing w:before="78" w:line="219" w:lineRule="auto"/>
        <w:ind w:left="106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 xml:space="preserve">□有，另附复印件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有，自行网上下载(浏览)           □无</w:t>
      </w:r>
    </w:p>
    <w:p w14:paraId="48F75832">
      <w:pPr>
        <w:pStyle w:val="5"/>
        <w:spacing w:line="265" w:lineRule="auto"/>
        <w:rPr>
          <w:rFonts w:hint="eastAsia" w:ascii="宋体" w:hAnsi="宋体" w:eastAsia="宋体" w:cs="宋体"/>
          <w:color w:val="auto"/>
          <w:highlight w:val="none"/>
        </w:rPr>
      </w:pPr>
    </w:p>
    <w:p w14:paraId="45CC48D5">
      <w:pPr>
        <w:spacing w:before="151" w:line="222" w:lineRule="auto"/>
        <w:ind w:left="715"/>
        <w:outlineLvl w:val="2"/>
        <w:rPr>
          <w:rFonts w:hint="eastAsia" w:ascii="宋体" w:hAnsi="宋体" w:eastAsia="宋体" w:cs="宋体"/>
          <w:color w:val="auto"/>
          <w:sz w:val="24"/>
          <w:szCs w:val="24"/>
          <w:highlight w:val="none"/>
        </w:rPr>
      </w:pPr>
      <w:bookmarkStart w:id="213" w:name="_Toc21706"/>
      <w:bookmarkStart w:id="214" w:name="_Toc24446"/>
      <w:r>
        <w:rPr>
          <w:rFonts w:hint="eastAsia" w:ascii="宋体" w:hAnsi="宋体" w:eastAsia="宋体" w:cs="宋体"/>
          <w:b/>
          <w:bCs/>
          <w:color w:val="auto"/>
          <w:spacing w:val="-14"/>
          <w:sz w:val="24"/>
          <w:szCs w:val="24"/>
          <w:highlight w:val="none"/>
        </w:rPr>
        <w:t>1</w:t>
      </w:r>
      <w:r>
        <w:rPr>
          <w:rFonts w:hint="eastAsia" w:ascii="宋体" w:hAnsi="宋体" w:eastAsia="宋体" w:cs="宋体"/>
          <w:b/>
          <w:bCs/>
          <w:color w:val="auto"/>
          <w:spacing w:val="-27"/>
          <w:sz w:val="24"/>
          <w:szCs w:val="24"/>
          <w:highlight w:val="none"/>
        </w:rPr>
        <w:t xml:space="preserve"> </w:t>
      </w:r>
      <w:r>
        <w:rPr>
          <w:rFonts w:hint="eastAsia" w:ascii="宋体" w:hAnsi="宋体" w:eastAsia="宋体" w:cs="宋体"/>
          <w:b/>
          <w:bCs/>
          <w:color w:val="auto"/>
          <w:spacing w:val="-14"/>
          <w:sz w:val="24"/>
          <w:szCs w:val="24"/>
          <w:highlight w:val="none"/>
        </w:rPr>
        <w:t>．图纸</w:t>
      </w:r>
      <w:bookmarkEnd w:id="213"/>
      <w:bookmarkEnd w:id="214"/>
    </w:p>
    <w:p w14:paraId="022ED3AB">
      <w:pPr>
        <w:spacing w:before="150" w:line="330" w:lineRule="auto"/>
        <w:ind w:left="230" w:firstLine="480"/>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本招标文件随文另附施工图（电子文件）一套。</w:t>
      </w:r>
    </w:p>
    <w:p w14:paraId="19E440D0">
      <w:pPr>
        <w:pStyle w:val="5"/>
        <w:spacing w:line="253" w:lineRule="auto"/>
        <w:rPr>
          <w:rFonts w:hint="eastAsia" w:ascii="宋体" w:hAnsi="宋体" w:eastAsia="宋体" w:cs="宋体"/>
          <w:color w:val="auto"/>
          <w:highlight w:val="none"/>
        </w:rPr>
      </w:pPr>
    </w:p>
    <w:p w14:paraId="05E465DE">
      <w:pPr>
        <w:spacing w:before="79" w:line="221" w:lineRule="auto"/>
        <w:ind w:left="705"/>
        <w:outlineLvl w:val="2"/>
        <w:rPr>
          <w:rFonts w:hint="eastAsia" w:ascii="宋体" w:hAnsi="宋体" w:eastAsia="宋体" w:cs="宋体"/>
          <w:color w:val="auto"/>
          <w:sz w:val="24"/>
          <w:szCs w:val="24"/>
          <w:highlight w:val="none"/>
        </w:rPr>
      </w:pPr>
      <w:bookmarkStart w:id="215" w:name="_Toc9064"/>
      <w:bookmarkStart w:id="216" w:name="_Toc24419"/>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26"/>
          <w:sz w:val="24"/>
          <w:szCs w:val="24"/>
          <w:highlight w:val="none"/>
        </w:rPr>
        <w:t xml:space="preserve"> </w:t>
      </w:r>
      <w:r>
        <w:rPr>
          <w:rFonts w:hint="eastAsia" w:ascii="宋体" w:hAnsi="宋体" w:eastAsia="宋体" w:cs="宋体"/>
          <w:b/>
          <w:bCs/>
          <w:color w:val="auto"/>
          <w:spacing w:val="-6"/>
          <w:sz w:val="24"/>
          <w:szCs w:val="24"/>
          <w:highlight w:val="none"/>
        </w:rPr>
        <w:t>．招标工程量清单</w:t>
      </w:r>
      <w:bookmarkEnd w:id="215"/>
      <w:bookmarkEnd w:id="216"/>
    </w:p>
    <w:p w14:paraId="3D4BF4B7">
      <w:pPr>
        <w:spacing w:before="117" w:line="312" w:lineRule="auto"/>
        <w:ind w:left="231" w:firstLine="474"/>
        <w:rPr>
          <w:rFonts w:hint="eastAsia" w:ascii="宋体" w:hAnsi="宋体" w:eastAsia="宋体" w:cs="宋体"/>
          <w:color w:val="auto"/>
          <w:sz w:val="24"/>
          <w:szCs w:val="24"/>
          <w:highlight w:val="none"/>
        </w:rPr>
      </w:pPr>
      <w:r>
        <w:rPr>
          <w:rFonts w:hint="eastAsia" w:ascii="宋体" w:hAnsi="宋体" w:eastAsia="宋体" w:cs="宋体"/>
          <w:b/>
          <w:bCs/>
          <w:color w:val="auto"/>
          <w:spacing w:val="-3"/>
          <w:sz w:val="24"/>
          <w:szCs w:val="24"/>
          <w:highlight w:val="none"/>
        </w:rPr>
        <w:t xml:space="preserve">2.1  </w:t>
      </w:r>
      <w:r>
        <w:rPr>
          <w:rFonts w:hint="eastAsia" w:ascii="宋体" w:hAnsi="宋体" w:eastAsia="宋体" w:cs="宋体"/>
          <w:color w:val="auto"/>
          <w:spacing w:val="-3"/>
          <w:sz w:val="24"/>
          <w:szCs w:val="24"/>
          <w:highlight w:val="none"/>
        </w:rPr>
        <w:t>本招标文件随文另附</w:t>
      </w:r>
      <w:bookmarkStart w:id="217" w:name="OLE_LINK33"/>
      <w:r>
        <w:rPr>
          <w:rFonts w:hint="eastAsia" w:ascii="宋体" w:hAnsi="宋体" w:eastAsia="宋体" w:cs="宋体"/>
          <w:color w:val="auto"/>
          <w:spacing w:val="-3"/>
          <w:sz w:val="24"/>
          <w:szCs w:val="24"/>
          <w:highlight w:val="none"/>
          <w:u w:val="single"/>
        </w:rPr>
        <w:t>招标工程量清单EXCEL版</w:t>
      </w:r>
      <w:r>
        <w:rPr>
          <w:rFonts w:hint="eastAsia" w:ascii="宋体" w:hAnsi="宋体" w:eastAsia="宋体" w:cs="宋体"/>
          <w:color w:val="auto"/>
          <w:spacing w:val="-3"/>
          <w:sz w:val="24"/>
          <w:szCs w:val="24"/>
          <w:highlight w:val="none"/>
          <w:u w:val="single"/>
          <w:lang w:val="en-US" w:eastAsia="zh-CN"/>
        </w:rPr>
        <w:t>和</w:t>
      </w:r>
      <w:bookmarkEnd w:id="217"/>
      <w:r>
        <w:rPr>
          <w:rFonts w:hint="eastAsia" w:ascii="宋体" w:hAnsi="宋体" w:eastAsia="宋体" w:cs="宋体"/>
          <w:color w:val="auto"/>
          <w:spacing w:val="-3"/>
          <w:sz w:val="24"/>
          <w:szCs w:val="24"/>
          <w:highlight w:val="none"/>
          <w:u w:val="single"/>
          <w:lang w:val="en-US" w:eastAsia="zh-CN"/>
        </w:rPr>
        <w:t>最高投标限价PDF</w:t>
      </w:r>
      <w:r>
        <w:rPr>
          <w:rFonts w:hint="eastAsia" w:ascii="宋体" w:hAnsi="宋体" w:eastAsia="宋体" w:cs="宋体"/>
          <w:color w:val="auto"/>
          <w:spacing w:val="37"/>
          <w:sz w:val="24"/>
          <w:szCs w:val="24"/>
          <w:highlight w:val="none"/>
          <w:u w:val="single"/>
        </w:rPr>
        <w:t xml:space="preserve"> </w:t>
      </w:r>
      <w:r>
        <w:rPr>
          <w:rFonts w:hint="eastAsia" w:ascii="宋体" w:hAnsi="宋体" w:eastAsia="宋体" w:cs="宋体"/>
          <w:color w:val="auto"/>
          <w:spacing w:val="-3"/>
          <w:sz w:val="24"/>
          <w:szCs w:val="24"/>
          <w:highlight w:val="none"/>
        </w:rPr>
        <w:t>电子文件一套。</w:t>
      </w:r>
    </w:p>
    <w:p w14:paraId="7B802B52">
      <w:pPr>
        <w:spacing w:before="78" w:line="219" w:lineRule="auto"/>
        <w:ind w:left="478" w:firstLine="239" w:firstLineChars="100"/>
        <w:rPr>
          <w:rFonts w:hint="eastAsia" w:ascii="宋体" w:hAnsi="宋体" w:eastAsia="宋体" w:cs="宋体"/>
          <w:color w:val="auto"/>
          <w:sz w:val="24"/>
          <w:szCs w:val="24"/>
          <w:highlight w:val="none"/>
        </w:rPr>
      </w:pPr>
      <w:bookmarkStart w:id="218" w:name="bookmark147"/>
      <w:bookmarkEnd w:id="218"/>
      <w:r>
        <w:rPr>
          <w:rFonts w:hint="eastAsia" w:ascii="宋体" w:hAnsi="宋体" w:eastAsia="宋体" w:cs="宋体"/>
          <w:b/>
          <w:bCs/>
          <w:color w:val="auto"/>
          <w:spacing w:val="-1"/>
          <w:sz w:val="24"/>
          <w:szCs w:val="24"/>
          <w:highlight w:val="none"/>
        </w:rPr>
        <w:t xml:space="preserve">2.2  </w:t>
      </w:r>
      <w:r>
        <w:rPr>
          <w:rFonts w:hint="eastAsia" w:ascii="宋体" w:hAnsi="宋体" w:eastAsia="宋体" w:cs="宋体"/>
          <w:color w:val="auto"/>
          <w:spacing w:val="-1"/>
          <w:sz w:val="24"/>
          <w:szCs w:val="24"/>
          <w:highlight w:val="none"/>
        </w:rPr>
        <w:t>本工程按照以下依据编制</w:t>
      </w:r>
      <w:r>
        <w:rPr>
          <w:rFonts w:hint="eastAsia" w:ascii="宋体" w:hAnsi="宋体" w:eastAsia="宋体" w:cs="宋体"/>
          <w:color w:val="auto"/>
          <w:spacing w:val="-1"/>
          <w:sz w:val="24"/>
          <w:szCs w:val="24"/>
          <w:highlight w:val="none"/>
          <w:u w:val="single"/>
        </w:rPr>
        <w:t>招标工程量清单</w:t>
      </w:r>
      <w:r>
        <w:rPr>
          <w:rFonts w:hint="eastAsia" w:ascii="宋体" w:hAnsi="宋体" w:eastAsia="宋体" w:cs="宋体"/>
          <w:color w:val="auto"/>
          <w:spacing w:val="-1"/>
          <w:sz w:val="24"/>
          <w:szCs w:val="24"/>
          <w:highlight w:val="none"/>
        </w:rPr>
        <w:t>：</w:t>
      </w:r>
    </w:p>
    <w:p w14:paraId="02362135">
      <w:pPr>
        <w:spacing w:before="12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（1）《建设工程工程量清单计价</w:t>
      </w:r>
      <w:r>
        <w:rPr>
          <w:rFonts w:hint="eastAsia" w:ascii="宋体" w:hAnsi="宋体" w:eastAsia="宋体" w:cs="宋体"/>
          <w:color w:val="auto"/>
          <w:spacing w:val="-1"/>
          <w:sz w:val="24"/>
          <w:szCs w:val="24"/>
          <w:highlight w:val="none"/>
          <w:lang w:val="en-US" w:eastAsia="zh-CN"/>
        </w:rPr>
        <w:t>标准</w:t>
      </w:r>
      <w:r>
        <w:rPr>
          <w:rFonts w:hint="eastAsia" w:ascii="宋体" w:hAnsi="宋体" w:eastAsia="宋体" w:cs="宋体"/>
          <w:color w:val="auto"/>
          <w:spacing w:val="-1"/>
          <w:sz w:val="24"/>
          <w:szCs w:val="24"/>
          <w:highlight w:val="none"/>
        </w:rPr>
        <w:t>》（GB50500—20</w:t>
      </w:r>
      <w:r>
        <w:rPr>
          <w:rFonts w:hint="eastAsia" w:ascii="宋体" w:hAnsi="宋体" w:eastAsia="宋体" w:cs="宋体"/>
          <w:color w:val="auto"/>
          <w:spacing w:val="-1"/>
          <w:sz w:val="24"/>
          <w:szCs w:val="24"/>
          <w:highlight w:val="none"/>
          <w:lang w:val="en-US" w:eastAsia="zh-CN"/>
        </w:rPr>
        <w:t>24</w:t>
      </w:r>
      <w:r>
        <w:rPr>
          <w:rFonts w:hint="eastAsia" w:ascii="宋体" w:hAnsi="宋体" w:eastAsia="宋体" w:cs="宋体"/>
          <w:color w:val="auto"/>
          <w:spacing w:val="4"/>
          <w:sz w:val="24"/>
          <w:szCs w:val="24"/>
          <w:highlight w:val="none"/>
        </w:rPr>
        <w:t>）；</w:t>
      </w:r>
    </w:p>
    <w:p w14:paraId="61B98E77">
      <w:pPr>
        <w:spacing w:before="115" w:line="299" w:lineRule="auto"/>
        <w:ind w:firstLine="493"/>
        <w:jc w:val="both"/>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（2）投标人应对招标人提供的工程量清单进行认真细致的复核。这种复核包括对</w:t>
      </w:r>
      <w:r>
        <w:rPr>
          <w:rFonts w:hint="eastAsia" w:ascii="宋体" w:hAnsi="宋体" w:eastAsia="宋体" w:cs="宋体"/>
          <w:color w:val="auto"/>
          <w:spacing w:val="-1"/>
          <w:sz w:val="24"/>
          <w:szCs w:val="24"/>
          <w:highlight w:val="none"/>
        </w:rPr>
        <w:t>招标人提供的工程量清单中的子目编码、子目名称、子</w:t>
      </w:r>
      <w:r>
        <w:rPr>
          <w:rFonts w:hint="eastAsia" w:ascii="宋体" w:hAnsi="宋体" w:eastAsia="宋体" w:cs="宋体"/>
          <w:color w:val="auto"/>
          <w:spacing w:val="-2"/>
          <w:sz w:val="24"/>
          <w:szCs w:val="24"/>
          <w:highlight w:val="none"/>
        </w:rPr>
        <w:t>目特征描述、计量单位、工程量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的准确性以及可能存在的任何书写、打印错误进行检查</w:t>
      </w:r>
      <w:r>
        <w:rPr>
          <w:rFonts w:hint="eastAsia" w:ascii="宋体" w:hAnsi="宋体" w:eastAsia="宋体" w:cs="宋体"/>
          <w:color w:val="auto"/>
          <w:spacing w:val="-2"/>
          <w:sz w:val="24"/>
          <w:szCs w:val="24"/>
          <w:highlight w:val="none"/>
        </w:rPr>
        <w:t>和复核，特别是对“分部分项工</w:t>
      </w:r>
      <w:r>
        <w:rPr>
          <w:rFonts w:hint="eastAsia" w:ascii="宋体" w:hAnsi="宋体" w:eastAsia="宋体" w:cs="宋体"/>
          <w:color w:val="auto"/>
          <w:spacing w:val="-1"/>
          <w:sz w:val="24"/>
          <w:szCs w:val="24"/>
          <w:highlight w:val="none"/>
        </w:rPr>
        <w:t>程量清单与计价表”中每个工作子目的工程量进</w:t>
      </w:r>
      <w:r>
        <w:rPr>
          <w:rFonts w:hint="eastAsia" w:ascii="宋体" w:hAnsi="宋体" w:eastAsia="宋体" w:cs="宋体"/>
          <w:color w:val="auto"/>
          <w:spacing w:val="-2"/>
          <w:sz w:val="24"/>
          <w:szCs w:val="24"/>
          <w:highlight w:val="none"/>
        </w:rPr>
        <w:t>行重新计算和校核。如果投标人经过检</w:t>
      </w:r>
      <w:r>
        <w:rPr>
          <w:rFonts w:hint="eastAsia" w:ascii="宋体" w:hAnsi="宋体" w:eastAsia="宋体" w:cs="宋体"/>
          <w:color w:val="auto"/>
          <w:spacing w:val="-1"/>
          <w:sz w:val="24"/>
          <w:szCs w:val="24"/>
          <w:highlight w:val="none"/>
        </w:rPr>
        <w:t>查和复核以后认为招标人提供的工程量清单存在</w:t>
      </w:r>
      <w:r>
        <w:rPr>
          <w:rFonts w:hint="eastAsia" w:ascii="宋体" w:hAnsi="宋体" w:eastAsia="宋体" w:cs="宋体"/>
          <w:color w:val="auto"/>
          <w:spacing w:val="-2"/>
          <w:sz w:val="24"/>
          <w:szCs w:val="24"/>
          <w:highlight w:val="none"/>
        </w:rPr>
        <w:t>差异，则投标人应将此类差异的详细情</w:t>
      </w:r>
      <w:r>
        <w:rPr>
          <w:rFonts w:hint="eastAsia" w:ascii="宋体" w:hAnsi="宋体" w:eastAsia="宋体" w:cs="宋体"/>
          <w:color w:val="auto"/>
          <w:spacing w:val="-8"/>
          <w:sz w:val="24"/>
          <w:szCs w:val="24"/>
          <w:highlight w:val="none"/>
        </w:rPr>
        <w:t>况连同按“投标须知</w:t>
      </w:r>
      <w:r>
        <w:rPr>
          <w:rFonts w:hint="eastAsia" w:ascii="宋体" w:hAnsi="宋体" w:eastAsia="宋体" w:cs="宋体"/>
          <w:color w:val="auto"/>
          <w:spacing w:val="-89"/>
          <w:sz w:val="24"/>
          <w:szCs w:val="24"/>
          <w:highlight w:val="none"/>
        </w:rPr>
        <w:t xml:space="preserve"> </w:t>
      </w:r>
      <w:r>
        <w:rPr>
          <w:rFonts w:hint="eastAsia" w:ascii="宋体" w:hAnsi="宋体" w:eastAsia="宋体" w:cs="宋体"/>
          <w:color w:val="auto"/>
          <w:spacing w:val="-8"/>
          <w:sz w:val="24"/>
          <w:szCs w:val="24"/>
          <w:highlight w:val="none"/>
        </w:rPr>
        <w:t>”规定提交的要求招标人澄清的其他</w:t>
      </w:r>
      <w:r>
        <w:rPr>
          <w:rFonts w:hint="eastAsia" w:ascii="宋体" w:hAnsi="宋体" w:eastAsia="宋体" w:cs="宋体"/>
          <w:color w:val="auto"/>
          <w:spacing w:val="-9"/>
          <w:sz w:val="24"/>
          <w:szCs w:val="24"/>
          <w:highlight w:val="none"/>
        </w:rPr>
        <w:t>问题一起提交给招标人，招标人</w:t>
      </w:r>
      <w:r>
        <w:rPr>
          <w:rFonts w:hint="eastAsia" w:ascii="宋体" w:hAnsi="宋体" w:eastAsia="宋体" w:cs="宋体"/>
          <w:color w:val="auto"/>
          <w:spacing w:val="-2"/>
          <w:sz w:val="24"/>
          <w:szCs w:val="24"/>
          <w:highlight w:val="none"/>
        </w:rPr>
        <w:t>将根据实际情况决定是否颁发</w:t>
      </w:r>
      <w:r>
        <w:rPr>
          <w:rFonts w:hint="eastAsia" w:ascii="宋体" w:hAnsi="宋体" w:eastAsia="宋体" w:cs="宋体"/>
          <w:color w:val="auto"/>
          <w:spacing w:val="-2"/>
          <w:sz w:val="24"/>
          <w:szCs w:val="24"/>
          <w:highlight w:val="none"/>
          <w:u w:val="single"/>
        </w:rPr>
        <w:t>工程量清单</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8"/>
          <w:sz w:val="24"/>
          <w:szCs w:val="24"/>
          <w:highlight w:val="none"/>
          <w:lang w:eastAsia="zh-CN"/>
        </w:rPr>
        <w:t>最高投标限价</w:t>
      </w:r>
      <w:r>
        <w:rPr>
          <w:rFonts w:hint="eastAsia" w:ascii="宋体" w:hAnsi="宋体" w:eastAsia="宋体" w:cs="宋体"/>
          <w:color w:val="auto"/>
          <w:spacing w:val="-8"/>
          <w:sz w:val="24"/>
          <w:szCs w:val="24"/>
          <w:highlight w:val="none"/>
        </w:rPr>
        <w:t>的</w:t>
      </w:r>
      <w:r>
        <w:rPr>
          <w:rFonts w:hint="eastAsia" w:ascii="宋体" w:hAnsi="宋体" w:eastAsia="宋体" w:cs="宋体"/>
          <w:color w:val="auto"/>
          <w:spacing w:val="-2"/>
          <w:sz w:val="24"/>
          <w:szCs w:val="24"/>
          <w:highlight w:val="none"/>
        </w:rPr>
        <w:t>补充和(或)修改文件。</w:t>
      </w:r>
    </w:p>
    <w:p w14:paraId="3FCA4C7D">
      <w:pPr>
        <w:spacing w:before="79" w:line="263" w:lineRule="auto"/>
        <w:ind w:left="2" w:right="2" w:firstLine="48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（3）本招标工程量清单措施项目中的</w:t>
      </w:r>
      <w:r>
        <w:rPr>
          <w:rFonts w:hint="eastAsia" w:ascii="宋体" w:hAnsi="宋体" w:eastAsia="宋体" w:cs="宋体"/>
          <w:b/>
          <w:bCs/>
          <w:color w:val="auto"/>
          <w:spacing w:val="-6"/>
          <w:sz w:val="24"/>
          <w:szCs w:val="24"/>
          <w:highlight w:val="none"/>
          <w:u w:val="single"/>
        </w:rPr>
        <w:t>暂列金额、暂估价</w:t>
      </w:r>
      <w:r>
        <w:rPr>
          <w:rFonts w:hint="eastAsia" w:ascii="宋体" w:hAnsi="宋体" w:eastAsia="宋体" w:cs="宋体"/>
          <w:color w:val="auto"/>
          <w:spacing w:val="-2"/>
          <w:sz w:val="24"/>
          <w:szCs w:val="24"/>
          <w:highlight w:val="none"/>
        </w:rPr>
        <w:t>不得作为竞争性费用，投标报价必须按本招标工程量清</w:t>
      </w:r>
      <w:r>
        <w:rPr>
          <w:rFonts w:hint="eastAsia" w:ascii="宋体" w:hAnsi="宋体" w:eastAsia="宋体" w:cs="宋体"/>
          <w:color w:val="auto"/>
          <w:spacing w:val="-3"/>
          <w:sz w:val="24"/>
          <w:szCs w:val="24"/>
          <w:highlight w:val="none"/>
        </w:rPr>
        <w:t>单规定</w:t>
      </w:r>
      <w:r>
        <w:rPr>
          <w:rFonts w:hint="eastAsia" w:ascii="宋体" w:hAnsi="宋体" w:eastAsia="宋体" w:cs="宋体"/>
          <w:color w:val="auto"/>
          <w:spacing w:val="-2"/>
          <w:sz w:val="24"/>
          <w:szCs w:val="24"/>
          <w:highlight w:val="none"/>
        </w:rPr>
        <w:t>的金额填</w:t>
      </w:r>
      <w:r>
        <w:rPr>
          <w:rFonts w:hint="eastAsia" w:ascii="宋体" w:hAnsi="宋体" w:eastAsia="宋体" w:cs="宋体"/>
          <w:color w:val="auto"/>
          <w:spacing w:val="-3"/>
          <w:sz w:val="24"/>
          <w:szCs w:val="24"/>
          <w:highlight w:val="none"/>
        </w:rPr>
        <w:t>报。</w:t>
      </w:r>
    </w:p>
    <w:p w14:paraId="771762E6">
      <w:pPr>
        <w:spacing w:before="118" w:line="265" w:lineRule="auto"/>
        <w:ind w:left="7" w:right="4" w:firstLine="48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（4）投标报价使用的表格格式须按照 GB50500-20</w:t>
      </w:r>
      <w:r>
        <w:rPr>
          <w:rFonts w:hint="eastAsia" w:ascii="宋体" w:hAnsi="宋体" w:eastAsia="宋体" w:cs="宋体"/>
          <w:color w:val="auto"/>
          <w:spacing w:val="-2"/>
          <w:sz w:val="24"/>
          <w:szCs w:val="24"/>
          <w:highlight w:val="none"/>
          <w:lang w:val="en-US" w:eastAsia="zh-CN"/>
        </w:rPr>
        <w:t>24</w:t>
      </w:r>
      <w:r>
        <w:rPr>
          <w:rFonts w:hint="eastAsia" w:ascii="宋体" w:hAnsi="宋体" w:eastAsia="宋体" w:cs="宋体"/>
          <w:color w:val="auto"/>
          <w:spacing w:val="-2"/>
          <w:sz w:val="24"/>
          <w:szCs w:val="24"/>
          <w:highlight w:val="none"/>
        </w:rPr>
        <w:t>《建设工程工程量清单计价</w:t>
      </w:r>
      <w:r>
        <w:rPr>
          <w:rFonts w:hint="eastAsia" w:ascii="宋体" w:hAnsi="宋体" w:eastAsia="宋体" w:cs="宋体"/>
          <w:color w:val="auto"/>
          <w:spacing w:val="-2"/>
          <w:sz w:val="24"/>
          <w:szCs w:val="24"/>
          <w:highlight w:val="none"/>
          <w:lang w:val="en-US" w:eastAsia="zh-CN"/>
        </w:rPr>
        <w:t>标准</w:t>
      </w:r>
      <w:r>
        <w:rPr>
          <w:rFonts w:hint="eastAsia" w:ascii="宋体" w:hAnsi="宋体" w:eastAsia="宋体" w:cs="宋体"/>
          <w:color w:val="auto"/>
          <w:spacing w:val="-6"/>
          <w:sz w:val="24"/>
          <w:szCs w:val="24"/>
          <w:highlight w:val="none"/>
        </w:rPr>
        <w:t>》。</w:t>
      </w:r>
    </w:p>
    <w:p w14:paraId="12F193A0">
      <w:pPr>
        <w:spacing w:before="107" w:line="286" w:lineRule="auto"/>
        <w:ind w:right="4" w:firstLine="492"/>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5）《市政工程工程量计算标准》(GB/T50857-2024）、《园林绿化工程工程量计算标准》(GB/T50858-2024）、2018年《广东省市政工程综合定额》、2018年《广东省园林绿化工程综合定额》及现行的建筑施工规范和省市有关文件、规定为编制依据进行编制；</w:t>
      </w:r>
    </w:p>
    <w:p w14:paraId="18E085EB">
      <w:pPr>
        <w:spacing w:before="146" w:line="221"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（6）施工图及相关资料；</w:t>
      </w:r>
    </w:p>
    <w:p w14:paraId="75A26699">
      <w:pPr>
        <w:spacing w:before="153"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（7）招标文件；</w:t>
      </w:r>
    </w:p>
    <w:p w14:paraId="37B4AFD5">
      <w:pPr>
        <w:spacing w:before="155" w:line="220"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（8）施工现场情况、地勘水文资料、工程特点及常规施工方案；</w:t>
      </w:r>
    </w:p>
    <w:p w14:paraId="106392C6">
      <w:pPr>
        <w:spacing w:before="153" w:line="219" w:lineRule="auto"/>
        <w:ind w:left="493"/>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（9）与建设工程有关的标准、规范、技术资料、材料设备信息价或市场价格等</w:t>
      </w:r>
      <w:r>
        <w:rPr>
          <w:rFonts w:hint="eastAsia" w:ascii="宋体" w:hAnsi="宋体" w:eastAsia="宋体" w:cs="宋体"/>
          <w:color w:val="auto"/>
          <w:spacing w:val="-2"/>
          <w:sz w:val="24"/>
          <w:szCs w:val="24"/>
          <w:highlight w:val="none"/>
        </w:rPr>
        <w:t>。</w:t>
      </w:r>
    </w:p>
    <w:p w14:paraId="429B0728">
      <w:pPr>
        <w:spacing w:line="219" w:lineRule="auto"/>
        <w:rPr>
          <w:rFonts w:hint="eastAsia" w:ascii="宋体" w:hAnsi="宋体" w:eastAsia="宋体" w:cs="宋体"/>
          <w:color w:val="auto"/>
          <w:sz w:val="24"/>
          <w:szCs w:val="24"/>
          <w:highlight w:val="none"/>
        </w:rPr>
        <w:sectPr>
          <w:footerReference r:id="rId1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0104BD93">
      <w:pPr>
        <w:pStyle w:val="5"/>
        <w:spacing w:line="304" w:lineRule="auto"/>
        <w:rPr>
          <w:rFonts w:hint="eastAsia" w:ascii="宋体" w:hAnsi="宋体" w:eastAsia="宋体" w:cs="宋体"/>
          <w:color w:val="auto"/>
          <w:highlight w:val="none"/>
        </w:rPr>
      </w:pPr>
    </w:p>
    <w:p w14:paraId="36743CF6">
      <w:pPr>
        <w:spacing w:before="78" w:line="219" w:lineRule="auto"/>
        <w:ind w:left="3357"/>
        <w:outlineLvl w:val="0"/>
        <w:rPr>
          <w:rFonts w:hint="eastAsia" w:ascii="宋体" w:hAnsi="宋体" w:eastAsia="宋体" w:cs="宋体"/>
          <w:color w:val="auto"/>
          <w:sz w:val="24"/>
          <w:szCs w:val="24"/>
          <w:highlight w:val="none"/>
        </w:rPr>
      </w:pPr>
      <w:bookmarkStart w:id="219" w:name="_Toc27130"/>
      <w:r>
        <w:rPr>
          <w:rFonts w:hint="eastAsia" w:ascii="宋体" w:hAnsi="宋体" w:eastAsia="宋体" w:cs="宋体"/>
          <w:b/>
          <w:bCs/>
          <w:color w:val="auto"/>
          <w:spacing w:val="-3"/>
          <w:sz w:val="24"/>
          <w:szCs w:val="24"/>
          <w:highlight w:val="none"/>
        </w:rPr>
        <w:t>第六章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投标文件格式</w:t>
      </w:r>
      <w:bookmarkEnd w:id="219"/>
    </w:p>
    <w:p w14:paraId="0D0857B6">
      <w:pPr>
        <w:pStyle w:val="5"/>
        <w:spacing w:line="302" w:lineRule="auto"/>
        <w:jc w:val="right"/>
        <w:rPr>
          <w:rFonts w:hint="eastAsia" w:ascii="宋体" w:hAnsi="宋体" w:eastAsia="宋体" w:cs="宋体"/>
          <w:color w:val="auto"/>
          <w:highlight w:val="none"/>
        </w:rPr>
      </w:pPr>
    </w:p>
    <w:p w14:paraId="401E31D5">
      <w:pPr>
        <w:spacing w:before="78" w:line="220" w:lineRule="auto"/>
        <w:outlineLvl w:val="2"/>
        <w:rPr>
          <w:rFonts w:hint="eastAsia" w:ascii="宋体" w:hAnsi="宋体" w:eastAsia="宋体" w:cs="宋体"/>
          <w:color w:val="auto"/>
          <w:sz w:val="24"/>
          <w:szCs w:val="24"/>
          <w:highlight w:val="none"/>
        </w:rPr>
      </w:pPr>
      <w:bookmarkStart w:id="220" w:name="_Toc11203"/>
      <w:r>
        <w:rPr>
          <w:rFonts w:hint="eastAsia" w:ascii="宋体" w:hAnsi="宋体" w:eastAsia="宋体" w:cs="宋体"/>
          <w:b/>
          <w:bCs/>
          <w:color w:val="auto"/>
          <w:spacing w:val="-4"/>
          <w:sz w:val="24"/>
          <w:szCs w:val="24"/>
          <w:highlight w:val="none"/>
        </w:rPr>
        <w:t>格式一</w:t>
      </w:r>
      <w:r>
        <w:rPr>
          <w:rFonts w:hint="eastAsia" w:ascii="宋体" w:hAnsi="宋体" w:eastAsia="宋体" w:cs="宋体"/>
          <w:color w:val="auto"/>
          <w:spacing w:val="-4"/>
          <w:sz w:val="24"/>
          <w:szCs w:val="24"/>
          <w:highlight w:val="none"/>
        </w:rPr>
        <w:t xml:space="preserve"> </w:t>
      </w:r>
      <w:r>
        <w:rPr>
          <w:rFonts w:hint="eastAsia" w:ascii="宋体" w:hAnsi="宋体" w:eastAsia="宋体" w:cs="宋体"/>
          <w:b/>
          <w:bCs/>
          <w:color w:val="auto"/>
          <w:spacing w:val="-4"/>
          <w:sz w:val="24"/>
          <w:szCs w:val="24"/>
          <w:highlight w:val="none"/>
        </w:rPr>
        <w:t>封面</w:t>
      </w:r>
      <w:bookmarkEnd w:id="220"/>
    </w:p>
    <w:p w14:paraId="7F1D5484">
      <w:pPr>
        <w:pStyle w:val="5"/>
        <w:spacing w:line="258" w:lineRule="auto"/>
        <w:rPr>
          <w:rFonts w:hint="eastAsia" w:ascii="宋体" w:hAnsi="宋体" w:eastAsia="宋体" w:cs="宋体"/>
          <w:color w:val="auto"/>
          <w:highlight w:val="none"/>
        </w:rPr>
      </w:pPr>
    </w:p>
    <w:p w14:paraId="2CD8482C">
      <w:pPr>
        <w:pStyle w:val="5"/>
        <w:spacing w:line="259" w:lineRule="auto"/>
        <w:rPr>
          <w:rFonts w:hint="eastAsia" w:ascii="宋体" w:hAnsi="宋体" w:eastAsia="宋体" w:cs="宋体"/>
          <w:color w:val="auto"/>
          <w:highlight w:val="none"/>
        </w:rPr>
      </w:pPr>
    </w:p>
    <w:p w14:paraId="102EDF3E">
      <w:pPr>
        <w:pStyle w:val="5"/>
        <w:spacing w:line="259" w:lineRule="auto"/>
        <w:rPr>
          <w:rFonts w:hint="eastAsia" w:ascii="宋体" w:hAnsi="宋体" w:eastAsia="宋体" w:cs="宋体"/>
          <w:color w:val="auto"/>
          <w:highlight w:val="none"/>
        </w:rPr>
      </w:pPr>
    </w:p>
    <w:p w14:paraId="2A72B20C">
      <w:pPr>
        <w:spacing w:before="153" w:line="225" w:lineRule="auto"/>
        <w:ind w:left="-1" w:leftChars="0" w:firstLine="0" w:firstLineChars="0"/>
        <w:jc w:val="center"/>
        <w:rPr>
          <w:rFonts w:hint="eastAsia" w:ascii="宋体" w:hAnsi="宋体" w:eastAsia="宋体" w:cs="宋体"/>
          <w:color w:val="auto"/>
          <w:sz w:val="47"/>
          <w:szCs w:val="47"/>
          <w:highlight w:val="none"/>
        </w:rPr>
      </w:pPr>
      <w:r>
        <w:rPr>
          <w:rFonts w:hint="eastAsia" w:ascii="宋体" w:hAnsi="宋体" w:eastAsia="宋体" w:cs="宋体"/>
          <w:b/>
          <w:bCs/>
          <w:color w:val="auto"/>
          <w:spacing w:val="8"/>
          <w:sz w:val="47"/>
          <w:szCs w:val="47"/>
          <w:highlight w:val="none"/>
          <w:u w:val="single"/>
          <w:lang w:val="en-US" w:eastAsia="zh-CN"/>
        </w:rPr>
        <w:t xml:space="preserve">       </w:t>
      </w:r>
      <w:r>
        <w:rPr>
          <w:rFonts w:hint="eastAsia" w:ascii="宋体" w:hAnsi="宋体" w:eastAsia="宋体" w:cs="宋体"/>
          <w:b/>
          <w:bCs/>
          <w:color w:val="auto"/>
          <w:spacing w:val="8"/>
          <w:sz w:val="47"/>
          <w:szCs w:val="47"/>
          <w:highlight w:val="none"/>
          <w:u w:val="single"/>
        </w:rPr>
        <w:t>（项目名称</w:t>
      </w:r>
      <w:r>
        <w:rPr>
          <w:rFonts w:hint="eastAsia" w:ascii="宋体" w:hAnsi="宋体" w:eastAsia="宋体" w:cs="宋体"/>
          <w:b/>
          <w:bCs/>
          <w:color w:val="auto"/>
          <w:spacing w:val="-32"/>
          <w:sz w:val="47"/>
          <w:szCs w:val="47"/>
          <w:highlight w:val="none"/>
          <w:u w:val="single"/>
        </w:rPr>
        <w:t>）</w:t>
      </w:r>
      <w:r>
        <w:rPr>
          <w:rFonts w:hint="eastAsia" w:ascii="宋体" w:hAnsi="宋体" w:eastAsia="宋体" w:cs="宋体"/>
          <w:b/>
          <w:bCs/>
          <w:color w:val="auto"/>
          <w:spacing w:val="8"/>
          <w:sz w:val="47"/>
          <w:szCs w:val="47"/>
          <w:highlight w:val="none"/>
        </w:rPr>
        <w:t>招标</w:t>
      </w:r>
    </w:p>
    <w:p w14:paraId="5ECD6A12">
      <w:pPr>
        <w:pStyle w:val="5"/>
        <w:spacing w:line="247" w:lineRule="auto"/>
        <w:rPr>
          <w:rFonts w:hint="eastAsia" w:ascii="宋体" w:hAnsi="宋体" w:eastAsia="宋体" w:cs="宋体"/>
          <w:color w:val="auto"/>
          <w:highlight w:val="none"/>
        </w:rPr>
      </w:pPr>
    </w:p>
    <w:p w14:paraId="54606FEC">
      <w:pPr>
        <w:pStyle w:val="5"/>
        <w:spacing w:line="247" w:lineRule="auto"/>
        <w:rPr>
          <w:rFonts w:hint="eastAsia" w:ascii="宋体" w:hAnsi="宋体" w:eastAsia="宋体" w:cs="宋体"/>
          <w:color w:val="auto"/>
          <w:highlight w:val="none"/>
        </w:rPr>
      </w:pPr>
    </w:p>
    <w:p w14:paraId="5399F95B">
      <w:pPr>
        <w:pStyle w:val="5"/>
        <w:spacing w:line="247" w:lineRule="auto"/>
        <w:rPr>
          <w:rFonts w:hint="eastAsia" w:ascii="宋体" w:hAnsi="宋体" w:eastAsia="宋体" w:cs="宋体"/>
          <w:color w:val="auto"/>
          <w:highlight w:val="none"/>
        </w:rPr>
      </w:pPr>
    </w:p>
    <w:p w14:paraId="290C2C2C">
      <w:pPr>
        <w:pStyle w:val="5"/>
        <w:spacing w:line="247" w:lineRule="auto"/>
        <w:rPr>
          <w:rFonts w:hint="eastAsia" w:ascii="宋体" w:hAnsi="宋体" w:eastAsia="宋体" w:cs="宋体"/>
          <w:color w:val="auto"/>
          <w:highlight w:val="none"/>
        </w:rPr>
      </w:pPr>
    </w:p>
    <w:p w14:paraId="59ACBFD9">
      <w:pPr>
        <w:pStyle w:val="5"/>
        <w:spacing w:line="248" w:lineRule="auto"/>
        <w:rPr>
          <w:rFonts w:hint="eastAsia" w:ascii="宋体" w:hAnsi="宋体" w:eastAsia="宋体" w:cs="宋体"/>
          <w:color w:val="auto"/>
          <w:highlight w:val="none"/>
        </w:rPr>
      </w:pPr>
    </w:p>
    <w:p w14:paraId="659F2C43">
      <w:pPr>
        <w:spacing w:before="231" w:line="223" w:lineRule="auto"/>
        <w:jc w:val="center"/>
        <w:rPr>
          <w:rFonts w:hint="eastAsia" w:ascii="宋体" w:hAnsi="宋体" w:eastAsia="宋体" w:cs="宋体"/>
          <w:color w:val="auto"/>
          <w:sz w:val="71"/>
          <w:szCs w:val="71"/>
          <w:highlight w:val="none"/>
        </w:rPr>
      </w:pPr>
      <w:r>
        <w:rPr>
          <w:rFonts w:hint="eastAsia" w:ascii="宋体" w:hAnsi="宋体" w:eastAsia="宋体" w:cs="宋体"/>
          <w:b/>
          <w:bCs/>
          <w:color w:val="auto"/>
          <w:spacing w:val="-26"/>
          <w:sz w:val="71"/>
          <w:szCs w:val="71"/>
          <w:highlight w:val="none"/>
        </w:rPr>
        <w:t>投</w:t>
      </w:r>
      <w:r>
        <w:rPr>
          <w:rFonts w:hint="eastAsia" w:ascii="宋体" w:hAnsi="宋体" w:eastAsia="宋体" w:cs="宋体"/>
          <w:color w:val="auto"/>
          <w:spacing w:val="22"/>
          <w:sz w:val="71"/>
          <w:szCs w:val="71"/>
          <w:highlight w:val="none"/>
        </w:rPr>
        <w:t xml:space="preserve">  </w:t>
      </w:r>
      <w:r>
        <w:rPr>
          <w:rFonts w:hint="eastAsia" w:ascii="宋体" w:hAnsi="宋体" w:eastAsia="宋体" w:cs="宋体"/>
          <w:b/>
          <w:bCs/>
          <w:color w:val="auto"/>
          <w:spacing w:val="-26"/>
          <w:sz w:val="71"/>
          <w:szCs w:val="71"/>
          <w:highlight w:val="none"/>
        </w:rPr>
        <w:t>标</w:t>
      </w:r>
      <w:r>
        <w:rPr>
          <w:rFonts w:hint="eastAsia" w:ascii="宋体" w:hAnsi="宋体" w:eastAsia="宋体" w:cs="宋体"/>
          <w:color w:val="auto"/>
          <w:spacing w:val="23"/>
          <w:sz w:val="71"/>
          <w:szCs w:val="71"/>
          <w:highlight w:val="none"/>
        </w:rPr>
        <w:t xml:space="preserve">  </w:t>
      </w:r>
      <w:r>
        <w:rPr>
          <w:rFonts w:hint="eastAsia" w:ascii="宋体" w:hAnsi="宋体" w:eastAsia="宋体" w:cs="宋体"/>
          <w:b/>
          <w:bCs/>
          <w:color w:val="auto"/>
          <w:spacing w:val="-26"/>
          <w:sz w:val="71"/>
          <w:szCs w:val="71"/>
          <w:highlight w:val="none"/>
        </w:rPr>
        <w:t>文</w:t>
      </w:r>
      <w:r>
        <w:rPr>
          <w:rFonts w:hint="eastAsia" w:ascii="宋体" w:hAnsi="宋体" w:eastAsia="宋体" w:cs="宋体"/>
          <w:color w:val="auto"/>
          <w:spacing w:val="19"/>
          <w:sz w:val="71"/>
          <w:szCs w:val="71"/>
          <w:highlight w:val="none"/>
        </w:rPr>
        <w:t xml:space="preserve">  </w:t>
      </w:r>
      <w:r>
        <w:rPr>
          <w:rFonts w:hint="eastAsia" w:ascii="宋体" w:hAnsi="宋体" w:eastAsia="宋体" w:cs="宋体"/>
          <w:b/>
          <w:bCs/>
          <w:color w:val="auto"/>
          <w:spacing w:val="-26"/>
          <w:sz w:val="71"/>
          <w:szCs w:val="71"/>
          <w:highlight w:val="none"/>
        </w:rPr>
        <w:t>件</w:t>
      </w:r>
    </w:p>
    <w:p w14:paraId="0B131F8C">
      <w:pPr>
        <w:pStyle w:val="5"/>
        <w:spacing w:line="293" w:lineRule="auto"/>
        <w:rPr>
          <w:rFonts w:hint="eastAsia" w:ascii="宋体" w:hAnsi="宋体" w:eastAsia="宋体" w:cs="宋体"/>
          <w:color w:val="auto"/>
          <w:highlight w:val="none"/>
        </w:rPr>
      </w:pPr>
    </w:p>
    <w:p w14:paraId="324C9182">
      <w:pPr>
        <w:pStyle w:val="5"/>
        <w:spacing w:line="293" w:lineRule="auto"/>
        <w:rPr>
          <w:rFonts w:hint="eastAsia" w:ascii="宋体" w:hAnsi="宋体" w:eastAsia="宋体" w:cs="宋体"/>
          <w:color w:val="auto"/>
          <w:highlight w:val="none"/>
        </w:rPr>
      </w:pPr>
    </w:p>
    <w:p w14:paraId="7C0F118B">
      <w:pPr>
        <w:spacing w:before="152" w:line="223" w:lineRule="auto"/>
        <w:jc w:val="center"/>
        <w:rPr>
          <w:rFonts w:hint="eastAsia" w:ascii="宋体" w:hAnsi="宋体" w:eastAsia="宋体" w:cs="宋体"/>
          <w:b/>
          <w:bCs/>
          <w:color w:val="auto"/>
          <w:spacing w:val="2"/>
          <w:sz w:val="40"/>
          <w:szCs w:val="40"/>
          <w:highlight w:val="none"/>
        </w:rPr>
      </w:pPr>
      <w:bookmarkStart w:id="221" w:name="bookmark105"/>
      <w:bookmarkEnd w:id="221"/>
      <w:r>
        <w:rPr>
          <w:rFonts w:hint="eastAsia" w:ascii="宋体" w:hAnsi="宋体" w:eastAsia="宋体" w:cs="宋体"/>
          <w:b/>
          <w:bCs/>
          <w:color w:val="auto"/>
          <w:spacing w:val="2"/>
          <w:sz w:val="40"/>
          <w:szCs w:val="40"/>
          <w:highlight w:val="none"/>
        </w:rPr>
        <w:t>（商务标书／经济标书／施工组织设计</w:t>
      </w:r>
      <w:r>
        <w:rPr>
          <w:rFonts w:hint="eastAsia" w:ascii="宋体" w:hAnsi="宋体" w:eastAsia="宋体" w:cs="宋体"/>
          <w:b/>
          <w:bCs/>
          <w:color w:val="auto"/>
          <w:spacing w:val="2"/>
          <w:sz w:val="40"/>
          <w:szCs w:val="40"/>
          <w:highlight w:val="none"/>
          <w:lang w:val="en-US" w:eastAsia="zh-CN"/>
        </w:rPr>
        <w:t>/定标文件</w:t>
      </w:r>
      <w:r>
        <w:rPr>
          <w:rFonts w:hint="eastAsia" w:ascii="宋体" w:hAnsi="宋体" w:eastAsia="宋体" w:cs="宋体"/>
          <w:b/>
          <w:bCs/>
          <w:color w:val="auto"/>
          <w:spacing w:val="2"/>
          <w:sz w:val="40"/>
          <w:szCs w:val="40"/>
          <w:highlight w:val="none"/>
        </w:rPr>
        <w:t>）</w:t>
      </w:r>
    </w:p>
    <w:p w14:paraId="507FE0F9">
      <w:pPr>
        <w:bidi w:val="0"/>
        <w:rPr>
          <w:rFonts w:hint="eastAsia"/>
          <w:color w:val="auto"/>
          <w:highlight w:val="none"/>
        </w:rPr>
      </w:pPr>
    </w:p>
    <w:p w14:paraId="1258CA34">
      <w:pPr>
        <w:bidi w:val="0"/>
        <w:rPr>
          <w:rFonts w:hint="eastAsia"/>
          <w:color w:val="auto"/>
          <w:highlight w:val="none"/>
        </w:rPr>
      </w:pPr>
    </w:p>
    <w:p w14:paraId="6011C3D8">
      <w:pPr>
        <w:bidi w:val="0"/>
        <w:rPr>
          <w:rFonts w:hint="eastAsia"/>
          <w:color w:val="auto"/>
          <w:highlight w:val="none"/>
        </w:rPr>
      </w:pPr>
    </w:p>
    <w:p w14:paraId="37F301A3">
      <w:pPr>
        <w:bidi w:val="0"/>
        <w:rPr>
          <w:rFonts w:hint="eastAsia"/>
          <w:color w:val="auto"/>
          <w:highlight w:val="none"/>
        </w:rPr>
      </w:pPr>
    </w:p>
    <w:p w14:paraId="176B82A5">
      <w:pPr>
        <w:bidi w:val="0"/>
        <w:rPr>
          <w:rFonts w:hint="eastAsia"/>
          <w:color w:val="auto"/>
          <w:highlight w:val="none"/>
        </w:rPr>
      </w:pPr>
    </w:p>
    <w:p w14:paraId="082387D7">
      <w:pPr>
        <w:bidi w:val="0"/>
        <w:rPr>
          <w:rFonts w:hint="eastAsia"/>
          <w:color w:val="auto"/>
          <w:highlight w:val="none"/>
        </w:rPr>
      </w:pPr>
    </w:p>
    <w:p w14:paraId="4555BC89">
      <w:pPr>
        <w:bidi w:val="0"/>
        <w:rPr>
          <w:rFonts w:hint="eastAsia"/>
          <w:color w:val="auto"/>
          <w:highlight w:val="none"/>
        </w:rPr>
      </w:pPr>
    </w:p>
    <w:p w14:paraId="5C158398">
      <w:pPr>
        <w:bidi w:val="0"/>
        <w:rPr>
          <w:rFonts w:hint="eastAsia"/>
          <w:color w:val="auto"/>
          <w:highlight w:val="none"/>
        </w:rPr>
      </w:pPr>
    </w:p>
    <w:p w14:paraId="7B5A9BA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投标人：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（盖单位章）</w:t>
      </w:r>
    </w:p>
    <w:p w14:paraId="215929E0">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233B75EF">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3AB8C63">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r>
        <w:rPr>
          <w:rFonts w:hint="eastAsia" w:ascii="宋体" w:hAnsi="宋体" w:eastAsia="宋体" w:cs="宋体"/>
          <w:bCs/>
          <w:snapToGrid w:val="0"/>
          <w:color w:val="auto"/>
          <w:sz w:val="32"/>
          <w:highlight w:val="none"/>
        </w:rPr>
        <w:t>法定代表人或其委托代理人：</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（签字或盖章）</w:t>
      </w:r>
    </w:p>
    <w:p w14:paraId="0E4534D8">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rPr>
      </w:pPr>
    </w:p>
    <w:p w14:paraId="37293E27">
      <w:pPr>
        <w:pStyle w:val="39"/>
        <w:widowControl w:val="0"/>
        <w:wordWrap w:val="0"/>
        <w:adjustRightInd w:val="0"/>
        <w:snapToGrid w:val="0"/>
        <w:spacing w:line="360" w:lineRule="auto"/>
        <w:ind w:firstLine="0"/>
        <w:jc w:val="center"/>
        <w:rPr>
          <w:rFonts w:hint="eastAsia" w:ascii="宋体" w:hAnsi="宋体" w:eastAsia="宋体" w:cs="宋体"/>
          <w:bCs/>
          <w:snapToGrid w:val="0"/>
          <w:color w:val="auto"/>
          <w:sz w:val="32"/>
          <w:highlight w:val="none"/>
          <w:u w:val="single"/>
        </w:rPr>
      </w:pPr>
    </w:p>
    <w:p w14:paraId="2496E2BB">
      <w:pPr>
        <w:pStyle w:val="39"/>
        <w:widowControl w:val="0"/>
        <w:wordWrap w:val="0"/>
        <w:adjustRightInd w:val="0"/>
        <w:snapToGrid w:val="0"/>
        <w:spacing w:line="360" w:lineRule="auto"/>
        <w:ind w:firstLine="0"/>
        <w:jc w:val="center"/>
        <w:rPr>
          <w:rFonts w:hint="eastAsia" w:ascii="宋体" w:hAnsi="宋体" w:eastAsia="宋体" w:cs="宋体"/>
          <w:b/>
          <w:snapToGrid w:val="0"/>
          <w:color w:val="auto"/>
          <w:highlight w:val="none"/>
        </w:rPr>
      </w:pP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年</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月</w:t>
      </w:r>
      <w:r>
        <w:rPr>
          <w:rFonts w:hint="eastAsia" w:ascii="宋体" w:hAnsi="宋体" w:eastAsia="宋体" w:cs="宋体"/>
          <w:bCs/>
          <w:snapToGrid w:val="0"/>
          <w:color w:val="auto"/>
          <w:sz w:val="32"/>
          <w:highlight w:val="none"/>
          <w:u w:val="single"/>
        </w:rPr>
        <w:t xml:space="preserve">      </w:t>
      </w:r>
      <w:r>
        <w:rPr>
          <w:rFonts w:hint="eastAsia" w:ascii="宋体" w:hAnsi="宋体" w:eastAsia="宋体" w:cs="宋体"/>
          <w:bCs/>
          <w:snapToGrid w:val="0"/>
          <w:color w:val="auto"/>
          <w:sz w:val="32"/>
          <w:highlight w:val="none"/>
        </w:rPr>
        <w:t>日</w:t>
      </w:r>
    </w:p>
    <w:p w14:paraId="5A1606D9">
      <w:pPr>
        <w:bidi w:val="0"/>
        <w:rPr>
          <w:rFonts w:hint="eastAsia"/>
          <w:color w:val="auto"/>
          <w:highlight w:val="none"/>
        </w:rPr>
      </w:pPr>
    </w:p>
    <w:p w14:paraId="23E6A84C">
      <w:pPr>
        <w:outlineLvl w:val="9"/>
        <w:rPr>
          <w:rFonts w:hint="eastAsia"/>
          <w:color w:val="auto"/>
          <w:highlight w:val="none"/>
        </w:rPr>
      </w:pPr>
    </w:p>
    <w:p w14:paraId="5B28AB72">
      <w:pPr>
        <w:spacing w:line="223" w:lineRule="auto"/>
        <w:rPr>
          <w:rFonts w:hint="eastAsia" w:ascii="宋体" w:hAnsi="宋体" w:eastAsia="宋体" w:cs="宋体"/>
          <w:color w:val="auto"/>
          <w:sz w:val="47"/>
          <w:szCs w:val="47"/>
          <w:highlight w:val="none"/>
        </w:rPr>
        <w:sectPr>
          <w:footerReference r:id="rId1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4A3B6A7">
      <w:pPr>
        <w:spacing w:before="78" w:line="220" w:lineRule="auto"/>
        <w:outlineLvl w:val="2"/>
        <w:rPr>
          <w:rFonts w:hint="eastAsia" w:ascii="宋体" w:hAnsi="宋体" w:eastAsia="宋体" w:cs="宋体"/>
          <w:b/>
          <w:bCs/>
          <w:color w:val="auto"/>
          <w:spacing w:val="-4"/>
          <w:sz w:val="24"/>
          <w:szCs w:val="24"/>
          <w:highlight w:val="none"/>
        </w:rPr>
      </w:pPr>
      <w:bookmarkStart w:id="222" w:name="_Toc24492"/>
      <w:r>
        <w:rPr>
          <w:rFonts w:hint="eastAsia" w:ascii="宋体" w:hAnsi="宋体" w:eastAsia="宋体" w:cs="宋体"/>
          <w:b/>
          <w:bCs/>
          <w:color w:val="auto"/>
          <w:spacing w:val="-4"/>
          <w:sz w:val="24"/>
          <w:szCs w:val="24"/>
          <w:highlight w:val="none"/>
        </w:rPr>
        <w:t>格式二 投标函</w:t>
      </w:r>
      <w:bookmarkEnd w:id="222"/>
    </w:p>
    <w:p w14:paraId="3A37F6C7">
      <w:pPr>
        <w:pStyle w:val="5"/>
        <w:spacing w:line="261" w:lineRule="auto"/>
        <w:rPr>
          <w:rFonts w:hint="eastAsia" w:ascii="宋体" w:hAnsi="宋体" w:eastAsia="宋体" w:cs="宋体"/>
          <w:color w:val="auto"/>
          <w:highlight w:val="none"/>
        </w:rPr>
      </w:pPr>
    </w:p>
    <w:p w14:paraId="45A81B1F">
      <w:pPr>
        <w:spacing w:before="97" w:line="221" w:lineRule="auto"/>
        <w:ind w:left="3799"/>
        <w:outlineLvl w:val="9"/>
        <w:rPr>
          <w:rFonts w:hint="eastAsia" w:ascii="宋体" w:hAnsi="宋体" w:eastAsia="宋体" w:cs="宋体"/>
          <w:color w:val="auto"/>
          <w:sz w:val="30"/>
          <w:szCs w:val="30"/>
          <w:highlight w:val="none"/>
        </w:rPr>
      </w:pPr>
      <w:bookmarkStart w:id="223" w:name="bookmark148"/>
      <w:bookmarkEnd w:id="223"/>
      <w:bookmarkStart w:id="224" w:name="_Toc297"/>
      <w:bookmarkStart w:id="225" w:name="_Toc27397"/>
      <w:bookmarkStart w:id="226" w:name="_Toc317"/>
      <w:r>
        <w:rPr>
          <w:rFonts w:hint="eastAsia" w:ascii="宋体" w:hAnsi="宋体" w:eastAsia="宋体" w:cs="宋体"/>
          <w:b/>
          <w:bCs/>
          <w:color w:val="auto"/>
          <w:spacing w:val="-13"/>
          <w:sz w:val="30"/>
          <w:szCs w:val="30"/>
          <w:highlight w:val="none"/>
        </w:rPr>
        <w:t>投</w:t>
      </w:r>
      <w:r>
        <w:rPr>
          <w:rFonts w:hint="eastAsia" w:ascii="宋体" w:hAnsi="宋体" w:eastAsia="宋体" w:cs="宋体"/>
          <w:color w:val="auto"/>
          <w:spacing w:val="6"/>
          <w:sz w:val="30"/>
          <w:szCs w:val="30"/>
          <w:highlight w:val="none"/>
        </w:rPr>
        <w:t xml:space="preserve">  </w:t>
      </w:r>
      <w:r>
        <w:rPr>
          <w:rFonts w:hint="eastAsia" w:ascii="宋体" w:hAnsi="宋体" w:eastAsia="宋体" w:cs="宋体"/>
          <w:b/>
          <w:bCs/>
          <w:color w:val="auto"/>
          <w:spacing w:val="-13"/>
          <w:sz w:val="30"/>
          <w:szCs w:val="30"/>
          <w:highlight w:val="none"/>
        </w:rPr>
        <w:t>标</w:t>
      </w:r>
      <w:r>
        <w:rPr>
          <w:rFonts w:hint="eastAsia" w:ascii="宋体" w:hAnsi="宋体" w:eastAsia="宋体" w:cs="宋体"/>
          <w:color w:val="auto"/>
          <w:spacing w:val="17"/>
          <w:sz w:val="30"/>
          <w:szCs w:val="30"/>
          <w:highlight w:val="none"/>
        </w:rPr>
        <w:t xml:space="preserve">  </w:t>
      </w:r>
      <w:r>
        <w:rPr>
          <w:rFonts w:hint="eastAsia" w:ascii="宋体" w:hAnsi="宋体" w:eastAsia="宋体" w:cs="宋体"/>
          <w:b/>
          <w:bCs/>
          <w:color w:val="auto"/>
          <w:spacing w:val="-13"/>
          <w:sz w:val="30"/>
          <w:szCs w:val="30"/>
          <w:highlight w:val="none"/>
        </w:rPr>
        <w:t>函</w:t>
      </w:r>
      <w:bookmarkEnd w:id="224"/>
      <w:bookmarkEnd w:id="225"/>
      <w:bookmarkEnd w:id="226"/>
    </w:p>
    <w:p w14:paraId="7874E16E">
      <w:pPr>
        <w:pStyle w:val="5"/>
        <w:spacing w:line="249" w:lineRule="auto"/>
        <w:rPr>
          <w:rFonts w:hint="eastAsia" w:ascii="宋体" w:hAnsi="宋体" w:eastAsia="宋体" w:cs="宋体"/>
          <w:color w:val="auto"/>
          <w:highlight w:val="none"/>
        </w:rPr>
      </w:pPr>
    </w:p>
    <w:p w14:paraId="75D83E64">
      <w:pPr>
        <w:pStyle w:val="5"/>
        <w:spacing w:line="250" w:lineRule="auto"/>
        <w:rPr>
          <w:rFonts w:hint="eastAsia" w:ascii="宋体" w:hAnsi="宋体" w:eastAsia="宋体" w:cs="宋体"/>
          <w:color w:val="auto"/>
          <w:highlight w:val="none"/>
        </w:rPr>
      </w:pPr>
    </w:p>
    <w:p w14:paraId="5FC5B2DC">
      <w:pPr>
        <w:pStyle w:val="5"/>
        <w:spacing w:line="250" w:lineRule="auto"/>
        <w:rPr>
          <w:rFonts w:hint="eastAsia" w:ascii="宋体" w:hAnsi="宋体" w:eastAsia="宋体" w:cs="宋体"/>
          <w:color w:val="auto"/>
          <w:highlight w:val="none"/>
        </w:rPr>
      </w:pPr>
    </w:p>
    <w:p w14:paraId="64EA3138">
      <w:pPr>
        <w:spacing w:before="78" w:line="221"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致</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30"/>
          <w:sz w:val="24"/>
          <w:szCs w:val="24"/>
          <w:highlight w:val="none"/>
          <w:u w:val="single"/>
          <w:lang w:val="en-US" w:eastAsia="zh-CN"/>
        </w:rPr>
        <w:t xml:space="preserve">                    </w:t>
      </w:r>
      <w:r>
        <w:rPr>
          <w:rFonts w:hint="eastAsia" w:ascii="宋体" w:hAnsi="宋体" w:eastAsia="宋体" w:cs="宋体"/>
          <w:color w:val="auto"/>
          <w:spacing w:val="-30"/>
          <w:sz w:val="24"/>
          <w:szCs w:val="24"/>
          <w:highlight w:val="none"/>
        </w:rPr>
        <w:t>（</w:t>
      </w:r>
      <w:r>
        <w:rPr>
          <w:rFonts w:hint="eastAsia" w:ascii="宋体" w:hAnsi="宋体" w:eastAsia="宋体" w:cs="宋体"/>
          <w:color w:val="auto"/>
          <w:spacing w:val="7"/>
          <w:sz w:val="24"/>
          <w:szCs w:val="24"/>
          <w:highlight w:val="none"/>
        </w:rPr>
        <w:t>招标人名称）</w:t>
      </w:r>
    </w:p>
    <w:p w14:paraId="0506ED9A">
      <w:pPr>
        <w:pStyle w:val="5"/>
        <w:spacing w:before="156" w:line="328" w:lineRule="auto"/>
        <w:ind w:left="9" w:right="142" w:firstLine="589"/>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我方考察现场并充分研究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eastAsia="宋体" w:cs="宋体"/>
          <w:color w:val="auto"/>
          <w:spacing w:val="-12"/>
          <w:sz w:val="24"/>
          <w:szCs w:val="24"/>
          <w:highlight w:val="none"/>
        </w:rPr>
        <w:t>）（</w:t>
      </w:r>
      <w:r>
        <w:rPr>
          <w:rFonts w:hint="eastAsia" w:ascii="宋体" w:hAnsi="宋体" w:eastAsia="宋体" w:cs="宋体"/>
          <w:color w:val="auto"/>
          <w:sz w:val="24"/>
          <w:szCs w:val="24"/>
          <w:highlight w:val="none"/>
        </w:rPr>
        <w:t>以下简称“本项目</w:t>
      </w:r>
      <w:r>
        <w:rPr>
          <w:rFonts w:hint="eastAsia" w:ascii="宋体" w:hAnsi="宋体" w:eastAsia="宋体" w:cs="宋体"/>
          <w:color w:val="auto"/>
          <w:spacing w:val="-85"/>
          <w:sz w:val="24"/>
          <w:szCs w:val="24"/>
          <w:highlight w:val="none"/>
        </w:rPr>
        <w:t xml:space="preserve"> </w:t>
      </w:r>
      <w:r>
        <w:rPr>
          <w:rFonts w:hint="eastAsia" w:ascii="宋体" w:hAnsi="宋体" w:eastAsia="宋体" w:cs="宋体"/>
          <w:color w:val="auto"/>
          <w:sz w:val="24"/>
          <w:szCs w:val="24"/>
          <w:highlight w:val="none"/>
        </w:rPr>
        <w:t>”）招标文件</w:t>
      </w:r>
      <w:r>
        <w:rPr>
          <w:rFonts w:hint="eastAsia" w:ascii="宋体" w:hAnsi="宋体" w:eastAsia="宋体" w:cs="宋体"/>
          <w:color w:val="auto"/>
          <w:spacing w:val="-2"/>
          <w:sz w:val="24"/>
          <w:szCs w:val="24"/>
          <w:highlight w:val="none"/>
        </w:rPr>
        <w:t>所有内容后，结合自身资质、能力和特点，愿意接受招标文件的全部内容和条件，兹以</w:t>
      </w:r>
      <w:r>
        <w:rPr>
          <w:rFonts w:hint="eastAsia" w:ascii="宋体" w:hAnsi="宋体" w:eastAsia="宋体" w:cs="宋体"/>
          <w:color w:val="auto"/>
          <w:spacing w:val="-5"/>
          <w:sz w:val="24"/>
          <w:szCs w:val="24"/>
          <w:highlight w:val="none"/>
        </w:rPr>
        <w:t>人民币（大写</w:t>
      </w:r>
      <w:r>
        <w:rPr>
          <w:rFonts w:hint="eastAsia" w:ascii="宋体" w:hAnsi="宋体" w:eastAsia="宋体" w:cs="宋体"/>
          <w:color w:val="auto"/>
          <w:spacing w:val="2"/>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2"/>
          <w:sz w:val="24"/>
          <w:szCs w:val="24"/>
          <w:highlight w:val="none"/>
          <w:u w:val="single"/>
        </w:rPr>
        <w:t xml:space="preserve">       </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的投标总价竞投本项目施工。</w:t>
      </w:r>
    </w:p>
    <w:p w14:paraId="42232FD7">
      <w:pPr>
        <w:spacing w:before="39" w:line="323" w:lineRule="auto"/>
        <w:ind w:right="142" w:firstLine="579"/>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在我方的上述投标总价中，包括：</w:t>
      </w:r>
      <w:r>
        <w:rPr>
          <w:rFonts w:hint="eastAsia" w:ascii="宋体" w:hAnsi="宋体" w:eastAsia="宋体" w:cs="宋体"/>
          <w:color w:val="auto"/>
          <w:spacing w:val="-2"/>
          <w:sz w:val="24"/>
          <w:szCs w:val="24"/>
          <w:highlight w:val="none"/>
          <w:lang w:val="en-US" w:eastAsia="zh-CN"/>
        </w:rPr>
        <w:t>安全生产措施费</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；暂列金额</w:t>
      </w:r>
      <w:r>
        <w:rPr>
          <w:rFonts w:hint="eastAsia" w:ascii="宋体" w:hAnsi="宋体" w:eastAsia="宋体" w:cs="宋体"/>
          <w:color w:val="auto"/>
          <w:spacing w:val="-2"/>
          <w:sz w:val="24"/>
          <w:szCs w:val="24"/>
          <w:highlight w:val="none"/>
          <w:u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3"/>
          <w:sz w:val="24"/>
          <w:szCs w:val="24"/>
          <w:highlight w:val="none"/>
          <w:u w:val="none"/>
          <w:lang w:eastAsia="zh-CN"/>
        </w:rPr>
        <w:t>；暂估价</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3"/>
          <w:sz w:val="24"/>
          <w:szCs w:val="24"/>
          <w:highlight w:val="none"/>
          <w:u w:val="single"/>
        </w:rPr>
        <w:t xml:space="preserve">                </w:t>
      </w:r>
      <w:r>
        <w:rPr>
          <w:rFonts w:hint="eastAsia" w:ascii="宋体" w:hAnsi="宋体" w:eastAsia="宋体" w:cs="宋体"/>
          <w:color w:val="auto"/>
          <w:spacing w:val="-8"/>
          <w:sz w:val="24"/>
          <w:szCs w:val="24"/>
          <w:highlight w:val="none"/>
        </w:rPr>
        <w:t>。</w:t>
      </w:r>
    </w:p>
    <w:p w14:paraId="50640A5A">
      <w:pPr>
        <w:spacing w:before="38" w:line="280" w:lineRule="auto"/>
        <w:ind w:left="13" w:right="142" w:firstLine="56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  如果我方中标，我方保证按照合同约定的开工日期开始本项目的施工</w:t>
      </w:r>
      <w:r>
        <w:rPr>
          <w:rFonts w:hint="eastAsia" w:ascii="宋体" w:hAnsi="宋体" w:eastAsia="宋体" w:cs="宋体"/>
          <w:color w:val="auto"/>
          <w:sz w:val="24"/>
          <w:szCs w:val="24"/>
          <w:highlight w:val="none"/>
        </w:rPr>
        <w:t>，</w:t>
      </w:r>
      <w:bookmarkStart w:id="227" w:name="OLE_LINK34"/>
      <w:r>
        <w:rPr>
          <w:rFonts w:hint="eastAsia" w:ascii="宋体" w:hAnsi="宋体" w:eastAsia="宋体" w:cs="宋体"/>
          <w:color w:val="auto"/>
          <w:sz w:val="24"/>
          <w:szCs w:val="24"/>
          <w:highlight w:val="none"/>
          <w:u w:val="single"/>
          <w:lang w:val="en-US" w:eastAsia="zh-CN"/>
        </w:rPr>
        <w:t xml:space="preserve">     </w:t>
      </w:r>
      <w:bookmarkEnd w:id="227"/>
      <w:r>
        <w:rPr>
          <w:rFonts w:hint="eastAsia" w:ascii="宋体" w:hAnsi="宋体" w:eastAsia="宋体" w:cs="宋体"/>
          <w:color w:val="auto"/>
          <w:sz w:val="24"/>
          <w:szCs w:val="24"/>
          <w:highlight w:val="none"/>
        </w:rPr>
        <w:t>个日历</w:t>
      </w:r>
      <w:r>
        <w:rPr>
          <w:rFonts w:hint="eastAsia" w:ascii="宋体" w:hAnsi="宋体" w:eastAsia="宋体" w:cs="宋体"/>
          <w:color w:val="auto"/>
          <w:spacing w:val="-1"/>
          <w:sz w:val="24"/>
          <w:szCs w:val="24"/>
          <w:highlight w:val="none"/>
        </w:rPr>
        <w:t>天内竣工，并确保工程质量达到</w:t>
      </w:r>
      <w:r>
        <w:rPr>
          <w:rFonts w:hint="eastAsia" w:ascii="宋体" w:hAnsi="宋体" w:eastAsia="宋体" w:cs="宋体"/>
          <w:color w:val="auto"/>
          <w:spacing w:val="-1"/>
          <w:sz w:val="24"/>
          <w:szCs w:val="24"/>
          <w:highlight w:val="none"/>
          <w:u w:val="single"/>
          <w:lang w:val="en-US" w:eastAsia="zh-CN"/>
        </w:rPr>
        <w:t xml:space="preserve">     </w:t>
      </w:r>
      <w:r>
        <w:rPr>
          <w:rFonts w:hint="eastAsia" w:ascii="宋体" w:hAnsi="宋体" w:eastAsia="宋体" w:cs="宋体"/>
          <w:color w:val="auto"/>
          <w:spacing w:val="-1"/>
          <w:sz w:val="24"/>
          <w:szCs w:val="24"/>
          <w:highlight w:val="none"/>
        </w:rPr>
        <w:t>标准和维修其中的任何缺陷。</w:t>
      </w:r>
    </w:p>
    <w:p w14:paraId="63DC731F">
      <w:pPr>
        <w:spacing w:before="152" w:line="279" w:lineRule="auto"/>
        <w:ind w:left="11" w:right="142" w:firstLine="5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  本投标函在你方接收我方递交的投标文件之日起、到招标</w:t>
      </w:r>
      <w:r>
        <w:rPr>
          <w:rFonts w:hint="eastAsia" w:ascii="宋体" w:hAnsi="宋体" w:eastAsia="宋体" w:cs="宋体"/>
          <w:color w:val="auto"/>
          <w:sz w:val="24"/>
          <w:szCs w:val="24"/>
          <w:highlight w:val="none"/>
        </w:rPr>
        <w:t>文件规定的投标有效</w:t>
      </w:r>
      <w:r>
        <w:rPr>
          <w:rFonts w:hint="eastAsia" w:ascii="宋体" w:hAnsi="宋体" w:eastAsia="宋体" w:cs="宋体"/>
          <w:color w:val="auto"/>
          <w:spacing w:val="-1"/>
          <w:sz w:val="24"/>
          <w:szCs w:val="24"/>
          <w:highlight w:val="none"/>
        </w:rPr>
        <w:t>期期满前对我方具有约束力。我方随时准备接受你方发出的中标通知书。</w:t>
      </w:r>
    </w:p>
    <w:p w14:paraId="12CDD9D6">
      <w:pPr>
        <w:spacing w:before="156" w:line="279" w:lineRule="auto"/>
        <w:ind w:left="11" w:right="61" w:firstLine="5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z w:val="24"/>
          <w:szCs w:val="24"/>
          <w:highlight w:val="none"/>
        </w:rPr>
        <w:t>．我方在此声明，我方不存在本项目招标</w:t>
      </w:r>
      <w:r>
        <w:rPr>
          <w:rFonts w:hint="eastAsia" w:ascii="宋体" w:hAnsi="宋体" w:eastAsia="宋体" w:cs="宋体"/>
          <w:color w:val="auto"/>
          <w:spacing w:val="-1"/>
          <w:sz w:val="24"/>
          <w:szCs w:val="24"/>
          <w:highlight w:val="none"/>
        </w:rPr>
        <w:t>文件第一章第三节第</w:t>
      </w:r>
      <w:r>
        <w:rPr>
          <w:rFonts w:hint="eastAsia" w:ascii="宋体" w:hAnsi="宋体" w:eastAsia="宋体" w:cs="宋体"/>
          <w:color w:val="auto"/>
          <w:spacing w:val="-55"/>
          <w:sz w:val="24"/>
          <w:szCs w:val="24"/>
          <w:highlight w:val="none"/>
        </w:rPr>
        <w:t xml:space="preserve"> </w:t>
      </w:r>
      <w:r>
        <w:rPr>
          <w:rFonts w:hint="eastAsia" w:ascii="宋体" w:hAnsi="宋体" w:eastAsia="宋体" w:cs="宋体"/>
          <w:b/>
          <w:bCs/>
          <w:color w:val="auto"/>
          <w:spacing w:val="-1"/>
          <w:sz w:val="24"/>
          <w:szCs w:val="24"/>
          <w:highlight w:val="none"/>
        </w:rPr>
        <w:t>2.4</w:t>
      </w:r>
      <w:r>
        <w:rPr>
          <w:rFonts w:hint="eastAsia" w:ascii="宋体" w:hAnsi="宋体" w:eastAsia="宋体" w:cs="宋体"/>
          <w:b/>
          <w:bCs/>
          <w:color w:val="auto"/>
          <w:spacing w:val="16"/>
          <w:w w:val="101"/>
          <w:sz w:val="24"/>
          <w:szCs w:val="24"/>
          <w:highlight w:val="none"/>
        </w:rPr>
        <w:t xml:space="preserve"> </w:t>
      </w:r>
      <w:r>
        <w:rPr>
          <w:rFonts w:hint="eastAsia" w:ascii="宋体" w:hAnsi="宋体" w:eastAsia="宋体" w:cs="宋体"/>
          <w:color w:val="auto"/>
          <w:spacing w:val="-1"/>
          <w:sz w:val="24"/>
          <w:szCs w:val="24"/>
          <w:highlight w:val="none"/>
        </w:rPr>
        <w:t>条“禁止投标</w:t>
      </w:r>
      <w:r>
        <w:rPr>
          <w:rFonts w:hint="eastAsia" w:ascii="宋体" w:hAnsi="宋体" w:eastAsia="宋体" w:cs="宋体"/>
          <w:color w:val="auto"/>
          <w:spacing w:val="-6"/>
          <w:sz w:val="24"/>
          <w:szCs w:val="24"/>
          <w:highlight w:val="none"/>
        </w:rPr>
        <w:t>条款</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6"/>
          <w:sz w:val="24"/>
          <w:szCs w:val="24"/>
          <w:highlight w:val="none"/>
        </w:rPr>
        <w:t>”所列出的任何一种情形，并愿意承担因我</w:t>
      </w:r>
      <w:r>
        <w:rPr>
          <w:rFonts w:hint="eastAsia" w:ascii="宋体" w:hAnsi="宋体" w:eastAsia="宋体" w:cs="宋体"/>
          <w:color w:val="auto"/>
          <w:spacing w:val="-7"/>
          <w:sz w:val="24"/>
          <w:szCs w:val="24"/>
          <w:highlight w:val="none"/>
        </w:rPr>
        <w:t>方就此弄虚作假所引起的一切法律后果。</w:t>
      </w:r>
    </w:p>
    <w:p w14:paraId="69028085">
      <w:pPr>
        <w:spacing w:before="153" w:line="280" w:lineRule="auto"/>
        <w:ind w:left="9" w:right="142" w:firstLine="573"/>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5</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2"/>
          <w:sz w:val="24"/>
          <w:szCs w:val="24"/>
          <w:highlight w:val="none"/>
        </w:rPr>
        <w:t>．我方在此承诺，所递交投标文件的全部内容均为真实、有效、准确的，并愿意承担因我方就此弄虚作假所引起的一切法律后果，同时理解和同意有可能被要求提供更</w:t>
      </w:r>
    </w:p>
    <w:p w14:paraId="4D86EAF2">
      <w:pPr>
        <w:spacing w:before="153" w:line="221" w:lineRule="auto"/>
        <w:ind w:left="20"/>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多的资料。</w:t>
      </w:r>
    </w:p>
    <w:p w14:paraId="47668C44">
      <w:pPr>
        <w:spacing w:before="153" w:line="326" w:lineRule="auto"/>
        <w:ind w:left="13" w:firstLine="56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6.  我方理解你方不一定要接纳收到的最低投标总价或任何投标总价的投标人中标，</w:t>
      </w:r>
      <w:r>
        <w:rPr>
          <w:rFonts w:hint="eastAsia" w:ascii="宋体" w:hAnsi="宋体" w:eastAsia="宋体" w:cs="宋体"/>
          <w:color w:val="auto"/>
          <w:spacing w:val="-1"/>
          <w:sz w:val="24"/>
          <w:szCs w:val="24"/>
          <w:highlight w:val="none"/>
        </w:rPr>
        <w:t>也不要求你方解释我方是否中标的原因。</w:t>
      </w:r>
    </w:p>
    <w:p w14:paraId="13B4F1F2">
      <w:pPr>
        <w:pStyle w:val="5"/>
        <w:spacing w:line="276" w:lineRule="auto"/>
        <w:rPr>
          <w:rFonts w:hint="eastAsia" w:ascii="宋体" w:hAnsi="宋体" w:eastAsia="宋体" w:cs="宋体"/>
          <w:color w:val="auto"/>
          <w:highlight w:val="none"/>
        </w:rPr>
      </w:pPr>
    </w:p>
    <w:p w14:paraId="1831F436">
      <w:pPr>
        <w:pStyle w:val="5"/>
        <w:spacing w:line="277" w:lineRule="auto"/>
        <w:rPr>
          <w:rFonts w:hint="eastAsia" w:ascii="宋体" w:hAnsi="宋体" w:eastAsia="宋体" w:cs="宋体"/>
          <w:color w:val="auto"/>
          <w:highlight w:val="none"/>
        </w:rPr>
      </w:pPr>
    </w:p>
    <w:p w14:paraId="3AC7C5A8">
      <w:pPr>
        <w:pStyle w:val="5"/>
        <w:spacing w:line="277" w:lineRule="auto"/>
        <w:rPr>
          <w:rFonts w:hint="eastAsia" w:ascii="宋体" w:hAnsi="宋体" w:eastAsia="宋体" w:cs="宋体"/>
          <w:color w:val="auto"/>
          <w:highlight w:val="none"/>
        </w:rPr>
      </w:pPr>
    </w:p>
    <w:p w14:paraId="21D36DDF">
      <w:pPr>
        <w:spacing w:before="79" w:line="219" w:lineRule="auto"/>
        <w:ind w:firstLine="5856" w:firstLineChars="240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78B3688F">
      <w:pPr>
        <w:pStyle w:val="5"/>
        <w:spacing w:line="256" w:lineRule="auto"/>
        <w:jc w:val="right"/>
        <w:rPr>
          <w:rFonts w:hint="eastAsia" w:ascii="宋体" w:hAnsi="宋体" w:eastAsia="宋体" w:cs="宋体"/>
          <w:color w:val="auto"/>
          <w:highlight w:val="none"/>
        </w:rPr>
      </w:pPr>
    </w:p>
    <w:p w14:paraId="357977FD">
      <w:pPr>
        <w:pStyle w:val="5"/>
        <w:spacing w:line="256" w:lineRule="auto"/>
        <w:jc w:val="right"/>
        <w:rPr>
          <w:rFonts w:hint="eastAsia" w:ascii="宋体" w:hAnsi="宋体" w:eastAsia="宋体" w:cs="宋体"/>
          <w:color w:val="auto"/>
          <w:highlight w:val="none"/>
        </w:rPr>
      </w:pPr>
    </w:p>
    <w:p w14:paraId="053292DD">
      <w:pPr>
        <w:spacing w:before="78" w:line="219" w:lineRule="auto"/>
        <w:ind w:left="3922"/>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6662D32F">
      <w:pPr>
        <w:pStyle w:val="5"/>
        <w:spacing w:line="257" w:lineRule="auto"/>
        <w:rPr>
          <w:rFonts w:hint="eastAsia" w:ascii="宋体" w:hAnsi="宋体" w:eastAsia="宋体" w:cs="宋体"/>
          <w:color w:val="auto"/>
          <w:highlight w:val="none"/>
        </w:rPr>
      </w:pPr>
    </w:p>
    <w:p w14:paraId="070C60B1">
      <w:pPr>
        <w:pStyle w:val="5"/>
        <w:spacing w:line="257" w:lineRule="auto"/>
        <w:rPr>
          <w:rFonts w:hint="eastAsia" w:ascii="宋体" w:hAnsi="宋体" w:eastAsia="宋体" w:cs="宋体"/>
          <w:color w:val="auto"/>
          <w:highlight w:val="none"/>
        </w:rPr>
      </w:pPr>
    </w:p>
    <w:p w14:paraId="34941473">
      <w:pPr>
        <w:spacing w:before="79" w:line="220" w:lineRule="auto"/>
        <w:ind w:left="697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9"/>
          <w:sz w:val="24"/>
          <w:szCs w:val="24"/>
          <w:highlight w:val="none"/>
        </w:rPr>
        <w:t>日</w:t>
      </w:r>
    </w:p>
    <w:p w14:paraId="533951B9">
      <w:pPr>
        <w:spacing w:line="220" w:lineRule="auto"/>
        <w:rPr>
          <w:rFonts w:hint="eastAsia" w:ascii="宋体" w:hAnsi="宋体" w:eastAsia="宋体" w:cs="宋体"/>
          <w:color w:val="auto"/>
          <w:sz w:val="24"/>
          <w:szCs w:val="24"/>
          <w:highlight w:val="none"/>
        </w:rPr>
        <w:sectPr>
          <w:footerReference r:id="rId1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45A9343">
      <w:pPr>
        <w:spacing w:before="78" w:line="220" w:lineRule="auto"/>
        <w:outlineLvl w:val="2"/>
        <w:rPr>
          <w:rFonts w:hint="eastAsia" w:ascii="宋体" w:hAnsi="宋体" w:eastAsia="宋体" w:cs="宋体"/>
          <w:b/>
          <w:bCs/>
          <w:color w:val="auto"/>
          <w:spacing w:val="-4"/>
          <w:sz w:val="24"/>
          <w:szCs w:val="24"/>
          <w:highlight w:val="none"/>
        </w:rPr>
      </w:pPr>
      <w:bookmarkStart w:id="228" w:name="_Toc15958"/>
      <w:r>
        <w:rPr>
          <w:rFonts w:hint="eastAsia" w:ascii="宋体" w:hAnsi="宋体" w:eastAsia="宋体" w:cs="宋体"/>
          <w:b/>
          <w:bCs/>
          <w:color w:val="auto"/>
          <w:spacing w:val="-4"/>
          <w:sz w:val="24"/>
          <w:szCs w:val="24"/>
          <w:highlight w:val="none"/>
        </w:rPr>
        <w:t>格式三 各项承诺一览表</w:t>
      </w:r>
      <w:bookmarkEnd w:id="228"/>
    </w:p>
    <w:p w14:paraId="0D7CCACD">
      <w:pPr>
        <w:pStyle w:val="5"/>
        <w:spacing w:line="254" w:lineRule="auto"/>
        <w:rPr>
          <w:rFonts w:hint="eastAsia" w:ascii="宋体" w:hAnsi="宋体" w:eastAsia="宋体" w:cs="宋体"/>
          <w:color w:val="auto"/>
          <w:highlight w:val="none"/>
        </w:rPr>
      </w:pPr>
    </w:p>
    <w:p w14:paraId="4A57AF5C">
      <w:pPr>
        <w:spacing w:before="98" w:line="220" w:lineRule="auto"/>
        <w:ind w:left="3581"/>
        <w:outlineLvl w:val="9"/>
        <w:rPr>
          <w:rFonts w:hint="eastAsia" w:ascii="宋体" w:hAnsi="宋体" w:eastAsia="宋体" w:cs="宋体"/>
          <w:color w:val="auto"/>
          <w:sz w:val="30"/>
          <w:szCs w:val="30"/>
          <w:highlight w:val="none"/>
        </w:rPr>
      </w:pPr>
      <w:bookmarkStart w:id="229" w:name="bookmark149"/>
      <w:bookmarkEnd w:id="229"/>
      <w:bookmarkStart w:id="230" w:name="_Toc10326"/>
      <w:bookmarkStart w:id="231" w:name="_Toc4767"/>
      <w:bookmarkStart w:id="232" w:name="_Toc2936"/>
      <w:r>
        <w:rPr>
          <w:rFonts w:hint="eastAsia" w:ascii="宋体" w:hAnsi="宋体" w:eastAsia="宋体" w:cs="宋体"/>
          <w:b/>
          <w:bCs/>
          <w:color w:val="auto"/>
          <w:spacing w:val="-5"/>
          <w:sz w:val="30"/>
          <w:szCs w:val="30"/>
          <w:highlight w:val="none"/>
        </w:rPr>
        <w:t>各项承诺一览表</w:t>
      </w:r>
      <w:bookmarkEnd w:id="230"/>
      <w:bookmarkEnd w:id="231"/>
      <w:bookmarkEnd w:id="232"/>
    </w:p>
    <w:p w14:paraId="1040ACDB">
      <w:pPr>
        <w:spacing w:before="6"/>
        <w:rPr>
          <w:rFonts w:hint="eastAsia" w:ascii="宋体" w:hAnsi="宋体" w:eastAsia="宋体" w:cs="宋体"/>
          <w:color w:val="auto"/>
          <w:highlight w:val="none"/>
        </w:rPr>
      </w:pPr>
    </w:p>
    <w:tbl>
      <w:tblPr>
        <w:tblStyle w:val="14"/>
        <w:tblW w:w="98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4"/>
        <w:gridCol w:w="1675"/>
        <w:gridCol w:w="3107"/>
        <w:gridCol w:w="4272"/>
      </w:tblGrid>
      <w:tr w14:paraId="284FB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43AFBAA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2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75" w:type="dxa"/>
            <w:vAlign w:val="top"/>
          </w:tcPr>
          <w:p w14:paraId="3932ED98">
            <w:pPr>
              <w:keepNext w:val="0"/>
              <w:keepLines w:val="0"/>
              <w:pageBreakBefore w:val="0"/>
              <w:widowControl/>
              <w:kinsoku w:val="0"/>
              <w:wordWrap/>
              <w:overflowPunct/>
              <w:topLinePunct w:val="0"/>
              <w:autoSpaceDE w:val="0"/>
              <w:autoSpaceDN w:val="0"/>
              <w:bidi w:val="0"/>
              <w:adjustRightInd w:val="0"/>
              <w:snapToGrid w:val="0"/>
              <w:spacing w:before="208" w:line="288" w:lineRule="auto"/>
              <w:ind w:left="31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承诺事项</w:t>
            </w:r>
          </w:p>
        </w:tc>
        <w:tc>
          <w:tcPr>
            <w:tcW w:w="3107" w:type="dxa"/>
            <w:vAlign w:val="top"/>
          </w:tcPr>
          <w:p w14:paraId="6926247B">
            <w:pPr>
              <w:keepNext w:val="0"/>
              <w:keepLines w:val="0"/>
              <w:pageBreakBefore w:val="0"/>
              <w:widowControl/>
              <w:kinsoku w:val="0"/>
              <w:wordWrap/>
              <w:overflowPunct/>
              <w:topLinePunct w:val="0"/>
              <w:autoSpaceDE w:val="0"/>
              <w:autoSpaceDN w:val="0"/>
              <w:bidi w:val="0"/>
              <w:adjustRightInd w:val="0"/>
              <w:snapToGrid w:val="0"/>
              <w:spacing w:before="209" w:line="288" w:lineRule="auto"/>
              <w:ind w:left="98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承诺内容</w:t>
            </w:r>
          </w:p>
        </w:tc>
        <w:tc>
          <w:tcPr>
            <w:tcW w:w="4272" w:type="dxa"/>
            <w:vAlign w:val="top"/>
          </w:tcPr>
          <w:p w14:paraId="19484B26">
            <w:pPr>
              <w:keepNext w:val="0"/>
              <w:keepLines w:val="0"/>
              <w:pageBreakBefore w:val="0"/>
              <w:widowControl/>
              <w:kinsoku w:val="0"/>
              <w:wordWrap/>
              <w:overflowPunct/>
              <w:topLinePunct w:val="0"/>
              <w:autoSpaceDE w:val="0"/>
              <w:autoSpaceDN w:val="0"/>
              <w:bidi w:val="0"/>
              <w:adjustRightInd w:val="0"/>
              <w:snapToGrid w:val="0"/>
              <w:spacing w:before="209" w:line="288" w:lineRule="auto"/>
              <w:ind w:left="153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违约承诺</w:t>
            </w:r>
          </w:p>
        </w:tc>
      </w:tr>
      <w:tr w14:paraId="56FAD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0E6E63E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68E03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F6DB51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0368CE1">
            <w:pPr>
              <w:keepNext w:val="0"/>
              <w:keepLines w:val="0"/>
              <w:pageBreakBefore w:val="0"/>
              <w:widowControl/>
              <w:kinsoku w:val="0"/>
              <w:wordWrap/>
              <w:overflowPunct/>
              <w:topLinePunct w:val="0"/>
              <w:autoSpaceDE w:val="0"/>
              <w:autoSpaceDN w:val="0"/>
              <w:bidi w:val="0"/>
              <w:adjustRightInd w:val="0"/>
              <w:snapToGrid w:val="0"/>
              <w:spacing w:before="58" w:line="288" w:lineRule="auto"/>
              <w:ind w:left="32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75" w:type="dxa"/>
            <w:vAlign w:val="top"/>
          </w:tcPr>
          <w:p w14:paraId="1A6424C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254A2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93C2F8C">
            <w:pPr>
              <w:keepNext w:val="0"/>
              <w:keepLines w:val="0"/>
              <w:pageBreakBefore w:val="0"/>
              <w:widowControl/>
              <w:kinsoku w:val="0"/>
              <w:wordWrap/>
              <w:overflowPunct/>
              <w:topLinePunct w:val="0"/>
              <w:autoSpaceDE w:val="0"/>
              <w:autoSpaceDN w:val="0"/>
              <w:bidi w:val="0"/>
              <w:adjustRightInd w:val="0"/>
              <w:snapToGrid w:val="0"/>
              <w:spacing w:before="65" w:line="288" w:lineRule="auto"/>
              <w:ind w:left="57" w:right="50" w:firstLine="13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自愿接受招标</w:t>
            </w:r>
            <w:r>
              <w:rPr>
                <w:rFonts w:hint="eastAsia" w:ascii="宋体" w:hAnsi="宋体" w:eastAsia="宋体" w:cs="宋体"/>
                <w:color w:val="auto"/>
                <w:spacing w:val="8"/>
                <w:sz w:val="24"/>
                <w:szCs w:val="24"/>
                <w:highlight w:val="none"/>
              </w:rPr>
              <w:t>文件条款的承诺</w:t>
            </w:r>
          </w:p>
        </w:tc>
        <w:tc>
          <w:tcPr>
            <w:tcW w:w="3107" w:type="dxa"/>
            <w:vAlign w:val="top"/>
          </w:tcPr>
          <w:p w14:paraId="17F8556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8CCBC6">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1"/>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我方自愿接受招标文件的</w:t>
            </w:r>
            <w:r>
              <w:rPr>
                <w:rFonts w:hint="eastAsia" w:ascii="宋体" w:hAnsi="宋体" w:eastAsia="宋体" w:cs="宋体"/>
                <w:color w:val="auto"/>
                <w:spacing w:val="7"/>
                <w:sz w:val="24"/>
                <w:szCs w:val="24"/>
                <w:highlight w:val="none"/>
              </w:rPr>
              <w:t>所有条款，所递交的投标文件已</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23"/>
                <w:sz w:val="24"/>
                <w:szCs w:val="24"/>
                <w:highlight w:val="none"/>
              </w:rPr>
              <w:t>经充分响应招标文件的实质性</w:t>
            </w:r>
            <w:r>
              <w:rPr>
                <w:rFonts w:hint="eastAsia" w:ascii="宋体" w:hAnsi="宋体" w:eastAsia="宋体" w:cs="宋体"/>
                <w:color w:val="auto"/>
                <w:spacing w:val="3"/>
                <w:sz w:val="24"/>
                <w:szCs w:val="24"/>
                <w:highlight w:val="none"/>
              </w:rPr>
              <w:t>要求。</w:t>
            </w:r>
          </w:p>
        </w:tc>
        <w:tc>
          <w:tcPr>
            <w:tcW w:w="4272" w:type="dxa"/>
            <w:vAlign w:val="top"/>
          </w:tcPr>
          <w:p w14:paraId="3F01A048">
            <w:pPr>
              <w:keepNext w:val="0"/>
              <w:keepLines w:val="0"/>
              <w:pageBreakBefore w:val="0"/>
              <w:widowControl/>
              <w:kinsoku w:val="0"/>
              <w:wordWrap/>
              <w:overflowPunct/>
              <w:topLinePunct w:val="0"/>
              <w:autoSpaceDE w:val="0"/>
              <w:autoSpaceDN w:val="0"/>
              <w:bidi w:val="0"/>
              <w:adjustRightInd w:val="0"/>
              <w:snapToGrid w:val="0"/>
              <w:spacing w:before="122" w:line="288" w:lineRule="auto"/>
              <w:ind w:left="14" w:right="4"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如果我方的投标文件未响应、违反、偏</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0"/>
                <w:sz w:val="24"/>
                <w:szCs w:val="24"/>
                <w:highlight w:val="none"/>
              </w:rPr>
              <w:t>离招标文件的实质性要求，我方接受招标人或其授权的招标代理机构或其组建的评标委员会依据招标文件作出的相应处理，包括否</w:t>
            </w:r>
            <w:r>
              <w:rPr>
                <w:rFonts w:hint="eastAsia" w:ascii="宋体" w:hAnsi="宋体" w:eastAsia="宋体" w:cs="宋体"/>
                <w:color w:val="auto"/>
                <w:spacing w:val="4"/>
                <w:sz w:val="24"/>
                <w:szCs w:val="24"/>
                <w:highlight w:val="none"/>
              </w:rPr>
              <w:t>决投标。</w:t>
            </w:r>
          </w:p>
        </w:tc>
      </w:tr>
      <w:tr w14:paraId="5B2BB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59167F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B11ADA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46CB1A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AF5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5C670F">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8"/>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75" w:type="dxa"/>
            <w:vAlign w:val="top"/>
          </w:tcPr>
          <w:p w14:paraId="05B3009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BE0188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65F625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AEEEEA">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2" w:right="261" w:firstLine="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无禁止投标</w:t>
            </w:r>
            <w:r>
              <w:rPr>
                <w:rFonts w:hint="eastAsia" w:ascii="宋体" w:hAnsi="宋体" w:eastAsia="宋体" w:cs="宋体"/>
                <w:color w:val="auto"/>
                <w:spacing w:val="8"/>
                <w:sz w:val="24"/>
                <w:szCs w:val="24"/>
                <w:highlight w:val="none"/>
              </w:rPr>
              <w:t>情形的承诺</w:t>
            </w:r>
          </w:p>
        </w:tc>
        <w:tc>
          <w:tcPr>
            <w:tcW w:w="3107" w:type="dxa"/>
            <w:vAlign w:val="top"/>
          </w:tcPr>
          <w:p w14:paraId="43B9FD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E2231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368A58B">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5"/>
                <w:sz w:val="24"/>
                <w:szCs w:val="24"/>
                <w:highlight w:val="none"/>
              </w:rPr>
              <w:t>我方不存在招标文件第一</w:t>
            </w:r>
            <w:r>
              <w:rPr>
                <w:rFonts w:hint="eastAsia" w:ascii="宋体" w:hAnsi="宋体" w:eastAsia="宋体" w:cs="宋体"/>
                <w:color w:val="auto"/>
                <w:spacing w:val="8"/>
                <w:sz w:val="24"/>
                <w:szCs w:val="24"/>
                <w:highlight w:val="none"/>
              </w:rPr>
              <w:t>章第三节第</w:t>
            </w:r>
            <w:r>
              <w:rPr>
                <w:rFonts w:hint="eastAsia" w:ascii="宋体" w:hAnsi="宋体" w:eastAsia="宋体" w:cs="宋体"/>
                <w:color w:val="auto"/>
                <w:spacing w:val="-35"/>
                <w:sz w:val="24"/>
                <w:szCs w:val="24"/>
                <w:highlight w:val="none"/>
              </w:rPr>
              <w:t xml:space="preserve"> </w:t>
            </w:r>
            <w:r>
              <w:rPr>
                <w:rFonts w:hint="eastAsia" w:ascii="宋体" w:hAnsi="宋体" w:eastAsia="宋体" w:cs="宋体"/>
                <w:b/>
                <w:bCs/>
                <w:color w:val="auto"/>
                <w:spacing w:val="8"/>
                <w:sz w:val="24"/>
                <w:szCs w:val="24"/>
                <w:highlight w:val="none"/>
              </w:rPr>
              <w:t>2.4</w:t>
            </w:r>
            <w:r>
              <w:rPr>
                <w:rFonts w:hint="eastAsia" w:ascii="宋体" w:hAnsi="宋体" w:eastAsia="宋体" w:cs="宋体"/>
                <w:b/>
                <w:bCs/>
                <w:color w:val="auto"/>
                <w:spacing w:val="16"/>
                <w:sz w:val="24"/>
                <w:szCs w:val="24"/>
                <w:highlight w:val="none"/>
              </w:rPr>
              <w:t xml:space="preserve"> </w:t>
            </w:r>
            <w:r>
              <w:rPr>
                <w:rFonts w:hint="eastAsia" w:ascii="宋体" w:hAnsi="宋体" w:eastAsia="宋体" w:cs="宋体"/>
                <w:color w:val="auto"/>
                <w:spacing w:val="8"/>
                <w:sz w:val="24"/>
                <w:szCs w:val="24"/>
                <w:highlight w:val="none"/>
              </w:rPr>
              <w:t>条“禁止投标条</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款</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6"/>
                <w:sz w:val="24"/>
                <w:szCs w:val="24"/>
                <w:highlight w:val="none"/>
              </w:rPr>
              <w:t>”规定的任何一种情形。</w:t>
            </w:r>
          </w:p>
        </w:tc>
        <w:tc>
          <w:tcPr>
            <w:tcW w:w="4272" w:type="dxa"/>
            <w:vAlign w:val="top"/>
          </w:tcPr>
          <w:p w14:paraId="367FAD05">
            <w:pPr>
              <w:keepNext w:val="0"/>
              <w:keepLines w:val="0"/>
              <w:pageBreakBefore w:val="0"/>
              <w:widowControl/>
              <w:kinsoku w:val="0"/>
              <w:wordWrap/>
              <w:overflowPunct/>
              <w:topLinePunct w:val="0"/>
              <w:autoSpaceDE w:val="0"/>
              <w:autoSpaceDN w:val="0"/>
              <w:bidi w:val="0"/>
              <w:adjustRightInd w:val="0"/>
              <w:snapToGrid w:val="0"/>
              <w:spacing w:before="122" w:line="288" w:lineRule="auto"/>
              <w:ind w:left="9" w:firstLine="421"/>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如果我方有招标文件第一章第三节第</w:t>
            </w:r>
            <w:r>
              <w:rPr>
                <w:rFonts w:hint="eastAsia" w:ascii="宋体" w:hAnsi="宋体" w:eastAsia="宋体" w:cs="宋体"/>
                <w:color w:val="auto"/>
                <w:spacing w:val="-27"/>
                <w:sz w:val="24"/>
                <w:szCs w:val="24"/>
                <w:highlight w:val="none"/>
              </w:rPr>
              <w:t xml:space="preserve"> </w:t>
            </w:r>
            <w:r>
              <w:rPr>
                <w:rFonts w:hint="eastAsia" w:ascii="宋体" w:hAnsi="宋体" w:eastAsia="宋体" w:cs="宋体"/>
                <w:b/>
                <w:bCs/>
                <w:color w:val="auto"/>
                <w:spacing w:val="6"/>
                <w:sz w:val="24"/>
                <w:szCs w:val="24"/>
                <w:highlight w:val="none"/>
              </w:rPr>
              <w:t>2.</w:t>
            </w:r>
            <w:r>
              <w:rPr>
                <w:rFonts w:hint="eastAsia" w:ascii="宋体" w:hAnsi="宋体" w:eastAsia="宋体" w:cs="宋体"/>
                <w:b/>
                <w:bCs/>
                <w:color w:val="auto"/>
                <w:spacing w:val="1"/>
                <w:sz w:val="24"/>
                <w:szCs w:val="24"/>
                <w:highlight w:val="none"/>
              </w:rPr>
              <w:t xml:space="preserve">4 </w:t>
            </w:r>
            <w:r>
              <w:rPr>
                <w:rFonts w:hint="eastAsia" w:ascii="宋体" w:hAnsi="宋体" w:eastAsia="宋体" w:cs="宋体"/>
                <w:color w:val="auto"/>
                <w:spacing w:val="1"/>
                <w:sz w:val="24"/>
                <w:szCs w:val="24"/>
                <w:highlight w:val="none"/>
              </w:rPr>
              <w:t>条“禁止投标条款</w:t>
            </w:r>
            <w:r>
              <w:rPr>
                <w:rFonts w:hint="eastAsia" w:ascii="宋体" w:hAnsi="宋体" w:eastAsia="宋体" w:cs="宋体"/>
                <w:color w:val="auto"/>
                <w:spacing w:val="-65"/>
                <w:sz w:val="24"/>
                <w:szCs w:val="24"/>
                <w:highlight w:val="none"/>
              </w:rPr>
              <w:t xml:space="preserve"> </w:t>
            </w:r>
            <w:r>
              <w:rPr>
                <w:rFonts w:hint="eastAsia" w:ascii="宋体" w:hAnsi="宋体" w:eastAsia="宋体" w:cs="宋体"/>
                <w:color w:val="auto"/>
                <w:spacing w:val="1"/>
                <w:sz w:val="24"/>
                <w:szCs w:val="24"/>
                <w:highlight w:val="none"/>
              </w:rPr>
              <w:t>”规定的任何一种情形，</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我方接受招标人或其授权的招标代理机构或</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其组建的评标委员会依据招标文件作出的相</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8"/>
                <w:sz w:val="24"/>
                <w:szCs w:val="24"/>
                <w:highlight w:val="none"/>
              </w:rPr>
              <w:t>应处理以及有关监督部门作出的行政处罚，</w:t>
            </w:r>
            <w:r>
              <w:rPr>
                <w:rFonts w:hint="eastAsia" w:ascii="宋体" w:hAnsi="宋体" w:eastAsia="宋体" w:cs="宋体"/>
                <w:color w:val="auto"/>
                <w:spacing w:val="6"/>
                <w:sz w:val="24"/>
                <w:szCs w:val="24"/>
                <w:highlight w:val="none"/>
              </w:rPr>
              <w:t>并承担由此引起的一切法律后果。</w:t>
            </w:r>
          </w:p>
        </w:tc>
      </w:tr>
      <w:tr w14:paraId="18C1C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AD020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BFA5DE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60ED34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F741A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E73C6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75" w:type="dxa"/>
            <w:vAlign w:val="top"/>
          </w:tcPr>
          <w:p w14:paraId="438AD4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92BBB5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2454EE3">
            <w:pPr>
              <w:keepNext w:val="0"/>
              <w:keepLines w:val="0"/>
              <w:pageBreakBefore w:val="0"/>
              <w:widowControl/>
              <w:kinsoku w:val="0"/>
              <w:wordWrap/>
              <w:overflowPunct/>
              <w:topLinePunct w:val="0"/>
              <w:autoSpaceDE w:val="0"/>
              <w:autoSpaceDN w:val="0"/>
              <w:bidi w:val="0"/>
              <w:adjustRightInd w:val="0"/>
              <w:snapToGrid w:val="0"/>
              <w:spacing w:before="65" w:line="288" w:lineRule="auto"/>
              <w:ind w:left="19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自觉抵制围标</w:t>
            </w:r>
          </w:p>
          <w:p w14:paraId="07205FD8">
            <w:pPr>
              <w:keepNext w:val="0"/>
              <w:keepLines w:val="0"/>
              <w:pageBreakBefore w:val="0"/>
              <w:widowControl/>
              <w:kinsoku w:val="0"/>
              <w:wordWrap/>
              <w:overflowPunct/>
              <w:topLinePunct w:val="0"/>
              <w:autoSpaceDE w:val="0"/>
              <w:autoSpaceDN w:val="0"/>
              <w:bidi w:val="0"/>
              <w:adjustRightInd w:val="0"/>
              <w:snapToGrid w:val="0"/>
              <w:spacing w:before="131" w:line="288" w:lineRule="auto"/>
              <w:ind w:left="2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串标和弄虚</w:t>
            </w:r>
          </w:p>
          <w:p w14:paraId="7DFCC592">
            <w:pPr>
              <w:keepNext w:val="0"/>
              <w:keepLines w:val="0"/>
              <w:pageBreakBefore w:val="0"/>
              <w:widowControl/>
              <w:kinsoku w:val="0"/>
              <w:wordWrap/>
              <w:overflowPunct/>
              <w:topLinePunct w:val="0"/>
              <w:autoSpaceDE w:val="0"/>
              <w:autoSpaceDN w:val="0"/>
              <w:bidi w:val="0"/>
              <w:adjustRightInd w:val="0"/>
              <w:snapToGrid w:val="0"/>
              <w:spacing w:before="133" w:line="288" w:lineRule="auto"/>
              <w:ind w:left="5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作假行为的承诺</w:t>
            </w:r>
          </w:p>
        </w:tc>
        <w:tc>
          <w:tcPr>
            <w:tcW w:w="3107" w:type="dxa"/>
            <w:vAlign w:val="top"/>
          </w:tcPr>
          <w:p w14:paraId="0DE69FD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D8D72D4">
            <w:pPr>
              <w:keepNext w:val="0"/>
              <w:keepLines w:val="0"/>
              <w:pageBreakBefore w:val="0"/>
              <w:widowControl/>
              <w:kinsoku w:val="0"/>
              <w:wordWrap/>
              <w:overflowPunct/>
              <w:topLinePunct w:val="0"/>
              <w:autoSpaceDE w:val="0"/>
              <w:autoSpaceDN w:val="0"/>
              <w:bidi w:val="0"/>
              <w:adjustRightInd w:val="0"/>
              <w:snapToGrid w:val="0"/>
              <w:spacing w:before="65" w:line="288" w:lineRule="auto"/>
              <w:ind w:left="11"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我方合法正当、诚实守信地</w:t>
            </w:r>
            <w:r>
              <w:rPr>
                <w:rFonts w:hint="eastAsia" w:ascii="宋体" w:hAnsi="宋体" w:eastAsia="宋体" w:cs="宋体"/>
                <w:color w:val="auto"/>
                <w:spacing w:val="7"/>
                <w:sz w:val="24"/>
                <w:szCs w:val="24"/>
                <w:highlight w:val="none"/>
              </w:rPr>
              <w:t>参与投标，不组织、不参加围标串标违法行为，不通过弄虚作假</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6"/>
                <w:sz w:val="24"/>
                <w:szCs w:val="24"/>
                <w:highlight w:val="none"/>
              </w:rPr>
              <w:t>行为骗取中标。</w:t>
            </w:r>
          </w:p>
        </w:tc>
        <w:tc>
          <w:tcPr>
            <w:tcW w:w="4272" w:type="dxa"/>
            <w:vAlign w:val="top"/>
          </w:tcPr>
          <w:p w14:paraId="4589066B">
            <w:pPr>
              <w:keepNext w:val="0"/>
              <w:keepLines w:val="0"/>
              <w:pageBreakBefore w:val="0"/>
              <w:widowControl/>
              <w:kinsoku w:val="0"/>
              <w:wordWrap/>
              <w:overflowPunct/>
              <w:topLinePunct w:val="0"/>
              <w:autoSpaceDE w:val="0"/>
              <w:autoSpaceDN w:val="0"/>
              <w:bidi w:val="0"/>
              <w:adjustRightInd w:val="0"/>
              <w:snapToGrid w:val="0"/>
              <w:spacing w:before="129" w:line="288" w:lineRule="auto"/>
              <w:ind w:left="13" w:right="4"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rFonts w:hint="eastAsia" w:ascii="宋体" w:hAnsi="宋体" w:eastAsia="宋体" w:cs="宋体"/>
                <w:color w:val="auto"/>
                <w:spacing w:val="7"/>
                <w:sz w:val="24"/>
                <w:szCs w:val="24"/>
                <w:highlight w:val="none"/>
              </w:rPr>
              <w:t>引起的一切法律后果。</w:t>
            </w:r>
          </w:p>
        </w:tc>
      </w:tr>
      <w:tr w14:paraId="312D6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3871518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7D55AC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616539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45AC1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089FA48">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43D837">
            <w:pPr>
              <w:keepNext w:val="0"/>
              <w:keepLines w:val="0"/>
              <w:pageBreakBefore w:val="0"/>
              <w:widowControl/>
              <w:kinsoku w:val="0"/>
              <w:wordWrap/>
              <w:overflowPunct/>
              <w:topLinePunct w:val="0"/>
              <w:autoSpaceDE w:val="0"/>
              <w:autoSpaceDN w:val="0"/>
              <w:bidi w:val="0"/>
              <w:adjustRightInd w:val="0"/>
              <w:snapToGrid w:val="0"/>
              <w:spacing w:before="58" w:line="288" w:lineRule="auto"/>
              <w:ind w:left="30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675" w:type="dxa"/>
            <w:vAlign w:val="top"/>
          </w:tcPr>
          <w:p w14:paraId="6278EE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625588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9D7BD82">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1D658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C7A4BF8">
            <w:pPr>
              <w:keepNext w:val="0"/>
              <w:keepLines w:val="0"/>
              <w:pageBreakBefore w:val="0"/>
              <w:widowControl/>
              <w:kinsoku w:val="0"/>
              <w:wordWrap/>
              <w:overflowPunct/>
              <w:topLinePunct w:val="0"/>
              <w:autoSpaceDE w:val="0"/>
              <w:autoSpaceDN w:val="0"/>
              <w:bidi w:val="0"/>
              <w:adjustRightInd w:val="0"/>
              <w:snapToGrid w:val="0"/>
              <w:spacing w:before="65" w:line="288" w:lineRule="auto"/>
              <w:ind w:left="369" w:right="367" w:firstLine="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r>
              <w:rPr>
                <w:rFonts w:hint="eastAsia" w:ascii="宋体" w:hAnsi="宋体" w:eastAsia="宋体" w:cs="宋体"/>
                <w:color w:val="auto"/>
                <w:spacing w:val="7"/>
                <w:sz w:val="24"/>
                <w:szCs w:val="24"/>
                <w:highlight w:val="none"/>
              </w:rPr>
              <w:t>任职承诺</w:t>
            </w:r>
          </w:p>
        </w:tc>
        <w:tc>
          <w:tcPr>
            <w:tcW w:w="3107" w:type="dxa"/>
            <w:vAlign w:val="top"/>
          </w:tcPr>
          <w:p w14:paraId="012273A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115F3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5A6B417">
            <w:pPr>
              <w:keepNext w:val="0"/>
              <w:keepLines w:val="0"/>
              <w:pageBreakBefore w:val="0"/>
              <w:widowControl/>
              <w:kinsoku w:val="0"/>
              <w:wordWrap/>
              <w:overflowPunct/>
              <w:topLinePunct w:val="0"/>
              <w:autoSpaceDE w:val="0"/>
              <w:autoSpaceDN w:val="0"/>
              <w:bidi w:val="0"/>
              <w:adjustRightInd w:val="0"/>
              <w:snapToGrid w:val="0"/>
              <w:spacing w:before="65" w:line="288" w:lineRule="auto"/>
              <w:ind w:left="9"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我方拟派项目经理现阶段</w:t>
            </w:r>
            <w:r>
              <w:rPr>
                <w:rFonts w:hint="eastAsia" w:ascii="宋体" w:hAnsi="宋体" w:eastAsia="宋体" w:cs="宋体"/>
                <w:color w:val="auto"/>
                <w:spacing w:val="7"/>
                <w:sz w:val="24"/>
                <w:szCs w:val="24"/>
                <w:highlight w:val="none"/>
              </w:rPr>
              <w:t>没有担任任何在施（包括已中标</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未开工、已开工未竣工）建设工</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7"/>
                <w:sz w:val="24"/>
                <w:szCs w:val="24"/>
                <w:highlight w:val="none"/>
              </w:rPr>
              <w:t>程项目的项目经理。</w:t>
            </w:r>
          </w:p>
        </w:tc>
        <w:tc>
          <w:tcPr>
            <w:tcW w:w="4272" w:type="dxa"/>
            <w:vAlign w:val="top"/>
          </w:tcPr>
          <w:p w14:paraId="39F4F1E7">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如果我方拟派项目经理在本项目招标投</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标活动期间有担任其他任何在施（包括已中标未开工、已开工未竣工）建设工程项目的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项目经理，我方接受招标人或其授权的招标</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7"/>
                <w:sz w:val="24"/>
                <w:szCs w:val="24"/>
                <w:highlight w:val="none"/>
              </w:rPr>
              <w:t>代理机构或其组建的评标委员会依据招标文件作出的相应处理以及有关监督部门作出的</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z w:val="24"/>
                <w:szCs w:val="24"/>
                <w:highlight w:val="none"/>
              </w:rPr>
              <w:t>行政处罚，并承担由此引起的一切法律后果。</w:t>
            </w:r>
          </w:p>
        </w:tc>
      </w:tr>
      <w:tr w14:paraId="6CEEE5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7A0D4B7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C74BAB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2E61580">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4"/>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675" w:type="dxa"/>
            <w:vAlign w:val="top"/>
          </w:tcPr>
          <w:p w14:paraId="349DADD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0BB8079">
            <w:pPr>
              <w:keepNext w:val="0"/>
              <w:keepLines w:val="0"/>
              <w:pageBreakBefore w:val="0"/>
              <w:widowControl/>
              <w:kinsoku w:val="0"/>
              <w:wordWrap/>
              <w:overflowPunct/>
              <w:topLinePunct w:val="0"/>
              <w:autoSpaceDE w:val="0"/>
              <w:autoSpaceDN w:val="0"/>
              <w:bidi w:val="0"/>
              <w:adjustRightInd w:val="0"/>
              <w:snapToGrid w:val="0"/>
              <w:spacing w:before="65" w:line="288" w:lineRule="auto"/>
              <w:ind w:left="267" w:right="261" w:firstLine="105"/>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真实性承诺</w:t>
            </w:r>
          </w:p>
        </w:tc>
        <w:tc>
          <w:tcPr>
            <w:tcW w:w="3107" w:type="dxa"/>
            <w:vAlign w:val="top"/>
          </w:tcPr>
          <w:p w14:paraId="48826E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0163C62">
            <w:pPr>
              <w:keepNext w:val="0"/>
              <w:keepLines w:val="0"/>
              <w:pageBreakBefore w:val="0"/>
              <w:widowControl/>
              <w:kinsoku w:val="0"/>
              <w:wordWrap/>
              <w:overflowPunct/>
              <w:topLinePunct w:val="0"/>
              <w:autoSpaceDE w:val="0"/>
              <w:autoSpaceDN w:val="0"/>
              <w:bidi w:val="0"/>
              <w:adjustRightInd w:val="0"/>
              <w:snapToGrid w:val="0"/>
              <w:spacing w:before="65" w:line="288" w:lineRule="auto"/>
              <w:ind w:left="12" w:firstLine="409"/>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20"/>
                <w:sz w:val="24"/>
                <w:szCs w:val="24"/>
                <w:highlight w:val="none"/>
              </w:rPr>
              <w:t>我方所递交投标文件的全</w:t>
            </w:r>
            <w:r>
              <w:rPr>
                <w:rFonts w:hint="eastAsia" w:ascii="宋体" w:hAnsi="宋体" w:eastAsia="宋体" w:cs="宋体"/>
                <w:color w:val="auto"/>
                <w:spacing w:val="-7"/>
                <w:sz w:val="24"/>
                <w:szCs w:val="24"/>
                <w:highlight w:val="none"/>
              </w:rPr>
              <w:t>部内容均为真实、有效、准确的。</w:t>
            </w:r>
          </w:p>
        </w:tc>
        <w:tc>
          <w:tcPr>
            <w:tcW w:w="4272" w:type="dxa"/>
            <w:vAlign w:val="top"/>
          </w:tcPr>
          <w:p w14:paraId="1583D5E0">
            <w:pPr>
              <w:keepNext w:val="0"/>
              <w:keepLines w:val="0"/>
              <w:pageBreakBefore w:val="0"/>
              <w:widowControl/>
              <w:kinsoku w:val="0"/>
              <w:wordWrap/>
              <w:overflowPunct/>
              <w:topLinePunct w:val="0"/>
              <w:autoSpaceDE w:val="0"/>
              <w:autoSpaceDN w:val="0"/>
              <w:bidi w:val="0"/>
              <w:adjustRightInd w:val="0"/>
              <w:snapToGrid w:val="0"/>
              <w:spacing w:before="127" w:line="288" w:lineRule="auto"/>
              <w:ind w:left="11" w:firstLine="417"/>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如果我方递交的投标文件任何内容不真实或无效或不准确，我方接受招标人或其授权的招标代理机构或其组建的评标委员会依</w:t>
            </w:r>
            <w:r>
              <w:rPr>
                <w:rFonts w:hint="eastAsia" w:ascii="宋体" w:hAnsi="宋体" w:eastAsia="宋体" w:cs="宋体"/>
                <w:color w:val="auto"/>
                <w:sz w:val="24"/>
                <w:szCs w:val="24"/>
                <w:highlight w:val="none"/>
              </w:rPr>
              <w:t>据招标文件作出的相应处理，包括否决投标。</w:t>
            </w:r>
          </w:p>
        </w:tc>
      </w:tr>
      <w:tr w14:paraId="5859D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4" w:hRule="atLeast"/>
        </w:trPr>
        <w:tc>
          <w:tcPr>
            <w:tcW w:w="764" w:type="dxa"/>
            <w:vAlign w:val="top"/>
          </w:tcPr>
          <w:p w14:paraId="2E9A7FD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19FAAF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E319FF4">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3"/>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p w14:paraId="6D236227">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drawing>
                <wp:anchor distT="0" distB="0" distL="114300" distR="114300" simplePos="0" relativeHeight="251662336" behindDoc="1" locked="0" layoutInCell="0" allowOverlap="1">
                  <wp:simplePos x="0" y="0"/>
                  <wp:positionH relativeFrom="page">
                    <wp:posOffset>3902075</wp:posOffset>
                  </wp:positionH>
                  <wp:positionV relativeFrom="page">
                    <wp:posOffset>2252345</wp:posOffset>
                  </wp:positionV>
                  <wp:extent cx="6350" cy="241300"/>
                  <wp:effectExtent l="0" t="0" r="0" b="0"/>
                  <wp:wrapNone/>
                  <wp:docPr id="16" name="IM 120"/>
                  <wp:cNvGraphicFramePr/>
                  <a:graphic xmlns:a="http://schemas.openxmlformats.org/drawingml/2006/main">
                    <a:graphicData uri="http://schemas.openxmlformats.org/drawingml/2006/picture">
                      <pic:pic xmlns:pic="http://schemas.openxmlformats.org/drawingml/2006/picture">
                        <pic:nvPicPr>
                          <pic:cNvPr id="16" name="IM 120"/>
                          <pic:cNvPicPr/>
                        </pic:nvPicPr>
                        <pic:blipFill>
                          <a:blip r:embed="rId53"/>
                          <a:stretch>
                            <a:fillRect/>
                          </a:stretch>
                        </pic:blipFill>
                        <pic:spPr>
                          <a:xfrm>
                            <a:off x="0" y="0"/>
                            <a:ext cx="6350" cy="241300"/>
                          </a:xfrm>
                          <a:prstGeom prst="rect">
                            <a:avLst/>
                          </a:prstGeom>
                          <a:noFill/>
                          <a:ln>
                            <a:noFill/>
                          </a:ln>
                        </pic:spPr>
                      </pic:pic>
                    </a:graphicData>
                  </a:graphic>
                </wp:anchor>
              </w:drawing>
            </w:r>
          </w:p>
        </w:tc>
        <w:tc>
          <w:tcPr>
            <w:tcW w:w="1675" w:type="dxa"/>
            <w:vAlign w:val="top"/>
          </w:tcPr>
          <w:p w14:paraId="29EF015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793775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投标文件</w:t>
            </w:r>
          </w:p>
          <w:p w14:paraId="20B01D17">
            <w:pPr>
              <w:keepNext w:val="0"/>
              <w:keepLines w:val="0"/>
              <w:pageBreakBefore w:val="0"/>
              <w:widowControl/>
              <w:kinsoku w:val="0"/>
              <w:wordWrap/>
              <w:overflowPunct/>
              <w:topLinePunct w:val="0"/>
              <w:autoSpaceDE w:val="0"/>
              <w:autoSpaceDN w:val="0"/>
              <w:bidi w:val="0"/>
              <w:adjustRightInd w:val="0"/>
              <w:snapToGrid w:val="0"/>
              <w:spacing w:line="288" w:lineRule="auto"/>
              <w:ind w:left="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信息公开承诺</w:t>
            </w:r>
          </w:p>
        </w:tc>
        <w:tc>
          <w:tcPr>
            <w:tcW w:w="3107" w:type="dxa"/>
            <w:vAlign w:val="top"/>
          </w:tcPr>
          <w:p w14:paraId="6794C05C">
            <w:pPr>
              <w:keepNext w:val="0"/>
              <w:keepLines w:val="0"/>
              <w:pageBreakBefore w:val="0"/>
              <w:widowControl/>
              <w:kinsoku w:val="0"/>
              <w:wordWrap/>
              <w:overflowPunct/>
              <w:topLinePunct w:val="0"/>
              <w:autoSpaceDE w:val="0"/>
              <w:autoSpaceDN w:val="0"/>
              <w:bidi w:val="0"/>
              <w:adjustRightInd w:val="0"/>
              <w:snapToGrid w:val="0"/>
              <w:spacing w:before="130" w:line="288" w:lineRule="auto"/>
              <w:ind w:left="10" w:right="2" w:firstLine="42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我方提供完整的文件。如果</w:t>
            </w:r>
            <w:r>
              <w:rPr>
                <w:rFonts w:hint="eastAsia" w:ascii="宋体" w:hAnsi="宋体" w:eastAsia="宋体" w:cs="宋体"/>
                <w:color w:val="auto"/>
                <w:spacing w:val="7"/>
                <w:sz w:val="24"/>
                <w:szCs w:val="24"/>
                <w:highlight w:val="none"/>
              </w:rPr>
              <w:t>我方成为本项目中标候选人，我</w:t>
            </w:r>
            <w:r>
              <w:rPr>
                <w:rFonts w:hint="eastAsia" w:ascii="宋体" w:hAnsi="宋体" w:eastAsia="宋体" w:cs="宋体"/>
                <w:color w:val="auto"/>
                <w:spacing w:val="23"/>
                <w:sz w:val="24"/>
                <w:szCs w:val="24"/>
                <w:highlight w:val="none"/>
              </w:rPr>
              <w:t>方同意并授权招标人在评标结果公示期内公开我方商务标书</w:t>
            </w:r>
            <w:r>
              <w:rPr>
                <w:rFonts w:hint="eastAsia" w:ascii="宋体" w:hAnsi="宋体" w:eastAsia="宋体" w:cs="宋体"/>
                <w:color w:val="auto"/>
                <w:spacing w:val="3"/>
                <w:sz w:val="24"/>
                <w:szCs w:val="24"/>
                <w:highlight w:val="none"/>
              </w:rPr>
              <w:t>的全部内容。</w:t>
            </w:r>
          </w:p>
        </w:tc>
        <w:tc>
          <w:tcPr>
            <w:tcW w:w="4272" w:type="dxa"/>
            <w:vAlign w:val="top"/>
          </w:tcPr>
          <w:p w14:paraId="2FBE142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19050</wp:posOffset>
                      </wp:positionV>
                      <wp:extent cx="2698750" cy="1539875"/>
                      <wp:effectExtent l="3175" t="5715" r="3175" b="16510"/>
                      <wp:wrapNone/>
                      <wp:docPr id="23" name="直接连接符 23"/>
                      <wp:cNvGraphicFramePr/>
                      <a:graphic xmlns:a="http://schemas.openxmlformats.org/drawingml/2006/main">
                        <a:graphicData uri="http://schemas.microsoft.com/office/word/2010/wordprocessingShape">
                          <wps:wsp>
                            <wps:cNvCnPr/>
                            <wps:spPr>
                              <a:xfrm flipV="1">
                                <a:off x="4209415" y="1651000"/>
                                <a:ext cx="2698750" cy="1539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05pt;margin-top:1.5pt;height:121.25pt;width:212.5pt;z-index:251660288;mso-width-relative:page;mso-height-relative:page;" filled="f" stroked="t" coordsize="21600,21600" o:gfxdata="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lqIdPdQAAAAHAQAADwAAAAAAAAABACAAAAAiAAAAZHJzL2Rvd25y&#10;ZXYueG1sUEsBAhQAFAAAAAgAh07iQNS38qICAgAA0AMAAA4AAAAAAAAAAQAgAAAAIwEAAGRycy9l&#10;Mm9Eb2MueG1sUEsFBgAAAAAGAAYAWQEAAJcFAAAAAA==&#10;">
                      <v:fill on="f" focussize="0,0"/>
                      <v:stroke weight="1pt" color="#4874CB [3204]" miterlimit="8" joinstyle="miter"/>
                      <v:imagedata o:title=""/>
                      <o:lock v:ext="edit" aspectratio="f"/>
                    </v:line>
                  </w:pict>
                </mc:Fallback>
              </mc:AlternateContent>
            </w:r>
          </w:p>
          <w:p w14:paraId="73473C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2D77463">
            <w:pPr>
              <w:keepNext w:val="0"/>
              <w:keepLines w:val="0"/>
              <w:pageBreakBefore w:val="0"/>
              <w:widowControl/>
              <w:kinsoku w:val="0"/>
              <w:wordWrap/>
              <w:overflowPunct/>
              <w:topLinePunct w:val="0"/>
              <w:autoSpaceDE w:val="0"/>
              <w:autoSpaceDN w:val="0"/>
              <w:bidi w:val="0"/>
              <w:adjustRightInd w:val="0"/>
              <w:snapToGrid w:val="0"/>
              <w:spacing w:before="58" w:line="288" w:lineRule="auto"/>
              <w:ind w:left="1979"/>
              <w:textAlignment w:val="baseline"/>
              <w:rPr>
                <w:rFonts w:hint="eastAsia" w:ascii="宋体" w:hAnsi="宋体" w:eastAsia="宋体" w:cs="宋体"/>
                <w:color w:val="auto"/>
                <w:sz w:val="24"/>
                <w:szCs w:val="24"/>
                <w:highlight w:val="none"/>
              </w:rPr>
            </w:pPr>
          </w:p>
        </w:tc>
      </w:tr>
      <w:tr w14:paraId="7EA8D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6" w:hRule="atLeast"/>
        </w:trPr>
        <w:tc>
          <w:tcPr>
            <w:tcW w:w="764" w:type="dxa"/>
            <w:vAlign w:val="top"/>
          </w:tcPr>
          <w:p w14:paraId="443BB7F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F58368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890160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EC89A79">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F010AA9">
            <w:pPr>
              <w:keepNext w:val="0"/>
              <w:keepLines w:val="0"/>
              <w:pageBreakBefore w:val="0"/>
              <w:widowControl/>
              <w:kinsoku w:val="0"/>
              <w:wordWrap/>
              <w:overflowPunct/>
              <w:topLinePunct w:val="0"/>
              <w:autoSpaceDE w:val="0"/>
              <w:autoSpaceDN w:val="0"/>
              <w:bidi w:val="0"/>
              <w:adjustRightInd w:val="0"/>
              <w:snapToGrid w:val="0"/>
              <w:spacing w:before="57"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675" w:type="dxa"/>
            <w:vAlign w:val="top"/>
          </w:tcPr>
          <w:p w14:paraId="10987C8F">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9332366">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2B67BD4">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06743F6A">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对不正常报价</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4"/>
                <w:sz w:val="24"/>
                <w:szCs w:val="24"/>
                <w:highlight w:val="none"/>
              </w:rPr>
              <w:t>的确认承诺</w:t>
            </w:r>
          </w:p>
        </w:tc>
        <w:tc>
          <w:tcPr>
            <w:tcW w:w="3107" w:type="dxa"/>
            <w:vAlign w:val="top"/>
          </w:tcPr>
          <w:p w14:paraId="6339079D">
            <w:pPr>
              <w:keepNext w:val="0"/>
              <w:keepLines w:val="0"/>
              <w:pageBreakBefore w:val="0"/>
              <w:widowControl/>
              <w:kinsoku w:val="0"/>
              <w:wordWrap/>
              <w:overflowPunct/>
              <w:topLinePunct w:val="0"/>
              <w:autoSpaceDE w:val="0"/>
              <w:autoSpaceDN w:val="0"/>
              <w:bidi w:val="0"/>
              <w:adjustRightInd w:val="0"/>
              <w:snapToGrid w:val="0"/>
              <w:spacing w:before="121" w:line="288" w:lineRule="auto"/>
              <w:ind w:left="10" w:right="2"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如果我方中标，我方接受招</w:t>
            </w:r>
            <w:r>
              <w:rPr>
                <w:rFonts w:hint="eastAsia" w:ascii="宋体" w:hAnsi="宋体" w:eastAsia="宋体" w:cs="宋体"/>
                <w:color w:val="auto"/>
                <w:spacing w:val="23"/>
                <w:sz w:val="24"/>
                <w:szCs w:val="24"/>
                <w:highlight w:val="none"/>
              </w:rPr>
              <w:t>标人在合同订立期间依据招标文件有关条款约定对我方已标价工程量清单中不正常报价的</w:t>
            </w:r>
            <w:r>
              <w:rPr>
                <w:rFonts w:hint="eastAsia" w:ascii="宋体" w:hAnsi="宋体" w:eastAsia="宋体" w:cs="宋体"/>
                <w:color w:val="auto"/>
                <w:spacing w:val="7"/>
                <w:sz w:val="24"/>
                <w:szCs w:val="24"/>
                <w:highlight w:val="none"/>
              </w:rPr>
              <w:t>修正或认定，并按要求签署《不</w:t>
            </w:r>
            <w:r>
              <w:rPr>
                <w:rFonts w:hint="eastAsia" w:ascii="宋体" w:hAnsi="宋体" w:eastAsia="宋体" w:cs="宋体"/>
                <w:color w:val="auto"/>
                <w:spacing w:val="8"/>
                <w:sz w:val="24"/>
                <w:szCs w:val="24"/>
                <w:highlight w:val="none"/>
              </w:rPr>
              <w:t>正常报价清单》加以确认。</w:t>
            </w:r>
          </w:p>
        </w:tc>
        <w:tc>
          <w:tcPr>
            <w:tcW w:w="4272" w:type="dxa"/>
            <w:vAlign w:val="top"/>
          </w:tcPr>
          <w:p w14:paraId="2AC2D7A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r>
              <w:rPr>
                <w:color w:val="auto"/>
                <w:sz w:val="24"/>
                <w:highlight w:val="none"/>
              </w:rPr>
              <mc:AlternateContent>
                <mc:Choice Requires="wps">
                  <w:drawing>
                    <wp:anchor distT="0" distB="0" distL="114300" distR="114300" simplePos="0" relativeHeight="251661312" behindDoc="0" locked="0" layoutInCell="1" allowOverlap="1">
                      <wp:simplePos x="0" y="0"/>
                      <wp:positionH relativeFrom="column">
                        <wp:posOffset>7620</wp:posOffset>
                      </wp:positionH>
                      <wp:positionV relativeFrom="paragraph">
                        <wp:posOffset>26035</wp:posOffset>
                      </wp:positionV>
                      <wp:extent cx="2706370" cy="1920875"/>
                      <wp:effectExtent l="3810" t="5080" r="13970" b="17145"/>
                      <wp:wrapNone/>
                      <wp:docPr id="24" name="直接连接符 24"/>
                      <wp:cNvGraphicFramePr/>
                      <a:graphic xmlns:a="http://schemas.openxmlformats.org/drawingml/2006/main">
                        <a:graphicData uri="http://schemas.microsoft.com/office/word/2010/wordprocessingShape">
                          <wps:wsp>
                            <wps:cNvCnPr/>
                            <wps:spPr>
                              <a:xfrm flipV="1">
                                <a:off x="4217670" y="3238500"/>
                                <a:ext cx="2706370" cy="1920875"/>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6pt;margin-top:2.05pt;height:151.25pt;width:213.1pt;z-index:251661312;mso-width-relative:page;mso-height-relative:page;" filled="f" stroked="t" coordsize="21600,21600" o:gfxdata="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7HjHtdIAAAAHAQAADwAAAAAAAAABACAAAAAiAAAAZHJzL2Rvd25y&#10;ZXYueG1sUEsBAhQAFAAAAAgAh07iQBDx3nQEAgAA0AMAAA4AAAAAAAAAAQAgAAAAIQEAAGRycy9l&#10;Mm9Eb2MueG1sUEsFBgAAAAAGAAYAWQEAAJcFAAAAAA==&#10;">
                      <v:fill on="f" focussize="0,0"/>
                      <v:stroke weight="1pt" color="#4874CB [3204]" miterlimit="8" joinstyle="miter"/>
                      <v:imagedata o:title=""/>
                      <o:lock v:ext="edit" aspectratio="f"/>
                    </v:line>
                  </w:pict>
                </mc:Fallback>
              </mc:AlternateContent>
            </w:r>
          </w:p>
          <w:p w14:paraId="7C9BB7EC">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1A5536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E45103F">
            <w:pPr>
              <w:keepNext w:val="0"/>
              <w:keepLines w:val="0"/>
              <w:pageBreakBefore w:val="0"/>
              <w:widowControl/>
              <w:kinsoku w:val="0"/>
              <w:wordWrap/>
              <w:overflowPunct/>
              <w:topLinePunct w:val="0"/>
              <w:autoSpaceDE w:val="0"/>
              <w:autoSpaceDN w:val="0"/>
              <w:bidi w:val="0"/>
              <w:adjustRightInd w:val="0"/>
              <w:snapToGrid w:val="0"/>
              <w:spacing w:before="57" w:line="288" w:lineRule="auto"/>
              <w:ind w:left="1979"/>
              <w:textAlignment w:val="baseline"/>
              <w:rPr>
                <w:rFonts w:hint="eastAsia" w:ascii="宋体" w:hAnsi="宋体" w:eastAsia="宋体" w:cs="宋体"/>
                <w:color w:val="auto"/>
                <w:sz w:val="24"/>
                <w:szCs w:val="24"/>
                <w:highlight w:val="none"/>
              </w:rPr>
            </w:pPr>
          </w:p>
        </w:tc>
      </w:tr>
      <w:tr w14:paraId="181CB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2565A70D">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474C16A">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3705BF3F">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2D5C170A">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7"/>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1675" w:type="dxa"/>
            <w:vAlign w:val="top"/>
          </w:tcPr>
          <w:p w14:paraId="4EE17AC8">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3BB363F9">
            <w:pPr>
              <w:pStyle w:val="21"/>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p>
          <w:p w14:paraId="4D741FFC">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按时提交履约</w:t>
            </w:r>
            <w:r>
              <w:rPr>
                <w:rFonts w:hint="eastAsia" w:ascii="宋体" w:hAnsi="宋体" w:eastAsia="宋体" w:cs="宋体"/>
                <w:color w:val="auto"/>
                <w:spacing w:val="4"/>
                <w:sz w:val="24"/>
                <w:szCs w:val="24"/>
                <w:highlight w:val="none"/>
              </w:rPr>
              <w:t xml:space="preserve"> </w:t>
            </w:r>
            <w:r>
              <w:rPr>
                <w:rFonts w:hint="eastAsia" w:ascii="宋体" w:hAnsi="宋体" w:eastAsia="宋体" w:cs="宋体"/>
                <w:color w:val="auto"/>
                <w:spacing w:val="7"/>
                <w:sz w:val="24"/>
                <w:szCs w:val="24"/>
                <w:highlight w:val="none"/>
              </w:rPr>
              <w:t>保证的承诺</w:t>
            </w:r>
          </w:p>
        </w:tc>
        <w:tc>
          <w:tcPr>
            <w:tcW w:w="3107" w:type="dxa"/>
            <w:vAlign w:val="top"/>
          </w:tcPr>
          <w:p w14:paraId="2F2EF5F6">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DF103BD">
            <w:pPr>
              <w:keepNext w:val="0"/>
              <w:keepLines w:val="0"/>
              <w:pageBreakBefore w:val="0"/>
              <w:widowControl/>
              <w:kinsoku w:val="0"/>
              <w:wordWrap/>
              <w:overflowPunct/>
              <w:topLinePunct w:val="0"/>
              <w:autoSpaceDE w:val="0"/>
              <w:autoSpaceDN w:val="0"/>
              <w:bidi w:val="0"/>
              <w:adjustRightInd w:val="0"/>
              <w:snapToGrid w:val="0"/>
              <w:spacing w:line="288" w:lineRule="auto"/>
              <w:ind w:left="11"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招标文件规定的时限内全额提</w:t>
            </w:r>
            <w:r>
              <w:rPr>
                <w:rFonts w:hint="eastAsia" w:ascii="宋体" w:hAnsi="宋体" w:eastAsia="宋体" w:cs="宋体"/>
                <w:color w:val="auto"/>
                <w:spacing w:val="6"/>
                <w:sz w:val="24"/>
                <w:szCs w:val="24"/>
                <w:highlight w:val="none"/>
              </w:rPr>
              <w:t>交履约保证。</w:t>
            </w:r>
          </w:p>
        </w:tc>
        <w:tc>
          <w:tcPr>
            <w:tcW w:w="4272" w:type="dxa"/>
            <w:vAlign w:val="top"/>
          </w:tcPr>
          <w:p w14:paraId="20F3BAEB">
            <w:pPr>
              <w:keepNext w:val="0"/>
              <w:keepLines w:val="0"/>
              <w:pageBreakBefore w:val="0"/>
              <w:widowControl/>
              <w:kinsoku w:val="0"/>
              <w:wordWrap/>
              <w:overflowPunct/>
              <w:topLinePunct w:val="0"/>
              <w:autoSpaceDE w:val="0"/>
              <w:autoSpaceDN w:val="0"/>
              <w:bidi w:val="0"/>
              <w:adjustRightInd w:val="0"/>
              <w:snapToGrid w:val="0"/>
              <w:spacing w:before="128" w:line="288" w:lineRule="auto"/>
              <w:ind w:left="12" w:right="23" w:firstLine="42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如果我方未在招标文件规定的时限内全</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9"/>
                <w:sz w:val="24"/>
                <w:szCs w:val="24"/>
                <w:highlight w:val="none"/>
              </w:rPr>
              <w:t>额提交履约保证，我方接受招标人依据招标文件作出的相应处理以及有关监督部门作出的行政处罚，并承担由此引起的一切法律后</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果。</w:t>
            </w:r>
          </w:p>
        </w:tc>
      </w:tr>
      <w:tr w14:paraId="6E5D5A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 w:hRule="atLeast"/>
        </w:trPr>
        <w:tc>
          <w:tcPr>
            <w:tcW w:w="764" w:type="dxa"/>
            <w:vAlign w:val="top"/>
          </w:tcPr>
          <w:p w14:paraId="104B7305">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0C02A7C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B620D0E">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44F4C3A4">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1E8D2FFB">
            <w:pPr>
              <w:keepNext w:val="0"/>
              <w:keepLines w:val="0"/>
              <w:pageBreakBefore w:val="0"/>
              <w:widowControl/>
              <w:kinsoku w:val="0"/>
              <w:wordWrap/>
              <w:overflowPunct/>
              <w:topLinePunct w:val="0"/>
              <w:autoSpaceDE w:val="0"/>
              <w:autoSpaceDN w:val="0"/>
              <w:bidi w:val="0"/>
              <w:adjustRightInd w:val="0"/>
              <w:snapToGrid w:val="0"/>
              <w:spacing w:before="58" w:line="288" w:lineRule="auto"/>
              <w:ind w:left="312"/>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1675" w:type="dxa"/>
            <w:vAlign w:val="top"/>
          </w:tcPr>
          <w:p w14:paraId="3984E433">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D7846EB">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700D32F0">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59127F03">
            <w:pPr>
              <w:keepNext w:val="0"/>
              <w:keepLines w:val="0"/>
              <w:pageBreakBefore w:val="0"/>
              <w:widowControl/>
              <w:kinsoku w:val="0"/>
              <w:wordWrap/>
              <w:overflowPunct/>
              <w:topLinePunct w:val="0"/>
              <w:autoSpaceDE w:val="0"/>
              <w:autoSpaceDN w:val="0"/>
              <w:bidi w:val="0"/>
              <w:adjustRightInd w:val="0"/>
              <w:snapToGrid w:val="0"/>
              <w:spacing w:line="288" w:lineRule="auto"/>
              <w:ind w:left="0" w:right="0" w:firstLine="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按时签订合同</w:t>
            </w:r>
            <w:r>
              <w:rPr>
                <w:rFonts w:hint="eastAsia" w:ascii="宋体" w:hAnsi="宋体" w:eastAsia="宋体" w:cs="宋体"/>
                <w:color w:val="auto"/>
                <w:spacing w:val="1"/>
                <w:sz w:val="24"/>
                <w:szCs w:val="24"/>
                <w:highlight w:val="none"/>
              </w:rPr>
              <w:t>的承诺</w:t>
            </w:r>
          </w:p>
        </w:tc>
        <w:tc>
          <w:tcPr>
            <w:tcW w:w="3107" w:type="dxa"/>
            <w:vAlign w:val="top"/>
          </w:tcPr>
          <w:p w14:paraId="45DF0271">
            <w:pPr>
              <w:pStyle w:val="21"/>
              <w:keepNext w:val="0"/>
              <w:keepLines w:val="0"/>
              <w:pageBreakBefore w:val="0"/>
              <w:widowControl/>
              <w:kinsoku w:val="0"/>
              <w:wordWrap/>
              <w:overflowPunct/>
              <w:topLinePunct w:val="0"/>
              <w:autoSpaceDE w:val="0"/>
              <w:autoSpaceDN w:val="0"/>
              <w:bidi w:val="0"/>
              <w:adjustRightInd w:val="0"/>
              <w:snapToGrid w:val="0"/>
              <w:spacing w:line="288" w:lineRule="auto"/>
              <w:textAlignment w:val="baseline"/>
              <w:rPr>
                <w:rFonts w:hint="eastAsia" w:ascii="宋体" w:hAnsi="宋体" w:eastAsia="宋体" w:cs="宋体"/>
                <w:color w:val="auto"/>
                <w:sz w:val="24"/>
                <w:szCs w:val="24"/>
                <w:highlight w:val="none"/>
              </w:rPr>
            </w:pPr>
          </w:p>
          <w:p w14:paraId="60E5BA5A">
            <w:pPr>
              <w:keepNext w:val="0"/>
              <w:keepLines w:val="0"/>
              <w:pageBreakBefore w:val="0"/>
              <w:widowControl/>
              <w:kinsoku w:val="0"/>
              <w:wordWrap/>
              <w:overflowPunct/>
              <w:topLinePunct w:val="0"/>
              <w:autoSpaceDE w:val="0"/>
              <w:autoSpaceDN w:val="0"/>
              <w:bidi w:val="0"/>
              <w:adjustRightInd w:val="0"/>
              <w:snapToGrid w:val="0"/>
              <w:spacing w:before="65" w:line="288" w:lineRule="auto"/>
              <w:ind w:left="10" w:right="2"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如果我方中标，我方保证在</w:t>
            </w:r>
            <w:r>
              <w:rPr>
                <w:rFonts w:hint="eastAsia" w:ascii="宋体" w:hAnsi="宋体" w:eastAsia="宋体" w:cs="宋体"/>
                <w:color w:val="auto"/>
                <w:spacing w:val="23"/>
                <w:sz w:val="24"/>
                <w:szCs w:val="24"/>
                <w:highlight w:val="none"/>
              </w:rPr>
              <w:t>招标文件规定的时限内与招标</w:t>
            </w:r>
            <w:r>
              <w:rPr>
                <w:rFonts w:hint="eastAsia" w:ascii="宋体" w:hAnsi="宋体" w:eastAsia="宋体" w:cs="宋体"/>
                <w:color w:val="auto"/>
                <w:spacing w:val="7"/>
                <w:sz w:val="24"/>
                <w:szCs w:val="24"/>
                <w:highlight w:val="none"/>
              </w:rPr>
              <w:t>人签订合同，不提出违背或超出</w:t>
            </w:r>
            <w:r>
              <w:rPr>
                <w:rFonts w:hint="eastAsia" w:ascii="宋体" w:hAnsi="宋体" w:eastAsia="宋体" w:cs="宋体"/>
                <w:color w:val="auto"/>
                <w:spacing w:val="8"/>
                <w:sz w:val="24"/>
                <w:szCs w:val="24"/>
                <w:highlight w:val="none"/>
              </w:rPr>
              <w:t>招标文件、中标文件的要求。</w:t>
            </w:r>
          </w:p>
        </w:tc>
        <w:tc>
          <w:tcPr>
            <w:tcW w:w="4272" w:type="dxa"/>
            <w:vAlign w:val="top"/>
          </w:tcPr>
          <w:p w14:paraId="193F81D5">
            <w:pPr>
              <w:keepNext w:val="0"/>
              <w:keepLines w:val="0"/>
              <w:pageBreakBefore w:val="0"/>
              <w:widowControl/>
              <w:kinsoku w:val="0"/>
              <w:wordWrap/>
              <w:overflowPunct/>
              <w:topLinePunct w:val="0"/>
              <w:autoSpaceDE w:val="0"/>
              <w:autoSpaceDN w:val="0"/>
              <w:bidi w:val="0"/>
              <w:adjustRightInd w:val="0"/>
              <w:snapToGrid w:val="0"/>
              <w:spacing w:before="126" w:line="288" w:lineRule="auto"/>
              <w:ind w:left="13" w:firstLine="415"/>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如果我方未在招标文件规定的时限内与招标人签订合同，或我方在签订合同过程中</w:t>
            </w:r>
            <w:r>
              <w:rPr>
                <w:rFonts w:hint="eastAsia" w:ascii="宋体" w:hAnsi="宋体" w:eastAsia="宋体" w:cs="宋体"/>
                <w:color w:val="auto"/>
                <w:sz w:val="24"/>
                <w:szCs w:val="24"/>
                <w:highlight w:val="none"/>
              </w:rPr>
              <w:t>提出违背或超出招标文件、中标文件的要求。</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7"/>
                <w:sz w:val="24"/>
                <w:szCs w:val="24"/>
                <w:highlight w:val="none"/>
              </w:rPr>
              <w:t>我方接受招标人依据招标文件作出的相应处</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7"/>
                <w:sz w:val="24"/>
                <w:szCs w:val="24"/>
                <w:highlight w:val="none"/>
              </w:rPr>
              <w:t>理以及有关监督部门作出的行政处罚，并承</w:t>
            </w:r>
            <w:r>
              <w:rPr>
                <w:rFonts w:hint="eastAsia" w:ascii="宋体" w:hAnsi="宋体" w:eastAsia="宋体" w:cs="宋体"/>
                <w:color w:val="auto"/>
                <w:spacing w:val="5"/>
                <w:sz w:val="24"/>
                <w:szCs w:val="24"/>
                <w:highlight w:val="none"/>
              </w:rPr>
              <w:t>担由此引起的一切法律后果。</w:t>
            </w:r>
          </w:p>
        </w:tc>
      </w:tr>
    </w:tbl>
    <w:p w14:paraId="74877834">
      <w:pPr>
        <w:spacing w:before="78" w:line="219" w:lineRule="auto"/>
        <w:ind w:firstLine="6832" w:firstLineChars="2800"/>
        <w:jc w:val="both"/>
        <w:rPr>
          <w:rFonts w:hint="eastAsia" w:ascii="宋体" w:hAnsi="宋体" w:eastAsia="宋体" w:cs="宋体"/>
          <w:color w:val="auto"/>
          <w:spacing w:val="2"/>
          <w:sz w:val="24"/>
          <w:szCs w:val="24"/>
          <w:highlight w:val="none"/>
        </w:rPr>
      </w:pPr>
    </w:p>
    <w:p w14:paraId="749799CD">
      <w:pPr>
        <w:spacing w:before="78" w:line="219" w:lineRule="auto"/>
        <w:ind w:firstLine="6832" w:firstLineChars="280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689D990C">
      <w:pPr>
        <w:pStyle w:val="5"/>
        <w:spacing w:line="297" w:lineRule="auto"/>
        <w:jc w:val="right"/>
        <w:rPr>
          <w:rFonts w:hint="eastAsia" w:ascii="宋体" w:hAnsi="宋体" w:eastAsia="宋体" w:cs="宋体"/>
          <w:color w:val="auto"/>
          <w:highlight w:val="none"/>
        </w:rPr>
      </w:pPr>
    </w:p>
    <w:p w14:paraId="17340BD8">
      <w:pPr>
        <w:spacing w:before="78" w:line="219" w:lineRule="auto"/>
        <w:ind w:left="4366"/>
        <w:jc w:val="right"/>
        <w:rPr>
          <w:rFonts w:hint="eastAsia" w:ascii="宋体" w:hAnsi="宋体" w:eastAsia="宋体" w:cs="宋体"/>
          <w:color w:val="auto"/>
          <w:spacing w:val="1"/>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59B90550">
      <w:pPr>
        <w:outlineLvl w:val="9"/>
        <w:rPr>
          <w:rFonts w:hint="eastAsia"/>
          <w:color w:val="auto"/>
          <w:highlight w:val="none"/>
        </w:rPr>
      </w:pPr>
    </w:p>
    <w:p w14:paraId="07DB3461">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A1F64DF">
      <w:pPr>
        <w:spacing w:line="220" w:lineRule="auto"/>
        <w:jc w:val="right"/>
        <w:rPr>
          <w:rFonts w:hint="eastAsia" w:ascii="宋体" w:hAnsi="宋体" w:eastAsia="宋体" w:cs="宋体"/>
          <w:color w:val="auto"/>
          <w:sz w:val="24"/>
          <w:szCs w:val="24"/>
          <w:highlight w:val="none"/>
        </w:rPr>
        <w:sectPr>
          <w:footerReference r:id="rId1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4BDCB018">
      <w:pPr>
        <w:spacing w:before="78" w:line="220" w:lineRule="auto"/>
        <w:outlineLvl w:val="2"/>
        <w:rPr>
          <w:rFonts w:hint="eastAsia" w:ascii="宋体" w:hAnsi="宋体" w:eastAsia="宋体" w:cs="宋体"/>
          <w:b/>
          <w:bCs/>
          <w:color w:val="auto"/>
          <w:spacing w:val="-4"/>
          <w:sz w:val="24"/>
          <w:szCs w:val="24"/>
          <w:highlight w:val="none"/>
        </w:rPr>
      </w:pPr>
      <w:bookmarkStart w:id="233" w:name="_Toc16537"/>
      <w:r>
        <w:rPr>
          <w:rFonts w:hint="eastAsia" w:ascii="宋体" w:hAnsi="宋体" w:eastAsia="宋体" w:cs="宋体"/>
          <w:b/>
          <w:bCs/>
          <w:color w:val="auto"/>
          <w:spacing w:val="-4"/>
          <w:sz w:val="24"/>
          <w:szCs w:val="24"/>
          <w:highlight w:val="none"/>
        </w:rPr>
        <w:t>格式四 授权委托书</w:t>
      </w:r>
      <w:bookmarkEnd w:id="233"/>
    </w:p>
    <w:p w14:paraId="6CD0F9BB">
      <w:pPr>
        <w:pStyle w:val="5"/>
        <w:spacing w:line="351" w:lineRule="auto"/>
        <w:rPr>
          <w:rFonts w:hint="eastAsia" w:ascii="宋体" w:hAnsi="宋体" w:eastAsia="宋体" w:cs="宋体"/>
          <w:color w:val="auto"/>
          <w:highlight w:val="none"/>
        </w:rPr>
      </w:pPr>
    </w:p>
    <w:p w14:paraId="18A875F0">
      <w:pPr>
        <w:pStyle w:val="5"/>
        <w:spacing w:line="351" w:lineRule="auto"/>
        <w:rPr>
          <w:rFonts w:hint="eastAsia" w:ascii="宋体" w:hAnsi="宋体" w:eastAsia="宋体" w:cs="宋体"/>
          <w:color w:val="auto"/>
          <w:highlight w:val="none"/>
        </w:rPr>
      </w:pPr>
    </w:p>
    <w:p w14:paraId="7EF079A3">
      <w:pPr>
        <w:spacing w:before="97" w:line="219" w:lineRule="auto"/>
        <w:ind w:left="3786"/>
        <w:rPr>
          <w:rFonts w:hint="eastAsia" w:ascii="宋体" w:hAnsi="宋体" w:eastAsia="宋体" w:cs="宋体"/>
          <w:color w:val="auto"/>
          <w:sz w:val="30"/>
          <w:szCs w:val="30"/>
          <w:highlight w:val="none"/>
        </w:rPr>
      </w:pPr>
      <w:bookmarkStart w:id="234" w:name="bookmark151"/>
      <w:bookmarkEnd w:id="234"/>
      <w:r>
        <w:rPr>
          <w:rFonts w:hint="eastAsia" w:ascii="宋体" w:hAnsi="宋体" w:eastAsia="宋体" w:cs="宋体"/>
          <w:b/>
          <w:bCs/>
          <w:color w:val="auto"/>
          <w:spacing w:val="-5"/>
          <w:sz w:val="30"/>
          <w:szCs w:val="30"/>
          <w:highlight w:val="none"/>
        </w:rPr>
        <w:t>授权委托书</w:t>
      </w:r>
    </w:p>
    <w:p w14:paraId="473B7E5C">
      <w:pPr>
        <w:pStyle w:val="5"/>
        <w:spacing w:line="250" w:lineRule="auto"/>
        <w:rPr>
          <w:rFonts w:hint="eastAsia" w:ascii="宋体" w:hAnsi="宋体" w:eastAsia="宋体" w:cs="宋体"/>
          <w:color w:val="auto"/>
          <w:highlight w:val="none"/>
        </w:rPr>
      </w:pPr>
    </w:p>
    <w:p w14:paraId="72DA4D73">
      <w:pPr>
        <w:pStyle w:val="5"/>
        <w:spacing w:line="250" w:lineRule="auto"/>
        <w:rPr>
          <w:rFonts w:hint="eastAsia" w:ascii="宋体" w:hAnsi="宋体" w:eastAsia="宋体" w:cs="宋体"/>
          <w:color w:val="auto"/>
          <w:highlight w:val="none"/>
        </w:rPr>
      </w:pPr>
    </w:p>
    <w:p w14:paraId="18BC7C34">
      <w:pPr>
        <w:pStyle w:val="5"/>
        <w:spacing w:line="251" w:lineRule="auto"/>
        <w:rPr>
          <w:rFonts w:hint="eastAsia" w:ascii="宋体" w:hAnsi="宋体" w:eastAsia="宋体" w:cs="宋体"/>
          <w:color w:val="auto"/>
          <w:highlight w:val="none"/>
        </w:rPr>
      </w:pPr>
    </w:p>
    <w:p w14:paraId="09C2E563">
      <w:pPr>
        <w:spacing w:before="78" w:line="330" w:lineRule="auto"/>
        <w:ind w:firstLine="481"/>
        <w:jc w:val="both"/>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8"/>
          <w:highlight w:val="none"/>
          <w:lang w:eastAsia="zh-CN"/>
        </w:rPr>
        <w:t>本人</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（姓名）系</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（投标人名称）的法定代表人，现委托</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 w:val="24"/>
          <w:szCs w:val="28"/>
          <w:highlight w:val="none"/>
          <w:lang w:eastAsia="zh-CN"/>
        </w:rPr>
        <w:t>（姓名）为我方代理人。代理人根据授权，以我方名义签署、澄清、说明、补正、递交、撤回、修改</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snapToGrid w:val="0"/>
          <w:color w:val="auto"/>
          <w:kern w:val="0"/>
          <w:sz w:val="24"/>
          <w:szCs w:val="28"/>
          <w:highlight w:val="none"/>
          <w:u w:val="single"/>
          <w:lang w:eastAsia="zh-CN"/>
        </w:rPr>
        <w:t>（项目名称）</w:t>
      </w:r>
      <w:r>
        <w:rPr>
          <w:rFonts w:hint="eastAsia" w:ascii="宋体" w:hAnsi="宋体" w:eastAsia="宋体" w:cs="宋体"/>
          <w:snapToGrid w:val="0"/>
          <w:color w:val="auto"/>
          <w:kern w:val="0"/>
          <w:sz w:val="24"/>
          <w:szCs w:val="28"/>
          <w:highlight w:val="none"/>
          <w:lang w:eastAsia="zh-CN"/>
        </w:rPr>
        <w:t xml:space="preserve"> 投标文件、签订合同和处理有关事宜，其法律后果由我方承担。</w:t>
      </w:r>
    </w:p>
    <w:p w14:paraId="2CE40362">
      <w:pPr>
        <w:spacing w:before="32" w:line="320" w:lineRule="auto"/>
        <w:ind w:left="480" w:right="497"/>
        <w:rPr>
          <w:rFonts w:hint="eastAsia" w:ascii="宋体" w:hAnsi="宋体" w:eastAsia="宋体" w:cs="宋体"/>
          <w:color w:val="auto"/>
          <w:spacing w:val="15"/>
          <w:sz w:val="24"/>
          <w:szCs w:val="24"/>
          <w:highlight w:val="none"/>
        </w:rPr>
      </w:pPr>
      <w:r>
        <w:rPr>
          <w:rFonts w:hint="eastAsia" w:ascii="宋体" w:hAnsi="宋体" w:eastAsia="宋体" w:cs="宋体"/>
          <w:color w:val="auto"/>
          <w:spacing w:val="-9"/>
          <w:sz w:val="24"/>
          <w:szCs w:val="24"/>
          <w:highlight w:val="none"/>
        </w:rPr>
        <w:t>委托期限：至</w:t>
      </w:r>
      <w:r>
        <w:rPr>
          <w:rFonts w:hint="eastAsia" w:ascii="宋体" w:hAnsi="宋体" w:eastAsia="宋体" w:cs="宋体"/>
          <w:color w:val="auto"/>
          <w:spacing w:val="-9"/>
          <w:sz w:val="24"/>
          <w:szCs w:val="24"/>
          <w:highlight w:val="none"/>
          <w:u w:val="single"/>
        </w:rPr>
        <w:t xml:space="preserve">     年   月    日</w:t>
      </w:r>
      <w:r>
        <w:rPr>
          <w:rFonts w:hint="eastAsia" w:ascii="宋体" w:hAnsi="宋体" w:eastAsia="宋体" w:cs="宋体"/>
          <w:i/>
          <w:iCs/>
          <w:color w:val="auto"/>
          <w:spacing w:val="-9"/>
          <w:sz w:val="25"/>
          <w:szCs w:val="25"/>
          <w:highlight w:val="none"/>
          <w:u w:val="single"/>
        </w:rPr>
        <w:t>（不得短于招标文件规定的投标有效期）</w:t>
      </w:r>
      <w:r>
        <w:rPr>
          <w:rFonts w:hint="eastAsia" w:ascii="宋体" w:hAnsi="宋体" w:eastAsia="宋体" w:cs="宋体"/>
          <w:color w:val="auto"/>
          <w:spacing w:val="-9"/>
          <w:sz w:val="25"/>
          <w:szCs w:val="25"/>
          <w:highlight w:val="none"/>
        </w:rPr>
        <w:t xml:space="preserve"> </w:t>
      </w:r>
      <w:r>
        <w:rPr>
          <w:rFonts w:hint="eastAsia" w:ascii="宋体" w:hAnsi="宋体" w:eastAsia="宋体" w:cs="宋体"/>
          <w:color w:val="auto"/>
          <w:spacing w:val="-9"/>
          <w:sz w:val="24"/>
          <w:szCs w:val="24"/>
          <w:highlight w:val="none"/>
        </w:rPr>
        <w:t>。</w:t>
      </w:r>
      <w:r>
        <w:rPr>
          <w:rFonts w:hint="eastAsia" w:ascii="宋体" w:hAnsi="宋体" w:eastAsia="宋体" w:cs="宋体"/>
          <w:color w:val="auto"/>
          <w:spacing w:val="15"/>
          <w:sz w:val="24"/>
          <w:szCs w:val="24"/>
          <w:highlight w:val="none"/>
        </w:rPr>
        <w:t xml:space="preserve"> </w:t>
      </w:r>
    </w:p>
    <w:p w14:paraId="2D61A797">
      <w:pPr>
        <w:spacing w:before="32" w:line="320" w:lineRule="auto"/>
        <w:ind w:left="480" w:right="497"/>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代理人无转委托权。</w:t>
      </w:r>
    </w:p>
    <w:p w14:paraId="1E74F1A2">
      <w:pPr>
        <w:pStyle w:val="5"/>
        <w:spacing w:line="276" w:lineRule="auto"/>
        <w:rPr>
          <w:rFonts w:hint="eastAsia" w:ascii="宋体" w:hAnsi="宋体" w:eastAsia="宋体" w:cs="宋体"/>
          <w:color w:val="auto"/>
          <w:highlight w:val="none"/>
        </w:rPr>
      </w:pPr>
    </w:p>
    <w:p w14:paraId="2A536516">
      <w:pPr>
        <w:pStyle w:val="5"/>
        <w:spacing w:line="277" w:lineRule="auto"/>
        <w:rPr>
          <w:rFonts w:hint="eastAsia" w:ascii="宋体" w:hAnsi="宋体" w:eastAsia="宋体" w:cs="宋体"/>
          <w:color w:val="auto"/>
          <w:highlight w:val="none"/>
        </w:rPr>
      </w:pPr>
    </w:p>
    <w:p w14:paraId="1CDFB82E">
      <w:pPr>
        <w:pStyle w:val="5"/>
        <w:spacing w:line="277" w:lineRule="auto"/>
        <w:rPr>
          <w:rFonts w:hint="eastAsia" w:ascii="宋体" w:hAnsi="宋体" w:eastAsia="宋体" w:cs="宋体"/>
          <w:color w:val="auto"/>
          <w:highlight w:val="none"/>
        </w:rPr>
      </w:pPr>
    </w:p>
    <w:p w14:paraId="6D45D633">
      <w:pPr>
        <w:spacing w:before="78" w:line="219" w:lineRule="auto"/>
        <w:ind w:left="3123"/>
        <w:jc w:val="righ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投  标  人</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pacing w:val="4"/>
          <w:sz w:val="24"/>
          <w:szCs w:val="24"/>
          <w:highlight w:val="none"/>
        </w:rPr>
        <w:t>盖单位章）</w:t>
      </w:r>
    </w:p>
    <w:p w14:paraId="63BD962A">
      <w:pPr>
        <w:pStyle w:val="5"/>
        <w:spacing w:line="317" w:lineRule="auto"/>
        <w:jc w:val="right"/>
        <w:rPr>
          <w:rFonts w:hint="eastAsia" w:ascii="宋体" w:hAnsi="宋体" w:eastAsia="宋体" w:cs="宋体"/>
          <w:color w:val="auto"/>
          <w:highlight w:val="none"/>
        </w:rPr>
      </w:pPr>
    </w:p>
    <w:p w14:paraId="57132AE9">
      <w:pPr>
        <w:pStyle w:val="5"/>
        <w:spacing w:line="317" w:lineRule="auto"/>
        <w:jc w:val="right"/>
        <w:rPr>
          <w:rFonts w:hint="eastAsia" w:ascii="宋体" w:hAnsi="宋体" w:eastAsia="宋体" w:cs="宋体"/>
          <w:color w:val="auto"/>
          <w:highlight w:val="none"/>
        </w:rPr>
      </w:pPr>
    </w:p>
    <w:p w14:paraId="32FCF699">
      <w:pPr>
        <w:pStyle w:val="5"/>
        <w:spacing w:line="317" w:lineRule="auto"/>
        <w:jc w:val="right"/>
        <w:rPr>
          <w:rFonts w:hint="eastAsia" w:ascii="宋体" w:hAnsi="宋体" w:eastAsia="宋体" w:cs="宋体"/>
          <w:color w:val="auto"/>
          <w:highlight w:val="none"/>
        </w:rPr>
      </w:pPr>
    </w:p>
    <w:p w14:paraId="0C20E36F">
      <w:pPr>
        <w:spacing w:before="79" w:line="219" w:lineRule="auto"/>
        <w:ind w:left="3121"/>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2"/>
          <w:sz w:val="24"/>
          <w:szCs w:val="24"/>
          <w:highlight w:val="none"/>
        </w:rPr>
        <w:t>签字或盖章）</w:t>
      </w:r>
    </w:p>
    <w:p w14:paraId="2807F6C8">
      <w:pPr>
        <w:pStyle w:val="5"/>
        <w:spacing w:line="317" w:lineRule="auto"/>
        <w:jc w:val="right"/>
        <w:rPr>
          <w:rFonts w:hint="eastAsia" w:ascii="宋体" w:hAnsi="宋体" w:eastAsia="宋体" w:cs="宋体"/>
          <w:color w:val="auto"/>
          <w:highlight w:val="none"/>
        </w:rPr>
      </w:pPr>
    </w:p>
    <w:p w14:paraId="6B89A96E">
      <w:pPr>
        <w:pStyle w:val="5"/>
        <w:spacing w:line="317" w:lineRule="auto"/>
        <w:jc w:val="right"/>
        <w:rPr>
          <w:rFonts w:hint="eastAsia" w:ascii="宋体" w:hAnsi="宋体" w:eastAsia="宋体" w:cs="宋体"/>
          <w:color w:val="auto"/>
          <w:highlight w:val="none"/>
        </w:rPr>
      </w:pPr>
    </w:p>
    <w:p w14:paraId="52524FDC">
      <w:pPr>
        <w:pStyle w:val="5"/>
        <w:spacing w:line="317" w:lineRule="auto"/>
        <w:jc w:val="right"/>
        <w:rPr>
          <w:rFonts w:hint="eastAsia" w:ascii="宋体" w:hAnsi="宋体" w:eastAsia="宋体" w:cs="宋体"/>
          <w:color w:val="auto"/>
          <w:highlight w:val="none"/>
        </w:rPr>
      </w:pPr>
    </w:p>
    <w:p w14:paraId="414B89CB">
      <w:pPr>
        <w:spacing w:before="78" w:line="219" w:lineRule="auto"/>
        <w:ind w:left="2880"/>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委托代理人</w:t>
      </w:r>
      <w:r>
        <w:rPr>
          <w:rFonts w:hint="eastAsia" w:ascii="宋体" w:hAnsi="宋体" w:eastAsia="宋体" w:cs="宋体"/>
          <w:color w:val="auto"/>
          <w:spacing w:val="-16"/>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6"/>
          <w:sz w:val="24"/>
          <w:szCs w:val="24"/>
          <w:highlight w:val="none"/>
        </w:rPr>
        <w:t>（</w:t>
      </w:r>
      <w:r>
        <w:rPr>
          <w:rFonts w:hint="eastAsia" w:ascii="宋体" w:hAnsi="宋体" w:eastAsia="宋体" w:cs="宋体"/>
          <w:color w:val="auto"/>
          <w:spacing w:val="2"/>
          <w:sz w:val="24"/>
          <w:szCs w:val="24"/>
          <w:highlight w:val="none"/>
        </w:rPr>
        <w:t>签字或盖章）</w:t>
      </w:r>
    </w:p>
    <w:p w14:paraId="085218DE">
      <w:pPr>
        <w:pStyle w:val="5"/>
        <w:spacing w:line="256" w:lineRule="auto"/>
        <w:jc w:val="right"/>
        <w:rPr>
          <w:rFonts w:hint="eastAsia" w:ascii="宋体" w:hAnsi="宋体" w:eastAsia="宋体" w:cs="宋体"/>
          <w:color w:val="auto"/>
          <w:highlight w:val="none"/>
        </w:rPr>
      </w:pPr>
    </w:p>
    <w:p w14:paraId="635562C0">
      <w:pPr>
        <w:pStyle w:val="5"/>
        <w:spacing w:line="256" w:lineRule="auto"/>
        <w:jc w:val="right"/>
        <w:rPr>
          <w:rFonts w:hint="eastAsia" w:ascii="宋体" w:hAnsi="宋体" w:eastAsia="宋体" w:cs="宋体"/>
          <w:color w:val="auto"/>
          <w:highlight w:val="none"/>
        </w:rPr>
      </w:pPr>
    </w:p>
    <w:p w14:paraId="27218817">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1F294533">
      <w:pPr>
        <w:spacing w:before="78" w:line="220" w:lineRule="auto"/>
        <w:ind w:left="4201"/>
        <w:jc w:val="right"/>
        <w:rPr>
          <w:rFonts w:hint="eastAsia" w:ascii="宋体" w:hAnsi="宋体" w:eastAsia="宋体" w:cs="宋体"/>
          <w:color w:val="auto"/>
          <w:sz w:val="24"/>
          <w:szCs w:val="24"/>
          <w:highlight w:val="none"/>
        </w:rPr>
      </w:pPr>
    </w:p>
    <w:p w14:paraId="3A4AD89C">
      <w:pPr>
        <w:spacing w:before="69"/>
        <w:rPr>
          <w:rFonts w:hint="eastAsia" w:ascii="宋体" w:hAnsi="宋体" w:eastAsia="宋体" w:cs="宋体"/>
          <w:color w:val="auto"/>
          <w:highlight w:val="none"/>
        </w:rPr>
      </w:pPr>
    </w:p>
    <w:p w14:paraId="363508E1">
      <w:pPr>
        <w:spacing w:before="69"/>
        <w:rPr>
          <w:rFonts w:hint="eastAsia" w:ascii="宋体" w:hAnsi="宋体" w:eastAsia="宋体" w:cs="宋体"/>
          <w:color w:val="auto"/>
          <w:highlight w:val="none"/>
        </w:rPr>
      </w:pPr>
    </w:p>
    <w:tbl>
      <w:tblPr>
        <w:tblStyle w:val="14"/>
        <w:tblW w:w="5600" w:type="dxa"/>
        <w:tblInd w:w="230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600"/>
      </w:tblGrid>
      <w:tr w14:paraId="727B0D3A">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2570" w:hRule="atLeast"/>
        </w:trPr>
        <w:tc>
          <w:tcPr>
            <w:tcW w:w="5600" w:type="dxa"/>
            <w:vAlign w:val="top"/>
          </w:tcPr>
          <w:p w14:paraId="49F11E44">
            <w:pPr>
              <w:pStyle w:val="21"/>
              <w:spacing w:line="245" w:lineRule="auto"/>
              <w:rPr>
                <w:rFonts w:hint="eastAsia" w:ascii="宋体" w:hAnsi="宋体" w:eastAsia="宋体" w:cs="宋体"/>
                <w:color w:val="auto"/>
                <w:highlight w:val="none"/>
              </w:rPr>
            </w:pPr>
          </w:p>
          <w:p w14:paraId="3EAC8CC5">
            <w:pPr>
              <w:pStyle w:val="21"/>
              <w:spacing w:line="245" w:lineRule="auto"/>
              <w:rPr>
                <w:rFonts w:hint="eastAsia" w:ascii="宋体" w:hAnsi="宋体" w:eastAsia="宋体" w:cs="宋体"/>
                <w:color w:val="auto"/>
                <w:highlight w:val="none"/>
              </w:rPr>
            </w:pPr>
          </w:p>
          <w:p w14:paraId="19684FD2">
            <w:pPr>
              <w:pStyle w:val="21"/>
              <w:spacing w:line="245" w:lineRule="auto"/>
              <w:rPr>
                <w:rFonts w:hint="eastAsia" w:ascii="宋体" w:hAnsi="宋体" w:eastAsia="宋体" w:cs="宋体"/>
                <w:color w:val="auto"/>
                <w:highlight w:val="none"/>
              </w:rPr>
            </w:pPr>
          </w:p>
          <w:p w14:paraId="7DA52306">
            <w:pPr>
              <w:pStyle w:val="21"/>
              <w:spacing w:line="245" w:lineRule="auto"/>
              <w:rPr>
                <w:rFonts w:hint="eastAsia" w:ascii="宋体" w:hAnsi="宋体" w:eastAsia="宋体" w:cs="宋体"/>
                <w:color w:val="auto"/>
                <w:highlight w:val="none"/>
              </w:rPr>
            </w:pPr>
          </w:p>
          <w:p w14:paraId="2B4D522A">
            <w:pPr>
              <w:pStyle w:val="21"/>
              <w:spacing w:line="245" w:lineRule="auto"/>
              <w:rPr>
                <w:rFonts w:hint="eastAsia" w:ascii="宋体" w:hAnsi="宋体" w:eastAsia="宋体" w:cs="宋体"/>
                <w:color w:val="auto"/>
                <w:highlight w:val="none"/>
              </w:rPr>
            </w:pPr>
          </w:p>
          <w:p w14:paraId="6375CF52">
            <w:pPr>
              <w:pStyle w:val="21"/>
              <w:spacing w:line="245" w:lineRule="auto"/>
              <w:rPr>
                <w:rFonts w:hint="eastAsia" w:ascii="宋体" w:hAnsi="宋体" w:eastAsia="宋体" w:cs="宋体"/>
                <w:color w:val="auto"/>
                <w:highlight w:val="none"/>
              </w:rPr>
            </w:pPr>
          </w:p>
          <w:p w14:paraId="761F0736">
            <w:pPr>
              <w:pStyle w:val="21"/>
              <w:spacing w:line="246" w:lineRule="auto"/>
              <w:rPr>
                <w:rFonts w:hint="eastAsia" w:ascii="宋体" w:hAnsi="宋体" w:eastAsia="宋体" w:cs="宋体"/>
                <w:color w:val="auto"/>
                <w:highlight w:val="none"/>
              </w:rPr>
            </w:pPr>
          </w:p>
          <w:p w14:paraId="14498540">
            <w:pPr>
              <w:spacing w:before="78" w:line="220" w:lineRule="auto"/>
              <w:ind w:left="71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委托代理人身份证</w:t>
            </w:r>
            <w:r>
              <w:rPr>
                <w:rFonts w:hint="eastAsia" w:ascii="宋体" w:hAnsi="宋体" w:eastAsia="宋体" w:cs="宋体"/>
                <w:color w:val="auto"/>
                <w:spacing w:val="-1"/>
                <w:sz w:val="24"/>
                <w:szCs w:val="24"/>
                <w:highlight w:val="none"/>
                <w:lang w:val="en-US" w:eastAsia="zh-CN"/>
              </w:rPr>
              <w:t>彩色扫描件</w:t>
            </w:r>
            <w:r>
              <w:rPr>
                <w:rFonts w:hint="eastAsia" w:ascii="宋体" w:hAnsi="宋体" w:eastAsia="宋体" w:cs="宋体"/>
                <w:color w:val="auto"/>
                <w:spacing w:val="-1"/>
                <w:sz w:val="24"/>
                <w:szCs w:val="24"/>
                <w:highlight w:val="none"/>
              </w:rPr>
              <w:t>正、反面</w:t>
            </w:r>
          </w:p>
        </w:tc>
      </w:tr>
    </w:tbl>
    <w:p w14:paraId="382D26B2">
      <w:pPr>
        <w:pStyle w:val="5"/>
        <w:rPr>
          <w:rFonts w:hint="eastAsia" w:ascii="宋体" w:hAnsi="宋体" w:eastAsia="宋体" w:cs="宋体"/>
          <w:color w:val="auto"/>
          <w:highlight w:val="none"/>
        </w:rPr>
      </w:pPr>
    </w:p>
    <w:p w14:paraId="2F0066E9">
      <w:pPr>
        <w:rPr>
          <w:rFonts w:hint="eastAsia" w:ascii="宋体" w:hAnsi="宋体" w:eastAsia="宋体" w:cs="宋体"/>
          <w:color w:val="auto"/>
          <w:highlight w:val="none"/>
        </w:rPr>
        <w:sectPr>
          <w:footerReference r:id="rId17"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DAC3638">
      <w:pPr>
        <w:spacing w:before="78" w:line="220" w:lineRule="auto"/>
        <w:outlineLvl w:val="2"/>
        <w:rPr>
          <w:rFonts w:hint="eastAsia" w:ascii="宋体" w:hAnsi="宋体" w:eastAsia="宋体" w:cs="宋体"/>
          <w:b/>
          <w:bCs/>
          <w:color w:val="auto"/>
          <w:spacing w:val="-4"/>
          <w:sz w:val="24"/>
          <w:szCs w:val="24"/>
          <w:highlight w:val="none"/>
        </w:rPr>
      </w:pPr>
      <w:bookmarkStart w:id="235" w:name="_Toc30394"/>
      <w:r>
        <w:rPr>
          <w:rFonts w:hint="eastAsia" w:ascii="宋体" w:hAnsi="宋体" w:eastAsia="宋体" w:cs="宋体"/>
          <w:b/>
          <w:bCs/>
          <w:color w:val="auto"/>
          <w:spacing w:val="-4"/>
          <w:sz w:val="24"/>
          <w:szCs w:val="24"/>
          <w:highlight w:val="none"/>
        </w:rPr>
        <w:t>格式五 法定代表人身份证明</w:t>
      </w:r>
      <w:bookmarkEnd w:id="235"/>
    </w:p>
    <w:p w14:paraId="2DA7024D">
      <w:pPr>
        <w:pStyle w:val="5"/>
        <w:spacing w:line="350" w:lineRule="auto"/>
        <w:rPr>
          <w:rFonts w:hint="eastAsia" w:ascii="宋体" w:hAnsi="宋体" w:eastAsia="宋体" w:cs="宋体"/>
          <w:color w:val="auto"/>
          <w:highlight w:val="none"/>
        </w:rPr>
      </w:pPr>
    </w:p>
    <w:p w14:paraId="0868334D">
      <w:pPr>
        <w:pStyle w:val="5"/>
        <w:spacing w:line="350" w:lineRule="auto"/>
        <w:rPr>
          <w:rFonts w:hint="eastAsia" w:ascii="宋体" w:hAnsi="宋体" w:eastAsia="宋体" w:cs="宋体"/>
          <w:color w:val="auto"/>
          <w:highlight w:val="none"/>
        </w:rPr>
      </w:pPr>
    </w:p>
    <w:p w14:paraId="5209C7D3">
      <w:pPr>
        <w:spacing w:before="98" w:line="220" w:lineRule="auto"/>
        <w:ind w:left="3183"/>
        <w:rPr>
          <w:rFonts w:hint="eastAsia" w:ascii="宋体" w:hAnsi="宋体" w:eastAsia="宋体" w:cs="宋体"/>
          <w:color w:val="auto"/>
          <w:sz w:val="30"/>
          <w:szCs w:val="30"/>
          <w:highlight w:val="none"/>
        </w:rPr>
      </w:pPr>
      <w:bookmarkStart w:id="236" w:name="bookmark152"/>
      <w:bookmarkEnd w:id="236"/>
      <w:r>
        <w:rPr>
          <w:rFonts w:hint="eastAsia" w:ascii="宋体" w:hAnsi="宋体" w:eastAsia="宋体" w:cs="宋体"/>
          <w:b/>
          <w:bCs/>
          <w:color w:val="auto"/>
          <w:spacing w:val="-4"/>
          <w:sz w:val="30"/>
          <w:szCs w:val="30"/>
          <w:highlight w:val="none"/>
        </w:rPr>
        <w:t>法定代表人身份证明</w:t>
      </w:r>
    </w:p>
    <w:p w14:paraId="136F935F">
      <w:pPr>
        <w:pStyle w:val="5"/>
        <w:spacing w:line="250" w:lineRule="auto"/>
        <w:rPr>
          <w:rFonts w:hint="eastAsia" w:ascii="宋体" w:hAnsi="宋体" w:eastAsia="宋体" w:cs="宋体"/>
          <w:color w:val="auto"/>
          <w:highlight w:val="none"/>
        </w:rPr>
      </w:pPr>
    </w:p>
    <w:p w14:paraId="2E1E9E2A">
      <w:pPr>
        <w:pStyle w:val="5"/>
        <w:spacing w:line="250" w:lineRule="auto"/>
        <w:rPr>
          <w:rFonts w:hint="eastAsia" w:ascii="宋体" w:hAnsi="宋体" w:eastAsia="宋体" w:cs="宋体"/>
          <w:color w:val="auto"/>
          <w:highlight w:val="none"/>
        </w:rPr>
      </w:pPr>
    </w:p>
    <w:p w14:paraId="6ABEAEB7">
      <w:pPr>
        <w:pStyle w:val="5"/>
        <w:spacing w:line="251" w:lineRule="auto"/>
        <w:rPr>
          <w:rFonts w:hint="eastAsia" w:ascii="宋体" w:hAnsi="宋体" w:eastAsia="宋体" w:cs="宋体"/>
          <w:color w:val="auto"/>
          <w:highlight w:val="none"/>
        </w:rPr>
      </w:pPr>
    </w:p>
    <w:p w14:paraId="766EA4CD">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投标人名称：</w:t>
      </w:r>
      <w:r>
        <w:rPr>
          <w:rFonts w:hint="eastAsia" w:ascii="宋体" w:hAnsi="宋体" w:eastAsia="宋体" w:cs="宋体"/>
          <w:snapToGrid w:val="0"/>
          <w:color w:val="auto"/>
          <w:kern w:val="0"/>
          <w:sz w:val="24"/>
          <w:szCs w:val="24"/>
          <w:highlight w:val="none"/>
          <w:u w:val="single"/>
        </w:rPr>
        <w:t xml:space="preserve">                  </w:t>
      </w:r>
    </w:p>
    <w:p w14:paraId="2A539E30">
      <w:pPr>
        <w:wordWrap w:val="0"/>
        <w:adjustRightInd w:val="0"/>
        <w:snapToGrid w:val="0"/>
        <w:spacing w:line="440" w:lineRule="exact"/>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姓名：</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性别：</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年龄：</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职务：</w:t>
      </w:r>
      <w:r>
        <w:rPr>
          <w:rFonts w:hint="eastAsia" w:ascii="宋体" w:hAnsi="宋体" w:eastAsia="宋体" w:cs="宋体"/>
          <w:snapToGrid w:val="0"/>
          <w:color w:val="auto"/>
          <w:kern w:val="0"/>
          <w:sz w:val="24"/>
          <w:szCs w:val="24"/>
          <w:highlight w:val="none"/>
          <w:u w:val="single"/>
        </w:rPr>
        <w:t xml:space="preserve">           </w:t>
      </w:r>
    </w:p>
    <w:p w14:paraId="431001FF">
      <w:pPr>
        <w:wordWrap w:val="0"/>
        <w:adjustRightInd w:val="0"/>
        <w:snapToGrid w:val="0"/>
        <w:spacing w:line="440" w:lineRule="exac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系</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（投标人名称）的法定代表人。</w:t>
      </w:r>
    </w:p>
    <w:p w14:paraId="3FB51469">
      <w:pPr>
        <w:wordWrap w:val="0"/>
        <w:adjustRightInd w:val="0"/>
        <w:snapToGrid w:val="0"/>
        <w:rPr>
          <w:rFonts w:hint="eastAsia" w:ascii="宋体" w:hAnsi="宋体" w:eastAsia="宋体" w:cs="宋体"/>
          <w:snapToGrid w:val="0"/>
          <w:color w:val="auto"/>
          <w:kern w:val="0"/>
          <w:szCs w:val="21"/>
          <w:highlight w:val="none"/>
        </w:rPr>
      </w:pPr>
      <w:r>
        <w:rPr>
          <w:rFonts w:hint="eastAsia" w:ascii="宋体" w:hAnsi="宋体" w:eastAsia="宋体" w:cs="宋体"/>
          <w:snapToGrid w:val="0"/>
          <w:color w:val="auto"/>
          <w:kern w:val="0"/>
          <w:sz w:val="24"/>
          <w:szCs w:val="24"/>
          <w:highlight w:val="none"/>
        </w:rPr>
        <w:t xml:space="preserve">    特此证明。</w:t>
      </w:r>
    </w:p>
    <w:p w14:paraId="3B4AAF0B">
      <w:pPr>
        <w:pStyle w:val="5"/>
        <w:spacing w:line="277" w:lineRule="auto"/>
        <w:rPr>
          <w:rFonts w:hint="eastAsia" w:ascii="宋体" w:hAnsi="宋体" w:eastAsia="宋体" w:cs="宋体"/>
          <w:color w:val="auto"/>
          <w:highlight w:val="none"/>
        </w:rPr>
      </w:pPr>
    </w:p>
    <w:p w14:paraId="6D7B4DE3">
      <w:pPr>
        <w:pStyle w:val="5"/>
        <w:spacing w:line="277" w:lineRule="auto"/>
        <w:rPr>
          <w:rFonts w:hint="eastAsia" w:ascii="宋体" w:hAnsi="宋体" w:eastAsia="宋体" w:cs="宋体"/>
          <w:color w:val="auto"/>
          <w:highlight w:val="none"/>
        </w:rPr>
      </w:pPr>
    </w:p>
    <w:p w14:paraId="2D9D6E99">
      <w:pPr>
        <w:pStyle w:val="5"/>
        <w:spacing w:line="278" w:lineRule="auto"/>
        <w:rPr>
          <w:rFonts w:hint="eastAsia" w:ascii="宋体" w:hAnsi="宋体" w:eastAsia="宋体" w:cs="宋体"/>
          <w:color w:val="auto"/>
          <w:highlight w:val="none"/>
        </w:rPr>
      </w:pPr>
    </w:p>
    <w:p w14:paraId="125D92B0">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盖单位章）</w:t>
      </w:r>
    </w:p>
    <w:p w14:paraId="027B6A92">
      <w:pPr>
        <w:pStyle w:val="5"/>
        <w:spacing w:line="317" w:lineRule="auto"/>
        <w:jc w:val="right"/>
        <w:rPr>
          <w:rFonts w:hint="eastAsia" w:ascii="宋体" w:hAnsi="宋体" w:eastAsia="宋体" w:cs="宋体"/>
          <w:color w:val="auto"/>
          <w:highlight w:val="none"/>
        </w:rPr>
      </w:pPr>
    </w:p>
    <w:p w14:paraId="6F4B4B3A">
      <w:pPr>
        <w:pStyle w:val="5"/>
        <w:spacing w:line="317" w:lineRule="auto"/>
        <w:jc w:val="right"/>
        <w:rPr>
          <w:rFonts w:hint="eastAsia" w:ascii="宋体" w:hAnsi="宋体" w:eastAsia="宋体" w:cs="宋体"/>
          <w:color w:val="auto"/>
          <w:highlight w:val="none"/>
        </w:rPr>
      </w:pPr>
    </w:p>
    <w:p w14:paraId="1110A429">
      <w:pPr>
        <w:pStyle w:val="5"/>
        <w:spacing w:line="317" w:lineRule="auto"/>
        <w:jc w:val="right"/>
        <w:rPr>
          <w:rFonts w:hint="eastAsia" w:ascii="宋体" w:hAnsi="宋体" w:eastAsia="宋体" w:cs="宋体"/>
          <w:color w:val="auto"/>
          <w:highlight w:val="none"/>
        </w:rPr>
      </w:pPr>
    </w:p>
    <w:p w14:paraId="0997B4DF">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72F193EB">
      <w:pPr>
        <w:pStyle w:val="5"/>
        <w:spacing w:line="257" w:lineRule="auto"/>
        <w:jc w:val="right"/>
        <w:rPr>
          <w:rFonts w:hint="eastAsia" w:ascii="宋体" w:hAnsi="宋体" w:eastAsia="宋体" w:cs="宋体"/>
          <w:color w:val="auto"/>
          <w:highlight w:val="none"/>
        </w:rPr>
      </w:pPr>
    </w:p>
    <w:p w14:paraId="407142E8">
      <w:pPr>
        <w:pStyle w:val="5"/>
        <w:spacing w:line="257" w:lineRule="auto"/>
        <w:jc w:val="right"/>
        <w:rPr>
          <w:rFonts w:hint="eastAsia" w:ascii="宋体" w:hAnsi="宋体" w:eastAsia="宋体" w:cs="宋体"/>
          <w:color w:val="auto"/>
          <w:highlight w:val="none"/>
        </w:rPr>
      </w:pPr>
    </w:p>
    <w:p w14:paraId="0A27F30D">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BF375B2">
      <w:pPr>
        <w:pStyle w:val="5"/>
        <w:spacing w:line="254" w:lineRule="auto"/>
        <w:rPr>
          <w:rFonts w:hint="eastAsia" w:ascii="宋体" w:hAnsi="宋体" w:eastAsia="宋体" w:cs="宋体"/>
          <w:color w:val="auto"/>
          <w:highlight w:val="none"/>
        </w:rPr>
      </w:pPr>
    </w:p>
    <w:p w14:paraId="03AC5067">
      <w:pPr>
        <w:pStyle w:val="5"/>
        <w:spacing w:line="254" w:lineRule="auto"/>
        <w:rPr>
          <w:rFonts w:hint="eastAsia" w:ascii="宋体" w:hAnsi="宋体" w:eastAsia="宋体" w:cs="宋体"/>
          <w:color w:val="auto"/>
          <w:highlight w:val="none"/>
        </w:rPr>
      </w:pPr>
    </w:p>
    <w:p w14:paraId="36A90F84">
      <w:pPr>
        <w:pStyle w:val="5"/>
        <w:spacing w:line="254" w:lineRule="auto"/>
        <w:rPr>
          <w:rFonts w:hint="eastAsia" w:ascii="宋体" w:hAnsi="宋体" w:eastAsia="宋体" w:cs="宋体"/>
          <w:color w:val="auto"/>
          <w:highlight w:val="none"/>
        </w:rPr>
      </w:pPr>
    </w:p>
    <w:p w14:paraId="259164D9">
      <w:pPr>
        <w:pStyle w:val="5"/>
        <w:spacing w:line="254" w:lineRule="auto"/>
        <w:rPr>
          <w:rFonts w:hint="eastAsia" w:ascii="宋体" w:hAnsi="宋体" w:eastAsia="宋体" w:cs="宋体"/>
          <w:color w:val="auto"/>
          <w:highlight w:val="none"/>
        </w:rPr>
      </w:pPr>
    </w:p>
    <w:p w14:paraId="0C625CC7">
      <w:pPr>
        <w:pStyle w:val="5"/>
        <w:spacing w:line="255" w:lineRule="auto"/>
        <w:rPr>
          <w:rFonts w:hint="eastAsia" w:ascii="宋体" w:hAnsi="宋体" w:eastAsia="宋体" w:cs="宋体"/>
          <w:color w:val="auto"/>
          <w:highlight w:val="none"/>
        </w:rPr>
      </w:pPr>
    </w:p>
    <w:p w14:paraId="1979E48F">
      <w:pPr>
        <w:pStyle w:val="5"/>
        <w:spacing w:line="255" w:lineRule="auto"/>
        <w:rPr>
          <w:rFonts w:hint="eastAsia" w:ascii="宋体" w:hAnsi="宋体" w:eastAsia="宋体" w:cs="宋体"/>
          <w:color w:val="auto"/>
          <w:highlight w:val="none"/>
        </w:rPr>
      </w:pPr>
    </w:p>
    <w:p w14:paraId="6E23282B">
      <w:pPr>
        <w:pStyle w:val="5"/>
        <w:spacing w:before="1" w:line="2510" w:lineRule="exact"/>
        <w:ind w:firstLine="2534"/>
        <w:rPr>
          <w:rFonts w:hint="eastAsia" w:ascii="宋体" w:hAnsi="宋体" w:eastAsia="宋体" w:cs="宋体"/>
          <w:color w:val="auto"/>
          <w:highlight w:val="none"/>
        </w:rPr>
      </w:pPr>
      <w:r>
        <w:rPr>
          <w:rFonts w:hint="eastAsia" w:ascii="宋体" w:hAnsi="宋体" w:eastAsia="宋体" w:cs="宋体"/>
          <w:color w:val="auto"/>
          <w:position w:val="-50"/>
          <w:highlight w:val="none"/>
        </w:rPr>
        <mc:AlternateContent>
          <mc:Choice Requires="wpg">
            <w:drawing>
              <wp:inline distT="0" distB="0" distL="114300" distR="114300">
                <wp:extent cx="2835275" cy="1593850"/>
                <wp:effectExtent l="12700" t="0" r="28575" b="12700"/>
                <wp:docPr id="13" name="组合 13"/>
                <wp:cNvGraphicFramePr/>
                <a:graphic xmlns:a="http://schemas.openxmlformats.org/drawingml/2006/main">
                  <a:graphicData uri="http://schemas.microsoft.com/office/word/2010/wordprocessingGroup">
                    <wpg:wgp>
                      <wpg:cNvGrpSpPr>
                        <a:grpSpLocks noRot="1"/>
                      </wpg:cNvGrpSpPr>
                      <wpg:grpSpPr>
                        <a:xfrm>
                          <a:off x="0" y="0"/>
                          <a:ext cx="2835275" cy="1593850"/>
                          <a:chOff x="0" y="0"/>
                          <a:chExt cx="4465" cy="2510"/>
                        </a:xfrm>
                      </wpg:grpSpPr>
                      <pic:pic xmlns:pic="http://schemas.openxmlformats.org/drawingml/2006/picture">
                        <pic:nvPicPr>
                          <pic:cNvPr id="11" name="图片 5"/>
                          <pic:cNvPicPr>
                            <a:picLocks noChangeAspect="1"/>
                          </pic:cNvPicPr>
                        </pic:nvPicPr>
                        <pic:blipFill>
                          <a:blip r:embed="rId54"/>
                          <a:stretch>
                            <a:fillRect/>
                          </a:stretch>
                        </pic:blipFill>
                        <pic:spPr>
                          <a:xfrm>
                            <a:off x="0" y="0"/>
                            <a:ext cx="4465" cy="2510"/>
                          </a:xfrm>
                          <a:prstGeom prst="rect">
                            <a:avLst/>
                          </a:prstGeom>
                          <a:noFill/>
                          <a:ln>
                            <a:noFill/>
                          </a:ln>
                        </pic:spPr>
                      </pic:pic>
                      <wps:wsp>
                        <wps:cNvPr id="12" name="文本框 12"/>
                        <wps:cNvSpPr txBox="1"/>
                        <wps:spPr>
                          <a:xfrm>
                            <a:off x="-20" y="-20"/>
                            <a:ext cx="4505" cy="2550"/>
                          </a:xfrm>
                          <a:prstGeom prst="rect">
                            <a:avLst/>
                          </a:prstGeom>
                          <a:noFill/>
                          <a:ln>
                            <a:noFill/>
                          </a:ln>
                        </wps:spPr>
                        <wps:txbx>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wps:txbx>
                        <wps:bodyPr lIns="0" tIns="0" rIns="0" bIns="0" upright="1"/>
                      </wps:wsp>
                    </wpg:wgp>
                  </a:graphicData>
                </a:graphic>
              </wp:inline>
            </w:drawing>
          </mc:Choice>
          <mc:Fallback>
            <w:pict>
              <v:group id="_x0000_s1026" o:spid="_x0000_s1026" o:spt="203" style="height:125.5pt;width:223.25pt;" coordsize="4465,2510" o:gfxdata="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">
                <o:lock v:ext="edit" rotation="t" aspectratio="f"/>
                <v:shape id="图片 5" o:spid="_x0000_s1026" o:spt="75" type="#_x0000_t75" style="position:absolute;left:0;top:0;height:2510;width:4465;" filled="f" o:preferrelative="t" stroked="f" coordsize="21600,21600" o:gfxdata="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RLC28AAAA&#10;2wAAAA8AAAAAAAAAAQAgAAAAIgAAAGRycy9kb3ducmV2LnhtbFBLAQIUABQAAAAIAIdO4kAzLwWe&#10;OwAAADkAAAAQAAAAAAAAAAEAIAAAAAsBAABkcnMvc2hhcGV4bWwueG1sUEsFBgAAAAAGAAYAWwEA&#10;ALUDAAAAAA==&#10;">
                  <v:fill on="f" focussize="0,0"/>
                  <v:stroke on="f"/>
                  <v:imagedata r:id="rId54" o:title=""/>
                  <o:lock v:ext="edit" aspectratio="t"/>
                </v:shape>
                <v:shape id="_x0000_s1026" o:spid="_x0000_s1026" o:spt="202" type="#_x0000_t202" style="position:absolute;left:-20;top:-20;height:2550;width:4505;" filled="f" stroked="f" coordsize="21600,21600" o:gfxdata="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UylS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59307053">
                        <w:pPr>
                          <w:spacing w:line="249" w:lineRule="auto"/>
                        </w:pPr>
                      </w:p>
                      <w:p w14:paraId="33DBE834">
                        <w:pPr>
                          <w:spacing w:line="249" w:lineRule="auto"/>
                        </w:pPr>
                      </w:p>
                      <w:p w14:paraId="5772CF5B">
                        <w:pPr>
                          <w:spacing w:line="249" w:lineRule="auto"/>
                        </w:pPr>
                      </w:p>
                      <w:p w14:paraId="5E8A9750">
                        <w:pPr>
                          <w:spacing w:line="249" w:lineRule="auto"/>
                        </w:pPr>
                      </w:p>
                      <w:p w14:paraId="029B95F9">
                        <w:pPr>
                          <w:spacing w:before="78" w:line="220" w:lineRule="auto"/>
                          <w:jc w:val="center"/>
                          <w:rPr>
                            <w:rFonts w:ascii="宋体" w:hAnsi="宋体" w:eastAsia="宋体" w:cs="宋体"/>
                            <w:sz w:val="24"/>
                            <w:szCs w:val="24"/>
                          </w:rPr>
                        </w:pPr>
                        <w:r>
                          <w:rPr>
                            <w:rFonts w:ascii="宋体" w:hAnsi="宋体" w:eastAsia="宋体" w:cs="宋体"/>
                            <w:spacing w:val="-1"/>
                            <w:sz w:val="24"/>
                            <w:szCs w:val="24"/>
                          </w:rPr>
                          <w:t>法定代表人身</w:t>
                        </w:r>
                        <w:r>
                          <w:rPr>
                            <w:rFonts w:ascii="宋体" w:hAnsi="宋体" w:eastAsia="宋体" w:cs="宋体"/>
                            <w:spacing w:val="-1"/>
                            <w:sz w:val="24"/>
                            <w:szCs w:val="24"/>
                            <w:highlight w:val="none"/>
                          </w:rPr>
                          <w:t>份证</w:t>
                        </w:r>
                        <w:r>
                          <w:rPr>
                            <w:rFonts w:hint="eastAsia" w:ascii="宋体" w:hAnsi="宋体" w:eastAsia="宋体" w:cs="宋体"/>
                            <w:spacing w:val="-1"/>
                            <w:sz w:val="24"/>
                            <w:szCs w:val="24"/>
                            <w:highlight w:val="none"/>
                            <w:lang w:val="en-US" w:eastAsia="zh-CN"/>
                          </w:rPr>
                          <w:t>彩色扫描件</w:t>
                        </w:r>
                        <w:r>
                          <w:rPr>
                            <w:rFonts w:ascii="宋体" w:hAnsi="宋体" w:eastAsia="宋体" w:cs="宋体"/>
                            <w:spacing w:val="-1"/>
                            <w:sz w:val="24"/>
                            <w:szCs w:val="24"/>
                            <w:highlight w:val="none"/>
                          </w:rPr>
                          <w:t>正</w:t>
                        </w:r>
                        <w:r>
                          <w:rPr>
                            <w:rFonts w:ascii="宋体" w:hAnsi="宋体" w:eastAsia="宋体" w:cs="宋体"/>
                            <w:spacing w:val="-1"/>
                            <w:sz w:val="24"/>
                            <w:szCs w:val="24"/>
                          </w:rPr>
                          <w:t>、反面</w:t>
                        </w:r>
                      </w:p>
                    </w:txbxContent>
                  </v:textbox>
                </v:shape>
                <w10:wrap type="none"/>
                <w10:anchorlock/>
              </v:group>
            </w:pict>
          </mc:Fallback>
        </mc:AlternateContent>
      </w:r>
    </w:p>
    <w:p w14:paraId="31936323">
      <w:pPr>
        <w:spacing w:line="2510" w:lineRule="exact"/>
        <w:rPr>
          <w:rFonts w:hint="eastAsia" w:ascii="宋体" w:hAnsi="宋体" w:eastAsia="宋体" w:cs="宋体"/>
          <w:color w:val="auto"/>
          <w:highlight w:val="none"/>
        </w:rPr>
        <w:sectPr>
          <w:footerReference r:id="rId18"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72FF65F">
      <w:pPr>
        <w:spacing w:before="78" w:line="220" w:lineRule="auto"/>
        <w:outlineLvl w:val="2"/>
        <w:rPr>
          <w:rFonts w:hint="eastAsia" w:ascii="宋体" w:hAnsi="宋体" w:eastAsia="宋体" w:cs="宋体"/>
          <w:b/>
          <w:bCs/>
          <w:color w:val="auto"/>
          <w:spacing w:val="-4"/>
          <w:sz w:val="24"/>
          <w:szCs w:val="24"/>
          <w:highlight w:val="none"/>
        </w:rPr>
      </w:pPr>
      <w:bookmarkStart w:id="237" w:name="_Toc5771"/>
      <w:r>
        <w:rPr>
          <w:rFonts w:hint="eastAsia" w:ascii="宋体" w:hAnsi="宋体" w:eastAsia="宋体" w:cs="宋体"/>
          <w:b/>
          <w:bCs/>
          <w:color w:val="auto"/>
          <w:spacing w:val="-4"/>
          <w:sz w:val="24"/>
          <w:szCs w:val="24"/>
          <w:highlight w:val="none"/>
        </w:rPr>
        <w:t>格式六 联合体协议书</w:t>
      </w:r>
      <w:bookmarkEnd w:id="237"/>
    </w:p>
    <w:p w14:paraId="48BC7635">
      <w:pPr>
        <w:spacing w:before="98" w:line="219" w:lineRule="auto"/>
        <w:ind w:left="3638"/>
        <w:rPr>
          <w:rFonts w:hint="eastAsia" w:ascii="宋体" w:hAnsi="宋体" w:eastAsia="宋体" w:cs="宋体"/>
          <w:color w:val="auto"/>
          <w:sz w:val="30"/>
          <w:szCs w:val="30"/>
          <w:highlight w:val="none"/>
        </w:rPr>
      </w:pPr>
      <w:bookmarkStart w:id="238" w:name="bookmark153"/>
      <w:bookmarkEnd w:id="238"/>
      <w:r>
        <w:rPr>
          <w:rFonts w:hint="eastAsia" w:ascii="宋体" w:hAnsi="宋体" w:eastAsia="宋体" w:cs="宋体"/>
          <w:b/>
          <w:bCs/>
          <w:color w:val="auto"/>
          <w:spacing w:val="-5"/>
          <w:sz w:val="30"/>
          <w:szCs w:val="30"/>
          <w:highlight w:val="none"/>
        </w:rPr>
        <w:t>联合体协议书</w:t>
      </w:r>
    </w:p>
    <w:p w14:paraId="2AC3F97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C796E14">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4"/>
          <w:sz w:val="24"/>
          <w:szCs w:val="24"/>
          <w:highlight w:val="none"/>
        </w:rPr>
      </w:pPr>
      <w:r>
        <w:rPr>
          <w:rFonts w:hint="eastAsia" w:ascii="宋体" w:hAnsi="宋体" w:eastAsia="宋体" w:cs="宋体"/>
          <w:color w:val="auto"/>
          <w:spacing w:val="-12"/>
          <w:sz w:val="24"/>
          <w:szCs w:val="24"/>
          <w:highlight w:val="none"/>
        </w:rPr>
        <w:t>牵头人名称：</w:t>
      </w:r>
      <w:r>
        <w:rPr>
          <w:rFonts w:hint="eastAsia" w:ascii="宋体" w:hAnsi="宋体" w:eastAsia="宋体" w:cs="宋体"/>
          <w:color w:val="auto"/>
          <w:spacing w:val="4"/>
          <w:sz w:val="24"/>
          <w:szCs w:val="24"/>
          <w:highlight w:val="none"/>
        </w:rPr>
        <w:t xml:space="preserve"> </w:t>
      </w:r>
    </w:p>
    <w:p w14:paraId="78BE601B">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04808BC7">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hanging="3"/>
        <w:jc w:val="both"/>
        <w:textAlignment w:val="baseline"/>
        <w:rPr>
          <w:rFonts w:hint="eastAsia"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法定住所：</w:t>
      </w:r>
    </w:p>
    <w:p w14:paraId="2D6BB855">
      <w:pPr>
        <w:outlineLvl w:val="9"/>
        <w:rPr>
          <w:rFonts w:hint="eastAsia"/>
          <w:color w:val="auto"/>
          <w:highlight w:val="none"/>
        </w:rPr>
      </w:pPr>
    </w:p>
    <w:p w14:paraId="1E8287CD">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成员二名称：</w:t>
      </w:r>
      <w:r>
        <w:rPr>
          <w:rFonts w:hint="eastAsia" w:ascii="宋体" w:hAnsi="宋体" w:eastAsia="宋体" w:cs="宋体"/>
          <w:color w:val="auto"/>
          <w:sz w:val="24"/>
          <w:szCs w:val="24"/>
          <w:highlight w:val="none"/>
        </w:rPr>
        <w:t xml:space="preserve"> </w:t>
      </w:r>
    </w:p>
    <w:p w14:paraId="7C1025DC">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法定代表人：</w:t>
      </w:r>
      <w:r>
        <w:rPr>
          <w:rFonts w:hint="eastAsia" w:ascii="宋体" w:hAnsi="宋体" w:eastAsia="宋体" w:cs="宋体"/>
          <w:color w:val="auto"/>
          <w:sz w:val="24"/>
          <w:szCs w:val="24"/>
          <w:highlight w:val="none"/>
        </w:rPr>
        <w:t xml:space="preserve"> </w:t>
      </w:r>
    </w:p>
    <w:p w14:paraId="391F3F76">
      <w:pPr>
        <w:keepNext w:val="0"/>
        <w:keepLines w:val="0"/>
        <w:pageBreakBefore w:val="0"/>
        <w:widowControl/>
        <w:kinsoku w:val="0"/>
        <w:wordWrap/>
        <w:overflowPunct/>
        <w:topLinePunct w:val="0"/>
        <w:autoSpaceDE w:val="0"/>
        <w:autoSpaceDN w:val="0"/>
        <w:bidi w:val="0"/>
        <w:adjustRightInd w:val="0"/>
        <w:snapToGrid w:val="0"/>
        <w:spacing w:before="78" w:line="264" w:lineRule="auto"/>
        <w:ind w:left="421" w:right="7272"/>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法定住所：</w:t>
      </w:r>
    </w:p>
    <w:p w14:paraId="1A5AB485">
      <w:pPr>
        <w:keepNext w:val="0"/>
        <w:keepLines w:val="0"/>
        <w:pageBreakBefore w:val="0"/>
        <w:widowControl/>
        <w:kinsoku w:val="0"/>
        <w:wordWrap/>
        <w:overflowPunct/>
        <w:topLinePunct w:val="0"/>
        <w:autoSpaceDE w:val="0"/>
        <w:autoSpaceDN w:val="0"/>
        <w:bidi w:val="0"/>
        <w:adjustRightInd w:val="0"/>
        <w:snapToGrid w:val="0"/>
        <w:spacing w:before="32" w:line="264" w:lineRule="auto"/>
        <w:ind w:left="436"/>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3"/>
          <w:position w:val="3"/>
          <w:sz w:val="24"/>
          <w:szCs w:val="24"/>
          <w:highlight w:val="none"/>
        </w:rPr>
        <w:t>……</w:t>
      </w:r>
    </w:p>
    <w:p w14:paraId="6DDA5343">
      <w:pPr>
        <w:keepNext w:val="0"/>
        <w:keepLines w:val="0"/>
        <w:pageBreakBefore w:val="0"/>
        <w:widowControl/>
        <w:kinsoku w:val="0"/>
        <w:wordWrap/>
        <w:overflowPunct/>
        <w:topLinePunct w:val="0"/>
        <w:autoSpaceDE w:val="0"/>
        <w:autoSpaceDN w:val="0"/>
        <w:bidi w:val="0"/>
        <w:adjustRightInd w:val="0"/>
        <w:snapToGrid w:val="0"/>
        <w:spacing w:before="61" w:line="264" w:lineRule="auto"/>
        <w:ind w:firstLine="422"/>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上述各成员单位经过友好协商，自愿组成联合体，</w:t>
      </w:r>
      <w:r>
        <w:rPr>
          <w:rFonts w:hint="eastAsia" w:ascii="宋体" w:hAnsi="宋体" w:eastAsia="宋体" w:cs="宋体"/>
          <w:color w:val="auto"/>
          <w:sz w:val="24"/>
          <w:szCs w:val="24"/>
          <w:highlight w:val="none"/>
        </w:rPr>
        <w:t>共同参加（项目名称</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rPr>
        <w:t>以下简</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2"/>
          <w:sz w:val="24"/>
          <w:szCs w:val="24"/>
          <w:highlight w:val="none"/>
        </w:rPr>
        <w:t>称“本项目</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”）的施工投标并争取赢得本项目施工承包</w:t>
      </w:r>
      <w:r>
        <w:rPr>
          <w:rFonts w:hint="eastAsia" w:ascii="宋体" w:hAnsi="宋体" w:eastAsia="宋体" w:cs="宋体"/>
          <w:color w:val="auto"/>
          <w:spacing w:val="-3"/>
          <w:sz w:val="24"/>
          <w:szCs w:val="24"/>
          <w:highlight w:val="none"/>
        </w:rPr>
        <w:t>合同（以下简称合同）。现就联</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合体投标事宜订立如下协议：</w:t>
      </w:r>
    </w:p>
    <w:p w14:paraId="35E1AD38">
      <w:pPr>
        <w:keepNext w:val="0"/>
        <w:keepLines w:val="0"/>
        <w:pageBreakBefore w:val="0"/>
        <w:widowControl/>
        <w:kinsoku w:val="0"/>
        <w:wordWrap/>
        <w:overflowPunct/>
        <w:topLinePunct w:val="0"/>
        <w:autoSpaceDE w:val="0"/>
        <w:autoSpaceDN w:val="0"/>
        <w:bidi w:val="0"/>
        <w:adjustRightInd w:val="0"/>
        <w:snapToGrid w:val="0"/>
        <w:spacing w:before="33" w:line="264" w:lineRule="auto"/>
        <w:ind w:left="499"/>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1"/>
          <w:sz w:val="24"/>
          <w:szCs w:val="24"/>
          <w:highlight w:val="none"/>
        </w:rPr>
        <w:t>．（</w:t>
      </w:r>
      <w:r>
        <w:rPr>
          <w:rFonts w:hint="eastAsia" w:ascii="宋体" w:hAnsi="宋体" w:eastAsia="宋体" w:cs="宋体"/>
          <w:color w:val="auto"/>
          <w:sz w:val="24"/>
          <w:szCs w:val="24"/>
          <w:highlight w:val="none"/>
        </w:rPr>
        <w:t>某成员单位名称）为联合体牵头人。</w:t>
      </w:r>
    </w:p>
    <w:p w14:paraId="06B53A35">
      <w:pPr>
        <w:keepNext w:val="0"/>
        <w:keepLines w:val="0"/>
        <w:pageBreakBefore w:val="0"/>
        <w:widowControl/>
        <w:kinsoku w:val="0"/>
        <w:wordWrap/>
        <w:overflowPunct/>
        <w:topLinePunct w:val="0"/>
        <w:autoSpaceDE w:val="0"/>
        <w:autoSpaceDN w:val="0"/>
        <w:bidi w:val="0"/>
        <w:adjustRightInd w:val="0"/>
        <w:snapToGrid w:val="0"/>
        <w:spacing w:before="156" w:line="264" w:lineRule="auto"/>
        <w:ind w:left="1" w:firstLine="474"/>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1"/>
          <w:sz w:val="24"/>
          <w:szCs w:val="24"/>
          <w:highlight w:val="none"/>
        </w:rPr>
        <w:t>．在本项目投标阶段，联合体牵头人合法代表联合体各成员负责本项目投标</w:t>
      </w:r>
      <w:r>
        <w:rPr>
          <w:rFonts w:hint="eastAsia" w:ascii="宋体" w:hAnsi="宋体" w:eastAsia="宋体" w:cs="宋体"/>
          <w:color w:val="auto"/>
          <w:spacing w:val="-2"/>
          <w:sz w:val="24"/>
          <w:szCs w:val="24"/>
          <w:highlight w:val="none"/>
        </w:rPr>
        <w:t>文件编制活动，代表联合体提交和接收相关的资料、信息及指示，并处理与投标和中标有关</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的一切事务；联合体中标后，联合体牵头人负责合同订立和合同实施阶段的主办、组织</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2"/>
          <w:sz w:val="24"/>
          <w:szCs w:val="24"/>
          <w:highlight w:val="none"/>
        </w:rPr>
        <w:t>和协调工作。</w:t>
      </w:r>
    </w:p>
    <w:p w14:paraId="4950AC5C">
      <w:pPr>
        <w:keepNext w:val="0"/>
        <w:keepLines w:val="0"/>
        <w:pageBreakBefore w:val="0"/>
        <w:widowControl/>
        <w:kinsoku w:val="0"/>
        <w:wordWrap/>
        <w:overflowPunct/>
        <w:topLinePunct w:val="0"/>
        <w:autoSpaceDE w:val="0"/>
        <w:autoSpaceDN w:val="0"/>
        <w:bidi w:val="0"/>
        <w:adjustRightInd w:val="0"/>
        <w:snapToGrid w:val="0"/>
        <w:spacing w:before="153" w:line="264" w:lineRule="auto"/>
        <w:ind w:left="2" w:firstLine="478"/>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3</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．联合体将严格按照招标文件的各项要求，递交投标文件，履行</w:t>
      </w:r>
      <w:r>
        <w:rPr>
          <w:rFonts w:hint="eastAsia" w:ascii="宋体" w:hAnsi="宋体" w:eastAsia="宋体" w:cs="宋体"/>
          <w:color w:val="auto"/>
          <w:spacing w:val="-2"/>
          <w:sz w:val="24"/>
          <w:szCs w:val="24"/>
          <w:highlight w:val="none"/>
        </w:rPr>
        <w:t>投标义务和中标后的合同，共同承担合同规定的一切义务和责任，联合体各成员单位按照内部职责的部</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
          <w:sz w:val="24"/>
          <w:szCs w:val="24"/>
          <w:highlight w:val="none"/>
        </w:rPr>
        <w:t>分，承担各自所负的责任和风险，并向招标人承担连带责任。</w:t>
      </w:r>
    </w:p>
    <w:p w14:paraId="64C4A26A">
      <w:pPr>
        <w:keepNext w:val="0"/>
        <w:keepLines w:val="0"/>
        <w:pageBreakBefore w:val="0"/>
        <w:widowControl/>
        <w:kinsoku w:val="0"/>
        <w:wordWrap/>
        <w:overflowPunct/>
        <w:topLinePunct w:val="0"/>
        <w:autoSpaceDE w:val="0"/>
        <w:autoSpaceDN w:val="0"/>
        <w:bidi w:val="0"/>
        <w:adjustRightInd w:val="0"/>
        <w:snapToGrid w:val="0"/>
        <w:spacing w:before="154" w:line="264" w:lineRule="auto"/>
        <w:ind w:left="475"/>
        <w:textAlignment w:val="baseline"/>
        <w:outlineLvl w:val="9"/>
        <w:rPr>
          <w:rFonts w:hint="eastAsia" w:ascii="宋体" w:hAnsi="宋体" w:eastAsia="宋体" w:cs="宋体"/>
          <w:color w:val="auto"/>
          <w:sz w:val="24"/>
          <w:szCs w:val="24"/>
          <w:highlight w:val="none"/>
        </w:rPr>
      </w:pPr>
      <w:bookmarkStart w:id="239" w:name="_Toc32149"/>
      <w:bookmarkStart w:id="240" w:name="_Toc5365"/>
      <w:r>
        <w:rPr>
          <w:rFonts w:hint="eastAsia" w:ascii="宋体" w:hAnsi="宋体" w:eastAsia="宋体" w:cs="宋体"/>
          <w:color w:val="auto"/>
          <w:spacing w:val="-2"/>
          <w:sz w:val="24"/>
          <w:szCs w:val="24"/>
          <w:highlight w:val="none"/>
        </w:rPr>
        <w:t>4</w:t>
      </w:r>
      <w:r>
        <w:rPr>
          <w:rFonts w:hint="eastAsia" w:ascii="宋体" w:hAnsi="宋体" w:eastAsia="宋体" w:cs="宋体"/>
          <w:color w:val="auto"/>
          <w:spacing w:val="-23"/>
          <w:sz w:val="24"/>
          <w:szCs w:val="24"/>
          <w:highlight w:val="none"/>
        </w:rPr>
        <w:t xml:space="preserve"> </w:t>
      </w:r>
      <w:r>
        <w:rPr>
          <w:rFonts w:hint="eastAsia" w:ascii="宋体" w:hAnsi="宋体" w:eastAsia="宋体" w:cs="宋体"/>
          <w:color w:val="auto"/>
          <w:spacing w:val="-2"/>
          <w:sz w:val="24"/>
          <w:szCs w:val="24"/>
          <w:highlight w:val="none"/>
        </w:rPr>
        <w:t>．联合体各成员单位内部的职责分工如下：。</w:t>
      </w:r>
      <w:bookmarkEnd w:id="239"/>
      <w:bookmarkEnd w:id="240"/>
    </w:p>
    <w:p w14:paraId="1D71CD83">
      <w:pPr>
        <w:keepNext w:val="0"/>
        <w:keepLines w:val="0"/>
        <w:pageBreakBefore w:val="0"/>
        <w:widowControl/>
        <w:kinsoku w:val="0"/>
        <w:wordWrap/>
        <w:overflowPunct/>
        <w:topLinePunct w:val="0"/>
        <w:autoSpaceDE w:val="0"/>
        <w:autoSpaceDN w:val="0"/>
        <w:bidi w:val="0"/>
        <w:adjustRightInd w:val="0"/>
        <w:snapToGrid w:val="0"/>
        <w:spacing w:before="152" w:line="264" w:lineRule="auto"/>
        <w:ind w:right="71" w:firstLine="48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5</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．投标工作和联合体在中标后工程实施过程中的有关费用按</w:t>
      </w:r>
      <w:r>
        <w:rPr>
          <w:rFonts w:hint="eastAsia" w:ascii="宋体" w:hAnsi="宋体" w:eastAsia="宋体" w:cs="宋体"/>
          <w:color w:val="auto"/>
          <w:spacing w:val="-2"/>
          <w:sz w:val="24"/>
          <w:szCs w:val="24"/>
          <w:highlight w:val="none"/>
        </w:rPr>
        <w:t>各自承担的工作量分</w:t>
      </w:r>
      <w:r>
        <w:rPr>
          <w:rFonts w:hint="eastAsia" w:ascii="宋体" w:hAnsi="宋体" w:eastAsia="宋体" w:cs="宋体"/>
          <w:color w:val="auto"/>
          <w:spacing w:val="-5"/>
          <w:sz w:val="24"/>
          <w:szCs w:val="24"/>
          <w:highlight w:val="none"/>
        </w:rPr>
        <w:t>摊。</w:t>
      </w:r>
    </w:p>
    <w:p w14:paraId="03389633">
      <w:pPr>
        <w:keepNext w:val="0"/>
        <w:keepLines w:val="0"/>
        <w:pageBreakBefore w:val="0"/>
        <w:widowControl/>
        <w:kinsoku w:val="0"/>
        <w:wordWrap/>
        <w:overflowPunct/>
        <w:topLinePunct w:val="0"/>
        <w:autoSpaceDE w:val="0"/>
        <w:autoSpaceDN w:val="0"/>
        <w:bidi w:val="0"/>
        <w:adjustRightInd w:val="0"/>
        <w:snapToGrid w:val="0"/>
        <w:spacing w:before="153" w:line="264" w:lineRule="auto"/>
        <w:ind w:left="4" w:right="71" w:firstLine="477"/>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6</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．联合体中标后，本联合体协议是合同的附件，对联合体各成</w:t>
      </w:r>
      <w:r>
        <w:rPr>
          <w:rFonts w:hint="eastAsia" w:ascii="宋体" w:hAnsi="宋体" w:eastAsia="宋体" w:cs="宋体"/>
          <w:color w:val="auto"/>
          <w:spacing w:val="-2"/>
          <w:sz w:val="24"/>
          <w:szCs w:val="24"/>
          <w:highlight w:val="none"/>
        </w:rPr>
        <w:t>员单位有合同约束</w:t>
      </w:r>
      <w:r>
        <w:rPr>
          <w:rFonts w:hint="eastAsia" w:ascii="宋体" w:hAnsi="宋体" w:eastAsia="宋体" w:cs="宋体"/>
          <w:color w:val="auto"/>
          <w:spacing w:val="-7"/>
          <w:sz w:val="24"/>
          <w:szCs w:val="24"/>
          <w:highlight w:val="none"/>
        </w:rPr>
        <w:t>力。</w:t>
      </w:r>
    </w:p>
    <w:p w14:paraId="3D9DFEE6">
      <w:pPr>
        <w:keepNext w:val="0"/>
        <w:keepLines w:val="0"/>
        <w:pageBreakBefore w:val="0"/>
        <w:widowControl/>
        <w:kinsoku w:val="0"/>
        <w:wordWrap/>
        <w:overflowPunct/>
        <w:topLinePunct w:val="0"/>
        <w:autoSpaceDE w:val="0"/>
        <w:autoSpaceDN w:val="0"/>
        <w:bidi w:val="0"/>
        <w:adjustRightInd w:val="0"/>
        <w:snapToGrid w:val="0"/>
        <w:spacing w:before="157" w:line="264" w:lineRule="auto"/>
        <w:ind w:left="6" w:right="71" w:firstLine="473"/>
        <w:textAlignment w:val="baseline"/>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7</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1"/>
          <w:sz w:val="24"/>
          <w:szCs w:val="24"/>
          <w:highlight w:val="none"/>
        </w:rPr>
        <w:t>．本协议书自签署之日起生效，联合体未中标或者中标时合同履行</w:t>
      </w:r>
      <w:r>
        <w:rPr>
          <w:rFonts w:hint="eastAsia" w:ascii="宋体" w:hAnsi="宋体" w:eastAsia="宋体" w:cs="宋体"/>
          <w:color w:val="auto"/>
          <w:spacing w:val="-2"/>
          <w:sz w:val="24"/>
          <w:szCs w:val="24"/>
          <w:highlight w:val="none"/>
        </w:rPr>
        <w:t>完毕后自动失</w:t>
      </w:r>
      <w:r>
        <w:rPr>
          <w:rFonts w:hint="eastAsia" w:ascii="宋体" w:hAnsi="宋体" w:eastAsia="宋体" w:cs="宋体"/>
          <w:color w:val="auto"/>
          <w:spacing w:val="-8"/>
          <w:sz w:val="24"/>
          <w:szCs w:val="24"/>
          <w:highlight w:val="none"/>
        </w:rPr>
        <w:t>效。</w:t>
      </w:r>
    </w:p>
    <w:p w14:paraId="1DB0ADDC">
      <w:pPr>
        <w:keepNext w:val="0"/>
        <w:keepLines w:val="0"/>
        <w:pageBreakBefore w:val="0"/>
        <w:widowControl/>
        <w:kinsoku w:val="0"/>
        <w:wordWrap/>
        <w:overflowPunct/>
        <w:topLinePunct w:val="0"/>
        <w:autoSpaceDE w:val="0"/>
        <w:autoSpaceDN w:val="0"/>
        <w:bidi w:val="0"/>
        <w:adjustRightInd w:val="0"/>
        <w:snapToGrid w:val="0"/>
        <w:spacing w:before="152" w:line="264" w:lineRule="auto"/>
        <w:ind w:left="486"/>
        <w:textAlignment w:val="baseline"/>
        <w:outlineLvl w:val="9"/>
        <w:rPr>
          <w:rFonts w:hint="eastAsia" w:ascii="宋体" w:hAnsi="宋体" w:eastAsia="宋体" w:cs="宋体"/>
          <w:color w:val="auto"/>
          <w:sz w:val="24"/>
          <w:szCs w:val="24"/>
          <w:highlight w:val="none"/>
        </w:rPr>
      </w:pPr>
      <w:bookmarkStart w:id="241" w:name="_Toc22612"/>
      <w:bookmarkStart w:id="242" w:name="_Toc26708"/>
      <w:r>
        <w:rPr>
          <w:rFonts w:hint="eastAsia" w:ascii="宋体" w:hAnsi="宋体" w:eastAsia="宋体" w:cs="宋体"/>
          <w:color w:val="auto"/>
          <w:spacing w:val="-2"/>
          <w:sz w:val="24"/>
          <w:szCs w:val="24"/>
          <w:highlight w:val="none"/>
        </w:rPr>
        <w:t>8</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2"/>
          <w:sz w:val="24"/>
          <w:szCs w:val="24"/>
          <w:highlight w:val="none"/>
        </w:rPr>
        <w:t>．本协议书一式份，联合体成员和招标人各执一份。</w:t>
      </w:r>
      <w:bookmarkEnd w:id="241"/>
      <w:bookmarkEnd w:id="242"/>
    </w:p>
    <w:p w14:paraId="599B051B">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bookmarkStart w:id="243" w:name="bookmark154"/>
      <w:bookmarkEnd w:id="243"/>
      <w:r>
        <w:rPr>
          <w:rFonts w:hint="eastAsia" w:ascii="宋体" w:hAnsi="宋体" w:eastAsia="宋体" w:cs="宋体"/>
          <w:color w:val="auto"/>
          <w:sz w:val="24"/>
          <w:szCs w:val="24"/>
          <w:highlight w:val="none"/>
        </w:rPr>
        <w:t>牵头人名称</w:t>
      </w:r>
      <w:r>
        <w:rPr>
          <w:rFonts w:hint="eastAsia" w:ascii="宋体" w:hAnsi="宋体" w:eastAsia="宋体" w:cs="宋体"/>
          <w:color w:val="auto"/>
          <w:spacing w:val="-15"/>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盖单位章）</w:t>
      </w:r>
    </w:p>
    <w:p w14:paraId="109CFDDE">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03AF1506">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1F0DAD0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成员二名称</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盖单位章）</w:t>
      </w:r>
    </w:p>
    <w:p w14:paraId="05AA9D56">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28E891F2">
      <w:pPr>
        <w:keepNext w:val="0"/>
        <w:keepLines w:val="0"/>
        <w:pageBreakBefore w:val="0"/>
        <w:widowControl/>
        <w:kinsoku w:val="0"/>
        <w:wordWrap/>
        <w:overflowPunct/>
        <w:topLinePunct w:val="0"/>
        <w:autoSpaceDE w:val="0"/>
        <w:autoSpaceDN w:val="0"/>
        <w:bidi w:val="0"/>
        <w:adjustRightInd w:val="0"/>
        <w:snapToGrid w:val="0"/>
        <w:spacing w:before="78" w:line="264" w:lineRule="auto"/>
        <w:jc w:val="righ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w:t>
      </w:r>
      <w:r>
        <w:rPr>
          <w:rFonts w:hint="eastAsia" w:ascii="宋体" w:hAnsi="宋体" w:eastAsia="宋体" w:cs="宋体"/>
          <w:color w:val="auto"/>
          <w:spacing w:val="-17"/>
          <w:sz w:val="24"/>
          <w:szCs w:val="24"/>
          <w:highlight w:val="none"/>
        </w:rPr>
        <w:t>：</w:t>
      </w:r>
      <w:r>
        <w:rPr>
          <w:rFonts w:hint="eastAsia" w:ascii="宋体" w:hAnsi="宋体" w:eastAsia="宋体" w:cs="宋体"/>
          <w:snapToGrid w:val="0"/>
          <w:color w:val="auto"/>
          <w:kern w:val="0"/>
          <w:sz w:val="24"/>
          <w:szCs w:val="24"/>
          <w:highlight w:val="none"/>
          <w:u w:val="single"/>
          <w:lang w:val="en-US" w:eastAsia="zh-CN" w:bidi="ar-SA"/>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z w:val="24"/>
          <w:szCs w:val="24"/>
          <w:highlight w:val="none"/>
        </w:rPr>
        <w:t>签字或盖章）</w:t>
      </w:r>
    </w:p>
    <w:p w14:paraId="6B70E035">
      <w:pPr>
        <w:spacing w:before="78" w:line="220" w:lineRule="auto"/>
        <w:ind w:left="6730"/>
        <w:jc w:val="right"/>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601F5F4F">
      <w:pPr>
        <w:pStyle w:val="5"/>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highlight w:val="none"/>
        </w:rPr>
      </w:pPr>
    </w:p>
    <w:p w14:paraId="1EC8E023">
      <w:pPr>
        <w:keepNext w:val="0"/>
        <w:keepLines w:val="0"/>
        <w:pageBreakBefore w:val="0"/>
        <w:widowControl/>
        <w:kinsoku w:val="0"/>
        <w:wordWrap/>
        <w:overflowPunct/>
        <w:topLinePunct w:val="0"/>
        <w:autoSpaceDE w:val="0"/>
        <w:autoSpaceDN w:val="0"/>
        <w:bidi w:val="0"/>
        <w:adjustRightInd w:val="0"/>
        <w:snapToGrid w:val="0"/>
        <w:spacing w:before="65" w:line="264" w:lineRule="auto"/>
        <w:ind w:right="22"/>
        <w:jc w:val="both"/>
        <w:textAlignment w:val="baseline"/>
        <w:rPr>
          <w:rFonts w:hint="eastAsia" w:ascii="宋体" w:hAnsi="宋体" w:eastAsia="宋体" w:cs="宋体"/>
          <w:color w:val="auto"/>
          <w:sz w:val="20"/>
          <w:szCs w:val="20"/>
          <w:highlight w:val="none"/>
        </w:rPr>
      </w:pPr>
      <w:r>
        <w:rPr>
          <w:rFonts w:hint="eastAsia" w:ascii="宋体" w:hAnsi="宋体" w:eastAsia="宋体" w:cs="宋体"/>
          <w:color w:val="auto"/>
          <w:spacing w:val="9"/>
          <w:sz w:val="20"/>
          <w:szCs w:val="20"/>
          <w:highlight w:val="none"/>
        </w:rPr>
        <w:t>说明：《联合体协议书》</w:t>
      </w:r>
      <w:r>
        <w:rPr>
          <w:rFonts w:hint="eastAsia" w:ascii="宋体" w:hAnsi="宋体" w:eastAsia="宋体" w:cs="宋体"/>
          <w:color w:val="auto"/>
          <w:spacing w:val="-55"/>
          <w:sz w:val="20"/>
          <w:szCs w:val="20"/>
          <w:highlight w:val="none"/>
        </w:rPr>
        <w:t xml:space="preserve"> </w:t>
      </w:r>
      <w:r>
        <w:rPr>
          <w:rFonts w:hint="eastAsia" w:ascii="宋体" w:hAnsi="宋体" w:eastAsia="宋体" w:cs="宋体"/>
          <w:color w:val="auto"/>
          <w:spacing w:val="9"/>
          <w:sz w:val="20"/>
          <w:szCs w:val="20"/>
          <w:highlight w:val="none"/>
        </w:rPr>
        <w:t>由委托代理人签字或盖章的，</w:t>
      </w:r>
      <w:r>
        <w:rPr>
          <w:rFonts w:hint="eastAsia" w:ascii="宋体" w:hAnsi="宋体" w:eastAsia="宋体" w:cs="宋体"/>
          <w:color w:val="auto"/>
          <w:spacing w:val="8"/>
          <w:sz w:val="20"/>
          <w:szCs w:val="20"/>
          <w:highlight w:val="none"/>
        </w:rPr>
        <w:t>应附法定代表人签字或盖章的授权委托</w:t>
      </w:r>
      <w:r>
        <w:rPr>
          <w:rFonts w:hint="eastAsia" w:ascii="宋体" w:hAnsi="宋体" w:eastAsia="宋体" w:cs="宋体"/>
          <w:color w:val="auto"/>
          <w:spacing w:val="-2"/>
          <w:sz w:val="20"/>
          <w:szCs w:val="20"/>
          <w:highlight w:val="none"/>
        </w:rPr>
        <w:t>书。</w:t>
      </w:r>
    </w:p>
    <w:p w14:paraId="14CA2F70">
      <w:pPr>
        <w:keepNext w:val="0"/>
        <w:keepLines w:val="0"/>
        <w:pageBreakBefore w:val="0"/>
        <w:widowControl/>
        <w:kinsoku w:val="0"/>
        <w:wordWrap/>
        <w:overflowPunct/>
        <w:topLinePunct w:val="0"/>
        <w:autoSpaceDE w:val="0"/>
        <w:autoSpaceDN w:val="0"/>
        <w:bidi w:val="0"/>
        <w:adjustRightInd w:val="0"/>
        <w:snapToGrid w:val="0"/>
        <w:spacing w:line="264" w:lineRule="auto"/>
        <w:textAlignment w:val="baseline"/>
        <w:rPr>
          <w:rFonts w:hint="eastAsia" w:ascii="宋体" w:hAnsi="宋体" w:eastAsia="宋体" w:cs="宋体"/>
          <w:color w:val="auto"/>
          <w:sz w:val="20"/>
          <w:szCs w:val="20"/>
          <w:highlight w:val="none"/>
        </w:rPr>
        <w:sectPr>
          <w:footerReference r:id="rId19"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5F3704FE">
      <w:pPr>
        <w:spacing w:before="78" w:line="220" w:lineRule="auto"/>
        <w:outlineLvl w:val="2"/>
        <w:rPr>
          <w:rFonts w:hint="eastAsia" w:ascii="宋体" w:hAnsi="宋体" w:eastAsia="宋体" w:cs="宋体"/>
          <w:b/>
          <w:bCs/>
          <w:color w:val="auto"/>
          <w:spacing w:val="-4"/>
          <w:sz w:val="24"/>
          <w:szCs w:val="24"/>
          <w:highlight w:val="none"/>
        </w:rPr>
      </w:pPr>
      <w:bookmarkStart w:id="244" w:name="_Toc17838"/>
      <w:r>
        <w:rPr>
          <w:rFonts w:hint="eastAsia" w:ascii="宋体" w:hAnsi="宋体" w:eastAsia="宋体" w:cs="宋体"/>
          <w:b/>
          <w:bCs/>
          <w:color w:val="auto"/>
          <w:spacing w:val="-4"/>
          <w:sz w:val="24"/>
          <w:szCs w:val="24"/>
          <w:highlight w:val="none"/>
        </w:rPr>
        <w:t>格式七 投标人基本情况表</w:t>
      </w:r>
      <w:bookmarkEnd w:id="244"/>
    </w:p>
    <w:p w14:paraId="365D949B">
      <w:pPr>
        <w:spacing w:before="333" w:line="219" w:lineRule="auto"/>
        <w:ind w:left="3350"/>
        <w:rPr>
          <w:rFonts w:hint="eastAsia" w:ascii="宋体" w:hAnsi="宋体" w:eastAsia="宋体" w:cs="宋体"/>
          <w:color w:val="auto"/>
          <w:sz w:val="30"/>
          <w:szCs w:val="30"/>
          <w:highlight w:val="none"/>
        </w:rPr>
      </w:pPr>
      <w:r>
        <w:rPr>
          <w:rFonts w:hint="eastAsia" w:ascii="宋体" w:hAnsi="宋体" w:eastAsia="宋体" w:cs="宋体"/>
          <w:b/>
          <w:bCs/>
          <w:color w:val="auto"/>
          <w:spacing w:val="-5"/>
          <w:sz w:val="30"/>
          <w:szCs w:val="30"/>
          <w:highlight w:val="none"/>
        </w:rPr>
        <w:t>投标人基本情况表</w:t>
      </w:r>
    </w:p>
    <w:p w14:paraId="2CD970DC">
      <w:pPr>
        <w:spacing w:line="239" w:lineRule="exact"/>
        <w:rPr>
          <w:rFonts w:hint="eastAsia" w:ascii="宋体" w:hAnsi="宋体" w:eastAsia="宋体" w:cs="宋体"/>
          <w:color w:val="auto"/>
          <w:highlight w:val="none"/>
        </w:rPr>
      </w:pPr>
    </w:p>
    <w:tbl>
      <w:tblPr>
        <w:tblStyle w:val="14"/>
        <w:tblW w:w="9259" w:type="dxa"/>
        <w:tblInd w:w="28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20"/>
        <w:gridCol w:w="975"/>
        <w:gridCol w:w="1837"/>
        <w:gridCol w:w="872"/>
        <w:gridCol w:w="311"/>
        <w:gridCol w:w="1043"/>
        <w:gridCol w:w="283"/>
        <w:gridCol w:w="770"/>
        <w:gridCol w:w="1548"/>
      </w:tblGrid>
      <w:tr w14:paraId="44A25A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20" w:type="dxa"/>
            <w:vAlign w:val="center"/>
          </w:tcPr>
          <w:p w14:paraId="07127D66">
            <w:pPr>
              <w:spacing w:before="149" w:line="229" w:lineRule="auto"/>
              <w:ind w:left="22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p>
        </w:tc>
        <w:tc>
          <w:tcPr>
            <w:tcW w:w="7639" w:type="dxa"/>
            <w:gridSpan w:val="8"/>
            <w:vAlign w:val="top"/>
          </w:tcPr>
          <w:p w14:paraId="686AB840">
            <w:pPr>
              <w:pStyle w:val="21"/>
              <w:rPr>
                <w:rFonts w:hint="eastAsia" w:ascii="宋体" w:hAnsi="宋体" w:eastAsia="宋体" w:cs="宋体"/>
                <w:color w:val="auto"/>
                <w:sz w:val="24"/>
                <w:szCs w:val="24"/>
                <w:highlight w:val="none"/>
              </w:rPr>
            </w:pPr>
          </w:p>
        </w:tc>
      </w:tr>
      <w:tr w14:paraId="4CC1D3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620" w:type="dxa"/>
            <w:vAlign w:val="top"/>
          </w:tcPr>
          <w:p w14:paraId="19EABCF3">
            <w:pPr>
              <w:spacing w:before="144"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注册地址</w:t>
            </w:r>
          </w:p>
        </w:tc>
        <w:tc>
          <w:tcPr>
            <w:tcW w:w="3684" w:type="dxa"/>
            <w:gridSpan w:val="3"/>
            <w:vAlign w:val="top"/>
          </w:tcPr>
          <w:p w14:paraId="0AC65D35">
            <w:pPr>
              <w:pStyle w:val="21"/>
              <w:rPr>
                <w:rFonts w:hint="eastAsia" w:ascii="宋体" w:hAnsi="宋体" w:eastAsia="宋体" w:cs="宋体"/>
                <w:color w:val="auto"/>
                <w:sz w:val="24"/>
                <w:szCs w:val="24"/>
                <w:highlight w:val="none"/>
              </w:rPr>
            </w:pPr>
          </w:p>
        </w:tc>
        <w:tc>
          <w:tcPr>
            <w:tcW w:w="1354" w:type="dxa"/>
            <w:gridSpan w:val="2"/>
            <w:vAlign w:val="top"/>
          </w:tcPr>
          <w:p w14:paraId="031EC2C9">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邮政编码</w:t>
            </w:r>
          </w:p>
        </w:tc>
        <w:tc>
          <w:tcPr>
            <w:tcW w:w="2601" w:type="dxa"/>
            <w:gridSpan w:val="3"/>
            <w:vAlign w:val="top"/>
          </w:tcPr>
          <w:p w14:paraId="7AD354B7">
            <w:pPr>
              <w:pStyle w:val="21"/>
              <w:rPr>
                <w:rFonts w:hint="eastAsia" w:ascii="宋体" w:hAnsi="宋体" w:eastAsia="宋体" w:cs="宋体"/>
                <w:color w:val="auto"/>
                <w:sz w:val="24"/>
                <w:szCs w:val="24"/>
                <w:highlight w:val="none"/>
              </w:rPr>
            </w:pPr>
          </w:p>
        </w:tc>
      </w:tr>
      <w:tr w14:paraId="2574F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1620" w:type="dxa"/>
            <w:vMerge w:val="restart"/>
            <w:tcBorders>
              <w:bottom w:val="nil"/>
            </w:tcBorders>
            <w:vAlign w:val="top"/>
          </w:tcPr>
          <w:p w14:paraId="15650E43">
            <w:pPr>
              <w:pStyle w:val="21"/>
              <w:spacing w:line="332" w:lineRule="auto"/>
              <w:rPr>
                <w:rFonts w:hint="eastAsia" w:ascii="宋体" w:hAnsi="宋体" w:eastAsia="宋体" w:cs="宋体"/>
                <w:color w:val="auto"/>
                <w:sz w:val="24"/>
                <w:szCs w:val="24"/>
                <w:highlight w:val="none"/>
              </w:rPr>
            </w:pPr>
          </w:p>
          <w:p w14:paraId="3917AF4F">
            <w:pPr>
              <w:spacing w:before="65" w:line="230" w:lineRule="auto"/>
              <w:ind w:left="329"/>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联系方式</w:t>
            </w:r>
          </w:p>
        </w:tc>
        <w:tc>
          <w:tcPr>
            <w:tcW w:w="975" w:type="dxa"/>
            <w:vAlign w:val="top"/>
          </w:tcPr>
          <w:p w14:paraId="3D7FC625">
            <w:pPr>
              <w:spacing w:before="145" w:line="231" w:lineRule="auto"/>
              <w:ind w:left="13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联系人</w:t>
            </w:r>
          </w:p>
        </w:tc>
        <w:tc>
          <w:tcPr>
            <w:tcW w:w="2709" w:type="dxa"/>
            <w:gridSpan w:val="2"/>
            <w:vAlign w:val="top"/>
          </w:tcPr>
          <w:p w14:paraId="74C76AE1">
            <w:pPr>
              <w:pStyle w:val="21"/>
              <w:rPr>
                <w:rFonts w:hint="eastAsia" w:ascii="宋体" w:hAnsi="宋体" w:eastAsia="宋体" w:cs="宋体"/>
                <w:color w:val="auto"/>
                <w:sz w:val="24"/>
                <w:szCs w:val="24"/>
                <w:highlight w:val="none"/>
              </w:rPr>
            </w:pPr>
          </w:p>
        </w:tc>
        <w:tc>
          <w:tcPr>
            <w:tcW w:w="1354" w:type="dxa"/>
            <w:gridSpan w:val="2"/>
            <w:vAlign w:val="top"/>
          </w:tcPr>
          <w:p w14:paraId="65D93497">
            <w:pPr>
              <w:spacing w:before="145" w:line="231"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电</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2"/>
                <w:sz w:val="24"/>
                <w:szCs w:val="24"/>
                <w:highlight w:val="none"/>
              </w:rPr>
              <w:t>话</w:t>
            </w:r>
          </w:p>
        </w:tc>
        <w:tc>
          <w:tcPr>
            <w:tcW w:w="2601" w:type="dxa"/>
            <w:gridSpan w:val="3"/>
            <w:vAlign w:val="top"/>
          </w:tcPr>
          <w:p w14:paraId="275175F8">
            <w:pPr>
              <w:pStyle w:val="21"/>
              <w:rPr>
                <w:rFonts w:hint="eastAsia" w:ascii="宋体" w:hAnsi="宋体" w:eastAsia="宋体" w:cs="宋体"/>
                <w:color w:val="auto"/>
                <w:sz w:val="24"/>
                <w:szCs w:val="24"/>
                <w:highlight w:val="none"/>
              </w:rPr>
            </w:pPr>
          </w:p>
        </w:tc>
      </w:tr>
      <w:tr w14:paraId="320F6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620" w:type="dxa"/>
            <w:vMerge w:val="continue"/>
            <w:tcBorders>
              <w:top w:val="nil"/>
            </w:tcBorders>
            <w:vAlign w:val="top"/>
          </w:tcPr>
          <w:p w14:paraId="173CE181">
            <w:pPr>
              <w:pStyle w:val="21"/>
              <w:rPr>
                <w:rFonts w:hint="eastAsia" w:ascii="宋体" w:hAnsi="宋体" w:eastAsia="宋体" w:cs="宋体"/>
                <w:color w:val="auto"/>
                <w:sz w:val="24"/>
                <w:szCs w:val="24"/>
                <w:highlight w:val="none"/>
              </w:rPr>
            </w:pPr>
          </w:p>
        </w:tc>
        <w:tc>
          <w:tcPr>
            <w:tcW w:w="975" w:type="dxa"/>
            <w:vAlign w:val="top"/>
          </w:tcPr>
          <w:p w14:paraId="42FC9B75">
            <w:pPr>
              <w:spacing w:before="143" w:line="228" w:lineRule="auto"/>
              <w:ind w:left="13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传</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真</w:t>
            </w:r>
          </w:p>
        </w:tc>
        <w:tc>
          <w:tcPr>
            <w:tcW w:w="2709" w:type="dxa"/>
            <w:gridSpan w:val="2"/>
            <w:vAlign w:val="top"/>
          </w:tcPr>
          <w:p w14:paraId="7E63A544">
            <w:pPr>
              <w:pStyle w:val="21"/>
              <w:rPr>
                <w:rFonts w:hint="eastAsia" w:ascii="宋体" w:hAnsi="宋体" w:eastAsia="宋体" w:cs="宋体"/>
                <w:color w:val="auto"/>
                <w:sz w:val="24"/>
                <w:szCs w:val="24"/>
                <w:highlight w:val="none"/>
              </w:rPr>
            </w:pPr>
          </w:p>
        </w:tc>
        <w:tc>
          <w:tcPr>
            <w:tcW w:w="1354" w:type="dxa"/>
            <w:gridSpan w:val="2"/>
            <w:vAlign w:val="top"/>
          </w:tcPr>
          <w:p w14:paraId="6612B606">
            <w:pPr>
              <w:spacing w:before="144" w:line="229" w:lineRule="auto"/>
              <w:ind w:left="235"/>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电子邮箱</w:t>
            </w:r>
          </w:p>
        </w:tc>
        <w:tc>
          <w:tcPr>
            <w:tcW w:w="2601" w:type="dxa"/>
            <w:gridSpan w:val="3"/>
            <w:vAlign w:val="top"/>
          </w:tcPr>
          <w:p w14:paraId="5F4345F5">
            <w:pPr>
              <w:pStyle w:val="21"/>
              <w:rPr>
                <w:rFonts w:hint="eastAsia" w:ascii="宋体" w:hAnsi="宋体" w:eastAsia="宋体" w:cs="宋体"/>
                <w:color w:val="auto"/>
                <w:sz w:val="24"/>
                <w:szCs w:val="24"/>
                <w:highlight w:val="none"/>
              </w:rPr>
            </w:pPr>
          </w:p>
        </w:tc>
      </w:tr>
      <w:tr w14:paraId="17C69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9" w:hRule="atLeast"/>
        </w:trPr>
        <w:tc>
          <w:tcPr>
            <w:tcW w:w="1620" w:type="dxa"/>
            <w:vAlign w:val="top"/>
          </w:tcPr>
          <w:p w14:paraId="45F28E6B">
            <w:pPr>
              <w:spacing w:before="14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单位性质</w:t>
            </w:r>
          </w:p>
        </w:tc>
        <w:tc>
          <w:tcPr>
            <w:tcW w:w="7639" w:type="dxa"/>
            <w:gridSpan w:val="8"/>
            <w:vAlign w:val="top"/>
          </w:tcPr>
          <w:p w14:paraId="1E0E32B6">
            <w:pPr>
              <w:pStyle w:val="21"/>
              <w:rPr>
                <w:rFonts w:hint="eastAsia" w:ascii="宋体" w:hAnsi="宋体" w:eastAsia="宋体" w:cs="宋体"/>
                <w:color w:val="auto"/>
                <w:sz w:val="24"/>
                <w:szCs w:val="24"/>
                <w:highlight w:val="none"/>
              </w:rPr>
            </w:pPr>
          </w:p>
        </w:tc>
      </w:tr>
      <w:tr w14:paraId="7ACAF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183ED7E1">
            <w:pPr>
              <w:spacing w:before="144" w:line="228" w:lineRule="auto"/>
              <w:ind w:left="22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法定代表人</w:t>
            </w:r>
          </w:p>
        </w:tc>
        <w:tc>
          <w:tcPr>
            <w:tcW w:w="975" w:type="dxa"/>
            <w:vAlign w:val="top"/>
          </w:tcPr>
          <w:p w14:paraId="07222CE7">
            <w:pPr>
              <w:spacing w:before="144" w:line="228" w:lineRule="auto"/>
              <w:ind w:left="2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837" w:type="dxa"/>
            <w:vAlign w:val="top"/>
          </w:tcPr>
          <w:p w14:paraId="091073F5">
            <w:pPr>
              <w:pStyle w:val="21"/>
              <w:rPr>
                <w:rFonts w:hint="eastAsia" w:ascii="宋体" w:hAnsi="宋体" w:eastAsia="宋体" w:cs="宋体"/>
                <w:color w:val="auto"/>
                <w:sz w:val="24"/>
                <w:szCs w:val="24"/>
                <w:highlight w:val="none"/>
              </w:rPr>
            </w:pPr>
          </w:p>
        </w:tc>
        <w:tc>
          <w:tcPr>
            <w:tcW w:w="1183" w:type="dxa"/>
            <w:gridSpan w:val="2"/>
            <w:vAlign w:val="top"/>
          </w:tcPr>
          <w:p w14:paraId="4A11ACAE">
            <w:pPr>
              <w:spacing w:before="144" w:line="228" w:lineRule="auto"/>
              <w:ind w:left="13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技术职称</w:t>
            </w:r>
          </w:p>
        </w:tc>
        <w:tc>
          <w:tcPr>
            <w:tcW w:w="1326" w:type="dxa"/>
            <w:gridSpan w:val="2"/>
            <w:vAlign w:val="top"/>
          </w:tcPr>
          <w:p w14:paraId="6ADE5618">
            <w:pPr>
              <w:pStyle w:val="21"/>
              <w:rPr>
                <w:rFonts w:hint="eastAsia" w:ascii="宋体" w:hAnsi="宋体" w:eastAsia="宋体" w:cs="宋体"/>
                <w:color w:val="auto"/>
                <w:sz w:val="24"/>
                <w:szCs w:val="24"/>
                <w:highlight w:val="none"/>
              </w:rPr>
            </w:pPr>
          </w:p>
        </w:tc>
        <w:tc>
          <w:tcPr>
            <w:tcW w:w="770" w:type="dxa"/>
            <w:vAlign w:val="top"/>
          </w:tcPr>
          <w:p w14:paraId="5C8E96FC">
            <w:pPr>
              <w:spacing w:before="143" w:line="231" w:lineRule="auto"/>
              <w:ind w:left="17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电话</w:t>
            </w:r>
          </w:p>
        </w:tc>
        <w:tc>
          <w:tcPr>
            <w:tcW w:w="1548" w:type="dxa"/>
            <w:vAlign w:val="top"/>
          </w:tcPr>
          <w:p w14:paraId="6AD0C2BC">
            <w:pPr>
              <w:pStyle w:val="21"/>
              <w:rPr>
                <w:rFonts w:hint="eastAsia" w:ascii="宋体" w:hAnsi="宋体" w:eastAsia="宋体" w:cs="宋体"/>
                <w:color w:val="auto"/>
                <w:sz w:val="24"/>
                <w:szCs w:val="24"/>
                <w:highlight w:val="none"/>
              </w:rPr>
            </w:pPr>
          </w:p>
        </w:tc>
      </w:tr>
      <w:tr w14:paraId="191733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1620" w:type="dxa"/>
            <w:vAlign w:val="top"/>
          </w:tcPr>
          <w:p w14:paraId="5ADD1B28">
            <w:pPr>
              <w:spacing w:before="145" w:line="230"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成立时间</w:t>
            </w:r>
          </w:p>
        </w:tc>
        <w:tc>
          <w:tcPr>
            <w:tcW w:w="2812" w:type="dxa"/>
            <w:gridSpan w:val="2"/>
            <w:vAlign w:val="top"/>
          </w:tcPr>
          <w:p w14:paraId="4BAD1642">
            <w:pPr>
              <w:pStyle w:val="21"/>
              <w:rPr>
                <w:rFonts w:hint="eastAsia" w:ascii="宋体" w:hAnsi="宋体" w:eastAsia="宋体" w:cs="宋体"/>
                <w:color w:val="auto"/>
                <w:sz w:val="24"/>
                <w:szCs w:val="24"/>
                <w:highlight w:val="none"/>
              </w:rPr>
            </w:pPr>
          </w:p>
        </w:tc>
        <w:tc>
          <w:tcPr>
            <w:tcW w:w="4827" w:type="dxa"/>
            <w:gridSpan w:val="6"/>
            <w:vAlign w:val="top"/>
          </w:tcPr>
          <w:p w14:paraId="30D24B75">
            <w:pPr>
              <w:spacing w:before="145" w:line="228" w:lineRule="auto"/>
              <w:ind w:left="1287"/>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员工总人数（个</w:t>
            </w:r>
            <w:r>
              <w:rPr>
                <w:rFonts w:hint="eastAsia" w:ascii="宋体" w:hAnsi="宋体" w:eastAsia="宋体" w:cs="宋体"/>
                <w:color w:val="auto"/>
                <w:sz w:val="24"/>
                <w:szCs w:val="24"/>
                <w:highlight w:val="none"/>
              </w:rPr>
              <w:t>）：</w:t>
            </w:r>
          </w:p>
        </w:tc>
      </w:tr>
      <w:tr w14:paraId="1229E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20" w:type="dxa"/>
            <w:vAlign w:val="top"/>
          </w:tcPr>
          <w:p w14:paraId="754966A2">
            <w:pPr>
              <w:spacing w:before="61" w:line="262" w:lineRule="auto"/>
              <w:ind w:right="220"/>
              <w:jc w:val="center"/>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企业资质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类型和等级</w:t>
            </w:r>
          </w:p>
        </w:tc>
        <w:tc>
          <w:tcPr>
            <w:tcW w:w="2812" w:type="dxa"/>
            <w:gridSpan w:val="2"/>
            <w:vAlign w:val="top"/>
          </w:tcPr>
          <w:p w14:paraId="782B0B60">
            <w:pPr>
              <w:pStyle w:val="21"/>
              <w:rPr>
                <w:rFonts w:hint="eastAsia" w:ascii="宋体" w:hAnsi="宋体" w:eastAsia="宋体" w:cs="宋体"/>
                <w:color w:val="auto"/>
                <w:sz w:val="24"/>
                <w:szCs w:val="24"/>
                <w:highlight w:val="none"/>
              </w:rPr>
            </w:pPr>
          </w:p>
        </w:tc>
        <w:tc>
          <w:tcPr>
            <w:tcW w:w="1183" w:type="dxa"/>
            <w:gridSpan w:val="2"/>
            <w:vMerge w:val="restart"/>
            <w:tcBorders>
              <w:bottom w:val="nil"/>
            </w:tcBorders>
            <w:vAlign w:val="top"/>
          </w:tcPr>
          <w:p w14:paraId="7A69FEFC">
            <w:pPr>
              <w:pStyle w:val="21"/>
              <w:spacing w:line="254" w:lineRule="auto"/>
              <w:rPr>
                <w:rFonts w:hint="eastAsia" w:ascii="宋体" w:hAnsi="宋体" w:eastAsia="宋体" w:cs="宋体"/>
                <w:color w:val="auto"/>
                <w:sz w:val="24"/>
                <w:szCs w:val="24"/>
                <w:highlight w:val="none"/>
              </w:rPr>
            </w:pPr>
          </w:p>
          <w:p w14:paraId="02C0E7FA">
            <w:pPr>
              <w:pStyle w:val="21"/>
              <w:spacing w:line="254" w:lineRule="auto"/>
              <w:rPr>
                <w:rFonts w:hint="eastAsia" w:ascii="宋体" w:hAnsi="宋体" w:eastAsia="宋体" w:cs="宋体"/>
                <w:color w:val="auto"/>
                <w:sz w:val="24"/>
                <w:szCs w:val="24"/>
                <w:highlight w:val="none"/>
              </w:rPr>
            </w:pPr>
          </w:p>
          <w:p w14:paraId="1FBAEACC">
            <w:pPr>
              <w:pStyle w:val="21"/>
              <w:spacing w:line="254" w:lineRule="auto"/>
              <w:rPr>
                <w:rFonts w:hint="eastAsia" w:ascii="宋体" w:hAnsi="宋体" w:eastAsia="宋体" w:cs="宋体"/>
                <w:color w:val="auto"/>
                <w:sz w:val="24"/>
                <w:szCs w:val="24"/>
                <w:highlight w:val="none"/>
              </w:rPr>
            </w:pPr>
          </w:p>
          <w:p w14:paraId="64C94A08">
            <w:pPr>
              <w:pStyle w:val="21"/>
              <w:spacing w:line="254" w:lineRule="auto"/>
              <w:rPr>
                <w:rFonts w:hint="eastAsia" w:ascii="宋体" w:hAnsi="宋体" w:eastAsia="宋体" w:cs="宋体"/>
                <w:color w:val="auto"/>
                <w:sz w:val="24"/>
                <w:szCs w:val="24"/>
                <w:highlight w:val="none"/>
              </w:rPr>
            </w:pPr>
          </w:p>
          <w:p w14:paraId="69BBE9A7">
            <w:pPr>
              <w:pStyle w:val="21"/>
              <w:spacing w:line="255" w:lineRule="auto"/>
              <w:rPr>
                <w:rFonts w:hint="eastAsia" w:ascii="宋体" w:hAnsi="宋体" w:eastAsia="宋体" w:cs="宋体"/>
                <w:color w:val="auto"/>
                <w:sz w:val="24"/>
                <w:szCs w:val="24"/>
                <w:highlight w:val="none"/>
              </w:rPr>
            </w:pPr>
          </w:p>
          <w:p w14:paraId="7C094C19">
            <w:pPr>
              <w:spacing w:before="65" w:line="229" w:lineRule="auto"/>
              <w:ind w:left="34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其中</w:t>
            </w:r>
          </w:p>
        </w:tc>
        <w:tc>
          <w:tcPr>
            <w:tcW w:w="2096" w:type="dxa"/>
            <w:gridSpan w:val="3"/>
            <w:vAlign w:val="top"/>
          </w:tcPr>
          <w:p w14:paraId="010F104F">
            <w:pPr>
              <w:spacing w:before="214" w:line="229" w:lineRule="auto"/>
              <w:ind w:left="55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48" w:type="dxa"/>
            <w:vAlign w:val="top"/>
          </w:tcPr>
          <w:p w14:paraId="67C64A1C">
            <w:pPr>
              <w:pStyle w:val="21"/>
              <w:rPr>
                <w:rFonts w:hint="eastAsia" w:ascii="宋体" w:hAnsi="宋体" w:eastAsia="宋体" w:cs="宋体"/>
                <w:color w:val="auto"/>
                <w:sz w:val="24"/>
                <w:szCs w:val="24"/>
                <w:highlight w:val="none"/>
              </w:rPr>
            </w:pPr>
          </w:p>
        </w:tc>
      </w:tr>
      <w:tr w14:paraId="4B8001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620" w:type="dxa"/>
            <w:vAlign w:val="top"/>
          </w:tcPr>
          <w:p w14:paraId="6F14B77C">
            <w:pPr>
              <w:spacing w:before="146" w:line="228" w:lineRule="auto"/>
              <w:ind w:left="232"/>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营业执照号</w:t>
            </w:r>
          </w:p>
        </w:tc>
        <w:tc>
          <w:tcPr>
            <w:tcW w:w="2812" w:type="dxa"/>
            <w:gridSpan w:val="2"/>
            <w:vAlign w:val="top"/>
          </w:tcPr>
          <w:p w14:paraId="4431F67B">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425F8241">
            <w:pPr>
              <w:pStyle w:val="21"/>
              <w:rPr>
                <w:rFonts w:hint="eastAsia" w:ascii="宋体" w:hAnsi="宋体" w:eastAsia="宋体" w:cs="宋体"/>
                <w:color w:val="auto"/>
                <w:sz w:val="24"/>
                <w:szCs w:val="24"/>
                <w:highlight w:val="none"/>
              </w:rPr>
            </w:pPr>
          </w:p>
        </w:tc>
        <w:tc>
          <w:tcPr>
            <w:tcW w:w="2096" w:type="dxa"/>
            <w:gridSpan w:val="3"/>
            <w:vAlign w:val="top"/>
          </w:tcPr>
          <w:p w14:paraId="52E9EE82">
            <w:pPr>
              <w:spacing w:before="146" w:line="228" w:lineRule="auto"/>
              <w:ind w:left="3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高级职称人员</w:t>
            </w:r>
          </w:p>
        </w:tc>
        <w:tc>
          <w:tcPr>
            <w:tcW w:w="1548" w:type="dxa"/>
            <w:vAlign w:val="top"/>
          </w:tcPr>
          <w:p w14:paraId="5AB52FD6">
            <w:pPr>
              <w:pStyle w:val="21"/>
              <w:rPr>
                <w:rFonts w:hint="eastAsia" w:ascii="宋体" w:hAnsi="宋体" w:eastAsia="宋体" w:cs="宋体"/>
                <w:color w:val="auto"/>
                <w:sz w:val="24"/>
                <w:szCs w:val="24"/>
                <w:highlight w:val="none"/>
              </w:rPr>
            </w:pPr>
          </w:p>
        </w:tc>
      </w:tr>
      <w:tr w14:paraId="0C789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1620" w:type="dxa"/>
            <w:vAlign w:val="top"/>
          </w:tcPr>
          <w:p w14:paraId="2B0CF379">
            <w:pPr>
              <w:spacing w:before="146" w:line="230" w:lineRule="auto"/>
              <w:ind w:left="32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注册资金</w:t>
            </w:r>
          </w:p>
        </w:tc>
        <w:tc>
          <w:tcPr>
            <w:tcW w:w="2812" w:type="dxa"/>
            <w:gridSpan w:val="2"/>
            <w:vAlign w:val="top"/>
          </w:tcPr>
          <w:p w14:paraId="55DE929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0C4A9705">
            <w:pPr>
              <w:pStyle w:val="21"/>
              <w:rPr>
                <w:rFonts w:hint="eastAsia" w:ascii="宋体" w:hAnsi="宋体" w:eastAsia="宋体" w:cs="宋体"/>
                <w:color w:val="auto"/>
                <w:sz w:val="24"/>
                <w:szCs w:val="24"/>
                <w:highlight w:val="none"/>
              </w:rPr>
            </w:pPr>
          </w:p>
        </w:tc>
        <w:tc>
          <w:tcPr>
            <w:tcW w:w="2096" w:type="dxa"/>
            <w:gridSpan w:val="3"/>
            <w:vAlign w:val="top"/>
          </w:tcPr>
          <w:p w14:paraId="4B26D2D4">
            <w:pPr>
              <w:spacing w:before="147"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中级职称人员</w:t>
            </w:r>
          </w:p>
        </w:tc>
        <w:tc>
          <w:tcPr>
            <w:tcW w:w="1548" w:type="dxa"/>
            <w:vAlign w:val="top"/>
          </w:tcPr>
          <w:p w14:paraId="262A2EE0">
            <w:pPr>
              <w:pStyle w:val="21"/>
              <w:rPr>
                <w:rFonts w:hint="eastAsia" w:ascii="宋体" w:hAnsi="宋体" w:eastAsia="宋体" w:cs="宋体"/>
                <w:color w:val="auto"/>
                <w:sz w:val="24"/>
                <w:szCs w:val="24"/>
                <w:highlight w:val="none"/>
              </w:rPr>
            </w:pPr>
          </w:p>
        </w:tc>
      </w:tr>
      <w:tr w14:paraId="47316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1620" w:type="dxa"/>
            <w:vAlign w:val="top"/>
          </w:tcPr>
          <w:p w14:paraId="2688AE8B">
            <w:pPr>
              <w:spacing w:before="62" w:line="241"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开户银行</w:t>
            </w:r>
          </w:p>
        </w:tc>
        <w:tc>
          <w:tcPr>
            <w:tcW w:w="2812" w:type="dxa"/>
            <w:gridSpan w:val="2"/>
            <w:vAlign w:val="top"/>
          </w:tcPr>
          <w:p w14:paraId="45553C43">
            <w:pPr>
              <w:pStyle w:val="21"/>
              <w:rPr>
                <w:rFonts w:hint="eastAsia" w:ascii="宋体" w:hAnsi="宋体" w:eastAsia="宋体" w:cs="宋体"/>
                <w:color w:val="auto"/>
                <w:sz w:val="24"/>
                <w:szCs w:val="24"/>
                <w:highlight w:val="none"/>
              </w:rPr>
            </w:pPr>
          </w:p>
        </w:tc>
        <w:tc>
          <w:tcPr>
            <w:tcW w:w="1183" w:type="dxa"/>
            <w:gridSpan w:val="2"/>
            <w:vMerge w:val="continue"/>
            <w:tcBorders>
              <w:top w:val="nil"/>
              <w:bottom w:val="nil"/>
            </w:tcBorders>
            <w:vAlign w:val="top"/>
          </w:tcPr>
          <w:p w14:paraId="56532354">
            <w:pPr>
              <w:pStyle w:val="21"/>
              <w:rPr>
                <w:rFonts w:hint="eastAsia" w:ascii="宋体" w:hAnsi="宋体" w:eastAsia="宋体" w:cs="宋体"/>
                <w:color w:val="auto"/>
                <w:sz w:val="24"/>
                <w:szCs w:val="24"/>
                <w:highlight w:val="none"/>
              </w:rPr>
            </w:pPr>
          </w:p>
        </w:tc>
        <w:tc>
          <w:tcPr>
            <w:tcW w:w="2096" w:type="dxa"/>
            <w:gridSpan w:val="3"/>
            <w:vAlign w:val="top"/>
          </w:tcPr>
          <w:p w14:paraId="5A3DA22F">
            <w:pPr>
              <w:spacing w:before="191" w:line="230" w:lineRule="auto"/>
              <w:ind w:left="3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初级职称人员</w:t>
            </w:r>
          </w:p>
        </w:tc>
        <w:tc>
          <w:tcPr>
            <w:tcW w:w="1548" w:type="dxa"/>
            <w:vAlign w:val="top"/>
          </w:tcPr>
          <w:p w14:paraId="184D3D43">
            <w:pPr>
              <w:pStyle w:val="21"/>
              <w:rPr>
                <w:rFonts w:hint="eastAsia" w:ascii="宋体" w:hAnsi="宋体" w:eastAsia="宋体" w:cs="宋体"/>
                <w:color w:val="auto"/>
                <w:sz w:val="24"/>
                <w:szCs w:val="24"/>
                <w:highlight w:val="none"/>
              </w:rPr>
            </w:pPr>
          </w:p>
        </w:tc>
      </w:tr>
      <w:tr w14:paraId="5D53F3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8" w:hRule="atLeast"/>
        </w:trPr>
        <w:tc>
          <w:tcPr>
            <w:tcW w:w="1620" w:type="dxa"/>
            <w:vAlign w:val="top"/>
          </w:tcPr>
          <w:p w14:paraId="301FBDE6">
            <w:pPr>
              <w:spacing w:before="62" w:line="259" w:lineRule="auto"/>
              <w:ind w:right="325"/>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基本账户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7"/>
                <w:sz w:val="24"/>
                <w:szCs w:val="24"/>
                <w:highlight w:val="none"/>
              </w:rPr>
              <w:t>银行账号</w:t>
            </w:r>
          </w:p>
        </w:tc>
        <w:tc>
          <w:tcPr>
            <w:tcW w:w="2812" w:type="dxa"/>
            <w:gridSpan w:val="2"/>
            <w:vAlign w:val="top"/>
          </w:tcPr>
          <w:p w14:paraId="5B1DD5F7">
            <w:pPr>
              <w:pStyle w:val="21"/>
              <w:rPr>
                <w:rFonts w:hint="eastAsia" w:ascii="宋体" w:hAnsi="宋体" w:eastAsia="宋体" w:cs="宋体"/>
                <w:color w:val="auto"/>
                <w:sz w:val="24"/>
                <w:szCs w:val="24"/>
                <w:highlight w:val="none"/>
              </w:rPr>
            </w:pPr>
          </w:p>
        </w:tc>
        <w:tc>
          <w:tcPr>
            <w:tcW w:w="1183" w:type="dxa"/>
            <w:gridSpan w:val="2"/>
            <w:vMerge w:val="continue"/>
            <w:tcBorders>
              <w:top w:val="nil"/>
            </w:tcBorders>
            <w:vAlign w:val="top"/>
          </w:tcPr>
          <w:p w14:paraId="03520BE5">
            <w:pPr>
              <w:pStyle w:val="21"/>
              <w:rPr>
                <w:rFonts w:hint="eastAsia" w:ascii="宋体" w:hAnsi="宋体" w:eastAsia="宋体" w:cs="宋体"/>
                <w:color w:val="auto"/>
                <w:sz w:val="24"/>
                <w:szCs w:val="24"/>
                <w:highlight w:val="none"/>
              </w:rPr>
            </w:pPr>
          </w:p>
        </w:tc>
        <w:tc>
          <w:tcPr>
            <w:tcW w:w="2096" w:type="dxa"/>
            <w:gridSpan w:val="3"/>
            <w:vAlign w:val="top"/>
          </w:tcPr>
          <w:p w14:paraId="5C48DB8B">
            <w:pPr>
              <w:spacing w:before="211" w:line="228" w:lineRule="auto"/>
              <w:ind w:left="6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技术员</w:t>
            </w:r>
          </w:p>
        </w:tc>
        <w:tc>
          <w:tcPr>
            <w:tcW w:w="1548" w:type="dxa"/>
            <w:vAlign w:val="top"/>
          </w:tcPr>
          <w:p w14:paraId="773ECE69">
            <w:pPr>
              <w:pStyle w:val="21"/>
              <w:rPr>
                <w:rFonts w:hint="eastAsia" w:ascii="宋体" w:hAnsi="宋体" w:eastAsia="宋体" w:cs="宋体"/>
                <w:color w:val="auto"/>
                <w:sz w:val="24"/>
                <w:szCs w:val="24"/>
                <w:highlight w:val="none"/>
              </w:rPr>
            </w:pPr>
          </w:p>
        </w:tc>
      </w:tr>
      <w:tr w14:paraId="1B267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620" w:type="dxa"/>
            <w:vAlign w:val="top"/>
          </w:tcPr>
          <w:p w14:paraId="1C145867">
            <w:pPr>
              <w:spacing w:before="65" w:line="229" w:lineRule="auto"/>
              <w:ind w:left="33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经营范围</w:t>
            </w:r>
          </w:p>
        </w:tc>
        <w:tc>
          <w:tcPr>
            <w:tcW w:w="7639" w:type="dxa"/>
            <w:gridSpan w:val="8"/>
            <w:vAlign w:val="top"/>
          </w:tcPr>
          <w:p w14:paraId="78175160">
            <w:pPr>
              <w:pStyle w:val="21"/>
              <w:rPr>
                <w:rFonts w:hint="eastAsia" w:ascii="宋体" w:hAnsi="宋体" w:eastAsia="宋体" w:cs="宋体"/>
                <w:color w:val="auto"/>
                <w:sz w:val="24"/>
                <w:szCs w:val="24"/>
                <w:highlight w:val="none"/>
              </w:rPr>
            </w:pPr>
          </w:p>
        </w:tc>
      </w:tr>
      <w:tr w14:paraId="5CA65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51" w:hRule="atLeast"/>
        </w:trPr>
        <w:tc>
          <w:tcPr>
            <w:tcW w:w="1620" w:type="dxa"/>
            <w:vAlign w:val="top"/>
          </w:tcPr>
          <w:p w14:paraId="3B43F663">
            <w:pPr>
              <w:pStyle w:val="21"/>
              <w:spacing w:line="295" w:lineRule="auto"/>
              <w:rPr>
                <w:rFonts w:hint="eastAsia" w:ascii="宋体" w:hAnsi="宋体" w:eastAsia="宋体" w:cs="宋体"/>
                <w:color w:val="auto"/>
                <w:sz w:val="24"/>
                <w:szCs w:val="24"/>
                <w:highlight w:val="none"/>
              </w:rPr>
            </w:pPr>
          </w:p>
          <w:p w14:paraId="598814F5">
            <w:pPr>
              <w:pStyle w:val="21"/>
              <w:spacing w:line="296" w:lineRule="auto"/>
              <w:rPr>
                <w:rFonts w:hint="eastAsia" w:ascii="宋体" w:hAnsi="宋体" w:eastAsia="宋体" w:cs="宋体"/>
                <w:color w:val="auto"/>
                <w:sz w:val="24"/>
                <w:szCs w:val="24"/>
                <w:highlight w:val="none"/>
              </w:rPr>
            </w:pPr>
          </w:p>
          <w:p w14:paraId="52A98BFF">
            <w:pPr>
              <w:spacing w:before="65" w:line="229"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关联企业情况</w:t>
            </w:r>
          </w:p>
        </w:tc>
        <w:tc>
          <w:tcPr>
            <w:tcW w:w="7639" w:type="dxa"/>
            <w:gridSpan w:val="8"/>
            <w:vAlign w:val="top"/>
          </w:tcPr>
          <w:p w14:paraId="5EFCA351">
            <w:pPr>
              <w:spacing w:before="168" w:line="228" w:lineRule="auto"/>
              <w:ind w:left="111"/>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包括但不限于与投标人存在以下关系的不同单位：</w:t>
            </w:r>
          </w:p>
          <w:p w14:paraId="4A7FA872">
            <w:pPr>
              <w:spacing w:before="81" w:line="228" w:lineRule="auto"/>
              <w:ind w:left="12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4"/>
                <w:sz w:val="24"/>
                <w:szCs w:val="24"/>
                <w:highlight w:val="none"/>
              </w:rPr>
              <w:t>．法定代表人为同一人的。</w:t>
            </w:r>
          </w:p>
          <w:p w14:paraId="416ED6EF">
            <w:pPr>
              <w:spacing w:before="81" w:line="228" w:lineRule="auto"/>
              <w:ind w:left="10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2</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6"/>
                <w:sz w:val="24"/>
                <w:szCs w:val="24"/>
                <w:highlight w:val="none"/>
              </w:rPr>
              <w:t>．存在控股、管理关系的。</w:t>
            </w:r>
          </w:p>
          <w:p w14:paraId="2E78667B">
            <w:pPr>
              <w:spacing w:before="81" w:line="228" w:lineRule="auto"/>
              <w:ind w:left="1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3</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5"/>
                <w:sz w:val="24"/>
                <w:szCs w:val="24"/>
                <w:highlight w:val="none"/>
              </w:rPr>
              <w:t>．主要人员相互任职的。</w:t>
            </w:r>
          </w:p>
        </w:tc>
      </w:tr>
      <w:tr w14:paraId="245E4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1620" w:type="dxa"/>
            <w:vAlign w:val="top"/>
          </w:tcPr>
          <w:p w14:paraId="0B1A642B">
            <w:pPr>
              <w:spacing w:before="235" w:line="230" w:lineRule="auto"/>
              <w:ind w:left="54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备注</w:t>
            </w:r>
          </w:p>
        </w:tc>
        <w:tc>
          <w:tcPr>
            <w:tcW w:w="7639" w:type="dxa"/>
            <w:gridSpan w:val="8"/>
            <w:vAlign w:val="top"/>
          </w:tcPr>
          <w:p w14:paraId="63E087EA">
            <w:pPr>
              <w:pStyle w:val="21"/>
              <w:rPr>
                <w:rFonts w:hint="eastAsia" w:ascii="宋体" w:hAnsi="宋体" w:eastAsia="宋体" w:cs="宋体"/>
                <w:color w:val="auto"/>
                <w:sz w:val="24"/>
                <w:szCs w:val="24"/>
                <w:highlight w:val="none"/>
              </w:rPr>
            </w:pPr>
          </w:p>
        </w:tc>
      </w:tr>
    </w:tbl>
    <w:p w14:paraId="608E648E">
      <w:pPr>
        <w:spacing w:before="140" w:line="228" w:lineRule="auto"/>
        <w:rPr>
          <w:rFonts w:hint="eastAsia" w:ascii="宋体" w:hAnsi="宋体" w:eastAsia="宋体" w:cs="宋体"/>
          <w:color w:val="auto"/>
          <w:sz w:val="18"/>
          <w:szCs w:val="18"/>
          <w:highlight w:val="none"/>
        </w:rPr>
      </w:pPr>
      <w:r>
        <w:rPr>
          <w:rFonts w:hint="eastAsia" w:ascii="宋体" w:hAnsi="宋体" w:eastAsia="宋体" w:cs="宋体"/>
          <w:color w:val="auto"/>
          <w:spacing w:val="2"/>
          <w:sz w:val="18"/>
          <w:szCs w:val="18"/>
          <w:highlight w:val="none"/>
        </w:rPr>
        <w:t>说明：</w:t>
      </w:r>
    </w:p>
    <w:p w14:paraId="6972BAA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outlineLvl w:val="9"/>
        <w:rPr>
          <w:rFonts w:hint="eastAsia" w:ascii="宋体" w:hAnsi="宋体" w:eastAsia="宋体" w:cs="宋体"/>
          <w:color w:val="auto"/>
          <w:spacing w:val="4"/>
          <w:sz w:val="18"/>
          <w:szCs w:val="18"/>
          <w:highlight w:val="none"/>
        </w:rPr>
      </w:pPr>
      <w:bookmarkStart w:id="245" w:name="_Toc14048"/>
      <w:bookmarkStart w:id="246" w:name="_Toc5131"/>
      <w:r>
        <w:rPr>
          <w:rFonts w:hint="eastAsia" w:ascii="宋体" w:hAnsi="宋体" w:eastAsia="宋体" w:cs="宋体"/>
          <w:color w:val="auto"/>
          <w:spacing w:val="4"/>
          <w:sz w:val="18"/>
          <w:szCs w:val="18"/>
          <w:highlight w:val="none"/>
        </w:rPr>
        <w:t>1 ．《投标人基本情况表》后应附以下资料：</w:t>
      </w:r>
      <w:bookmarkEnd w:id="245"/>
      <w:bookmarkEnd w:id="246"/>
    </w:p>
    <w:p w14:paraId="56BD52AA">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pacing w:val="6"/>
          <w:sz w:val="18"/>
          <w:szCs w:val="18"/>
          <w:highlight w:val="none"/>
        </w:rPr>
      </w:pPr>
      <w:r>
        <w:rPr>
          <w:rFonts w:hint="eastAsia" w:ascii="宋体" w:hAnsi="宋体" w:eastAsia="宋体" w:cs="宋体"/>
          <w:color w:val="auto"/>
          <w:spacing w:val="9"/>
          <w:sz w:val="18"/>
          <w:szCs w:val="18"/>
          <w:highlight w:val="none"/>
          <w:lang w:eastAsia="zh-CN"/>
        </w:rPr>
        <w:t>（1）企业营业执照、资质证书、安全生产许可证的（因推行电子证照，企业的营业执照、资质证书等可以提供电子证照。为实时掌握项目投标单位的是否具备企业安全生产条件，企业的安全生生许可证需提供企业实时网页查询页，实时查询页的打印时间应在项目招标公告发布之日起至开标前。企业的安全生产许可证实时网页查询路径：登录“ 中华人民共和国住房和城乡建设部 ”进入“全国工程质量安全监管信息平台公共服务门户 ”版块，具体网址为：https://zlaq.mohurd.gov.cn，进入后点击“安全生产许可证信息 ”，输入企业名称和统一社会信用代码即可查询。如中标后，投标单位安全生产许可证发生被暂扣情形，需双方另行协商）；</w:t>
      </w:r>
    </w:p>
    <w:p w14:paraId="5F1F8270">
      <w:pPr>
        <w:keepNext w:val="0"/>
        <w:keepLines w:val="0"/>
        <w:pageBreakBefore w:val="0"/>
        <w:widowControl/>
        <w:kinsoku w:val="0"/>
        <w:wordWrap/>
        <w:overflowPunct/>
        <w:topLinePunct w:val="0"/>
        <w:autoSpaceDE w:val="0"/>
        <w:autoSpaceDN w:val="0"/>
        <w:bidi w:val="0"/>
        <w:adjustRightInd w:val="0"/>
        <w:snapToGrid w:val="0"/>
        <w:spacing w:before="153" w:line="288" w:lineRule="auto"/>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9"/>
          <w:sz w:val="18"/>
          <w:szCs w:val="18"/>
          <w:highlight w:val="none"/>
          <w:lang w:eastAsia="zh-CN"/>
        </w:rPr>
        <w:t>（2）</w:t>
      </w:r>
      <w:r>
        <w:rPr>
          <w:rFonts w:hint="eastAsia" w:ascii="宋体" w:hAnsi="宋体" w:eastAsia="宋体" w:cs="宋体"/>
          <w:color w:val="auto"/>
          <w:spacing w:val="9"/>
          <w:sz w:val="18"/>
          <w:szCs w:val="18"/>
          <w:highlight w:val="none"/>
        </w:rPr>
        <w:t>“进粤企业和人员诚信信息登记平台</w:t>
      </w:r>
      <w:r>
        <w:rPr>
          <w:rFonts w:hint="eastAsia" w:ascii="宋体" w:hAnsi="宋体" w:eastAsia="宋体" w:cs="宋体"/>
          <w:color w:val="auto"/>
          <w:spacing w:val="-72"/>
          <w:sz w:val="18"/>
          <w:szCs w:val="18"/>
          <w:highlight w:val="none"/>
        </w:rPr>
        <w:t xml:space="preserve"> </w:t>
      </w:r>
      <w:r>
        <w:rPr>
          <w:rFonts w:hint="eastAsia" w:ascii="宋体" w:hAnsi="宋体" w:eastAsia="宋体" w:cs="宋体"/>
          <w:color w:val="auto"/>
          <w:spacing w:val="8"/>
          <w:sz w:val="18"/>
          <w:szCs w:val="18"/>
          <w:highlight w:val="none"/>
        </w:rPr>
        <w:t>”企业信息情况打印页。（适用于省外建筑企业）</w:t>
      </w:r>
    </w:p>
    <w:p w14:paraId="359CA035">
      <w:pPr>
        <w:keepNext w:val="0"/>
        <w:keepLines w:val="0"/>
        <w:pageBreakBefore w:val="0"/>
        <w:widowControl/>
        <w:kinsoku w:val="0"/>
        <w:wordWrap/>
        <w:overflowPunct/>
        <w:topLinePunct w:val="0"/>
        <w:autoSpaceDE w:val="0"/>
        <w:autoSpaceDN w:val="0"/>
        <w:bidi w:val="0"/>
        <w:adjustRightInd w:val="0"/>
        <w:snapToGrid w:val="0"/>
        <w:spacing w:before="153" w:line="288" w:lineRule="auto"/>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lang w:eastAsia="zh-CN"/>
        </w:rPr>
        <w:t>（3）</w:t>
      </w:r>
      <w:r>
        <w:rPr>
          <w:rFonts w:hint="eastAsia" w:ascii="宋体" w:hAnsi="宋体" w:eastAsia="宋体" w:cs="宋体"/>
          <w:color w:val="auto"/>
          <w:spacing w:val="8"/>
          <w:sz w:val="18"/>
          <w:szCs w:val="18"/>
          <w:highlight w:val="none"/>
        </w:rPr>
        <w:t>《法人和非法人组织公共信用信息报告》（在“信用中国</w:t>
      </w:r>
      <w:r>
        <w:rPr>
          <w:rFonts w:hint="eastAsia" w:ascii="宋体" w:hAnsi="宋体" w:eastAsia="宋体" w:cs="宋体"/>
          <w:color w:val="auto"/>
          <w:spacing w:val="-70"/>
          <w:sz w:val="18"/>
          <w:szCs w:val="18"/>
          <w:highlight w:val="none"/>
        </w:rPr>
        <w:t xml:space="preserve"> </w:t>
      </w:r>
      <w:r>
        <w:rPr>
          <w:rFonts w:hint="eastAsia" w:ascii="宋体" w:hAnsi="宋体" w:eastAsia="宋体" w:cs="宋体"/>
          <w:color w:val="auto"/>
          <w:spacing w:val="8"/>
          <w:sz w:val="18"/>
          <w:szCs w:val="18"/>
          <w:highlight w:val="none"/>
        </w:rPr>
        <w:t>”网站企业查询界面</w:t>
      </w:r>
      <w:r>
        <w:rPr>
          <w:rFonts w:hint="eastAsia" w:ascii="宋体" w:hAnsi="宋体" w:eastAsia="宋体" w:cs="宋体"/>
          <w:color w:val="auto"/>
          <w:spacing w:val="7"/>
          <w:sz w:val="18"/>
          <w:szCs w:val="18"/>
          <w:highlight w:val="none"/>
        </w:rPr>
        <w:t>中下载）。</w:t>
      </w:r>
    </w:p>
    <w:p w14:paraId="3AE0E693">
      <w:pPr>
        <w:keepNext w:val="0"/>
        <w:keepLines w:val="0"/>
        <w:pageBreakBefore w:val="0"/>
        <w:widowControl/>
        <w:kinsoku w:val="0"/>
        <w:wordWrap/>
        <w:overflowPunct/>
        <w:topLinePunct w:val="0"/>
        <w:autoSpaceDE w:val="0"/>
        <w:autoSpaceDN w:val="0"/>
        <w:bidi w:val="0"/>
        <w:adjustRightInd w:val="0"/>
        <w:snapToGrid w:val="0"/>
        <w:spacing w:before="81" w:line="288" w:lineRule="auto"/>
        <w:textAlignment w:val="baseline"/>
        <w:rPr>
          <w:rFonts w:hint="eastAsia" w:ascii="宋体" w:hAnsi="宋体" w:eastAsia="宋体" w:cs="宋体"/>
          <w:color w:val="auto"/>
          <w:spacing w:val="4"/>
          <w:sz w:val="20"/>
          <w:szCs w:val="20"/>
          <w:highlight w:val="none"/>
        </w:rPr>
      </w:pPr>
      <w:r>
        <w:rPr>
          <w:rFonts w:hint="eastAsia" w:ascii="宋体" w:hAnsi="宋体" w:eastAsia="宋体" w:cs="宋体"/>
          <w:color w:val="auto"/>
          <w:spacing w:val="9"/>
          <w:sz w:val="18"/>
          <w:szCs w:val="18"/>
          <w:highlight w:val="none"/>
        </w:rPr>
        <w:t>2</w:t>
      </w:r>
      <w:r>
        <w:rPr>
          <w:rFonts w:hint="eastAsia" w:ascii="宋体" w:hAnsi="宋体" w:eastAsia="宋体" w:cs="宋体"/>
          <w:color w:val="auto"/>
          <w:spacing w:val="-21"/>
          <w:sz w:val="18"/>
          <w:szCs w:val="18"/>
          <w:highlight w:val="none"/>
        </w:rPr>
        <w:t xml:space="preserve"> </w:t>
      </w:r>
      <w:r>
        <w:rPr>
          <w:rFonts w:hint="eastAsia" w:ascii="宋体" w:hAnsi="宋体" w:eastAsia="宋体" w:cs="宋体"/>
          <w:color w:val="auto"/>
          <w:spacing w:val="9"/>
          <w:sz w:val="18"/>
          <w:szCs w:val="18"/>
          <w:highlight w:val="none"/>
        </w:rPr>
        <w:t>．联合体投标的，联合体成员单位均应填写《投标人基本情况</w:t>
      </w:r>
      <w:r>
        <w:rPr>
          <w:rFonts w:hint="eastAsia" w:ascii="宋体" w:hAnsi="宋体" w:eastAsia="宋体" w:cs="宋体"/>
          <w:color w:val="auto"/>
          <w:spacing w:val="8"/>
          <w:sz w:val="18"/>
          <w:szCs w:val="18"/>
          <w:highlight w:val="none"/>
        </w:rPr>
        <w:t>表》并提供以上所需资料。</w:t>
      </w:r>
    </w:p>
    <w:p w14:paraId="4E6AB364">
      <w:pPr>
        <w:spacing w:before="78" w:line="220" w:lineRule="auto"/>
        <w:outlineLvl w:val="2"/>
        <w:rPr>
          <w:rFonts w:hint="eastAsia" w:ascii="宋体" w:hAnsi="宋体" w:eastAsia="宋体" w:cs="宋体"/>
          <w:b/>
          <w:bCs/>
          <w:color w:val="auto"/>
          <w:spacing w:val="-4"/>
          <w:sz w:val="24"/>
          <w:szCs w:val="24"/>
          <w:highlight w:val="none"/>
        </w:rPr>
      </w:pPr>
      <w:bookmarkStart w:id="247" w:name="_Toc19699"/>
      <w:r>
        <w:rPr>
          <w:rFonts w:hint="eastAsia" w:ascii="宋体" w:hAnsi="宋体" w:eastAsia="宋体" w:cs="宋体"/>
          <w:b/>
          <w:bCs/>
          <w:color w:val="auto"/>
          <w:spacing w:val="-4"/>
          <w:sz w:val="24"/>
          <w:szCs w:val="24"/>
          <w:highlight w:val="none"/>
        </w:rPr>
        <w:t>格式八 项目经理简历表</w:t>
      </w:r>
      <w:bookmarkEnd w:id="247"/>
    </w:p>
    <w:p w14:paraId="1DBA7B98">
      <w:pPr>
        <w:pStyle w:val="5"/>
        <w:spacing w:line="444" w:lineRule="auto"/>
        <w:rPr>
          <w:rFonts w:hint="eastAsia" w:ascii="宋体" w:hAnsi="宋体" w:eastAsia="宋体" w:cs="宋体"/>
          <w:color w:val="auto"/>
          <w:highlight w:val="none"/>
        </w:rPr>
      </w:pPr>
    </w:p>
    <w:p w14:paraId="0CAE90B5">
      <w:pPr>
        <w:spacing w:before="97" w:line="219" w:lineRule="auto"/>
        <w:ind w:left="3538"/>
        <w:outlineLvl w:val="9"/>
        <w:rPr>
          <w:rFonts w:hint="eastAsia" w:ascii="宋体" w:hAnsi="宋体" w:eastAsia="宋体" w:cs="宋体"/>
          <w:color w:val="auto"/>
          <w:sz w:val="30"/>
          <w:szCs w:val="30"/>
          <w:highlight w:val="none"/>
        </w:rPr>
      </w:pPr>
      <w:bookmarkStart w:id="248" w:name="bookmark156"/>
      <w:bookmarkEnd w:id="248"/>
      <w:bookmarkStart w:id="249" w:name="bookmark89"/>
      <w:bookmarkEnd w:id="249"/>
      <w:bookmarkStart w:id="250" w:name="_Toc31533"/>
      <w:bookmarkStart w:id="251" w:name="_Toc24489"/>
      <w:r>
        <w:rPr>
          <w:rFonts w:hint="eastAsia" w:ascii="宋体" w:hAnsi="宋体" w:eastAsia="宋体" w:cs="宋体"/>
          <w:b/>
          <w:bCs/>
          <w:color w:val="auto"/>
          <w:spacing w:val="-5"/>
          <w:sz w:val="30"/>
          <w:szCs w:val="30"/>
          <w:highlight w:val="none"/>
        </w:rPr>
        <w:t>项目经理简历表</w:t>
      </w:r>
      <w:bookmarkEnd w:id="250"/>
      <w:bookmarkEnd w:id="251"/>
    </w:p>
    <w:p w14:paraId="59593258">
      <w:pPr>
        <w:spacing w:line="240" w:lineRule="exact"/>
        <w:rPr>
          <w:rFonts w:hint="eastAsia" w:ascii="宋体" w:hAnsi="宋体" w:eastAsia="宋体" w:cs="宋体"/>
          <w:color w:val="auto"/>
          <w:highlight w:val="none"/>
        </w:rPr>
      </w:pPr>
    </w:p>
    <w:tbl>
      <w:tblPr>
        <w:tblStyle w:val="14"/>
        <w:tblW w:w="973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8"/>
        <w:gridCol w:w="1010"/>
        <w:gridCol w:w="614"/>
        <w:gridCol w:w="680"/>
        <w:gridCol w:w="1357"/>
        <w:gridCol w:w="2062"/>
        <w:gridCol w:w="1798"/>
        <w:gridCol w:w="1398"/>
      </w:tblGrid>
      <w:tr w14:paraId="4554F8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2" w:hRule="atLeast"/>
        </w:trPr>
        <w:tc>
          <w:tcPr>
            <w:tcW w:w="1828" w:type="dxa"/>
            <w:gridSpan w:val="2"/>
            <w:vAlign w:val="top"/>
          </w:tcPr>
          <w:p w14:paraId="38F4F2C1">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94" w:type="dxa"/>
            <w:gridSpan w:val="2"/>
            <w:vAlign w:val="top"/>
          </w:tcPr>
          <w:p w14:paraId="0E27BBB7">
            <w:pPr>
              <w:pStyle w:val="21"/>
              <w:rPr>
                <w:rFonts w:hint="eastAsia" w:ascii="宋体" w:hAnsi="宋体" w:eastAsia="宋体" w:cs="宋体"/>
                <w:color w:val="auto"/>
                <w:sz w:val="24"/>
                <w:szCs w:val="24"/>
                <w:highlight w:val="none"/>
              </w:rPr>
            </w:pPr>
          </w:p>
        </w:tc>
        <w:tc>
          <w:tcPr>
            <w:tcW w:w="1357" w:type="dxa"/>
            <w:vAlign w:val="top"/>
          </w:tcPr>
          <w:p w14:paraId="5E64039D">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62" w:type="dxa"/>
            <w:vAlign w:val="top"/>
          </w:tcPr>
          <w:p w14:paraId="68D9664A">
            <w:pPr>
              <w:pStyle w:val="21"/>
              <w:rPr>
                <w:rFonts w:hint="eastAsia" w:ascii="宋体" w:hAnsi="宋体" w:eastAsia="宋体" w:cs="宋体"/>
                <w:color w:val="auto"/>
                <w:sz w:val="24"/>
                <w:szCs w:val="24"/>
                <w:highlight w:val="none"/>
              </w:rPr>
            </w:pPr>
          </w:p>
        </w:tc>
        <w:tc>
          <w:tcPr>
            <w:tcW w:w="1798" w:type="dxa"/>
            <w:vAlign w:val="top"/>
          </w:tcPr>
          <w:p w14:paraId="3FC87041">
            <w:pPr>
              <w:spacing w:before="177" w:line="228" w:lineRule="auto"/>
              <w:ind w:left="48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98" w:type="dxa"/>
            <w:vAlign w:val="top"/>
          </w:tcPr>
          <w:p w14:paraId="02E0EF39">
            <w:pPr>
              <w:pStyle w:val="21"/>
              <w:rPr>
                <w:rFonts w:hint="eastAsia" w:ascii="宋体" w:hAnsi="宋体" w:eastAsia="宋体" w:cs="宋体"/>
                <w:color w:val="auto"/>
                <w:sz w:val="24"/>
                <w:szCs w:val="24"/>
                <w:highlight w:val="none"/>
              </w:rPr>
            </w:pPr>
          </w:p>
        </w:tc>
      </w:tr>
      <w:tr w14:paraId="59723D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1828" w:type="dxa"/>
            <w:gridSpan w:val="2"/>
            <w:vAlign w:val="top"/>
          </w:tcPr>
          <w:p w14:paraId="6E04C4D2">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94" w:type="dxa"/>
            <w:gridSpan w:val="2"/>
            <w:vAlign w:val="top"/>
          </w:tcPr>
          <w:p w14:paraId="59BA2A8F">
            <w:pPr>
              <w:pStyle w:val="21"/>
              <w:rPr>
                <w:rFonts w:hint="eastAsia" w:ascii="宋体" w:hAnsi="宋体" w:eastAsia="宋体" w:cs="宋体"/>
                <w:color w:val="auto"/>
                <w:sz w:val="24"/>
                <w:szCs w:val="24"/>
                <w:highlight w:val="none"/>
              </w:rPr>
            </w:pPr>
          </w:p>
        </w:tc>
        <w:tc>
          <w:tcPr>
            <w:tcW w:w="1357" w:type="dxa"/>
            <w:vAlign w:val="top"/>
          </w:tcPr>
          <w:p w14:paraId="5913F49D">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62" w:type="dxa"/>
            <w:vAlign w:val="top"/>
          </w:tcPr>
          <w:p w14:paraId="0D719B3D">
            <w:pPr>
              <w:pStyle w:val="21"/>
              <w:rPr>
                <w:rFonts w:hint="eastAsia" w:ascii="宋体" w:hAnsi="宋体" w:eastAsia="宋体" w:cs="宋体"/>
                <w:color w:val="auto"/>
                <w:sz w:val="24"/>
                <w:szCs w:val="24"/>
                <w:highlight w:val="none"/>
              </w:rPr>
            </w:pPr>
          </w:p>
        </w:tc>
        <w:tc>
          <w:tcPr>
            <w:tcW w:w="1798" w:type="dxa"/>
            <w:vAlign w:val="top"/>
          </w:tcPr>
          <w:p w14:paraId="3C4F5945">
            <w:pPr>
              <w:spacing w:before="175" w:line="230" w:lineRule="auto"/>
              <w:ind w:left="49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98" w:type="dxa"/>
            <w:vAlign w:val="top"/>
          </w:tcPr>
          <w:p w14:paraId="772D8AB2">
            <w:pPr>
              <w:pStyle w:val="21"/>
              <w:rPr>
                <w:rFonts w:hint="eastAsia" w:ascii="宋体" w:hAnsi="宋体" w:eastAsia="宋体" w:cs="宋体"/>
                <w:color w:val="auto"/>
                <w:sz w:val="24"/>
                <w:szCs w:val="24"/>
                <w:highlight w:val="none"/>
              </w:rPr>
            </w:pPr>
          </w:p>
        </w:tc>
      </w:tr>
      <w:tr w14:paraId="41BAF8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1828" w:type="dxa"/>
            <w:gridSpan w:val="2"/>
            <w:vAlign w:val="top"/>
          </w:tcPr>
          <w:p w14:paraId="3D285945">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51" w:type="dxa"/>
            <w:gridSpan w:val="3"/>
            <w:vAlign w:val="top"/>
          </w:tcPr>
          <w:p w14:paraId="4D8E12D6">
            <w:pPr>
              <w:pStyle w:val="21"/>
              <w:rPr>
                <w:rFonts w:hint="eastAsia" w:ascii="宋体" w:hAnsi="宋体" w:eastAsia="宋体" w:cs="宋体"/>
                <w:color w:val="auto"/>
                <w:sz w:val="24"/>
                <w:szCs w:val="24"/>
                <w:highlight w:val="none"/>
              </w:rPr>
            </w:pPr>
          </w:p>
        </w:tc>
        <w:tc>
          <w:tcPr>
            <w:tcW w:w="3860" w:type="dxa"/>
            <w:gridSpan w:val="2"/>
            <w:vAlign w:val="top"/>
          </w:tcPr>
          <w:p w14:paraId="3410F97D">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98" w:type="dxa"/>
            <w:vAlign w:val="top"/>
          </w:tcPr>
          <w:p w14:paraId="5CA4498F">
            <w:pPr>
              <w:pStyle w:val="21"/>
              <w:rPr>
                <w:rFonts w:hint="eastAsia" w:ascii="宋体" w:hAnsi="宋体" w:eastAsia="宋体" w:cs="宋体"/>
                <w:color w:val="auto"/>
                <w:sz w:val="24"/>
                <w:szCs w:val="24"/>
                <w:highlight w:val="none"/>
              </w:rPr>
            </w:pPr>
          </w:p>
        </w:tc>
      </w:tr>
      <w:tr w14:paraId="0792C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9737" w:type="dxa"/>
            <w:gridSpan w:val="8"/>
            <w:vAlign w:val="top"/>
          </w:tcPr>
          <w:p w14:paraId="19780F0C">
            <w:pPr>
              <w:spacing w:before="176" w:line="228" w:lineRule="auto"/>
              <w:ind w:left="23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以项目经理身份参与过的主要业绩（已完工项目）</w:t>
            </w:r>
          </w:p>
        </w:tc>
      </w:tr>
      <w:tr w14:paraId="44C6D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trPr>
        <w:tc>
          <w:tcPr>
            <w:tcW w:w="818" w:type="dxa"/>
            <w:vAlign w:val="top"/>
          </w:tcPr>
          <w:p w14:paraId="2CA330A6">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24" w:type="dxa"/>
            <w:gridSpan w:val="2"/>
            <w:vAlign w:val="top"/>
          </w:tcPr>
          <w:p w14:paraId="387E6BB1">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37" w:type="dxa"/>
            <w:gridSpan w:val="2"/>
            <w:vAlign w:val="top"/>
          </w:tcPr>
          <w:p w14:paraId="60841D39">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62" w:type="dxa"/>
            <w:vAlign w:val="top"/>
          </w:tcPr>
          <w:p w14:paraId="0511F79F">
            <w:pPr>
              <w:spacing w:before="176" w:line="228" w:lineRule="auto"/>
              <w:ind w:left="26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98" w:type="dxa"/>
            <w:vAlign w:val="top"/>
          </w:tcPr>
          <w:p w14:paraId="1FA090F6">
            <w:pPr>
              <w:spacing w:before="176" w:line="228" w:lineRule="auto"/>
              <w:ind w:left="238"/>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98" w:type="dxa"/>
            <w:vAlign w:val="top"/>
          </w:tcPr>
          <w:p w14:paraId="46379B80">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216D9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A3F448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24" w:type="dxa"/>
            <w:gridSpan w:val="2"/>
            <w:vAlign w:val="top"/>
          </w:tcPr>
          <w:p w14:paraId="0F1E5CCA">
            <w:pPr>
              <w:pStyle w:val="21"/>
              <w:rPr>
                <w:rFonts w:hint="eastAsia" w:ascii="宋体" w:hAnsi="宋体" w:eastAsia="宋体" w:cs="宋体"/>
                <w:color w:val="auto"/>
                <w:sz w:val="24"/>
                <w:szCs w:val="24"/>
                <w:highlight w:val="none"/>
              </w:rPr>
            </w:pPr>
          </w:p>
        </w:tc>
        <w:tc>
          <w:tcPr>
            <w:tcW w:w="2037" w:type="dxa"/>
            <w:gridSpan w:val="2"/>
            <w:vAlign w:val="top"/>
          </w:tcPr>
          <w:p w14:paraId="78888A3B">
            <w:pPr>
              <w:pStyle w:val="21"/>
              <w:rPr>
                <w:rFonts w:hint="eastAsia" w:ascii="宋体" w:hAnsi="宋体" w:eastAsia="宋体" w:cs="宋体"/>
                <w:color w:val="auto"/>
                <w:sz w:val="24"/>
                <w:szCs w:val="24"/>
                <w:highlight w:val="none"/>
              </w:rPr>
            </w:pPr>
          </w:p>
        </w:tc>
        <w:tc>
          <w:tcPr>
            <w:tcW w:w="2062" w:type="dxa"/>
            <w:vAlign w:val="top"/>
          </w:tcPr>
          <w:p w14:paraId="74289F65">
            <w:pPr>
              <w:pStyle w:val="21"/>
              <w:rPr>
                <w:rFonts w:hint="eastAsia" w:ascii="宋体" w:hAnsi="宋体" w:eastAsia="宋体" w:cs="宋体"/>
                <w:color w:val="auto"/>
                <w:sz w:val="24"/>
                <w:szCs w:val="24"/>
                <w:highlight w:val="none"/>
              </w:rPr>
            </w:pPr>
          </w:p>
        </w:tc>
        <w:tc>
          <w:tcPr>
            <w:tcW w:w="1798" w:type="dxa"/>
            <w:vAlign w:val="top"/>
          </w:tcPr>
          <w:p w14:paraId="22429141">
            <w:pPr>
              <w:pStyle w:val="21"/>
              <w:rPr>
                <w:rFonts w:hint="eastAsia" w:ascii="宋体" w:hAnsi="宋体" w:eastAsia="宋体" w:cs="宋体"/>
                <w:color w:val="auto"/>
                <w:sz w:val="24"/>
                <w:szCs w:val="24"/>
                <w:highlight w:val="none"/>
              </w:rPr>
            </w:pPr>
          </w:p>
        </w:tc>
        <w:tc>
          <w:tcPr>
            <w:tcW w:w="1398" w:type="dxa"/>
            <w:vAlign w:val="top"/>
          </w:tcPr>
          <w:p w14:paraId="0CCA428D">
            <w:pPr>
              <w:pStyle w:val="21"/>
              <w:rPr>
                <w:rFonts w:hint="eastAsia" w:ascii="宋体" w:hAnsi="宋体" w:eastAsia="宋体" w:cs="宋体"/>
                <w:color w:val="auto"/>
                <w:sz w:val="24"/>
                <w:szCs w:val="24"/>
                <w:highlight w:val="none"/>
              </w:rPr>
            </w:pPr>
          </w:p>
        </w:tc>
      </w:tr>
      <w:tr w14:paraId="41D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818" w:type="dxa"/>
            <w:vAlign w:val="top"/>
          </w:tcPr>
          <w:p w14:paraId="2AE59E84">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24" w:type="dxa"/>
            <w:gridSpan w:val="2"/>
            <w:vAlign w:val="top"/>
          </w:tcPr>
          <w:p w14:paraId="64A79A29">
            <w:pPr>
              <w:pStyle w:val="21"/>
              <w:rPr>
                <w:rFonts w:hint="eastAsia" w:ascii="宋体" w:hAnsi="宋体" w:eastAsia="宋体" w:cs="宋体"/>
                <w:color w:val="auto"/>
                <w:sz w:val="24"/>
                <w:szCs w:val="24"/>
                <w:highlight w:val="none"/>
              </w:rPr>
            </w:pPr>
          </w:p>
        </w:tc>
        <w:tc>
          <w:tcPr>
            <w:tcW w:w="2037" w:type="dxa"/>
            <w:gridSpan w:val="2"/>
            <w:vAlign w:val="top"/>
          </w:tcPr>
          <w:p w14:paraId="6061C8EF">
            <w:pPr>
              <w:pStyle w:val="21"/>
              <w:rPr>
                <w:rFonts w:hint="eastAsia" w:ascii="宋体" w:hAnsi="宋体" w:eastAsia="宋体" w:cs="宋体"/>
                <w:color w:val="auto"/>
                <w:sz w:val="24"/>
                <w:szCs w:val="24"/>
                <w:highlight w:val="none"/>
              </w:rPr>
            </w:pPr>
          </w:p>
        </w:tc>
        <w:tc>
          <w:tcPr>
            <w:tcW w:w="2062" w:type="dxa"/>
            <w:vAlign w:val="top"/>
          </w:tcPr>
          <w:p w14:paraId="37C2C8FD">
            <w:pPr>
              <w:pStyle w:val="21"/>
              <w:rPr>
                <w:rFonts w:hint="eastAsia" w:ascii="宋体" w:hAnsi="宋体" w:eastAsia="宋体" w:cs="宋体"/>
                <w:color w:val="auto"/>
                <w:sz w:val="24"/>
                <w:szCs w:val="24"/>
                <w:highlight w:val="none"/>
              </w:rPr>
            </w:pPr>
          </w:p>
        </w:tc>
        <w:tc>
          <w:tcPr>
            <w:tcW w:w="1798" w:type="dxa"/>
            <w:vAlign w:val="top"/>
          </w:tcPr>
          <w:p w14:paraId="35838BEB">
            <w:pPr>
              <w:pStyle w:val="21"/>
              <w:rPr>
                <w:rFonts w:hint="eastAsia" w:ascii="宋体" w:hAnsi="宋体" w:eastAsia="宋体" w:cs="宋体"/>
                <w:color w:val="auto"/>
                <w:sz w:val="24"/>
                <w:szCs w:val="24"/>
                <w:highlight w:val="none"/>
              </w:rPr>
            </w:pPr>
          </w:p>
        </w:tc>
        <w:tc>
          <w:tcPr>
            <w:tcW w:w="1398" w:type="dxa"/>
            <w:vAlign w:val="top"/>
          </w:tcPr>
          <w:p w14:paraId="1A7FF52A">
            <w:pPr>
              <w:pStyle w:val="21"/>
              <w:rPr>
                <w:rFonts w:hint="eastAsia" w:ascii="宋体" w:hAnsi="宋体" w:eastAsia="宋体" w:cs="宋体"/>
                <w:color w:val="auto"/>
                <w:sz w:val="24"/>
                <w:szCs w:val="24"/>
                <w:highlight w:val="none"/>
              </w:rPr>
            </w:pPr>
          </w:p>
        </w:tc>
      </w:tr>
      <w:tr w14:paraId="748CF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18" w:type="dxa"/>
            <w:vAlign w:val="top"/>
          </w:tcPr>
          <w:p w14:paraId="49A8215C">
            <w:pPr>
              <w:spacing w:before="213" w:line="195" w:lineRule="auto"/>
              <w:ind w:left="3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624" w:type="dxa"/>
            <w:gridSpan w:val="2"/>
            <w:vAlign w:val="top"/>
          </w:tcPr>
          <w:p w14:paraId="6B3BD65C">
            <w:pPr>
              <w:pStyle w:val="21"/>
              <w:rPr>
                <w:rFonts w:hint="eastAsia" w:ascii="宋体" w:hAnsi="宋体" w:eastAsia="宋体" w:cs="宋体"/>
                <w:color w:val="auto"/>
                <w:sz w:val="24"/>
                <w:szCs w:val="24"/>
                <w:highlight w:val="none"/>
              </w:rPr>
            </w:pPr>
          </w:p>
        </w:tc>
        <w:tc>
          <w:tcPr>
            <w:tcW w:w="2037" w:type="dxa"/>
            <w:gridSpan w:val="2"/>
            <w:vAlign w:val="top"/>
          </w:tcPr>
          <w:p w14:paraId="49395E10">
            <w:pPr>
              <w:pStyle w:val="21"/>
              <w:rPr>
                <w:rFonts w:hint="eastAsia" w:ascii="宋体" w:hAnsi="宋体" w:eastAsia="宋体" w:cs="宋体"/>
                <w:color w:val="auto"/>
                <w:sz w:val="24"/>
                <w:szCs w:val="24"/>
                <w:highlight w:val="none"/>
              </w:rPr>
            </w:pPr>
          </w:p>
        </w:tc>
        <w:tc>
          <w:tcPr>
            <w:tcW w:w="2062" w:type="dxa"/>
            <w:vAlign w:val="top"/>
          </w:tcPr>
          <w:p w14:paraId="38C89432">
            <w:pPr>
              <w:pStyle w:val="21"/>
              <w:rPr>
                <w:rFonts w:hint="eastAsia" w:ascii="宋体" w:hAnsi="宋体" w:eastAsia="宋体" w:cs="宋体"/>
                <w:color w:val="auto"/>
                <w:sz w:val="24"/>
                <w:szCs w:val="24"/>
                <w:highlight w:val="none"/>
              </w:rPr>
            </w:pPr>
          </w:p>
        </w:tc>
        <w:tc>
          <w:tcPr>
            <w:tcW w:w="1798" w:type="dxa"/>
            <w:vAlign w:val="top"/>
          </w:tcPr>
          <w:p w14:paraId="5214B6C3">
            <w:pPr>
              <w:pStyle w:val="21"/>
              <w:rPr>
                <w:rFonts w:hint="eastAsia" w:ascii="宋体" w:hAnsi="宋体" w:eastAsia="宋体" w:cs="宋体"/>
                <w:color w:val="auto"/>
                <w:sz w:val="24"/>
                <w:szCs w:val="24"/>
                <w:highlight w:val="none"/>
              </w:rPr>
            </w:pPr>
          </w:p>
        </w:tc>
        <w:tc>
          <w:tcPr>
            <w:tcW w:w="1398" w:type="dxa"/>
            <w:vAlign w:val="top"/>
          </w:tcPr>
          <w:p w14:paraId="359AD966">
            <w:pPr>
              <w:pStyle w:val="21"/>
              <w:rPr>
                <w:rFonts w:hint="eastAsia" w:ascii="宋体" w:hAnsi="宋体" w:eastAsia="宋体" w:cs="宋体"/>
                <w:color w:val="auto"/>
                <w:sz w:val="24"/>
                <w:szCs w:val="24"/>
                <w:highlight w:val="none"/>
              </w:rPr>
            </w:pPr>
          </w:p>
        </w:tc>
      </w:tr>
      <w:tr w14:paraId="132C3F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2" w:hRule="atLeast"/>
        </w:trPr>
        <w:tc>
          <w:tcPr>
            <w:tcW w:w="818" w:type="dxa"/>
            <w:vAlign w:val="top"/>
          </w:tcPr>
          <w:p w14:paraId="203D061C">
            <w:pPr>
              <w:spacing w:before="177" w:line="325"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24" w:type="dxa"/>
            <w:gridSpan w:val="2"/>
            <w:vAlign w:val="top"/>
          </w:tcPr>
          <w:p w14:paraId="3022258E">
            <w:pPr>
              <w:pStyle w:val="21"/>
              <w:rPr>
                <w:rFonts w:hint="eastAsia" w:ascii="宋体" w:hAnsi="宋体" w:eastAsia="宋体" w:cs="宋体"/>
                <w:color w:val="auto"/>
                <w:sz w:val="24"/>
                <w:szCs w:val="24"/>
                <w:highlight w:val="none"/>
              </w:rPr>
            </w:pPr>
          </w:p>
        </w:tc>
        <w:tc>
          <w:tcPr>
            <w:tcW w:w="2037" w:type="dxa"/>
            <w:gridSpan w:val="2"/>
            <w:vAlign w:val="top"/>
          </w:tcPr>
          <w:p w14:paraId="13591C1A">
            <w:pPr>
              <w:pStyle w:val="21"/>
              <w:rPr>
                <w:rFonts w:hint="eastAsia" w:ascii="宋体" w:hAnsi="宋体" w:eastAsia="宋体" w:cs="宋体"/>
                <w:color w:val="auto"/>
                <w:sz w:val="24"/>
                <w:szCs w:val="24"/>
                <w:highlight w:val="none"/>
              </w:rPr>
            </w:pPr>
          </w:p>
        </w:tc>
        <w:tc>
          <w:tcPr>
            <w:tcW w:w="2062" w:type="dxa"/>
            <w:vAlign w:val="top"/>
          </w:tcPr>
          <w:p w14:paraId="7E190888">
            <w:pPr>
              <w:pStyle w:val="21"/>
              <w:rPr>
                <w:rFonts w:hint="eastAsia" w:ascii="宋体" w:hAnsi="宋体" w:eastAsia="宋体" w:cs="宋体"/>
                <w:color w:val="auto"/>
                <w:sz w:val="24"/>
                <w:szCs w:val="24"/>
                <w:highlight w:val="none"/>
              </w:rPr>
            </w:pPr>
          </w:p>
        </w:tc>
        <w:tc>
          <w:tcPr>
            <w:tcW w:w="1798" w:type="dxa"/>
            <w:vAlign w:val="top"/>
          </w:tcPr>
          <w:p w14:paraId="465A33C8">
            <w:pPr>
              <w:pStyle w:val="21"/>
              <w:rPr>
                <w:rFonts w:hint="eastAsia" w:ascii="宋体" w:hAnsi="宋体" w:eastAsia="宋体" w:cs="宋体"/>
                <w:color w:val="auto"/>
                <w:sz w:val="24"/>
                <w:szCs w:val="24"/>
                <w:highlight w:val="none"/>
              </w:rPr>
            </w:pPr>
          </w:p>
        </w:tc>
        <w:tc>
          <w:tcPr>
            <w:tcW w:w="1398" w:type="dxa"/>
            <w:vAlign w:val="top"/>
          </w:tcPr>
          <w:p w14:paraId="3E8CFEF8">
            <w:pPr>
              <w:pStyle w:val="21"/>
              <w:rPr>
                <w:rFonts w:hint="eastAsia" w:ascii="宋体" w:hAnsi="宋体" w:eastAsia="宋体" w:cs="宋体"/>
                <w:color w:val="auto"/>
                <w:sz w:val="24"/>
                <w:szCs w:val="24"/>
                <w:highlight w:val="none"/>
              </w:rPr>
            </w:pPr>
          </w:p>
        </w:tc>
      </w:tr>
    </w:tbl>
    <w:p w14:paraId="31E2A55D">
      <w:pPr>
        <w:pStyle w:val="5"/>
        <w:spacing w:line="315" w:lineRule="auto"/>
        <w:rPr>
          <w:rFonts w:hint="eastAsia" w:ascii="宋体" w:hAnsi="宋体" w:eastAsia="宋体" w:cs="宋体"/>
          <w:color w:val="auto"/>
          <w:highlight w:val="none"/>
        </w:rPr>
      </w:pPr>
    </w:p>
    <w:p w14:paraId="4A488FFC">
      <w:pPr>
        <w:spacing w:before="78" w:line="220" w:lineRule="auto"/>
        <w:ind w:left="696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项目经理</w:t>
      </w:r>
      <w:r>
        <w:rPr>
          <w:rFonts w:hint="eastAsia" w:ascii="宋体" w:hAnsi="宋体" w:eastAsia="宋体" w:cs="宋体"/>
          <w:color w:val="auto"/>
          <w:spacing w:val="-18"/>
          <w:sz w:val="24"/>
          <w:szCs w:val="24"/>
          <w:highlight w:val="none"/>
        </w:rPr>
        <w:t>：</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u w:val="single"/>
          <w:lang w:val="en-US" w:eastAsia="zh-CN"/>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3"/>
          <w:sz w:val="24"/>
          <w:szCs w:val="24"/>
          <w:highlight w:val="none"/>
        </w:rPr>
        <w:t>签字）</w:t>
      </w:r>
    </w:p>
    <w:p w14:paraId="55084914">
      <w:pPr>
        <w:pStyle w:val="5"/>
        <w:spacing w:line="256" w:lineRule="auto"/>
        <w:rPr>
          <w:rFonts w:hint="eastAsia" w:ascii="宋体" w:hAnsi="宋体" w:eastAsia="宋体" w:cs="宋体"/>
          <w:color w:val="auto"/>
          <w:highlight w:val="none"/>
        </w:rPr>
      </w:pPr>
    </w:p>
    <w:p w14:paraId="04095A12">
      <w:pPr>
        <w:pStyle w:val="5"/>
        <w:spacing w:line="254" w:lineRule="auto"/>
        <w:jc w:val="right"/>
        <w:rPr>
          <w:rFonts w:hint="eastAsia" w:ascii="宋体" w:hAnsi="宋体" w:eastAsia="宋体" w:cs="宋体"/>
          <w:color w:val="auto"/>
          <w:highlight w:val="none"/>
        </w:rPr>
      </w:pPr>
      <w:r>
        <w:rPr>
          <w:rFonts w:hint="eastAsia" w:ascii="宋体" w:hAnsi="宋体" w:eastAsia="宋体" w:cs="宋体"/>
          <w:color w:val="auto"/>
          <w:spacing w:val="-4"/>
          <w:sz w:val="24"/>
          <w:szCs w:val="24"/>
          <w:highlight w:val="none"/>
          <w:lang w:val="en-US" w:eastAsia="zh-CN"/>
        </w:rPr>
        <w:t xml:space="preserve">               </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39040016">
      <w:pPr>
        <w:spacing w:before="78" w:line="220" w:lineRule="auto"/>
        <w:ind w:left="4226"/>
        <w:jc w:val="center"/>
        <w:rPr>
          <w:rFonts w:hint="eastAsia" w:ascii="宋体" w:hAnsi="宋体" w:eastAsia="宋体" w:cs="宋体"/>
          <w:color w:val="auto"/>
          <w:highlight w:val="none"/>
        </w:rPr>
      </w:pPr>
    </w:p>
    <w:p w14:paraId="09DFFC47">
      <w:pPr>
        <w:pStyle w:val="5"/>
        <w:spacing w:line="241" w:lineRule="auto"/>
        <w:rPr>
          <w:rFonts w:hint="eastAsia" w:ascii="宋体" w:hAnsi="宋体" w:eastAsia="宋体" w:cs="宋体"/>
          <w:color w:val="auto"/>
          <w:highlight w:val="none"/>
        </w:rPr>
      </w:pPr>
    </w:p>
    <w:p w14:paraId="19347D26">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说明：《项目经理简历表》后应附拟派项目经理以下资料：</w:t>
      </w:r>
    </w:p>
    <w:p w14:paraId="5F52ECB2">
      <w:pPr>
        <w:spacing w:before="152" w:line="228" w:lineRule="auto"/>
        <w:ind w:left="484"/>
        <w:outlineLvl w:val="9"/>
        <w:rPr>
          <w:rFonts w:hint="eastAsia" w:ascii="宋体" w:hAnsi="宋体" w:eastAsia="宋体" w:cs="宋体"/>
          <w:color w:val="auto"/>
          <w:sz w:val="24"/>
          <w:szCs w:val="24"/>
          <w:highlight w:val="none"/>
        </w:rPr>
      </w:pPr>
      <w:bookmarkStart w:id="252" w:name="_Toc25271"/>
      <w:bookmarkStart w:id="253" w:name="_Toc1942"/>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bookmarkEnd w:id="252"/>
      <w:bookmarkEnd w:id="253"/>
    </w:p>
    <w:p w14:paraId="4FCFE8D7">
      <w:pPr>
        <w:spacing w:before="153"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8"/>
          <w:sz w:val="24"/>
          <w:szCs w:val="24"/>
          <w:highlight w:val="none"/>
        </w:rPr>
        <w:t>．建造师电子注册证书（在使用有效期内的有效电子证书）彩色扫描件；</w:t>
      </w:r>
    </w:p>
    <w:p w14:paraId="439F755F">
      <w:pPr>
        <w:spacing w:before="154" w:line="298" w:lineRule="auto"/>
        <w:ind w:left="50" w:right="167" w:firstLine="41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3．B 类安全生产考核合格证书彩色扫描件或广东省建筑施工企业管理人员安全生产考核系统考</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7"/>
          <w:sz w:val="24"/>
          <w:szCs w:val="24"/>
          <w:highlight w:val="none"/>
        </w:rPr>
        <w:t>核合格信息彩色扫描件；</w:t>
      </w:r>
    </w:p>
    <w:p w14:paraId="540AD7C6">
      <w:pPr>
        <w:spacing w:before="153" w:line="299" w:lineRule="auto"/>
        <w:ind w:left="49" w:right="167" w:firstLine="41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0"/>
          <w:sz w:val="24"/>
          <w:szCs w:val="24"/>
          <w:highlight w:val="none"/>
        </w:rPr>
        <w:t xml:space="preserve"> </w:t>
      </w:r>
      <w:r>
        <w:rPr>
          <w:rFonts w:hint="eastAsia" w:ascii="宋体" w:hAnsi="宋体" w:eastAsia="宋体" w:cs="宋体"/>
          <w:color w:val="auto"/>
          <w:spacing w:val="8"/>
          <w:sz w:val="24"/>
          <w:szCs w:val="24"/>
          <w:highlight w:val="none"/>
        </w:rPr>
        <w:t>．在本单位缴纳社保</w:t>
      </w:r>
      <w:r>
        <w:rPr>
          <w:rFonts w:hint="eastAsia" w:ascii="宋体" w:hAnsi="宋体" w:eastAsia="宋体" w:cs="宋体"/>
          <w:color w:val="auto"/>
          <w:sz w:val="24"/>
          <w:szCs w:val="24"/>
          <w:highlight w:val="none"/>
          <w:lang w:eastAsia="zh-CN"/>
        </w:rPr>
        <w:t>的证明（至少1个月，其中必须有2026年6月）</w:t>
      </w:r>
      <w:r>
        <w:rPr>
          <w:rFonts w:hint="eastAsia" w:ascii="宋体" w:hAnsi="宋体" w:eastAsia="宋体" w:cs="宋体"/>
          <w:color w:val="auto"/>
          <w:spacing w:val="8"/>
          <w:sz w:val="24"/>
          <w:szCs w:val="24"/>
          <w:highlight w:val="none"/>
        </w:rPr>
        <w:t>彩色扫描件或打印件。拟</w:t>
      </w:r>
      <w:r>
        <w:rPr>
          <w:rFonts w:hint="eastAsia" w:ascii="宋体" w:hAnsi="宋体" w:eastAsia="宋体" w:cs="宋体"/>
          <w:color w:val="auto"/>
          <w:spacing w:val="9"/>
          <w:sz w:val="24"/>
          <w:szCs w:val="24"/>
          <w:highlight w:val="none"/>
        </w:rPr>
        <w:t>派项目经理为退休返聘人员无法提供社保证明的，提供退休证和劳动合同彩色扫描件。</w:t>
      </w:r>
    </w:p>
    <w:p w14:paraId="0D76B9F6">
      <w:pPr>
        <w:spacing w:before="150" w:line="300" w:lineRule="auto"/>
        <w:ind w:left="49" w:right="170" w:firstLine="42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5</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7"/>
          <w:sz w:val="24"/>
          <w:szCs w:val="24"/>
          <w:highlight w:val="none"/>
        </w:rPr>
        <w:t>．“进粤企业和人员诚信信息登记平台</w:t>
      </w:r>
      <w:r>
        <w:rPr>
          <w:rFonts w:hint="eastAsia" w:ascii="宋体" w:hAnsi="宋体" w:eastAsia="宋体" w:cs="宋体"/>
          <w:color w:val="auto"/>
          <w:spacing w:val="-73"/>
          <w:sz w:val="24"/>
          <w:szCs w:val="24"/>
          <w:highlight w:val="none"/>
        </w:rPr>
        <w:t xml:space="preserve"> </w:t>
      </w:r>
      <w:r>
        <w:rPr>
          <w:rFonts w:hint="eastAsia" w:ascii="宋体" w:hAnsi="宋体" w:eastAsia="宋体" w:cs="宋体"/>
          <w:color w:val="auto"/>
          <w:spacing w:val="7"/>
          <w:sz w:val="24"/>
          <w:szCs w:val="24"/>
          <w:highlight w:val="none"/>
        </w:rPr>
        <w:t>”个人（项目经理等）信息</w:t>
      </w:r>
      <w:r>
        <w:rPr>
          <w:rFonts w:hint="eastAsia" w:ascii="宋体" w:hAnsi="宋体" w:eastAsia="宋体" w:cs="宋体"/>
          <w:color w:val="auto"/>
          <w:spacing w:val="6"/>
          <w:sz w:val="24"/>
          <w:szCs w:val="24"/>
          <w:highlight w:val="none"/>
        </w:rPr>
        <w:t>情况截图。（适用于省外建</w:t>
      </w:r>
      <w:r>
        <w:rPr>
          <w:rFonts w:hint="eastAsia" w:ascii="宋体" w:hAnsi="宋体" w:eastAsia="宋体" w:cs="宋体"/>
          <w:color w:val="auto"/>
          <w:spacing w:val="4"/>
          <w:sz w:val="24"/>
          <w:szCs w:val="24"/>
          <w:highlight w:val="none"/>
        </w:rPr>
        <w:t>筑企业）</w:t>
      </w:r>
    </w:p>
    <w:p w14:paraId="0073D580">
      <w:pPr>
        <w:spacing w:line="300" w:lineRule="auto"/>
        <w:rPr>
          <w:rFonts w:hint="eastAsia" w:ascii="宋体" w:hAnsi="宋体" w:eastAsia="宋体" w:cs="宋体"/>
          <w:color w:val="auto"/>
          <w:sz w:val="20"/>
          <w:szCs w:val="20"/>
          <w:highlight w:val="none"/>
        </w:rPr>
        <w:sectPr>
          <w:footerReference r:id="rId20"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3EA23D5">
      <w:pPr>
        <w:spacing w:before="78" w:line="220" w:lineRule="auto"/>
        <w:outlineLvl w:val="2"/>
        <w:rPr>
          <w:rFonts w:hint="eastAsia" w:ascii="宋体" w:hAnsi="宋体" w:eastAsia="宋体" w:cs="宋体"/>
          <w:b/>
          <w:bCs/>
          <w:color w:val="auto"/>
          <w:spacing w:val="-4"/>
          <w:sz w:val="24"/>
          <w:szCs w:val="24"/>
          <w:highlight w:val="none"/>
        </w:rPr>
      </w:pPr>
      <w:bookmarkStart w:id="254" w:name="_Toc30661"/>
      <w:r>
        <w:rPr>
          <w:rFonts w:hint="eastAsia" w:ascii="宋体" w:hAnsi="宋体" w:eastAsia="宋体" w:cs="宋体"/>
          <w:b/>
          <w:bCs/>
          <w:color w:val="auto"/>
          <w:spacing w:val="-4"/>
          <w:sz w:val="24"/>
          <w:szCs w:val="24"/>
          <w:highlight w:val="none"/>
        </w:rPr>
        <w:t>格式九 项目经理任职声明</w:t>
      </w:r>
      <w:bookmarkEnd w:id="254"/>
    </w:p>
    <w:p w14:paraId="612F2BD3">
      <w:pPr>
        <w:pStyle w:val="5"/>
        <w:spacing w:line="350" w:lineRule="auto"/>
        <w:rPr>
          <w:rFonts w:hint="eastAsia" w:ascii="宋体" w:hAnsi="宋体" w:eastAsia="宋体" w:cs="宋体"/>
          <w:color w:val="auto"/>
          <w:highlight w:val="none"/>
        </w:rPr>
      </w:pPr>
    </w:p>
    <w:p w14:paraId="64BA9CAE">
      <w:pPr>
        <w:pStyle w:val="5"/>
        <w:spacing w:line="350" w:lineRule="auto"/>
        <w:rPr>
          <w:rFonts w:hint="eastAsia" w:ascii="宋体" w:hAnsi="宋体" w:eastAsia="宋体" w:cs="宋体"/>
          <w:color w:val="auto"/>
          <w:highlight w:val="none"/>
        </w:rPr>
      </w:pPr>
    </w:p>
    <w:p w14:paraId="2CD81D3B">
      <w:pPr>
        <w:spacing w:before="98" w:line="220" w:lineRule="auto"/>
        <w:ind w:left="3338"/>
        <w:rPr>
          <w:rFonts w:hint="eastAsia" w:ascii="宋体" w:hAnsi="宋体" w:eastAsia="宋体" w:cs="宋体"/>
          <w:color w:val="auto"/>
          <w:sz w:val="30"/>
          <w:szCs w:val="30"/>
          <w:highlight w:val="none"/>
        </w:rPr>
      </w:pPr>
      <w:bookmarkStart w:id="255" w:name="bookmark157"/>
      <w:bookmarkEnd w:id="255"/>
      <w:r>
        <w:rPr>
          <w:rFonts w:hint="eastAsia" w:ascii="宋体" w:hAnsi="宋体" w:eastAsia="宋体" w:cs="宋体"/>
          <w:b/>
          <w:bCs/>
          <w:color w:val="auto"/>
          <w:spacing w:val="-5"/>
          <w:sz w:val="30"/>
          <w:szCs w:val="30"/>
          <w:highlight w:val="none"/>
        </w:rPr>
        <w:t>项目经理任职声明</w:t>
      </w:r>
    </w:p>
    <w:p w14:paraId="5E27ED4C">
      <w:pPr>
        <w:pStyle w:val="5"/>
        <w:spacing w:line="250" w:lineRule="auto"/>
        <w:rPr>
          <w:rFonts w:hint="eastAsia" w:ascii="宋体" w:hAnsi="宋体" w:eastAsia="宋体" w:cs="宋体"/>
          <w:color w:val="auto"/>
          <w:highlight w:val="none"/>
        </w:rPr>
      </w:pPr>
    </w:p>
    <w:p w14:paraId="2F282189">
      <w:pPr>
        <w:pStyle w:val="5"/>
        <w:spacing w:line="250" w:lineRule="auto"/>
        <w:rPr>
          <w:rFonts w:hint="eastAsia" w:ascii="宋体" w:hAnsi="宋体" w:eastAsia="宋体" w:cs="宋体"/>
          <w:color w:val="auto"/>
          <w:highlight w:val="none"/>
        </w:rPr>
      </w:pPr>
    </w:p>
    <w:p w14:paraId="5C8AA10A">
      <w:pPr>
        <w:pStyle w:val="5"/>
        <w:spacing w:line="251" w:lineRule="auto"/>
        <w:rPr>
          <w:rFonts w:hint="eastAsia" w:ascii="宋体" w:hAnsi="宋体" w:eastAsia="宋体" w:cs="宋体"/>
          <w:color w:val="auto"/>
          <w:highlight w:val="none"/>
        </w:rPr>
      </w:pPr>
    </w:p>
    <w:p w14:paraId="482F2F4D">
      <w:pPr>
        <w:spacing w:before="78" w:line="221"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致</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17"/>
          <w:sz w:val="24"/>
          <w:szCs w:val="24"/>
          <w:highlight w:val="none"/>
          <w:u w:val="single"/>
          <w:lang w:val="en-US" w:eastAsia="zh-CN"/>
        </w:rPr>
        <w:t xml:space="preserve">                </w:t>
      </w:r>
      <w:r>
        <w:rPr>
          <w:rFonts w:hint="eastAsia" w:ascii="宋体" w:hAnsi="宋体" w:eastAsia="宋体" w:cs="宋体"/>
          <w:color w:val="auto"/>
          <w:spacing w:val="-17"/>
          <w:sz w:val="24"/>
          <w:szCs w:val="24"/>
          <w:highlight w:val="none"/>
        </w:rPr>
        <w:t>（</w:t>
      </w:r>
      <w:r>
        <w:rPr>
          <w:rFonts w:hint="eastAsia" w:ascii="宋体" w:hAnsi="宋体" w:eastAsia="宋体" w:cs="宋体"/>
          <w:color w:val="auto"/>
          <w:spacing w:val="9"/>
          <w:sz w:val="24"/>
          <w:szCs w:val="24"/>
          <w:highlight w:val="none"/>
        </w:rPr>
        <w:t>招标人名称</w:t>
      </w:r>
      <w:r>
        <w:rPr>
          <w:rFonts w:hint="eastAsia" w:ascii="宋体" w:hAnsi="宋体" w:eastAsia="宋体" w:cs="宋体"/>
          <w:color w:val="auto"/>
          <w:spacing w:val="-17"/>
          <w:sz w:val="24"/>
          <w:szCs w:val="24"/>
          <w:highlight w:val="none"/>
        </w:rPr>
        <w:t>）</w:t>
      </w:r>
    </w:p>
    <w:p w14:paraId="0904F3EC">
      <w:pPr>
        <w:spacing w:before="155"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我方在此声明，我方拟派往</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（项目名称）的项目经理</w:t>
      </w:r>
      <w:r>
        <w:rPr>
          <w:rFonts w:hint="eastAsia" w:ascii="宋体" w:hAnsi="宋体" w:eastAsia="宋体" w:cs="宋体"/>
          <w:color w:val="auto"/>
          <w:spacing w:val="-2"/>
          <w:sz w:val="24"/>
          <w:szCs w:val="24"/>
          <w:highlight w:val="none"/>
          <w:u w:val="single"/>
          <w:lang w:val="en-US" w:eastAsia="zh-CN"/>
        </w:rPr>
        <w:t xml:space="preserve">        </w:t>
      </w:r>
      <w:r>
        <w:rPr>
          <w:rFonts w:hint="eastAsia" w:ascii="宋体" w:hAnsi="宋体" w:eastAsia="宋体" w:cs="宋体"/>
          <w:color w:val="auto"/>
          <w:spacing w:val="-2"/>
          <w:sz w:val="24"/>
          <w:szCs w:val="24"/>
          <w:highlight w:val="none"/>
        </w:rPr>
        <w:t>（项目经理姓名）现阶段没有</w:t>
      </w:r>
      <w:r>
        <w:rPr>
          <w:rFonts w:hint="eastAsia" w:ascii="宋体" w:hAnsi="宋体" w:eastAsia="宋体" w:cs="宋体"/>
          <w:color w:val="auto"/>
          <w:sz w:val="24"/>
          <w:szCs w:val="24"/>
          <w:highlight w:val="none"/>
        </w:rPr>
        <w:t>担任任何在施（包括已中标未开工、已开工未竣工）</w:t>
      </w:r>
      <w:r>
        <w:rPr>
          <w:rFonts w:hint="eastAsia" w:ascii="宋体" w:hAnsi="宋体" w:eastAsia="宋体" w:cs="宋体"/>
          <w:color w:val="auto"/>
          <w:spacing w:val="-1"/>
          <w:sz w:val="24"/>
          <w:szCs w:val="24"/>
          <w:highlight w:val="none"/>
        </w:rPr>
        <w:t>建设工程项目的项目经理。</w:t>
      </w:r>
    </w:p>
    <w:p w14:paraId="640324F8">
      <w:pPr>
        <w:spacing w:before="35" w:line="326" w:lineRule="auto"/>
        <w:ind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我方保证上述信息的真实和准确，并愿意承担因我方就此弄虚作假所引起的一切法</w:t>
      </w:r>
      <w:r>
        <w:rPr>
          <w:rFonts w:hint="eastAsia" w:ascii="宋体" w:hAnsi="宋体" w:eastAsia="宋体" w:cs="宋体"/>
          <w:color w:val="auto"/>
          <w:spacing w:val="-3"/>
          <w:sz w:val="24"/>
          <w:szCs w:val="24"/>
          <w:highlight w:val="none"/>
        </w:rPr>
        <w:t>律后果。</w:t>
      </w:r>
    </w:p>
    <w:p w14:paraId="509BB5DB">
      <w:pPr>
        <w:pStyle w:val="5"/>
        <w:spacing w:line="391" w:lineRule="auto"/>
        <w:rPr>
          <w:rFonts w:hint="eastAsia" w:ascii="宋体" w:hAnsi="宋体" w:eastAsia="宋体" w:cs="宋体"/>
          <w:color w:val="auto"/>
          <w:highlight w:val="none"/>
        </w:rPr>
      </w:pPr>
    </w:p>
    <w:p w14:paraId="7EA0A4E9">
      <w:pPr>
        <w:spacing w:before="78" w:line="220" w:lineRule="auto"/>
        <w:ind w:left="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特此承诺</w:t>
      </w:r>
    </w:p>
    <w:p w14:paraId="47C7F522">
      <w:pPr>
        <w:pStyle w:val="5"/>
        <w:spacing w:line="316" w:lineRule="auto"/>
        <w:rPr>
          <w:rFonts w:hint="eastAsia" w:ascii="宋体" w:hAnsi="宋体" w:eastAsia="宋体" w:cs="宋体"/>
          <w:color w:val="auto"/>
          <w:highlight w:val="none"/>
        </w:rPr>
      </w:pPr>
    </w:p>
    <w:p w14:paraId="166EE9AC">
      <w:pPr>
        <w:pStyle w:val="5"/>
        <w:spacing w:line="317" w:lineRule="auto"/>
        <w:rPr>
          <w:rFonts w:hint="eastAsia" w:ascii="宋体" w:hAnsi="宋体" w:eastAsia="宋体" w:cs="宋体"/>
          <w:color w:val="auto"/>
          <w:highlight w:val="none"/>
        </w:rPr>
      </w:pPr>
    </w:p>
    <w:p w14:paraId="708846AD">
      <w:pPr>
        <w:pStyle w:val="5"/>
        <w:spacing w:line="317" w:lineRule="auto"/>
        <w:rPr>
          <w:rFonts w:hint="eastAsia" w:ascii="宋体" w:hAnsi="宋体" w:eastAsia="宋体" w:cs="宋体"/>
          <w:color w:val="auto"/>
          <w:highlight w:val="none"/>
        </w:rPr>
      </w:pPr>
    </w:p>
    <w:p w14:paraId="07D0B977">
      <w:pPr>
        <w:spacing w:before="79"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投标人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2"/>
          <w:sz w:val="24"/>
          <w:szCs w:val="24"/>
          <w:highlight w:val="none"/>
        </w:rPr>
        <w:t>盖单位章）</w:t>
      </w:r>
    </w:p>
    <w:p w14:paraId="4F711471">
      <w:pPr>
        <w:pStyle w:val="5"/>
        <w:spacing w:line="317" w:lineRule="auto"/>
        <w:rPr>
          <w:rFonts w:hint="eastAsia" w:ascii="宋体" w:hAnsi="宋体" w:eastAsia="宋体" w:cs="宋体"/>
          <w:color w:val="auto"/>
          <w:highlight w:val="none"/>
        </w:rPr>
      </w:pPr>
    </w:p>
    <w:p w14:paraId="38491E5D">
      <w:pPr>
        <w:pStyle w:val="5"/>
        <w:spacing w:line="317" w:lineRule="auto"/>
        <w:rPr>
          <w:rFonts w:hint="eastAsia" w:ascii="宋体" w:hAnsi="宋体" w:eastAsia="宋体" w:cs="宋体"/>
          <w:color w:val="auto"/>
          <w:highlight w:val="none"/>
        </w:rPr>
      </w:pPr>
    </w:p>
    <w:p w14:paraId="2845CC21">
      <w:pPr>
        <w:pStyle w:val="5"/>
        <w:spacing w:line="317" w:lineRule="auto"/>
        <w:rPr>
          <w:rFonts w:hint="eastAsia" w:ascii="宋体" w:hAnsi="宋体" w:eastAsia="宋体" w:cs="宋体"/>
          <w:color w:val="auto"/>
          <w:highlight w:val="none"/>
        </w:rPr>
      </w:pPr>
    </w:p>
    <w:p w14:paraId="270F977A">
      <w:pPr>
        <w:spacing w:before="78" w:line="219"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法定代表人或其委托代理人</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1"/>
          <w:sz w:val="24"/>
          <w:szCs w:val="24"/>
          <w:highlight w:val="none"/>
        </w:rPr>
        <w:t>签字或盖章）</w:t>
      </w:r>
    </w:p>
    <w:p w14:paraId="4FF68B7A">
      <w:pPr>
        <w:pStyle w:val="5"/>
        <w:spacing w:line="257" w:lineRule="auto"/>
        <w:rPr>
          <w:rFonts w:hint="eastAsia" w:ascii="宋体" w:hAnsi="宋体" w:eastAsia="宋体" w:cs="宋体"/>
          <w:color w:val="auto"/>
          <w:highlight w:val="none"/>
        </w:rPr>
      </w:pPr>
    </w:p>
    <w:p w14:paraId="24BB67B8">
      <w:pPr>
        <w:pStyle w:val="5"/>
        <w:spacing w:line="257" w:lineRule="auto"/>
        <w:rPr>
          <w:rFonts w:hint="eastAsia" w:ascii="宋体" w:hAnsi="宋体" w:eastAsia="宋体" w:cs="宋体"/>
          <w:color w:val="auto"/>
          <w:highlight w:val="none"/>
        </w:rPr>
      </w:pPr>
    </w:p>
    <w:p w14:paraId="1DEB93F9">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9C55D77">
      <w:pPr>
        <w:spacing w:line="220" w:lineRule="auto"/>
        <w:rPr>
          <w:rFonts w:hint="eastAsia" w:ascii="宋体" w:hAnsi="宋体" w:eastAsia="宋体" w:cs="宋体"/>
          <w:color w:val="auto"/>
          <w:sz w:val="24"/>
          <w:szCs w:val="24"/>
          <w:highlight w:val="none"/>
        </w:rPr>
        <w:sectPr>
          <w:footerReference r:id="rId21"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2C279ED4">
      <w:pPr>
        <w:spacing w:before="78" w:line="220" w:lineRule="auto"/>
        <w:outlineLvl w:val="2"/>
        <w:rPr>
          <w:rFonts w:hint="eastAsia" w:ascii="宋体" w:hAnsi="宋体" w:eastAsia="宋体" w:cs="宋体"/>
          <w:b/>
          <w:bCs/>
          <w:color w:val="auto"/>
          <w:spacing w:val="-4"/>
          <w:sz w:val="24"/>
          <w:szCs w:val="24"/>
          <w:highlight w:val="none"/>
        </w:rPr>
      </w:pPr>
      <w:bookmarkStart w:id="256" w:name="_Toc31071"/>
      <w:r>
        <w:rPr>
          <w:rFonts w:hint="eastAsia" w:ascii="宋体" w:hAnsi="宋体" w:eastAsia="宋体" w:cs="宋体"/>
          <w:b/>
          <w:bCs/>
          <w:color w:val="auto"/>
          <w:spacing w:val="-4"/>
          <w:sz w:val="24"/>
          <w:szCs w:val="24"/>
          <w:highlight w:val="none"/>
        </w:rPr>
        <w:t>格式十 项目技术负责人简历表</w:t>
      </w:r>
      <w:bookmarkEnd w:id="256"/>
    </w:p>
    <w:p w14:paraId="675D0539">
      <w:pPr>
        <w:pStyle w:val="5"/>
        <w:spacing w:line="444" w:lineRule="auto"/>
        <w:rPr>
          <w:rFonts w:hint="eastAsia" w:ascii="宋体" w:hAnsi="宋体" w:eastAsia="宋体" w:cs="宋体"/>
          <w:color w:val="auto"/>
          <w:highlight w:val="none"/>
        </w:rPr>
      </w:pPr>
    </w:p>
    <w:p w14:paraId="0EE5F1FB">
      <w:pPr>
        <w:spacing w:before="97" w:line="219" w:lineRule="auto"/>
        <w:ind w:left="3087"/>
        <w:outlineLvl w:val="9"/>
        <w:rPr>
          <w:rFonts w:hint="eastAsia" w:ascii="宋体" w:hAnsi="宋体" w:eastAsia="宋体" w:cs="宋体"/>
          <w:color w:val="auto"/>
          <w:sz w:val="30"/>
          <w:szCs w:val="30"/>
          <w:highlight w:val="none"/>
        </w:rPr>
      </w:pPr>
      <w:bookmarkStart w:id="257" w:name="_Toc25712"/>
      <w:bookmarkStart w:id="258" w:name="_Toc1553"/>
      <w:r>
        <w:rPr>
          <w:rFonts w:hint="eastAsia" w:ascii="宋体" w:hAnsi="宋体" w:eastAsia="宋体" w:cs="宋体"/>
          <w:b/>
          <w:bCs/>
          <w:color w:val="auto"/>
          <w:spacing w:val="-4"/>
          <w:sz w:val="30"/>
          <w:szCs w:val="30"/>
          <w:highlight w:val="none"/>
        </w:rPr>
        <w:t>项目技术负责人简历表</w:t>
      </w:r>
      <w:bookmarkEnd w:id="257"/>
      <w:bookmarkEnd w:id="258"/>
    </w:p>
    <w:p w14:paraId="0C4EC7B8">
      <w:pPr>
        <w:spacing w:line="240" w:lineRule="exact"/>
        <w:rPr>
          <w:rFonts w:hint="eastAsia" w:ascii="宋体" w:hAnsi="宋体" w:eastAsia="宋体" w:cs="宋体"/>
          <w:color w:val="auto"/>
          <w:highlight w:val="none"/>
        </w:rPr>
      </w:pPr>
    </w:p>
    <w:tbl>
      <w:tblPr>
        <w:tblStyle w:val="14"/>
        <w:tblW w:w="965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003"/>
        <w:gridCol w:w="607"/>
        <w:gridCol w:w="675"/>
        <w:gridCol w:w="1346"/>
        <w:gridCol w:w="2047"/>
        <w:gridCol w:w="1783"/>
        <w:gridCol w:w="1386"/>
      </w:tblGrid>
      <w:tr w14:paraId="54649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jc w:val="center"/>
        </w:trPr>
        <w:tc>
          <w:tcPr>
            <w:tcW w:w="1813" w:type="dxa"/>
            <w:gridSpan w:val="2"/>
            <w:vAlign w:val="top"/>
          </w:tcPr>
          <w:p w14:paraId="07401C12">
            <w:pPr>
              <w:spacing w:before="177" w:line="228" w:lineRule="auto"/>
              <w:ind w:left="50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名</w:t>
            </w:r>
          </w:p>
        </w:tc>
        <w:tc>
          <w:tcPr>
            <w:tcW w:w="1282" w:type="dxa"/>
            <w:gridSpan w:val="2"/>
            <w:vAlign w:val="top"/>
          </w:tcPr>
          <w:p w14:paraId="1DDDCFB5">
            <w:pPr>
              <w:pStyle w:val="21"/>
              <w:rPr>
                <w:rFonts w:hint="eastAsia" w:ascii="宋体" w:hAnsi="宋体" w:eastAsia="宋体" w:cs="宋体"/>
                <w:color w:val="auto"/>
                <w:sz w:val="24"/>
                <w:szCs w:val="24"/>
                <w:highlight w:val="none"/>
              </w:rPr>
            </w:pPr>
          </w:p>
        </w:tc>
        <w:tc>
          <w:tcPr>
            <w:tcW w:w="1346" w:type="dxa"/>
            <w:vAlign w:val="top"/>
          </w:tcPr>
          <w:p w14:paraId="3A00E866">
            <w:pPr>
              <w:spacing w:before="177" w:line="229" w:lineRule="auto"/>
              <w:ind w:left="33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z w:val="24"/>
                <w:szCs w:val="24"/>
                <w:highlight w:val="none"/>
              </w:rPr>
              <w:t>别</w:t>
            </w:r>
          </w:p>
        </w:tc>
        <w:tc>
          <w:tcPr>
            <w:tcW w:w="2047" w:type="dxa"/>
            <w:vAlign w:val="top"/>
          </w:tcPr>
          <w:p w14:paraId="2C9F5B8C">
            <w:pPr>
              <w:pStyle w:val="21"/>
              <w:rPr>
                <w:rFonts w:hint="eastAsia" w:ascii="宋体" w:hAnsi="宋体" w:eastAsia="宋体" w:cs="宋体"/>
                <w:color w:val="auto"/>
                <w:sz w:val="24"/>
                <w:szCs w:val="24"/>
                <w:highlight w:val="none"/>
              </w:rPr>
            </w:pPr>
          </w:p>
        </w:tc>
        <w:tc>
          <w:tcPr>
            <w:tcW w:w="1783" w:type="dxa"/>
            <w:vAlign w:val="top"/>
          </w:tcPr>
          <w:p w14:paraId="7B35F84B">
            <w:pPr>
              <w:spacing w:before="177" w:line="228" w:lineRule="auto"/>
              <w:ind w:left="48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年</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龄</w:t>
            </w:r>
          </w:p>
        </w:tc>
        <w:tc>
          <w:tcPr>
            <w:tcW w:w="1386" w:type="dxa"/>
            <w:vAlign w:val="top"/>
          </w:tcPr>
          <w:p w14:paraId="60520BF4">
            <w:pPr>
              <w:pStyle w:val="21"/>
              <w:rPr>
                <w:rFonts w:hint="eastAsia" w:ascii="宋体" w:hAnsi="宋体" w:eastAsia="宋体" w:cs="宋体"/>
                <w:color w:val="auto"/>
                <w:sz w:val="24"/>
                <w:szCs w:val="24"/>
                <w:highlight w:val="none"/>
              </w:rPr>
            </w:pPr>
          </w:p>
        </w:tc>
      </w:tr>
      <w:tr w14:paraId="0D966A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1813" w:type="dxa"/>
            <w:gridSpan w:val="2"/>
            <w:vAlign w:val="top"/>
          </w:tcPr>
          <w:p w14:paraId="1C3F8DB8">
            <w:pPr>
              <w:spacing w:before="175" w:line="228" w:lineRule="auto"/>
              <w:ind w:left="50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z w:val="24"/>
                <w:szCs w:val="24"/>
                <w:highlight w:val="none"/>
              </w:rPr>
              <w:t>务</w:t>
            </w:r>
          </w:p>
        </w:tc>
        <w:tc>
          <w:tcPr>
            <w:tcW w:w="1282" w:type="dxa"/>
            <w:gridSpan w:val="2"/>
            <w:vAlign w:val="top"/>
          </w:tcPr>
          <w:p w14:paraId="19790CAF">
            <w:pPr>
              <w:pStyle w:val="21"/>
              <w:rPr>
                <w:rFonts w:hint="eastAsia" w:ascii="宋体" w:hAnsi="宋体" w:eastAsia="宋体" w:cs="宋体"/>
                <w:color w:val="auto"/>
                <w:sz w:val="24"/>
                <w:szCs w:val="24"/>
                <w:highlight w:val="none"/>
              </w:rPr>
            </w:pPr>
          </w:p>
        </w:tc>
        <w:tc>
          <w:tcPr>
            <w:tcW w:w="1346" w:type="dxa"/>
            <w:vAlign w:val="top"/>
          </w:tcPr>
          <w:p w14:paraId="1732E3C0">
            <w:pPr>
              <w:spacing w:before="174" w:line="231" w:lineRule="auto"/>
              <w:ind w:left="33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z w:val="24"/>
                <w:szCs w:val="24"/>
                <w:highlight w:val="none"/>
              </w:rPr>
              <w:t>称</w:t>
            </w:r>
          </w:p>
        </w:tc>
        <w:tc>
          <w:tcPr>
            <w:tcW w:w="2047" w:type="dxa"/>
            <w:vAlign w:val="top"/>
          </w:tcPr>
          <w:p w14:paraId="481B37E4">
            <w:pPr>
              <w:pStyle w:val="21"/>
              <w:rPr>
                <w:rFonts w:hint="eastAsia" w:ascii="宋体" w:hAnsi="宋体" w:eastAsia="宋体" w:cs="宋体"/>
                <w:color w:val="auto"/>
                <w:sz w:val="24"/>
                <w:szCs w:val="24"/>
                <w:highlight w:val="none"/>
              </w:rPr>
            </w:pPr>
          </w:p>
        </w:tc>
        <w:tc>
          <w:tcPr>
            <w:tcW w:w="1783" w:type="dxa"/>
            <w:vAlign w:val="top"/>
          </w:tcPr>
          <w:p w14:paraId="56AB3CDE">
            <w:pPr>
              <w:spacing w:before="175" w:line="230" w:lineRule="auto"/>
              <w:ind w:left="49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学</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2"/>
                <w:sz w:val="24"/>
                <w:szCs w:val="24"/>
                <w:highlight w:val="none"/>
              </w:rPr>
              <w:t>历</w:t>
            </w:r>
          </w:p>
        </w:tc>
        <w:tc>
          <w:tcPr>
            <w:tcW w:w="1386" w:type="dxa"/>
            <w:vAlign w:val="top"/>
          </w:tcPr>
          <w:p w14:paraId="5C9CA710">
            <w:pPr>
              <w:pStyle w:val="21"/>
              <w:rPr>
                <w:rFonts w:hint="eastAsia" w:ascii="宋体" w:hAnsi="宋体" w:eastAsia="宋体" w:cs="宋体"/>
                <w:color w:val="auto"/>
                <w:sz w:val="24"/>
                <w:szCs w:val="24"/>
                <w:highlight w:val="none"/>
              </w:rPr>
            </w:pPr>
          </w:p>
        </w:tc>
      </w:tr>
      <w:tr w14:paraId="06ECC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1813" w:type="dxa"/>
            <w:gridSpan w:val="2"/>
            <w:vAlign w:val="top"/>
          </w:tcPr>
          <w:p w14:paraId="2C6D39E6">
            <w:pPr>
              <w:spacing w:before="175" w:line="229" w:lineRule="auto"/>
              <w:ind w:left="24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参加工作时间</w:t>
            </w:r>
          </w:p>
        </w:tc>
        <w:tc>
          <w:tcPr>
            <w:tcW w:w="2628" w:type="dxa"/>
            <w:gridSpan w:val="3"/>
            <w:vAlign w:val="top"/>
          </w:tcPr>
          <w:p w14:paraId="51D2A335">
            <w:pPr>
              <w:pStyle w:val="21"/>
              <w:rPr>
                <w:rFonts w:hint="eastAsia" w:ascii="宋体" w:hAnsi="宋体" w:eastAsia="宋体" w:cs="宋体"/>
                <w:color w:val="auto"/>
                <w:sz w:val="24"/>
                <w:szCs w:val="24"/>
                <w:highlight w:val="none"/>
              </w:rPr>
            </w:pPr>
          </w:p>
        </w:tc>
        <w:tc>
          <w:tcPr>
            <w:tcW w:w="3830" w:type="dxa"/>
            <w:gridSpan w:val="2"/>
            <w:vAlign w:val="top"/>
          </w:tcPr>
          <w:p w14:paraId="43C0FC45">
            <w:pPr>
              <w:spacing w:before="176" w:line="228" w:lineRule="auto"/>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从事工程建设项目管理工作年限</w:t>
            </w:r>
          </w:p>
        </w:tc>
        <w:tc>
          <w:tcPr>
            <w:tcW w:w="1386" w:type="dxa"/>
            <w:vAlign w:val="top"/>
          </w:tcPr>
          <w:p w14:paraId="75D20512">
            <w:pPr>
              <w:pStyle w:val="21"/>
              <w:rPr>
                <w:rFonts w:hint="eastAsia" w:ascii="宋体" w:hAnsi="宋体" w:eastAsia="宋体" w:cs="宋体"/>
                <w:color w:val="auto"/>
                <w:sz w:val="24"/>
                <w:szCs w:val="24"/>
                <w:highlight w:val="none"/>
              </w:rPr>
            </w:pPr>
          </w:p>
        </w:tc>
      </w:tr>
      <w:tr w14:paraId="40C133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9657" w:type="dxa"/>
            <w:gridSpan w:val="8"/>
            <w:vAlign w:val="top"/>
          </w:tcPr>
          <w:p w14:paraId="43E8CDA2">
            <w:pPr>
              <w:spacing w:before="176" w:line="228" w:lineRule="auto"/>
              <w:ind w:left="204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以项目技术负责人身份参与过的主要业绩（已完工项目）</w:t>
            </w:r>
          </w:p>
        </w:tc>
      </w:tr>
      <w:tr w14:paraId="705EE7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810" w:type="dxa"/>
            <w:vAlign w:val="top"/>
          </w:tcPr>
          <w:p w14:paraId="36F5A08A">
            <w:pPr>
              <w:spacing w:before="176" w:line="230" w:lineRule="auto"/>
              <w:ind w:left="183"/>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1610" w:type="dxa"/>
            <w:gridSpan w:val="2"/>
            <w:vAlign w:val="top"/>
          </w:tcPr>
          <w:p w14:paraId="1A081902">
            <w:pPr>
              <w:spacing w:before="176" w:line="229" w:lineRule="auto"/>
              <w:ind w:left="35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项目名称</w:t>
            </w:r>
          </w:p>
        </w:tc>
        <w:tc>
          <w:tcPr>
            <w:tcW w:w="2021" w:type="dxa"/>
            <w:gridSpan w:val="2"/>
            <w:vAlign w:val="top"/>
          </w:tcPr>
          <w:p w14:paraId="773730B3">
            <w:pPr>
              <w:spacing w:before="176" w:line="229" w:lineRule="auto"/>
              <w:ind w:left="55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建设单位</w:t>
            </w:r>
          </w:p>
        </w:tc>
        <w:tc>
          <w:tcPr>
            <w:tcW w:w="2047" w:type="dxa"/>
            <w:vAlign w:val="top"/>
          </w:tcPr>
          <w:p w14:paraId="271BA220">
            <w:pPr>
              <w:spacing w:before="176"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建设内容和规模</w:t>
            </w:r>
          </w:p>
        </w:tc>
        <w:tc>
          <w:tcPr>
            <w:tcW w:w="1783" w:type="dxa"/>
            <w:vAlign w:val="top"/>
          </w:tcPr>
          <w:p w14:paraId="26A77878">
            <w:pPr>
              <w:spacing w:before="176" w:line="228" w:lineRule="auto"/>
              <w:ind w:left="237"/>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开、竣工日期</w:t>
            </w:r>
          </w:p>
        </w:tc>
        <w:tc>
          <w:tcPr>
            <w:tcW w:w="1386" w:type="dxa"/>
            <w:vAlign w:val="top"/>
          </w:tcPr>
          <w:p w14:paraId="311F0986">
            <w:pPr>
              <w:spacing w:before="176" w:line="228" w:lineRule="auto"/>
              <w:ind w:left="251"/>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质量等级</w:t>
            </w:r>
          </w:p>
        </w:tc>
      </w:tr>
      <w:tr w14:paraId="60A13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49B2F7FC">
            <w:pPr>
              <w:spacing w:before="214" w:line="195" w:lineRule="auto"/>
              <w:ind w:left="35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610" w:type="dxa"/>
            <w:gridSpan w:val="2"/>
            <w:vAlign w:val="top"/>
          </w:tcPr>
          <w:p w14:paraId="1D017C43">
            <w:pPr>
              <w:pStyle w:val="21"/>
              <w:rPr>
                <w:rFonts w:hint="eastAsia" w:ascii="宋体" w:hAnsi="宋体" w:eastAsia="宋体" w:cs="宋体"/>
                <w:color w:val="auto"/>
                <w:sz w:val="24"/>
                <w:szCs w:val="24"/>
                <w:highlight w:val="none"/>
              </w:rPr>
            </w:pPr>
          </w:p>
        </w:tc>
        <w:tc>
          <w:tcPr>
            <w:tcW w:w="2021" w:type="dxa"/>
            <w:gridSpan w:val="2"/>
            <w:vAlign w:val="top"/>
          </w:tcPr>
          <w:p w14:paraId="270436EC">
            <w:pPr>
              <w:pStyle w:val="21"/>
              <w:rPr>
                <w:rFonts w:hint="eastAsia" w:ascii="宋体" w:hAnsi="宋体" w:eastAsia="宋体" w:cs="宋体"/>
                <w:color w:val="auto"/>
                <w:sz w:val="24"/>
                <w:szCs w:val="24"/>
                <w:highlight w:val="none"/>
              </w:rPr>
            </w:pPr>
          </w:p>
        </w:tc>
        <w:tc>
          <w:tcPr>
            <w:tcW w:w="2047" w:type="dxa"/>
            <w:vAlign w:val="top"/>
          </w:tcPr>
          <w:p w14:paraId="254FE938">
            <w:pPr>
              <w:pStyle w:val="21"/>
              <w:rPr>
                <w:rFonts w:hint="eastAsia" w:ascii="宋体" w:hAnsi="宋体" w:eastAsia="宋体" w:cs="宋体"/>
                <w:color w:val="auto"/>
                <w:sz w:val="24"/>
                <w:szCs w:val="24"/>
                <w:highlight w:val="none"/>
              </w:rPr>
            </w:pPr>
          </w:p>
        </w:tc>
        <w:tc>
          <w:tcPr>
            <w:tcW w:w="1783" w:type="dxa"/>
            <w:vAlign w:val="top"/>
          </w:tcPr>
          <w:p w14:paraId="355EA15C">
            <w:pPr>
              <w:pStyle w:val="21"/>
              <w:rPr>
                <w:rFonts w:hint="eastAsia" w:ascii="宋体" w:hAnsi="宋体" w:eastAsia="宋体" w:cs="宋体"/>
                <w:color w:val="auto"/>
                <w:sz w:val="24"/>
                <w:szCs w:val="24"/>
                <w:highlight w:val="none"/>
              </w:rPr>
            </w:pPr>
          </w:p>
        </w:tc>
        <w:tc>
          <w:tcPr>
            <w:tcW w:w="1386" w:type="dxa"/>
            <w:vAlign w:val="top"/>
          </w:tcPr>
          <w:p w14:paraId="3A063067">
            <w:pPr>
              <w:pStyle w:val="21"/>
              <w:rPr>
                <w:rFonts w:hint="eastAsia" w:ascii="宋体" w:hAnsi="宋体" w:eastAsia="宋体" w:cs="宋体"/>
                <w:color w:val="auto"/>
                <w:sz w:val="24"/>
                <w:szCs w:val="24"/>
                <w:highlight w:val="none"/>
              </w:rPr>
            </w:pPr>
          </w:p>
        </w:tc>
      </w:tr>
      <w:tr w14:paraId="76EDB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5" w:hRule="atLeast"/>
          <w:jc w:val="center"/>
        </w:trPr>
        <w:tc>
          <w:tcPr>
            <w:tcW w:w="810" w:type="dxa"/>
            <w:vAlign w:val="top"/>
          </w:tcPr>
          <w:p w14:paraId="08B6618B">
            <w:pPr>
              <w:spacing w:before="213" w:line="195" w:lineRule="auto"/>
              <w:ind w:left="33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610" w:type="dxa"/>
            <w:gridSpan w:val="2"/>
            <w:vAlign w:val="top"/>
          </w:tcPr>
          <w:p w14:paraId="0C5944E3">
            <w:pPr>
              <w:pStyle w:val="21"/>
              <w:rPr>
                <w:rFonts w:hint="eastAsia" w:ascii="宋体" w:hAnsi="宋体" w:eastAsia="宋体" w:cs="宋体"/>
                <w:color w:val="auto"/>
                <w:sz w:val="24"/>
                <w:szCs w:val="24"/>
                <w:highlight w:val="none"/>
              </w:rPr>
            </w:pPr>
          </w:p>
        </w:tc>
        <w:tc>
          <w:tcPr>
            <w:tcW w:w="2021" w:type="dxa"/>
            <w:gridSpan w:val="2"/>
            <w:vAlign w:val="top"/>
          </w:tcPr>
          <w:p w14:paraId="4FF33181">
            <w:pPr>
              <w:pStyle w:val="21"/>
              <w:rPr>
                <w:rFonts w:hint="eastAsia" w:ascii="宋体" w:hAnsi="宋体" w:eastAsia="宋体" w:cs="宋体"/>
                <w:color w:val="auto"/>
                <w:sz w:val="24"/>
                <w:szCs w:val="24"/>
                <w:highlight w:val="none"/>
              </w:rPr>
            </w:pPr>
          </w:p>
        </w:tc>
        <w:tc>
          <w:tcPr>
            <w:tcW w:w="2047" w:type="dxa"/>
            <w:vAlign w:val="top"/>
          </w:tcPr>
          <w:p w14:paraId="7DB0E2CE">
            <w:pPr>
              <w:pStyle w:val="21"/>
              <w:rPr>
                <w:rFonts w:hint="eastAsia" w:ascii="宋体" w:hAnsi="宋体" w:eastAsia="宋体" w:cs="宋体"/>
                <w:color w:val="auto"/>
                <w:sz w:val="24"/>
                <w:szCs w:val="24"/>
                <w:highlight w:val="none"/>
              </w:rPr>
            </w:pPr>
          </w:p>
        </w:tc>
        <w:tc>
          <w:tcPr>
            <w:tcW w:w="1783" w:type="dxa"/>
            <w:vAlign w:val="top"/>
          </w:tcPr>
          <w:p w14:paraId="026AE2C4">
            <w:pPr>
              <w:pStyle w:val="21"/>
              <w:rPr>
                <w:rFonts w:hint="eastAsia" w:ascii="宋体" w:hAnsi="宋体" w:eastAsia="宋体" w:cs="宋体"/>
                <w:color w:val="auto"/>
                <w:sz w:val="24"/>
                <w:szCs w:val="24"/>
                <w:highlight w:val="none"/>
              </w:rPr>
            </w:pPr>
          </w:p>
        </w:tc>
        <w:tc>
          <w:tcPr>
            <w:tcW w:w="1386" w:type="dxa"/>
            <w:vAlign w:val="top"/>
          </w:tcPr>
          <w:p w14:paraId="371023C5">
            <w:pPr>
              <w:pStyle w:val="21"/>
              <w:rPr>
                <w:rFonts w:hint="eastAsia" w:ascii="宋体" w:hAnsi="宋体" w:eastAsia="宋体" w:cs="宋体"/>
                <w:color w:val="auto"/>
                <w:sz w:val="24"/>
                <w:szCs w:val="24"/>
                <w:highlight w:val="none"/>
              </w:rPr>
            </w:pPr>
          </w:p>
        </w:tc>
      </w:tr>
      <w:tr w14:paraId="69277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F6C5487">
            <w:pPr>
              <w:spacing w:before="178" w:line="324" w:lineRule="exact"/>
              <w:ind w:left="197"/>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610" w:type="dxa"/>
            <w:gridSpan w:val="2"/>
            <w:vAlign w:val="top"/>
          </w:tcPr>
          <w:p w14:paraId="4A2416CF">
            <w:pPr>
              <w:pStyle w:val="21"/>
              <w:rPr>
                <w:rFonts w:hint="eastAsia" w:ascii="宋体" w:hAnsi="宋体" w:eastAsia="宋体" w:cs="宋体"/>
                <w:color w:val="auto"/>
                <w:sz w:val="24"/>
                <w:szCs w:val="24"/>
                <w:highlight w:val="none"/>
              </w:rPr>
            </w:pPr>
          </w:p>
        </w:tc>
        <w:tc>
          <w:tcPr>
            <w:tcW w:w="2021" w:type="dxa"/>
            <w:gridSpan w:val="2"/>
            <w:vAlign w:val="top"/>
          </w:tcPr>
          <w:p w14:paraId="5DC4416F">
            <w:pPr>
              <w:pStyle w:val="21"/>
              <w:rPr>
                <w:rFonts w:hint="eastAsia" w:ascii="宋体" w:hAnsi="宋体" w:eastAsia="宋体" w:cs="宋体"/>
                <w:color w:val="auto"/>
                <w:sz w:val="24"/>
                <w:szCs w:val="24"/>
                <w:highlight w:val="none"/>
              </w:rPr>
            </w:pPr>
          </w:p>
        </w:tc>
        <w:tc>
          <w:tcPr>
            <w:tcW w:w="2047" w:type="dxa"/>
            <w:vAlign w:val="top"/>
          </w:tcPr>
          <w:p w14:paraId="2AF0F04E">
            <w:pPr>
              <w:pStyle w:val="21"/>
              <w:rPr>
                <w:rFonts w:hint="eastAsia" w:ascii="宋体" w:hAnsi="宋体" w:eastAsia="宋体" w:cs="宋体"/>
                <w:color w:val="auto"/>
                <w:sz w:val="24"/>
                <w:szCs w:val="24"/>
                <w:highlight w:val="none"/>
              </w:rPr>
            </w:pPr>
          </w:p>
        </w:tc>
        <w:tc>
          <w:tcPr>
            <w:tcW w:w="1783" w:type="dxa"/>
            <w:vAlign w:val="top"/>
          </w:tcPr>
          <w:p w14:paraId="400EE5B7">
            <w:pPr>
              <w:pStyle w:val="21"/>
              <w:rPr>
                <w:rFonts w:hint="eastAsia" w:ascii="宋体" w:hAnsi="宋体" w:eastAsia="宋体" w:cs="宋体"/>
                <w:color w:val="auto"/>
                <w:sz w:val="24"/>
                <w:szCs w:val="24"/>
                <w:highlight w:val="none"/>
              </w:rPr>
            </w:pPr>
          </w:p>
        </w:tc>
        <w:tc>
          <w:tcPr>
            <w:tcW w:w="1386" w:type="dxa"/>
            <w:vAlign w:val="top"/>
          </w:tcPr>
          <w:p w14:paraId="1734BD0B">
            <w:pPr>
              <w:pStyle w:val="21"/>
              <w:rPr>
                <w:rFonts w:hint="eastAsia" w:ascii="宋体" w:hAnsi="宋体" w:eastAsia="宋体" w:cs="宋体"/>
                <w:color w:val="auto"/>
                <w:sz w:val="24"/>
                <w:szCs w:val="24"/>
                <w:highlight w:val="none"/>
              </w:rPr>
            </w:pPr>
          </w:p>
        </w:tc>
      </w:tr>
      <w:tr w14:paraId="58719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jc w:val="center"/>
        </w:trPr>
        <w:tc>
          <w:tcPr>
            <w:tcW w:w="810" w:type="dxa"/>
            <w:vAlign w:val="top"/>
          </w:tcPr>
          <w:p w14:paraId="3EA1F3C9">
            <w:pPr>
              <w:pStyle w:val="21"/>
              <w:rPr>
                <w:rFonts w:hint="eastAsia" w:ascii="宋体" w:hAnsi="宋体" w:eastAsia="宋体" w:cs="宋体"/>
                <w:color w:val="auto"/>
                <w:sz w:val="24"/>
                <w:szCs w:val="24"/>
                <w:highlight w:val="none"/>
              </w:rPr>
            </w:pPr>
          </w:p>
        </w:tc>
        <w:tc>
          <w:tcPr>
            <w:tcW w:w="1610" w:type="dxa"/>
            <w:gridSpan w:val="2"/>
            <w:vAlign w:val="top"/>
          </w:tcPr>
          <w:p w14:paraId="698F5787">
            <w:pPr>
              <w:pStyle w:val="21"/>
              <w:rPr>
                <w:rFonts w:hint="eastAsia" w:ascii="宋体" w:hAnsi="宋体" w:eastAsia="宋体" w:cs="宋体"/>
                <w:color w:val="auto"/>
                <w:sz w:val="24"/>
                <w:szCs w:val="24"/>
                <w:highlight w:val="none"/>
              </w:rPr>
            </w:pPr>
          </w:p>
        </w:tc>
        <w:tc>
          <w:tcPr>
            <w:tcW w:w="2021" w:type="dxa"/>
            <w:gridSpan w:val="2"/>
            <w:vAlign w:val="top"/>
          </w:tcPr>
          <w:p w14:paraId="69858A0D">
            <w:pPr>
              <w:pStyle w:val="21"/>
              <w:rPr>
                <w:rFonts w:hint="eastAsia" w:ascii="宋体" w:hAnsi="宋体" w:eastAsia="宋体" w:cs="宋体"/>
                <w:color w:val="auto"/>
                <w:sz w:val="24"/>
                <w:szCs w:val="24"/>
                <w:highlight w:val="none"/>
              </w:rPr>
            </w:pPr>
          </w:p>
        </w:tc>
        <w:tc>
          <w:tcPr>
            <w:tcW w:w="2047" w:type="dxa"/>
            <w:vAlign w:val="top"/>
          </w:tcPr>
          <w:p w14:paraId="2BD7DCDB">
            <w:pPr>
              <w:pStyle w:val="21"/>
              <w:rPr>
                <w:rFonts w:hint="eastAsia" w:ascii="宋体" w:hAnsi="宋体" w:eastAsia="宋体" w:cs="宋体"/>
                <w:color w:val="auto"/>
                <w:sz w:val="24"/>
                <w:szCs w:val="24"/>
                <w:highlight w:val="none"/>
              </w:rPr>
            </w:pPr>
          </w:p>
        </w:tc>
        <w:tc>
          <w:tcPr>
            <w:tcW w:w="1783" w:type="dxa"/>
            <w:vAlign w:val="top"/>
          </w:tcPr>
          <w:p w14:paraId="4D125A3E">
            <w:pPr>
              <w:pStyle w:val="21"/>
              <w:rPr>
                <w:rFonts w:hint="eastAsia" w:ascii="宋体" w:hAnsi="宋体" w:eastAsia="宋体" w:cs="宋体"/>
                <w:color w:val="auto"/>
                <w:sz w:val="24"/>
                <w:szCs w:val="24"/>
                <w:highlight w:val="none"/>
              </w:rPr>
            </w:pPr>
          </w:p>
        </w:tc>
        <w:tc>
          <w:tcPr>
            <w:tcW w:w="1386" w:type="dxa"/>
            <w:vAlign w:val="top"/>
          </w:tcPr>
          <w:p w14:paraId="39C6E406">
            <w:pPr>
              <w:pStyle w:val="21"/>
              <w:rPr>
                <w:rFonts w:hint="eastAsia" w:ascii="宋体" w:hAnsi="宋体" w:eastAsia="宋体" w:cs="宋体"/>
                <w:color w:val="auto"/>
                <w:sz w:val="24"/>
                <w:szCs w:val="24"/>
                <w:highlight w:val="none"/>
              </w:rPr>
            </w:pPr>
          </w:p>
        </w:tc>
      </w:tr>
      <w:tr w14:paraId="320ED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jc w:val="center"/>
        </w:trPr>
        <w:tc>
          <w:tcPr>
            <w:tcW w:w="810" w:type="dxa"/>
            <w:vAlign w:val="top"/>
          </w:tcPr>
          <w:p w14:paraId="2C145747">
            <w:pPr>
              <w:pStyle w:val="21"/>
              <w:rPr>
                <w:rFonts w:hint="eastAsia" w:ascii="宋体" w:hAnsi="宋体" w:eastAsia="宋体" w:cs="宋体"/>
                <w:color w:val="auto"/>
                <w:sz w:val="24"/>
                <w:szCs w:val="24"/>
                <w:highlight w:val="none"/>
              </w:rPr>
            </w:pPr>
          </w:p>
        </w:tc>
        <w:tc>
          <w:tcPr>
            <w:tcW w:w="1610" w:type="dxa"/>
            <w:gridSpan w:val="2"/>
            <w:vAlign w:val="top"/>
          </w:tcPr>
          <w:p w14:paraId="51FAB6E2">
            <w:pPr>
              <w:pStyle w:val="21"/>
              <w:rPr>
                <w:rFonts w:hint="eastAsia" w:ascii="宋体" w:hAnsi="宋体" w:eastAsia="宋体" w:cs="宋体"/>
                <w:color w:val="auto"/>
                <w:sz w:val="24"/>
                <w:szCs w:val="24"/>
                <w:highlight w:val="none"/>
              </w:rPr>
            </w:pPr>
          </w:p>
        </w:tc>
        <w:tc>
          <w:tcPr>
            <w:tcW w:w="2021" w:type="dxa"/>
            <w:gridSpan w:val="2"/>
            <w:vAlign w:val="top"/>
          </w:tcPr>
          <w:p w14:paraId="61875FD1">
            <w:pPr>
              <w:pStyle w:val="21"/>
              <w:rPr>
                <w:rFonts w:hint="eastAsia" w:ascii="宋体" w:hAnsi="宋体" w:eastAsia="宋体" w:cs="宋体"/>
                <w:color w:val="auto"/>
                <w:sz w:val="24"/>
                <w:szCs w:val="24"/>
                <w:highlight w:val="none"/>
              </w:rPr>
            </w:pPr>
          </w:p>
        </w:tc>
        <w:tc>
          <w:tcPr>
            <w:tcW w:w="2047" w:type="dxa"/>
            <w:vAlign w:val="top"/>
          </w:tcPr>
          <w:p w14:paraId="404E5FF7">
            <w:pPr>
              <w:pStyle w:val="21"/>
              <w:rPr>
                <w:rFonts w:hint="eastAsia" w:ascii="宋体" w:hAnsi="宋体" w:eastAsia="宋体" w:cs="宋体"/>
                <w:color w:val="auto"/>
                <w:sz w:val="24"/>
                <w:szCs w:val="24"/>
                <w:highlight w:val="none"/>
              </w:rPr>
            </w:pPr>
          </w:p>
        </w:tc>
        <w:tc>
          <w:tcPr>
            <w:tcW w:w="1783" w:type="dxa"/>
            <w:vAlign w:val="top"/>
          </w:tcPr>
          <w:p w14:paraId="6ADD1E7F">
            <w:pPr>
              <w:pStyle w:val="21"/>
              <w:rPr>
                <w:rFonts w:hint="eastAsia" w:ascii="宋体" w:hAnsi="宋体" w:eastAsia="宋体" w:cs="宋体"/>
                <w:color w:val="auto"/>
                <w:sz w:val="24"/>
                <w:szCs w:val="24"/>
                <w:highlight w:val="none"/>
              </w:rPr>
            </w:pPr>
          </w:p>
        </w:tc>
        <w:tc>
          <w:tcPr>
            <w:tcW w:w="1386" w:type="dxa"/>
            <w:vAlign w:val="top"/>
          </w:tcPr>
          <w:p w14:paraId="384217C7">
            <w:pPr>
              <w:pStyle w:val="21"/>
              <w:rPr>
                <w:rFonts w:hint="eastAsia" w:ascii="宋体" w:hAnsi="宋体" w:eastAsia="宋体" w:cs="宋体"/>
                <w:color w:val="auto"/>
                <w:sz w:val="24"/>
                <w:szCs w:val="24"/>
                <w:highlight w:val="none"/>
              </w:rPr>
            </w:pPr>
          </w:p>
        </w:tc>
      </w:tr>
    </w:tbl>
    <w:p w14:paraId="45EB821D">
      <w:pPr>
        <w:pStyle w:val="5"/>
        <w:spacing w:line="314" w:lineRule="auto"/>
        <w:rPr>
          <w:rFonts w:hint="eastAsia" w:ascii="宋体" w:hAnsi="宋体" w:eastAsia="宋体" w:cs="宋体"/>
          <w:color w:val="auto"/>
          <w:sz w:val="24"/>
          <w:szCs w:val="24"/>
          <w:highlight w:val="none"/>
        </w:rPr>
      </w:pPr>
    </w:p>
    <w:p w14:paraId="02839B71">
      <w:pPr>
        <w:pStyle w:val="5"/>
        <w:spacing w:line="315" w:lineRule="auto"/>
        <w:rPr>
          <w:rFonts w:hint="eastAsia" w:ascii="宋体" w:hAnsi="宋体" w:eastAsia="宋体" w:cs="宋体"/>
          <w:color w:val="auto"/>
          <w:sz w:val="24"/>
          <w:szCs w:val="24"/>
          <w:highlight w:val="none"/>
        </w:rPr>
      </w:pPr>
    </w:p>
    <w:p w14:paraId="75FEC917">
      <w:pPr>
        <w:pStyle w:val="5"/>
        <w:spacing w:line="315" w:lineRule="auto"/>
        <w:rPr>
          <w:rFonts w:hint="eastAsia" w:ascii="宋体" w:hAnsi="宋体" w:eastAsia="宋体" w:cs="宋体"/>
          <w:color w:val="auto"/>
          <w:sz w:val="24"/>
          <w:szCs w:val="24"/>
          <w:highlight w:val="none"/>
        </w:rPr>
      </w:pPr>
    </w:p>
    <w:p w14:paraId="443E0EA6">
      <w:pPr>
        <w:spacing w:before="78" w:line="220" w:lineRule="auto"/>
        <w:ind w:left="5165"/>
        <w:jc w:val="right"/>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项目技术负责人</w:t>
      </w:r>
      <w:r>
        <w:rPr>
          <w:rFonts w:hint="eastAsia" w:ascii="宋体" w:hAnsi="宋体" w:eastAsia="宋体" w:cs="宋体"/>
          <w:color w:val="auto"/>
          <w:spacing w:val="-18"/>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8"/>
          <w:sz w:val="24"/>
          <w:szCs w:val="24"/>
          <w:highlight w:val="none"/>
        </w:rPr>
        <w:t>（</w:t>
      </w:r>
      <w:r>
        <w:rPr>
          <w:rFonts w:hint="eastAsia" w:ascii="宋体" w:hAnsi="宋体" w:eastAsia="宋体" w:cs="宋体"/>
          <w:color w:val="auto"/>
          <w:spacing w:val="2"/>
          <w:sz w:val="24"/>
          <w:szCs w:val="24"/>
          <w:highlight w:val="none"/>
        </w:rPr>
        <w:t>签字）</w:t>
      </w:r>
    </w:p>
    <w:p w14:paraId="06231E95">
      <w:pPr>
        <w:pStyle w:val="5"/>
        <w:spacing w:line="256" w:lineRule="auto"/>
        <w:jc w:val="right"/>
        <w:rPr>
          <w:rFonts w:hint="eastAsia" w:ascii="宋体" w:hAnsi="宋体" w:eastAsia="宋体" w:cs="宋体"/>
          <w:color w:val="auto"/>
          <w:sz w:val="24"/>
          <w:szCs w:val="24"/>
          <w:highlight w:val="none"/>
        </w:rPr>
      </w:pPr>
    </w:p>
    <w:p w14:paraId="48AD0385">
      <w:pPr>
        <w:pStyle w:val="5"/>
        <w:spacing w:line="257" w:lineRule="auto"/>
        <w:jc w:val="right"/>
        <w:rPr>
          <w:rFonts w:hint="eastAsia" w:ascii="宋体" w:hAnsi="宋体" w:eastAsia="宋体" w:cs="宋体"/>
          <w:color w:val="auto"/>
          <w:sz w:val="24"/>
          <w:szCs w:val="24"/>
          <w:highlight w:val="none"/>
        </w:rPr>
      </w:pPr>
    </w:p>
    <w:p w14:paraId="50CB5F37">
      <w:pPr>
        <w:pStyle w:val="5"/>
        <w:spacing w:line="254" w:lineRule="auto"/>
        <w:jc w:val="right"/>
        <w:rPr>
          <w:rFonts w:hint="eastAsia" w:ascii="宋体" w:hAnsi="宋体" w:eastAsia="宋体" w:cs="宋体"/>
          <w:color w:val="auto"/>
          <w:highlight w:val="none"/>
        </w:rPr>
      </w:pP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年</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月</w:t>
      </w:r>
      <w:r>
        <w:rPr>
          <w:rFonts w:hint="eastAsia" w:ascii="宋体" w:hAnsi="宋体" w:eastAsia="宋体" w:cs="宋体"/>
          <w:snapToGrid w:val="0"/>
          <w:color w:val="auto"/>
          <w:kern w:val="0"/>
          <w:szCs w:val="21"/>
          <w:highlight w:val="none"/>
          <w:u w:val="single"/>
        </w:rPr>
        <w:t xml:space="preserve">      </w:t>
      </w:r>
      <w:r>
        <w:rPr>
          <w:rFonts w:hint="eastAsia" w:ascii="宋体" w:hAnsi="宋体" w:eastAsia="宋体" w:cs="宋体"/>
          <w:snapToGrid w:val="0"/>
          <w:color w:val="auto"/>
          <w:kern w:val="0"/>
          <w:szCs w:val="21"/>
          <w:highlight w:val="none"/>
        </w:rPr>
        <w:t>日</w:t>
      </w:r>
    </w:p>
    <w:p w14:paraId="01408BD7">
      <w:pPr>
        <w:spacing w:before="65" w:line="228" w:lineRule="auto"/>
        <w:ind w:left="47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说明：《项目技术负责人简历表》后应附拟派项目技术负责人以下资料：</w:t>
      </w:r>
    </w:p>
    <w:p w14:paraId="2DD6422C">
      <w:pPr>
        <w:spacing w:before="155" w:line="228" w:lineRule="auto"/>
        <w:ind w:left="484"/>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3"/>
          <w:sz w:val="24"/>
          <w:szCs w:val="24"/>
          <w:highlight w:val="none"/>
        </w:rPr>
        <w:t>．身份证彩色扫描件；</w:t>
      </w:r>
    </w:p>
    <w:p w14:paraId="2AC7099F">
      <w:pPr>
        <w:spacing w:before="151" w:line="228" w:lineRule="auto"/>
        <w:ind w:left="464"/>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2</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5"/>
          <w:sz w:val="24"/>
          <w:szCs w:val="24"/>
          <w:highlight w:val="none"/>
        </w:rPr>
        <w:t>．职称证彩色扫描件；</w:t>
      </w:r>
    </w:p>
    <w:p w14:paraId="531EC1B5">
      <w:pPr>
        <w:spacing w:before="153" w:line="299" w:lineRule="auto"/>
        <w:ind w:left="47" w:right="95" w:firstLine="42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3</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8"/>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 2026年6月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784C2F67">
      <w:pPr>
        <w:spacing w:before="153" w:line="228" w:lineRule="auto"/>
        <w:ind w:left="463"/>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22"/>
          <w:sz w:val="24"/>
          <w:szCs w:val="24"/>
          <w:highlight w:val="none"/>
        </w:rPr>
        <w:t xml:space="preserve"> </w:t>
      </w:r>
      <w:r>
        <w:rPr>
          <w:rFonts w:hint="eastAsia" w:ascii="宋体" w:hAnsi="宋体" w:eastAsia="宋体" w:cs="宋体"/>
          <w:color w:val="auto"/>
          <w:spacing w:val="8"/>
          <w:sz w:val="24"/>
          <w:szCs w:val="24"/>
          <w:highlight w:val="none"/>
        </w:rPr>
        <w:t>．“进粤企业和人员诚信信息登记平台</w:t>
      </w:r>
      <w:r>
        <w:rPr>
          <w:rFonts w:hint="eastAsia" w:ascii="宋体" w:hAnsi="宋体" w:eastAsia="宋体" w:cs="宋体"/>
          <w:color w:val="auto"/>
          <w:spacing w:val="-70"/>
          <w:sz w:val="24"/>
          <w:szCs w:val="24"/>
          <w:highlight w:val="none"/>
        </w:rPr>
        <w:t xml:space="preserve"> </w:t>
      </w:r>
      <w:r>
        <w:rPr>
          <w:rFonts w:hint="eastAsia" w:ascii="宋体" w:hAnsi="宋体" w:eastAsia="宋体" w:cs="宋体"/>
          <w:color w:val="auto"/>
          <w:spacing w:val="8"/>
          <w:sz w:val="24"/>
          <w:szCs w:val="24"/>
          <w:highlight w:val="none"/>
        </w:rPr>
        <w:t>”个人信息情况截图。（适用于省外建筑企业）</w:t>
      </w:r>
    </w:p>
    <w:p w14:paraId="0CA53D6E">
      <w:pPr>
        <w:spacing w:line="228" w:lineRule="auto"/>
        <w:rPr>
          <w:rFonts w:hint="eastAsia" w:ascii="宋体" w:hAnsi="宋体" w:eastAsia="宋体" w:cs="宋体"/>
          <w:color w:val="auto"/>
          <w:sz w:val="20"/>
          <w:szCs w:val="20"/>
          <w:highlight w:val="none"/>
        </w:rPr>
        <w:sectPr>
          <w:footerReference r:id="rId22"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7A79FF21">
      <w:pPr>
        <w:spacing w:before="78" w:line="220" w:lineRule="auto"/>
        <w:outlineLvl w:val="2"/>
        <w:rPr>
          <w:rFonts w:hint="eastAsia" w:ascii="宋体" w:hAnsi="宋体" w:eastAsia="宋体" w:cs="宋体"/>
          <w:b/>
          <w:bCs/>
          <w:color w:val="auto"/>
          <w:spacing w:val="-4"/>
          <w:sz w:val="24"/>
          <w:szCs w:val="24"/>
          <w:highlight w:val="none"/>
        </w:rPr>
      </w:pPr>
      <w:bookmarkStart w:id="259" w:name="_Toc25235"/>
      <w:r>
        <w:rPr>
          <w:rFonts w:hint="eastAsia" w:ascii="宋体" w:hAnsi="宋体" w:eastAsia="宋体" w:cs="宋体"/>
          <w:b/>
          <w:bCs/>
          <w:color w:val="auto"/>
          <w:spacing w:val="-4"/>
          <w:sz w:val="24"/>
          <w:szCs w:val="24"/>
          <w:highlight w:val="none"/>
        </w:rPr>
        <w:t>格式十一 项目管理机构组成表</w:t>
      </w:r>
      <w:bookmarkEnd w:id="259"/>
    </w:p>
    <w:p w14:paraId="555428D3">
      <w:pPr>
        <w:pStyle w:val="5"/>
        <w:spacing w:line="351" w:lineRule="auto"/>
        <w:rPr>
          <w:rFonts w:hint="eastAsia" w:ascii="宋体" w:hAnsi="宋体" w:eastAsia="宋体" w:cs="宋体"/>
          <w:color w:val="auto"/>
          <w:highlight w:val="none"/>
        </w:rPr>
      </w:pPr>
    </w:p>
    <w:p w14:paraId="162B07EA">
      <w:pPr>
        <w:pStyle w:val="5"/>
        <w:spacing w:line="351" w:lineRule="auto"/>
        <w:rPr>
          <w:rFonts w:hint="eastAsia" w:ascii="宋体" w:hAnsi="宋体" w:eastAsia="宋体" w:cs="宋体"/>
          <w:color w:val="auto"/>
          <w:highlight w:val="none"/>
        </w:rPr>
      </w:pPr>
    </w:p>
    <w:p w14:paraId="3C7DD617">
      <w:pPr>
        <w:spacing w:before="97" w:line="219" w:lineRule="auto"/>
        <w:ind w:left="3200"/>
        <w:outlineLvl w:val="9"/>
        <w:rPr>
          <w:rFonts w:hint="eastAsia" w:ascii="宋体" w:hAnsi="宋体" w:eastAsia="宋体" w:cs="宋体"/>
          <w:color w:val="auto"/>
          <w:sz w:val="30"/>
          <w:szCs w:val="30"/>
          <w:highlight w:val="none"/>
        </w:rPr>
      </w:pPr>
      <w:bookmarkStart w:id="260" w:name="bookmark158"/>
      <w:bookmarkEnd w:id="260"/>
      <w:bookmarkStart w:id="261" w:name="_Toc28765"/>
      <w:bookmarkStart w:id="262" w:name="_Toc19973"/>
      <w:r>
        <w:rPr>
          <w:rFonts w:hint="eastAsia" w:ascii="宋体" w:hAnsi="宋体" w:eastAsia="宋体" w:cs="宋体"/>
          <w:b/>
          <w:bCs/>
          <w:color w:val="auto"/>
          <w:spacing w:val="-4"/>
          <w:sz w:val="30"/>
          <w:szCs w:val="30"/>
          <w:highlight w:val="none"/>
        </w:rPr>
        <w:t>项目管理机构组成表</w:t>
      </w:r>
      <w:bookmarkEnd w:id="261"/>
      <w:bookmarkEnd w:id="262"/>
    </w:p>
    <w:p w14:paraId="1EDDD763">
      <w:pPr>
        <w:spacing w:before="7"/>
        <w:rPr>
          <w:rFonts w:hint="eastAsia" w:ascii="宋体" w:hAnsi="宋体" w:eastAsia="宋体" w:cs="宋体"/>
          <w:color w:val="auto"/>
          <w:highlight w:val="none"/>
        </w:rPr>
      </w:pPr>
    </w:p>
    <w:tbl>
      <w:tblPr>
        <w:tblStyle w:val="14"/>
        <w:tblW w:w="963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4"/>
        <w:gridCol w:w="1939"/>
        <w:gridCol w:w="1567"/>
        <w:gridCol w:w="1017"/>
        <w:gridCol w:w="1002"/>
        <w:gridCol w:w="1551"/>
        <w:gridCol w:w="1926"/>
      </w:tblGrid>
      <w:tr w14:paraId="2173B2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jc w:val="center"/>
        </w:trPr>
        <w:tc>
          <w:tcPr>
            <w:tcW w:w="634" w:type="dxa"/>
            <w:vAlign w:val="top"/>
          </w:tcPr>
          <w:p w14:paraId="2D248E3F">
            <w:pPr>
              <w:spacing w:before="229" w:line="231" w:lineRule="auto"/>
              <w:ind w:left="90"/>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序号</w:t>
            </w:r>
          </w:p>
        </w:tc>
        <w:tc>
          <w:tcPr>
            <w:tcW w:w="1939" w:type="dxa"/>
            <w:vAlign w:val="top"/>
          </w:tcPr>
          <w:p w14:paraId="5F461AAD">
            <w:pPr>
              <w:spacing w:before="228" w:line="231" w:lineRule="auto"/>
              <w:ind w:left="70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岗位</w:t>
            </w:r>
          </w:p>
        </w:tc>
        <w:tc>
          <w:tcPr>
            <w:tcW w:w="1567" w:type="dxa"/>
            <w:vAlign w:val="top"/>
          </w:tcPr>
          <w:p w14:paraId="1DD6F3D6">
            <w:pPr>
              <w:spacing w:before="228" w:line="231" w:lineRule="auto"/>
              <w:ind w:left="52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姓名</w:t>
            </w:r>
          </w:p>
        </w:tc>
        <w:tc>
          <w:tcPr>
            <w:tcW w:w="1017" w:type="dxa"/>
            <w:vAlign w:val="top"/>
          </w:tcPr>
          <w:p w14:paraId="3FF2F319">
            <w:pPr>
              <w:spacing w:before="228" w:line="230" w:lineRule="auto"/>
              <w:ind w:left="268"/>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性别</w:t>
            </w:r>
          </w:p>
        </w:tc>
        <w:tc>
          <w:tcPr>
            <w:tcW w:w="1002" w:type="dxa"/>
            <w:vAlign w:val="top"/>
          </w:tcPr>
          <w:p w14:paraId="1F45BB1E">
            <w:pPr>
              <w:spacing w:before="229" w:line="231" w:lineRule="auto"/>
              <w:ind w:left="261"/>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年龄</w:t>
            </w:r>
          </w:p>
        </w:tc>
        <w:tc>
          <w:tcPr>
            <w:tcW w:w="1551" w:type="dxa"/>
            <w:vAlign w:val="top"/>
          </w:tcPr>
          <w:p w14:paraId="3EC28A26">
            <w:pPr>
              <w:spacing w:before="228" w:line="230" w:lineRule="auto"/>
              <w:ind w:left="51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职称</w:t>
            </w:r>
          </w:p>
        </w:tc>
        <w:tc>
          <w:tcPr>
            <w:tcW w:w="1926" w:type="dxa"/>
            <w:vAlign w:val="top"/>
          </w:tcPr>
          <w:p w14:paraId="2B3131B4">
            <w:pPr>
              <w:spacing w:before="228" w:line="230" w:lineRule="auto"/>
              <w:ind w:left="687"/>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备注</w:t>
            </w:r>
          </w:p>
        </w:tc>
      </w:tr>
      <w:tr w14:paraId="66C7AE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283EB046">
            <w:pPr>
              <w:spacing w:before="185" w:line="195" w:lineRule="auto"/>
              <w:ind w:left="26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39" w:type="dxa"/>
            <w:vAlign w:val="top"/>
          </w:tcPr>
          <w:p w14:paraId="197454C5">
            <w:pPr>
              <w:spacing w:before="150" w:line="229" w:lineRule="auto"/>
              <w:ind w:left="486"/>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项目经理</w:t>
            </w:r>
          </w:p>
        </w:tc>
        <w:tc>
          <w:tcPr>
            <w:tcW w:w="1567" w:type="dxa"/>
            <w:vAlign w:val="top"/>
          </w:tcPr>
          <w:p w14:paraId="33D1707C">
            <w:pPr>
              <w:pStyle w:val="21"/>
              <w:rPr>
                <w:rFonts w:hint="eastAsia" w:ascii="宋体" w:hAnsi="宋体" w:eastAsia="宋体" w:cs="宋体"/>
                <w:color w:val="auto"/>
                <w:sz w:val="24"/>
                <w:szCs w:val="24"/>
                <w:highlight w:val="none"/>
              </w:rPr>
            </w:pPr>
          </w:p>
        </w:tc>
        <w:tc>
          <w:tcPr>
            <w:tcW w:w="1017" w:type="dxa"/>
            <w:vAlign w:val="top"/>
          </w:tcPr>
          <w:p w14:paraId="4EA01CAF">
            <w:pPr>
              <w:pStyle w:val="21"/>
              <w:rPr>
                <w:rFonts w:hint="eastAsia" w:ascii="宋体" w:hAnsi="宋体" w:eastAsia="宋体" w:cs="宋体"/>
                <w:color w:val="auto"/>
                <w:sz w:val="24"/>
                <w:szCs w:val="24"/>
                <w:highlight w:val="none"/>
              </w:rPr>
            </w:pPr>
          </w:p>
        </w:tc>
        <w:tc>
          <w:tcPr>
            <w:tcW w:w="1002" w:type="dxa"/>
            <w:vAlign w:val="top"/>
          </w:tcPr>
          <w:p w14:paraId="784E4E86">
            <w:pPr>
              <w:pStyle w:val="21"/>
              <w:rPr>
                <w:rFonts w:hint="eastAsia" w:ascii="宋体" w:hAnsi="宋体" w:eastAsia="宋体" w:cs="宋体"/>
                <w:color w:val="auto"/>
                <w:sz w:val="24"/>
                <w:szCs w:val="24"/>
                <w:highlight w:val="none"/>
              </w:rPr>
            </w:pPr>
          </w:p>
        </w:tc>
        <w:tc>
          <w:tcPr>
            <w:tcW w:w="1551" w:type="dxa"/>
            <w:vAlign w:val="top"/>
          </w:tcPr>
          <w:p w14:paraId="5F4F3964">
            <w:pPr>
              <w:pStyle w:val="21"/>
              <w:rPr>
                <w:rFonts w:hint="eastAsia" w:ascii="宋体" w:hAnsi="宋体" w:eastAsia="宋体" w:cs="宋体"/>
                <w:color w:val="auto"/>
                <w:sz w:val="24"/>
                <w:szCs w:val="24"/>
                <w:highlight w:val="none"/>
              </w:rPr>
            </w:pPr>
          </w:p>
        </w:tc>
        <w:tc>
          <w:tcPr>
            <w:tcW w:w="1926" w:type="dxa"/>
            <w:vAlign w:val="top"/>
          </w:tcPr>
          <w:p w14:paraId="7E0A4FFA">
            <w:pPr>
              <w:pStyle w:val="21"/>
              <w:rPr>
                <w:rFonts w:hint="eastAsia" w:ascii="宋体" w:hAnsi="宋体" w:eastAsia="宋体" w:cs="宋体"/>
                <w:color w:val="auto"/>
                <w:sz w:val="24"/>
                <w:szCs w:val="24"/>
                <w:highlight w:val="none"/>
              </w:rPr>
            </w:pPr>
          </w:p>
        </w:tc>
      </w:tr>
      <w:tr w14:paraId="5BB57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3" w:hRule="atLeast"/>
          <w:jc w:val="center"/>
        </w:trPr>
        <w:tc>
          <w:tcPr>
            <w:tcW w:w="634" w:type="dxa"/>
            <w:vAlign w:val="top"/>
          </w:tcPr>
          <w:p w14:paraId="2ACB0DD0">
            <w:pPr>
              <w:spacing w:before="187" w:line="195" w:lineRule="auto"/>
              <w:ind w:left="24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939" w:type="dxa"/>
            <w:vAlign w:val="top"/>
          </w:tcPr>
          <w:p w14:paraId="33B30217">
            <w:pPr>
              <w:spacing w:before="152" w:line="228"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项目技术负责人</w:t>
            </w:r>
          </w:p>
        </w:tc>
        <w:tc>
          <w:tcPr>
            <w:tcW w:w="1567" w:type="dxa"/>
            <w:vAlign w:val="top"/>
          </w:tcPr>
          <w:p w14:paraId="101658E3">
            <w:pPr>
              <w:pStyle w:val="21"/>
              <w:rPr>
                <w:rFonts w:hint="eastAsia" w:ascii="宋体" w:hAnsi="宋体" w:eastAsia="宋体" w:cs="宋体"/>
                <w:color w:val="auto"/>
                <w:sz w:val="24"/>
                <w:szCs w:val="24"/>
                <w:highlight w:val="none"/>
              </w:rPr>
            </w:pPr>
          </w:p>
        </w:tc>
        <w:tc>
          <w:tcPr>
            <w:tcW w:w="1017" w:type="dxa"/>
            <w:vAlign w:val="top"/>
          </w:tcPr>
          <w:p w14:paraId="13CFB6FB">
            <w:pPr>
              <w:pStyle w:val="21"/>
              <w:rPr>
                <w:rFonts w:hint="eastAsia" w:ascii="宋体" w:hAnsi="宋体" w:eastAsia="宋体" w:cs="宋体"/>
                <w:color w:val="auto"/>
                <w:sz w:val="24"/>
                <w:szCs w:val="24"/>
                <w:highlight w:val="none"/>
              </w:rPr>
            </w:pPr>
          </w:p>
        </w:tc>
        <w:tc>
          <w:tcPr>
            <w:tcW w:w="1002" w:type="dxa"/>
            <w:vAlign w:val="top"/>
          </w:tcPr>
          <w:p w14:paraId="01708B9A">
            <w:pPr>
              <w:pStyle w:val="21"/>
              <w:rPr>
                <w:rFonts w:hint="eastAsia" w:ascii="宋体" w:hAnsi="宋体" w:eastAsia="宋体" w:cs="宋体"/>
                <w:color w:val="auto"/>
                <w:sz w:val="24"/>
                <w:szCs w:val="24"/>
                <w:highlight w:val="none"/>
              </w:rPr>
            </w:pPr>
          </w:p>
        </w:tc>
        <w:tc>
          <w:tcPr>
            <w:tcW w:w="1551" w:type="dxa"/>
            <w:vAlign w:val="top"/>
          </w:tcPr>
          <w:p w14:paraId="2DA12024">
            <w:pPr>
              <w:pStyle w:val="21"/>
              <w:rPr>
                <w:rFonts w:hint="eastAsia" w:ascii="宋体" w:hAnsi="宋体" w:eastAsia="宋体" w:cs="宋体"/>
                <w:color w:val="auto"/>
                <w:sz w:val="24"/>
                <w:szCs w:val="24"/>
                <w:highlight w:val="none"/>
              </w:rPr>
            </w:pPr>
          </w:p>
        </w:tc>
        <w:tc>
          <w:tcPr>
            <w:tcW w:w="1926" w:type="dxa"/>
            <w:vAlign w:val="top"/>
          </w:tcPr>
          <w:p w14:paraId="7E36E9CF">
            <w:pPr>
              <w:pStyle w:val="21"/>
              <w:rPr>
                <w:rFonts w:hint="eastAsia" w:ascii="宋体" w:hAnsi="宋体" w:eastAsia="宋体" w:cs="宋体"/>
                <w:color w:val="auto"/>
                <w:sz w:val="24"/>
                <w:szCs w:val="24"/>
                <w:highlight w:val="none"/>
              </w:rPr>
            </w:pPr>
          </w:p>
        </w:tc>
      </w:tr>
      <w:tr w14:paraId="72AE8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185BE277">
            <w:pPr>
              <w:spacing w:before="189" w:line="195" w:lineRule="auto"/>
              <w:ind w:left="247"/>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939" w:type="dxa"/>
            <w:vAlign w:val="center"/>
          </w:tcPr>
          <w:p w14:paraId="46937765">
            <w:pPr>
              <w:spacing w:before="153" w:line="229" w:lineRule="auto"/>
              <w:ind w:left="378"/>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专职安全员</w:t>
            </w:r>
          </w:p>
        </w:tc>
        <w:tc>
          <w:tcPr>
            <w:tcW w:w="1567" w:type="dxa"/>
            <w:vAlign w:val="top"/>
          </w:tcPr>
          <w:p w14:paraId="15C126D8">
            <w:pPr>
              <w:pStyle w:val="21"/>
              <w:rPr>
                <w:rFonts w:hint="eastAsia" w:ascii="宋体" w:hAnsi="宋体" w:eastAsia="宋体" w:cs="宋体"/>
                <w:color w:val="auto"/>
                <w:sz w:val="24"/>
                <w:szCs w:val="24"/>
                <w:highlight w:val="none"/>
              </w:rPr>
            </w:pPr>
          </w:p>
        </w:tc>
        <w:tc>
          <w:tcPr>
            <w:tcW w:w="1017" w:type="dxa"/>
            <w:vAlign w:val="top"/>
          </w:tcPr>
          <w:p w14:paraId="7B9FA270">
            <w:pPr>
              <w:pStyle w:val="21"/>
              <w:rPr>
                <w:rFonts w:hint="eastAsia" w:ascii="宋体" w:hAnsi="宋体" w:eastAsia="宋体" w:cs="宋体"/>
                <w:color w:val="auto"/>
                <w:sz w:val="24"/>
                <w:szCs w:val="24"/>
                <w:highlight w:val="none"/>
              </w:rPr>
            </w:pPr>
          </w:p>
        </w:tc>
        <w:tc>
          <w:tcPr>
            <w:tcW w:w="1002" w:type="dxa"/>
            <w:vAlign w:val="top"/>
          </w:tcPr>
          <w:p w14:paraId="1060A9BD">
            <w:pPr>
              <w:pStyle w:val="21"/>
              <w:rPr>
                <w:rFonts w:hint="eastAsia" w:ascii="宋体" w:hAnsi="宋体" w:eastAsia="宋体" w:cs="宋体"/>
                <w:color w:val="auto"/>
                <w:sz w:val="24"/>
                <w:szCs w:val="24"/>
                <w:highlight w:val="none"/>
              </w:rPr>
            </w:pPr>
          </w:p>
        </w:tc>
        <w:tc>
          <w:tcPr>
            <w:tcW w:w="1551" w:type="dxa"/>
            <w:vAlign w:val="top"/>
          </w:tcPr>
          <w:p w14:paraId="5301968F">
            <w:pPr>
              <w:pStyle w:val="21"/>
              <w:rPr>
                <w:rFonts w:hint="eastAsia" w:ascii="宋体" w:hAnsi="宋体" w:eastAsia="宋体" w:cs="宋体"/>
                <w:color w:val="auto"/>
                <w:sz w:val="24"/>
                <w:szCs w:val="24"/>
                <w:highlight w:val="none"/>
              </w:rPr>
            </w:pPr>
          </w:p>
        </w:tc>
        <w:tc>
          <w:tcPr>
            <w:tcW w:w="1926" w:type="dxa"/>
            <w:vAlign w:val="top"/>
          </w:tcPr>
          <w:p w14:paraId="6D41F555">
            <w:pPr>
              <w:pStyle w:val="21"/>
              <w:rPr>
                <w:rFonts w:hint="eastAsia" w:ascii="宋体" w:hAnsi="宋体" w:eastAsia="宋体" w:cs="宋体"/>
                <w:color w:val="auto"/>
                <w:sz w:val="24"/>
                <w:szCs w:val="24"/>
                <w:highlight w:val="none"/>
              </w:rPr>
            </w:pPr>
          </w:p>
        </w:tc>
      </w:tr>
      <w:tr w14:paraId="748716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634" w:type="dxa"/>
            <w:vAlign w:val="top"/>
          </w:tcPr>
          <w:p w14:paraId="30DCE2EF">
            <w:pPr>
              <w:spacing w:before="188" w:line="195" w:lineRule="auto"/>
              <w:ind w:left="24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4</w:t>
            </w:r>
          </w:p>
        </w:tc>
        <w:tc>
          <w:tcPr>
            <w:tcW w:w="1939" w:type="dxa"/>
            <w:vAlign w:val="top"/>
          </w:tcPr>
          <w:p w14:paraId="696539CB">
            <w:pPr>
              <w:spacing w:before="152" w:line="230" w:lineRule="auto"/>
              <w:ind w:left="588"/>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施工员</w:t>
            </w:r>
          </w:p>
        </w:tc>
        <w:tc>
          <w:tcPr>
            <w:tcW w:w="1567" w:type="dxa"/>
            <w:vAlign w:val="top"/>
          </w:tcPr>
          <w:p w14:paraId="18E417E4">
            <w:pPr>
              <w:pStyle w:val="21"/>
              <w:rPr>
                <w:rFonts w:hint="eastAsia" w:ascii="宋体" w:hAnsi="宋体" w:eastAsia="宋体" w:cs="宋体"/>
                <w:color w:val="auto"/>
                <w:sz w:val="24"/>
                <w:szCs w:val="24"/>
                <w:highlight w:val="none"/>
              </w:rPr>
            </w:pPr>
          </w:p>
        </w:tc>
        <w:tc>
          <w:tcPr>
            <w:tcW w:w="1017" w:type="dxa"/>
            <w:vAlign w:val="top"/>
          </w:tcPr>
          <w:p w14:paraId="34BD54A5">
            <w:pPr>
              <w:pStyle w:val="21"/>
              <w:rPr>
                <w:rFonts w:hint="eastAsia" w:ascii="宋体" w:hAnsi="宋体" w:eastAsia="宋体" w:cs="宋体"/>
                <w:color w:val="auto"/>
                <w:sz w:val="24"/>
                <w:szCs w:val="24"/>
                <w:highlight w:val="none"/>
              </w:rPr>
            </w:pPr>
          </w:p>
        </w:tc>
        <w:tc>
          <w:tcPr>
            <w:tcW w:w="1002" w:type="dxa"/>
            <w:vAlign w:val="top"/>
          </w:tcPr>
          <w:p w14:paraId="35F0DD07">
            <w:pPr>
              <w:pStyle w:val="21"/>
              <w:rPr>
                <w:rFonts w:hint="eastAsia" w:ascii="宋体" w:hAnsi="宋体" w:eastAsia="宋体" w:cs="宋体"/>
                <w:color w:val="auto"/>
                <w:sz w:val="24"/>
                <w:szCs w:val="24"/>
                <w:highlight w:val="none"/>
              </w:rPr>
            </w:pPr>
          </w:p>
        </w:tc>
        <w:tc>
          <w:tcPr>
            <w:tcW w:w="1551" w:type="dxa"/>
            <w:vAlign w:val="top"/>
          </w:tcPr>
          <w:p w14:paraId="267F23C7">
            <w:pPr>
              <w:pStyle w:val="21"/>
              <w:rPr>
                <w:rFonts w:hint="eastAsia" w:ascii="宋体" w:hAnsi="宋体" w:eastAsia="宋体" w:cs="宋体"/>
                <w:color w:val="auto"/>
                <w:sz w:val="24"/>
                <w:szCs w:val="24"/>
                <w:highlight w:val="none"/>
              </w:rPr>
            </w:pPr>
          </w:p>
        </w:tc>
        <w:tc>
          <w:tcPr>
            <w:tcW w:w="1926" w:type="dxa"/>
            <w:vAlign w:val="top"/>
          </w:tcPr>
          <w:p w14:paraId="20919564">
            <w:pPr>
              <w:pStyle w:val="21"/>
              <w:rPr>
                <w:rFonts w:hint="eastAsia" w:ascii="宋体" w:hAnsi="宋体" w:eastAsia="宋体" w:cs="宋体"/>
                <w:color w:val="auto"/>
                <w:sz w:val="24"/>
                <w:szCs w:val="24"/>
                <w:highlight w:val="none"/>
              </w:rPr>
            </w:pPr>
          </w:p>
        </w:tc>
      </w:tr>
      <w:tr w14:paraId="0060E5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7913FB8">
            <w:pPr>
              <w:spacing w:before="193" w:line="192" w:lineRule="auto"/>
              <w:ind w:left="24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939" w:type="dxa"/>
            <w:vAlign w:val="top"/>
          </w:tcPr>
          <w:p w14:paraId="77726B25">
            <w:pPr>
              <w:spacing w:before="154" w:line="229"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质量员</w:t>
            </w:r>
          </w:p>
        </w:tc>
        <w:tc>
          <w:tcPr>
            <w:tcW w:w="1567" w:type="dxa"/>
            <w:vAlign w:val="top"/>
          </w:tcPr>
          <w:p w14:paraId="7AF367BA">
            <w:pPr>
              <w:pStyle w:val="21"/>
              <w:rPr>
                <w:rFonts w:hint="eastAsia" w:ascii="宋体" w:hAnsi="宋体" w:eastAsia="宋体" w:cs="宋体"/>
                <w:color w:val="auto"/>
                <w:sz w:val="24"/>
                <w:szCs w:val="24"/>
                <w:highlight w:val="none"/>
              </w:rPr>
            </w:pPr>
          </w:p>
        </w:tc>
        <w:tc>
          <w:tcPr>
            <w:tcW w:w="1017" w:type="dxa"/>
            <w:vAlign w:val="top"/>
          </w:tcPr>
          <w:p w14:paraId="28C0AB4F">
            <w:pPr>
              <w:pStyle w:val="21"/>
              <w:rPr>
                <w:rFonts w:hint="eastAsia" w:ascii="宋体" w:hAnsi="宋体" w:eastAsia="宋体" w:cs="宋体"/>
                <w:color w:val="auto"/>
                <w:sz w:val="24"/>
                <w:szCs w:val="24"/>
                <w:highlight w:val="none"/>
              </w:rPr>
            </w:pPr>
          </w:p>
        </w:tc>
        <w:tc>
          <w:tcPr>
            <w:tcW w:w="1002" w:type="dxa"/>
            <w:vAlign w:val="top"/>
          </w:tcPr>
          <w:p w14:paraId="4F2CE8AB">
            <w:pPr>
              <w:pStyle w:val="21"/>
              <w:rPr>
                <w:rFonts w:hint="eastAsia" w:ascii="宋体" w:hAnsi="宋体" w:eastAsia="宋体" w:cs="宋体"/>
                <w:color w:val="auto"/>
                <w:sz w:val="24"/>
                <w:szCs w:val="24"/>
                <w:highlight w:val="none"/>
              </w:rPr>
            </w:pPr>
          </w:p>
        </w:tc>
        <w:tc>
          <w:tcPr>
            <w:tcW w:w="1551" w:type="dxa"/>
            <w:vAlign w:val="top"/>
          </w:tcPr>
          <w:p w14:paraId="0E48A750">
            <w:pPr>
              <w:pStyle w:val="21"/>
              <w:rPr>
                <w:rFonts w:hint="eastAsia" w:ascii="宋体" w:hAnsi="宋体" w:eastAsia="宋体" w:cs="宋体"/>
                <w:color w:val="auto"/>
                <w:sz w:val="24"/>
                <w:szCs w:val="24"/>
                <w:highlight w:val="none"/>
              </w:rPr>
            </w:pPr>
          </w:p>
        </w:tc>
        <w:tc>
          <w:tcPr>
            <w:tcW w:w="1926" w:type="dxa"/>
            <w:vAlign w:val="top"/>
          </w:tcPr>
          <w:p w14:paraId="23F7D129">
            <w:pPr>
              <w:pStyle w:val="21"/>
              <w:rPr>
                <w:rFonts w:hint="eastAsia" w:ascii="宋体" w:hAnsi="宋体" w:eastAsia="宋体" w:cs="宋体"/>
                <w:color w:val="auto"/>
                <w:sz w:val="24"/>
                <w:szCs w:val="24"/>
                <w:highlight w:val="none"/>
              </w:rPr>
            </w:pPr>
          </w:p>
        </w:tc>
      </w:tr>
      <w:tr w14:paraId="28B3C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4353BB91">
            <w:pPr>
              <w:spacing w:before="191" w:line="195" w:lineRule="auto"/>
              <w:ind w:left="24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939" w:type="dxa"/>
            <w:vAlign w:val="top"/>
          </w:tcPr>
          <w:p w14:paraId="36757C05">
            <w:pPr>
              <w:spacing w:before="155" w:line="228" w:lineRule="auto"/>
              <w:ind w:left="589"/>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材料员</w:t>
            </w:r>
          </w:p>
        </w:tc>
        <w:tc>
          <w:tcPr>
            <w:tcW w:w="1567" w:type="dxa"/>
            <w:vAlign w:val="top"/>
          </w:tcPr>
          <w:p w14:paraId="7CA93473">
            <w:pPr>
              <w:pStyle w:val="21"/>
              <w:rPr>
                <w:rFonts w:hint="eastAsia" w:ascii="宋体" w:hAnsi="宋体" w:eastAsia="宋体" w:cs="宋体"/>
                <w:color w:val="auto"/>
                <w:sz w:val="24"/>
                <w:szCs w:val="24"/>
                <w:highlight w:val="none"/>
              </w:rPr>
            </w:pPr>
          </w:p>
        </w:tc>
        <w:tc>
          <w:tcPr>
            <w:tcW w:w="1017" w:type="dxa"/>
            <w:vAlign w:val="top"/>
          </w:tcPr>
          <w:p w14:paraId="22CBD8CF">
            <w:pPr>
              <w:pStyle w:val="21"/>
              <w:rPr>
                <w:rFonts w:hint="eastAsia" w:ascii="宋体" w:hAnsi="宋体" w:eastAsia="宋体" w:cs="宋体"/>
                <w:color w:val="auto"/>
                <w:sz w:val="24"/>
                <w:szCs w:val="24"/>
                <w:highlight w:val="none"/>
              </w:rPr>
            </w:pPr>
          </w:p>
        </w:tc>
        <w:tc>
          <w:tcPr>
            <w:tcW w:w="1002" w:type="dxa"/>
            <w:vAlign w:val="top"/>
          </w:tcPr>
          <w:p w14:paraId="215EF28A">
            <w:pPr>
              <w:pStyle w:val="21"/>
              <w:rPr>
                <w:rFonts w:hint="eastAsia" w:ascii="宋体" w:hAnsi="宋体" w:eastAsia="宋体" w:cs="宋体"/>
                <w:color w:val="auto"/>
                <w:sz w:val="24"/>
                <w:szCs w:val="24"/>
                <w:highlight w:val="none"/>
              </w:rPr>
            </w:pPr>
          </w:p>
        </w:tc>
        <w:tc>
          <w:tcPr>
            <w:tcW w:w="1551" w:type="dxa"/>
            <w:vAlign w:val="top"/>
          </w:tcPr>
          <w:p w14:paraId="4B59D5A3">
            <w:pPr>
              <w:pStyle w:val="21"/>
              <w:rPr>
                <w:rFonts w:hint="eastAsia" w:ascii="宋体" w:hAnsi="宋体" w:eastAsia="宋体" w:cs="宋体"/>
                <w:color w:val="auto"/>
                <w:sz w:val="24"/>
                <w:szCs w:val="24"/>
                <w:highlight w:val="none"/>
              </w:rPr>
            </w:pPr>
          </w:p>
        </w:tc>
        <w:tc>
          <w:tcPr>
            <w:tcW w:w="1926" w:type="dxa"/>
            <w:vAlign w:val="top"/>
          </w:tcPr>
          <w:p w14:paraId="6D3A902C">
            <w:pPr>
              <w:pStyle w:val="21"/>
              <w:rPr>
                <w:rFonts w:hint="eastAsia" w:ascii="宋体" w:hAnsi="宋体" w:eastAsia="宋体" w:cs="宋体"/>
                <w:color w:val="auto"/>
                <w:sz w:val="24"/>
                <w:szCs w:val="24"/>
                <w:highlight w:val="none"/>
              </w:rPr>
            </w:pPr>
          </w:p>
        </w:tc>
      </w:tr>
      <w:tr w14:paraId="024F77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634" w:type="dxa"/>
            <w:vAlign w:val="top"/>
          </w:tcPr>
          <w:p w14:paraId="6129B6BD">
            <w:pPr>
              <w:spacing w:before="192" w:line="192" w:lineRule="auto"/>
              <w:ind w:left="246"/>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1939" w:type="dxa"/>
            <w:vAlign w:val="top"/>
          </w:tcPr>
          <w:p w14:paraId="43618D94">
            <w:pPr>
              <w:spacing w:before="154" w:line="229" w:lineRule="auto"/>
              <w:ind w:left="59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资料员</w:t>
            </w:r>
          </w:p>
        </w:tc>
        <w:tc>
          <w:tcPr>
            <w:tcW w:w="1567" w:type="dxa"/>
            <w:vAlign w:val="top"/>
          </w:tcPr>
          <w:p w14:paraId="7F6F6292">
            <w:pPr>
              <w:pStyle w:val="21"/>
              <w:rPr>
                <w:rFonts w:hint="eastAsia" w:ascii="宋体" w:hAnsi="宋体" w:eastAsia="宋体" w:cs="宋体"/>
                <w:color w:val="auto"/>
                <w:sz w:val="24"/>
                <w:szCs w:val="24"/>
                <w:highlight w:val="none"/>
              </w:rPr>
            </w:pPr>
          </w:p>
        </w:tc>
        <w:tc>
          <w:tcPr>
            <w:tcW w:w="1017" w:type="dxa"/>
            <w:vAlign w:val="top"/>
          </w:tcPr>
          <w:p w14:paraId="6F5A3CD1">
            <w:pPr>
              <w:pStyle w:val="21"/>
              <w:rPr>
                <w:rFonts w:hint="eastAsia" w:ascii="宋体" w:hAnsi="宋体" w:eastAsia="宋体" w:cs="宋体"/>
                <w:color w:val="auto"/>
                <w:sz w:val="24"/>
                <w:szCs w:val="24"/>
                <w:highlight w:val="none"/>
              </w:rPr>
            </w:pPr>
          </w:p>
        </w:tc>
        <w:tc>
          <w:tcPr>
            <w:tcW w:w="1002" w:type="dxa"/>
            <w:vAlign w:val="top"/>
          </w:tcPr>
          <w:p w14:paraId="0A3F0696">
            <w:pPr>
              <w:pStyle w:val="21"/>
              <w:rPr>
                <w:rFonts w:hint="eastAsia" w:ascii="宋体" w:hAnsi="宋体" w:eastAsia="宋体" w:cs="宋体"/>
                <w:color w:val="auto"/>
                <w:sz w:val="24"/>
                <w:szCs w:val="24"/>
                <w:highlight w:val="none"/>
              </w:rPr>
            </w:pPr>
          </w:p>
        </w:tc>
        <w:tc>
          <w:tcPr>
            <w:tcW w:w="1551" w:type="dxa"/>
            <w:vAlign w:val="top"/>
          </w:tcPr>
          <w:p w14:paraId="33CF7C3A">
            <w:pPr>
              <w:pStyle w:val="21"/>
              <w:rPr>
                <w:rFonts w:hint="eastAsia" w:ascii="宋体" w:hAnsi="宋体" w:eastAsia="宋体" w:cs="宋体"/>
                <w:color w:val="auto"/>
                <w:sz w:val="24"/>
                <w:szCs w:val="24"/>
                <w:highlight w:val="none"/>
              </w:rPr>
            </w:pPr>
          </w:p>
        </w:tc>
        <w:tc>
          <w:tcPr>
            <w:tcW w:w="1926" w:type="dxa"/>
            <w:vAlign w:val="top"/>
          </w:tcPr>
          <w:p w14:paraId="2FDF9A49">
            <w:pPr>
              <w:pStyle w:val="21"/>
              <w:rPr>
                <w:rFonts w:hint="eastAsia" w:ascii="宋体" w:hAnsi="宋体" w:eastAsia="宋体" w:cs="宋体"/>
                <w:color w:val="auto"/>
                <w:sz w:val="24"/>
                <w:szCs w:val="24"/>
                <w:highlight w:val="none"/>
              </w:rPr>
            </w:pPr>
          </w:p>
        </w:tc>
      </w:tr>
      <w:tr w14:paraId="330E46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jc w:val="center"/>
        </w:trPr>
        <w:tc>
          <w:tcPr>
            <w:tcW w:w="634" w:type="dxa"/>
            <w:vAlign w:val="top"/>
          </w:tcPr>
          <w:p w14:paraId="761367CA">
            <w:pPr>
              <w:spacing w:before="154" w:line="325" w:lineRule="exact"/>
              <w:ind w:left="104"/>
              <w:rPr>
                <w:rFonts w:hint="eastAsia" w:ascii="宋体" w:hAnsi="宋体" w:eastAsia="宋体" w:cs="宋体"/>
                <w:color w:val="auto"/>
                <w:sz w:val="24"/>
                <w:szCs w:val="24"/>
                <w:highlight w:val="none"/>
              </w:rPr>
            </w:pPr>
            <w:r>
              <w:rPr>
                <w:rFonts w:hint="eastAsia" w:ascii="宋体" w:hAnsi="宋体" w:eastAsia="宋体" w:cs="宋体"/>
                <w:color w:val="auto"/>
                <w:spacing w:val="-2"/>
                <w:position w:val="3"/>
                <w:sz w:val="24"/>
                <w:szCs w:val="24"/>
                <w:highlight w:val="none"/>
              </w:rPr>
              <w:t>……</w:t>
            </w:r>
          </w:p>
        </w:tc>
        <w:tc>
          <w:tcPr>
            <w:tcW w:w="1939" w:type="dxa"/>
            <w:vAlign w:val="top"/>
          </w:tcPr>
          <w:p w14:paraId="6C0AA321">
            <w:pPr>
              <w:pStyle w:val="21"/>
              <w:rPr>
                <w:rFonts w:hint="eastAsia" w:ascii="宋体" w:hAnsi="宋体" w:eastAsia="宋体" w:cs="宋体"/>
                <w:color w:val="auto"/>
                <w:sz w:val="24"/>
                <w:szCs w:val="24"/>
                <w:highlight w:val="none"/>
              </w:rPr>
            </w:pPr>
          </w:p>
        </w:tc>
        <w:tc>
          <w:tcPr>
            <w:tcW w:w="1567" w:type="dxa"/>
            <w:vAlign w:val="top"/>
          </w:tcPr>
          <w:p w14:paraId="6B481C93">
            <w:pPr>
              <w:pStyle w:val="21"/>
              <w:rPr>
                <w:rFonts w:hint="eastAsia" w:ascii="宋体" w:hAnsi="宋体" w:eastAsia="宋体" w:cs="宋体"/>
                <w:color w:val="auto"/>
                <w:sz w:val="24"/>
                <w:szCs w:val="24"/>
                <w:highlight w:val="none"/>
              </w:rPr>
            </w:pPr>
          </w:p>
        </w:tc>
        <w:tc>
          <w:tcPr>
            <w:tcW w:w="1017" w:type="dxa"/>
            <w:vAlign w:val="top"/>
          </w:tcPr>
          <w:p w14:paraId="2186C8F6">
            <w:pPr>
              <w:pStyle w:val="21"/>
              <w:rPr>
                <w:rFonts w:hint="eastAsia" w:ascii="宋体" w:hAnsi="宋体" w:eastAsia="宋体" w:cs="宋体"/>
                <w:color w:val="auto"/>
                <w:sz w:val="24"/>
                <w:szCs w:val="24"/>
                <w:highlight w:val="none"/>
              </w:rPr>
            </w:pPr>
          </w:p>
        </w:tc>
        <w:tc>
          <w:tcPr>
            <w:tcW w:w="1002" w:type="dxa"/>
            <w:vAlign w:val="top"/>
          </w:tcPr>
          <w:p w14:paraId="458500AA">
            <w:pPr>
              <w:pStyle w:val="21"/>
              <w:rPr>
                <w:rFonts w:hint="eastAsia" w:ascii="宋体" w:hAnsi="宋体" w:eastAsia="宋体" w:cs="宋体"/>
                <w:color w:val="auto"/>
                <w:sz w:val="24"/>
                <w:szCs w:val="24"/>
                <w:highlight w:val="none"/>
              </w:rPr>
            </w:pPr>
          </w:p>
        </w:tc>
        <w:tc>
          <w:tcPr>
            <w:tcW w:w="1551" w:type="dxa"/>
            <w:vAlign w:val="top"/>
          </w:tcPr>
          <w:p w14:paraId="69CC634F">
            <w:pPr>
              <w:pStyle w:val="21"/>
              <w:rPr>
                <w:rFonts w:hint="eastAsia" w:ascii="宋体" w:hAnsi="宋体" w:eastAsia="宋体" w:cs="宋体"/>
                <w:color w:val="auto"/>
                <w:sz w:val="24"/>
                <w:szCs w:val="24"/>
                <w:highlight w:val="none"/>
              </w:rPr>
            </w:pPr>
          </w:p>
        </w:tc>
        <w:tc>
          <w:tcPr>
            <w:tcW w:w="1926" w:type="dxa"/>
            <w:vAlign w:val="top"/>
          </w:tcPr>
          <w:p w14:paraId="0E3F8717">
            <w:pPr>
              <w:pStyle w:val="21"/>
              <w:rPr>
                <w:rFonts w:hint="eastAsia" w:ascii="宋体" w:hAnsi="宋体" w:eastAsia="宋体" w:cs="宋体"/>
                <w:color w:val="auto"/>
                <w:sz w:val="24"/>
                <w:szCs w:val="24"/>
                <w:highlight w:val="none"/>
              </w:rPr>
            </w:pPr>
          </w:p>
        </w:tc>
      </w:tr>
    </w:tbl>
    <w:p w14:paraId="2C506F4A">
      <w:pPr>
        <w:pStyle w:val="5"/>
        <w:spacing w:line="395" w:lineRule="auto"/>
        <w:rPr>
          <w:rFonts w:hint="eastAsia" w:ascii="宋体" w:hAnsi="宋体" w:eastAsia="宋体" w:cs="宋体"/>
          <w:color w:val="auto"/>
          <w:sz w:val="24"/>
          <w:szCs w:val="24"/>
          <w:highlight w:val="none"/>
        </w:rPr>
      </w:pPr>
    </w:p>
    <w:p w14:paraId="48D3ED77">
      <w:pPr>
        <w:spacing w:before="65" w:line="228" w:lineRule="auto"/>
        <w:ind w:left="434"/>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说明：</w:t>
      </w:r>
    </w:p>
    <w:p w14:paraId="3E8C578A">
      <w:pPr>
        <w:spacing w:before="153" w:line="228" w:lineRule="auto"/>
        <w:ind w:firstLine="496"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1</w:t>
      </w:r>
      <w:r>
        <w:rPr>
          <w:rFonts w:hint="eastAsia" w:ascii="宋体" w:hAnsi="宋体" w:eastAsia="宋体" w:cs="宋体"/>
          <w:color w:val="auto"/>
          <w:spacing w:val="-21"/>
          <w:sz w:val="24"/>
          <w:szCs w:val="24"/>
          <w:highlight w:val="none"/>
        </w:rPr>
        <w:t xml:space="preserve"> </w:t>
      </w:r>
      <w:r>
        <w:rPr>
          <w:rFonts w:hint="eastAsia" w:ascii="宋体" w:hAnsi="宋体" w:eastAsia="宋体" w:cs="宋体"/>
          <w:color w:val="auto"/>
          <w:spacing w:val="4"/>
          <w:sz w:val="24"/>
          <w:szCs w:val="24"/>
          <w:highlight w:val="none"/>
        </w:rPr>
        <w:t>．《项目管理机构组成表》后应附表中拟派人</w:t>
      </w:r>
      <w:r>
        <w:rPr>
          <w:rFonts w:hint="eastAsia" w:ascii="宋体" w:hAnsi="宋体" w:eastAsia="宋体" w:cs="宋体"/>
          <w:color w:val="auto"/>
          <w:spacing w:val="3"/>
          <w:sz w:val="24"/>
          <w:szCs w:val="24"/>
          <w:highlight w:val="none"/>
        </w:rPr>
        <w:t>员（项目经理、项目技术负责人除外）以下资料：</w:t>
      </w:r>
    </w:p>
    <w:p w14:paraId="5D1DDFC3">
      <w:pPr>
        <w:spacing w:before="154" w:line="228" w:lineRule="auto"/>
        <w:ind w:left="448"/>
        <w:jc w:val="left"/>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lang w:val="en-US" w:eastAsia="zh-CN"/>
        </w:rPr>
        <w:t>1</w:t>
      </w:r>
      <w:r>
        <w:rPr>
          <w:rFonts w:hint="eastAsia" w:ascii="宋体" w:hAnsi="宋体" w:eastAsia="宋体" w:cs="宋体"/>
          <w:color w:val="auto"/>
          <w:spacing w:val="3"/>
          <w:sz w:val="24"/>
          <w:szCs w:val="24"/>
          <w:highlight w:val="none"/>
          <w:lang w:eastAsia="zh-CN"/>
        </w:rPr>
        <w:t>）</w:t>
      </w:r>
      <w:r>
        <w:rPr>
          <w:rFonts w:hint="eastAsia" w:ascii="宋体" w:hAnsi="宋体" w:eastAsia="宋体" w:cs="宋体"/>
          <w:color w:val="auto"/>
          <w:spacing w:val="3"/>
          <w:sz w:val="24"/>
          <w:szCs w:val="24"/>
          <w:highlight w:val="none"/>
        </w:rPr>
        <w:t>身份证彩色扫描件；</w:t>
      </w:r>
    </w:p>
    <w:p w14:paraId="53B8EA83">
      <w:pPr>
        <w:spacing w:before="152" w:line="228" w:lineRule="auto"/>
        <w:ind w:left="42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5"/>
          <w:sz w:val="24"/>
          <w:szCs w:val="24"/>
          <w:highlight w:val="none"/>
          <w:lang w:val="en-US" w:eastAsia="zh-CN"/>
        </w:rPr>
        <w:t>2</w:t>
      </w:r>
      <w:r>
        <w:rPr>
          <w:rFonts w:hint="eastAsia" w:ascii="宋体" w:hAnsi="宋体" w:eastAsia="宋体" w:cs="宋体"/>
          <w:color w:val="auto"/>
          <w:spacing w:val="5"/>
          <w:sz w:val="24"/>
          <w:szCs w:val="24"/>
          <w:highlight w:val="none"/>
          <w:lang w:eastAsia="zh-CN"/>
        </w:rPr>
        <w:t>）</w:t>
      </w:r>
      <w:r>
        <w:rPr>
          <w:rFonts w:hint="eastAsia" w:ascii="宋体" w:hAnsi="宋体" w:eastAsia="宋体" w:cs="宋体"/>
          <w:color w:val="auto"/>
          <w:spacing w:val="9"/>
          <w:sz w:val="24"/>
          <w:szCs w:val="24"/>
          <w:highlight w:val="none"/>
        </w:rPr>
        <w:t>专职安全员须提供C类安全生产考核合格证书扫描件或“建筑施工企业管理人员安全生产考核信息系统”考核合格信息扫描件；施工员、质量员、材料员、资料员附岗位证书或培训证书彩色扫描件或打印件；</w:t>
      </w:r>
    </w:p>
    <w:p w14:paraId="40814848">
      <w:pPr>
        <w:spacing w:before="153" w:line="299" w:lineRule="auto"/>
        <w:ind w:left="11" w:right="89" w:firstLine="42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lang w:val="en-US" w:eastAsia="zh-CN"/>
        </w:rPr>
        <w:t>3</w:t>
      </w:r>
      <w:r>
        <w:rPr>
          <w:rFonts w:hint="eastAsia" w:ascii="宋体" w:hAnsi="宋体" w:eastAsia="宋体" w:cs="宋体"/>
          <w:color w:val="auto"/>
          <w:spacing w:val="9"/>
          <w:sz w:val="24"/>
          <w:szCs w:val="24"/>
          <w:highlight w:val="none"/>
          <w:lang w:eastAsia="zh-CN"/>
        </w:rPr>
        <w:t>）</w:t>
      </w:r>
      <w:r>
        <w:rPr>
          <w:rFonts w:hint="eastAsia" w:ascii="宋体" w:hAnsi="宋体" w:eastAsia="宋体" w:cs="宋体"/>
          <w:color w:val="auto"/>
          <w:spacing w:val="9"/>
          <w:sz w:val="24"/>
          <w:szCs w:val="24"/>
          <w:highlight w:val="none"/>
        </w:rPr>
        <w:t>在本单位缴纳社保的证明（</w:t>
      </w:r>
      <w:r>
        <w:rPr>
          <w:rFonts w:hint="eastAsia" w:ascii="宋体" w:hAnsi="宋体" w:eastAsia="宋体" w:cs="宋体"/>
          <w:color w:val="auto"/>
          <w:sz w:val="24"/>
          <w:szCs w:val="24"/>
          <w:highlight w:val="none"/>
          <w:lang w:eastAsia="zh-CN"/>
        </w:rPr>
        <w:t>至少1个月，其中必须有2026年6月</w:t>
      </w:r>
      <w:r>
        <w:rPr>
          <w:rFonts w:hint="eastAsia" w:ascii="宋体" w:hAnsi="宋体" w:eastAsia="宋体" w:cs="宋体"/>
          <w:color w:val="auto"/>
          <w:spacing w:val="8"/>
          <w:sz w:val="24"/>
          <w:szCs w:val="24"/>
          <w:highlight w:val="none"/>
        </w:rPr>
        <w:t>）彩色扫描件</w:t>
      </w:r>
      <w:r>
        <w:rPr>
          <w:rFonts w:hint="eastAsia" w:ascii="宋体" w:hAnsi="宋体" w:eastAsia="宋体" w:cs="宋体"/>
          <w:color w:val="auto"/>
          <w:spacing w:val="8"/>
          <w:sz w:val="24"/>
          <w:szCs w:val="24"/>
          <w:highlight w:val="none"/>
          <w:lang w:val="en-US" w:eastAsia="zh-CN"/>
        </w:rPr>
        <w:t>或打印件</w:t>
      </w:r>
      <w:r>
        <w:rPr>
          <w:rFonts w:hint="eastAsia" w:ascii="宋体" w:hAnsi="宋体" w:eastAsia="宋体" w:cs="宋体"/>
          <w:color w:val="auto"/>
          <w:spacing w:val="8"/>
          <w:sz w:val="24"/>
          <w:szCs w:val="24"/>
          <w:highlight w:val="none"/>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拟派项目技术负责人为退休返聘人员无法提供社</w:t>
      </w:r>
      <w:r>
        <w:rPr>
          <w:rFonts w:hint="eastAsia" w:ascii="宋体" w:hAnsi="宋体" w:eastAsia="宋体" w:cs="宋体"/>
          <w:color w:val="auto"/>
          <w:spacing w:val="9"/>
          <w:sz w:val="24"/>
          <w:szCs w:val="24"/>
          <w:highlight w:val="none"/>
        </w:rPr>
        <w:t>保证明的，提供退休证和劳动合同彩色扫描件。</w:t>
      </w:r>
    </w:p>
    <w:p w14:paraId="2488CB38">
      <w:pPr>
        <w:spacing w:before="152" w:line="228" w:lineRule="auto"/>
        <w:ind w:left="0" w:leftChars="0" w:firstLine="419" w:firstLineChars="164"/>
        <w:rPr>
          <w:rFonts w:hint="eastAsia" w:ascii="宋体" w:hAnsi="宋体" w:eastAsia="宋体" w:cs="宋体"/>
          <w:color w:val="auto"/>
          <w:spacing w:val="9"/>
          <w:sz w:val="24"/>
          <w:szCs w:val="24"/>
          <w:highlight w:val="none"/>
        </w:rPr>
      </w:pPr>
      <w:r>
        <w:rPr>
          <w:rFonts w:hint="eastAsia" w:ascii="宋体" w:hAnsi="宋体" w:eastAsia="宋体" w:cs="宋体"/>
          <w:color w:val="auto"/>
          <w:spacing w:val="8"/>
          <w:sz w:val="24"/>
          <w:szCs w:val="24"/>
          <w:highlight w:val="none"/>
        </w:rPr>
        <w:t>（4）</w:t>
      </w:r>
      <w:r>
        <w:rPr>
          <w:rFonts w:hint="eastAsia" w:ascii="宋体" w:hAnsi="宋体" w:eastAsia="宋体" w:cs="宋体"/>
          <w:color w:val="auto"/>
          <w:spacing w:val="9"/>
          <w:sz w:val="24"/>
          <w:szCs w:val="24"/>
          <w:highlight w:val="none"/>
        </w:rPr>
        <w:t>“进粤企业和人员诚信信息登记平台 ”个人信息情况截图。（适用于省外建筑企业）</w:t>
      </w:r>
    </w:p>
    <w:p w14:paraId="7D04B8DB">
      <w:pPr>
        <w:spacing w:before="153" w:line="299" w:lineRule="auto"/>
        <w:ind w:left="16" w:right="40" w:firstLine="41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lang w:val="en-US" w:eastAsia="zh-CN"/>
        </w:rPr>
        <w:t>2.</w:t>
      </w:r>
      <w:r>
        <w:rPr>
          <w:rFonts w:hint="eastAsia" w:ascii="宋体" w:hAnsi="宋体" w:eastAsia="宋体" w:cs="宋体"/>
          <w:color w:val="auto"/>
          <w:spacing w:val="8"/>
          <w:sz w:val="24"/>
          <w:szCs w:val="24"/>
          <w:highlight w:val="none"/>
        </w:rPr>
        <w:t>联合体投标的，《项目管理机构组成表》应包括联合体成员单位参与项目管理</w:t>
      </w:r>
      <w:r>
        <w:rPr>
          <w:rFonts w:hint="eastAsia" w:ascii="宋体" w:hAnsi="宋体" w:eastAsia="宋体" w:cs="宋体"/>
          <w:color w:val="auto"/>
          <w:spacing w:val="7"/>
          <w:sz w:val="24"/>
          <w:szCs w:val="24"/>
          <w:highlight w:val="none"/>
        </w:rPr>
        <w:t>机构的人员，并提供以上所需资料。</w:t>
      </w:r>
    </w:p>
    <w:p w14:paraId="270AB728">
      <w:pPr>
        <w:pStyle w:val="5"/>
        <w:spacing w:line="248" w:lineRule="auto"/>
        <w:rPr>
          <w:rFonts w:hint="eastAsia" w:ascii="宋体" w:hAnsi="宋体" w:eastAsia="宋体" w:cs="宋体"/>
          <w:color w:val="auto"/>
          <w:sz w:val="24"/>
          <w:szCs w:val="24"/>
          <w:highlight w:val="none"/>
        </w:rPr>
      </w:pPr>
    </w:p>
    <w:p w14:paraId="67BB345D">
      <w:pPr>
        <w:pStyle w:val="5"/>
        <w:spacing w:line="248" w:lineRule="auto"/>
        <w:rPr>
          <w:rFonts w:hint="eastAsia" w:ascii="宋体" w:hAnsi="宋体" w:eastAsia="宋体" w:cs="宋体"/>
          <w:color w:val="auto"/>
          <w:sz w:val="24"/>
          <w:szCs w:val="24"/>
          <w:highlight w:val="none"/>
        </w:rPr>
      </w:pPr>
    </w:p>
    <w:p w14:paraId="7B06C124">
      <w:pPr>
        <w:pStyle w:val="5"/>
        <w:spacing w:line="248" w:lineRule="auto"/>
        <w:rPr>
          <w:rFonts w:hint="eastAsia" w:ascii="宋体" w:hAnsi="宋体" w:eastAsia="宋体" w:cs="宋体"/>
          <w:color w:val="auto"/>
          <w:highlight w:val="none"/>
        </w:rPr>
      </w:pPr>
    </w:p>
    <w:p w14:paraId="4D41C197">
      <w:pPr>
        <w:pStyle w:val="5"/>
        <w:spacing w:line="248" w:lineRule="auto"/>
        <w:rPr>
          <w:rFonts w:hint="eastAsia" w:ascii="宋体" w:hAnsi="宋体" w:eastAsia="宋体" w:cs="宋体"/>
          <w:color w:val="auto"/>
          <w:highlight w:val="none"/>
        </w:rPr>
      </w:pPr>
    </w:p>
    <w:p w14:paraId="5146A28D">
      <w:pPr>
        <w:spacing w:before="79" w:line="220" w:lineRule="auto"/>
        <w:rPr>
          <w:rFonts w:hint="eastAsia" w:ascii="宋体" w:hAnsi="宋体" w:eastAsia="宋体" w:cs="宋体"/>
          <w:b/>
          <w:bCs/>
          <w:color w:val="auto"/>
          <w:spacing w:val="-2"/>
          <w:sz w:val="24"/>
          <w:szCs w:val="24"/>
          <w:highlight w:val="none"/>
        </w:rPr>
      </w:pPr>
    </w:p>
    <w:p w14:paraId="69CF808F">
      <w:pPr>
        <w:spacing w:before="78" w:line="220" w:lineRule="auto"/>
        <w:outlineLvl w:val="2"/>
        <w:rPr>
          <w:rFonts w:hint="eastAsia" w:ascii="宋体" w:hAnsi="宋体" w:eastAsia="宋体" w:cs="宋体"/>
          <w:b/>
          <w:bCs/>
          <w:color w:val="auto"/>
          <w:spacing w:val="-4"/>
          <w:sz w:val="24"/>
          <w:szCs w:val="24"/>
          <w:highlight w:val="none"/>
        </w:rPr>
      </w:pPr>
      <w:bookmarkStart w:id="263" w:name="_Toc16480"/>
      <w:r>
        <w:rPr>
          <w:rFonts w:hint="eastAsia" w:ascii="宋体" w:hAnsi="宋体" w:eastAsia="宋体" w:cs="宋体"/>
          <w:b/>
          <w:bCs/>
          <w:color w:val="auto"/>
          <w:spacing w:val="-4"/>
          <w:sz w:val="24"/>
          <w:szCs w:val="24"/>
          <w:highlight w:val="none"/>
        </w:rPr>
        <w:t>格式十二 建造师查询页（有效期+建造师签字）</w:t>
      </w:r>
      <w:bookmarkEnd w:id="263"/>
    </w:p>
    <w:p w14:paraId="7E4612B5">
      <w:pPr>
        <w:outlineLvl w:val="9"/>
        <w:rPr>
          <w:rFonts w:hint="eastAsia" w:ascii="宋体" w:hAnsi="宋体" w:eastAsia="宋体" w:cs="宋体"/>
          <w:color w:val="auto"/>
          <w:highlight w:val="none"/>
        </w:rPr>
      </w:pPr>
      <w:r>
        <w:rPr>
          <w:rFonts w:hint="eastAsia" w:ascii="宋体" w:hAnsi="宋体" w:eastAsia="宋体" w:cs="宋体"/>
          <w:color w:val="auto"/>
          <w:position w:val="-235"/>
          <w:highlight w:val="none"/>
        </w:rPr>
        <w:drawing>
          <wp:inline distT="0" distB="0" distL="114300" distR="114300">
            <wp:extent cx="6239510" cy="8013700"/>
            <wp:effectExtent l="0" t="0" r="8890" b="6350"/>
            <wp:docPr id="6" name="图片 8"/>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55"/>
                    <a:stretch>
                      <a:fillRect/>
                    </a:stretch>
                  </pic:blipFill>
                  <pic:spPr>
                    <a:xfrm>
                      <a:off x="0" y="0"/>
                      <a:ext cx="6239510" cy="8013700"/>
                    </a:xfrm>
                    <a:prstGeom prst="rect">
                      <a:avLst/>
                    </a:prstGeom>
                    <a:noFill/>
                    <a:ln>
                      <a:noFill/>
                    </a:ln>
                  </pic:spPr>
                </pic:pic>
              </a:graphicData>
            </a:graphic>
          </wp:inline>
        </w:drawing>
      </w:r>
    </w:p>
    <w:p w14:paraId="3172F0C9">
      <w:pPr>
        <w:spacing w:line="220" w:lineRule="auto"/>
        <w:rPr>
          <w:rFonts w:hint="eastAsia" w:ascii="宋体" w:hAnsi="宋体" w:eastAsia="宋体" w:cs="宋体"/>
          <w:color w:val="auto"/>
          <w:sz w:val="24"/>
          <w:szCs w:val="24"/>
          <w:highlight w:val="none"/>
        </w:rPr>
        <w:sectPr>
          <w:footerReference r:id="rId23"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135EB9FF">
      <w:pPr>
        <w:spacing w:line="10744" w:lineRule="exact"/>
        <w:rPr>
          <w:rFonts w:hint="eastAsia" w:ascii="宋体" w:hAnsi="宋体" w:eastAsia="宋体" w:cs="宋体"/>
          <w:color w:val="auto"/>
          <w:highlight w:val="none"/>
        </w:rPr>
      </w:pPr>
      <w:r>
        <w:rPr>
          <w:rFonts w:hint="eastAsia" w:ascii="宋体" w:hAnsi="宋体" w:eastAsia="宋体" w:cs="宋体"/>
          <w:color w:val="auto"/>
          <w:position w:val="-214"/>
          <w:highlight w:val="none"/>
        </w:rPr>
        <w:drawing>
          <wp:inline distT="0" distB="0" distL="114300" distR="114300">
            <wp:extent cx="6285865" cy="6925310"/>
            <wp:effectExtent l="0" t="0" r="635" b="8890"/>
            <wp:docPr id="4" name="图片 9"/>
            <wp:cNvGraphicFramePr/>
            <a:graphic xmlns:a="http://schemas.openxmlformats.org/drawingml/2006/main">
              <a:graphicData uri="http://schemas.openxmlformats.org/drawingml/2006/picture">
                <pic:pic xmlns:pic="http://schemas.openxmlformats.org/drawingml/2006/picture">
                  <pic:nvPicPr>
                    <pic:cNvPr id="4" name="图片 9"/>
                    <pic:cNvPicPr/>
                  </pic:nvPicPr>
                  <pic:blipFill>
                    <a:blip r:embed="rId56"/>
                    <a:stretch>
                      <a:fillRect/>
                    </a:stretch>
                  </pic:blipFill>
                  <pic:spPr>
                    <a:xfrm>
                      <a:off x="0" y="0"/>
                      <a:ext cx="6285865" cy="6925310"/>
                    </a:xfrm>
                    <a:prstGeom prst="rect">
                      <a:avLst/>
                    </a:prstGeom>
                    <a:noFill/>
                    <a:ln>
                      <a:noFill/>
                    </a:ln>
                  </pic:spPr>
                </pic:pic>
              </a:graphicData>
            </a:graphic>
          </wp:inline>
        </w:drawing>
      </w:r>
    </w:p>
    <w:p w14:paraId="0BA8F6B0">
      <w:pPr>
        <w:spacing w:line="10744" w:lineRule="exact"/>
        <w:rPr>
          <w:rFonts w:hint="eastAsia" w:ascii="宋体" w:hAnsi="宋体" w:eastAsia="宋体" w:cs="宋体"/>
          <w:color w:val="auto"/>
          <w:highlight w:val="none"/>
        </w:rPr>
        <w:sectPr>
          <w:footerReference r:id="rId24"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807325D">
      <w:pPr>
        <w:spacing w:before="78" w:line="220" w:lineRule="auto"/>
        <w:outlineLvl w:val="2"/>
        <w:rPr>
          <w:rFonts w:hint="eastAsia" w:ascii="宋体" w:hAnsi="宋体" w:eastAsia="宋体" w:cs="宋体"/>
          <w:b/>
          <w:bCs/>
          <w:color w:val="auto"/>
          <w:spacing w:val="-4"/>
          <w:sz w:val="24"/>
          <w:szCs w:val="24"/>
          <w:highlight w:val="none"/>
        </w:rPr>
      </w:pPr>
      <w:bookmarkStart w:id="264" w:name="_Toc28779"/>
      <w:r>
        <w:rPr>
          <w:rFonts w:hint="eastAsia" w:ascii="宋体" w:hAnsi="宋体" w:eastAsia="宋体" w:cs="宋体"/>
          <w:b/>
          <w:bCs/>
          <w:color w:val="auto"/>
          <w:spacing w:val="-4"/>
          <w:sz w:val="24"/>
          <w:szCs w:val="24"/>
          <w:highlight w:val="none"/>
        </w:rPr>
        <w:t>格式十三：</w:t>
      </w:r>
      <w:r>
        <w:rPr>
          <w:rFonts w:hint="eastAsia" w:ascii="宋体" w:hAnsi="宋体" w:eastAsia="宋体" w:cs="宋体"/>
          <w:b/>
          <w:bCs/>
          <w:color w:val="auto"/>
          <w:spacing w:val="7"/>
          <w:sz w:val="22"/>
          <w:szCs w:val="22"/>
          <w:highlight w:val="none"/>
        </w:rPr>
        <w:t>危险性较大的分部分项工程清单及超过一定规模的危险性较大的</w:t>
      </w:r>
      <w:r>
        <w:rPr>
          <w:rFonts w:hint="eastAsia" w:ascii="宋体" w:hAnsi="宋体" w:eastAsia="宋体" w:cs="宋体"/>
          <w:b/>
          <w:bCs/>
          <w:color w:val="auto"/>
          <w:spacing w:val="5"/>
          <w:sz w:val="22"/>
          <w:szCs w:val="22"/>
          <w:highlight w:val="none"/>
        </w:rPr>
        <w:t>分部分项工程清单</w:t>
      </w:r>
      <w:bookmarkEnd w:id="264"/>
    </w:p>
    <w:p w14:paraId="4A8056AD">
      <w:pPr>
        <w:pStyle w:val="5"/>
        <w:spacing w:line="269" w:lineRule="auto"/>
        <w:rPr>
          <w:rFonts w:hint="eastAsia" w:ascii="宋体" w:hAnsi="宋体" w:eastAsia="宋体" w:cs="宋体"/>
          <w:color w:val="auto"/>
          <w:highlight w:val="none"/>
        </w:rPr>
      </w:pPr>
    </w:p>
    <w:p w14:paraId="6BF95D02">
      <w:pPr>
        <w:tabs>
          <w:tab w:val="left" w:pos="2940"/>
        </w:tabs>
        <w:spacing w:before="101" w:line="377" w:lineRule="auto"/>
        <w:ind w:left="3179" w:leftChars="0" w:right="41" w:hanging="3133" w:firstLineChars="0"/>
        <w:rPr>
          <w:rFonts w:hint="eastAsia" w:ascii="宋体" w:hAnsi="宋体" w:eastAsia="宋体" w:cs="宋体"/>
          <w:color w:val="auto"/>
          <w:sz w:val="31"/>
          <w:szCs w:val="31"/>
          <w:highlight w:val="none"/>
        </w:rPr>
      </w:pPr>
      <w:bookmarkStart w:id="265" w:name="bookmark160"/>
      <w:bookmarkEnd w:id="265"/>
      <w:bookmarkStart w:id="266" w:name="OLE_LINK41"/>
      <w:r>
        <w:rPr>
          <w:rFonts w:hint="eastAsia" w:ascii="宋体" w:hAnsi="宋体" w:eastAsia="宋体" w:cs="宋体"/>
          <w:b/>
          <w:bCs/>
          <w:color w:val="auto"/>
          <w:spacing w:val="7"/>
          <w:sz w:val="31"/>
          <w:szCs w:val="31"/>
          <w:highlight w:val="none"/>
        </w:rPr>
        <w:t>危险性较大的分部分项工程清单及超过一定规模的危险性较大的</w:t>
      </w:r>
      <w:r>
        <w:rPr>
          <w:rFonts w:hint="eastAsia" w:ascii="宋体" w:hAnsi="宋体" w:eastAsia="宋体" w:cs="宋体"/>
          <w:b/>
          <w:bCs/>
          <w:color w:val="auto"/>
          <w:spacing w:val="5"/>
          <w:sz w:val="31"/>
          <w:szCs w:val="31"/>
          <w:highlight w:val="none"/>
        </w:rPr>
        <w:t>分部分项工程清单</w:t>
      </w:r>
    </w:p>
    <w:bookmarkEnd w:id="266"/>
    <w:p w14:paraId="73F326BD">
      <w:pPr>
        <w:spacing w:before="6" w:line="326" w:lineRule="auto"/>
        <w:ind w:left="5" w:firstLine="492"/>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1、根据中华人民共和国住房和城乡建设部令第37号《危险性较大的分部分项工程</w:t>
      </w:r>
      <w:r>
        <w:rPr>
          <w:rFonts w:hint="eastAsia" w:ascii="宋体" w:hAnsi="宋体" w:eastAsia="宋体" w:cs="宋体"/>
          <w:color w:val="auto"/>
          <w:spacing w:val="-2"/>
          <w:sz w:val="24"/>
          <w:szCs w:val="24"/>
          <w:highlight w:val="none"/>
        </w:rPr>
        <w:t>安全管理规定》（以下简称“37号文</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2"/>
          <w:sz w:val="24"/>
          <w:szCs w:val="24"/>
          <w:highlight w:val="none"/>
        </w:rPr>
        <w:t>”</w:t>
      </w:r>
      <w:r>
        <w:rPr>
          <w:rFonts w:hint="eastAsia" w:ascii="宋体" w:hAnsi="宋体" w:eastAsia="宋体" w:cs="宋体"/>
          <w:color w:val="auto"/>
          <w:spacing w:val="-11"/>
          <w:sz w:val="24"/>
          <w:szCs w:val="24"/>
          <w:highlight w:val="none"/>
        </w:rPr>
        <w:t>），</w:t>
      </w:r>
      <w:r>
        <w:rPr>
          <w:rFonts w:hint="eastAsia" w:ascii="宋体" w:hAnsi="宋体" w:eastAsia="宋体" w:cs="宋体"/>
          <w:color w:val="auto"/>
          <w:spacing w:val="-2"/>
          <w:sz w:val="24"/>
          <w:szCs w:val="24"/>
          <w:highlight w:val="none"/>
        </w:rPr>
        <w:t>投标人在投标时须补充完善危大工程清单并</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明确相应的安全管理措施。</w:t>
      </w:r>
    </w:p>
    <w:p w14:paraId="1DC88D33">
      <w:pPr>
        <w:spacing w:before="208" w:line="326" w:lineRule="auto"/>
        <w:ind w:left="1" w:firstLine="481"/>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4"/>
          <w:szCs w:val="24"/>
          <w:highlight w:val="none"/>
        </w:rPr>
        <w:t>险性较大的分部分项工程清单</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”中与</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本招标项目相关的清单项，具体详见第5点“打</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5"/>
          <w:sz w:val="24"/>
          <w:szCs w:val="24"/>
          <w:highlight w:val="none"/>
        </w:rPr>
        <w:t>”标识。</w:t>
      </w:r>
    </w:p>
    <w:p w14:paraId="360030D3">
      <w:pPr>
        <w:spacing w:before="209" w:line="299" w:lineRule="auto"/>
        <w:ind w:left="3" w:right="72" w:firstLine="488"/>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（1）投标单位同意建设单位在清单中标识的该</w:t>
      </w:r>
      <w:r>
        <w:rPr>
          <w:rFonts w:hint="eastAsia" w:ascii="宋体" w:hAnsi="宋体" w:eastAsia="宋体" w:cs="宋体"/>
          <w:color w:val="auto"/>
          <w:spacing w:val="-4"/>
          <w:sz w:val="24"/>
          <w:szCs w:val="24"/>
          <w:highlight w:val="none"/>
        </w:rPr>
        <w:t>项请在对应项打“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w:t>
      </w:r>
      <w:r>
        <w:rPr>
          <w:rFonts w:hint="eastAsia" w:ascii="宋体" w:hAnsi="宋体" w:eastAsia="宋体" w:cs="宋体"/>
          <w:color w:val="auto"/>
          <w:spacing w:val="-1"/>
          <w:sz w:val="24"/>
          <w:szCs w:val="24"/>
          <w:highlight w:val="none"/>
        </w:rPr>
        <w:t>投标文件中提供相应的安全管理措施。</w:t>
      </w:r>
    </w:p>
    <w:p w14:paraId="4935E083">
      <w:pPr>
        <w:spacing w:before="208" w:line="299" w:lineRule="auto"/>
        <w:ind w:left="2" w:right="72" w:firstLine="48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（2）投标单位对清单中认为需要补充的该项请</w:t>
      </w:r>
      <w:r>
        <w:rPr>
          <w:rFonts w:hint="eastAsia" w:ascii="宋体" w:hAnsi="宋体" w:eastAsia="宋体" w:cs="宋体"/>
          <w:color w:val="auto"/>
          <w:spacing w:val="-4"/>
          <w:sz w:val="24"/>
          <w:szCs w:val="24"/>
          <w:highlight w:val="none"/>
        </w:rPr>
        <w:t>在对应项打“</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4"/>
          <w:sz w:val="24"/>
          <w:szCs w:val="24"/>
          <w:highlight w:val="none"/>
        </w:rPr>
        <w:t>”标识，并与投标</w:t>
      </w:r>
      <w:r>
        <w:rPr>
          <w:rFonts w:hint="eastAsia" w:ascii="宋体" w:hAnsi="宋体" w:eastAsia="宋体" w:cs="宋体"/>
          <w:color w:val="auto"/>
          <w:spacing w:val="-1"/>
          <w:sz w:val="24"/>
          <w:szCs w:val="24"/>
          <w:highlight w:val="none"/>
        </w:rPr>
        <w:t>文件中提供相应的安全管理措施。</w:t>
      </w:r>
    </w:p>
    <w:p w14:paraId="47CE10C4">
      <w:pPr>
        <w:spacing w:before="210" w:line="300" w:lineRule="auto"/>
        <w:ind w:right="72" w:firstLine="49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（3）投标单位不同意建设单位在清单中标识的该项请在对应项打“</w:t>
      </w:r>
      <w:r>
        <w:rPr>
          <w:rFonts w:hint="eastAsia" w:ascii="宋体" w:hAnsi="宋体" w:eastAsia="宋体" w:cs="宋体"/>
          <w:color w:val="auto"/>
          <w:spacing w:val="-66"/>
          <w:sz w:val="24"/>
          <w:szCs w:val="24"/>
          <w:highlight w:val="none"/>
        </w:rPr>
        <w:t xml:space="preserve"> </w:t>
      </w:r>
      <w:r>
        <w:rPr>
          <w:rFonts w:hint="eastAsia" w:ascii="宋体" w:hAnsi="宋体" w:eastAsia="宋体" w:cs="宋体"/>
          <w:color w:val="auto"/>
          <w:spacing w:val="-3"/>
          <w:sz w:val="24"/>
          <w:szCs w:val="24"/>
          <w:highlight w:val="none"/>
        </w:rPr>
        <w:t>×</w:t>
      </w:r>
      <w:r>
        <w:rPr>
          <w:rFonts w:hint="eastAsia" w:ascii="宋体" w:hAnsi="宋体" w:eastAsia="宋体" w:cs="宋体"/>
          <w:color w:val="auto"/>
          <w:spacing w:val="-88"/>
          <w:sz w:val="24"/>
          <w:szCs w:val="24"/>
          <w:highlight w:val="none"/>
        </w:rPr>
        <w:t xml:space="preserve"> </w:t>
      </w:r>
      <w:r>
        <w:rPr>
          <w:rFonts w:hint="eastAsia" w:ascii="宋体" w:hAnsi="宋体" w:eastAsia="宋体" w:cs="宋体"/>
          <w:color w:val="auto"/>
          <w:spacing w:val="-3"/>
          <w:sz w:val="24"/>
          <w:szCs w:val="24"/>
          <w:highlight w:val="none"/>
        </w:rPr>
        <w:t>”标识，并</w:t>
      </w:r>
      <w:r>
        <w:rPr>
          <w:rFonts w:hint="eastAsia" w:ascii="宋体" w:hAnsi="宋体" w:eastAsia="宋体" w:cs="宋体"/>
          <w:color w:val="auto"/>
          <w:spacing w:val="-1"/>
          <w:sz w:val="24"/>
          <w:szCs w:val="24"/>
          <w:highlight w:val="none"/>
        </w:rPr>
        <w:t>在备注栏填上相关说明。</w:t>
      </w:r>
    </w:p>
    <w:p w14:paraId="34A6CA4A">
      <w:pPr>
        <w:spacing w:before="207" w:line="371" w:lineRule="auto"/>
        <w:ind w:firstLine="484"/>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4"/>
          <w:sz w:val="24"/>
          <w:szCs w:val="24"/>
          <w:highlight w:val="none"/>
          <w:u w:val="single"/>
        </w:rPr>
        <w:t>3、投标单位应当在投标时根据招标人提供的下述第5点清单，</w:t>
      </w:r>
      <w:r>
        <w:rPr>
          <w:rFonts w:hint="eastAsia" w:ascii="宋体" w:hAnsi="宋体" w:eastAsia="宋体" w:cs="宋体"/>
          <w:b/>
          <w:bCs/>
          <w:color w:val="auto"/>
          <w:spacing w:val="-5"/>
          <w:sz w:val="24"/>
          <w:szCs w:val="24"/>
          <w:highlight w:val="none"/>
          <w:u w:val="single"/>
        </w:rPr>
        <w:t>在投标施工组织中回</w:t>
      </w:r>
      <w:r>
        <w:rPr>
          <w:rFonts w:hint="eastAsia" w:ascii="宋体" w:hAnsi="宋体" w:eastAsia="宋体" w:cs="宋体"/>
          <w:b/>
          <w:bCs/>
          <w:color w:val="auto"/>
          <w:spacing w:val="-4"/>
          <w:sz w:val="24"/>
          <w:szCs w:val="24"/>
          <w:highlight w:val="none"/>
          <w:u w:val="single"/>
        </w:rPr>
        <w:t>应建设单位提供的危大工程清单，补充相应的安全管理措施。（为减轻标书编制</w:t>
      </w:r>
      <w:r>
        <w:rPr>
          <w:rFonts w:hint="eastAsia" w:ascii="宋体" w:hAnsi="宋体" w:eastAsia="宋体" w:cs="宋体"/>
          <w:b/>
          <w:bCs/>
          <w:color w:val="auto"/>
          <w:spacing w:val="-5"/>
          <w:sz w:val="24"/>
          <w:szCs w:val="24"/>
          <w:highlight w:val="none"/>
          <w:u w:val="single"/>
        </w:rPr>
        <w:t>的工作</w:t>
      </w:r>
      <w:r>
        <w:rPr>
          <w:rFonts w:hint="eastAsia" w:ascii="宋体" w:hAnsi="宋体" w:eastAsia="宋体" w:cs="宋体"/>
          <w:b/>
          <w:bCs/>
          <w:color w:val="auto"/>
          <w:spacing w:val="-2"/>
          <w:sz w:val="24"/>
          <w:szCs w:val="24"/>
          <w:highlight w:val="none"/>
          <w:u w:val="single"/>
        </w:rPr>
        <w:t>量，投标单位回应的危大工程清单该部分的页数应控制在3页内）</w:t>
      </w:r>
    </w:p>
    <w:p w14:paraId="24405FA5">
      <w:pPr>
        <w:spacing w:before="33" w:line="326" w:lineRule="auto"/>
        <w:ind w:left="1" w:firstLine="478"/>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4、对于超过一定规模的危大工程，中标单位应当组织召开</w:t>
      </w:r>
      <w:r>
        <w:rPr>
          <w:rFonts w:hint="eastAsia" w:ascii="宋体" w:hAnsi="宋体" w:eastAsia="宋体" w:cs="宋体"/>
          <w:color w:val="auto"/>
          <w:spacing w:val="-1"/>
          <w:sz w:val="24"/>
          <w:szCs w:val="24"/>
          <w:highlight w:val="none"/>
        </w:rPr>
        <w:t>专家论证会对专项施工</w:t>
      </w:r>
      <w:r>
        <w:rPr>
          <w:rFonts w:hint="eastAsia" w:ascii="宋体" w:hAnsi="宋体" w:eastAsia="宋体" w:cs="宋体"/>
          <w:color w:val="auto"/>
          <w:spacing w:val="-2"/>
          <w:sz w:val="24"/>
          <w:szCs w:val="24"/>
          <w:highlight w:val="none"/>
        </w:rPr>
        <w:t>方案进行论证。实行施工总承包的，由施工总承包单位组织召开专家论证会。专家论证</w:t>
      </w:r>
      <w:r>
        <w:rPr>
          <w:rFonts w:hint="eastAsia" w:ascii="宋体" w:hAnsi="宋体" w:eastAsia="宋体" w:cs="宋体"/>
          <w:color w:val="auto"/>
          <w:spacing w:val="-1"/>
          <w:sz w:val="24"/>
          <w:szCs w:val="24"/>
          <w:highlight w:val="none"/>
        </w:rPr>
        <w:t>前专项施工方案应当通过施工总承包单位审核和总监理工程师审查。</w:t>
      </w:r>
    </w:p>
    <w:p w14:paraId="6259503A">
      <w:pPr>
        <w:spacing w:before="208" w:line="301" w:lineRule="auto"/>
        <w:ind w:firstLine="484"/>
        <w:rPr>
          <w:rFonts w:hint="eastAsia" w:ascii="宋体" w:hAnsi="宋体" w:eastAsia="宋体" w:cs="宋体"/>
          <w:color w:val="auto"/>
          <w:highlight w:val="none"/>
        </w:rPr>
      </w:pPr>
      <w:r>
        <w:rPr>
          <w:rFonts w:hint="eastAsia" w:ascii="宋体" w:hAnsi="宋体" w:eastAsia="宋体" w:cs="宋体"/>
          <w:color w:val="auto"/>
          <w:spacing w:val="2"/>
          <w:sz w:val="24"/>
          <w:szCs w:val="24"/>
          <w:highlight w:val="none"/>
        </w:rPr>
        <w:t>5、危险性较大的分部分项工程清单及超过一</w:t>
      </w:r>
      <w:r>
        <w:rPr>
          <w:rFonts w:hint="eastAsia" w:ascii="宋体" w:hAnsi="宋体" w:eastAsia="宋体" w:cs="宋体"/>
          <w:color w:val="auto"/>
          <w:spacing w:val="1"/>
          <w:sz w:val="24"/>
          <w:szCs w:val="24"/>
          <w:highlight w:val="none"/>
        </w:rPr>
        <w:t>定规模的危险性较大的分部分项工程</w:t>
      </w:r>
      <w:r>
        <w:rPr>
          <w:rFonts w:hint="eastAsia" w:ascii="宋体" w:hAnsi="宋体" w:eastAsia="宋体" w:cs="宋体"/>
          <w:color w:val="auto"/>
          <w:spacing w:val="-4"/>
          <w:sz w:val="24"/>
          <w:szCs w:val="24"/>
          <w:highlight w:val="none"/>
        </w:rPr>
        <w:t>清单</w:t>
      </w:r>
    </w:p>
    <w:p w14:paraId="3E4BB257">
      <w:pPr>
        <w:spacing w:before="40"/>
        <w:rPr>
          <w:rFonts w:hint="eastAsia" w:ascii="宋体" w:hAnsi="宋体" w:eastAsia="宋体" w:cs="宋体"/>
          <w:color w:val="auto"/>
          <w:highlight w:val="none"/>
        </w:rPr>
      </w:pPr>
    </w:p>
    <w:tbl>
      <w:tblPr>
        <w:tblStyle w:val="14"/>
        <w:tblW w:w="98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
        <w:gridCol w:w="4862"/>
        <w:gridCol w:w="1294"/>
        <w:gridCol w:w="1294"/>
        <w:gridCol w:w="2428"/>
      </w:tblGrid>
      <w:tr w14:paraId="27FF43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B26D5DC">
            <w:pPr>
              <w:spacing w:before="133" w:line="220" w:lineRule="auto"/>
              <w:ind w:firstLine="235" w:firstLineChars="100"/>
              <w:rPr>
                <w:rFonts w:hint="eastAsia" w:ascii="宋体" w:hAnsi="宋体" w:eastAsia="宋体" w:cs="宋体"/>
                <w:color w:val="auto"/>
                <w:spacing w:val="-2"/>
                <w:sz w:val="24"/>
                <w:szCs w:val="24"/>
                <w:highlight w:val="none"/>
              </w:rPr>
            </w:pPr>
            <w:r>
              <w:rPr>
                <w:rFonts w:hint="eastAsia" w:ascii="宋体" w:hAnsi="宋体" w:eastAsia="宋体" w:cs="宋体"/>
                <w:b/>
                <w:bCs/>
                <w:color w:val="auto"/>
                <w:spacing w:val="-3"/>
                <w:sz w:val="24"/>
                <w:szCs w:val="24"/>
                <w:highlight w:val="none"/>
              </w:rPr>
              <w:t>一、危险性较大的分部分项工程清单</w:t>
            </w:r>
          </w:p>
        </w:tc>
        <w:tc>
          <w:tcPr>
            <w:tcW w:w="1294" w:type="dxa"/>
            <w:vAlign w:val="top"/>
          </w:tcPr>
          <w:p w14:paraId="7FABA18C">
            <w:pPr>
              <w:spacing w:before="133" w:line="221" w:lineRule="auto"/>
              <w:ind w:left="20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350FCB31">
            <w:pPr>
              <w:spacing w:before="133" w:line="221" w:lineRule="auto"/>
              <w:ind w:left="205" w:leftChars="0"/>
              <w:rPr>
                <w:rFonts w:hint="eastAsia" w:ascii="宋体" w:hAnsi="宋体" w:eastAsia="宋体" w:cs="宋体"/>
                <w:color w:val="auto"/>
                <w:spacing w:val="-19"/>
                <w:w w:val="94"/>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3E269D90">
            <w:pPr>
              <w:spacing w:before="133" w:line="222" w:lineRule="auto"/>
              <w:ind w:left="360" w:leftChars="0"/>
              <w:rPr>
                <w:rFonts w:hint="eastAsia" w:ascii="宋体" w:hAnsi="宋体" w:eastAsia="宋体" w:cs="宋体"/>
                <w:color w:val="auto"/>
                <w:highlight w:val="none"/>
              </w:rPr>
            </w:pPr>
            <w:r>
              <w:rPr>
                <w:rFonts w:hint="eastAsia" w:ascii="宋体" w:hAnsi="宋体" w:eastAsia="宋体" w:cs="宋体"/>
                <w:color w:val="auto"/>
                <w:spacing w:val="-7"/>
                <w:sz w:val="24"/>
                <w:szCs w:val="24"/>
                <w:highlight w:val="none"/>
              </w:rPr>
              <w:t>备注</w:t>
            </w:r>
          </w:p>
        </w:tc>
      </w:tr>
      <w:tr w14:paraId="791A56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08A01D90">
            <w:pPr>
              <w:spacing w:before="128" w:line="221" w:lineRule="auto"/>
              <w:ind w:left="120" w:left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3"/>
                <w:sz w:val="24"/>
                <w:szCs w:val="24"/>
                <w:highlight w:val="none"/>
              </w:rPr>
              <w:t>一、基坑支护</w:t>
            </w:r>
          </w:p>
        </w:tc>
        <w:tc>
          <w:tcPr>
            <w:tcW w:w="1294" w:type="dxa"/>
            <w:vAlign w:val="top"/>
          </w:tcPr>
          <w:p w14:paraId="13602047">
            <w:pPr>
              <w:spacing w:before="128" w:line="223" w:lineRule="auto"/>
              <w:jc w:val="center"/>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bookmarkStart w:id="267" w:name="OLE_LINK39"/>
            <w:r>
              <w:rPr>
                <w:rFonts w:hint="eastAsia" w:ascii="宋体" w:hAnsi="宋体" w:eastAsia="宋体" w:cs="宋体"/>
                <w:color w:val="auto"/>
                <w:spacing w:val="5"/>
                <w:sz w:val="24"/>
                <w:szCs w:val="24"/>
                <w:highlight w:val="none"/>
              </w:rPr>
              <w:t xml:space="preserve">  </w:t>
            </w:r>
            <w:bookmarkEnd w:id="267"/>
            <w:r>
              <w:rPr>
                <w:rFonts w:hint="eastAsia" w:ascii="宋体" w:hAnsi="宋体" w:eastAsia="宋体" w:cs="宋体"/>
                <w:color w:val="auto"/>
                <w:spacing w:val="-19"/>
                <w:w w:val="94"/>
                <w:sz w:val="24"/>
                <w:szCs w:val="24"/>
                <w:highlight w:val="none"/>
              </w:rPr>
              <w:t>)</w:t>
            </w:r>
          </w:p>
        </w:tc>
        <w:tc>
          <w:tcPr>
            <w:tcW w:w="1294" w:type="dxa"/>
            <w:vAlign w:val="top"/>
          </w:tcPr>
          <w:p w14:paraId="6590122D">
            <w:pPr>
              <w:spacing w:before="12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7C5177">
            <w:pPr>
              <w:pStyle w:val="21"/>
              <w:rPr>
                <w:rFonts w:hint="eastAsia" w:ascii="宋体" w:hAnsi="宋体" w:eastAsia="宋体" w:cs="宋体"/>
                <w:color w:val="auto"/>
                <w:highlight w:val="none"/>
              </w:rPr>
            </w:pPr>
          </w:p>
        </w:tc>
      </w:tr>
      <w:tr w14:paraId="5B4AB8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2AFB183">
            <w:pPr>
              <w:spacing w:before="129" w:line="328" w:lineRule="auto"/>
              <w:ind w:left="135" w:leftChars="0" w:right="68" w:rightChars="0" w:hanging="8" w:firstLineChars="0"/>
              <w:rPr>
                <w:rFonts w:hint="eastAsia" w:ascii="宋体" w:hAnsi="宋体" w:eastAsia="宋体" w:cs="宋体"/>
                <w:color w:val="auto"/>
                <w:spacing w:val="-2"/>
                <w:sz w:val="24"/>
                <w:szCs w:val="24"/>
                <w:highlight w:val="none"/>
              </w:rPr>
            </w:pPr>
            <w:r>
              <w:rPr>
                <w:rFonts w:hint="eastAsia" w:ascii="宋体" w:hAnsi="宋体" w:eastAsia="宋体" w:cs="宋体"/>
                <w:color w:val="auto"/>
                <w:spacing w:val="-4"/>
                <w:sz w:val="24"/>
                <w:szCs w:val="24"/>
                <w:highlight w:val="none"/>
              </w:rPr>
              <w:t>（一）开挖深度超过</w:t>
            </w:r>
            <w:r>
              <w:rPr>
                <w:rFonts w:hint="eastAsia" w:ascii="宋体" w:hAnsi="宋体" w:eastAsia="宋体" w:cs="宋体"/>
                <w:color w:val="auto"/>
                <w:spacing w:val="-29"/>
                <w:sz w:val="24"/>
                <w:szCs w:val="24"/>
                <w:highlight w:val="none"/>
              </w:rPr>
              <w:t xml:space="preserve"> </w:t>
            </w:r>
            <w:r>
              <w:rPr>
                <w:rFonts w:hint="eastAsia" w:ascii="宋体" w:hAnsi="宋体" w:eastAsia="宋体" w:cs="宋体"/>
                <w:color w:val="auto"/>
                <w:spacing w:val="-4"/>
                <w:sz w:val="24"/>
                <w:szCs w:val="24"/>
                <w:highlight w:val="none"/>
              </w:rPr>
              <w:t>3m（含</w:t>
            </w:r>
            <w:r>
              <w:rPr>
                <w:rFonts w:hint="eastAsia" w:ascii="宋体" w:hAnsi="宋体" w:eastAsia="宋体" w:cs="宋体"/>
                <w:color w:val="auto"/>
                <w:spacing w:val="-46"/>
                <w:sz w:val="24"/>
                <w:szCs w:val="24"/>
                <w:highlight w:val="none"/>
              </w:rPr>
              <w:t xml:space="preserve"> </w:t>
            </w:r>
            <w:r>
              <w:rPr>
                <w:rFonts w:hint="eastAsia" w:ascii="宋体" w:hAnsi="宋体" w:eastAsia="宋体" w:cs="宋体"/>
                <w:color w:val="auto"/>
                <w:spacing w:val="-4"/>
                <w:sz w:val="24"/>
                <w:szCs w:val="24"/>
                <w:highlight w:val="none"/>
              </w:rPr>
              <w:t>3m）的基坑（槽）</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的土方开挖、支护、降水工程。</w:t>
            </w:r>
          </w:p>
        </w:tc>
        <w:tc>
          <w:tcPr>
            <w:tcW w:w="1294" w:type="dxa"/>
            <w:vAlign w:val="top"/>
          </w:tcPr>
          <w:p w14:paraId="5EEDD4FC">
            <w:pPr>
              <w:pStyle w:val="21"/>
              <w:spacing w:line="297" w:lineRule="auto"/>
              <w:rPr>
                <w:rFonts w:hint="eastAsia" w:ascii="宋体" w:hAnsi="宋体" w:eastAsia="宋体" w:cs="宋体"/>
                <w:color w:val="auto"/>
                <w:highlight w:val="none"/>
              </w:rPr>
            </w:pPr>
          </w:p>
          <w:p w14:paraId="0E5A3F62">
            <w:pPr>
              <w:spacing w:before="78" w:line="223" w:lineRule="auto"/>
              <w:ind w:left="396"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3A8ADC1">
            <w:pPr>
              <w:pStyle w:val="21"/>
              <w:spacing w:line="297" w:lineRule="auto"/>
              <w:rPr>
                <w:rFonts w:hint="eastAsia" w:ascii="宋体" w:hAnsi="宋体" w:eastAsia="宋体" w:cs="宋体"/>
                <w:color w:val="auto"/>
                <w:highlight w:val="none"/>
              </w:rPr>
            </w:pPr>
          </w:p>
          <w:p w14:paraId="3ED7F037">
            <w:pPr>
              <w:spacing w:before="78" w:line="223" w:lineRule="auto"/>
              <w:ind w:left="367" w:leftChars="0"/>
              <w:rPr>
                <w:rFonts w:hint="eastAsia" w:ascii="宋体" w:hAnsi="宋体" w:eastAsia="宋体" w:cs="宋体"/>
                <w:color w:val="auto"/>
                <w:spacing w:val="-19"/>
                <w:w w:val="94"/>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844507">
            <w:pPr>
              <w:pStyle w:val="21"/>
              <w:rPr>
                <w:rFonts w:hint="eastAsia" w:ascii="宋体" w:hAnsi="宋体" w:eastAsia="宋体" w:cs="宋体"/>
                <w:color w:val="auto"/>
                <w:highlight w:val="none"/>
              </w:rPr>
            </w:pPr>
          </w:p>
        </w:tc>
      </w:tr>
      <w:tr w14:paraId="798EF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253A00">
            <w:pPr>
              <w:spacing w:before="132" w:line="354" w:lineRule="auto"/>
              <w:ind w:left="116" w:right="108" w:firstLine="11"/>
              <w:jc w:val="both"/>
              <w:rPr>
                <w:rFonts w:hint="eastAsia" w:ascii="宋体" w:hAnsi="宋体" w:eastAsia="宋体" w:cs="宋体"/>
                <w:color w:val="auto"/>
                <w:sz w:val="24"/>
                <w:szCs w:val="24"/>
                <w:highlight w:val="none"/>
              </w:rPr>
            </w:pPr>
            <w:bookmarkStart w:id="268" w:name="bookmark161"/>
            <w:bookmarkEnd w:id="268"/>
            <w:r>
              <w:rPr>
                <w:rFonts w:hint="eastAsia" w:ascii="宋体" w:hAnsi="宋体" w:eastAsia="宋体" w:cs="宋体"/>
                <w:color w:val="auto"/>
                <w:spacing w:val="-2"/>
                <w:sz w:val="24"/>
                <w:szCs w:val="24"/>
                <w:highlight w:val="none"/>
              </w:rPr>
              <w:t>（二）开挖深度虽未超过</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3m，但地质条件、周</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围环境和地下管线复杂，或影响毗邻建、构筑</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1"/>
                <w:sz w:val="24"/>
                <w:szCs w:val="24"/>
                <w:highlight w:val="none"/>
              </w:rPr>
              <w:t>物安全的基坑（槽）的土方开挖、支护、降水</w:t>
            </w:r>
            <w:r>
              <w:rPr>
                <w:rFonts w:hint="eastAsia" w:ascii="宋体" w:hAnsi="宋体" w:eastAsia="宋体" w:cs="宋体"/>
                <w:color w:val="auto"/>
                <w:spacing w:val="9"/>
                <w:sz w:val="24"/>
                <w:szCs w:val="24"/>
                <w:highlight w:val="none"/>
              </w:rPr>
              <w:t xml:space="preserve"> </w:t>
            </w:r>
            <w:r>
              <w:rPr>
                <w:rFonts w:hint="eastAsia" w:ascii="宋体" w:hAnsi="宋体" w:eastAsia="宋体" w:cs="宋体"/>
                <w:color w:val="auto"/>
                <w:spacing w:val="-4"/>
                <w:sz w:val="24"/>
                <w:szCs w:val="24"/>
                <w:highlight w:val="none"/>
              </w:rPr>
              <w:t>工程。</w:t>
            </w:r>
          </w:p>
        </w:tc>
        <w:tc>
          <w:tcPr>
            <w:tcW w:w="1294" w:type="dxa"/>
            <w:vAlign w:val="top"/>
          </w:tcPr>
          <w:p w14:paraId="092F9FFB">
            <w:pPr>
              <w:pStyle w:val="21"/>
              <w:spacing w:line="263" w:lineRule="auto"/>
              <w:rPr>
                <w:rFonts w:hint="eastAsia" w:ascii="宋体" w:hAnsi="宋体" w:eastAsia="宋体" w:cs="宋体"/>
                <w:color w:val="auto"/>
                <w:highlight w:val="none"/>
              </w:rPr>
            </w:pPr>
          </w:p>
          <w:p w14:paraId="1C25F382">
            <w:pPr>
              <w:pStyle w:val="21"/>
              <w:spacing w:line="263" w:lineRule="auto"/>
              <w:rPr>
                <w:rFonts w:hint="eastAsia" w:ascii="宋体" w:hAnsi="宋体" w:eastAsia="宋体" w:cs="宋体"/>
                <w:color w:val="auto"/>
                <w:highlight w:val="none"/>
              </w:rPr>
            </w:pPr>
          </w:p>
          <w:p w14:paraId="6C433F14">
            <w:pPr>
              <w:pStyle w:val="21"/>
              <w:spacing w:line="264" w:lineRule="auto"/>
              <w:rPr>
                <w:rFonts w:hint="eastAsia" w:ascii="宋体" w:hAnsi="宋体" w:eastAsia="宋体" w:cs="宋体"/>
                <w:color w:val="auto"/>
                <w:highlight w:val="none"/>
              </w:rPr>
            </w:pPr>
          </w:p>
          <w:p w14:paraId="1703ABF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bookmarkStart w:id="269" w:name="OLE_LINK40"/>
            <w:r>
              <w:rPr>
                <w:rFonts w:hint="eastAsia" w:ascii="宋体" w:hAnsi="宋体" w:eastAsia="宋体" w:cs="宋体"/>
                <w:color w:val="auto"/>
                <w:spacing w:val="2"/>
                <w:sz w:val="24"/>
                <w:szCs w:val="24"/>
                <w:highlight w:val="none"/>
              </w:rPr>
              <w:t xml:space="preserve">     </w:t>
            </w:r>
            <w:bookmarkEnd w:id="269"/>
            <w:r>
              <w:rPr>
                <w:rFonts w:hint="eastAsia" w:ascii="宋体" w:hAnsi="宋体" w:eastAsia="宋体" w:cs="宋体"/>
                <w:color w:val="auto"/>
                <w:spacing w:val="-19"/>
                <w:w w:val="94"/>
                <w:sz w:val="24"/>
                <w:szCs w:val="24"/>
                <w:highlight w:val="none"/>
              </w:rPr>
              <w:t>)</w:t>
            </w:r>
          </w:p>
        </w:tc>
        <w:tc>
          <w:tcPr>
            <w:tcW w:w="1294" w:type="dxa"/>
            <w:vAlign w:val="top"/>
          </w:tcPr>
          <w:p w14:paraId="27A5AB03">
            <w:pPr>
              <w:pStyle w:val="21"/>
              <w:spacing w:line="263" w:lineRule="auto"/>
              <w:rPr>
                <w:rFonts w:hint="eastAsia" w:ascii="宋体" w:hAnsi="宋体" w:eastAsia="宋体" w:cs="宋体"/>
                <w:color w:val="auto"/>
                <w:highlight w:val="none"/>
              </w:rPr>
            </w:pPr>
          </w:p>
          <w:p w14:paraId="2C8EDC97">
            <w:pPr>
              <w:pStyle w:val="21"/>
              <w:spacing w:line="263" w:lineRule="auto"/>
              <w:rPr>
                <w:rFonts w:hint="eastAsia" w:ascii="宋体" w:hAnsi="宋体" w:eastAsia="宋体" w:cs="宋体"/>
                <w:color w:val="auto"/>
                <w:highlight w:val="none"/>
              </w:rPr>
            </w:pPr>
          </w:p>
          <w:p w14:paraId="1A88AF32">
            <w:pPr>
              <w:pStyle w:val="21"/>
              <w:spacing w:line="264" w:lineRule="auto"/>
              <w:rPr>
                <w:rFonts w:hint="eastAsia" w:ascii="宋体" w:hAnsi="宋体" w:eastAsia="宋体" w:cs="宋体"/>
                <w:color w:val="auto"/>
                <w:highlight w:val="none"/>
              </w:rPr>
            </w:pPr>
          </w:p>
          <w:p w14:paraId="7BCE62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CE42E4">
            <w:pPr>
              <w:pStyle w:val="21"/>
              <w:rPr>
                <w:rFonts w:hint="eastAsia" w:ascii="宋体" w:hAnsi="宋体" w:eastAsia="宋体" w:cs="宋体"/>
                <w:color w:val="auto"/>
                <w:highlight w:val="none"/>
              </w:rPr>
            </w:pPr>
          </w:p>
        </w:tc>
      </w:tr>
      <w:tr w14:paraId="13D609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21ACA2D">
            <w:pPr>
              <w:spacing w:before="128"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013D7C49">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E30F9F">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BFA85A5">
            <w:pPr>
              <w:pStyle w:val="21"/>
              <w:rPr>
                <w:rFonts w:hint="eastAsia" w:ascii="宋体" w:hAnsi="宋体" w:eastAsia="宋体" w:cs="宋体"/>
                <w:color w:val="auto"/>
                <w:highlight w:val="none"/>
              </w:rPr>
            </w:pPr>
          </w:p>
        </w:tc>
      </w:tr>
      <w:tr w14:paraId="21CEA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1886AEA5">
            <w:pPr>
              <w:spacing w:before="128" w:line="328"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1F482D0">
            <w:pPr>
              <w:pStyle w:val="21"/>
              <w:spacing w:line="293" w:lineRule="auto"/>
              <w:rPr>
                <w:rFonts w:hint="eastAsia" w:ascii="宋体" w:hAnsi="宋体" w:eastAsia="宋体" w:cs="宋体"/>
                <w:color w:val="auto"/>
                <w:highlight w:val="none"/>
              </w:rPr>
            </w:pPr>
          </w:p>
          <w:p w14:paraId="7F64793B">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D856E2E">
            <w:pPr>
              <w:pStyle w:val="21"/>
              <w:spacing w:line="293" w:lineRule="auto"/>
              <w:rPr>
                <w:rFonts w:hint="eastAsia" w:ascii="宋体" w:hAnsi="宋体" w:eastAsia="宋体" w:cs="宋体"/>
                <w:color w:val="auto"/>
                <w:highlight w:val="none"/>
              </w:rPr>
            </w:pPr>
          </w:p>
          <w:p w14:paraId="1BBC59B1">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2A8AE3">
            <w:pPr>
              <w:pStyle w:val="21"/>
              <w:rPr>
                <w:rFonts w:hint="eastAsia" w:ascii="宋体" w:hAnsi="宋体" w:eastAsia="宋体" w:cs="宋体"/>
                <w:color w:val="auto"/>
                <w:highlight w:val="none"/>
              </w:rPr>
            </w:pPr>
          </w:p>
        </w:tc>
      </w:tr>
      <w:tr w14:paraId="7A255F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FBDC893">
            <w:pPr>
              <w:spacing w:before="131" w:line="362" w:lineRule="auto"/>
              <w:ind w:left="115" w:right="105" w:firstLine="12"/>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（二）混凝土模板支撑工程：搭设高度</w:t>
            </w:r>
            <w:r>
              <w:rPr>
                <w:rFonts w:hint="eastAsia" w:ascii="宋体" w:hAnsi="宋体" w:eastAsia="宋体" w:cs="宋体"/>
                <w:color w:val="auto"/>
                <w:spacing w:val="-43"/>
                <w:sz w:val="24"/>
                <w:szCs w:val="24"/>
                <w:highlight w:val="none"/>
              </w:rPr>
              <w:t xml:space="preserve"> </w:t>
            </w:r>
            <w:r>
              <w:rPr>
                <w:rFonts w:hint="eastAsia" w:ascii="宋体" w:hAnsi="宋体" w:eastAsia="宋体" w:cs="宋体"/>
                <w:color w:val="auto"/>
                <w:spacing w:val="-5"/>
                <w:sz w:val="24"/>
                <w:szCs w:val="24"/>
                <w:highlight w:val="none"/>
              </w:rPr>
              <w:t>5m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5"/>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0"/>
                <w:sz w:val="24"/>
                <w:szCs w:val="24"/>
                <w:highlight w:val="none"/>
              </w:rPr>
              <w:t>上，或搭设跨度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10"/>
                <w:sz w:val="24"/>
                <w:szCs w:val="24"/>
                <w:highlight w:val="none"/>
              </w:rPr>
              <w:t>10m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0"/>
                <w:sz w:val="24"/>
                <w:szCs w:val="24"/>
                <w:highlight w:val="none"/>
              </w:rPr>
              <w:t>及以上，或施工总荷</w:t>
            </w:r>
            <w:r>
              <w:rPr>
                <w:rFonts w:hint="eastAsia" w:ascii="宋体" w:hAnsi="宋体" w:eastAsia="宋体" w:cs="宋体"/>
                <w:color w:val="auto"/>
                <w:spacing w:val="-11"/>
                <w:sz w:val="24"/>
                <w:szCs w:val="24"/>
                <w:highlight w:val="none"/>
              </w:rPr>
              <w:t>载（荷</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载效应基本组合的设计值，以下简称设计值）</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14"/>
                <w:sz w:val="24"/>
                <w:szCs w:val="24"/>
                <w:highlight w:val="none"/>
              </w:rPr>
              <w:t>10kN/m2</w:t>
            </w:r>
            <w:r>
              <w:rPr>
                <w:rFonts w:hint="eastAsia" w:ascii="宋体" w:hAnsi="宋体" w:eastAsia="宋体" w:cs="宋体"/>
                <w:color w:val="auto"/>
                <w:spacing w:val="-35"/>
                <w:sz w:val="24"/>
                <w:szCs w:val="24"/>
                <w:highlight w:val="none"/>
              </w:rPr>
              <w:t xml:space="preserve"> </w:t>
            </w:r>
            <w:r>
              <w:rPr>
                <w:rFonts w:hint="eastAsia" w:ascii="宋体" w:hAnsi="宋体" w:eastAsia="宋体" w:cs="宋体"/>
                <w:color w:val="auto"/>
                <w:spacing w:val="-14"/>
                <w:sz w:val="24"/>
                <w:szCs w:val="24"/>
                <w:highlight w:val="none"/>
              </w:rPr>
              <w:t>及以上，或集中线荷载（设计值）15kN/m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及以上，或高度大于支撑水平投影宽度且相对</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独立无联系构件的混凝土模板支撑工程。</w:t>
            </w:r>
          </w:p>
        </w:tc>
        <w:tc>
          <w:tcPr>
            <w:tcW w:w="1294" w:type="dxa"/>
            <w:vAlign w:val="top"/>
          </w:tcPr>
          <w:p w14:paraId="0AC76692">
            <w:pPr>
              <w:pStyle w:val="21"/>
              <w:spacing w:line="255" w:lineRule="auto"/>
              <w:rPr>
                <w:rFonts w:hint="eastAsia" w:ascii="宋体" w:hAnsi="宋体" w:eastAsia="宋体" w:cs="宋体"/>
                <w:color w:val="auto"/>
                <w:highlight w:val="none"/>
              </w:rPr>
            </w:pPr>
          </w:p>
          <w:p w14:paraId="06A69DBD">
            <w:pPr>
              <w:pStyle w:val="21"/>
              <w:spacing w:line="255" w:lineRule="auto"/>
              <w:rPr>
                <w:rFonts w:hint="eastAsia" w:ascii="宋体" w:hAnsi="宋体" w:eastAsia="宋体" w:cs="宋体"/>
                <w:color w:val="auto"/>
                <w:highlight w:val="none"/>
              </w:rPr>
            </w:pPr>
          </w:p>
          <w:p w14:paraId="5F44AC94">
            <w:pPr>
              <w:pStyle w:val="21"/>
              <w:spacing w:line="255" w:lineRule="auto"/>
              <w:rPr>
                <w:rFonts w:hint="eastAsia" w:ascii="宋体" w:hAnsi="宋体" w:eastAsia="宋体" w:cs="宋体"/>
                <w:color w:val="auto"/>
                <w:highlight w:val="none"/>
              </w:rPr>
            </w:pPr>
          </w:p>
          <w:p w14:paraId="117E02D8">
            <w:pPr>
              <w:pStyle w:val="21"/>
              <w:spacing w:line="255" w:lineRule="auto"/>
              <w:rPr>
                <w:rFonts w:hint="eastAsia" w:ascii="宋体" w:hAnsi="宋体" w:eastAsia="宋体" w:cs="宋体"/>
                <w:color w:val="auto"/>
                <w:highlight w:val="none"/>
              </w:rPr>
            </w:pPr>
          </w:p>
          <w:p w14:paraId="58924DBB">
            <w:pPr>
              <w:pStyle w:val="21"/>
              <w:spacing w:line="256" w:lineRule="auto"/>
              <w:rPr>
                <w:rFonts w:hint="eastAsia" w:ascii="宋体" w:hAnsi="宋体" w:eastAsia="宋体" w:cs="宋体"/>
                <w:color w:val="auto"/>
                <w:highlight w:val="none"/>
              </w:rPr>
            </w:pPr>
          </w:p>
          <w:p w14:paraId="7CC727ED">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8C34081">
            <w:pPr>
              <w:pStyle w:val="21"/>
              <w:spacing w:line="255" w:lineRule="auto"/>
              <w:rPr>
                <w:rFonts w:hint="eastAsia" w:ascii="宋体" w:hAnsi="宋体" w:eastAsia="宋体" w:cs="宋体"/>
                <w:color w:val="auto"/>
                <w:highlight w:val="none"/>
              </w:rPr>
            </w:pPr>
          </w:p>
          <w:p w14:paraId="44D32487">
            <w:pPr>
              <w:pStyle w:val="21"/>
              <w:spacing w:line="255" w:lineRule="auto"/>
              <w:rPr>
                <w:rFonts w:hint="eastAsia" w:ascii="宋体" w:hAnsi="宋体" w:eastAsia="宋体" w:cs="宋体"/>
                <w:color w:val="auto"/>
                <w:highlight w:val="none"/>
              </w:rPr>
            </w:pPr>
          </w:p>
          <w:p w14:paraId="2FB6EB74">
            <w:pPr>
              <w:pStyle w:val="21"/>
              <w:spacing w:line="255" w:lineRule="auto"/>
              <w:rPr>
                <w:rFonts w:hint="eastAsia" w:ascii="宋体" w:hAnsi="宋体" w:eastAsia="宋体" w:cs="宋体"/>
                <w:color w:val="auto"/>
                <w:highlight w:val="none"/>
              </w:rPr>
            </w:pPr>
          </w:p>
          <w:p w14:paraId="2532C873">
            <w:pPr>
              <w:pStyle w:val="21"/>
              <w:spacing w:line="255" w:lineRule="auto"/>
              <w:rPr>
                <w:rFonts w:hint="eastAsia" w:ascii="宋体" w:hAnsi="宋体" w:eastAsia="宋体" w:cs="宋体"/>
                <w:color w:val="auto"/>
                <w:highlight w:val="none"/>
              </w:rPr>
            </w:pPr>
          </w:p>
          <w:p w14:paraId="6EA29091">
            <w:pPr>
              <w:pStyle w:val="21"/>
              <w:spacing w:line="256" w:lineRule="auto"/>
              <w:rPr>
                <w:rFonts w:hint="eastAsia" w:ascii="宋体" w:hAnsi="宋体" w:eastAsia="宋体" w:cs="宋体"/>
                <w:color w:val="auto"/>
                <w:highlight w:val="none"/>
              </w:rPr>
            </w:pPr>
          </w:p>
          <w:p w14:paraId="4FFEF356">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88735">
            <w:pPr>
              <w:pStyle w:val="21"/>
              <w:rPr>
                <w:rFonts w:hint="eastAsia" w:ascii="宋体" w:hAnsi="宋体" w:eastAsia="宋体" w:cs="宋体"/>
                <w:color w:val="auto"/>
                <w:highlight w:val="none"/>
              </w:rPr>
            </w:pPr>
          </w:p>
        </w:tc>
      </w:tr>
      <w:tr w14:paraId="55FE4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DB8DF3D">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3"/>
                <w:sz w:val="24"/>
                <w:szCs w:val="24"/>
                <w:highlight w:val="none"/>
              </w:rPr>
              <w:t>支撑体系。</w:t>
            </w:r>
          </w:p>
        </w:tc>
        <w:tc>
          <w:tcPr>
            <w:tcW w:w="1294" w:type="dxa"/>
            <w:vAlign w:val="top"/>
          </w:tcPr>
          <w:p w14:paraId="08B49BEC">
            <w:pPr>
              <w:pStyle w:val="21"/>
              <w:spacing w:line="296" w:lineRule="auto"/>
              <w:rPr>
                <w:rFonts w:hint="eastAsia" w:ascii="宋体" w:hAnsi="宋体" w:eastAsia="宋体" w:cs="宋体"/>
                <w:color w:val="auto"/>
                <w:highlight w:val="none"/>
              </w:rPr>
            </w:pPr>
          </w:p>
          <w:p w14:paraId="62113AAF">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1AA738">
            <w:pPr>
              <w:pStyle w:val="21"/>
              <w:spacing w:line="296" w:lineRule="auto"/>
              <w:rPr>
                <w:rFonts w:hint="eastAsia" w:ascii="宋体" w:hAnsi="宋体" w:eastAsia="宋体" w:cs="宋体"/>
                <w:color w:val="auto"/>
                <w:highlight w:val="none"/>
              </w:rPr>
            </w:pPr>
          </w:p>
          <w:p w14:paraId="2247851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28C2275">
            <w:pPr>
              <w:pStyle w:val="21"/>
              <w:rPr>
                <w:rFonts w:hint="eastAsia" w:ascii="宋体" w:hAnsi="宋体" w:eastAsia="宋体" w:cs="宋体"/>
                <w:color w:val="auto"/>
                <w:highlight w:val="none"/>
              </w:rPr>
            </w:pPr>
          </w:p>
        </w:tc>
      </w:tr>
      <w:tr w14:paraId="22C012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CD7B1B3">
            <w:pPr>
              <w:spacing w:before="130"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0C4B19D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007119F">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778356F">
            <w:pPr>
              <w:pStyle w:val="21"/>
              <w:rPr>
                <w:rFonts w:hint="eastAsia" w:ascii="宋体" w:hAnsi="宋体" w:eastAsia="宋体" w:cs="宋体"/>
                <w:color w:val="auto"/>
                <w:highlight w:val="none"/>
              </w:rPr>
            </w:pPr>
          </w:p>
        </w:tc>
      </w:tr>
      <w:tr w14:paraId="54B4CC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40879D">
            <w:pPr>
              <w:spacing w:before="131" w:line="327"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32"/>
                <w:sz w:val="24"/>
                <w:szCs w:val="24"/>
                <w:highlight w:val="none"/>
              </w:rPr>
              <w:t xml:space="preserve"> </w:t>
            </w:r>
            <w:r>
              <w:rPr>
                <w:rFonts w:hint="eastAsia" w:ascii="宋体" w:hAnsi="宋体" w:eastAsia="宋体" w:cs="宋体"/>
                <w:color w:val="auto"/>
                <w:spacing w:val="-4"/>
                <w:sz w:val="24"/>
                <w:szCs w:val="24"/>
                <w:highlight w:val="none"/>
              </w:rPr>
              <w:t>10kN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42DC5BCC">
            <w:pPr>
              <w:pStyle w:val="21"/>
              <w:spacing w:line="297" w:lineRule="auto"/>
              <w:rPr>
                <w:rFonts w:hint="eastAsia" w:ascii="宋体" w:hAnsi="宋体" w:eastAsia="宋体" w:cs="宋体"/>
                <w:color w:val="auto"/>
                <w:highlight w:val="none"/>
              </w:rPr>
            </w:pPr>
          </w:p>
          <w:p w14:paraId="25E8B5B3">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7E69931">
            <w:pPr>
              <w:pStyle w:val="21"/>
              <w:spacing w:line="297" w:lineRule="auto"/>
              <w:rPr>
                <w:rFonts w:hint="eastAsia" w:ascii="宋体" w:hAnsi="宋体" w:eastAsia="宋体" w:cs="宋体"/>
                <w:color w:val="auto"/>
                <w:highlight w:val="none"/>
              </w:rPr>
            </w:pPr>
          </w:p>
          <w:p w14:paraId="0DECF4EA">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F10A58D">
            <w:pPr>
              <w:pStyle w:val="21"/>
              <w:rPr>
                <w:rFonts w:hint="eastAsia" w:ascii="宋体" w:hAnsi="宋体" w:eastAsia="宋体" w:cs="宋体"/>
                <w:color w:val="auto"/>
                <w:highlight w:val="none"/>
              </w:rPr>
            </w:pPr>
          </w:p>
        </w:tc>
      </w:tr>
      <w:tr w14:paraId="30F998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5661E26F">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（二）采用起重机械进行安装的工程。</w:t>
            </w:r>
          </w:p>
        </w:tc>
        <w:tc>
          <w:tcPr>
            <w:tcW w:w="1294" w:type="dxa"/>
            <w:vAlign w:val="top"/>
          </w:tcPr>
          <w:p w14:paraId="26A8715D">
            <w:pPr>
              <w:spacing w:before="131"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D48700">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FDBB930">
            <w:pPr>
              <w:pStyle w:val="21"/>
              <w:rPr>
                <w:rFonts w:hint="eastAsia" w:ascii="宋体" w:hAnsi="宋体" w:eastAsia="宋体" w:cs="宋体"/>
                <w:color w:val="auto"/>
                <w:highlight w:val="none"/>
              </w:rPr>
            </w:pPr>
          </w:p>
        </w:tc>
      </w:tr>
      <w:tr w14:paraId="1EB3F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D746302">
            <w:pPr>
              <w:spacing w:before="130"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（三）起重机械安装和拆卸工程。</w:t>
            </w:r>
          </w:p>
        </w:tc>
        <w:tc>
          <w:tcPr>
            <w:tcW w:w="1294" w:type="dxa"/>
            <w:vAlign w:val="top"/>
          </w:tcPr>
          <w:p w14:paraId="5BA7A2F9">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655D6">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17E93BE">
            <w:pPr>
              <w:pStyle w:val="21"/>
              <w:rPr>
                <w:rFonts w:hint="eastAsia" w:ascii="宋体" w:hAnsi="宋体" w:eastAsia="宋体" w:cs="宋体"/>
                <w:color w:val="auto"/>
                <w:highlight w:val="none"/>
              </w:rPr>
            </w:pPr>
          </w:p>
        </w:tc>
      </w:tr>
      <w:tr w14:paraId="0E7C6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3F3AA51">
            <w:pPr>
              <w:spacing w:before="131"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2C09298F">
            <w:pPr>
              <w:spacing w:before="130"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5"/>
                <w:sz w:val="24"/>
                <w:szCs w:val="24"/>
                <w:highlight w:val="none"/>
                <w:lang w:val="en-US" w:eastAsia="zh-CN"/>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C25E0F8">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0A186D6">
            <w:pPr>
              <w:pStyle w:val="21"/>
              <w:rPr>
                <w:rFonts w:hint="eastAsia" w:ascii="宋体" w:hAnsi="宋体" w:eastAsia="宋体" w:cs="宋体"/>
                <w:color w:val="auto"/>
                <w:highlight w:val="none"/>
              </w:rPr>
            </w:pPr>
          </w:p>
        </w:tc>
      </w:tr>
      <w:tr w14:paraId="749B5C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6EE02938">
            <w:pPr>
              <w:spacing w:before="130"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24m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架工程（包括采光井、电梯井脚手架）。</w:t>
            </w:r>
          </w:p>
        </w:tc>
        <w:tc>
          <w:tcPr>
            <w:tcW w:w="1294" w:type="dxa"/>
            <w:vAlign w:val="top"/>
          </w:tcPr>
          <w:p w14:paraId="5F252975">
            <w:pPr>
              <w:pStyle w:val="21"/>
              <w:spacing w:line="297" w:lineRule="auto"/>
              <w:rPr>
                <w:rFonts w:hint="eastAsia" w:ascii="宋体" w:hAnsi="宋体" w:eastAsia="宋体" w:cs="宋体"/>
                <w:color w:val="auto"/>
                <w:highlight w:val="none"/>
              </w:rPr>
            </w:pPr>
          </w:p>
          <w:p w14:paraId="274F49B0">
            <w:pPr>
              <w:spacing w:before="7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F3E3EC">
            <w:pPr>
              <w:pStyle w:val="21"/>
              <w:spacing w:line="297" w:lineRule="auto"/>
              <w:rPr>
                <w:rFonts w:hint="eastAsia" w:ascii="宋体" w:hAnsi="宋体" w:eastAsia="宋体" w:cs="宋体"/>
                <w:color w:val="auto"/>
                <w:highlight w:val="none"/>
              </w:rPr>
            </w:pPr>
          </w:p>
          <w:p w14:paraId="382FDB0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593D3CB">
            <w:pPr>
              <w:pStyle w:val="21"/>
              <w:rPr>
                <w:rFonts w:hint="eastAsia" w:ascii="宋体" w:hAnsi="宋体" w:eastAsia="宋体" w:cs="宋体"/>
                <w:color w:val="auto"/>
                <w:highlight w:val="none"/>
              </w:rPr>
            </w:pPr>
          </w:p>
        </w:tc>
      </w:tr>
      <w:tr w14:paraId="6AD17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6711E1F">
            <w:pPr>
              <w:spacing w:before="131"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（二）附着式升降脚手架工程。</w:t>
            </w:r>
          </w:p>
        </w:tc>
        <w:tc>
          <w:tcPr>
            <w:tcW w:w="1294" w:type="dxa"/>
            <w:vAlign w:val="top"/>
          </w:tcPr>
          <w:p w14:paraId="46BCB016">
            <w:pPr>
              <w:spacing w:before="130"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7577F1C">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9FAE20">
            <w:pPr>
              <w:pStyle w:val="21"/>
              <w:rPr>
                <w:rFonts w:hint="eastAsia" w:ascii="宋体" w:hAnsi="宋体" w:eastAsia="宋体" w:cs="宋体"/>
                <w:color w:val="auto"/>
                <w:highlight w:val="none"/>
              </w:rPr>
            </w:pPr>
          </w:p>
        </w:tc>
      </w:tr>
      <w:tr w14:paraId="0A02A1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48C6DC8">
            <w:pPr>
              <w:spacing w:before="132"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（三）悬挑式脚手架工程。</w:t>
            </w:r>
          </w:p>
        </w:tc>
        <w:tc>
          <w:tcPr>
            <w:tcW w:w="1294" w:type="dxa"/>
            <w:vAlign w:val="top"/>
          </w:tcPr>
          <w:p w14:paraId="46C95298">
            <w:pPr>
              <w:spacing w:before="131"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6243FF5">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0A6B0F2">
            <w:pPr>
              <w:pStyle w:val="21"/>
              <w:rPr>
                <w:rFonts w:hint="eastAsia" w:ascii="宋体" w:hAnsi="宋体" w:eastAsia="宋体" w:cs="宋体"/>
                <w:color w:val="auto"/>
                <w:highlight w:val="none"/>
              </w:rPr>
            </w:pPr>
          </w:p>
        </w:tc>
      </w:tr>
      <w:tr w14:paraId="4D8E0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73025F46">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（四）高处作业吊篮。</w:t>
            </w:r>
          </w:p>
        </w:tc>
        <w:tc>
          <w:tcPr>
            <w:tcW w:w="1294" w:type="dxa"/>
            <w:vAlign w:val="top"/>
          </w:tcPr>
          <w:p w14:paraId="30F61595">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23E52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598EC26">
            <w:pPr>
              <w:pStyle w:val="21"/>
              <w:rPr>
                <w:rFonts w:hint="eastAsia" w:ascii="宋体" w:hAnsi="宋体" w:eastAsia="宋体" w:cs="宋体"/>
                <w:color w:val="auto"/>
                <w:highlight w:val="none"/>
              </w:rPr>
            </w:pPr>
          </w:p>
        </w:tc>
      </w:tr>
      <w:tr w14:paraId="2D3206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300EF757">
            <w:pPr>
              <w:spacing w:before="132"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（五）卸料平台、操作平台工程。</w:t>
            </w:r>
          </w:p>
        </w:tc>
        <w:tc>
          <w:tcPr>
            <w:tcW w:w="1294" w:type="dxa"/>
            <w:vAlign w:val="top"/>
          </w:tcPr>
          <w:p w14:paraId="0C7B65F3">
            <w:pPr>
              <w:spacing w:before="132" w:line="223" w:lineRule="auto"/>
              <w:ind w:left="24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A95D6B">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878476">
            <w:pPr>
              <w:pStyle w:val="21"/>
              <w:rPr>
                <w:rFonts w:hint="eastAsia" w:ascii="宋体" w:hAnsi="宋体" w:eastAsia="宋体" w:cs="宋体"/>
                <w:color w:val="auto"/>
                <w:highlight w:val="none"/>
              </w:rPr>
            </w:pPr>
          </w:p>
        </w:tc>
      </w:tr>
      <w:tr w14:paraId="30655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2" w:type="dxa"/>
          <w:trHeight w:val="0" w:hRule="atLeast"/>
        </w:trPr>
        <w:tc>
          <w:tcPr>
            <w:tcW w:w="4862" w:type="dxa"/>
            <w:vAlign w:val="top"/>
          </w:tcPr>
          <w:p w14:paraId="4E5297D0">
            <w:pPr>
              <w:spacing w:before="133"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（六）异型脚手架工程。</w:t>
            </w:r>
          </w:p>
        </w:tc>
        <w:tc>
          <w:tcPr>
            <w:tcW w:w="1294" w:type="dxa"/>
            <w:vAlign w:val="top"/>
          </w:tcPr>
          <w:p w14:paraId="486B9887">
            <w:pPr>
              <w:spacing w:before="132"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1E5988F">
            <w:pPr>
              <w:spacing w:before="132"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235BD7D">
            <w:pPr>
              <w:pStyle w:val="21"/>
              <w:rPr>
                <w:rFonts w:hint="eastAsia" w:ascii="宋体" w:hAnsi="宋体" w:eastAsia="宋体" w:cs="宋体"/>
                <w:color w:val="auto"/>
                <w:highlight w:val="none"/>
              </w:rPr>
            </w:pPr>
          </w:p>
        </w:tc>
      </w:tr>
      <w:tr w14:paraId="0D44A4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A6B7C50">
            <w:pPr>
              <w:spacing w:before="131" w:line="220" w:lineRule="auto"/>
              <w:ind w:left="120"/>
              <w:rPr>
                <w:rFonts w:hint="eastAsia" w:ascii="宋体" w:hAnsi="宋体" w:eastAsia="宋体" w:cs="宋体"/>
                <w:color w:val="auto"/>
                <w:sz w:val="24"/>
                <w:szCs w:val="24"/>
                <w:highlight w:val="none"/>
              </w:rPr>
            </w:pPr>
            <w:bookmarkStart w:id="270" w:name="bookmark162"/>
            <w:bookmarkEnd w:id="270"/>
            <w:r>
              <w:rPr>
                <w:rFonts w:hint="eastAsia" w:ascii="宋体" w:hAnsi="宋体" w:eastAsia="宋体" w:cs="宋体"/>
                <w:color w:val="auto"/>
                <w:spacing w:val="-3"/>
                <w:sz w:val="24"/>
                <w:szCs w:val="24"/>
                <w:highlight w:val="none"/>
              </w:rPr>
              <w:t>五、拆除工程</w:t>
            </w:r>
          </w:p>
        </w:tc>
        <w:tc>
          <w:tcPr>
            <w:tcW w:w="1294" w:type="dxa"/>
            <w:vAlign w:val="top"/>
          </w:tcPr>
          <w:p w14:paraId="0F5EE650">
            <w:pPr>
              <w:spacing w:before="131" w:line="223" w:lineRule="auto"/>
              <w:ind w:left="48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5"/>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6328EEA">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A24BEF">
            <w:pPr>
              <w:pStyle w:val="21"/>
              <w:rPr>
                <w:rFonts w:hint="eastAsia" w:ascii="宋体" w:hAnsi="宋体" w:eastAsia="宋体" w:cs="宋体"/>
                <w:color w:val="auto"/>
                <w:highlight w:val="none"/>
              </w:rPr>
            </w:pPr>
          </w:p>
        </w:tc>
      </w:tr>
      <w:tr w14:paraId="42ACFF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F6894BB">
            <w:pPr>
              <w:spacing w:before="126" w:line="329" w:lineRule="auto"/>
              <w:ind w:left="117" w:right="168"/>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可能影响行人、交通、电力设施、通讯设施或</w:t>
            </w:r>
            <w:r>
              <w:rPr>
                <w:rFonts w:hint="eastAsia" w:ascii="宋体" w:hAnsi="宋体" w:eastAsia="宋体" w:cs="宋体"/>
                <w:color w:val="auto"/>
                <w:spacing w:val="7"/>
                <w:sz w:val="24"/>
                <w:szCs w:val="24"/>
                <w:highlight w:val="none"/>
              </w:rPr>
              <w:t xml:space="preserve"> </w:t>
            </w:r>
            <w:r>
              <w:rPr>
                <w:rFonts w:hint="eastAsia" w:ascii="宋体" w:hAnsi="宋体" w:eastAsia="宋体" w:cs="宋体"/>
                <w:color w:val="auto"/>
                <w:spacing w:val="-1"/>
                <w:sz w:val="24"/>
                <w:szCs w:val="24"/>
                <w:highlight w:val="none"/>
              </w:rPr>
              <w:t>其它建、构筑物安全的拆除工程。</w:t>
            </w:r>
          </w:p>
        </w:tc>
        <w:tc>
          <w:tcPr>
            <w:tcW w:w="1294" w:type="dxa"/>
            <w:vAlign w:val="top"/>
          </w:tcPr>
          <w:p w14:paraId="53C1D06F">
            <w:pPr>
              <w:pStyle w:val="21"/>
              <w:spacing w:line="294" w:lineRule="auto"/>
              <w:rPr>
                <w:rFonts w:hint="eastAsia" w:ascii="宋体" w:hAnsi="宋体" w:eastAsia="宋体" w:cs="宋体"/>
                <w:color w:val="auto"/>
                <w:highlight w:val="none"/>
              </w:rPr>
            </w:pPr>
          </w:p>
          <w:p w14:paraId="76CB7DF5">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310AE40">
            <w:pPr>
              <w:pStyle w:val="21"/>
              <w:spacing w:line="294" w:lineRule="auto"/>
              <w:rPr>
                <w:rFonts w:hint="eastAsia" w:ascii="宋体" w:hAnsi="宋体" w:eastAsia="宋体" w:cs="宋体"/>
                <w:color w:val="auto"/>
                <w:highlight w:val="none"/>
              </w:rPr>
            </w:pPr>
          </w:p>
          <w:p w14:paraId="4D2EE233">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4D942FE">
            <w:pPr>
              <w:pStyle w:val="21"/>
              <w:rPr>
                <w:rFonts w:hint="eastAsia" w:ascii="宋体" w:hAnsi="宋体" w:eastAsia="宋体" w:cs="宋体"/>
                <w:color w:val="auto"/>
                <w:highlight w:val="none"/>
              </w:rPr>
            </w:pPr>
          </w:p>
        </w:tc>
      </w:tr>
      <w:tr w14:paraId="15559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91FBFB">
            <w:pPr>
              <w:spacing w:before="126" w:line="221" w:lineRule="auto"/>
              <w:ind w:left="35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137FC89C">
            <w:pPr>
              <w:spacing w:before="126"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F652C1B">
            <w:pPr>
              <w:spacing w:before="126"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D8FEC99">
            <w:pPr>
              <w:pStyle w:val="21"/>
              <w:rPr>
                <w:rFonts w:hint="eastAsia" w:ascii="宋体" w:hAnsi="宋体" w:eastAsia="宋体" w:cs="宋体"/>
                <w:color w:val="auto"/>
                <w:highlight w:val="none"/>
              </w:rPr>
            </w:pPr>
          </w:p>
        </w:tc>
      </w:tr>
      <w:tr w14:paraId="4B886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89E82C2">
            <w:pPr>
              <w:spacing w:before="128" w:line="328"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69EA54F0">
            <w:pPr>
              <w:pStyle w:val="21"/>
              <w:spacing w:line="294" w:lineRule="auto"/>
              <w:rPr>
                <w:rFonts w:hint="eastAsia" w:ascii="宋体" w:hAnsi="宋体" w:eastAsia="宋体" w:cs="宋体"/>
                <w:color w:val="auto"/>
                <w:highlight w:val="none"/>
              </w:rPr>
            </w:pPr>
          </w:p>
          <w:p w14:paraId="2580604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7831483">
            <w:pPr>
              <w:pStyle w:val="21"/>
              <w:spacing w:line="294" w:lineRule="auto"/>
              <w:rPr>
                <w:rFonts w:hint="eastAsia" w:ascii="宋体" w:hAnsi="宋体" w:eastAsia="宋体" w:cs="宋体"/>
                <w:color w:val="auto"/>
                <w:highlight w:val="none"/>
              </w:rPr>
            </w:pPr>
          </w:p>
          <w:p w14:paraId="551C407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1DD324">
            <w:pPr>
              <w:pStyle w:val="21"/>
              <w:rPr>
                <w:rFonts w:hint="eastAsia" w:ascii="宋体" w:hAnsi="宋体" w:eastAsia="宋体" w:cs="宋体"/>
                <w:color w:val="auto"/>
                <w:highlight w:val="none"/>
              </w:rPr>
            </w:pPr>
          </w:p>
        </w:tc>
      </w:tr>
      <w:tr w14:paraId="512FA1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63B8B64">
            <w:pPr>
              <w:spacing w:before="129"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41AFA2A">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06F78AB">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8F38261">
            <w:pPr>
              <w:pStyle w:val="21"/>
              <w:rPr>
                <w:rFonts w:hint="eastAsia" w:ascii="宋体" w:hAnsi="宋体" w:eastAsia="宋体" w:cs="宋体"/>
                <w:color w:val="auto"/>
                <w:highlight w:val="none"/>
              </w:rPr>
            </w:pPr>
          </w:p>
        </w:tc>
      </w:tr>
      <w:tr w14:paraId="610446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BC9C24">
            <w:pPr>
              <w:spacing w:before="128" w:line="219"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（一）建筑幕墙安装工程。</w:t>
            </w:r>
          </w:p>
        </w:tc>
        <w:tc>
          <w:tcPr>
            <w:tcW w:w="1294" w:type="dxa"/>
            <w:vAlign w:val="top"/>
          </w:tcPr>
          <w:p w14:paraId="6935FC1C">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4275F3F">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153FAD5">
            <w:pPr>
              <w:pStyle w:val="21"/>
              <w:rPr>
                <w:rFonts w:hint="eastAsia" w:ascii="宋体" w:hAnsi="宋体" w:eastAsia="宋体" w:cs="宋体"/>
                <w:color w:val="auto"/>
                <w:highlight w:val="none"/>
              </w:rPr>
            </w:pPr>
          </w:p>
        </w:tc>
      </w:tr>
      <w:tr w14:paraId="10816A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8649116">
            <w:pPr>
              <w:spacing w:before="128"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（二）钢结构、网架和索膜结构安装工程。</w:t>
            </w:r>
          </w:p>
        </w:tc>
        <w:tc>
          <w:tcPr>
            <w:tcW w:w="1294" w:type="dxa"/>
            <w:vAlign w:val="top"/>
          </w:tcPr>
          <w:p w14:paraId="5B256D88">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002621C">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C7386C">
            <w:pPr>
              <w:pStyle w:val="21"/>
              <w:rPr>
                <w:rFonts w:hint="eastAsia" w:ascii="宋体" w:hAnsi="宋体" w:eastAsia="宋体" w:cs="宋体"/>
                <w:color w:val="auto"/>
                <w:highlight w:val="none"/>
              </w:rPr>
            </w:pPr>
          </w:p>
        </w:tc>
      </w:tr>
      <w:tr w14:paraId="6E0F45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7F48E3C">
            <w:pPr>
              <w:spacing w:before="128"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（三）人工挖孔桩工程。</w:t>
            </w:r>
          </w:p>
        </w:tc>
        <w:tc>
          <w:tcPr>
            <w:tcW w:w="1294" w:type="dxa"/>
            <w:vAlign w:val="top"/>
          </w:tcPr>
          <w:p w14:paraId="2B0443D0">
            <w:pPr>
              <w:spacing w:before="12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457DD8">
            <w:pPr>
              <w:spacing w:before="12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B54B549">
            <w:pPr>
              <w:pStyle w:val="21"/>
              <w:rPr>
                <w:rFonts w:hint="eastAsia" w:ascii="宋体" w:hAnsi="宋体" w:eastAsia="宋体" w:cs="宋体"/>
                <w:color w:val="auto"/>
                <w:highlight w:val="none"/>
              </w:rPr>
            </w:pPr>
          </w:p>
        </w:tc>
      </w:tr>
      <w:tr w14:paraId="1D87E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023A2A7">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7FF1CEBB">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19BA99D">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9099C2E">
            <w:pPr>
              <w:pStyle w:val="21"/>
              <w:rPr>
                <w:rFonts w:hint="eastAsia" w:ascii="宋体" w:hAnsi="宋体" w:eastAsia="宋体" w:cs="宋体"/>
                <w:color w:val="auto"/>
                <w:highlight w:val="none"/>
              </w:rPr>
            </w:pPr>
          </w:p>
        </w:tc>
      </w:tr>
      <w:tr w14:paraId="0578E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E2CFFC3">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（五）装配式建筑混凝土预制构件安装工程。</w:t>
            </w:r>
          </w:p>
        </w:tc>
        <w:tc>
          <w:tcPr>
            <w:tcW w:w="1294" w:type="dxa"/>
            <w:vAlign w:val="top"/>
          </w:tcPr>
          <w:p w14:paraId="65C993F2">
            <w:pPr>
              <w:spacing w:before="129"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B18911">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0EEB872">
            <w:pPr>
              <w:pStyle w:val="21"/>
              <w:rPr>
                <w:rFonts w:hint="eastAsia" w:ascii="宋体" w:hAnsi="宋体" w:eastAsia="宋体" w:cs="宋体"/>
                <w:color w:val="auto"/>
                <w:highlight w:val="none"/>
              </w:rPr>
            </w:pPr>
          </w:p>
        </w:tc>
      </w:tr>
      <w:tr w14:paraId="13F16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2E07234">
            <w:pPr>
              <w:spacing w:before="129" w:line="345"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173190AF">
            <w:pPr>
              <w:pStyle w:val="21"/>
              <w:spacing w:line="270" w:lineRule="auto"/>
              <w:rPr>
                <w:rFonts w:hint="eastAsia" w:ascii="宋体" w:hAnsi="宋体" w:eastAsia="宋体" w:cs="宋体"/>
                <w:color w:val="auto"/>
                <w:highlight w:val="none"/>
              </w:rPr>
            </w:pPr>
          </w:p>
          <w:p w14:paraId="25286718">
            <w:pPr>
              <w:pStyle w:val="21"/>
              <w:spacing w:line="271" w:lineRule="auto"/>
              <w:rPr>
                <w:rFonts w:hint="eastAsia" w:ascii="宋体" w:hAnsi="宋体" w:eastAsia="宋体" w:cs="宋体"/>
                <w:color w:val="auto"/>
                <w:highlight w:val="none"/>
              </w:rPr>
            </w:pPr>
          </w:p>
          <w:p w14:paraId="43C2B6E5">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98617CC">
            <w:pPr>
              <w:pStyle w:val="21"/>
              <w:spacing w:line="270" w:lineRule="auto"/>
              <w:rPr>
                <w:rFonts w:hint="eastAsia" w:ascii="宋体" w:hAnsi="宋体" w:eastAsia="宋体" w:cs="宋体"/>
                <w:color w:val="auto"/>
                <w:highlight w:val="none"/>
              </w:rPr>
            </w:pPr>
          </w:p>
          <w:p w14:paraId="178E42BF">
            <w:pPr>
              <w:pStyle w:val="21"/>
              <w:spacing w:line="271" w:lineRule="auto"/>
              <w:rPr>
                <w:rFonts w:hint="eastAsia" w:ascii="宋体" w:hAnsi="宋体" w:eastAsia="宋体" w:cs="宋体"/>
                <w:color w:val="auto"/>
                <w:highlight w:val="none"/>
              </w:rPr>
            </w:pPr>
          </w:p>
          <w:p w14:paraId="7C375C8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939D6">
            <w:pPr>
              <w:pStyle w:val="21"/>
              <w:rPr>
                <w:rFonts w:hint="eastAsia" w:ascii="宋体" w:hAnsi="宋体" w:eastAsia="宋体" w:cs="宋体"/>
                <w:color w:val="auto"/>
                <w:highlight w:val="none"/>
              </w:rPr>
            </w:pPr>
          </w:p>
        </w:tc>
      </w:tr>
      <w:tr w14:paraId="3B5627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73107AB9">
            <w:pPr>
              <w:spacing w:before="129" w:line="328" w:lineRule="auto"/>
              <w:ind w:left="115" w:right="108" w:firstLine="4"/>
              <w:rPr>
                <w:rFonts w:hint="eastAsia" w:ascii="宋体" w:hAnsi="宋体" w:eastAsia="宋体" w:cs="宋体"/>
                <w:color w:val="auto"/>
                <w:sz w:val="24"/>
                <w:szCs w:val="24"/>
                <w:highlight w:val="none"/>
              </w:rPr>
            </w:pPr>
            <w:r>
              <w:rPr>
                <w:rFonts w:hint="eastAsia" w:ascii="宋体" w:hAnsi="宋体" w:eastAsia="宋体" w:cs="宋体"/>
                <w:b/>
                <w:bCs/>
                <w:color w:val="auto"/>
                <w:spacing w:val="-1"/>
                <w:sz w:val="24"/>
                <w:szCs w:val="24"/>
                <w:highlight w:val="none"/>
              </w:rPr>
              <w:t>二、超过一定规模的危险性较大的分部分项工</w:t>
            </w:r>
            <w:r>
              <w:rPr>
                <w:rFonts w:hint="eastAsia" w:ascii="宋体" w:hAnsi="宋体" w:eastAsia="宋体" w:cs="宋体"/>
                <w:b/>
                <w:bCs/>
                <w:color w:val="auto"/>
                <w:spacing w:val="-5"/>
                <w:sz w:val="24"/>
                <w:szCs w:val="24"/>
                <w:highlight w:val="none"/>
              </w:rPr>
              <w:t>程清单</w:t>
            </w:r>
          </w:p>
        </w:tc>
        <w:tc>
          <w:tcPr>
            <w:tcW w:w="1294" w:type="dxa"/>
            <w:vAlign w:val="top"/>
          </w:tcPr>
          <w:p w14:paraId="5A67B5C5">
            <w:pPr>
              <w:pStyle w:val="21"/>
              <w:spacing w:line="295" w:lineRule="auto"/>
              <w:rPr>
                <w:rFonts w:hint="eastAsia" w:ascii="宋体" w:hAnsi="宋体" w:eastAsia="宋体" w:cs="宋体"/>
                <w:color w:val="auto"/>
                <w:highlight w:val="none"/>
              </w:rPr>
            </w:pPr>
          </w:p>
          <w:p w14:paraId="2D811006">
            <w:pPr>
              <w:spacing w:before="78" w:line="221" w:lineRule="auto"/>
              <w:ind w:left="206"/>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建设单位</w:t>
            </w:r>
          </w:p>
        </w:tc>
        <w:tc>
          <w:tcPr>
            <w:tcW w:w="1294" w:type="dxa"/>
            <w:vAlign w:val="top"/>
          </w:tcPr>
          <w:p w14:paraId="24A69ECB">
            <w:pPr>
              <w:pStyle w:val="21"/>
              <w:spacing w:line="295" w:lineRule="auto"/>
              <w:rPr>
                <w:rFonts w:hint="eastAsia" w:ascii="宋体" w:hAnsi="宋体" w:eastAsia="宋体" w:cs="宋体"/>
                <w:color w:val="auto"/>
                <w:highlight w:val="none"/>
              </w:rPr>
            </w:pPr>
          </w:p>
          <w:p w14:paraId="26DB2221">
            <w:pPr>
              <w:spacing w:before="78" w:line="221" w:lineRule="auto"/>
              <w:ind w:left="119"/>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投标单位</w:t>
            </w:r>
          </w:p>
        </w:tc>
        <w:tc>
          <w:tcPr>
            <w:tcW w:w="2428" w:type="dxa"/>
            <w:vAlign w:val="top"/>
          </w:tcPr>
          <w:p w14:paraId="7B1AFF26">
            <w:pPr>
              <w:pStyle w:val="21"/>
              <w:spacing w:line="295" w:lineRule="auto"/>
              <w:rPr>
                <w:rFonts w:hint="eastAsia" w:ascii="宋体" w:hAnsi="宋体" w:eastAsia="宋体" w:cs="宋体"/>
                <w:color w:val="auto"/>
                <w:highlight w:val="none"/>
              </w:rPr>
            </w:pPr>
          </w:p>
          <w:p w14:paraId="3584F90F">
            <w:pPr>
              <w:spacing w:before="78" w:line="222" w:lineRule="auto"/>
              <w:ind w:left="300"/>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备注</w:t>
            </w:r>
          </w:p>
        </w:tc>
      </w:tr>
      <w:tr w14:paraId="4B6EE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FFEC06F">
            <w:pPr>
              <w:spacing w:before="129" w:line="221"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一、深基坑工程</w:t>
            </w:r>
          </w:p>
        </w:tc>
        <w:tc>
          <w:tcPr>
            <w:tcW w:w="1294" w:type="dxa"/>
            <w:vAlign w:val="top"/>
          </w:tcPr>
          <w:p w14:paraId="0F1DCA38">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A99B878">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A826AFC">
            <w:pPr>
              <w:pStyle w:val="21"/>
              <w:rPr>
                <w:rFonts w:hint="eastAsia" w:ascii="宋体" w:hAnsi="宋体" w:eastAsia="宋体" w:cs="宋体"/>
                <w:color w:val="auto"/>
                <w:highlight w:val="none"/>
              </w:rPr>
            </w:pPr>
          </w:p>
        </w:tc>
      </w:tr>
      <w:tr w14:paraId="70408D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7BBDEF">
            <w:pPr>
              <w:spacing w:before="131" w:line="327" w:lineRule="auto"/>
              <w:ind w:left="117" w:right="10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开挖深度超过</w:t>
            </w:r>
            <w:r>
              <w:rPr>
                <w:rFonts w:hint="eastAsia" w:ascii="宋体" w:hAnsi="宋体" w:eastAsia="宋体" w:cs="宋体"/>
                <w:color w:val="auto"/>
                <w:spacing w:val="-34"/>
                <w:sz w:val="24"/>
                <w:szCs w:val="24"/>
                <w:highlight w:val="none"/>
              </w:rPr>
              <w:t xml:space="preserve"> </w:t>
            </w:r>
            <w:r>
              <w:rPr>
                <w:rFonts w:hint="eastAsia" w:ascii="宋体" w:hAnsi="宋体" w:eastAsia="宋体" w:cs="宋体"/>
                <w:color w:val="auto"/>
                <w:spacing w:val="-5"/>
                <w:sz w:val="24"/>
                <w:szCs w:val="24"/>
                <w:highlight w:val="none"/>
              </w:rPr>
              <w:t>5m（含</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5m）的基坑（槽）的土方</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开挖、支护、降水工程。</w:t>
            </w:r>
          </w:p>
        </w:tc>
        <w:tc>
          <w:tcPr>
            <w:tcW w:w="1294" w:type="dxa"/>
            <w:vAlign w:val="top"/>
          </w:tcPr>
          <w:p w14:paraId="1796810E">
            <w:pPr>
              <w:pStyle w:val="21"/>
              <w:spacing w:line="295" w:lineRule="auto"/>
              <w:rPr>
                <w:rFonts w:hint="eastAsia" w:ascii="宋体" w:hAnsi="宋体" w:eastAsia="宋体" w:cs="宋体"/>
                <w:color w:val="auto"/>
                <w:highlight w:val="none"/>
              </w:rPr>
            </w:pPr>
          </w:p>
          <w:p w14:paraId="37F2E30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B7F49D4">
            <w:pPr>
              <w:pStyle w:val="21"/>
              <w:spacing w:line="295" w:lineRule="auto"/>
              <w:rPr>
                <w:rFonts w:hint="eastAsia" w:ascii="宋体" w:hAnsi="宋体" w:eastAsia="宋体" w:cs="宋体"/>
                <w:color w:val="auto"/>
                <w:highlight w:val="none"/>
              </w:rPr>
            </w:pPr>
          </w:p>
          <w:p w14:paraId="005B6C9B">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6B784C5">
            <w:pPr>
              <w:pStyle w:val="21"/>
              <w:rPr>
                <w:rFonts w:hint="eastAsia" w:ascii="宋体" w:hAnsi="宋体" w:eastAsia="宋体" w:cs="宋体"/>
                <w:color w:val="auto"/>
                <w:highlight w:val="none"/>
              </w:rPr>
            </w:pPr>
          </w:p>
        </w:tc>
      </w:tr>
      <w:tr w14:paraId="67E021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072E12A">
            <w:pPr>
              <w:spacing w:before="130" w:line="219"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二、模板工程及支撑体系</w:t>
            </w:r>
          </w:p>
        </w:tc>
        <w:tc>
          <w:tcPr>
            <w:tcW w:w="1294" w:type="dxa"/>
            <w:vAlign w:val="top"/>
          </w:tcPr>
          <w:p w14:paraId="695E6722">
            <w:pPr>
              <w:spacing w:before="129"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default" w:ascii="宋体" w:hAnsi="宋体" w:eastAsia="宋体" w:cs="宋体"/>
                <w:color w:val="auto"/>
                <w:spacing w:val="2"/>
                <w:sz w:val="24"/>
                <w:szCs w:val="24"/>
                <w:highlight w:val="none"/>
                <w:lang w:val="en-US"/>
              </w:rPr>
              <w:t xml:space="preserve">  </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4D75F55">
            <w:pPr>
              <w:spacing w:before="129"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09BB9547">
            <w:pPr>
              <w:pStyle w:val="21"/>
              <w:rPr>
                <w:rFonts w:hint="eastAsia" w:ascii="宋体" w:hAnsi="宋体" w:eastAsia="宋体" w:cs="宋体"/>
                <w:color w:val="auto"/>
                <w:highlight w:val="none"/>
              </w:rPr>
            </w:pPr>
          </w:p>
        </w:tc>
      </w:tr>
      <w:tr w14:paraId="10065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25B4D44">
            <w:pPr>
              <w:spacing w:before="130" w:line="327" w:lineRule="auto"/>
              <w:ind w:left="123" w:right="25" w:firstLine="4"/>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（一）各类工具式模板工程：包括滑模、爬模、</w:t>
            </w:r>
            <w:r>
              <w:rPr>
                <w:rFonts w:hint="eastAsia" w:ascii="宋体" w:hAnsi="宋体" w:eastAsia="宋体" w:cs="宋体"/>
                <w:color w:val="auto"/>
                <w:spacing w:val="6"/>
                <w:sz w:val="24"/>
                <w:szCs w:val="24"/>
                <w:highlight w:val="none"/>
              </w:rPr>
              <w:t xml:space="preserve"> </w:t>
            </w:r>
            <w:r>
              <w:rPr>
                <w:rFonts w:hint="eastAsia" w:ascii="宋体" w:hAnsi="宋体" w:eastAsia="宋体" w:cs="宋体"/>
                <w:color w:val="auto"/>
                <w:spacing w:val="-2"/>
                <w:sz w:val="24"/>
                <w:szCs w:val="24"/>
                <w:highlight w:val="none"/>
              </w:rPr>
              <w:t>飞模、隧道模等工程。</w:t>
            </w:r>
          </w:p>
        </w:tc>
        <w:tc>
          <w:tcPr>
            <w:tcW w:w="1294" w:type="dxa"/>
            <w:vAlign w:val="top"/>
          </w:tcPr>
          <w:p w14:paraId="333C7548">
            <w:pPr>
              <w:pStyle w:val="21"/>
              <w:spacing w:line="294" w:lineRule="auto"/>
              <w:rPr>
                <w:rFonts w:hint="eastAsia" w:ascii="宋体" w:hAnsi="宋体" w:eastAsia="宋体" w:cs="宋体"/>
                <w:color w:val="auto"/>
                <w:highlight w:val="none"/>
              </w:rPr>
            </w:pPr>
          </w:p>
          <w:p w14:paraId="40884F4C">
            <w:pPr>
              <w:spacing w:before="78" w:line="223" w:lineRule="auto"/>
              <w:ind w:left="30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4BE3EB5">
            <w:pPr>
              <w:pStyle w:val="21"/>
              <w:spacing w:line="294" w:lineRule="auto"/>
              <w:rPr>
                <w:rFonts w:hint="eastAsia" w:ascii="宋体" w:hAnsi="宋体" w:eastAsia="宋体" w:cs="宋体"/>
                <w:color w:val="auto"/>
                <w:highlight w:val="none"/>
              </w:rPr>
            </w:pPr>
          </w:p>
          <w:p w14:paraId="424372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243DDE8">
            <w:pPr>
              <w:pStyle w:val="21"/>
              <w:rPr>
                <w:rFonts w:hint="eastAsia" w:ascii="宋体" w:hAnsi="宋体" w:eastAsia="宋体" w:cs="宋体"/>
                <w:color w:val="auto"/>
                <w:highlight w:val="none"/>
              </w:rPr>
            </w:pPr>
          </w:p>
        </w:tc>
      </w:tr>
      <w:tr w14:paraId="2F8211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41265B">
            <w:pPr>
              <w:spacing w:before="132" w:line="353" w:lineRule="auto"/>
              <w:ind w:left="116" w:right="6" w:firstLine="11"/>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（二）混凝土模板支撑工程：搭设高度8m</w:t>
            </w:r>
            <w:r>
              <w:rPr>
                <w:rFonts w:hint="eastAsia" w:ascii="宋体" w:hAnsi="宋体" w:eastAsia="宋体" w:cs="宋体"/>
                <w:color w:val="auto"/>
                <w:spacing w:val="-38"/>
                <w:sz w:val="24"/>
                <w:szCs w:val="24"/>
                <w:highlight w:val="none"/>
              </w:rPr>
              <w:t xml:space="preserve"> </w:t>
            </w:r>
            <w:r>
              <w:rPr>
                <w:rFonts w:hint="eastAsia" w:ascii="宋体" w:hAnsi="宋体" w:eastAsia="宋体" w:cs="宋体"/>
                <w:color w:val="auto"/>
                <w:spacing w:val="-2"/>
                <w:sz w:val="24"/>
                <w:szCs w:val="24"/>
                <w:highlight w:val="none"/>
              </w:rPr>
              <w:t>及以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上，或搭设跨度</w:t>
            </w:r>
            <w:r>
              <w:rPr>
                <w:rFonts w:hint="eastAsia" w:ascii="宋体" w:hAnsi="宋体" w:eastAsia="宋体" w:cs="宋体"/>
                <w:color w:val="auto"/>
                <w:spacing w:val="-15"/>
                <w:sz w:val="24"/>
                <w:szCs w:val="24"/>
                <w:highlight w:val="none"/>
              </w:rPr>
              <w:t xml:space="preserve"> </w:t>
            </w:r>
            <w:r>
              <w:rPr>
                <w:rFonts w:hint="eastAsia" w:ascii="宋体" w:hAnsi="宋体" w:eastAsia="宋体" w:cs="宋体"/>
                <w:color w:val="auto"/>
                <w:spacing w:val="-11"/>
                <w:sz w:val="24"/>
                <w:szCs w:val="24"/>
                <w:highlight w:val="none"/>
              </w:rPr>
              <w:t>18m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及以上，或施工总荷载（设</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1"/>
                <w:sz w:val="24"/>
                <w:szCs w:val="24"/>
                <w:highlight w:val="none"/>
              </w:rPr>
              <w:t>计值）15kN/m2</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1"/>
                <w:sz w:val="24"/>
                <w:szCs w:val="24"/>
                <w:highlight w:val="none"/>
              </w:rPr>
              <w:t>及以上，或集中线荷载（设</w:t>
            </w:r>
            <w:r>
              <w:rPr>
                <w:rFonts w:hint="eastAsia" w:ascii="宋体" w:hAnsi="宋体" w:eastAsia="宋体" w:cs="宋体"/>
                <w:color w:val="auto"/>
                <w:spacing w:val="-12"/>
                <w:sz w:val="24"/>
                <w:szCs w:val="24"/>
                <w:highlight w:val="none"/>
              </w:rPr>
              <w:t>计值）</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20kN/m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A659D94">
            <w:pPr>
              <w:pStyle w:val="21"/>
              <w:spacing w:line="262" w:lineRule="auto"/>
              <w:rPr>
                <w:rFonts w:hint="eastAsia" w:ascii="宋体" w:hAnsi="宋体" w:eastAsia="宋体" w:cs="宋体"/>
                <w:color w:val="auto"/>
                <w:highlight w:val="none"/>
              </w:rPr>
            </w:pPr>
          </w:p>
          <w:p w14:paraId="36D0E943">
            <w:pPr>
              <w:pStyle w:val="21"/>
              <w:spacing w:line="263" w:lineRule="auto"/>
              <w:rPr>
                <w:rFonts w:hint="eastAsia" w:ascii="宋体" w:hAnsi="宋体" w:eastAsia="宋体" w:cs="宋体"/>
                <w:color w:val="auto"/>
                <w:highlight w:val="none"/>
              </w:rPr>
            </w:pPr>
          </w:p>
          <w:p w14:paraId="36225E0A">
            <w:pPr>
              <w:pStyle w:val="21"/>
              <w:spacing w:line="263" w:lineRule="auto"/>
              <w:rPr>
                <w:rFonts w:hint="eastAsia" w:ascii="宋体" w:hAnsi="宋体" w:eastAsia="宋体" w:cs="宋体"/>
                <w:color w:val="auto"/>
                <w:highlight w:val="none"/>
              </w:rPr>
            </w:pPr>
          </w:p>
          <w:p w14:paraId="1B11D092">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6F36B3E">
            <w:pPr>
              <w:pStyle w:val="21"/>
              <w:spacing w:line="262" w:lineRule="auto"/>
              <w:rPr>
                <w:rFonts w:hint="eastAsia" w:ascii="宋体" w:hAnsi="宋体" w:eastAsia="宋体" w:cs="宋体"/>
                <w:color w:val="auto"/>
                <w:highlight w:val="none"/>
              </w:rPr>
            </w:pPr>
          </w:p>
          <w:p w14:paraId="39B92A8D">
            <w:pPr>
              <w:pStyle w:val="21"/>
              <w:spacing w:line="263" w:lineRule="auto"/>
              <w:rPr>
                <w:rFonts w:hint="eastAsia" w:ascii="宋体" w:hAnsi="宋体" w:eastAsia="宋体" w:cs="宋体"/>
                <w:color w:val="auto"/>
                <w:highlight w:val="none"/>
              </w:rPr>
            </w:pPr>
          </w:p>
          <w:p w14:paraId="52E91544">
            <w:pPr>
              <w:pStyle w:val="21"/>
              <w:spacing w:line="263" w:lineRule="auto"/>
              <w:rPr>
                <w:rFonts w:hint="eastAsia" w:ascii="宋体" w:hAnsi="宋体" w:eastAsia="宋体" w:cs="宋体"/>
                <w:color w:val="auto"/>
                <w:highlight w:val="none"/>
              </w:rPr>
            </w:pPr>
          </w:p>
          <w:p w14:paraId="4010B8F8">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75310">
            <w:pPr>
              <w:pStyle w:val="21"/>
              <w:rPr>
                <w:rFonts w:hint="eastAsia" w:ascii="宋体" w:hAnsi="宋体" w:eastAsia="宋体" w:cs="宋体"/>
                <w:color w:val="auto"/>
                <w:highlight w:val="none"/>
              </w:rPr>
            </w:pPr>
          </w:p>
        </w:tc>
      </w:tr>
      <w:tr w14:paraId="314862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4038DE2">
            <w:pPr>
              <w:spacing w:before="131"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（三）承重支撑体系：用于钢结构安装等满堂</w:t>
            </w:r>
          </w:p>
        </w:tc>
        <w:tc>
          <w:tcPr>
            <w:tcW w:w="1294" w:type="dxa"/>
            <w:vAlign w:val="top"/>
          </w:tcPr>
          <w:p w14:paraId="7EA93CE0">
            <w:pPr>
              <w:spacing w:before="131"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89782CE">
            <w:pPr>
              <w:spacing w:before="131"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E42B55B">
            <w:pPr>
              <w:pStyle w:val="21"/>
              <w:rPr>
                <w:rFonts w:hint="eastAsia" w:ascii="宋体" w:hAnsi="宋体" w:eastAsia="宋体" w:cs="宋体"/>
                <w:color w:val="auto"/>
                <w:highlight w:val="none"/>
              </w:rPr>
            </w:pPr>
          </w:p>
        </w:tc>
      </w:tr>
      <w:tr w14:paraId="0DCFCE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4CD01D5">
            <w:pPr>
              <w:spacing w:before="131" w:line="220" w:lineRule="auto"/>
              <w:ind w:left="1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支撑体系，承受单点集中荷载</w:t>
            </w:r>
            <w:r>
              <w:rPr>
                <w:rFonts w:hint="eastAsia" w:ascii="宋体" w:hAnsi="宋体" w:eastAsia="宋体" w:cs="宋体"/>
                <w:color w:val="auto"/>
                <w:spacing w:val="-40"/>
                <w:sz w:val="24"/>
                <w:szCs w:val="24"/>
                <w:highlight w:val="none"/>
              </w:rPr>
              <w:t xml:space="preserve"> </w:t>
            </w:r>
            <w:r>
              <w:rPr>
                <w:rFonts w:hint="eastAsia" w:ascii="宋体" w:hAnsi="宋体" w:eastAsia="宋体" w:cs="宋体"/>
                <w:color w:val="auto"/>
                <w:spacing w:val="-2"/>
                <w:sz w:val="24"/>
                <w:szCs w:val="24"/>
                <w:highlight w:val="none"/>
              </w:rPr>
              <w:t>7kN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w:t>
            </w:r>
          </w:p>
        </w:tc>
        <w:tc>
          <w:tcPr>
            <w:tcW w:w="1294" w:type="dxa"/>
            <w:vAlign w:val="top"/>
          </w:tcPr>
          <w:p w14:paraId="3D707081">
            <w:pPr>
              <w:pStyle w:val="21"/>
              <w:rPr>
                <w:rFonts w:hint="eastAsia" w:ascii="宋体" w:hAnsi="宋体" w:eastAsia="宋体" w:cs="宋体"/>
                <w:color w:val="auto"/>
                <w:highlight w:val="none"/>
              </w:rPr>
            </w:pPr>
          </w:p>
        </w:tc>
        <w:tc>
          <w:tcPr>
            <w:tcW w:w="1294" w:type="dxa"/>
            <w:vAlign w:val="top"/>
          </w:tcPr>
          <w:p w14:paraId="53A736AF">
            <w:pPr>
              <w:pStyle w:val="21"/>
              <w:rPr>
                <w:rFonts w:hint="eastAsia" w:ascii="宋体" w:hAnsi="宋体" w:eastAsia="宋体" w:cs="宋体"/>
                <w:color w:val="auto"/>
                <w:highlight w:val="none"/>
              </w:rPr>
            </w:pPr>
          </w:p>
        </w:tc>
        <w:tc>
          <w:tcPr>
            <w:tcW w:w="2428" w:type="dxa"/>
            <w:vAlign w:val="top"/>
          </w:tcPr>
          <w:p w14:paraId="56059996">
            <w:pPr>
              <w:pStyle w:val="21"/>
              <w:rPr>
                <w:rFonts w:hint="eastAsia" w:ascii="宋体" w:hAnsi="宋体" w:eastAsia="宋体" w:cs="宋体"/>
                <w:color w:val="auto"/>
                <w:highlight w:val="none"/>
              </w:rPr>
            </w:pPr>
          </w:p>
        </w:tc>
      </w:tr>
      <w:tr w14:paraId="718D0E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B0C9181">
            <w:pPr>
              <w:spacing w:before="128" w:line="219" w:lineRule="auto"/>
              <w:ind w:left="356"/>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三、起重吊装及起重机械安装拆卸工程</w:t>
            </w:r>
          </w:p>
        </w:tc>
        <w:tc>
          <w:tcPr>
            <w:tcW w:w="1294" w:type="dxa"/>
            <w:vAlign w:val="top"/>
          </w:tcPr>
          <w:p w14:paraId="5DAC60BF">
            <w:pPr>
              <w:spacing w:before="127"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74A1EBF1">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38A51EE5">
            <w:pPr>
              <w:pStyle w:val="21"/>
              <w:rPr>
                <w:rFonts w:hint="eastAsia" w:ascii="宋体" w:hAnsi="宋体" w:eastAsia="宋体" w:cs="宋体"/>
                <w:color w:val="auto"/>
                <w:highlight w:val="none"/>
              </w:rPr>
            </w:pPr>
          </w:p>
        </w:tc>
      </w:tr>
      <w:tr w14:paraId="723FC7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2A57479">
            <w:pPr>
              <w:spacing w:before="129" w:line="328" w:lineRule="auto"/>
              <w:ind w:left="144" w:right="168" w:hanging="1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（一）采用非常规起重设备、方法，且单件起</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4"/>
                <w:sz w:val="24"/>
                <w:szCs w:val="24"/>
                <w:highlight w:val="none"/>
              </w:rPr>
              <w:t>吊重量在</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4"/>
                <w:sz w:val="24"/>
                <w:szCs w:val="24"/>
                <w:highlight w:val="none"/>
              </w:rPr>
              <w:t>100kN</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4"/>
                <w:sz w:val="24"/>
                <w:szCs w:val="24"/>
                <w:highlight w:val="none"/>
              </w:rPr>
              <w:t>及以上的起重吊装工程。</w:t>
            </w:r>
          </w:p>
        </w:tc>
        <w:tc>
          <w:tcPr>
            <w:tcW w:w="1294" w:type="dxa"/>
            <w:vAlign w:val="top"/>
          </w:tcPr>
          <w:p w14:paraId="2AF28C1D">
            <w:pPr>
              <w:pStyle w:val="21"/>
              <w:spacing w:line="295" w:lineRule="auto"/>
              <w:rPr>
                <w:rFonts w:hint="eastAsia" w:ascii="宋体" w:hAnsi="宋体" w:eastAsia="宋体" w:cs="宋体"/>
                <w:color w:val="auto"/>
                <w:highlight w:val="none"/>
              </w:rPr>
            </w:pPr>
          </w:p>
          <w:p w14:paraId="68D38AD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DBCC99">
            <w:pPr>
              <w:pStyle w:val="21"/>
              <w:spacing w:line="295" w:lineRule="auto"/>
              <w:rPr>
                <w:rFonts w:hint="eastAsia" w:ascii="宋体" w:hAnsi="宋体" w:eastAsia="宋体" w:cs="宋体"/>
                <w:color w:val="auto"/>
                <w:highlight w:val="none"/>
              </w:rPr>
            </w:pPr>
          </w:p>
          <w:p w14:paraId="26478C8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AC0590">
            <w:pPr>
              <w:pStyle w:val="21"/>
              <w:rPr>
                <w:rFonts w:hint="eastAsia" w:ascii="宋体" w:hAnsi="宋体" w:eastAsia="宋体" w:cs="宋体"/>
                <w:color w:val="auto"/>
                <w:highlight w:val="none"/>
              </w:rPr>
            </w:pPr>
          </w:p>
        </w:tc>
      </w:tr>
      <w:tr w14:paraId="7A49C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C5F7230">
            <w:pPr>
              <w:spacing w:before="129" w:line="345" w:lineRule="auto"/>
              <w:ind w:left="115" w:right="105" w:firstLine="12"/>
              <w:jc w:val="both"/>
              <w:rPr>
                <w:rFonts w:hint="eastAsia" w:ascii="宋体" w:hAnsi="宋体" w:eastAsia="宋体" w:cs="宋体"/>
                <w:color w:val="auto"/>
                <w:sz w:val="24"/>
                <w:szCs w:val="24"/>
                <w:highlight w:val="none"/>
              </w:rPr>
            </w:pPr>
            <w:r>
              <w:rPr>
                <w:rFonts w:hint="eastAsia" w:ascii="宋体" w:hAnsi="宋体" w:eastAsia="宋体" w:cs="宋体"/>
                <w:color w:val="auto"/>
                <w:spacing w:val="-12"/>
                <w:sz w:val="24"/>
                <w:szCs w:val="24"/>
                <w:highlight w:val="none"/>
              </w:rPr>
              <w:t>（二）起重量</w:t>
            </w:r>
            <w:r>
              <w:rPr>
                <w:rFonts w:hint="eastAsia" w:ascii="宋体" w:hAnsi="宋体" w:eastAsia="宋体" w:cs="宋体"/>
                <w:color w:val="auto"/>
                <w:spacing w:val="-41"/>
                <w:sz w:val="24"/>
                <w:szCs w:val="24"/>
                <w:highlight w:val="none"/>
              </w:rPr>
              <w:t xml:space="preserve"> </w:t>
            </w:r>
            <w:r>
              <w:rPr>
                <w:rFonts w:hint="eastAsia" w:ascii="宋体" w:hAnsi="宋体" w:eastAsia="宋体" w:cs="宋体"/>
                <w:color w:val="auto"/>
                <w:spacing w:val="-12"/>
                <w:sz w:val="24"/>
                <w:szCs w:val="24"/>
                <w:highlight w:val="none"/>
              </w:rPr>
              <w:t>300kN</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12"/>
                <w:sz w:val="24"/>
                <w:szCs w:val="24"/>
                <w:highlight w:val="none"/>
              </w:rPr>
              <w:t>及以上，或搭设总高度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12"/>
                <w:sz w:val="24"/>
                <w:szCs w:val="24"/>
                <w:highlight w:val="none"/>
              </w:rPr>
              <w:t>200m</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4"/>
                <w:sz w:val="24"/>
                <w:szCs w:val="24"/>
                <w:highlight w:val="none"/>
              </w:rPr>
              <w:t>及以上，或搭设基础标高在</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4"/>
                <w:sz w:val="24"/>
                <w:szCs w:val="24"/>
                <w:highlight w:val="none"/>
              </w:rPr>
              <w:t>200m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4"/>
                <w:sz w:val="24"/>
                <w:szCs w:val="24"/>
                <w:highlight w:val="none"/>
              </w:rPr>
              <w:t>及以上的起重</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机械安装和拆卸工程。</w:t>
            </w:r>
          </w:p>
        </w:tc>
        <w:tc>
          <w:tcPr>
            <w:tcW w:w="1294" w:type="dxa"/>
            <w:vAlign w:val="top"/>
          </w:tcPr>
          <w:p w14:paraId="3C812803">
            <w:pPr>
              <w:pStyle w:val="21"/>
              <w:spacing w:line="270" w:lineRule="auto"/>
              <w:rPr>
                <w:rFonts w:hint="eastAsia" w:ascii="宋体" w:hAnsi="宋体" w:eastAsia="宋体" w:cs="宋体"/>
                <w:color w:val="auto"/>
                <w:highlight w:val="none"/>
              </w:rPr>
            </w:pPr>
          </w:p>
          <w:p w14:paraId="5121DDDA">
            <w:pPr>
              <w:pStyle w:val="21"/>
              <w:spacing w:line="270" w:lineRule="auto"/>
              <w:rPr>
                <w:rFonts w:hint="eastAsia" w:ascii="宋体" w:hAnsi="宋体" w:eastAsia="宋体" w:cs="宋体"/>
                <w:color w:val="auto"/>
                <w:highlight w:val="none"/>
              </w:rPr>
            </w:pPr>
          </w:p>
          <w:p w14:paraId="560FB691">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2976141">
            <w:pPr>
              <w:pStyle w:val="21"/>
              <w:spacing w:line="270" w:lineRule="auto"/>
              <w:rPr>
                <w:rFonts w:hint="eastAsia" w:ascii="宋体" w:hAnsi="宋体" w:eastAsia="宋体" w:cs="宋体"/>
                <w:color w:val="auto"/>
                <w:highlight w:val="none"/>
              </w:rPr>
            </w:pPr>
          </w:p>
          <w:p w14:paraId="0F0AF9F1">
            <w:pPr>
              <w:pStyle w:val="21"/>
              <w:spacing w:line="270" w:lineRule="auto"/>
              <w:rPr>
                <w:rFonts w:hint="eastAsia" w:ascii="宋体" w:hAnsi="宋体" w:eastAsia="宋体" w:cs="宋体"/>
                <w:color w:val="auto"/>
                <w:highlight w:val="none"/>
              </w:rPr>
            </w:pPr>
          </w:p>
          <w:p w14:paraId="69309DD2">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436BC6D">
            <w:pPr>
              <w:pStyle w:val="21"/>
              <w:rPr>
                <w:rFonts w:hint="eastAsia" w:ascii="宋体" w:hAnsi="宋体" w:eastAsia="宋体" w:cs="宋体"/>
                <w:color w:val="auto"/>
                <w:highlight w:val="none"/>
              </w:rPr>
            </w:pPr>
          </w:p>
        </w:tc>
      </w:tr>
      <w:tr w14:paraId="0E46C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528645FA">
            <w:pPr>
              <w:spacing w:before="128" w:line="219" w:lineRule="auto"/>
              <w:ind w:left="138"/>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四、脚手架工程</w:t>
            </w:r>
          </w:p>
        </w:tc>
        <w:tc>
          <w:tcPr>
            <w:tcW w:w="1294" w:type="dxa"/>
            <w:vAlign w:val="top"/>
          </w:tcPr>
          <w:p w14:paraId="67CC54F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D0B7418">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66E3407">
            <w:pPr>
              <w:pStyle w:val="21"/>
              <w:rPr>
                <w:rFonts w:hint="eastAsia" w:ascii="宋体" w:hAnsi="宋体" w:eastAsia="宋体" w:cs="宋体"/>
                <w:color w:val="auto"/>
                <w:highlight w:val="none"/>
              </w:rPr>
            </w:pPr>
          </w:p>
        </w:tc>
      </w:tr>
      <w:tr w14:paraId="20CD7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8FD09B2">
            <w:pPr>
              <w:spacing w:before="128" w:line="328"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（一）搭设高度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及以上的落地式钢管脚手</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3"/>
                <w:sz w:val="24"/>
                <w:szCs w:val="24"/>
                <w:highlight w:val="none"/>
              </w:rPr>
              <w:t>架工程。</w:t>
            </w:r>
          </w:p>
        </w:tc>
        <w:tc>
          <w:tcPr>
            <w:tcW w:w="1294" w:type="dxa"/>
            <w:vAlign w:val="top"/>
          </w:tcPr>
          <w:p w14:paraId="30FE1B6D">
            <w:pPr>
              <w:pStyle w:val="21"/>
              <w:spacing w:line="296" w:lineRule="auto"/>
              <w:rPr>
                <w:rFonts w:hint="eastAsia" w:ascii="宋体" w:hAnsi="宋体" w:eastAsia="宋体" w:cs="宋体"/>
                <w:color w:val="auto"/>
                <w:highlight w:val="none"/>
              </w:rPr>
            </w:pPr>
          </w:p>
          <w:p w14:paraId="49A947C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645D770">
            <w:pPr>
              <w:pStyle w:val="21"/>
              <w:spacing w:line="296" w:lineRule="auto"/>
              <w:rPr>
                <w:rFonts w:hint="eastAsia" w:ascii="宋体" w:hAnsi="宋体" w:eastAsia="宋体" w:cs="宋体"/>
                <w:color w:val="auto"/>
                <w:highlight w:val="none"/>
              </w:rPr>
            </w:pPr>
          </w:p>
          <w:p w14:paraId="0046F70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5A45629">
            <w:pPr>
              <w:pStyle w:val="21"/>
              <w:rPr>
                <w:rFonts w:hint="eastAsia" w:ascii="宋体" w:hAnsi="宋体" w:eastAsia="宋体" w:cs="宋体"/>
                <w:color w:val="auto"/>
                <w:highlight w:val="none"/>
              </w:rPr>
            </w:pPr>
          </w:p>
        </w:tc>
      </w:tr>
      <w:tr w14:paraId="4C2B7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31197BD">
            <w:pPr>
              <w:spacing w:before="131" w:line="327" w:lineRule="auto"/>
              <w:ind w:left="116" w:right="105" w:firstLine="11"/>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（二）提升高度在</w:t>
            </w:r>
            <w:r>
              <w:rPr>
                <w:rFonts w:hint="eastAsia" w:ascii="宋体" w:hAnsi="宋体" w:eastAsia="宋体" w:cs="宋体"/>
                <w:color w:val="auto"/>
                <w:spacing w:val="-16"/>
                <w:sz w:val="24"/>
                <w:szCs w:val="24"/>
                <w:highlight w:val="none"/>
              </w:rPr>
              <w:t xml:space="preserve"> </w:t>
            </w:r>
            <w:r>
              <w:rPr>
                <w:rFonts w:hint="eastAsia" w:ascii="宋体" w:hAnsi="宋体" w:eastAsia="宋体" w:cs="宋体"/>
                <w:color w:val="auto"/>
                <w:spacing w:val="-6"/>
                <w:sz w:val="24"/>
                <w:szCs w:val="24"/>
                <w:highlight w:val="none"/>
                <w:lang w:eastAsia="zh-CN"/>
              </w:rPr>
              <w:t>450</w:t>
            </w:r>
            <w:r>
              <w:rPr>
                <w:rFonts w:hint="eastAsia" w:ascii="宋体" w:hAnsi="宋体" w:eastAsia="宋体" w:cs="宋体"/>
                <w:color w:val="auto"/>
                <w:spacing w:val="-6"/>
                <w:sz w:val="24"/>
                <w:szCs w:val="24"/>
                <w:highlight w:val="none"/>
              </w:rPr>
              <w:t>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6"/>
                <w:sz w:val="24"/>
                <w:szCs w:val="24"/>
                <w:highlight w:val="none"/>
              </w:rPr>
              <w:t>及以上的附着式升降脚</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手架工程或附着式升降操作平台工程。</w:t>
            </w:r>
          </w:p>
        </w:tc>
        <w:tc>
          <w:tcPr>
            <w:tcW w:w="1294" w:type="dxa"/>
            <w:vAlign w:val="top"/>
          </w:tcPr>
          <w:p w14:paraId="26E4FDC5">
            <w:pPr>
              <w:pStyle w:val="21"/>
              <w:spacing w:line="296" w:lineRule="auto"/>
              <w:rPr>
                <w:rFonts w:hint="eastAsia" w:ascii="宋体" w:hAnsi="宋体" w:eastAsia="宋体" w:cs="宋体"/>
                <w:color w:val="auto"/>
                <w:highlight w:val="none"/>
              </w:rPr>
            </w:pPr>
          </w:p>
          <w:p w14:paraId="558431DE">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E227112">
            <w:pPr>
              <w:pStyle w:val="21"/>
              <w:spacing w:line="296" w:lineRule="auto"/>
              <w:rPr>
                <w:rFonts w:hint="eastAsia" w:ascii="宋体" w:hAnsi="宋体" w:eastAsia="宋体" w:cs="宋体"/>
                <w:color w:val="auto"/>
                <w:highlight w:val="none"/>
              </w:rPr>
            </w:pPr>
          </w:p>
          <w:p w14:paraId="4D51D49D">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D447CAF">
            <w:pPr>
              <w:pStyle w:val="21"/>
              <w:rPr>
                <w:rFonts w:hint="eastAsia" w:ascii="宋体" w:hAnsi="宋体" w:eastAsia="宋体" w:cs="宋体"/>
                <w:color w:val="auto"/>
                <w:highlight w:val="none"/>
              </w:rPr>
            </w:pPr>
          </w:p>
        </w:tc>
      </w:tr>
      <w:tr w14:paraId="4390B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302DA04D">
            <w:pPr>
              <w:spacing w:before="129" w:line="328"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（三）分段架体搭设高度</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2"/>
                <w:sz w:val="24"/>
                <w:szCs w:val="24"/>
                <w:highlight w:val="none"/>
              </w:rPr>
              <w:t>20m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及以上的悬挑式</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2"/>
                <w:sz w:val="24"/>
                <w:szCs w:val="24"/>
                <w:highlight w:val="none"/>
              </w:rPr>
              <w:t>脚手架工程。</w:t>
            </w:r>
          </w:p>
        </w:tc>
        <w:tc>
          <w:tcPr>
            <w:tcW w:w="1294" w:type="dxa"/>
            <w:vAlign w:val="top"/>
          </w:tcPr>
          <w:p w14:paraId="1A4DC673">
            <w:pPr>
              <w:pStyle w:val="21"/>
              <w:spacing w:line="297" w:lineRule="auto"/>
              <w:rPr>
                <w:rFonts w:hint="eastAsia" w:ascii="宋体" w:hAnsi="宋体" w:eastAsia="宋体" w:cs="宋体"/>
                <w:color w:val="auto"/>
                <w:highlight w:val="none"/>
              </w:rPr>
            </w:pPr>
          </w:p>
          <w:p w14:paraId="13C8F70D">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8C3E33">
            <w:pPr>
              <w:pStyle w:val="21"/>
              <w:spacing w:line="297" w:lineRule="auto"/>
              <w:rPr>
                <w:rFonts w:hint="eastAsia" w:ascii="宋体" w:hAnsi="宋体" w:eastAsia="宋体" w:cs="宋体"/>
                <w:color w:val="auto"/>
                <w:highlight w:val="none"/>
              </w:rPr>
            </w:pPr>
          </w:p>
          <w:p w14:paraId="69F6EAB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36FB7CE">
            <w:pPr>
              <w:pStyle w:val="21"/>
              <w:rPr>
                <w:rFonts w:hint="eastAsia" w:ascii="宋体" w:hAnsi="宋体" w:eastAsia="宋体" w:cs="宋体"/>
                <w:color w:val="auto"/>
                <w:highlight w:val="none"/>
              </w:rPr>
            </w:pPr>
          </w:p>
        </w:tc>
      </w:tr>
      <w:tr w14:paraId="19A540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E027364">
            <w:pPr>
              <w:spacing w:before="131" w:line="220" w:lineRule="auto"/>
              <w:ind w:left="12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五、拆除工程</w:t>
            </w:r>
          </w:p>
        </w:tc>
        <w:tc>
          <w:tcPr>
            <w:tcW w:w="1294" w:type="dxa"/>
            <w:vAlign w:val="top"/>
          </w:tcPr>
          <w:p w14:paraId="252E8CF3">
            <w:pPr>
              <w:spacing w:before="158" w:line="223" w:lineRule="auto"/>
              <w:ind w:left="42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3"/>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2E328A9">
            <w:pPr>
              <w:spacing w:before="15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B214F7F">
            <w:pPr>
              <w:pStyle w:val="21"/>
              <w:rPr>
                <w:rFonts w:hint="eastAsia" w:ascii="宋体" w:hAnsi="宋体" w:eastAsia="宋体" w:cs="宋体"/>
                <w:color w:val="auto"/>
                <w:highlight w:val="none"/>
              </w:rPr>
            </w:pPr>
          </w:p>
        </w:tc>
      </w:tr>
      <w:tr w14:paraId="533AC8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FD68D25">
            <w:pPr>
              <w:spacing w:before="132" w:line="353"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（一）码头、桥梁、高架、烟囱、水塔或拆除</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中容易引起有毒有害气（液）体或粉尘扩散、</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1"/>
                <w:sz w:val="24"/>
                <w:szCs w:val="24"/>
                <w:highlight w:val="none"/>
              </w:rPr>
              <w:t>易燃易爆事故发生的特殊建、构筑物的拆除工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06E4383E">
            <w:pPr>
              <w:pStyle w:val="21"/>
              <w:spacing w:line="262" w:lineRule="auto"/>
              <w:rPr>
                <w:rFonts w:hint="eastAsia" w:ascii="宋体" w:hAnsi="宋体" w:eastAsia="宋体" w:cs="宋体"/>
                <w:color w:val="auto"/>
                <w:highlight w:val="none"/>
              </w:rPr>
            </w:pPr>
          </w:p>
          <w:p w14:paraId="7376B21D">
            <w:pPr>
              <w:pStyle w:val="21"/>
              <w:spacing w:line="262" w:lineRule="auto"/>
              <w:rPr>
                <w:rFonts w:hint="eastAsia" w:ascii="宋体" w:hAnsi="宋体" w:eastAsia="宋体" w:cs="宋体"/>
                <w:color w:val="auto"/>
                <w:highlight w:val="none"/>
              </w:rPr>
            </w:pPr>
          </w:p>
          <w:p w14:paraId="5707BFC6">
            <w:pPr>
              <w:pStyle w:val="21"/>
              <w:spacing w:line="262" w:lineRule="auto"/>
              <w:rPr>
                <w:rFonts w:hint="eastAsia" w:ascii="宋体" w:hAnsi="宋体" w:eastAsia="宋体" w:cs="宋体"/>
                <w:color w:val="auto"/>
                <w:highlight w:val="none"/>
              </w:rPr>
            </w:pPr>
          </w:p>
          <w:p w14:paraId="07A1B4B9">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4AA7B904">
            <w:pPr>
              <w:pStyle w:val="21"/>
              <w:spacing w:line="262" w:lineRule="auto"/>
              <w:rPr>
                <w:rFonts w:hint="eastAsia" w:ascii="宋体" w:hAnsi="宋体" w:eastAsia="宋体" w:cs="宋体"/>
                <w:color w:val="auto"/>
                <w:highlight w:val="none"/>
              </w:rPr>
            </w:pPr>
          </w:p>
          <w:p w14:paraId="60B86E07">
            <w:pPr>
              <w:pStyle w:val="21"/>
              <w:spacing w:line="262" w:lineRule="auto"/>
              <w:rPr>
                <w:rFonts w:hint="eastAsia" w:ascii="宋体" w:hAnsi="宋体" w:eastAsia="宋体" w:cs="宋体"/>
                <w:color w:val="auto"/>
                <w:highlight w:val="none"/>
              </w:rPr>
            </w:pPr>
          </w:p>
          <w:p w14:paraId="069EBF28">
            <w:pPr>
              <w:pStyle w:val="21"/>
              <w:spacing w:line="262" w:lineRule="auto"/>
              <w:rPr>
                <w:rFonts w:hint="eastAsia" w:ascii="宋体" w:hAnsi="宋体" w:eastAsia="宋体" w:cs="宋体"/>
                <w:color w:val="auto"/>
                <w:highlight w:val="none"/>
              </w:rPr>
            </w:pPr>
          </w:p>
          <w:p w14:paraId="6B21D26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744C282">
            <w:pPr>
              <w:pStyle w:val="21"/>
              <w:rPr>
                <w:rFonts w:hint="eastAsia" w:ascii="宋体" w:hAnsi="宋体" w:eastAsia="宋体" w:cs="宋体"/>
                <w:color w:val="auto"/>
                <w:highlight w:val="none"/>
              </w:rPr>
            </w:pPr>
          </w:p>
        </w:tc>
      </w:tr>
      <w:tr w14:paraId="7A72A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3409FFD">
            <w:pPr>
              <w:spacing w:before="131" w:line="327" w:lineRule="auto"/>
              <w:ind w:left="117" w:right="168" w:firstLine="10"/>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（二）文物保护建筑、优秀历史建筑或历史文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化风貌区影响范围内的拆除工程。</w:t>
            </w:r>
          </w:p>
        </w:tc>
        <w:tc>
          <w:tcPr>
            <w:tcW w:w="1294" w:type="dxa"/>
            <w:vAlign w:val="top"/>
          </w:tcPr>
          <w:p w14:paraId="4FDC9077">
            <w:pPr>
              <w:pStyle w:val="21"/>
              <w:spacing w:line="297" w:lineRule="auto"/>
              <w:rPr>
                <w:rFonts w:hint="eastAsia" w:ascii="宋体" w:hAnsi="宋体" w:eastAsia="宋体" w:cs="宋体"/>
                <w:color w:val="auto"/>
                <w:highlight w:val="none"/>
              </w:rPr>
            </w:pPr>
          </w:p>
          <w:p w14:paraId="557EC15C">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5B90DE">
            <w:pPr>
              <w:pStyle w:val="21"/>
              <w:spacing w:line="297" w:lineRule="auto"/>
              <w:rPr>
                <w:rFonts w:hint="eastAsia" w:ascii="宋体" w:hAnsi="宋体" w:eastAsia="宋体" w:cs="宋体"/>
                <w:color w:val="auto"/>
                <w:highlight w:val="none"/>
              </w:rPr>
            </w:pPr>
          </w:p>
          <w:p w14:paraId="4F686E90">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662BBBA6">
            <w:pPr>
              <w:pStyle w:val="21"/>
              <w:rPr>
                <w:rFonts w:hint="eastAsia" w:ascii="宋体" w:hAnsi="宋体" w:eastAsia="宋体" w:cs="宋体"/>
                <w:color w:val="auto"/>
                <w:highlight w:val="none"/>
              </w:rPr>
            </w:pPr>
          </w:p>
        </w:tc>
      </w:tr>
      <w:tr w14:paraId="13DCE6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48FBF8E">
            <w:pPr>
              <w:spacing w:before="131" w:line="221" w:lineRule="auto"/>
              <w:ind w:left="118"/>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六、暗挖工程</w:t>
            </w:r>
          </w:p>
        </w:tc>
        <w:tc>
          <w:tcPr>
            <w:tcW w:w="1294" w:type="dxa"/>
            <w:vAlign w:val="top"/>
          </w:tcPr>
          <w:p w14:paraId="655538CD">
            <w:pPr>
              <w:spacing w:before="14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3EC7D9AB">
            <w:pPr>
              <w:spacing w:before="14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A7A96A4">
            <w:pPr>
              <w:pStyle w:val="21"/>
              <w:rPr>
                <w:rFonts w:hint="eastAsia" w:ascii="宋体" w:hAnsi="宋体" w:eastAsia="宋体" w:cs="宋体"/>
                <w:color w:val="auto"/>
                <w:highlight w:val="none"/>
              </w:rPr>
            </w:pPr>
          </w:p>
        </w:tc>
      </w:tr>
      <w:tr w14:paraId="3C44D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AE3583D">
            <w:pPr>
              <w:spacing w:before="131" w:line="327" w:lineRule="auto"/>
              <w:ind w:left="119" w:right="168" w:hanging="4"/>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采用矿山法、盾构法、顶管法施工的隧道、洞</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4"/>
                <w:sz w:val="24"/>
                <w:szCs w:val="24"/>
                <w:highlight w:val="none"/>
              </w:rPr>
              <w:t>室工程。</w:t>
            </w:r>
          </w:p>
        </w:tc>
        <w:tc>
          <w:tcPr>
            <w:tcW w:w="1294" w:type="dxa"/>
            <w:vAlign w:val="top"/>
          </w:tcPr>
          <w:p w14:paraId="0D94965A">
            <w:pPr>
              <w:pStyle w:val="21"/>
              <w:spacing w:line="298" w:lineRule="auto"/>
              <w:rPr>
                <w:rFonts w:hint="eastAsia" w:ascii="宋体" w:hAnsi="宋体" w:eastAsia="宋体" w:cs="宋体"/>
                <w:color w:val="auto"/>
                <w:highlight w:val="none"/>
              </w:rPr>
            </w:pPr>
          </w:p>
          <w:p w14:paraId="107BA7A6">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29BE5B49">
            <w:pPr>
              <w:pStyle w:val="21"/>
              <w:spacing w:line="298" w:lineRule="auto"/>
              <w:rPr>
                <w:rFonts w:hint="eastAsia" w:ascii="宋体" w:hAnsi="宋体" w:eastAsia="宋体" w:cs="宋体"/>
                <w:color w:val="auto"/>
                <w:highlight w:val="none"/>
              </w:rPr>
            </w:pPr>
          </w:p>
          <w:p w14:paraId="5C719A3E">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FC8E31C">
            <w:pPr>
              <w:pStyle w:val="21"/>
              <w:rPr>
                <w:rFonts w:hint="eastAsia" w:ascii="宋体" w:hAnsi="宋体" w:eastAsia="宋体" w:cs="宋体"/>
                <w:color w:val="auto"/>
                <w:highlight w:val="none"/>
              </w:rPr>
            </w:pPr>
          </w:p>
        </w:tc>
      </w:tr>
      <w:tr w14:paraId="532C0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01EE62D7">
            <w:pPr>
              <w:spacing w:before="130" w:line="222" w:lineRule="auto"/>
              <w:ind w:left="115"/>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七、其它</w:t>
            </w:r>
          </w:p>
        </w:tc>
        <w:tc>
          <w:tcPr>
            <w:tcW w:w="1294" w:type="dxa"/>
            <w:vAlign w:val="top"/>
          </w:tcPr>
          <w:p w14:paraId="0EBCA3B5">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6E4A9485">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71FFA8E9">
            <w:pPr>
              <w:pStyle w:val="21"/>
              <w:rPr>
                <w:rFonts w:hint="eastAsia" w:ascii="宋体" w:hAnsi="宋体" w:eastAsia="宋体" w:cs="宋体"/>
                <w:color w:val="auto"/>
                <w:highlight w:val="none"/>
              </w:rPr>
            </w:pPr>
          </w:p>
        </w:tc>
      </w:tr>
      <w:tr w14:paraId="2CEB38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320CB1">
            <w:pPr>
              <w:spacing w:before="130" w:line="327" w:lineRule="auto"/>
              <w:ind w:left="115" w:right="168" w:firstLine="12"/>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（一）施工高度</w:t>
            </w:r>
            <w:r>
              <w:rPr>
                <w:rFonts w:hint="eastAsia" w:ascii="宋体" w:hAnsi="宋体" w:eastAsia="宋体" w:cs="宋体"/>
                <w:color w:val="auto"/>
                <w:spacing w:val="-28"/>
                <w:sz w:val="24"/>
                <w:szCs w:val="24"/>
                <w:highlight w:val="none"/>
              </w:rPr>
              <w:t xml:space="preserve"> </w:t>
            </w:r>
            <w:r>
              <w:rPr>
                <w:rFonts w:hint="eastAsia" w:ascii="宋体" w:hAnsi="宋体" w:eastAsia="宋体" w:cs="宋体"/>
                <w:color w:val="auto"/>
                <w:spacing w:val="-3"/>
                <w:sz w:val="24"/>
                <w:szCs w:val="24"/>
                <w:highlight w:val="none"/>
              </w:rPr>
              <w:t>50m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3"/>
                <w:sz w:val="24"/>
                <w:szCs w:val="24"/>
                <w:highlight w:val="none"/>
              </w:rPr>
              <w:t>及以上的建筑幕墙安装工</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5"/>
                <w:sz w:val="24"/>
                <w:szCs w:val="24"/>
                <w:highlight w:val="none"/>
              </w:rPr>
              <w:t>程。</w:t>
            </w:r>
          </w:p>
        </w:tc>
        <w:tc>
          <w:tcPr>
            <w:tcW w:w="1294" w:type="dxa"/>
            <w:vAlign w:val="top"/>
          </w:tcPr>
          <w:p w14:paraId="6875389F">
            <w:pPr>
              <w:pStyle w:val="21"/>
              <w:spacing w:line="297" w:lineRule="auto"/>
              <w:rPr>
                <w:rFonts w:hint="eastAsia" w:ascii="宋体" w:hAnsi="宋体" w:eastAsia="宋体" w:cs="宋体"/>
                <w:color w:val="auto"/>
                <w:highlight w:val="none"/>
              </w:rPr>
            </w:pPr>
          </w:p>
          <w:p w14:paraId="6D662840">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7AE4538">
            <w:pPr>
              <w:pStyle w:val="21"/>
              <w:spacing w:line="297" w:lineRule="auto"/>
              <w:rPr>
                <w:rFonts w:hint="eastAsia" w:ascii="宋体" w:hAnsi="宋体" w:eastAsia="宋体" w:cs="宋体"/>
                <w:color w:val="auto"/>
                <w:highlight w:val="none"/>
              </w:rPr>
            </w:pPr>
          </w:p>
          <w:p w14:paraId="42F57BE7">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D9A8755">
            <w:pPr>
              <w:pStyle w:val="21"/>
              <w:rPr>
                <w:rFonts w:hint="eastAsia" w:ascii="宋体" w:hAnsi="宋体" w:eastAsia="宋体" w:cs="宋体"/>
                <w:color w:val="auto"/>
                <w:highlight w:val="none"/>
              </w:rPr>
            </w:pPr>
          </w:p>
        </w:tc>
      </w:tr>
      <w:tr w14:paraId="6CB92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D73F987">
            <w:pPr>
              <w:spacing w:before="130" w:line="221"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（二）跨度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36m</w:t>
            </w:r>
            <w:r>
              <w:rPr>
                <w:rFonts w:hint="eastAsia" w:ascii="宋体" w:hAnsi="宋体" w:eastAsia="宋体" w:cs="宋体"/>
                <w:color w:val="auto"/>
                <w:spacing w:val="-51"/>
                <w:sz w:val="24"/>
                <w:szCs w:val="24"/>
                <w:highlight w:val="none"/>
              </w:rPr>
              <w:t xml:space="preserve"> </w:t>
            </w:r>
            <w:r>
              <w:rPr>
                <w:rFonts w:hint="eastAsia" w:ascii="宋体" w:hAnsi="宋体" w:eastAsia="宋体" w:cs="宋体"/>
                <w:color w:val="auto"/>
                <w:spacing w:val="-2"/>
                <w:sz w:val="24"/>
                <w:szCs w:val="24"/>
                <w:highlight w:val="none"/>
              </w:rPr>
              <w:t>及以上的钢结构安装工程，或</w:t>
            </w:r>
          </w:p>
        </w:tc>
        <w:tc>
          <w:tcPr>
            <w:tcW w:w="1294" w:type="dxa"/>
            <w:vAlign w:val="top"/>
          </w:tcPr>
          <w:p w14:paraId="58CC489C">
            <w:pPr>
              <w:spacing w:before="130"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B6EC6D0">
            <w:pPr>
              <w:spacing w:before="130"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40D5DCE7">
            <w:pPr>
              <w:pStyle w:val="21"/>
              <w:rPr>
                <w:rFonts w:hint="eastAsia" w:ascii="宋体" w:hAnsi="宋体" w:eastAsia="宋体" w:cs="宋体"/>
                <w:color w:val="auto"/>
                <w:highlight w:val="none"/>
              </w:rPr>
            </w:pPr>
          </w:p>
        </w:tc>
      </w:tr>
      <w:tr w14:paraId="48386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1A2E1211">
            <w:pPr>
              <w:spacing w:before="131" w:line="221" w:lineRule="auto"/>
              <w:ind w:left="116"/>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跨度</w:t>
            </w:r>
            <w:r>
              <w:rPr>
                <w:rFonts w:hint="eastAsia" w:ascii="宋体" w:hAnsi="宋体" w:eastAsia="宋体" w:cs="宋体"/>
                <w:color w:val="auto"/>
                <w:spacing w:val="-37"/>
                <w:sz w:val="24"/>
                <w:szCs w:val="24"/>
                <w:highlight w:val="none"/>
              </w:rPr>
              <w:t xml:space="preserve"> </w:t>
            </w:r>
            <w:r>
              <w:rPr>
                <w:rFonts w:hint="eastAsia" w:ascii="宋体" w:hAnsi="宋体" w:eastAsia="宋体" w:cs="宋体"/>
                <w:color w:val="auto"/>
                <w:spacing w:val="-2"/>
                <w:sz w:val="24"/>
                <w:szCs w:val="24"/>
                <w:highlight w:val="none"/>
              </w:rPr>
              <w:t>60m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2"/>
                <w:sz w:val="24"/>
                <w:szCs w:val="24"/>
                <w:highlight w:val="none"/>
              </w:rPr>
              <w:t>及以上的网架和索膜结构安装工程。</w:t>
            </w:r>
          </w:p>
        </w:tc>
        <w:tc>
          <w:tcPr>
            <w:tcW w:w="1294" w:type="dxa"/>
            <w:vAlign w:val="top"/>
          </w:tcPr>
          <w:p w14:paraId="605F2EF6">
            <w:pPr>
              <w:pStyle w:val="21"/>
              <w:rPr>
                <w:rFonts w:hint="eastAsia" w:ascii="宋体" w:hAnsi="宋体" w:eastAsia="宋体" w:cs="宋体"/>
                <w:color w:val="auto"/>
                <w:highlight w:val="none"/>
              </w:rPr>
            </w:pPr>
          </w:p>
        </w:tc>
        <w:tc>
          <w:tcPr>
            <w:tcW w:w="1294" w:type="dxa"/>
            <w:vAlign w:val="top"/>
          </w:tcPr>
          <w:p w14:paraId="5D1675CC">
            <w:pPr>
              <w:pStyle w:val="21"/>
              <w:rPr>
                <w:rFonts w:hint="eastAsia" w:ascii="宋体" w:hAnsi="宋体" w:eastAsia="宋体" w:cs="宋体"/>
                <w:color w:val="auto"/>
                <w:highlight w:val="none"/>
              </w:rPr>
            </w:pPr>
          </w:p>
        </w:tc>
        <w:tc>
          <w:tcPr>
            <w:tcW w:w="2428" w:type="dxa"/>
            <w:vAlign w:val="top"/>
          </w:tcPr>
          <w:p w14:paraId="0D243CC5">
            <w:pPr>
              <w:pStyle w:val="21"/>
              <w:rPr>
                <w:rFonts w:hint="eastAsia" w:ascii="宋体" w:hAnsi="宋体" w:eastAsia="宋体" w:cs="宋体"/>
                <w:color w:val="auto"/>
                <w:highlight w:val="none"/>
              </w:rPr>
            </w:pPr>
          </w:p>
        </w:tc>
      </w:tr>
      <w:tr w14:paraId="76966F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3A897C1">
            <w:pPr>
              <w:spacing w:before="127" w:line="220" w:lineRule="auto"/>
              <w:jc w:val="right"/>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（三）开挖深度</w:t>
            </w:r>
            <w:r>
              <w:rPr>
                <w:rFonts w:hint="eastAsia" w:ascii="宋体" w:hAnsi="宋体" w:eastAsia="宋体" w:cs="宋体"/>
                <w:color w:val="auto"/>
                <w:spacing w:val="-33"/>
                <w:sz w:val="24"/>
                <w:szCs w:val="24"/>
                <w:highlight w:val="none"/>
              </w:rPr>
              <w:t xml:space="preserve"> </w:t>
            </w:r>
            <w:r>
              <w:rPr>
                <w:rFonts w:hint="eastAsia" w:ascii="宋体" w:hAnsi="宋体" w:eastAsia="宋体" w:cs="宋体"/>
                <w:color w:val="auto"/>
                <w:spacing w:val="-7"/>
                <w:sz w:val="24"/>
                <w:szCs w:val="24"/>
                <w:highlight w:val="none"/>
              </w:rPr>
              <w:t>16m</w:t>
            </w:r>
            <w:r>
              <w:rPr>
                <w:rFonts w:hint="eastAsia" w:ascii="宋体" w:hAnsi="宋体" w:eastAsia="宋体" w:cs="宋体"/>
                <w:color w:val="auto"/>
                <w:spacing w:val="-52"/>
                <w:sz w:val="24"/>
                <w:szCs w:val="24"/>
                <w:highlight w:val="none"/>
              </w:rPr>
              <w:t xml:space="preserve"> </w:t>
            </w:r>
            <w:r>
              <w:rPr>
                <w:rFonts w:hint="eastAsia" w:ascii="宋体" w:hAnsi="宋体" w:eastAsia="宋体" w:cs="宋体"/>
                <w:color w:val="auto"/>
                <w:spacing w:val="-7"/>
                <w:sz w:val="24"/>
                <w:szCs w:val="24"/>
                <w:highlight w:val="none"/>
              </w:rPr>
              <w:t>及以上的人工挖孔桩工程。</w:t>
            </w:r>
          </w:p>
        </w:tc>
        <w:tc>
          <w:tcPr>
            <w:tcW w:w="1294" w:type="dxa"/>
            <w:vAlign w:val="top"/>
          </w:tcPr>
          <w:p w14:paraId="1DFBD658">
            <w:pPr>
              <w:spacing w:before="127"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A4710CA">
            <w:pPr>
              <w:spacing w:before="127"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28555BA1">
            <w:pPr>
              <w:pStyle w:val="21"/>
              <w:rPr>
                <w:rFonts w:hint="eastAsia" w:ascii="宋体" w:hAnsi="宋体" w:eastAsia="宋体" w:cs="宋体"/>
                <w:color w:val="auto"/>
                <w:highlight w:val="none"/>
              </w:rPr>
            </w:pPr>
          </w:p>
        </w:tc>
      </w:tr>
      <w:tr w14:paraId="2B8E78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2F49CBC9">
            <w:pPr>
              <w:spacing w:before="129" w:line="220" w:lineRule="auto"/>
              <w:ind w:left="127"/>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（四）水下作业工程。</w:t>
            </w:r>
          </w:p>
        </w:tc>
        <w:tc>
          <w:tcPr>
            <w:tcW w:w="1294" w:type="dxa"/>
            <w:vAlign w:val="top"/>
          </w:tcPr>
          <w:p w14:paraId="23AC72B5">
            <w:pPr>
              <w:spacing w:before="163"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19BDB79A">
            <w:pPr>
              <w:spacing w:before="163"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525C0773">
            <w:pPr>
              <w:pStyle w:val="21"/>
              <w:rPr>
                <w:rFonts w:hint="eastAsia" w:ascii="宋体" w:hAnsi="宋体" w:eastAsia="宋体" w:cs="宋体"/>
                <w:color w:val="auto"/>
                <w:highlight w:val="none"/>
              </w:rPr>
            </w:pPr>
          </w:p>
        </w:tc>
      </w:tr>
      <w:tr w14:paraId="71E566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41065D67">
            <w:pPr>
              <w:spacing w:before="130" w:line="327" w:lineRule="auto"/>
              <w:ind w:left="115" w:right="25" w:firstLine="12"/>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（五）重量</w:t>
            </w:r>
            <w:r>
              <w:rPr>
                <w:rFonts w:hint="eastAsia" w:ascii="宋体" w:hAnsi="宋体" w:eastAsia="宋体" w:cs="宋体"/>
                <w:color w:val="auto"/>
                <w:spacing w:val="-48"/>
                <w:sz w:val="24"/>
                <w:szCs w:val="24"/>
                <w:highlight w:val="none"/>
              </w:rPr>
              <w:t xml:space="preserve"> </w:t>
            </w:r>
            <w:r>
              <w:rPr>
                <w:rFonts w:hint="eastAsia" w:ascii="宋体" w:hAnsi="宋体" w:eastAsia="宋体" w:cs="宋体"/>
                <w:color w:val="auto"/>
                <w:spacing w:val="-8"/>
                <w:sz w:val="24"/>
                <w:szCs w:val="24"/>
                <w:highlight w:val="none"/>
              </w:rPr>
              <w:t>1000kN及以上的大型结构整体顶升、</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1"/>
                <w:sz w:val="24"/>
                <w:szCs w:val="24"/>
                <w:highlight w:val="none"/>
              </w:rPr>
              <w:t>平移、转体等施工工艺。</w:t>
            </w:r>
          </w:p>
        </w:tc>
        <w:tc>
          <w:tcPr>
            <w:tcW w:w="1294" w:type="dxa"/>
            <w:vAlign w:val="top"/>
          </w:tcPr>
          <w:p w14:paraId="2C9AAB19">
            <w:pPr>
              <w:pStyle w:val="21"/>
              <w:spacing w:line="296" w:lineRule="auto"/>
              <w:rPr>
                <w:rFonts w:hint="eastAsia" w:ascii="宋体" w:hAnsi="宋体" w:eastAsia="宋体" w:cs="宋体"/>
                <w:color w:val="auto"/>
                <w:highlight w:val="none"/>
              </w:rPr>
            </w:pPr>
          </w:p>
          <w:p w14:paraId="4876A57F">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576200BC">
            <w:pPr>
              <w:pStyle w:val="21"/>
              <w:spacing w:line="296" w:lineRule="auto"/>
              <w:rPr>
                <w:rFonts w:hint="eastAsia" w:ascii="宋体" w:hAnsi="宋体" w:eastAsia="宋体" w:cs="宋体"/>
                <w:color w:val="auto"/>
                <w:highlight w:val="none"/>
              </w:rPr>
            </w:pPr>
          </w:p>
          <w:p w14:paraId="7AB7C83F">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E4D7469">
            <w:pPr>
              <w:pStyle w:val="21"/>
              <w:rPr>
                <w:rFonts w:hint="eastAsia" w:ascii="宋体" w:hAnsi="宋体" w:eastAsia="宋体" w:cs="宋体"/>
                <w:color w:val="auto"/>
                <w:highlight w:val="none"/>
              </w:rPr>
            </w:pPr>
          </w:p>
        </w:tc>
      </w:tr>
      <w:tr w14:paraId="6ACD16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4864" w:type="dxa"/>
            <w:gridSpan w:val="2"/>
            <w:vAlign w:val="top"/>
          </w:tcPr>
          <w:p w14:paraId="62AABE9E">
            <w:pPr>
              <w:spacing w:before="129" w:line="346" w:lineRule="auto"/>
              <w:ind w:left="117" w:right="168" w:firstLine="10"/>
              <w:jc w:val="both"/>
              <w:rPr>
                <w:rFonts w:hint="eastAsia"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（六）采用新技术、新工艺、新材料、新设备</w:t>
            </w:r>
            <w:r>
              <w:rPr>
                <w:rFonts w:hint="eastAsia" w:ascii="宋体" w:hAnsi="宋体" w:eastAsia="宋体" w:cs="宋体"/>
                <w:color w:val="auto"/>
                <w:spacing w:val="18"/>
                <w:sz w:val="24"/>
                <w:szCs w:val="24"/>
                <w:highlight w:val="none"/>
              </w:rPr>
              <w:t xml:space="preserve"> </w:t>
            </w:r>
            <w:r>
              <w:rPr>
                <w:rFonts w:hint="eastAsia" w:ascii="宋体" w:hAnsi="宋体" w:eastAsia="宋体" w:cs="宋体"/>
                <w:color w:val="auto"/>
                <w:spacing w:val="-1"/>
                <w:sz w:val="24"/>
                <w:szCs w:val="24"/>
                <w:highlight w:val="none"/>
              </w:rPr>
              <w:t>可能影响工程施工安全，尚无国家、行业及地</w:t>
            </w:r>
            <w:r>
              <w:rPr>
                <w:rFonts w:hint="eastAsia" w:ascii="宋体" w:hAnsi="宋体" w:eastAsia="宋体" w:cs="宋体"/>
                <w:color w:val="auto"/>
                <w:spacing w:val="8"/>
                <w:sz w:val="24"/>
                <w:szCs w:val="24"/>
                <w:highlight w:val="none"/>
              </w:rPr>
              <w:t xml:space="preserve"> </w:t>
            </w:r>
            <w:r>
              <w:rPr>
                <w:rFonts w:hint="eastAsia" w:ascii="宋体" w:hAnsi="宋体" w:eastAsia="宋体" w:cs="宋体"/>
                <w:color w:val="auto"/>
                <w:spacing w:val="-1"/>
                <w:sz w:val="24"/>
                <w:szCs w:val="24"/>
                <w:highlight w:val="none"/>
              </w:rPr>
              <w:t>方技术标准的分部分项工程。</w:t>
            </w:r>
          </w:p>
        </w:tc>
        <w:tc>
          <w:tcPr>
            <w:tcW w:w="1294" w:type="dxa"/>
            <w:vAlign w:val="top"/>
          </w:tcPr>
          <w:p w14:paraId="2B72A05D">
            <w:pPr>
              <w:pStyle w:val="21"/>
              <w:spacing w:line="272" w:lineRule="auto"/>
              <w:rPr>
                <w:rFonts w:hint="eastAsia" w:ascii="宋体" w:hAnsi="宋体" w:eastAsia="宋体" w:cs="宋体"/>
                <w:color w:val="auto"/>
                <w:highlight w:val="none"/>
              </w:rPr>
            </w:pPr>
          </w:p>
          <w:p w14:paraId="5116E607">
            <w:pPr>
              <w:pStyle w:val="21"/>
              <w:spacing w:line="272" w:lineRule="auto"/>
              <w:rPr>
                <w:rFonts w:hint="eastAsia" w:ascii="宋体" w:hAnsi="宋体" w:eastAsia="宋体" w:cs="宋体"/>
                <w:color w:val="auto"/>
                <w:highlight w:val="none"/>
              </w:rPr>
            </w:pPr>
          </w:p>
          <w:p w14:paraId="1D92D5C4">
            <w:pPr>
              <w:spacing w:before="78" w:line="223" w:lineRule="auto"/>
              <w:ind w:left="365"/>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1294" w:type="dxa"/>
            <w:vAlign w:val="top"/>
          </w:tcPr>
          <w:p w14:paraId="013E1CBC">
            <w:pPr>
              <w:pStyle w:val="21"/>
              <w:spacing w:line="272" w:lineRule="auto"/>
              <w:rPr>
                <w:rFonts w:hint="eastAsia" w:ascii="宋体" w:hAnsi="宋体" w:eastAsia="宋体" w:cs="宋体"/>
                <w:color w:val="auto"/>
                <w:highlight w:val="none"/>
              </w:rPr>
            </w:pPr>
          </w:p>
          <w:p w14:paraId="6170A90B">
            <w:pPr>
              <w:pStyle w:val="21"/>
              <w:spacing w:line="272" w:lineRule="auto"/>
              <w:rPr>
                <w:rFonts w:hint="eastAsia" w:ascii="宋体" w:hAnsi="宋体" w:eastAsia="宋体" w:cs="宋体"/>
                <w:color w:val="auto"/>
                <w:highlight w:val="none"/>
              </w:rPr>
            </w:pPr>
          </w:p>
          <w:p w14:paraId="154F4BC5">
            <w:pPr>
              <w:spacing w:before="78" w:line="223" w:lineRule="auto"/>
              <w:ind w:left="367"/>
              <w:rPr>
                <w:rFonts w:hint="eastAsia" w:ascii="宋体" w:hAnsi="宋体" w:eastAsia="宋体" w:cs="宋体"/>
                <w:color w:val="auto"/>
                <w:sz w:val="24"/>
                <w:szCs w:val="24"/>
                <w:highlight w:val="none"/>
              </w:rPr>
            </w:pPr>
            <w:r>
              <w:rPr>
                <w:rFonts w:hint="eastAsia" w:ascii="宋体" w:hAnsi="宋体" w:eastAsia="宋体" w:cs="宋体"/>
                <w:color w:val="auto"/>
                <w:spacing w:val="-19"/>
                <w:w w:val="94"/>
                <w:sz w:val="24"/>
                <w:szCs w:val="24"/>
                <w:highlight w:val="none"/>
              </w:rPr>
              <w:t>(</w:t>
            </w:r>
            <w:r>
              <w:rPr>
                <w:rFonts w:hint="eastAsia" w:ascii="宋体" w:hAnsi="宋体" w:eastAsia="宋体" w:cs="宋体"/>
                <w:color w:val="auto"/>
                <w:spacing w:val="2"/>
                <w:sz w:val="24"/>
                <w:szCs w:val="24"/>
                <w:highlight w:val="none"/>
              </w:rPr>
              <w:t xml:space="preserve">    </w:t>
            </w:r>
            <w:r>
              <w:rPr>
                <w:rFonts w:hint="eastAsia" w:ascii="宋体" w:hAnsi="宋体" w:eastAsia="宋体" w:cs="宋体"/>
                <w:color w:val="auto"/>
                <w:spacing w:val="-19"/>
                <w:w w:val="94"/>
                <w:sz w:val="24"/>
                <w:szCs w:val="24"/>
                <w:highlight w:val="none"/>
              </w:rPr>
              <w:t>)</w:t>
            </w:r>
          </w:p>
        </w:tc>
        <w:tc>
          <w:tcPr>
            <w:tcW w:w="2428" w:type="dxa"/>
            <w:vAlign w:val="top"/>
          </w:tcPr>
          <w:p w14:paraId="1DE1D241">
            <w:pPr>
              <w:pStyle w:val="21"/>
              <w:rPr>
                <w:rFonts w:hint="eastAsia" w:ascii="宋体" w:hAnsi="宋体" w:eastAsia="宋体" w:cs="宋体"/>
                <w:color w:val="auto"/>
                <w:highlight w:val="none"/>
              </w:rPr>
            </w:pPr>
          </w:p>
        </w:tc>
      </w:tr>
    </w:tbl>
    <w:p w14:paraId="6E4A0502">
      <w:pPr>
        <w:pStyle w:val="5"/>
        <w:spacing w:line="288" w:lineRule="auto"/>
        <w:rPr>
          <w:rFonts w:hint="eastAsia" w:ascii="宋体" w:hAnsi="宋体" w:eastAsia="宋体" w:cs="宋体"/>
          <w:color w:val="auto"/>
          <w:highlight w:val="none"/>
        </w:rPr>
      </w:pPr>
    </w:p>
    <w:p w14:paraId="75FD8B74">
      <w:pPr>
        <w:pStyle w:val="5"/>
        <w:spacing w:line="288" w:lineRule="auto"/>
        <w:rPr>
          <w:rFonts w:hint="eastAsia" w:ascii="宋体" w:hAnsi="宋体" w:eastAsia="宋体" w:cs="宋体"/>
          <w:color w:val="auto"/>
          <w:highlight w:val="none"/>
        </w:rPr>
      </w:pPr>
    </w:p>
    <w:p w14:paraId="3445358B">
      <w:pPr>
        <w:spacing w:before="21" w:line="376" w:lineRule="exact"/>
        <w:ind w:firstLine="520" w:firstLineChars="200"/>
        <w:rPr>
          <w:rFonts w:hint="eastAsia" w:ascii="宋体" w:hAnsi="宋体" w:eastAsia="宋体" w:cs="宋体"/>
          <w:color w:val="auto"/>
          <w:spacing w:val="9"/>
          <w:sz w:val="24"/>
          <w:szCs w:val="24"/>
          <w:highlight w:val="none"/>
          <w:lang w:eastAsia="zh-CN"/>
        </w:rPr>
      </w:pPr>
      <w:r>
        <w:rPr>
          <w:rFonts w:hint="eastAsia" w:ascii="宋体" w:hAnsi="宋体" w:eastAsia="宋体" w:cs="宋体"/>
          <w:color w:val="auto"/>
          <w:spacing w:val="10"/>
          <w:sz w:val="24"/>
          <w:szCs w:val="24"/>
          <w:highlight w:val="none"/>
        </w:rPr>
        <w:t>备注：1.根据《危险性较大的分部分项工程安全管理</w:t>
      </w:r>
      <w:r>
        <w:rPr>
          <w:rFonts w:hint="eastAsia" w:ascii="宋体" w:hAnsi="宋体" w:eastAsia="宋体" w:cs="宋体"/>
          <w:color w:val="auto"/>
          <w:spacing w:val="9"/>
          <w:sz w:val="24"/>
          <w:szCs w:val="24"/>
          <w:highlight w:val="none"/>
        </w:rPr>
        <w:t>规定》，该《危险性较大的分部分项工程清单及超</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9"/>
          <w:sz w:val="24"/>
          <w:szCs w:val="24"/>
          <w:highlight w:val="none"/>
        </w:rPr>
        <w:t>过一定规模的危险性较大的分部分项工程清单》</w:t>
      </w:r>
      <w:r>
        <w:rPr>
          <w:rFonts w:hint="eastAsia" w:ascii="宋体" w:hAnsi="宋体" w:eastAsia="宋体" w:cs="宋体"/>
          <w:color w:val="auto"/>
          <w:spacing w:val="9"/>
          <w:sz w:val="24"/>
          <w:szCs w:val="24"/>
          <w:highlight w:val="none"/>
          <w:lang w:eastAsia="zh-CN"/>
        </w:rPr>
        <w:t>应由建设单位组织勘察、设计等单位在招标文件中“勾选（对应项打“√”标识”危险性较大的分部分项工程。</w:t>
      </w:r>
    </w:p>
    <w:p w14:paraId="21F57ACA">
      <w:pPr>
        <w:spacing w:before="21" w:line="376" w:lineRule="exact"/>
        <w:ind w:firstLine="51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2.该《危险性较大的分部分项工程清单及超过一定规模的危险性较</w:t>
      </w:r>
      <w:r>
        <w:rPr>
          <w:rFonts w:hint="eastAsia" w:ascii="宋体" w:hAnsi="宋体" w:eastAsia="宋体" w:cs="宋体"/>
          <w:color w:val="auto"/>
          <w:spacing w:val="7"/>
          <w:sz w:val="24"/>
          <w:szCs w:val="24"/>
          <w:highlight w:val="none"/>
        </w:rPr>
        <w:t>大的分部分项工程清单》在办理</w:t>
      </w:r>
      <w:r>
        <w:rPr>
          <w:rFonts w:hint="eastAsia" w:ascii="宋体" w:hAnsi="宋体" w:eastAsia="宋体" w:cs="宋体"/>
          <w:color w:val="auto"/>
          <w:spacing w:val="10"/>
          <w:sz w:val="24"/>
          <w:szCs w:val="24"/>
          <w:highlight w:val="none"/>
        </w:rPr>
        <w:t>建设项目施工许可时必须提供，且各地建设行政主管部门可按照《广东省建设工</w:t>
      </w:r>
      <w:r>
        <w:rPr>
          <w:rFonts w:hint="eastAsia" w:ascii="宋体" w:hAnsi="宋体" w:eastAsia="宋体" w:cs="宋体"/>
          <w:color w:val="auto"/>
          <w:spacing w:val="9"/>
          <w:sz w:val="24"/>
          <w:szCs w:val="24"/>
          <w:highlight w:val="none"/>
        </w:rPr>
        <w:t>程项目招标中标后监督</w:t>
      </w: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8"/>
          <w:sz w:val="24"/>
          <w:szCs w:val="24"/>
          <w:highlight w:val="none"/>
        </w:rPr>
        <w:t>检查办法》相关规定开展检查。</w:t>
      </w:r>
    </w:p>
    <w:p w14:paraId="7A1DC17D">
      <w:pPr>
        <w:spacing w:before="28" w:line="228" w:lineRule="auto"/>
        <w:ind w:left="553" w:leftChars="244" w:hanging="41" w:hangingChars="16"/>
        <w:rPr>
          <w:rFonts w:hint="eastAsia" w:ascii="宋体" w:hAnsi="宋体" w:eastAsia="宋体" w:cs="宋体"/>
          <w:color w:val="auto"/>
          <w:spacing w:val="8"/>
          <w:sz w:val="24"/>
          <w:szCs w:val="24"/>
          <w:highlight w:val="none"/>
          <w:lang w:eastAsia="zh-CN"/>
        </w:rPr>
      </w:pPr>
      <w:r>
        <w:rPr>
          <w:rFonts w:hint="eastAsia" w:ascii="宋体" w:hAnsi="宋体" w:eastAsia="宋体" w:cs="宋体"/>
          <w:color w:val="auto"/>
          <w:spacing w:val="9"/>
          <w:sz w:val="24"/>
          <w:szCs w:val="24"/>
          <w:highlight w:val="none"/>
        </w:rPr>
        <w:t>3.如果需要（如需要通过计算编制专项方案，或者需要专家论证</w:t>
      </w:r>
      <w:r>
        <w:rPr>
          <w:rFonts w:hint="eastAsia" w:ascii="宋体" w:hAnsi="宋体" w:eastAsia="宋体" w:cs="宋体"/>
          <w:color w:val="auto"/>
          <w:spacing w:val="15"/>
          <w:sz w:val="24"/>
          <w:szCs w:val="24"/>
          <w:highlight w:val="none"/>
        </w:rPr>
        <w:t>），</w:t>
      </w:r>
      <w:r>
        <w:rPr>
          <w:rFonts w:hint="eastAsia" w:ascii="宋体" w:hAnsi="宋体" w:eastAsia="宋体" w:cs="宋体"/>
          <w:color w:val="auto"/>
          <w:spacing w:val="9"/>
          <w:sz w:val="24"/>
          <w:szCs w:val="24"/>
          <w:highlight w:val="none"/>
        </w:rPr>
        <w:t>可中</w:t>
      </w:r>
      <w:r>
        <w:rPr>
          <w:rFonts w:hint="eastAsia" w:ascii="宋体" w:hAnsi="宋体" w:eastAsia="宋体" w:cs="宋体"/>
          <w:color w:val="auto"/>
          <w:spacing w:val="8"/>
          <w:sz w:val="24"/>
          <w:szCs w:val="24"/>
          <w:highlight w:val="none"/>
        </w:rPr>
        <w:t>标后提供</w:t>
      </w:r>
      <w:r>
        <w:rPr>
          <w:rFonts w:hint="eastAsia" w:ascii="宋体" w:hAnsi="宋体" w:eastAsia="宋体" w:cs="宋体"/>
          <w:color w:val="auto"/>
          <w:spacing w:val="8"/>
          <w:sz w:val="24"/>
          <w:szCs w:val="24"/>
          <w:highlight w:val="none"/>
          <w:lang w:eastAsia="zh-CN"/>
        </w:rPr>
        <w:t>详细版。</w:t>
      </w:r>
    </w:p>
    <w:p w14:paraId="07D02C66">
      <w:pPr>
        <w:rPr>
          <w:color w:val="auto"/>
          <w:highlight w:val="none"/>
        </w:rPr>
      </w:pPr>
    </w:p>
    <w:p w14:paraId="086DFF7E">
      <w:pPr>
        <w:pStyle w:val="13"/>
        <w:rPr>
          <w:rFonts w:hint="eastAsia" w:ascii="宋体" w:hAnsi="宋体" w:eastAsia="宋体" w:cs="宋体"/>
          <w:b/>
          <w:bCs/>
          <w:color w:val="auto"/>
          <w:spacing w:val="-4"/>
          <w:sz w:val="24"/>
          <w:szCs w:val="24"/>
          <w:highlight w:val="none"/>
        </w:rPr>
      </w:pPr>
    </w:p>
    <w:p w14:paraId="4D9F0099">
      <w:pPr>
        <w:pStyle w:val="13"/>
        <w:rPr>
          <w:rFonts w:hint="eastAsia" w:ascii="宋体" w:hAnsi="宋体" w:eastAsia="宋体" w:cs="宋体"/>
          <w:b/>
          <w:bCs/>
          <w:color w:val="auto"/>
          <w:spacing w:val="-4"/>
          <w:sz w:val="24"/>
          <w:szCs w:val="24"/>
          <w:highlight w:val="none"/>
        </w:rPr>
      </w:pPr>
    </w:p>
    <w:p w14:paraId="1872DDAC">
      <w:pPr>
        <w:pStyle w:val="13"/>
        <w:rPr>
          <w:rFonts w:hint="eastAsia" w:ascii="宋体" w:hAnsi="宋体" w:eastAsia="宋体" w:cs="宋体"/>
          <w:b/>
          <w:bCs/>
          <w:color w:val="auto"/>
          <w:spacing w:val="-4"/>
          <w:sz w:val="24"/>
          <w:szCs w:val="24"/>
          <w:highlight w:val="none"/>
        </w:rPr>
      </w:pPr>
    </w:p>
    <w:p w14:paraId="102A38AF">
      <w:pPr>
        <w:pStyle w:val="13"/>
        <w:rPr>
          <w:rFonts w:hint="eastAsia" w:ascii="宋体" w:hAnsi="宋体" w:eastAsia="宋体" w:cs="宋体"/>
          <w:b/>
          <w:bCs/>
          <w:color w:val="auto"/>
          <w:spacing w:val="-4"/>
          <w:sz w:val="24"/>
          <w:szCs w:val="24"/>
          <w:highlight w:val="none"/>
        </w:rPr>
      </w:pPr>
    </w:p>
    <w:p w14:paraId="2E1BA95E">
      <w:pPr>
        <w:pStyle w:val="13"/>
        <w:rPr>
          <w:rFonts w:hint="eastAsia" w:ascii="宋体" w:hAnsi="宋体" w:eastAsia="宋体" w:cs="宋体"/>
          <w:b/>
          <w:bCs/>
          <w:color w:val="auto"/>
          <w:spacing w:val="-4"/>
          <w:sz w:val="24"/>
          <w:szCs w:val="24"/>
          <w:highlight w:val="none"/>
        </w:rPr>
      </w:pPr>
    </w:p>
    <w:p w14:paraId="738EC21D">
      <w:pPr>
        <w:pStyle w:val="13"/>
        <w:ind w:left="0" w:leftChars="0" w:firstLine="0" w:firstLineChars="0"/>
        <w:rPr>
          <w:rFonts w:hint="eastAsia" w:ascii="宋体" w:hAnsi="宋体" w:eastAsia="宋体" w:cs="宋体"/>
          <w:b/>
          <w:bCs/>
          <w:color w:val="auto"/>
          <w:spacing w:val="-4"/>
          <w:sz w:val="24"/>
          <w:szCs w:val="24"/>
          <w:highlight w:val="none"/>
        </w:rPr>
      </w:pPr>
    </w:p>
    <w:p w14:paraId="5A49A582">
      <w:pPr>
        <w:spacing w:before="78" w:line="220" w:lineRule="auto"/>
        <w:jc w:val="left"/>
        <w:outlineLvl w:val="9"/>
        <w:rPr>
          <w:rFonts w:hint="eastAsia" w:ascii="宋体" w:hAnsi="宋体" w:eastAsia="宋体" w:cs="宋体"/>
          <w:b/>
          <w:bCs/>
          <w:color w:val="auto"/>
          <w:spacing w:val="-4"/>
          <w:sz w:val="24"/>
          <w:szCs w:val="24"/>
          <w:highlight w:val="none"/>
        </w:rPr>
      </w:pPr>
    </w:p>
    <w:p w14:paraId="6BEB6D14">
      <w:pPr>
        <w:rPr>
          <w:rFonts w:hint="eastAsia" w:ascii="宋体" w:hAnsi="宋体" w:eastAsia="宋体" w:cs="宋体"/>
          <w:b/>
          <w:bCs/>
          <w:color w:val="auto"/>
          <w:spacing w:val="-4"/>
          <w:sz w:val="24"/>
          <w:szCs w:val="24"/>
          <w:highlight w:val="none"/>
        </w:rPr>
      </w:pPr>
      <w:r>
        <w:rPr>
          <w:rFonts w:hint="eastAsia" w:ascii="宋体" w:hAnsi="宋体" w:eastAsia="宋体" w:cs="宋体"/>
          <w:b/>
          <w:bCs/>
          <w:color w:val="auto"/>
          <w:spacing w:val="-4"/>
          <w:sz w:val="24"/>
          <w:szCs w:val="24"/>
          <w:highlight w:val="none"/>
        </w:rPr>
        <w:br w:type="page"/>
      </w:r>
    </w:p>
    <w:p w14:paraId="246AA64C">
      <w:pPr>
        <w:spacing w:before="78" w:line="220" w:lineRule="auto"/>
        <w:jc w:val="both"/>
        <w:outlineLvl w:val="2"/>
        <w:rPr>
          <w:rFonts w:hint="default" w:ascii="宋体" w:hAnsi="宋体" w:eastAsia="宋体" w:cs="宋体"/>
          <w:b/>
          <w:bCs/>
          <w:color w:val="auto"/>
          <w:spacing w:val="-4"/>
          <w:sz w:val="24"/>
          <w:szCs w:val="24"/>
          <w:highlight w:val="none"/>
          <w:lang w:val="en-US" w:eastAsia="zh-CN"/>
        </w:rPr>
      </w:pPr>
      <w:bookmarkStart w:id="271" w:name="_Toc738"/>
      <w:r>
        <w:rPr>
          <w:rFonts w:hint="eastAsia" w:ascii="宋体" w:hAnsi="宋体" w:eastAsia="宋体" w:cs="宋体"/>
          <w:b/>
          <w:bCs/>
          <w:color w:val="auto"/>
          <w:spacing w:val="-4"/>
          <w:sz w:val="24"/>
          <w:szCs w:val="24"/>
          <w:highlight w:val="none"/>
        </w:rPr>
        <w:t>格式十四</w:t>
      </w:r>
      <w:r>
        <w:rPr>
          <w:rFonts w:hint="eastAsia" w:ascii="宋体" w:hAnsi="宋体" w:eastAsia="宋体" w:cs="宋体"/>
          <w:b/>
          <w:bCs/>
          <w:color w:val="auto"/>
          <w:spacing w:val="-4"/>
          <w:sz w:val="24"/>
          <w:szCs w:val="24"/>
          <w:highlight w:val="none"/>
          <w:lang w:val="en-US" w:eastAsia="zh-CN"/>
        </w:rPr>
        <w:t xml:space="preserve">  </w:t>
      </w:r>
      <w:r>
        <w:rPr>
          <w:rFonts w:hint="eastAsia" w:ascii="宋体" w:hAnsi="宋体" w:eastAsia="宋体" w:cs="宋体"/>
          <w:b/>
          <w:bCs/>
          <w:color w:val="auto"/>
          <w:spacing w:val="4"/>
          <w:position w:val="3"/>
          <w:sz w:val="21"/>
          <w:szCs w:val="21"/>
          <w:highlight w:val="none"/>
        </w:rPr>
        <w:t>投标保证金信用承诺函</w:t>
      </w:r>
      <w:bookmarkEnd w:id="271"/>
    </w:p>
    <w:p w14:paraId="4FA8B08B">
      <w:pPr>
        <w:spacing w:before="140" w:line="604" w:lineRule="exact"/>
        <w:jc w:val="center"/>
        <w:rPr>
          <w:rFonts w:hint="eastAsia" w:ascii="宋体" w:hAnsi="宋体" w:eastAsia="宋体" w:cs="宋体"/>
          <w:color w:val="auto"/>
          <w:sz w:val="28"/>
          <w:szCs w:val="28"/>
          <w:highlight w:val="none"/>
        </w:rPr>
      </w:pPr>
      <w:r>
        <w:rPr>
          <w:rFonts w:hint="eastAsia" w:ascii="宋体" w:hAnsi="宋体" w:eastAsia="宋体" w:cs="宋体"/>
          <w:b/>
          <w:bCs/>
          <w:color w:val="auto"/>
          <w:spacing w:val="4"/>
          <w:position w:val="3"/>
          <w:sz w:val="28"/>
          <w:szCs w:val="28"/>
          <w:highlight w:val="none"/>
        </w:rPr>
        <w:t>投标保证金信用承诺函</w:t>
      </w:r>
    </w:p>
    <w:p w14:paraId="551571E0">
      <w:pPr>
        <w:pStyle w:val="5"/>
        <w:spacing w:line="408" w:lineRule="auto"/>
        <w:rPr>
          <w:rFonts w:hint="eastAsia" w:ascii="宋体" w:hAnsi="宋体" w:eastAsia="宋体" w:cs="宋体"/>
          <w:color w:val="auto"/>
          <w:highlight w:val="none"/>
        </w:rPr>
      </w:pPr>
    </w:p>
    <w:p w14:paraId="234CE695">
      <w:pPr>
        <w:spacing w:before="101" w:line="257" w:lineRule="auto"/>
        <w:ind w:left="3" w:firstLine="965"/>
        <w:jc w:val="both"/>
        <w:rPr>
          <w:rFonts w:hint="eastAsia" w:ascii="宋体" w:hAnsi="宋体" w:eastAsia="宋体" w:cs="宋体"/>
          <w:color w:val="auto"/>
          <w:sz w:val="24"/>
          <w:szCs w:val="24"/>
          <w:highlight w:val="none"/>
        </w:rPr>
      </w:pPr>
      <w:r>
        <w:rPr>
          <w:rFonts w:hint="eastAsia" w:ascii="宋体" w:hAnsi="宋体" w:eastAsia="宋体" w:cs="宋体"/>
          <w:b/>
          <w:bCs/>
          <w:color w:val="auto"/>
          <w:spacing w:val="7"/>
          <w:sz w:val="24"/>
          <w:szCs w:val="24"/>
          <w:highlight w:val="none"/>
        </w:rPr>
        <w:t>一、</w:t>
      </w:r>
      <w:r>
        <w:rPr>
          <w:rFonts w:hint="eastAsia" w:ascii="宋体" w:hAnsi="宋体" w:eastAsia="宋体" w:cs="宋体"/>
          <w:color w:val="auto"/>
          <w:spacing w:val="7"/>
          <w:sz w:val="24"/>
          <w:szCs w:val="24"/>
          <w:highlight w:val="none"/>
        </w:rPr>
        <w:t>我单位参加</w:t>
      </w:r>
      <w:r>
        <w:rPr>
          <w:rFonts w:hint="eastAsia" w:ascii="宋体" w:hAnsi="宋体" w:eastAsia="宋体" w:cs="宋体"/>
          <w:color w:val="auto"/>
          <w:spacing w:val="7"/>
          <w:sz w:val="24"/>
          <w:szCs w:val="24"/>
          <w:highlight w:val="none"/>
          <w:u w:val="single"/>
        </w:rPr>
        <w:t xml:space="preserve">  （工程项目名称）  </w:t>
      </w:r>
      <w:r>
        <w:rPr>
          <w:rFonts w:hint="eastAsia" w:ascii="宋体" w:hAnsi="宋体" w:eastAsia="宋体" w:cs="宋体"/>
          <w:color w:val="auto"/>
          <w:spacing w:val="-116"/>
          <w:sz w:val="24"/>
          <w:szCs w:val="24"/>
          <w:highlight w:val="none"/>
        </w:rPr>
        <w:t xml:space="preserve"> </w:t>
      </w:r>
      <w:r>
        <w:rPr>
          <w:rFonts w:hint="eastAsia" w:ascii="宋体" w:hAnsi="宋体" w:eastAsia="宋体" w:cs="宋体"/>
          <w:color w:val="auto"/>
          <w:spacing w:val="7"/>
          <w:sz w:val="24"/>
          <w:szCs w:val="24"/>
          <w:highlight w:val="none"/>
        </w:rPr>
        <w:t>的投标活动，</w:t>
      </w:r>
      <w:r>
        <w:rPr>
          <w:rFonts w:hint="eastAsia" w:ascii="宋体" w:hAnsi="宋体" w:eastAsia="宋体" w:cs="宋体"/>
          <w:color w:val="auto"/>
          <w:spacing w:val="6"/>
          <w:sz w:val="24"/>
          <w:szCs w:val="24"/>
          <w:highlight w:val="none"/>
        </w:rPr>
        <w:t>现承</w:t>
      </w:r>
      <w:r>
        <w:rPr>
          <w:rFonts w:hint="eastAsia" w:ascii="宋体" w:hAnsi="宋体" w:eastAsia="宋体" w:cs="宋体"/>
          <w:color w:val="auto"/>
          <w:spacing w:val="9"/>
          <w:sz w:val="24"/>
          <w:szCs w:val="24"/>
          <w:highlight w:val="none"/>
        </w:rPr>
        <w:t>诺：将严格按照法律法规规定参与交易活动，按照招标文件要求</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依法履行投标人义务；我方若出现违反《中华人民共和国招标投</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标法》、《中华人民共和国招标投标法实施条例》、《电子招标</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9"/>
          <w:sz w:val="24"/>
          <w:szCs w:val="24"/>
          <w:highlight w:val="none"/>
        </w:rPr>
        <w:t>投标办法》等有关法律法规的行为，将于投标有效期内全额付清</w:t>
      </w:r>
      <w:r>
        <w:rPr>
          <w:rFonts w:hint="eastAsia" w:ascii="宋体" w:hAnsi="宋体" w:eastAsia="宋体" w:cs="宋体"/>
          <w:color w:val="auto"/>
          <w:spacing w:val="13"/>
          <w:sz w:val="24"/>
          <w:szCs w:val="24"/>
          <w:highlight w:val="none"/>
        </w:rPr>
        <w:t xml:space="preserve"> </w:t>
      </w:r>
      <w:r>
        <w:rPr>
          <w:rFonts w:hint="eastAsia" w:ascii="宋体" w:hAnsi="宋体" w:eastAsia="宋体" w:cs="宋体"/>
          <w:color w:val="auto"/>
          <w:spacing w:val="7"/>
          <w:sz w:val="24"/>
          <w:szCs w:val="24"/>
          <w:highlight w:val="none"/>
        </w:rPr>
        <w:t>招标文件规定的投标保证金</w:t>
      </w:r>
      <w:r>
        <w:rPr>
          <w:rFonts w:hint="eastAsia" w:ascii="宋体" w:hAnsi="宋体" w:eastAsia="宋体" w:cs="宋体"/>
          <w:color w:val="auto"/>
          <w:spacing w:val="-153"/>
          <w:sz w:val="24"/>
          <w:szCs w:val="24"/>
          <w:highlight w:val="none"/>
        </w:rPr>
        <w:t xml:space="preserve"> </w:t>
      </w:r>
      <w:r>
        <w:rPr>
          <w:rFonts w:hint="eastAsia" w:ascii="宋体" w:hAnsi="宋体" w:eastAsia="宋体" w:cs="宋体"/>
          <w:color w:val="auto"/>
          <w:spacing w:val="5"/>
          <w:sz w:val="24"/>
          <w:szCs w:val="24"/>
          <w:highlight w:val="none"/>
          <w:u w:val="single"/>
        </w:rPr>
        <w:t xml:space="preserve">     </w:t>
      </w:r>
      <w:r>
        <w:rPr>
          <w:rFonts w:hint="eastAsia" w:ascii="宋体" w:hAnsi="宋体" w:eastAsia="宋体" w:cs="宋体"/>
          <w:color w:val="auto"/>
          <w:spacing w:val="-138"/>
          <w:sz w:val="24"/>
          <w:szCs w:val="24"/>
          <w:highlight w:val="none"/>
        </w:rPr>
        <w:t xml:space="preserve"> </w:t>
      </w:r>
      <w:r>
        <w:rPr>
          <w:rFonts w:hint="eastAsia" w:ascii="宋体" w:hAnsi="宋体" w:eastAsia="宋体" w:cs="宋体"/>
          <w:color w:val="auto"/>
          <w:spacing w:val="7"/>
          <w:sz w:val="24"/>
          <w:szCs w:val="24"/>
          <w:highlight w:val="none"/>
        </w:rPr>
        <w:t>元。</w:t>
      </w:r>
    </w:p>
    <w:p w14:paraId="67174F63">
      <w:pPr>
        <w:spacing w:before="48" w:line="252" w:lineRule="auto"/>
        <w:ind w:left="1" w:firstLine="647"/>
        <w:jc w:val="both"/>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二、至投标文件提交当天，本公司无严重不良信用记录或存在曾作出虚假承诺的情形，且不属于韶关市建筑市场信用管理平</w:t>
      </w:r>
      <w:r>
        <w:rPr>
          <w:rFonts w:hint="eastAsia" w:ascii="宋体" w:hAnsi="宋体" w:eastAsia="宋体" w:cs="宋体"/>
          <w:color w:val="auto"/>
          <w:spacing w:val="14"/>
          <w:sz w:val="24"/>
          <w:szCs w:val="24"/>
          <w:highlight w:val="none"/>
        </w:rPr>
        <w:t xml:space="preserve"> </w:t>
      </w:r>
      <w:r>
        <w:rPr>
          <w:rFonts w:hint="eastAsia" w:ascii="宋体" w:hAnsi="宋体" w:eastAsia="宋体" w:cs="宋体"/>
          <w:color w:val="auto"/>
          <w:spacing w:val="5"/>
          <w:sz w:val="24"/>
          <w:szCs w:val="24"/>
          <w:highlight w:val="none"/>
        </w:rPr>
        <w:t>台公布的信用等级为</w:t>
      </w:r>
      <w:r>
        <w:rPr>
          <w:rFonts w:hint="eastAsia" w:ascii="宋体" w:hAnsi="宋体" w:eastAsia="宋体" w:cs="宋体"/>
          <w:color w:val="auto"/>
          <w:spacing w:val="-62"/>
          <w:sz w:val="24"/>
          <w:szCs w:val="24"/>
          <w:highlight w:val="none"/>
        </w:rPr>
        <w:t xml:space="preserve"> </w:t>
      </w:r>
      <w:r>
        <w:rPr>
          <w:rFonts w:hint="eastAsia" w:ascii="宋体" w:hAnsi="宋体" w:eastAsia="宋体" w:cs="宋体"/>
          <w:color w:val="auto"/>
          <w:spacing w:val="5"/>
          <w:sz w:val="24"/>
          <w:szCs w:val="24"/>
          <w:highlight w:val="none"/>
        </w:rPr>
        <w:t>B</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级、C</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级、D</w:t>
      </w:r>
      <w:r>
        <w:rPr>
          <w:rFonts w:hint="eastAsia" w:ascii="宋体" w:hAnsi="宋体" w:eastAsia="宋体" w:cs="宋体"/>
          <w:color w:val="auto"/>
          <w:spacing w:val="-57"/>
          <w:sz w:val="24"/>
          <w:szCs w:val="24"/>
          <w:highlight w:val="none"/>
        </w:rPr>
        <w:t xml:space="preserve"> </w:t>
      </w:r>
      <w:r>
        <w:rPr>
          <w:rFonts w:hint="eastAsia" w:ascii="宋体" w:hAnsi="宋体" w:eastAsia="宋体" w:cs="宋体"/>
          <w:color w:val="auto"/>
          <w:spacing w:val="5"/>
          <w:sz w:val="24"/>
          <w:szCs w:val="24"/>
          <w:highlight w:val="none"/>
        </w:rPr>
        <w:t>级的企业。</w:t>
      </w:r>
    </w:p>
    <w:p w14:paraId="3EE8C656">
      <w:pPr>
        <w:spacing w:before="52" w:line="247" w:lineRule="auto"/>
        <w:ind w:left="6" w:right="2" w:firstLine="638"/>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本企业对以上承诺和声明负责。如有虚假，愿接受行政主管</w:t>
      </w:r>
      <w:r>
        <w:rPr>
          <w:rFonts w:hint="eastAsia" w:ascii="宋体" w:hAnsi="宋体" w:eastAsia="宋体" w:cs="宋体"/>
          <w:color w:val="auto"/>
          <w:spacing w:val="8"/>
          <w:sz w:val="24"/>
          <w:szCs w:val="24"/>
          <w:highlight w:val="none"/>
        </w:rPr>
        <w:t>部门作出的处罚，并承担以下后果：</w:t>
      </w:r>
    </w:p>
    <w:p w14:paraId="3B20EF63">
      <w:pPr>
        <w:spacing w:before="48"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（一）取消本单位在本项目中的投标资格或中标资格；</w:t>
      </w:r>
    </w:p>
    <w:p w14:paraId="01EB796C">
      <w:pPr>
        <w:spacing w:before="64"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（二）将本单位不良行为纳入信用信息管理系统；</w:t>
      </w:r>
    </w:p>
    <w:p w14:paraId="170D400C">
      <w:pPr>
        <w:spacing w:before="60" w:line="244" w:lineRule="auto"/>
        <w:ind w:left="41" w:right="2" w:firstLine="615"/>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（三）主动在产生不良行为所在的各县（市、区）行</w:t>
      </w:r>
      <w:r>
        <w:rPr>
          <w:rFonts w:hint="eastAsia" w:ascii="宋体" w:hAnsi="宋体" w:eastAsia="宋体" w:cs="宋体"/>
          <w:color w:val="auto"/>
          <w:spacing w:val="8"/>
          <w:sz w:val="24"/>
          <w:szCs w:val="24"/>
          <w:highlight w:val="none"/>
        </w:rPr>
        <w:t>政区域</w:t>
      </w:r>
      <w:r>
        <w:rPr>
          <w:rFonts w:hint="eastAsia" w:ascii="宋体" w:hAnsi="宋体" w:eastAsia="宋体" w:cs="宋体"/>
          <w:color w:val="auto"/>
          <w:spacing w:val="6"/>
          <w:sz w:val="24"/>
          <w:szCs w:val="24"/>
          <w:highlight w:val="none"/>
        </w:rPr>
        <w:t>内不参加房建市政工程项目的投标活动一年；</w:t>
      </w:r>
    </w:p>
    <w:p w14:paraId="095339FF">
      <w:pPr>
        <w:spacing w:before="63" w:line="225" w:lineRule="auto"/>
        <w:ind w:left="656"/>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（四）应付的赔偿责任和相应法律责任。</w:t>
      </w:r>
    </w:p>
    <w:p w14:paraId="324F4DDC">
      <w:pPr>
        <w:pStyle w:val="5"/>
        <w:spacing w:line="329" w:lineRule="auto"/>
        <w:rPr>
          <w:rFonts w:hint="eastAsia" w:ascii="宋体" w:hAnsi="宋体" w:eastAsia="宋体" w:cs="宋体"/>
          <w:color w:val="auto"/>
          <w:sz w:val="24"/>
          <w:szCs w:val="24"/>
          <w:highlight w:val="none"/>
        </w:rPr>
      </w:pPr>
    </w:p>
    <w:p w14:paraId="3A9404A8">
      <w:pPr>
        <w:spacing w:before="102" w:line="225" w:lineRule="auto"/>
        <w:ind w:left="845"/>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单位名称（公章</w:t>
      </w:r>
      <w:r>
        <w:rPr>
          <w:rFonts w:hint="eastAsia" w:ascii="宋体" w:hAnsi="宋体" w:eastAsia="宋体" w:cs="宋体"/>
          <w:color w:val="auto"/>
          <w:spacing w:val="1"/>
          <w:sz w:val="24"/>
          <w:szCs w:val="24"/>
          <w:highlight w:val="none"/>
        </w:rPr>
        <w:t>）：</w:t>
      </w:r>
    </w:p>
    <w:p w14:paraId="68F0A46E">
      <w:pPr>
        <w:pStyle w:val="5"/>
        <w:spacing w:line="457" w:lineRule="auto"/>
        <w:rPr>
          <w:rFonts w:hint="eastAsia" w:ascii="宋体" w:hAnsi="宋体" w:eastAsia="宋体" w:cs="宋体"/>
          <w:color w:val="auto"/>
          <w:sz w:val="24"/>
          <w:szCs w:val="24"/>
          <w:highlight w:val="none"/>
        </w:rPr>
      </w:pPr>
    </w:p>
    <w:p w14:paraId="1043625C">
      <w:pPr>
        <w:spacing w:before="100" w:line="225" w:lineRule="auto"/>
        <w:ind w:left="850"/>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统一社会信用代码：</w:t>
      </w:r>
    </w:p>
    <w:p w14:paraId="2556479A">
      <w:pPr>
        <w:pStyle w:val="5"/>
        <w:spacing w:line="457" w:lineRule="auto"/>
        <w:rPr>
          <w:rFonts w:hint="eastAsia" w:ascii="宋体" w:hAnsi="宋体" w:eastAsia="宋体" w:cs="宋体"/>
          <w:color w:val="auto"/>
          <w:sz w:val="24"/>
          <w:szCs w:val="24"/>
          <w:highlight w:val="none"/>
        </w:rPr>
      </w:pPr>
    </w:p>
    <w:p w14:paraId="28E89218">
      <w:pPr>
        <w:spacing w:before="102" w:line="543" w:lineRule="auto"/>
        <w:ind w:left="844" w:right="5000"/>
        <w:rPr>
          <w:rFonts w:hint="eastAsia" w:ascii="宋体" w:hAnsi="宋体" w:eastAsia="宋体" w:cs="宋体"/>
          <w:color w:val="auto"/>
          <w:spacing w:val="-29"/>
          <w:sz w:val="24"/>
          <w:szCs w:val="24"/>
          <w:highlight w:val="none"/>
        </w:rPr>
      </w:pPr>
      <w:r>
        <w:rPr>
          <w:rFonts w:hint="eastAsia" w:ascii="宋体" w:hAnsi="宋体" w:eastAsia="宋体" w:cs="宋体"/>
          <w:color w:val="auto"/>
          <w:spacing w:val="8"/>
          <w:sz w:val="24"/>
          <w:szCs w:val="24"/>
          <w:highlight w:val="none"/>
        </w:rPr>
        <w:t>法定代表人（签字</w:t>
      </w:r>
      <w:r>
        <w:rPr>
          <w:rFonts w:hint="eastAsia" w:ascii="宋体" w:hAnsi="宋体" w:eastAsia="宋体" w:cs="宋体"/>
          <w:color w:val="auto"/>
          <w:spacing w:val="-29"/>
          <w:sz w:val="24"/>
          <w:szCs w:val="24"/>
          <w:highlight w:val="none"/>
        </w:rPr>
        <w:t>）：</w:t>
      </w:r>
    </w:p>
    <w:p w14:paraId="33A3CBAF">
      <w:pPr>
        <w:spacing w:before="102" w:line="543" w:lineRule="auto"/>
        <w:ind w:left="844" w:right="50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pacing w:val="-6"/>
          <w:sz w:val="24"/>
          <w:szCs w:val="24"/>
          <w:highlight w:val="none"/>
        </w:rPr>
        <w:t>年</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6"/>
          <w:sz w:val="24"/>
          <w:szCs w:val="24"/>
          <w:highlight w:val="none"/>
        </w:rPr>
        <w:t>月</w:t>
      </w:r>
      <w:r>
        <w:rPr>
          <w:rFonts w:hint="eastAsia" w:ascii="宋体" w:hAnsi="宋体" w:eastAsia="宋体" w:cs="宋体"/>
          <w:color w:val="auto"/>
          <w:spacing w:val="39"/>
          <w:sz w:val="24"/>
          <w:szCs w:val="24"/>
          <w:highlight w:val="none"/>
        </w:rPr>
        <w:t xml:space="preserve"> </w:t>
      </w:r>
      <w:r>
        <w:rPr>
          <w:rFonts w:hint="eastAsia" w:ascii="宋体" w:hAnsi="宋体" w:eastAsia="宋体" w:cs="宋体"/>
          <w:color w:val="auto"/>
          <w:spacing w:val="39"/>
          <w:sz w:val="24"/>
          <w:szCs w:val="24"/>
          <w:highlight w:val="none"/>
          <w:lang w:val="en-US" w:eastAsia="zh-CN"/>
        </w:rPr>
        <w:t xml:space="preserve">  </w:t>
      </w:r>
      <w:r>
        <w:rPr>
          <w:rFonts w:hint="eastAsia" w:ascii="宋体" w:hAnsi="宋体" w:eastAsia="宋体" w:cs="宋体"/>
          <w:color w:val="auto"/>
          <w:spacing w:val="-6"/>
          <w:sz w:val="24"/>
          <w:szCs w:val="24"/>
          <w:highlight w:val="none"/>
        </w:rPr>
        <w:t>日</w:t>
      </w:r>
    </w:p>
    <w:p w14:paraId="2B287F98">
      <w:pPr>
        <w:pStyle w:val="13"/>
        <w:rPr>
          <w:rFonts w:hint="eastAsia" w:ascii="宋体" w:hAnsi="宋体" w:eastAsia="宋体" w:cs="宋体"/>
          <w:color w:val="auto"/>
          <w:highlight w:val="none"/>
        </w:rPr>
      </w:pPr>
    </w:p>
    <w:p w14:paraId="3CFA9197">
      <w:pPr>
        <w:pStyle w:val="13"/>
        <w:rPr>
          <w:rFonts w:hint="eastAsia" w:ascii="宋体" w:hAnsi="宋体" w:eastAsia="宋体" w:cs="宋体"/>
          <w:color w:val="auto"/>
          <w:spacing w:val="8"/>
          <w:sz w:val="24"/>
          <w:szCs w:val="24"/>
          <w:highlight w:val="none"/>
          <w:lang w:eastAsia="zh-CN"/>
        </w:rPr>
        <w:sectPr>
          <w:footerReference r:id="rId25"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pPr>
    </w:p>
    <w:p w14:paraId="6906ADF0">
      <w:pPr>
        <w:spacing w:before="78" w:line="220" w:lineRule="auto"/>
        <w:outlineLvl w:val="2"/>
        <w:rPr>
          <w:rFonts w:hint="eastAsia" w:ascii="宋体" w:hAnsi="宋体" w:eastAsia="宋体" w:cs="宋体"/>
          <w:b/>
          <w:bCs/>
          <w:color w:val="auto"/>
          <w:spacing w:val="-4"/>
          <w:sz w:val="24"/>
          <w:szCs w:val="24"/>
          <w:highlight w:val="none"/>
        </w:rPr>
      </w:pPr>
      <w:bookmarkStart w:id="272" w:name="_Toc9960"/>
      <w:r>
        <w:rPr>
          <w:rFonts w:hint="eastAsia" w:ascii="宋体" w:hAnsi="宋体" w:eastAsia="宋体" w:cs="宋体"/>
          <w:b/>
          <w:bCs/>
          <w:color w:val="auto"/>
          <w:spacing w:val="-4"/>
          <w:sz w:val="24"/>
          <w:szCs w:val="24"/>
          <w:highlight w:val="none"/>
        </w:rPr>
        <w:t>格式十</w:t>
      </w:r>
      <w:r>
        <w:rPr>
          <w:rFonts w:hint="eastAsia" w:ascii="宋体" w:hAnsi="宋体" w:eastAsia="宋体" w:cs="宋体"/>
          <w:b/>
          <w:bCs/>
          <w:color w:val="auto"/>
          <w:spacing w:val="-4"/>
          <w:sz w:val="24"/>
          <w:szCs w:val="24"/>
          <w:highlight w:val="none"/>
          <w:lang w:eastAsia="zh-CN"/>
        </w:rPr>
        <w:t>五</w:t>
      </w:r>
      <w:r>
        <w:rPr>
          <w:rFonts w:hint="eastAsia" w:ascii="宋体" w:hAnsi="宋体" w:eastAsia="宋体" w:cs="宋体"/>
          <w:b/>
          <w:bCs/>
          <w:color w:val="auto"/>
          <w:spacing w:val="-4"/>
          <w:sz w:val="24"/>
          <w:szCs w:val="24"/>
          <w:highlight w:val="none"/>
        </w:rPr>
        <w:t xml:space="preserve">  原件一览表</w:t>
      </w:r>
      <w:bookmarkEnd w:id="272"/>
    </w:p>
    <w:tbl>
      <w:tblPr>
        <w:tblStyle w:val="14"/>
        <w:tblW w:w="9440" w:type="dxa"/>
        <w:tblInd w:w="1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8"/>
        <w:gridCol w:w="1896"/>
        <w:gridCol w:w="1725"/>
        <w:gridCol w:w="964"/>
        <w:gridCol w:w="719"/>
        <w:gridCol w:w="780"/>
        <w:gridCol w:w="991"/>
        <w:gridCol w:w="1637"/>
      </w:tblGrid>
      <w:tr w14:paraId="31804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9440" w:type="dxa"/>
            <w:gridSpan w:val="8"/>
            <w:vAlign w:val="top"/>
          </w:tcPr>
          <w:p w14:paraId="24FB1F09">
            <w:pPr>
              <w:spacing w:before="132" w:line="220" w:lineRule="auto"/>
              <w:ind w:left="3965"/>
              <w:rPr>
                <w:rFonts w:hint="eastAsia" w:ascii="宋体" w:hAnsi="宋体" w:eastAsia="宋体" w:cs="宋体"/>
                <w:color w:val="auto"/>
                <w:sz w:val="24"/>
                <w:szCs w:val="24"/>
                <w:highlight w:val="none"/>
              </w:rPr>
            </w:pPr>
            <w:r>
              <w:rPr>
                <w:rFonts w:hint="eastAsia" w:ascii="宋体" w:hAnsi="宋体" w:eastAsia="宋体" w:cs="宋体"/>
                <w:b/>
                <w:bCs/>
                <w:color w:val="auto"/>
                <w:spacing w:val="-5"/>
                <w:sz w:val="24"/>
                <w:szCs w:val="24"/>
                <w:highlight w:val="none"/>
              </w:rPr>
              <w:t>原件一览表</w:t>
            </w:r>
          </w:p>
        </w:tc>
      </w:tr>
      <w:tr w14:paraId="2057F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2624" w:type="dxa"/>
            <w:gridSpan w:val="2"/>
            <w:vAlign w:val="top"/>
          </w:tcPr>
          <w:p w14:paraId="59447AA3">
            <w:pPr>
              <w:pStyle w:val="21"/>
              <w:spacing w:line="253" w:lineRule="auto"/>
              <w:rPr>
                <w:rFonts w:hint="eastAsia" w:ascii="宋体" w:hAnsi="宋体" w:eastAsia="宋体" w:cs="宋体"/>
                <w:color w:val="auto"/>
                <w:sz w:val="24"/>
                <w:szCs w:val="24"/>
                <w:highlight w:val="none"/>
              </w:rPr>
            </w:pPr>
          </w:p>
          <w:p w14:paraId="0CEAB9EA">
            <w:pPr>
              <w:spacing w:before="62"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工程名称</w:t>
            </w:r>
          </w:p>
        </w:tc>
        <w:tc>
          <w:tcPr>
            <w:tcW w:w="6816" w:type="dxa"/>
            <w:gridSpan w:val="6"/>
            <w:vAlign w:val="top"/>
          </w:tcPr>
          <w:p w14:paraId="3FF8FF0B">
            <w:pPr>
              <w:pStyle w:val="21"/>
              <w:rPr>
                <w:rFonts w:hint="eastAsia" w:ascii="宋体" w:hAnsi="宋体" w:eastAsia="宋体" w:cs="宋体"/>
                <w:color w:val="auto"/>
                <w:sz w:val="24"/>
                <w:szCs w:val="24"/>
                <w:highlight w:val="none"/>
              </w:rPr>
            </w:pPr>
          </w:p>
        </w:tc>
      </w:tr>
      <w:tr w14:paraId="5DC6A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0" w:hRule="atLeast"/>
        </w:trPr>
        <w:tc>
          <w:tcPr>
            <w:tcW w:w="2624" w:type="dxa"/>
            <w:gridSpan w:val="2"/>
            <w:vAlign w:val="top"/>
          </w:tcPr>
          <w:p w14:paraId="26176662">
            <w:pPr>
              <w:spacing w:before="150" w:line="230" w:lineRule="auto"/>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投标人名称</w:t>
            </w:r>
            <w:r>
              <w:rPr>
                <w:rFonts w:hint="eastAsia" w:ascii="宋体" w:hAnsi="宋体" w:eastAsia="宋体" w:cs="宋体"/>
                <w:color w:val="auto"/>
                <w:spacing w:val="5"/>
                <w:sz w:val="24"/>
                <w:szCs w:val="24"/>
                <w:highlight w:val="none"/>
              </w:rPr>
              <w:t>(请务必填写单位全称)</w:t>
            </w:r>
          </w:p>
        </w:tc>
        <w:tc>
          <w:tcPr>
            <w:tcW w:w="6816" w:type="dxa"/>
            <w:gridSpan w:val="6"/>
            <w:vAlign w:val="top"/>
          </w:tcPr>
          <w:p w14:paraId="668497E6">
            <w:pPr>
              <w:pStyle w:val="21"/>
              <w:rPr>
                <w:rFonts w:hint="eastAsia" w:ascii="宋体" w:hAnsi="宋体" w:eastAsia="宋体" w:cs="宋体"/>
                <w:color w:val="auto"/>
                <w:sz w:val="24"/>
                <w:szCs w:val="24"/>
                <w:highlight w:val="none"/>
              </w:rPr>
            </w:pPr>
          </w:p>
        </w:tc>
      </w:tr>
      <w:tr w14:paraId="0FA60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2624" w:type="dxa"/>
            <w:gridSpan w:val="2"/>
            <w:vAlign w:val="top"/>
          </w:tcPr>
          <w:p w14:paraId="6FE90DC5">
            <w:pPr>
              <w:spacing w:before="151"/>
              <w:ind w:right="14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投标人法定代表人或其委托代理人签名</w:t>
            </w:r>
          </w:p>
        </w:tc>
        <w:tc>
          <w:tcPr>
            <w:tcW w:w="2689" w:type="dxa"/>
            <w:gridSpan w:val="2"/>
            <w:vAlign w:val="top"/>
          </w:tcPr>
          <w:p w14:paraId="000B4605">
            <w:pPr>
              <w:pStyle w:val="21"/>
              <w:rPr>
                <w:rFonts w:hint="eastAsia" w:ascii="宋体" w:hAnsi="宋体" w:eastAsia="宋体" w:cs="宋体"/>
                <w:color w:val="auto"/>
                <w:sz w:val="24"/>
                <w:szCs w:val="24"/>
                <w:highlight w:val="none"/>
              </w:rPr>
            </w:pPr>
          </w:p>
        </w:tc>
        <w:tc>
          <w:tcPr>
            <w:tcW w:w="1499" w:type="dxa"/>
            <w:gridSpan w:val="2"/>
            <w:vAlign w:val="top"/>
          </w:tcPr>
          <w:p w14:paraId="3D60D1A8">
            <w:pPr>
              <w:spacing w:before="151" w:line="312" w:lineRule="auto"/>
              <w:ind w:right="17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手机</w:t>
            </w:r>
            <w:r>
              <w:rPr>
                <w:rFonts w:hint="eastAsia" w:ascii="宋体" w:hAnsi="宋体" w:eastAsia="宋体" w:cs="宋体"/>
                <w:color w:val="auto"/>
                <w:spacing w:val="2"/>
                <w:sz w:val="24"/>
                <w:szCs w:val="24"/>
                <w:highlight w:val="none"/>
              </w:rPr>
              <w:t>号码</w:t>
            </w:r>
          </w:p>
        </w:tc>
        <w:tc>
          <w:tcPr>
            <w:tcW w:w="2628" w:type="dxa"/>
            <w:gridSpan w:val="2"/>
            <w:vAlign w:val="top"/>
          </w:tcPr>
          <w:p w14:paraId="7B412076">
            <w:pPr>
              <w:pStyle w:val="21"/>
              <w:rPr>
                <w:rFonts w:hint="eastAsia" w:ascii="宋体" w:hAnsi="宋体" w:eastAsia="宋体" w:cs="宋体"/>
                <w:color w:val="auto"/>
                <w:sz w:val="24"/>
                <w:szCs w:val="24"/>
                <w:highlight w:val="none"/>
              </w:rPr>
            </w:pPr>
          </w:p>
        </w:tc>
      </w:tr>
      <w:tr w14:paraId="17484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9440" w:type="dxa"/>
            <w:gridSpan w:val="8"/>
            <w:vAlign w:val="top"/>
          </w:tcPr>
          <w:p w14:paraId="567918AA">
            <w:pPr>
              <w:spacing w:before="62" w:line="228" w:lineRule="auto"/>
              <w:ind w:left="3361"/>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递交的证明材料原件如下：</w:t>
            </w:r>
          </w:p>
        </w:tc>
      </w:tr>
      <w:tr w14:paraId="1F0A6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7" w:hRule="atLeast"/>
        </w:trPr>
        <w:tc>
          <w:tcPr>
            <w:tcW w:w="728" w:type="dxa"/>
            <w:vAlign w:val="top"/>
          </w:tcPr>
          <w:p w14:paraId="21E26167">
            <w:pPr>
              <w:pStyle w:val="21"/>
              <w:spacing w:line="257" w:lineRule="auto"/>
              <w:rPr>
                <w:rFonts w:hint="eastAsia" w:ascii="宋体" w:hAnsi="宋体" w:eastAsia="宋体" w:cs="宋体"/>
                <w:color w:val="auto"/>
                <w:sz w:val="24"/>
                <w:szCs w:val="24"/>
                <w:highlight w:val="none"/>
              </w:rPr>
            </w:pPr>
          </w:p>
          <w:p w14:paraId="0EC21191">
            <w:pPr>
              <w:spacing w:before="62" w:line="230" w:lineRule="auto"/>
              <w:ind w:left="155"/>
              <w:rPr>
                <w:rFonts w:hint="eastAsia" w:ascii="宋体" w:hAnsi="宋体" w:eastAsia="宋体" w:cs="宋体"/>
                <w:color w:val="auto"/>
                <w:sz w:val="24"/>
                <w:szCs w:val="24"/>
                <w:highlight w:val="none"/>
              </w:rPr>
            </w:pPr>
            <w:r>
              <w:rPr>
                <w:rFonts w:hint="eastAsia" w:ascii="宋体" w:hAnsi="宋体" w:eastAsia="宋体" w:cs="宋体"/>
                <w:color w:val="auto"/>
                <w:spacing w:val="5"/>
                <w:sz w:val="24"/>
                <w:szCs w:val="24"/>
                <w:highlight w:val="none"/>
              </w:rPr>
              <w:t>序号</w:t>
            </w:r>
          </w:p>
        </w:tc>
        <w:tc>
          <w:tcPr>
            <w:tcW w:w="5304" w:type="dxa"/>
            <w:gridSpan w:val="4"/>
            <w:vAlign w:val="top"/>
          </w:tcPr>
          <w:p w14:paraId="76A61080">
            <w:pPr>
              <w:pStyle w:val="21"/>
              <w:spacing w:line="257" w:lineRule="auto"/>
              <w:rPr>
                <w:rFonts w:hint="eastAsia" w:ascii="宋体" w:hAnsi="宋体" w:eastAsia="宋体" w:cs="宋体"/>
                <w:color w:val="auto"/>
                <w:sz w:val="24"/>
                <w:szCs w:val="24"/>
                <w:highlight w:val="none"/>
              </w:rPr>
            </w:pPr>
          </w:p>
          <w:p w14:paraId="1A81F5E2">
            <w:pPr>
              <w:spacing w:before="61" w:line="228" w:lineRule="auto"/>
              <w:ind w:left="1765"/>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证明材料原件名称</w:t>
            </w:r>
          </w:p>
        </w:tc>
        <w:tc>
          <w:tcPr>
            <w:tcW w:w="1771" w:type="dxa"/>
            <w:gridSpan w:val="2"/>
            <w:vAlign w:val="top"/>
          </w:tcPr>
          <w:p w14:paraId="0177F328">
            <w:pPr>
              <w:pStyle w:val="21"/>
              <w:spacing w:line="256" w:lineRule="auto"/>
              <w:rPr>
                <w:rFonts w:hint="eastAsia" w:ascii="宋体" w:hAnsi="宋体" w:eastAsia="宋体" w:cs="宋体"/>
                <w:color w:val="auto"/>
                <w:sz w:val="24"/>
                <w:szCs w:val="24"/>
                <w:highlight w:val="none"/>
              </w:rPr>
            </w:pPr>
          </w:p>
          <w:p w14:paraId="456665A1">
            <w:pPr>
              <w:spacing w:before="62" w:line="230" w:lineRule="auto"/>
              <w:ind w:left="664"/>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单位</w:t>
            </w:r>
          </w:p>
        </w:tc>
        <w:tc>
          <w:tcPr>
            <w:tcW w:w="1637" w:type="dxa"/>
            <w:vAlign w:val="top"/>
          </w:tcPr>
          <w:p w14:paraId="41F7CEAC">
            <w:pPr>
              <w:pStyle w:val="21"/>
              <w:spacing w:line="256" w:lineRule="auto"/>
              <w:rPr>
                <w:rFonts w:hint="eastAsia" w:ascii="宋体" w:hAnsi="宋体" w:eastAsia="宋体" w:cs="宋体"/>
                <w:color w:val="auto"/>
                <w:sz w:val="24"/>
                <w:szCs w:val="24"/>
                <w:highlight w:val="none"/>
              </w:rPr>
            </w:pPr>
          </w:p>
          <w:p w14:paraId="09C47EB1">
            <w:pPr>
              <w:spacing w:before="62" w:line="229" w:lineRule="auto"/>
              <w:ind w:left="592"/>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rPr>
              <w:t>数量</w:t>
            </w:r>
          </w:p>
        </w:tc>
      </w:tr>
      <w:tr w14:paraId="46502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6FF8B91C">
            <w:pPr>
              <w:spacing w:before="287" w:line="184" w:lineRule="auto"/>
              <w:ind w:left="31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5304" w:type="dxa"/>
            <w:gridSpan w:val="4"/>
            <w:vAlign w:val="top"/>
          </w:tcPr>
          <w:p w14:paraId="28B25A0D">
            <w:pPr>
              <w:pStyle w:val="21"/>
              <w:rPr>
                <w:rFonts w:hint="eastAsia" w:ascii="宋体" w:hAnsi="宋体" w:eastAsia="宋体" w:cs="宋体"/>
                <w:color w:val="auto"/>
                <w:sz w:val="24"/>
                <w:szCs w:val="24"/>
                <w:highlight w:val="none"/>
              </w:rPr>
            </w:pPr>
          </w:p>
        </w:tc>
        <w:tc>
          <w:tcPr>
            <w:tcW w:w="1771" w:type="dxa"/>
            <w:gridSpan w:val="2"/>
            <w:vAlign w:val="top"/>
          </w:tcPr>
          <w:p w14:paraId="4F42E60F">
            <w:pPr>
              <w:pStyle w:val="21"/>
              <w:rPr>
                <w:rFonts w:hint="eastAsia" w:ascii="宋体" w:hAnsi="宋体" w:eastAsia="宋体" w:cs="宋体"/>
                <w:color w:val="auto"/>
                <w:sz w:val="24"/>
                <w:szCs w:val="24"/>
                <w:highlight w:val="none"/>
              </w:rPr>
            </w:pPr>
          </w:p>
        </w:tc>
        <w:tc>
          <w:tcPr>
            <w:tcW w:w="1637" w:type="dxa"/>
            <w:vAlign w:val="top"/>
          </w:tcPr>
          <w:p w14:paraId="3C09D08F">
            <w:pPr>
              <w:pStyle w:val="21"/>
              <w:rPr>
                <w:rFonts w:hint="eastAsia" w:ascii="宋体" w:hAnsi="宋体" w:eastAsia="宋体" w:cs="宋体"/>
                <w:color w:val="auto"/>
                <w:sz w:val="24"/>
                <w:szCs w:val="24"/>
                <w:highlight w:val="none"/>
              </w:rPr>
            </w:pPr>
          </w:p>
        </w:tc>
      </w:tr>
      <w:tr w14:paraId="12E321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5B0FF1CC">
            <w:pPr>
              <w:spacing w:before="288" w:line="183" w:lineRule="auto"/>
              <w:ind w:left="30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5304" w:type="dxa"/>
            <w:gridSpan w:val="4"/>
            <w:vAlign w:val="top"/>
          </w:tcPr>
          <w:p w14:paraId="0D3F050A">
            <w:pPr>
              <w:pStyle w:val="21"/>
              <w:rPr>
                <w:rFonts w:hint="eastAsia" w:ascii="宋体" w:hAnsi="宋体" w:eastAsia="宋体" w:cs="宋体"/>
                <w:color w:val="auto"/>
                <w:sz w:val="24"/>
                <w:szCs w:val="24"/>
                <w:highlight w:val="none"/>
              </w:rPr>
            </w:pPr>
          </w:p>
        </w:tc>
        <w:tc>
          <w:tcPr>
            <w:tcW w:w="1771" w:type="dxa"/>
            <w:gridSpan w:val="2"/>
            <w:vAlign w:val="top"/>
          </w:tcPr>
          <w:p w14:paraId="745FD79F">
            <w:pPr>
              <w:pStyle w:val="21"/>
              <w:rPr>
                <w:rFonts w:hint="eastAsia" w:ascii="宋体" w:hAnsi="宋体" w:eastAsia="宋体" w:cs="宋体"/>
                <w:color w:val="auto"/>
                <w:sz w:val="24"/>
                <w:szCs w:val="24"/>
                <w:highlight w:val="none"/>
              </w:rPr>
            </w:pPr>
          </w:p>
        </w:tc>
        <w:tc>
          <w:tcPr>
            <w:tcW w:w="1637" w:type="dxa"/>
            <w:vAlign w:val="top"/>
          </w:tcPr>
          <w:p w14:paraId="2EFE754E">
            <w:pPr>
              <w:pStyle w:val="21"/>
              <w:rPr>
                <w:rFonts w:hint="eastAsia" w:ascii="宋体" w:hAnsi="宋体" w:eastAsia="宋体" w:cs="宋体"/>
                <w:color w:val="auto"/>
                <w:sz w:val="24"/>
                <w:szCs w:val="24"/>
                <w:highlight w:val="none"/>
              </w:rPr>
            </w:pPr>
          </w:p>
        </w:tc>
      </w:tr>
      <w:tr w14:paraId="5A6E48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DF57AC7">
            <w:pPr>
              <w:spacing w:before="287" w:line="183" w:lineRule="auto"/>
              <w:ind w:left="304"/>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5304" w:type="dxa"/>
            <w:gridSpan w:val="4"/>
            <w:vAlign w:val="top"/>
          </w:tcPr>
          <w:p w14:paraId="54C3FBF3">
            <w:pPr>
              <w:pStyle w:val="21"/>
              <w:rPr>
                <w:rFonts w:hint="eastAsia" w:ascii="宋体" w:hAnsi="宋体" w:eastAsia="宋体" w:cs="宋体"/>
                <w:color w:val="auto"/>
                <w:sz w:val="24"/>
                <w:szCs w:val="24"/>
                <w:highlight w:val="none"/>
              </w:rPr>
            </w:pPr>
          </w:p>
        </w:tc>
        <w:tc>
          <w:tcPr>
            <w:tcW w:w="1771" w:type="dxa"/>
            <w:gridSpan w:val="2"/>
            <w:vAlign w:val="top"/>
          </w:tcPr>
          <w:p w14:paraId="40E0E057">
            <w:pPr>
              <w:pStyle w:val="21"/>
              <w:rPr>
                <w:rFonts w:hint="eastAsia" w:ascii="宋体" w:hAnsi="宋体" w:eastAsia="宋体" w:cs="宋体"/>
                <w:color w:val="auto"/>
                <w:sz w:val="24"/>
                <w:szCs w:val="24"/>
                <w:highlight w:val="none"/>
              </w:rPr>
            </w:pPr>
          </w:p>
        </w:tc>
        <w:tc>
          <w:tcPr>
            <w:tcW w:w="1637" w:type="dxa"/>
            <w:vAlign w:val="top"/>
          </w:tcPr>
          <w:p w14:paraId="28B42581">
            <w:pPr>
              <w:pStyle w:val="21"/>
              <w:rPr>
                <w:rFonts w:hint="eastAsia" w:ascii="宋体" w:hAnsi="宋体" w:eastAsia="宋体" w:cs="宋体"/>
                <w:color w:val="auto"/>
                <w:sz w:val="24"/>
                <w:szCs w:val="24"/>
                <w:highlight w:val="none"/>
              </w:rPr>
            </w:pPr>
          </w:p>
        </w:tc>
      </w:tr>
      <w:tr w14:paraId="582BAE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728" w:type="dxa"/>
            <w:vAlign w:val="top"/>
          </w:tcPr>
          <w:p w14:paraId="3C0A2F9F">
            <w:pPr>
              <w:pStyle w:val="21"/>
              <w:spacing w:line="348" w:lineRule="auto"/>
              <w:rPr>
                <w:rFonts w:hint="eastAsia" w:ascii="宋体" w:hAnsi="宋体" w:eastAsia="宋体" w:cs="宋体"/>
                <w:color w:val="auto"/>
                <w:sz w:val="24"/>
                <w:szCs w:val="24"/>
                <w:highlight w:val="none"/>
              </w:rPr>
            </w:pPr>
          </w:p>
          <w:p w14:paraId="4F527954">
            <w:pPr>
              <w:spacing w:before="78" w:line="99" w:lineRule="exact"/>
              <w:ind w:left="186"/>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5304" w:type="dxa"/>
            <w:gridSpan w:val="4"/>
            <w:vAlign w:val="top"/>
          </w:tcPr>
          <w:p w14:paraId="47EB6644">
            <w:pPr>
              <w:pStyle w:val="21"/>
              <w:rPr>
                <w:rFonts w:hint="eastAsia" w:ascii="宋体" w:hAnsi="宋体" w:eastAsia="宋体" w:cs="宋体"/>
                <w:color w:val="auto"/>
                <w:sz w:val="24"/>
                <w:szCs w:val="24"/>
                <w:highlight w:val="none"/>
              </w:rPr>
            </w:pPr>
          </w:p>
        </w:tc>
        <w:tc>
          <w:tcPr>
            <w:tcW w:w="1771" w:type="dxa"/>
            <w:gridSpan w:val="2"/>
            <w:vAlign w:val="top"/>
          </w:tcPr>
          <w:p w14:paraId="6D54D719">
            <w:pPr>
              <w:pStyle w:val="21"/>
              <w:rPr>
                <w:rFonts w:hint="eastAsia" w:ascii="宋体" w:hAnsi="宋体" w:eastAsia="宋体" w:cs="宋体"/>
                <w:color w:val="auto"/>
                <w:sz w:val="24"/>
                <w:szCs w:val="24"/>
                <w:highlight w:val="none"/>
              </w:rPr>
            </w:pPr>
          </w:p>
        </w:tc>
        <w:tc>
          <w:tcPr>
            <w:tcW w:w="1637" w:type="dxa"/>
            <w:vAlign w:val="top"/>
          </w:tcPr>
          <w:p w14:paraId="75E6A05C">
            <w:pPr>
              <w:pStyle w:val="21"/>
              <w:rPr>
                <w:rFonts w:hint="eastAsia" w:ascii="宋体" w:hAnsi="宋体" w:eastAsia="宋体" w:cs="宋体"/>
                <w:color w:val="auto"/>
                <w:sz w:val="24"/>
                <w:szCs w:val="24"/>
                <w:highlight w:val="none"/>
              </w:rPr>
            </w:pPr>
          </w:p>
        </w:tc>
      </w:tr>
      <w:tr w14:paraId="3E5430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97" w:hRule="atLeast"/>
        </w:trPr>
        <w:tc>
          <w:tcPr>
            <w:tcW w:w="728" w:type="dxa"/>
            <w:vAlign w:val="top"/>
          </w:tcPr>
          <w:p w14:paraId="6D36533C">
            <w:pPr>
              <w:pStyle w:val="21"/>
              <w:spacing w:line="274" w:lineRule="auto"/>
              <w:rPr>
                <w:rFonts w:hint="eastAsia" w:ascii="宋体" w:hAnsi="宋体" w:eastAsia="宋体" w:cs="宋体"/>
                <w:color w:val="auto"/>
                <w:sz w:val="24"/>
                <w:szCs w:val="24"/>
                <w:highlight w:val="none"/>
              </w:rPr>
            </w:pPr>
          </w:p>
          <w:p w14:paraId="198C1B4E">
            <w:pPr>
              <w:pStyle w:val="21"/>
              <w:spacing w:line="275" w:lineRule="auto"/>
              <w:rPr>
                <w:rFonts w:hint="eastAsia" w:ascii="宋体" w:hAnsi="宋体" w:eastAsia="宋体" w:cs="宋体"/>
                <w:color w:val="auto"/>
                <w:sz w:val="24"/>
                <w:szCs w:val="24"/>
                <w:highlight w:val="none"/>
              </w:rPr>
            </w:pPr>
          </w:p>
          <w:p w14:paraId="161C02DA">
            <w:pPr>
              <w:pStyle w:val="21"/>
              <w:spacing w:line="275" w:lineRule="auto"/>
              <w:rPr>
                <w:rFonts w:hint="eastAsia" w:ascii="宋体" w:hAnsi="宋体" w:eastAsia="宋体" w:cs="宋体"/>
                <w:color w:val="auto"/>
                <w:sz w:val="24"/>
                <w:szCs w:val="24"/>
                <w:highlight w:val="none"/>
              </w:rPr>
            </w:pPr>
          </w:p>
          <w:p w14:paraId="57AB557F">
            <w:pPr>
              <w:spacing w:before="62" w:line="233" w:lineRule="auto"/>
              <w:ind w:left="29"/>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注意：</w:t>
            </w:r>
          </w:p>
        </w:tc>
        <w:tc>
          <w:tcPr>
            <w:tcW w:w="8712" w:type="dxa"/>
            <w:gridSpan w:val="7"/>
            <w:vAlign w:val="top"/>
          </w:tcPr>
          <w:p w14:paraId="57B0800F">
            <w:pPr>
              <w:spacing w:before="148"/>
              <w:ind w:left="111" w:right="107" w:firstLine="483"/>
              <w:jc w:val="both"/>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该表一式两份，两份表格投标人均需如实填写各项内容，两份表格的填写内容应一致。一</w:t>
            </w:r>
            <w:r>
              <w:rPr>
                <w:rFonts w:hint="eastAsia" w:ascii="宋体" w:hAnsi="宋体" w:eastAsia="宋体" w:cs="宋体"/>
                <w:color w:val="auto"/>
                <w:spacing w:val="9"/>
                <w:sz w:val="24"/>
                <w:szCs w:val="24"/>
                <w:highlight w:val="none"/>
              </w:rPr>
              <w:t>份贴于装纳原件的文件袋（箱</w:t>
            </w:r>
            <w:r>
              <w:rPr>
                <w:rFonts w:hint="eastAsia" w:ascii="宋体" w:hAnsi="宋体" w:eastAsia="宋体" w:cs="宋体"/>
                <w:color w:val="auto"/>
                <w:spacing w:val="20"/>
                <w:sz w:val="24"/>
                <w:szCs w:val="24"/>
                <w:highlight w:val="none"/>
              </w:rPr>
              <w:t>），</w:t>
            </w:r>
            <w:r>
              <w:rPr>
                <w:rFonts w:hint="eastAsia" w:ascii="宋体" w:hAnsi="宋体" w:eastAsia="宋体" w:cs="宋体"/>
                <w:color w:val="auto"/>
                <w:spacing w:val="9"/>
                <w:sz w:val="24"/>
                <w:szCs w:val="24"/>
                <w:highlight w:val="none"/>
              </w:rPr>
              <w:t>一份在递交文件袋（箱）时由招标代理机构、投标人签字后交招标代理机构。招标代理机构仅代签收装纳原件的文件袋（箱</w:t>
            </w:r>
            <w:r>
              <w:rPr>
                <w:rFonts w:hint="eastAsia" w:ascii="宋体" w:hAnsi="宋体" w:eastAsia="宋体" w:cs="宋体"/>
                <w:color w:val="auto"/>
                <w:spacing w:val="19"/>
                <w:sz w:val="24"/>
                <w:szCs w:val="24"/>
                <w:highlight w:val="none"/>
              </w:rPr>
              <w:t>），</w:t>
            </w:r>
            <w:r>
              <w:rPr>
                <w:rFonts w:hint="eastAsia" w:ascii="宋体" w:hAnsi="宋体" w:eastAsia="宋体" w:cs="宋体"/>
                <w:color w:val="auto"/>
                <w:spacing w:val="9"/>
                <w:sz w:val="24"/>
                <w:szCs w:val="24"/>
                <w:highlight w:val="none"/>
              </w:rPr>
              <w:t>而不对文件袋（箱）中资</w:t>
            </w:r>
            <w:r>
              <w:rPr>
                <w:rFonts w:hint="eastAsia" w:ascii="宋体" w:hAnsi="宋体" w:eastAsia="宋体" w:cs="宋体"/>
                <w:color w:val="auto"/>
                <w:spacing w:val="5"/>
                <w:sz w:val="24"/>
                <w:szCs w:val="24"/>
                <w:highlight w:val="none"/>
              </w:rPr>
              <w:t>料的数量、</w:t>
            </w:r>
            <w:r>
              <w:rPr>
                <w:rFonts w:hint="eastAsia" w:ascii="宋体" w:hAnsi="宋体" w:eastAsia="宋体" w:cs="宋体"/>
                <w:color w:val="auto"/>
                <w:spacing w:val="-45"/>
                <w:sz w:val="24"/>
                <w:szCs w:val="24"/>
                <w:highlight w:val="none"/>
              </w:rPr>
              <w:t xml:space="preserve"> </w:t>
            </w:r>
            <w:r>
              <w:rPr>
                <w:rFonts w:hint="eastAsia" w:ascii="宋体" w:hAnsi="宋体" w:eastAsia="宋体" w:cs="宋体"/>
                <w:color w:val="auto"/>
                <w:spacing w:val="5"/>
                <w:sz w:val="24"/>
                <w:szCs w:val="24"/>
                <w:highlight w:val="none"/>
              </w:rPr>
              <w:t>内容及真实性负责。</w:t>
            </w:r>
          </w:p>
        </w:tc>
      </w:tr>
      <w:tr w14:paraId="016ED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6" w:hRule="atLeast"/>
        </w:trPr>
        <w:tc>
          <w:tcPr>
            <w:tcW w:w="2624" w:type="dxa"/>
            <w:gridSpan w:val="2"/>
            <w:vAlign w:val="top"/>
          </w:tcPr>
          <w:p w14:paraId="0440D7A1">
            <w:pPr>
              <w:pStyle w:val="21"/>
              <w:spacing w:line="240" w:lineRule="auto"/>
              <w:rPr>
                <w:rFonts w:hint="eastAsia" w:ascii="宋体" w:hAnsi="宋体" w:eastAsia="宋体" w:cs="宋体"/>
                <w:color w:val="auto"/>
                <w:sz w:val="24"/>
                <w:szCs w:val="24"/>
                <w:highlight w:val="none"/>
              </w:rPr>
            </w:pPr>
          </w:p>
          <w:p w14:paraId="107CC9BB">
            <w:pPr>
              <w:spacing w:before="61" w:line="240" w:lineRule="auto"/>
              <w:ind w:left="760" w:right="153" w:hanging="600"/>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接收原件经办人</w:t>
            </w:r>
          </w:p>
          <w:p w14:paraId="6D1AB722">
            <w:pPr>
              <w:spacing w:before="61" w:line="240" w:lineRule="auto"/>
              <w:ind w:left="760" w:right="153" w:hanging="600"/>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(招标</w:t>
            </w:r>
            <w:r>
              <w:rPr>
                <w:rFonts w:hint="eastAsia" w:ascii="宋体" w:hAnsi="宋体" w:eastAsia="宋体" w:cs="宋体"/>
                <w:color w:val="auto"/>
                <w:spacing w:val="3"/>
                <w:sz w:val="24"/>
                <w:szCs w:val="24"/>
                <w:highlight w:val="none"/>
              </w:rPr>
              <w:t>代理)：</w:t>
            </w:r>
          </w:p>
        </w:tc>
        <w:tc>
          <w:tcPr>
            <w:tcW w:w="1725" w:type="dxa"/>
            <w:vAlign w:val="top"/>
          </w:tcPr>
          <w:p w14:paraId="396C35BA">
            <w:pPr>
              <w:pStyle w:val="21"/>
              <w:rPr>
                <w:rFonts w:hint="eastAsia" w:ascii="宋体" w:hAnsi="宋体" w:eastAsia="宋体" w:cs="宋体"/>
                <w:color w:val="auto"/>
                <w:sz w:val="24"/>
                <w:szCs w:val="24"/>
                <w:highlight w:val="none"/>
              </w:rPr>
            </w:pPr>
          </w:p>
        </w:tc>
        <w:tc>
          <w:tcPr>
            <w:tcW w:w="1683" w:type="dxa"/>
            <w:gridSpan w:val="2"/>
            <w:vAlign w:val="top"/>
          </w:tcPr>
          <w:p w14:paraId="5328A3CB">
            <w:pPr>
              <w:pStyle w:val="21"/>
              <w:spacing w:line="288" w:lineRule="auto"/>
              <w:rPr>
                <w:rFonts w:hint="eastAsia" w:ascii="宋体" w:hAnsi="宋体" w:eastAsia="宋体" w:cs="宋体"/>
                <w:color w:val="auto"/>
                <w:sz w:val="24"/>
                <w:szCs w:val="24"/>
                <w:highlight w:val="none"/>
              </w:rPr>
            </w:pPr>
          </w:p>
          <w:p w14:paraId="0C2B5A86">
            <w:pPr>
              <w:pStyle w:val="21"/>
              <w:spacing w:line="289" w:lineRule="auto"/>
              <w:rPr>
                <w:rFonts w:hint="eastAsia" w:ascii="宋体" w:hAnsi="宋体" w:eastAsia="宋体" w:cs="宋体"/>
                <w:color w:val="auto"/>
                <w:sz w:val="24"/>
                <w:szCs w:val="24"/>
                <w:highlight w:val="none"/>
              </w:rPr>
            </w:pPr>
          </w:p>
          <w:p w14:paraId="06A559B5">
            <w:pPr>
              <w:spacing w:before="62" w:line="229" w:lineRule="auto"/>
              <w:ind w:left="315"/>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接收时间：</w:t>
            </w:r>
          </w:p>
        </w:tc>
        <w:tc>
          <w:tcPr>
            <w:tcW w:w="3408" w:type="dxa"/>
            <w:gridSpan w:val="3"/>
            <w:vAlign w:val="top"/>
          </w:tcPr>
          <w:p w14:paraId="655901F3">
            <w:pPr>
              <w:pStyle w:val="21"/>
              <w:spacing w:line="288" w:lineRule="auto"/>
              <w:rPr>
                <w:rFonts w:hint="eastAsia" w:ascii="宋体" w:hAnsi="宋体" w:eastAsia="宋体" w:cs="宋体"/>
                <w:color w:val="auto"/>
                <w:sz w:val="24"/>
                <w:szCs w:val="24"/>
                <w:highlight w:val="none"/>
              </w:rPr>
            </w:pPr>
          </w:p>
          <w:p w14:paraId="0F1E1751">
            <w:pPr>
              <w:pStyle w:val="21"/>
              <w:spacing w:line="289" w:lineRule="auto"/>
              <w:rPr>
                <w:rFonts w:hint="eastAsia" w:ascii="宋体" w:hAnsi="宋体" w:eastAsia="宋体" w:cs="宋体"/>
                <w:color w:val="auto"/>
                <w:sz w:val="24"/>
                <w:szCs w:val="24"/>
                <w:highlight w:val="none"/>
              </w:rPr>
            </w:pPr>
          </w:p>
          <w:p w14:paraId="3ABE9DD0">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2"/>
                <w:sz w:val="24"/>
                <w:szCs w:val="24"/>
                <w:highlight w:val="none"/>
              </w:rPr>
              <w:t xml:space="preserve">  </w:t>
            </w:r>
            <w:r>
              <w:rPr>
                <w:rFonts w:hint="eastAsia" w:ascii="宋体" w:hAnsi="宋体" w:eastAsia="宋体" w:cs="宋体"/>
                <w:color w:val="auto"/>
                <w:spacing w:val="-9"/>
                <w:sz w:val="24"/>
                <w:szCs w:val="24"/>
                <w:highlight w:val="none"/>
              </w:rPr>
              <w:t>分</w:t>
            </w:r>
          </w:p>
        </w:tc>
      </w:tr>
      <w:tr w14:paraId="765347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2624" w:type="dxa"/>
            <w:gridSpan w:val="2"/>
            <w:vAlign w:val="top"/>
          </w:tcPr>
          <w:p w14:paraId="453382FD">
            <w:pPr>
              <w:spacing w:before="155" w:line="240" w:lineRule="auto"/>
              <w:ind w:left="861" w:right="153" w:hanging="699"/>
              <w:rPr>
                <w:rFonts w:hint="eastAsia" w:ascii="宋体" w:hAnsi="宋体" w:eastAsia="宋体" w:cs="宋体"/>
                <w:color w:val="auto"/>
                <w:spacing w:val="8"/>
                <w:sz w:val="24"/>
                <w:szCs w:val="24"/>
                <w:highlight w:val="none"/>
              </w:rPr>
            </w:pPr>
            <w:r>
              <w:rPr>
                <w:rFonts w:hint="eastAsia" w:ascii="宋体" w:hAnsi="宋体" w:eastAsia="宋体" w:cs="宋体"/>
                <w:color w:val="auto"/>
                <w:spacing w:val="8"/>
                <w:sz w:val="24"/>
                <w:szCs w:val="24"/>
                <w:highlight w:val="none"/>
              </w:rPr>
              <w:t>退还原件接收人</w:t>
            </w:r>
          </w:p>
          <w:p w14:paraId="4CBD4052">
            <w:pPr>
              <w:spacing w:before="155" w:line="240" w:lineRule="auto"/>
              <w:ind w:left="861" w:right="153" w:hanging="699"/>
              <w:rPr>
                <w:rFonts w:hint="eastAsia" w:ascii="宋体" w:hAnsi="宋体" w:eastAsia="宋体" w:cs="宋体"/>
                <w:color w:val="auto"/>
                <w:sz w:val="24"/>
                <w:szCs w:val="24"/>
                <w:highlight w:val="none"/>
              </w:rPr>
            </w:pPr>
            <w:r>
              <w:rPr>
                <w:rFonts w:hint="eastAsia" w:ascii="宋体" w:hAnsi="宋体" w:eastAsia="宋体" w:cs="宋体"/>
                <w:color w:val="auto"/>
                <w:spacing w:val="8"/>
                <w:sz w:val="24"/>
                <w:szCs w:val="24"/>
                <w:highlight w:val="none"/>
              </w:rPr>
              <w:t>(投标</w:t>
            </w:r>
            <w:r>
              <w:rPr>
                <w:rFonts w:hint="eastAsia" w:ascii="宋体" w:hAnsi="宋体" w:eastAsia="宋体" w:cs="宋体"/>
                <w:color w:val="auto"/>
                <w:spacing w:val="2"/>
                <w:sz w:val="24"/>
                <w:szCs w:val="24"/>
                <w:highlight w:val="none"/>
              </w:rPr>
              <w:t>人)：</w:t>
            </w:r>
          </w:p>
        </w:tc>
        <w:tc>
          <w:tcPr>
            <w:tcW w:w="1725" w:type="dxa"/>
            <w:vAlign w:val="top"/>
          </w:tcPr>
          <w:p w14:paraId="2C206521">
            <w:pPr>
              <w:pStyle w:val="21"/>
              <w:rPr>
                <w:rFonts w:hint="eastAsia" w:ascii="宋体" w:hAnsi="宋体" w:eastAsia="宋体" w:cs="宋体"/>
                <w:color w:val="auto"/>
                <w:sz w:val="24"/>
                <w:szCs w:val="24"/>
                <w:highlight w:val="none"/>
              </w:rPr>
            </w:pPr>
          </w:p>
        </w:tc>
        <w:tc>
          <w:tcPr>
            <w:tcW w:w="1683" w:type="dxa"/>
            <w:gridSpan w:val="2"/>
            <w:vAlign w:val="top"/>
          </w:tcPr>
          <w:p w14:paraId="7AC1377A">
            <w:pPr>
              <w:pStyle w:val="21"/>
              <w:spacing w:line="336" w:lineRule="auto"/>
              <w:rPr>
                <w:rFonts w:hint="eastAsia" w:ascii="宋体" w:hAnsi="宋体" w:eastAsia="宋体" w:cs="宋体"/>
                <w:color w:val="auto"/>
                <w:sz w:val="24"/>
                <w:szCs w:val="24"/>
                <w:highlight w:val="none"/>
              </w:rPr>
            </w:pPr>
          </w:p>
          <w:p w14:paraId="1E023FA8">
            <w:pPr>
              <w:spacing w:before="61" w:line="231" w:lineRule="auto"/>
              <w:ind w:left="317"/>
              <w:rPr>
                <w:rFonts w:hint="eastAsia" w:ascii="宋体" w:hAnsi="宋体" w:eastAsia="宋体" w:cs="宋体"/>
                <w:color w:val="auto"/>
                <w:sz w:val="24"/>
                <w:szCs w:val="24"/>
                <w:highlight w:val="none"/>
              </w:rPr>
            </w:pPr>
            <w:r>
              <w:rPr>
                <w:rFonts w:hint="eastAsia" w:ascii="宋体" w:hAnsi="宋体" w:eastAsia="宋体" w:cs="宋体"/>
                <w:color w:val="auto"/>
                <w:spacing w:val="6"/>
                <w:sz w:val="24"/>
                <w:szCs w:val="24"/>
                <w:highlight w:val="none"/>
              </w:rPr>
              <w:t>退还时间：</w:t>
            </w:r>
          </w:p>
        </w:tc>
        <w:tc>
          <w:tcPr>
            <w:tcW w:w="3408" w:type="dxa"/>
            <w:gridSpan w:val="3"/>
            <w:vAlign w:val="top"/>
          </w:tcPr>
          <w:p w14:paraId="209D4A82">
            <w:pPr>
              <w:pStyle w:val="21"/>
              <w:spacing w:line="335" w:lineRule="auto"/>
              <w:rPr>
                <w:rFonts w:hint="eastAsia" w:ascii="宋体" w:hAnsi="宋体" w:eastAsia="宋体" w:cs="宋体"/>
                <w:color w:val="auto"/>
                <w:sz w:val="24"/>
                <w:szCs w:val="24"/>
                <w:highlight w:val="none"/>
              </w:rPr>
            </w:pPr>
          </w:p>
          <w:p w14:paraId="459BFBAC">
            <w:pPr>
              <w:spacing w:before="62" w:line="229" w:lineRule="auto"/>
              <w:ind w:firstLine="444"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9"/>
                <w:sz w:val="24"/>
                <w:szCs w:val="24"/>
                <w:highlight w:val="none"/>
              </w:rPr>
              <w:t>年</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月</w:t>
            </w:r>
            <w:r>
              <w:rPr>
                <w:rFonts w:hint="eastAsia" w:ascii="宋体" w:hAnsi="宋体" w:eastAsia="宋体" w:cs="宋体"/>
                <w:color w:val="auto"/>
                <w:spacing w:val="19"/>
                <w:sz w:val="24"/>
                <w:szCs w:val="24"/>
                <w:highlight w:val="none"/>
              </w:rPr>
              <w:t xml:space="preserve">   </w:t>
            </w:r>
            <w:r>
              <w:rPr>
                <w:rFonts w:hint="eastAsia" w:ascii="宋体" w:hAnsi="宋体" w:eastAsia="宋体" w:cs="宋体"/>
                <w:color w:val="auto"/>
                <w:spacing w:val="-9"/>
                <w:sz w:val="24"/>
                <w:szCs w:val="24"/>
                <w:highlight w:val="none"/>
              </w:rPr>
              <w:t>日</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时</w:t>
            </w:r>
            <w:r>
              <w:rPr>
                <w:rFonts w:hint="eastAsia" w:ascii="宋体" w:hAnsi="宋体" w:eastAsia="宋体" w:cs="宋体"/>
                <w:color w:val="auto"/>
                <w:spacing w:val="10"/>
                <w:sz w:val="24"/>
                <w:szCs w:val="24"/>
                <w:highlight w:val="none"/>
              </w:rPr>
              <w:t xml:space="preserve">   </w:t>
            </w:r>
            <w:r>
              <w:rPr>
                <w:rFonts w:hint="eastAsia" w:ascii="宋体" w:hAnsi="宋体" w:eastAsia="宋体" w:cs="宋体"/>
                <w:color w:val="auto"/>
                <w:spacing w:val="-9"/>
                <w:sz w:val="24"/>
                <w:szCs w:val="24"/>
                <w:highlight w:val="none"/>
              </w:rPr>
              <w:t>分</w:t>
            </w:r>
          </w:p>
        </w:tc>
      </w:tr>
    </w:tbl>
    <w:p w14:paraId="5303C8CD">
      <w:pPr>
        <w:rPr>
          <w:rFonts w:hint="eastAsia" w:ascii="宋体" w:hAnsi="宋体" w:eastAsia="宋体" w:cs="宋体"/>
          <w:b/>
          <w:bCs/>
          <w:color w:val="auto"/>
          <w:spacing w:val="-3"/>
          <w:sz w:val="24"/>
          <w:szCs w:val="24"/>
          <w:highlight w:val="none"/>
        </w:rPr>
      </w:pPr>
      <w:bookmarkStart w:id="273" w:name="bookmark107"/>
      <w:bookmarkEnd w:id="273"/>
      <w:r>
        <w:rPr>
          <w:rFonts w:hint="eastAsia" w:ascii="宋体" w:hAnsi="宋体" w:eastAsia="宋体" w:cs="宋体"/>
          <w:b/>
          <w:bCs/>
          <w:color w:val="auto"/>
          <w:spacing w:val="-3"/>
          <w:sz w:val="24"/>
          <w:szCs w:val="24"/>
          <w:highlight w:val="none"/>
        </w:rPr>
        <w:br w:type="page"/>
      </w:r>
    </w:p>
    <w:p w14:paraId="03CDC3FA">
      <w:pPr>
        <w:keepNext w:val="0"/>
        <w:keepLines w:val="0"/>
        <w:pageBreakBefore w:val="0"/>
        <w:widowControl w:val="0"/>
        <w:kinsoku/>
        <w:wordWrap/>
        <w:overflowPunct/>
        <w:topLinePunct w:val="0"/>
        <w:autoSpaceDE/>
        <w:autoSpaceDN/>
        <w:bidi w:val="0"/>
        <w:adjustRightInd/>
        <w:snapToGrid/>
        <w:spacing w:line="380" w:lineRule="exact"/>
        <w:jc w:val="left"/>
        <w:textAlignment w:val="auto"/>
        <w:outlineLvl w:val="1"/>
        <w:rPr>
          <w:rFonts w:hint="eastAsia" w:ascii="宋体" w:hAnsi="宋体" w:eastAsia="宋体" w:cs="宋体"/>
          <w:b/>
          <w:bCs w:val="0"/>
          <w:color w:val="auto"/>
          <w:highlight w:val="none"/>
          <w:lang w:val="en-US" w:eastAsia="zh-CN"/>
        </w:rPr>
      </w:pPr>
      <w:bookmarkStart w:id="274" w:name="_Toc3970"/>
      <w:bookmarkStart w:id="275" w:name="_Toc7940"/>
      <w:r>
        <w:rPr>
          <w:rStyle w:val="20"/>
          <w:rFonts w:hint="eastAsia" w:ascii="Times New Roman" w:hAnsi="宋体" w:eastAsia="宋体" w:cs="Times New Roman"/>
          <w:b/>
          <w:bCs/>
          <w:color w:val="auto"/>
          <w:kern w:val="0"/>
          <w:sz w:val="21"/>
          <w:szCs w:val="21"/>
          <w:highlight w:val="none"/>
          <w:lang w:val="en-US" w:eastAsia="zh-CN" w:bidi="ar-SA"/>
        </w:rPr>
        <w:t>格式十六 助力项目承诺书</w:t>
      </w:r>
      <w:bookmarkEnd w:id="274"/>
      <w:bookmarkEnd w:id="275"/>
    </w:p>
    <w:p w14:paraId="2E72D9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t>助力项目承诺书</w:t>
      </w:r>
    </w:p>
    <w:p w14:paraId="779F35DF">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宋体" w:hAnsi="宋体" w:eastAsia="宋体" w:cs="宋体"/>
          <w:color w:val="auto"/>
          <w:sz w:val="24"/>
          <w:szCs w:val="24"/>
          <w:highlight w:val="none"/>
        </w:rPr>
      </w:pPr>
    </w:p>
    <w:p w14:paraId="7FFEEAF0">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致招标人：</w:t>
      </w:r>
      <w:r>
        <w:rPr>
          <w:rFonts w:hint="eastAsia" w:ascii="宋体" w:hAnsi="宋体" w:eastAsia="宋体" w:cs="宋体"/>
          <w:color w:val="auto"/>
          <w:sz w:val="21"/>
          <w:szCs w:val="21"/>
          <w:highlight w:val="none"/>
          <w:u w:val="single"/>
        </w:rPr>
        <w:t xml:space="preserve">                      </w:t>
      </w:r>
    </w:p>
    <w:p w14:paraId="237769D0">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i w:val="0"/>
          <w:iCs w:val="0"/>
          <w:color w:val="auto"/>
          <w:kern w:val="2"/>
          <w:sz w:val="21"/>
          <w:szCs w:val="21"/>
          <w:highlight w:val="none"/>
          <w:vertAlign w:val="baseline"/>
          <w:lang w:val="en-US" w:eastAsia="zh-CN" w:bidi="ar-SA"/>
        </w:rPr>
        <w:t>为落实省委、省政府关于实施“百县千镇万村高质量发展工程”（以下简称“百千</w:t>
      </w:r>
      <w:r>
        <w:rPr>
          <w:rFonts w:hint="eastAsia" w:ascii="宋体" w:hAnsi="宋体" w:eastAsia="宋体" w:cs="宋体"/>
          <w:color w:val="auto"/>
          <w:sz w:val="21"/>
          <w:szCs w:val="21"/>
          <w:highlight w:val="none"/>
          <w:u w:val="none"/>
          <w:lang w:val="en-US" w:eastAsia="zh-CN"/>
        </w:rPr>
        <w:t>万工程”）工作部署以及</w:t>
      </w:r>
      <w:r>
        <w:rPr>
          <w:rFonts w:hint="eastAsia" w:ascii="宋体" w:hAnsi="宋体" w:eastAsia="宋体" w:cs="宋体"/>
          <w:b w:val="0"/>
          <w:bCs w:val="0"/>
          <w:i w:val="0"/>
          <w:iCs w:val="0"/>
          <w:color w:val="auto"/>
          <w:kern w:val="2"/>
          <w:sz w:val="21"/>
          <w:szCs w:val="21"/>
          <w:highlight w:val="none"/>
          <w:vertAlign w:val="baseline"/>
          <w:lang w:val="en-US" w:eastAsia="zh-CN" w:bidi="ar-SA"/>
        </w:rPr>
        <w:t>省“百千万工程”指挥部关于建筑业企业“微利＋公益”参与“百千万工程”建设方式和《广东省“百县千镇万村高质量发展工程”指挥部城镇建设专班办公室印发关于推动建筑业央企助力“百千万工程”工作指引的通知》（粤城镇建设</w:t>
      </w:r>
      <w:r>
        <w:rPr>
          <w:rFonts w:hint="eastAsia" w:ascii="宋体" w:hAnsi="宋体" w:eastAsia="宋体" w:cs="宋体"/>
          <w:b w:val="0"/>
          <w:bCs w:val="0"/>
          <w:i w:val="0"/>
          <w:iCs w:val="0"/>
          <w:color w:val="auto"/>
          <w:kern w:val="0"/>
          <w:sz w:val="21"/>
          <w:szCs w:val="21"/>
          <w:highlight w:val="none"/>
          <w:vertAlign w:val="baseline"/>
          <w:lang w:val="en-US" w:eastAsia="zh-CN" w:bidi="ar-SA"/>
        </w:rPr>
        <w:t>〔2024〕11号</w:t>
      </w:r>
      <w:r>
        <w:rPr>
          <w:rFonts w:hint="eastAsia" w:ascii="宋体" w:hAnsi="宋体" w:eastAsia="宋体" w:cs="宋体"/>
          <w:b w:val="0"/>
          <w:bCs w:val="0"/>
          <w:i w:val="0"/>
          <w:iCs w:val="0"/>
          <w:color w:val="auto"/>
          <w:kern w:val="2"/>
          <w:sz w:val="21"/>
          <w:szCs w:val="21"/>
          <w:highlight w:val="none"/>
          <w:vertAlign w:val="baseline"/>
          <w:lang w:val="en-US" w:eastAsia="zh-CN" w:bidi="ar-SA"/>
        </w:rPr>
        <w:t>）等工作要求，我公司将按要求完成中标项目的同时，自愿利用</w:t>
      </w:r>
      <w:r>
        <w:rPr>
          <w:rFonts w:hint="eastAsia" w:ascii="宋体" w:hAnsi="宋体" w:eastAsia="宋体" w:cs="宋体"/>
          <w:color w:val="auto"/>
          <w:sz w:val="21"/>
          <w:szCs w:val="21"/>
          <w:highlight w:val="none"/>
          <w:lang w:val="en-US" w:eastAsia="zh-CN"/>
        </w:rPr>
        <w:t>本企业的合理利润，积极做好</w:t>
      </w:r>
      <w:r>
        <w:rPr>
          <w:rFonts w:hint="eastAsia" w:ascii="宋体" w:hAnsi="宋体" w:eastAsia="宋体" w:cs="宋体"/>
          <w:color w:val="auto"/>
          <w:sz w:val="21"/>
          <w:szCs w:val="21"/>
          <w:highlight w:val="none"/>
          <w:u w:val="none"/>
          <w:lang w:val="en-US" w:eastAsia="zh-CN"/>
        </w:rPr>
        <w:t>助力项目建设，就此</w:t>
      </w:r>
      <w:r>
        <w:rPr>
          <w:rFonts w:hint="eastAsia" w:ascii="宋体" w:hAnsi="宋体" w:eastAsia="宋体" w:cs="宋体"/>
          <w:color w:val="auto"/>
          <w:sz w:val="21"/>
          <w:szCs w:val="21"/>
          <w:highlight w:val="none"/>
        </w:rPr>
        <w:t>我方承诺如下：</w:t>
      </w:r>
    </w:p>
    <w:p w14:paraId="160D487A">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color w:val="auto"/>
          <w:sz w:val="21"/>
          <w:szCs w:val="21"/>
          <w:highlight w:val="none"/>
        </w:rPr>
        <w:t>我方愿以</w:t>
      </w:r>
      <w:r>
        <w:rPr>
          <w:rFonts w:hint="eastAsia" w:ascii="宋体" w:hAnsi="宋体" w:eastAsia="宋体" w:cs="宋体"/>
          <w:b w:val="0"/>
          <w:bCs w:val="0"/>
          <w:i w:val="0"/>
          <w:iCs w:val="0"/>
          <w:color w:val="auto"/>
          <w:kern w:val="2"/>
          <w:sz w:val="21"/>
          <w:szCs w:val="21"/>
          <w:highlight w:val="none"/>
          <w:vertAlign w:val="baseline"/>
          <w:lang w:val="en-US" w:eastAsia="zh-CN" w:bidi="ar-SA"/>
        </w:rPr>
        <w:t>本项</w:t>
      </w:r>
      <w:r>
        <w:rPr>
          <w:rFonts w:hint="eastAsia" w:ascii="宋体" w:hAnsi="宋体" w:eastAsia="宋体" w:cs="宋体"/>
          <w:color w:val="auto"/>
          <w:sz w:val="21"/>
          <w:szCs w:val="21"/>
          <w:highlight w:val="none"/>
          <w:u w:val="none"/>
          <w:lang w:val="en-US" w:eastAsia="zh-CN"/>
        </w:rPr>
        <w:t>目施工最高投标限价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%的资金，用于助力“百千万工程”中的公益性项目建设，具体实施助力项目从各级“百千万工程”指挥部提供的项目建设清单（项目库）中选取。</w:t>
      </w:r>
    </w:p>
    <w:p w14:paraId="6D4BD435">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2、如我方中标，承诺完成助力项目建设所用的资金是本企业的自有资金，不使用中标项目内的资金作为助力项目建设资金。</w:t>
      </w:r>
    </w:p>
    <w:p w14:paraId="5F5CD34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3、如我方中标，在中标项目发出中标通知书之日起至签订中标项目承包合同前，我方将按要求与助力项目业主单位按招标文件要求签订助力协议书，确定具体助力项目、投资额度、工期进度和质量标准等内容（含折算助力项目投资金额中的预扣减或扣减额处理办法）。</w:t>
      </w:r>
    </w:p>
    <w:p w14:paraId="7593AE1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4、如我方中标，我方将按照协议书要求做好助力项目建设工作，按时保质保量完成“百千万工程”助力任务并移交整个工程，确保助力项目质量达到合格标准，并承诺本工程的保修期按有关规定及双方签署的协议要求执行。同时，按规定做好助力项目结算工作。</w:t>
      </w:r>
    </w:p>
    <w:p w14:paraId="3C429EA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5、如我方中标，将严格履行助力协议。招标人或助力项目业主单位发现我方有未按协议书履行投标助力承诺行为的，愿接受有关部门对我方进行诚信扣分及将有关失信行为上传信用广东和信用中国等诚信平台；对于有严重违反投标承诺，影响助力项目建设质量、进度或损害公共利益的，我方将接受依法依规作出的处理。</w:t>
      </w:r>
    </w:p>
    <w:p w14:paraId="0837154E">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color w:val="auto"/>
          <w:sz w:val="21"/>
          <w:szCs w:val="21"/>
          <w:highlight w:val="none"/>
        </w:rPr>
        <w:t>我方同意在投标人须知规定的投标有效期内严格遵守本企业投标文件的各项承诺，如有违约，愿承担相应违约责任。</w:t>
      </w:r>
    </w:p>
    <w:p w14:paraId="7F0EB558">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34D07D34">
      <w:pPr>
        <w:pStyle w:val="5"/>
        <w:keepNext w:val="0"/>
        <w:keepLines w:val="0"/>
        <w:pageBreakBefore w:val="0"/>
        <w:widowControl w:val="0"/>
        <w:kinsoku/>
        <w:wordWrap/>
        <w:overflowPunct/>
        <w:topLinePunct w:val="0"/>
        <w:autoSpaceDE/>
        <w:autoSpaceDN/>
        <w:bidi w:val="0"/>
        <w:adjustRightInd/>
        <w:snapToGrid/>
        <w:spacing w:after="0" w:afterLines="0" w:line="360" w:lineRule="exact"/>
        <w:ind w:left="0" w:leftChars="0" w:right="0" w:rightChars="0" w:firstLine="420" w:firstLineChars="200"/>
        <w:jc w:val="both"/>
        <w:textAlignment w:val="auto"/>
        <w:outlineLvl w:val="9"/>
        <w:rPr>
          <w:rFonts w:hint="eastAsia" w:ascii="宋体" w:hAnsi="宋体" w:eastAsia="宋体" w:cs="宋体"/>
          <w:color w:val="auto"/>
          <w:sz w:val="21"/>
          <w:szCs w:val="21"/>
          <w:highlight w:val="none"/>
        </w:rPr>
      </w:pPr>
    </w:p>
    <w:p w14:paraId="2FBF64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(盖电子印章）</w:t>
      </w:r>
    </w:p>
    <w:p w14:paraId="67F748B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1B3E4D6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（电子签名</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盖电子印章）</w:t>
      </w:r>
    </w:p>
    <w:p w14:paraId="5D83872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p>
    <w:p w14:paraId="5272D2C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074528A">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eastAsia" w:ascii="宋体" w:hAnsi="宋体" w:eastAsia="宋体" w:cs="宋体"/>
          <w:color w:val="auto"/>
          <w:sz w:val="21"/>
          <w:szCs w:val="21"/>
          <w:highlight w:val="none"/>
          <w:lang w:eastAsia="zh-CN"/>
        </w:rPr>
      </w:pPr>
    </w:p>
    <w:p w14:paraId="2BF39472">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注：上述承诺书中的企业社会贡献最高投标限价百分比要使用阿拉伯数字填报，不得填报负值，企业社会贡献没有填报任何数字或填报负值的按无企业社会贡献处理，但不作无效投标处理。</w:t>
      </w:r>
    </w:p>
    <w:p w14:paraId="56BC3E48">
      <w:pPr>
        <w:pStyle w:val="39"/>
        <w:ind w:left="0" w:leftChars="0" w:firstLine="0" w:firstLineChars="0"/>
        <w:rPr>
          <w:rStyle w:val="43"/>
          <w:rFonts w:hint="eastAsia" w:ascii="宋体" w:hAnsi="宋体" w:eastAsia="宋体" w:cs="宋体"/>
          <w:bCs/>
          <w:color w:val="auto"/>
          <w:kern w:val="2"/>
          <w:sz w:val="21"/>
          <w:szCs w:val="21"/>
          <w:highlight w:val="none"/>
        </w:rPr>
      </w:pPr>
    </w:p>
    <w:p w14:paraId="09B15C70">
      <w:pPr>
        <w:pStyle w:val="45"/>
        <w:snapToGrid w:val="0"/>
        <w:spacing w:line="440" w:lineRule="exact"/>
        <w:outlineLvl w:val="1"/>
        <w:rPr>
          <w:rStyle w:val="20"/>
          <w:rFonts w:hint="eastAsia" w:ascii="Times New Roman" w:hAnsi="宋体" w:eastAsia="宋体" w:cs="Times New Roman"/>
          <w:b/>
          <w:bCs/>
          <w:color w:val="auto"/>
          <w:sz w:val="21"/>
          <w:szCs w:val="21"/>
          <w:highlight w:val="none"/>
          <w:lang w:val="en-US" w:eastAsia="zh-CN"/>
        </w:rPr>
      </w:pPr>
      <w:r>
        <w:rPr>
          <w:rStyle w:val="43"/>
          <w:rFonts w:hint="eastAsia" w:ascii="宋体" w:hAnsi="宋体" w:eastAsia="宋体" w:cs="宋体"/>
          <w:bCs/>
          <w:color w:val="auto"/>
          <w:kern w:val="2"/>
          <w:sz w:val="21"/>
          <w:szCs w:val="21"/>
          <w:highlight w:val="none"/>
        </w:rPr>
        <w:br w:type="page"/>
      </w:r>
      <w:bookmarkStart w:id="276" w:name="_Toc26911"/>
      <w:bookmarkStart w:id="277" w:name="_Toc26323"/>
      <w:r>
        <w:rPr>
          <w:rStyle w:val="20"/>
          <w:rFonts w:hint="eastAsia" w:ascii="Times New Roman" w:hAnsi="宋体" w:eastAsia="宋体" w:cs="Times New Roman"/>
          <w:b/>
          <w:bCs/>
          <w:color w:val="auto"/>
          <w:sz w:val="21"/>
          <w:szCs w:val="21"/>
          <w:highlight w:val="none"/>
          <w:lang w:eastAsia="zh-CN"/>
        </w:rPr>
        <w:t>格式十</w:t>
      </w:r>
      <w:r>
        <w:rPr>
          <w:rStyle w:val="20"/>
          <w:rFonts w:hint="eastAsia" w:ascii="Times New Roman" w:hAnsi="宋体" w:cs="Times New Roman"/>
          <w:b/>
          <w:bCs/>
          <w:color w:val="auto"/>
          <w:sz w:val="21"/>
          <w:szCs w:val="21"/>
          <w:highlight w:val="none"/>
          <w:lang w:val="en-US" w:eastAsia="zh-CN"/>
        </w:rPr>
        <w:t xml:space="preserve">七  </w:t>
      </w:r>
      <w:r>
        <w:rPr>
          <w:rStyle w:val="20"/>
          <w:rFonts w:hint="eastAsia" w:ascii="Times New Roman" w:hAnsi="宋体" w:eastAsia="宋体" w:cs="Times New Roman"/>
          <w:b/>
          <w:bCs/>
          <w:color w:val="auto"/>
          <w:sz w:val="21"/>
          <w:szCs w:val="21"/>
          <w:highlight w:val="none"/>
          <w:lang w:val="en-US" w:eastAsia="zh-CN"/>
        </w:rPr>
        <w:t>定标因素评审资料</w:t>
      </w:r>
      <w:bookmarkEnd w:id="276"/>
      <w:bookmarkEnd w:id="277"/>
    </w:p>
    <w:p w14:paraId="1FBABC69">
      <w:pPr>
        <w:spacing w:line="500" w:lineRule="exact"/>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24"/>
          <w:szCs w:val="24"/>
          <w:highlight w:val="none"/>
          <w:lang w:eastAsia="zh-CN"/>
        </w:rPr>
        <w:t>定标因素评审资料</w:t>
      </w:r>
    </w:p>
    <w:p w14:paraId="6109F8B3">
      <w:pPr>
        <w:jc w:val="left"/>
        <w:rPr>
          <w:rFonts w:hint="eastAsia" w:ascii="宋体" w:hAnsi="宋体" w:eastAsia="宋体" w:cs="宋体"/>
          <w:color w:val="auto"/>
          <w:sz w:val="24"/>
          <w:highlight w:val="none"/>
          <w:lang w:eastAsia="zh-CN"/>
        </w:rPr>
      </w:pPr>
    </w:p>
    <w:p w14:paraId="53BC4F7B">
      <w:pPr>
        <w:pStyle w:val="39"/>
        <w:ind w:left="0" w:leftChars="0" w:firstLine="0" w:firstLineChars="0"/>
        <w:rPr>
          <w:rStyle w:val="43"/>
          <w:rFonts w:hint="eastAsia" w:ascii="宋体" w:hAnsi="宋体" w:eastAsia="宋体" w:cs="宋体"/>
          <w:b/>
          <w:bCs/>
          <w:color w:val="auto"/>
          <w:kern w:val="2"/>
          <w:sz w:val="24"/>
          <w:szCs w:val="24"/>
          <w:highlight w:val="none"/>
        </w:rPr>
      </w:pPr>
      <w:r>
        <w:rPr>
          <w:rFonts w:hint="eastAsia" w:ascii="宋体" w:hAnsi="宋体" w:eastAsia="宋体" w:cs="宋体"/>
          <w:b/>
          <w:bCs/>
          <w:color w:val="auto"/>
          <w:sz w:val="24"/>
          <w:szCs w:val="24"/>
          <w:highlight w:val="none"/>
          <w:lang w:val="en-US" w:eastAsia="zh-CN"/>
        </w:rPr>
        <w:t>投标人根据“</w:t>
      </w:r>
      <w:r>
        <w:rPr>
          <w:rFonts w:hint="eastAsia" w:ascii="宋体" w:hAnsi="宋体" w:eastAsia="宋体" w:cs="宋体"/>
          <w:b/>
          <w:bCs/>
          <w:color w:val="auto"/>
          <w:sz w:val="24"/>
          <w:szCs w:val="24"/>
          <w:highlight w:val="none"/>
        </w:rPr>
        <w:t>第</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章 第</w:t>
      </w: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节 定标</w:t>
      </w:r>
      <w:r>
        <w:rPr>
          <w:rFonts w:hint="eastAsia" w:ascii="宋体" w:hAnsi="宋体" w:eastAsia="宋体" w:cs="宋体"/>
          <w:b/>
          <w:bCs/>
          <w:color w:val="auto"/>
          <w:sz w:val="24"/>
          <w:szCs w:val="24"/>
          <w:highlight w:val="none"/>
          <w:lang w:eastAsia="zh-CN"/>
        </w:rPr>
        <w:t>规定</w:t>
      </w:r>
      <w:r>
        <w:rPr>
          <w:rFonts w:hint="eastAsia" w:ascii="宋体" w:hAnsi="宋体" w:eastAsia="宋体" w:cs="宋体"/>
          <w:b/>
          <w:bCs/>
          <w:color w:val="auto"/>
          <w:sz w:val="24"/>
          <w:szCs w:val="24"/>
          <w:highlight w:val="none"/>
          <w:lang w:val="en-US" w:eastAsia="zh-CN"/>
        </w:rPr>
        <w:t>及细则”载明的</w:t>
      </w:r>
      <w:r>
        <w:rPr>
          <w:rFonts w:hint="eastAsia" w:ascii="宋体" w:hAnsi="宋体" w:eastAsia="宋体" w:cs="宋体"/>
          <w:b/>
          <w:bCs/>
          <w:color w:val="auto"/>
          <w:sz w:val="24"/>
          <w:szCs w:val="24"/>
          <w:highlight w:val="none"/>
          <w:lang w:eastAsia="zh-CN"/>
        </w:rPr>
        <w:t>定标因素，</w:t>
      </w:r>
      <w:r>
        <w:rPr>
          <w:rFonts w:hint="eastAsia" w:ascii="宋体" w:hAnsi="宋体" w:eastAsia="宋体" w:cs="宋体"/>
          <w:b/>
          <w:bCs/>
          <w:color w:val="auto"/>
          <w:sz w:val="24"/>
          <w:szCs w:val="24"/>
          <w:highlight w:val="none"/>
          <w:lang w:val="en-US" w:eastAsia="zh-CN"/>
        </w:rPr>
        <w:t>提交</w:t>
      </w:r>
      <w:r>
        <w:rPr>
          <w:rFonts w:hint="eastAsia" w:ascii="宋体" w:hAnsi="宋体" w:eastAsia="宋体" w:cs="宋体"/>
          <w:b/>
          <w:bCs/>
          <w:color w:val="auto"/>
          <w:sz w:val="24"/>
          <w:szCs w:val="24"/>
          <w:highlight w:val="none"/>
          <w:lang w:eastAsia="zh-CN"/>
        </w:rPr>
        <w:t>评审资料。</w:t>
      </w:r>
    </w:p>
    <w:p w14:paraId="14C25B53">
      <w:pPr>
        <w:spacing w:before="78" w:line="219" w:lineRule="auto"/>
        <w:jc w:val="center"/>
        <w:outlineLvl w:val="1"/>
        <w:rPr>
          <w:rFonts w:hint="eastAsia" w:ascii="宋体" w:hAnsi="宋体" w:eastAsia="宋体" w:cs="宋体"/>
          <w:b/>
          <w:bCs/>
          <w:color w:val="auto"/>
          <w:spacing w:val="-3"/>
          <w:sz w:val="24"/>
          <w:szCs w:val="24"/>
          <w:highlight w:val="none"/>
        </w:rPr>
      </w:pPr>
    </w:p>
    <w:p w14:paraId="7A6AD313">
      <w:pPr>
        <w:spacing w:before="78" w:line="219" w:lineRule="auto"/>
        <w:jc w:val="center"/>
        <w:outlineLvl w:val="1"/>
        <w:rPr>
          <w:rFonts w:hint="eastAsia" w:ascii="宋体" w:hAnsi="宋体" w:eastAsia="宋体" w:cs="宋体"/>
          <w:b/>
          <w:bCs/>
          <w:color w:val="auto"/>
          <w:spacing w:val="-3"/>
          <w:sz w:val="24"/>
          <w:szCs w:val="24"/>
          <w:highlight w:val="none"/>
        </w:rPr>
      </w:pPr>
    </w:p>
    <w:p w14:paraId="2495B873">
      <w:pPr>
        <w:spacing w:before="78" w:line="219" w:lineRule="auto"/>
        <w:jc w:val="center"/>
        <w:outlineLvl w:val="1"/>
        <w:rPr>
          <w:rFonts w:hint="eastAsia" w:ascii="宋体" w:hAnsi="宋体" w:eastAsia="宋体" w:cs="宋体"/>
          <w:b/>
          <w:bCs/>
          <w:color w:val="auto"/>
          <w:spacing w:val="-3"/>
          <w:sz w:val="24"/>
          <w:szCs w:val="24"/>
          <w:highlight w:val="none"/>
        </w:rPr>
      </w:pPr>
    </w:p>
    <w:p w14:paraId="7F14BE6C">
      <w:pPr>
        <w:spacing w:before="78" w:line="219" w:lineRule="auto"/>
        <w:jc w:val="center"/>
        <w:outlineLvl w:val="1"/>
        <w:rPr>
          <w:rFonts w:hint="eastAsia" w:ascii="宋体" w:hAnsi="宋体" w:eastAsia="宋体" w:cs="宋体"/>
          <w:b/>
          <w:bCs/>
          <w:color w:val="auto"/>
          <w:spacing w:val="-3"/>
          <w:sz w:val="24"/>
          <w:szCs w:val="24"/>
          <w:highlight w:val="none"/>
        </w:rPr>
      </w:pPr>
    </w:p>
    <w:p w14:paraId="48FF3C2F">
      <w:pPr>
        <w:spacing w:before="78" w:line="219" w:lineRule="auto"/>
        <w:jc w:val="center"/>
        <w:outlineLvl w:val="1"/>
        <w:rPr>
          <w:rFonts w:hint="eastAsia" w:ascii="宋体" w:hAnsi="宋体" w:eastAsia="宋体" w:cs="宋体"/>
          <w:b/>
          <w:bCs/>
          <w:color w:val="auto"/>
          <w:spacing w:val="-3"/>
          <w:sz w:val="24"/>
          <w:szCs w:val="24"/>
          <w:highlight w:val="none"/>
        </w:rPr>
      </w:pPr>
    </w:p>
    <w:p w14:paraId="2290D916">
      <w:pPr>
        <w:spacing w:before="78" w:line="219" w:lineRule="auto"/>
        <w:jc w:val="center"/>
        <w:outlineLvl w:val="1"/>
        <w:rPr>
          <w:rFonts w:hint="eastAsia" w:ascii="宋体" w:hAnsi="宋体" w:eastAsia="宋体" w:cs="宋体"/>
          <w:b/>
          <w:bCs/>
          <w:color w:val="auto"/>
          <w:spacing w:val="-3"/>
          <w:sz w:val="24"/>
          <w:szCs w:val="24"/>
          <w:highlight w:val="none"/>
        </w:rPr>
      </w:pPr>
    </w:p>
    <w:p w14:paraId="391FCD36">
      <w:pPr>
        <w:spacing w:before="78" w:line="219" w:lineRule="auto"/>
        <w:jc w:val="center"/>
        <w:outlineLvl w:val="1"/>
        <w:rPr>
          <w:rFonts w:hint="eastAsia" w:ascii="宋体" w:hAnsi="宋体" w:eastAsia="宋体" w:cs="宋体"/>
          <w:b/>
          <w:bCs/>
          <w:color w:val="auto"/>
          <w:spacing w:val="-3"/>
          <w:sz w:val="24"/>
          <w:szCs w:val="24"/>
          <w:highlight w:val="none"/>
        </w:rPr>
      </w:pPr>
    </w:p>
    <w:p w14:paraId="3C6BB66F">
      <w:pPr>
        <w:spacing w:before="78" w:line="219" w:lineRule="auto"/>
        <w:jc w:val="center"/>
        <w:outlineLvl w:val="1"/>
        <w:rPr>
          <w:rFonts w:hint="eastAsia" w:ascii="宋体" w:hAnsi="宋体" w:eastAsia="宋体" w:cs="宋体"/>
          <w:b/>
          <w:bCs/>
          <w:color w:val="auto"/>
          <w:spacing w:val="-3"/>
          <w:sz w:val="24"/>
          <w:szCs w:val="24"/>
          <w:highlight w:val="none"/>
        </w:rPr>
      </w:pPr>
    </w:p>
    <w:p w14:paraId="2E4A244E">
      <w:pPr>
        <w:spacing w:before="78" w:line="219" w:lineRule="auto"/>
        <w:jc w:val="center"/>
        <w:outlineLvl w:val="1"/>
        <w:rPr>
          <w:rFonts w:hint="eastAsia" w:ascii="宋体" w:hAnsi="宋体" w:eastAsia="宋体" w:cs="宋体"/>
          <w:b/>
          <w:bCs/>
          <w:color w:val="auto"/>
          <w:spacing w:val="-3"/>
          <w:sz w:val="24"/>
          <w:szCs w:val="24"/>
          <w:highlight w:val="none"/>
        </w:rPr>
      </w:pPr>
    </w:p>
    <w:p w14:paraId="765F7C6C">
      <w:pPr>
        <w:spacing w:before="78" w:line="219" w:lineRule="auto"/>
        <w:jc w:val="center"/>
        <w:outlineLvl w:val="1"/>
        <w:rPr>
          <w:rFonts w:hint="eastAsia" w:ascii="宋体" w:hAnsi="宋体" w:eastAsia="宋体" w:cs="宋体"/>
          <w:b/>
          <w:bCs/>
          <w:color w:val="auto"/>
          <w:spacing w:val="-3"/>
          <w:sz w:val="24"/>
          <w:szCs w:val="24"/>
          <w:highlight w:val="none"/>
        </w:rPr>
      </w:pPr>
    </w:p>
    <w:p w14:paraId="23EB9E71">
      <w:pPr>
        <w:spacing w:before="78" w:line="219" w:lineRule="auto"/>
        <w:jc w:val="center"/>
        <w:outlineLvl w:val="1"/>
        <w:rPr>
          <w:rFonts w:hint="eastAsia" w:ascii="宋体" w:hAnsi="宋体" w:eastAsia="宋体" w:cs="宋体"/>
          <w:b/>
          <w:bCs/>
          <w:color w:val="auto"/>
          <w:spacing w:val="-3"/>
          <w:sz w:val="24"/>
          <w:szCs w:val="24"/>
          <w:highlight w:val="none"/>
        </w:rPr>
      </w:pPr>
    </w:p>
    <w:p w14:paraId="15AA33D0">
      <w:pPr>
        <w:spacing w:before="78" w:line="219" w:lineRule="auto"/>
        <w:jc w:val="center"/>
        <w:outlineLvl w:val="1"/>
        <w:rPr>
          <w:rFonts w:hint="eastAsia" w:ascii="宋体" w:hAnsi="宋体" w:eastAsia="宋体" w:cs="宋体"/>
          <w:b/>
          <w:bCs/>
          <w:color w:val="auto"/>
          <w:spacing w:val="-3"/>
          <w:sz w:val="24"/>
          <w:szCs w:val="24"/>
          <w:highlight w:val="none"/>
        </w:rPr>
      </w:pPr>
    </w:p>
    <w:p w14:paraId="7B279407">
      <w:pPr>
        <w:spacing w:before="78" w:line="219" w:lineRule="auto"/>
        <w:jc w:val="center"/>
        <w:outlineLvl w:val="1"/>
        <w:rPr>
          <w:rFonts w:hint="eastAsia" w:ascii="宋体" w:hAnsi="宋体" w:eastAsia="宋体" w:cs="宋体"/>
          <w:b/>
          <w:bCs/>
          <w:color w:val="auto"/>
          <w:spacing w:val="-3"/>
          <w:sz w:val="24"/>
          <w:szCs w:val="24"/>
          <w:highlight w:val="none"/>
        </w:rPr>
      </w:pPr>
    </w:p>
    <w:p w14:paraId="2574C13D">
      <w:pPr>
        <w:spacing w:before="78" w:line="219" w:lineRule="auto"/>
        <w:jc w:val="center"/>
        <w:outlineLvl w:val="1"/>
        <w:rPr>
          <w:rFonts w:hint="eastAsia" w:ascii="宋体" w:hAnsi="宋体" w:eastAsia="宋体" w:cs="宋体"/>
          <w:b/>
          <w:bCs/>
          <w:color w:val="auto"/>
          <w:spacing w:val="-3"/>
          <w:sz w:val="24"/>
          <w:szCs w:val="24"/>
          <w:highlight w:val="none"/>
        </w:rPr>
      </w:pPr>
    </w:p>
    <w:p w14:paraId="7BC7ADD0">
      <w:pPr>
        <w:spacing w:before="78" w:line="219" w:lineRule="auto"/>
        <w:jc w:val="center"/>
        <w:outlineLvl w:val="1"/>
        <w:rPr>
          <w:rFonts w:hint="eastAsia" w:ascii="宋体" w:hAnsi="宋体" w:eastAsia="宋体" w:cs="宋体"/>
          <w:b/>
          <w:bCs/>
          <w:color w:val="auto"/>
          <w:spacing w:val="-3"/>
          <w:sz w:val="24"/>
          <w:szCs w:val="24"/>
          <w:highlight w:val="none"/>
        </w:rPr>
      </w:pPr>
    </w:p>
    <w:p w14:paraId="2E2C18EC">
      <w:pPr>
        <w:spacing w:before="78" w:line="219" w:lineRule="auto"/>
        <w:jc w:val="center"/>
        <w:outlineLvl w:val="1"/>
        <w:rPr>
          <w:rFonts w:hint="eastAsia" w:ascii="宋体" w:hAnsi="宋体" w:eastAsia="宋体" w:cs="宋体"/>
          <w:b/>
          <w:bCs/>
          <w:color w:val="auto"/>
          <w:spacing w:val="-3"/>
          <w:sz w:val="24"/>
          <w:szCs w:val="24"/>
          <w:highlight w:val="none"/>
        </w:rPr>
      </w:pPr>
    </w:p>
    <w:p w14:paraId="4B756AD1">
      <w:pPr>
        <w:spacing w:before="78" w:line="219" w:lineRule="auto"/>
        <w:jc w:val="center"/>
        <w:outlineLvl w:val="1"/>
        <w:rPr>
          <w:rFonts w:hint="eastAsia" w:ascii="宋体" w:hAnsi="宋体" w:eastAsia="宋体" w:cs="宋体"/>
          <w:b/>
          <w:bCs/>
          <w:color w:val="auto"/>
          <w:spacing w:val="-3"/>
          <w:sz w:val="24"/>
          <w:szCs w:val="24"/>
          <w:highlight w:val="none"/>
        </w:rPr>
      </w:pPr>
    </w:p>
    <w:p w14:paraId="053E6982">
      <w:pPr>
        <w:spacing w:before="78" w:line="219" w:lineRule="auto"/>
        <w:jc w:val="center"/>
        <w:outlineLvl w:val="1"/>
        <w:rPr>
          <w:rFonts w:hint="eastAsia" w:ascii="宋体" w:hAnsi="宋体" w:eastAsia="宋体" w:cs="宋体"/>
          <w:b/>
          <w:bCs/>
          <w:color w:val="auto"/>
          <w:spacing w:val="-3"/>
          <w:sz w:val="24"/>
          <w:szCs w:val="24"/>
          <w:highlight w:val="none"/>
        </w:rPr>
      </w:pPr>
    </w:p>
    <w:p w14:paraId="7870DAE2">
      <w:pPr>
        <w:spacing w:before="78" w:line="219" w:lineRule="auto"/>
        <w:jc w:val="center"/>
        <w:outlineLvl w:val="1"/>
        <w:rPr>
          <w:rFonts w:hint="eastAsia" w:ascii="宋体" w:hAnsi="宋体" w:eastAsia="宋体" w:cs="宋体"/>
          <w:b/>
          <w:bCs/>
          <w:color w:val="auto"/>
          <w:spacing w:val="-3"/>
          <w:sz w:val="24"/>
          <w:szCs w:val="24"/>
          <w:highlight w:val="none"/>
        </w:rPr>
      </w:pPr>
    </w:p>
    <w:p w14:paraId="4F14D8C4">
      <w:pPr>
        <w:spacing w:before="78" w:line="219" w:lineRule="auto"/>
        <w:jc w:val="center"/>
        <w:outlineLvl w:val="1"/>
        <w:rPr>
          <w:rFonts w:hint="eastAsia" w:ascii="宋体" w:hAnsi="宋体" w:eastAsia="宋体" w:cs="宋体"/>
          <w:b/>
          <w:bCs/>
          <w:color w:val="auto"/>
          <w:spacing w:val="-3"/>
          <w:sz w:val="24"/>
          <w:szCs w:val="24"/>
          <w:highlight w:val="none"/>
        </w:rPr>
      </w:pPr>
    </w:p>
    <w:p w14:paraId="35A8BC8A">
      <w:pPr>
        <w:spacing w:before="78" w:line="219" w:lineRule="auto"/>
        <w:jc w:val="center"/>
        <w:outlineLvl w:val="1"/>
        <w:rPr>
          <w:rFonts w:hint="eastAsia" w:ascii="宋体" w:hAnsi="宋体" w:eastAsia="宋体" w:cs="宋体"/>
          <w:b/>
          <w:bCs/>
          <w:color w:val="auto"/>
          <w:spacing w:val="-3"/>
          <w:sz w:val="24"/>
          <w:szCs w:val="24"/>
          <w:highlight w:val="none"/>
        </w:rPr>
      </w:pPr>
    </w:p>
    <w:p w14:paraId="27FBC262">
      <w:pPr>
        <w:spacing w:before="78" w:line="219" w:lineRule="auto"/>
        <w:jc w:val="center"/>
        <w:outlineLvl w:val="1"/>
        <w:rPr>
          <w:rFonts w:hint="eastAsia" w:ascii="宋体" w:hAnsi="宋体" w:eastAsia="宋体" w:cs="宋体"/>
          <w:b/>
          <w:bCs/>
          <w:color w:val="auto"/>
          <w:spacing w:val="-3"/>
          <w:sz w:val="24"/>
          <w:szCs w:val="24"/>
          <w:highlight w:val="none"/>
        </w:rPr>
      </w:pPr>
    </w:p>
    <w:p w14:paraId="6CBE51BC">
      <w:pPr>
        <w:spacing w:before="78" w:line="219" w:lineRule="auto"/>
        <w:jc w:val="center"/>
        <w:outlineLvl w:val="1"/>
        <w:rPr>
          <w:rFonts w:hint="eastAsia" w:ascii="宋体" w:hAnsi="宋体" w:eastAsia="宋体" w:cs="宋体"/>
          <w:b/>
          <w:bCs/>
          <w:color w:val="auto"/>
          <w:spacing w:val="-3"/>
          <w:sz w:val="24"/>
          <w:szCs w:val="24"/>
          <w:highlight w:val="none"/>
        </w:rPr>
      </w:pPr>
    </w:p>
    <w:p w14:paraId="360EE02A">
      <w:pPr>
        <w:spacing w:before="78" w:line="219" w:lineRule="auto"/>
        <w:jc w:val="center"/>
        <w:outlineLvl w:val="1"/>
        <w:rPr>
          <w:rFonts w:hint="eastAsia" w:ascii="宋体" w:hAnsi="宋体" w:eastAsia="宋体" w:cs="宋体"/>
          <w:b/>
          <w:bCs/>
          <w:color w:val="auto"/>
          <w:spacing w:val="-3"/>
          <w:sz w:val="24"/>
          <w:szCs w:val="24"/>
          <w:highlight w:val="none"/>
        </w:rPr>
      </w:pPr>
    </w:p>
    <w:p w14:paraId="76926CBB">
      <w:pPr>
        <w:spacing w:before="78" w:line="219" w:lineRule="auto"/>
        <w:jc w:val="center"/>
        <w:outlineLvl w:val="1"/>
        <w:rPr>
          <w:rFonts w:hint="eastAsia" w:ascii="宋体" w:hAnsi="宋体" w:eastAsia="宋体" w:cs="宋体"/>
          <w:b/>
          <w:bCs/>
          <w:color w:val="auto"/>
          <w:spacing w:val="-3"/>
          <w:sz w:val="24"/>
          <w:szCs w:val="24"/>
          <w:highlight w:val="none"/>
        </w:rPr>
      </w:pPr>
    </w:p>
    <w:p w14:paraId="750F22B2">
      <w:pPr>
        <w:spacing w:before="78" w:line="219" w:lineRule="auto"/>
        <w:jc w:val="center"/>
        <w:outlineLvl w:val="1"/>
        <w:rPr>
          <w:rFonts w:hint="eastAsia" w:ascii="宋体" w:hAnsi="宋体" w:eastAsia="宋体" w:cs="宋体"/>
          <w:b/>
          <w:bCs/>
          <w:color w:val="auto"/>
          <w:spacing w:val="-3"/>
          <w:sz w:val="24"/>
          <w:szCs w:val="24"/>
          <w:highlight w:val="none"/>
        </w:rPr>
      </w:pPr>
    </w:p>
    <w:p w14:paraId="0E614BAE">
      <w:pPr>
        <w:spacing w:before="78" w:line="219" w:lineRule="auto"/>
        <w:jc w:val="center"/>
        <w:outlineLvl w:val="1"/>
        <w:rPr>
          <w:rFonts w:hint="eastAsia" w:ascii="宋体" w:hAnsi="宋体" w:eastAsia="宋体" w:cs="宋体"/>
          <w:b/>
          <w:bCs/>
          <w:color w:val="auto"/>
          <w:spacing w:val="-3"/>
          <w:sz w:val="24"/>
          <w:szCs w:val="24"/>
          <w:highlight w:val="none"/>
        </w:rPr>
      </w:pPr>
    </w:p>
    <w:p w14:paraId="657A2391">
      <w:pPr>
        <w:spacing w:before="78" w:line="219" w:lineRule="auto"/>
        <w:jc w:val="center"/>
        <w:outlineLvl w:val="1"/>
        <w:rPr>
          <w:rFonts w:hint="eastAsia" w:ascii="宋体" w:hAnsi="宋体" w:eastAsia="宋体" w:cs="宋体"/>
          <w:b/>
          <w:bCs/>
          <w:color w:val="auto"/>
          <w:spacing w:val="-3"/>
          <w:sz w:val="24"/>
          <w:szCs w:val="24"/>
          <w:highlight w:val="none"/>
        </w:rPr>
      </w:pPr>
    </w:p>
    <w:p w14:paraId="20392549">
      <w:pPr>
        <w:spacing w:before="78" w:line="219" w:lineRule="auto"/>
        <w:jc w:val="center"/>
        <w:outlineLvl w:val="1"/>
        <w:rPr>
          <w:rFonts w:hint="eastAsia" w:ascii="宋体" w:hAnsi="宋体" w:eastAsia="宋体" w:cs="宋体"/>
          <w:b/>
          <w:bCs/>
          <w:color w:val="auto"/>
          <w:spacing w:val="-3"/>
          <w:sz w:val="24"/>
          <w:szCs w:val="24"/>
          <w:highlight w:val="none"/>
        </w:rPr>
      </w:pPr>
    </w:p>
    <w:p w14:paraId="3E85AE23">
      <w:pPr>
        <w:spacing w:before="78" w:line="219" w:lineRule="auto"/>
        <w:jc w:val="center"/>
        <w:outlineLvl w:val="1"/>
        <w:rPr>
          <w:rFonts w:hint="eastAsia" w:ascii="宋体" w:hAnsi="宋体" w:eastAsia="宋体" w:cs="宋体"/>
          <w:b/>
          <w:bCs/>
          <w:color w:val="auto"/>
          <w:spacing w:val="-3"/>
          <w:sz w:val="24"/>
          <w:szCs w:val="24"/>
          <w:highlight w:val="none"/>
        </w:rPr>
      </w:pPr>
    </w:p>
    <w:p w14:paraId="3E68A076">
      <w:pPr>
        <w:spacing w:before="78" w:line="219" w:lineRule="auto"/>
        <w:jc w:val="center"/>
        <w:outlineLvl w:val="1"/>
        <w:rPr>
          <w:rFonts w:hint="eastAsia" w:ascii="宋体" w:hAnsi="宋体" w:eastAsia="宋体" w:cs="宋体"/>
          <w:b/>
          <w:bCs/>
          <w:color w:val="auto"/>
          <w:spacing w:val="-3"/>
          <w:sz w:val="24"/>
          <w:szCs w:val="24"/>
          <w:highlight w:val="none"/>
        </w:rPr>
      </w:pPr>
    </w:p>
    <w:p w14:paraId="6F5EA10B">
      <w:pPr>
        <w:spacing w:before="78" w:line="219" w:lineRule="auto"/>
        <w:jc w:val="center"/>
        <w:outlineLvl w:val="1"/>
        <w:rPr>
          <w:rFonts w:hint="eastAsia" w:ascii="宋体" w:hAnsi="宋体" w:eastAsia="宋体" w:cs="宋体"/>
          <w:b/>
          <w:bCs/>
          <w:color w:val="auto"/>
          <w:spacing w:val="-3"/>
          <w:sz w:val="24"/>
          <w:szCs w:val="24"/>
          <w:highlight w:val="none"/>
        </w:rPr>
      </w:pPr>
    </w:p>
    <w:p w14:paraId="0C629BAA">
      <w:pPr>
        <w:spacing w:before="78" w:line="219" w:lineRule="auto"/>
        <w:jc w:val="center"/>
        <w:outlineLvl w:val="1"/>
        <w:rPr>
          <w:rFonts w:hint="eastAsia" w:ascii="宋体" w:hAnsi="宋体" w:eastAsia="宋体" w:cs="宋体"/>
          <w:b/>
          <w:bCs/>
          <w:color w:val="auto"/>
          <w:spacing w:val="-3"/>
          <w:sz w:val="24"/>
          <w:szCs w:val="24"/>
          <w:highlight w:val="none"/>
        </w:rPr>
      </w:pPr>
    </w:p>
    <w:p w14:paraId="3C9DA96F">
      <w:pPr>
        <w:spacing w:before="78" w:line="219" w:lineRule="auto"/>
        <w:jc w:val="center"/>
        <w:outlineLvl w:val="1"/>
        <w:rPr>
          <w:rFonts w:hint="eastAsia" w:ascii="宋体" w:hAnsi="宋体" w:eastAsia="宋体" w:cs="宋体"/>
          <w:color w:val="auto"/>
          <w:highlight w:val="none"/>
        </w:rPr>
      </w:pPr>
      <w:bookmarkStart w:id="278" w:name="_Toc10482"/>
      <w:r>
        <w:rPr>
          <w:rFonts w:hint="eastAsia" w:ascii="宋体" w:hAnsi="宋体" w:eastAsia="宋体" w:cs="宋体"/>
          <w:b/>
          <w:bCs/>
          <w:color w:val="auto"/>
          <w:spacing w:val="-3"/>
          <w:sz w:val="24"/>
          <w:szCs w:val="24"/>
          <w:highlight w:val="none"/>
        </w:rPr>
        <w:t>第七章</w:t>
      </w:r>
      <w:r>
        <w:rPr>
          <w:rFonts w:hint="eastAsia" w:ascii="宋体" w:hAnsi="宋体" w:eastAsia="宋体" w:cs="宋体"/>
          <w:color w:val="auto"/>
          <w:spacing w:val="-3"/>
          <w:sz w:val="24"/>
          <w:szCs w:val="24"/>
          <w:highlight w:val="none"/>
        </w:rPr>
        <w:t xml:space="preserve"> </w:t>
      </w:r>
      <w:r>
        <w:rPr>
          <w:rFonts w:hint="eastAsia" w:ascii="宋体" w:hAnsi="宋体" w:eastAsia="宋体" w:cs="宋体"/>
          <w:b/>
          <w:bCs/>
          <w:color w:val="auto"/>
          <w:spacing w:val="-3"/>
          <w:sz w:val="24"/>
          <w:szCs w:val="24"/>
          <w:highlight w:val="none"/>
        </w:rPr>
        <w:t>建设工程施工合同</w:t>
      </w:r>
      <w:bookmarkEnd w:id="278"/>
    </w:p>
    <w:p w14:paraId="179363DD">
      <w:pPr>
        <w:pStyle w:val="5"/>
        <w:spacing w:line="257" w:lineRule="auto"/>
        <w:rPr>
          <w:rFonts w:hint="eastAsia" w:ascii="宋体" w:hAnsi="宋体" w:eastAsia="宋体" w:cs="宋体"/>
          <w:color w:val="auto"/>
          <w:highlight w:val="none"/>
        </w:rPr>
      </w:pPr>
    </w:p>
    <w:p w14:paraId="6DEC5D22">
      <w:pPr>
        <w:spacing w:before="78" w:line="324"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（略</w:t>
      </w:r>
      <w:r>
        <w:rPr>
          <w:rFonts w:hint="eastAsia" w:ascii="宋体" w:hAnsi="宋体" w:eastAsia="宋体" w:cs="宋体"/>
          <w:color w:val="auto"/>
          <w:spacing w:val="-10"/>
          <w:sz w:val="24"/>
          <w:szCs w:val="24"/>
          <w:highlight w:val="none"/>
        </w:rPr>
        <w:t>），</w:t>
      </w:r>
      <w:r>
        <w:rPr>
          <w:rFonts w:hint="eastAsia" w:ascii="宋体" w:hAnsi="宋体" w:eastAsia="宋体" w:cs="宋体"/>
          <w:color w:val="auto"/>
          <w:spacing w:val="-3"/>
          <w:sz w:val="24"/>
          <w:szCs w:val="24"/>
          <w:highlight w:val="none"/>
        </w:rPr>
        <w:t>按《广东省建设工程标准施工合同》（2009 年版）或《建设工程施工合同</w:t>
      </w:r>
      <w:r>
        <w:rPr>
          <w:rFonts w:hint="eastAsia" w:ascii="宋体" w:hAnsi="宋体" w:eastAsia="宋体" w:cs="宋体"/>
          <w:color w:val="auto"/>
          <w:spacing w:val="1"/>
          <w:sz w:val="24"/>
          <w:szCs w:val="24"/>
          <w:highlight w:val="none"/>
        </w:rPr>
        <w:t xml:space="preserve"> </w:t>
      </w:r>
      <w:r>
        <w:rPr>
          <w:rFonts w:hint="eastAsia" w:ascii="宋体" w:hAnsi="宋体" w:eastAsia="宋体" w:cs="宋体"/>
          <w:color w:val="auto"/>
          <w:spacing w:val="-1"/>
          <w:sz w:val="24"/>
          <w:szCs w:val="24"/>
          <w:highlight w:val="none"/>
        </w:rPr>
        <w:t>（示范文本）》（GF—2017—0201）执行。</w:t>
      </w:r>
    </w:p>
    <w:p w14:paraId="4BB447BE">
      <w:pPr>
        <w:rPr>
          <w:rFonts w:hint="eastAsia" w:ascii="宋体" w:hAnsi="宋体" w:eastAsia="宋体" w:cs="宋体"/>
          <w:color w:val="auto"/>
          <w:highlight w:val="none"/>
        </w:rPr>
      </w:pPr>
    </w:p>
    <w:sectPr>
      <w:footerReference r:id="rId26" w:type="default"/>
      <w:pgSz w:w="11906" w:h="16839"/>
      <w:pgMar w:top="1440" w:right="1080" w:bottom="1440" w:left="1080" w:header="0" w:footer="1023" w:gutter="0"/>
      <w:pgBorders>
        <w:top w:val="none" w:sz="0" w:space="0"/>
        <w:left w:val="none" w:sz="0" w:space="0"/>
        <w:bottom w:val="none" w:sz="0" w:space="0"/>
        <w:right w:val="none" w:sz="0" w:space="0"/>
      </w:pgBorders>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auto"/>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303BF">
    <w:pPr>
      <w:pStyle w:val="8"/>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34BA4">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6616AD">
                          <w:pPr>
                            <w:pStyle w:val="8"/>
                          </w:pPr>
                          <w:r>
                            <w:fldChar w:fldCharType="begin"/>
                          </w:r>
                          <w:r>
                            <w:instrText xml:space="preserve"> PAGE  \* MERGEFORMAT </w:instrText>
                          </w:r>
                          <w:r>
                            <w:fldChar w:fldCharType="separate"/>
                          </w:r>
                          <w:r>
                            <w:t>81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nmGe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4d8ctTvz84/v55+/zr28E&#10;fShQH6DGvMeAmWm48QMmz35AZ+Y9qGjzFxkRjKO8p4u8ckhE5Eer5WpVYUhgbL4gPnt6HiKkO+kt&#10;yUZDI86vyMqP95DG1DklV3P+VhtTZmjcXw7EzB6Wex97zFYadsNEaOfbE/LpcfQNdbjplJiPDpXN&#10;WzIbcTZ2s3EIUe+7ska5HoQPh4RNlN5yhRF2KowzK+ym/cpL8fxesp7+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p5hnvIAQAAmwMAAA4AAAAAAAAAAQAgAAAAHgEAAGRycy9lMm9Eb2Mu&#10;eG1sUEsFBgAAAAAGAAYAWQEAAFgFAAAAAA==&#10;">
              <v:fill on="f" focussize="0,0"/>
              <v:stroke on="f"/>
              <v:imagedata o:title=""/>
              <o:lock v:ext="edit" aspectratio="f"/>
              <v:textbox inset="0mm,0mm,0mm,0mm" style="mso-fit-shape-to-text:t;">
                <w:txbxContent>
                  <w:p w14:paraId="5B6616AD">
                    <w:pPr>
                      <w:pStyle w:val="8"/>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A5013">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E5E7166">
                          <w:pPr>
                            <w:pStyle w:val="8"/>
                          </w:pPr>
                          <w:r>
                            <w:fldChar w:fldCharType="begin"/>
                          </w:r>
                          <w:r>
                            <w:instrText xml:space="preserve"> PAGE  \* MERGEFORMAT </w:instrText>
                          </w:r>
                          <w:r>
                            <w:fldChar w:fldCharType="separate"/>
                          </w:r>
                          <w:r>
                            <w:t>83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fnvsskBAACbAwAADgAAAGRycy9lMm9Eb2MueG1srVPNjtMwEL6vxDtY&#10;vlNnK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e+yyQEAAJsDAAAOAAAAAAAAAAEAIAAAAB4BAABkcnMvZTJvRG9j&#10;LnhtbFBLBQYAAAAABgAGAFkBAABZBQAAAAA=&#10;">
              <v:fill on="f" focussize="0,0"/>
              <v:stroke on="f"/>
              <v:imagedata o:title=""/>
              <o:lock v:ext="edit" aspectratio="f"/>
              <v:textbox inset="0mm,0mm,0mm,0mm" style="mso-fit-shape-to-text:t;">
                <w:txbxContent>
                  <w:p w14:paraId="6E5E7166">
                    <w:pPr>
                      <w:pStyle w:val="8"/>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E90E9">
    <w:pPr>
      <w:pStyle w:val="8"/>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BEFCB23">
                          <w:pPr>
                            <w:pStyle w:val="8"/>
                          </w:pPr>
                          <w:r>
                            <w:fldChar w:fldCharType="begin"/>
                          </w:r>
                          <w:r>
                            <w:instrText xml:space="preserve"> PAGE  \* MERGEFORMAT </w:instrText>
                          </w:r>
                          <w:r>
                            <w:fldChar w:fldCharType="separate"/>
                          </w:r>
                          <w:r>
                            <w:t>84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14:paraId="6BEFCB23">
                    <w:pPr>
                      <w:pStyle w:val="8"/>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F73186">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5B5328D">
                          <w:pPr>
                            <w:pStyle w:val="8"/>
                          </w:pPr>
                          <w:r>
                            <w:fldChar w:fldCharType="begin"/>
                          </w:r>
                          <w:r>
                            <w:instrText xml:space="preserve"> PAGE  \* MERGEFORMAT </w:instrText>
                          </w:r>
                          <w:r>
                            <w:fldChar w:fldCharType="separate"/>
                          </w:r>
                          <w:r>
                            <w:t>85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ZM0qcgBAACZAwAADgAAAGRycy9lMm9Eb2MueG1srVPNjtMwEL4j8Q6W&#10;79TZHlA3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WTNKnIAQAAmQMAAA4AAAAAAAAAAQAgAAAAHgEAAGRycy9lMm9Eb2Mu&#10;eG1sUEsFBgAAAAAGAAYAWQEAAFgFAAAAAA==&#10;">
              <v:fill on="f" focussize="0,0"/>
              <v:stroke on="f"/>
              <v:imagedata o:title=""/>
              <o:lock v:ext="edit" aspectratio="f"/>
              <v:textbox inset="0mm,0mm,0mm,0mm" style="mso-fit-shape-to-text:t;">
                <w:txbxContent>
                  <w:p w14:paraId="05B5328D">
                    <w:pPr>
                      <w:pStyle w:val="8"/>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79E83">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8DD399">
                          <w:pPr>
                            <w:pStyle w:val="8"/>
                          </w:pPr>
                          <w:r>
                            <w:fldChar w:fldCharType="begin"/>
                          </w:r>
                          <w:r>
                            <w:instrText xml:space="preserve"> PAGE  \* MERGEFORMAT </w:instrText>
                          </w:r>
                          <w:r>
                            <w:fldChar w:fldCharType="separate"/>
                          </w:r>
                          <w:r>
                            <w:t>86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I/3icgBAACb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teUOG5x4pcf3y8/f19+fSPo&#10;Q4GGAA3m3QfMTONbP+LaLH5AZ+Y9qmjzFxkRjKO856u8ckxE5Efrer2uMCQwtlwQnz08DxHSO+kt&#10;yUZLI86vyMpPHyBNqUtKrub8nTamzNC4vxyImT0s9z71mK007seZ0N53Z+Qz4Ohb6nDTKTHvHSqb&#10;t2Qx4mLsF+MYoj70ZY1yPQhvjgmbKL3lChPsXBhnVtjN+5WX4vG9ZD38U9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SP94nIAQAAmwMAAA4AAAAAAAAAAQAgAAAAHgEAAGRycy9lMm9Eb2Mu&#10;eG1sUEsFBgAAAAAGAAYAWQEAAFgFAAAAAA==&#10;">
              <v:fill on="f" focussize="0,0"/>
              <v:stroke on="f"/>
              <v:imagedata o:title=""/>
              <o:lock v:ext="edit" aspectratio="f"/>
              <v:textbox inset="0mm,0mm,0mm,0mm" style="mso-fit-shape-to-text:t;">
                <w:txbxContent>
                  <w:p w14:paraId="7B8DD399">
                    <w:pPr>
                      <w:pStyle w:val="8"/>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1080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382479">
                          <w:pPr>
                            <w:pStyle w:val="8"/>
                          </w:pPr>
                          <w:r>
                            <w:fldChar w:fldCharType="begin"/>
                          </w:r>
                          <w:r>
                            <w:instrText xml:space="preserve"> PAGE  \* MERGEFORMAT </w:instrText>
                          </w:r>
                          <w:r>
                            <w:fldChar w:fldCharType="separate"/>
                          </w:r>
                          <w:r>
                            <w:t>89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14:paraId="41382479">
                    <w:pPr>
                      <w:pStyle w:val="8"/>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0FA81">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92879A">
                          <w:pPr>
                            <w:pStyle w:val="8"/>
                          </w:pPr>
                          <w:r>
                            <w:fldChar w:fldCharType="begin"/>
                          </w:r>
                          <w:r>
                            <w:instrText xml:space="preserve"> PAGE  \* MERGEFORMAT </w:instrText>
                          </w:r>
                          <w:r>
                            <w:fldChar w:fldCharType="separate"/>
                          </w:r>
                          <w:r>
                            <w:t>90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692879A">
                    <w:pPr>
                      <w:pStyle w:val="8"/>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1A343">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B21017">
                          <w:pPr>
                            <w:pStyle w:val="8"/>
                          </w:pPr>
                          <w:r>
                            <w:fldChar w:fldCharType="begin"/>
                          </w:r>
                          <w:r>
                            <w:instrText xml:space="preserve"> PAGE  \* MERGEFORMAT </w:instrText>
                          </w:r>
                          <w:r>
                            <w:fldChar w:fldCharType="separate"/>
                          </w:r>
                          <w:r>
                            <w:t>91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BB21017">
                    <w:pPr>
                      <w:pStyle w:val="8"/>
                    </w:pPr>
                    <w:r>
                      <w:fldChar w:fldCharType="begin"/>
                    </w:r>
                    <w:r>
                      <w:instrText xml:space="preserve"> PAGE  \* MERGEFORMAT </w:instrText>
                    </w:r>
                    <w:r>
                      <w:fldChar w:fldCharType="separate"/>
                    </w:r>
                    <w:r>
                      <w:t>91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CA71">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53BFF6">
                          <w:pPr>
                            <w:pStyle w:val="8"/>
                          </w:pPr>
                          <w:r>
                            <w:fldChar w:fldCharType="begin"/>
                          </w:r>
                          <w:r>
                            <w:instrText xml:space="preserve"> PAGE  \* MERGEFORMAT </w:instrText>
                          </w:r>
                          <w:r>
                            <w:fldChar w:fldCharType="separate"/>
                          </w:r>
                          <w:r>
                            <w:t>93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3953BFF6">
                    <w:pPr>
                      <w:pStyle w:val="8"/>
                    </w:pPr>
                    <w:r>
                      <w:fldChar w:fldCharType="begin"/>
                    </w:r>
                    <w:r>
                      <w:instrText xml:space="preserve"> PAGE  \* MERGEFORMAT </w:instrText>
                    </w:r>
                    <w:r>
                      <w:fldChar w:fldCharType="separate"/>
                    </w:r>
                    <w:r>
                      <w:t>93</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DDC36">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12D34B">
                          <w:pPr>
                            <w:pStyle w:val="8"/>
                          </w:pPr>
                          <w:r>
                            <w:fldChar w:fldCharType="begin"/>
                          </w:r>
                          <w:r>
                            <w:instrText xml:space="preserve"> PAGE  \* MERGEFORMAT </w:instrText>
                          </w:r>
                          <w:r>
                            <w:fldChar w:fldCharType="separate"/>
                          </w:r>
                          <w:r>
                            <w:t>94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5A12D34B">
                    <w:pPr>
                      <w:pStyle w:val="8"/>
                    </w:pPr>
                    <w:r>
                      <w:fldChar w:fldCharType="begin"/>
                    </w:r>
                    <w:r>
                      <w:instrText xml:space="preserve"> PAGE  \* MERGEFORMAT </w:instrText>
                    </w:r>
                    <w:r>
                      <w:fldChar w:fldCharType="separate"/>
                    </w:r>
                    <w:r>
                      <w:t>94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D07F9">
    <w:pPr>
      <w:pStyle w:val="8"/>
    </w:pPr>
    <w:r>
      <w:rPr>
        <w:sz w:val="18"/>
      </w:rPr>
      <mc:AlternateContent>
        <mc:Choice Requires="wps">
          <w:drawing>
            <wp:anchor distT="0" distB="0" distL="114300" distR="114300" simplePos="0" relativeHeight="251680768" behindDoc="0" locked="0" layoutInCell="1" allowOverlap="1">
              <wp:simplePos x="0" y="0"/>
              <wp:positionH relativeFrom="margin">
                <wp:posOffset>3024505</wp:posOffset>
              </wp:positionH>
              <wp:positionV relativeFrom="paragraph">
                <wp:posOffset>-589280</wp:posOffset>
              </wp:positionV>
              <wp:extent cx="133350" cy="339725"/>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33350" cy="339725"/>
                      </a:xfrm>
                      <a:prstGeom prst="rect">
                        <a:avLst/>
                      </a:prstGeom>
                      <a:noFill/>
                      <a:ln>
                        <a:noFill/>
                      </a:ln>
                    </wps:spPr>
                    <wps:txbx>
                      <w:txbxContent>
                        <w:p w14:paraId="5A3393F2">
                          <w:pPr>
                            <w:pStyle w:val="8"/>
                          </w:pPr>
                          <w:r>
                            <w:fldChar w:fldCharType="begin"/>
                          </w:r>
                          <w:r>
                            <w:instrText xml:space="preserve"> PAGE  \* MERGEFORMAT </w:instrText>
                          </w:r>
                          <w:r>
                            <w:fldChar w:fldCharType="separate"/>
                          </w:r>
                          <w:r>
                            <w:t>1</w:t>
                          </w:r>
                          <w:r>
                            <w:fldChar w:fldCharType="end"/>
                          </w:r>
                        </w:p>
                      </w:txbxContent>
                    </wps:txbx>
                    <wps:bodyPr lIns="0" tIns="0" rIns="0" bIns="0" upright="0"/>
                  </wps:wsp>
                </a:graphicData>
              </a:graphic>
            </wp:anchor>
          </w:drawing>
        </mc:Choice>
        <mc:Fallback>
          <w:pict>
            <v:shape id="_x0000_s1026" o:spid="_x0000_s1026" o:spt="202" type="#_x0000_t202" style="position:absolute;left:0pt;margin-left:238.15pt;margin-top:-46.4pt;height:26.75pt;width:10.5pt;mso-position-horizontal-relative:margin;z-index:251680768;mso-width-relative:page;mso-height-relative:page;" filled="f" stroked="f" coordsize="21600,21600" o:gfxdata="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B79DX2QAAAAsBAAAPAAAAAAAAAAEAIAAAACIAAABkcnMvZG93bnJldi54bWxQSwEC&#10;FAAUAAAACACHTuJACW6KoLoBAABzAwAADgAAAAAAAAABACAAAAAoAQAAZHJzL2Uyb0RvYy54bWxQ&#10;SwUGAAAAAAYABgBZAQAAVAUAAAAA&#10;">
              <v:fill on="f" focussize="0,0"/>
              <v:stroke on="f"/>
              <v:imagedata o:title=""/>
              <o:lock v:ext="edit" aspectratio="f"/>
              <v:textbox inset="0mm,0mm,0mm,0mm">
                <w:txbxContent>
                  <w:p w14:paraId="5A3393F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5BB3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DC229">
                          <w:pPr>
                            <w:pStyle w:val="8"/>
                          </w:pPr>
                          <w:r>
                            <w:fldChar w:fldCharType="begin"/>
                          </w:r>
                          <w:r>
                            <w:instrText xml:space="preserve"> PAGE  \* MERGEFORMAT </w:instrText>
                          </w:r>
                          <w:r>
                            <w:fldChar w:fldCharType="separate"/>
                          </w:r>
                          <w:r>
                            <w:t>102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7DDC229">
                    <w:pPr>
                      <w:pStyle w:val="8"/>
                    </w:pPr>
                    <w:r>
                      <w:fldChar w:fldCharType="begin"/>
                    </w:r>
                    <w:r>
                      <w:instrText xml:space="preserve"> PAGE  \* MERGEFORMAT </w:instrText>
                    </w:r>
                    <w:r>
                      <w:fldChar w:fldCharType="separate"/>
                    </w:r>
                    <w:r>
                      <w:t>102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0199">
    <w:pPr>
      <w:spacing w:line="179" w:lineRule="auto"/>
      <w:ind w:left="4353"/>
      <w:rPr>
        <w:rFonts w:ascii="宋体" w:hAnsi="宋体" w:eastAsia="宋体" w:cs="宋体"/>
        <w:sz w:val="19"/>
        <w:szCs w:val="19"/>
      </w:rPr>
    </w:pPr>
    <w:r>
      <w:rPr>
        <w:sz w:val="19"/>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6448F3">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WErUc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zpM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nWErUcoBAACbAwAADgAAAAAAAAABACAAAAAeAQAAZHJzL2Uyb0Rv&#10;Yy54bWxQSwUGAAAAAAYABgBZAQAAWgUAAAAA&#10;">
              <v:fill on="f" focussize="0,0"/>
              <v:stroke on="f"/>
              <v:imagedata o:title=""/>
              <o:lock v:ext="edit" aspectratio="f"/>
              <v:textbox inset="0mm,0mm,0mm,0mm" style="mso-fit-shape-to-text:t;">
                <w:txbxContent>
                  <w:p w14:paraId="676448F3">
                    <w:pPr>
                      <w:pStyle w:val="8"/>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ascii="宋体" w:hAnsi="宋体" w:eastAsia="宋体" w:cs="宋体"/>
        <w:sz w:val="19"/>
        <w:szCs w:val="19"/>
        <w:lang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7FF26">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119CC0">
                          <w:pPr>
                            <w:pStyle w:val="8"/>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BkHiCcoBAACbAwAADgAAAAAAAAABACAAAAAeAQAAZHJzL2Uyb0Rv&#10;Yy54bWxQSwUGAAAAAAYABgBZAQAAWgUAAAAA&#10;">
              <v:fill on="f" focussize="0,0"/>
              <v:stroke on="f"/>
              <v:imagedata o:title=""/>
              <o:lock v:ext="edit" aspectratio="f"/>
              <v:textbox inset="0mm,0mm,0mm,0mm" style="mso-fit-shape-to-text:t;">
                <w:txbxContent>
                  <w:p w14:paraId="1F119CC0">
                    <w:pPr>
                      <w:pStyle w:val="8"/>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59332">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D5F1FB">
                          <w:pPr>
                            <w:pStyle w:val="8"/>
                          </w:pPr>
                          <w:r>
                            <w:fldChar w:fldCharType="begin"/>
                          </w:r>
                          <w:r>
                            <w:instrText xml:space="preserve"> PAGE  \* MERGEFORMAT </w:instrText>
                          </w:r>
                          <w:r>
                            <w:fldChar w:fldCharType="separate"/>
                          </w:r>
                          <w:r>
                            <w:t>47</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S3JIMkBAACb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pt6GpJieMWJ375+ePy68/l93eC&#10;PhSoD1Bj3n3AzDS88wOuzewHdGbeg4o2f5ERwTjKe77KK4dERH60Xq3XFYYExuYL4rOH5yFCei+9&#10;JdloaMT5FVn56SOkMXVOydWcv9PGlBka948DMbOH5d7HHrOVhv0wEdr79ox8ehx9Qx1uOiXmg0Nl&#10;85bMRpyN/WwcQ9SHrqxRrgfh9piwidJbrjDCToVxZoXdtF95KR7fS9bDP7X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dLckgyQEAAJsDAAAOAAAAAAAAAAEAIAAAAB4BAABkcnMvZTJvRG9j&#10;LnhtbFBLBQYAAAAABgAGAFkBAABZBQAAAAA=&#10;">
              <v:fill on="f" focussize="0,0"/>
              <v:stroke on="f"/>
              <v:imagedata o:title=""/>
              <o:lock v:ext="edit" aspectratio="f"/>
              <v:textbox inset="0mm,0mm,0mm,0mm" style="mso-fit-shape-to-text:t;">
                <w:txbxContent>
                  <w:p w14:paraId="3BD5F1FB">
                    <w:pPr>
                      <w:pStyle w:val="8"/>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4C173">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ED13CE">
                          <w:pPr>
                            <w:pStyle w:val="8"/>
                          </w:pPr>
                          <w:r>
                            <w:fldChar w:fldCharType="begin"/>
                          </w:r>
                          <w:r>
                            <w:instrText xml:space="preserve"> PAGE  \* MERGEFORMAT </w:instrText>
                          </w:r>
                          <w:r>
                            <w:fldChar w:fldCharType="separate"/>
                          </w:r>
                          <w:r>
                            <w:t>50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U4M8c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DV2iJI5bnPj5x/fzz9/nX98I&#10;+lCgPkCNeY8BM9Nw4wdcm9kP6My8BxVt/iIjgnHEOl3klUMiIj9aLVerCkMCY/MF8dnT8xAh3Ulv&#10;STYaGnF+RVZ+vIc0ps4puZrzt9qYMkPj/nIgZvaw3PvYY7bSsBsmQjvfnpBPj6NvqMNNp8R8dKgs&#10;9pdmI87GbjYOIep9V9Yo14Pw4ZCwidJbrjDCToVxZoXdtF95KZ7fS9bTP7X5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TgzxyQEAAJsDAAAOAAAAAAAAAAEAIAAAAB4BAABkcnMvZTJvRG9j&#10;LnhtbFBLBQYAAAAABgAGAFkBAABZBQAAAAA=&#10;">
              <v:fill on="f" focussize="0,0"/>
              <v:stroke on="f"/>
              <v:imagedata o:title=""/>
              <o:lock v:ext="edit" aspectratio="f"/>
              <v:textbox inset="0mm,0mm,0mm,0mm" style="mso-fit-shape-to-text:t;">
                <w:txbxContent>
                  <w:p w14:paraId="0AED13CE">
                    <w:pPr>
                      <w:pStyle w:val="8"/>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DCA5A">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319613">
                          <w:pPr>
                            <w:pStyle w:val="8"/>
                          </w:pPr>
                          <w:r>
                            <w:fldChar w:fldCharType="begin"/>
                          </w:r>
                          <w:r>
                            <w:instrText xml:space="preserve"> PAGE  \* MERGEFORMAT </w:instrText>
                          </w:r>
                          <w:r>
                            <w:fldChar w:fldCharType="separate"/>
                          </w:r>
                          <w:r>
                            <w:t>78</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0AeMkBAACb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ctrShy3OPHzzx/nX3/Ov78T&#10;9KFAfYAa8x4CZqbhgx9wbWY/oDPzHlS0+YuMCMZR3tNFXjkkIvKj1XK1qjAkMDZfEJ89Pg8R0kfp&#10;LclGQyPOr8jKj3eQxtQ5JVdz/lYbU2Zo3H8OxMwelnsfe8xWGnbDRGjn2xPy6XH0DXW46ZSYTw6V&#10;zVsyG3E2drNxCFHvu7JGuR6E94eETZTecoURdiqMMyvspv3KS/HvvWQ9/lO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GDQB4yQEAAJsDAAAOAAAAAAAAAAEAIAAAAB4BAABkcnMvZTJvRG9j&#10;LnhtbFBLBQYAAAAABgAGAFkBAABZBQAAAAA=&#10;">
              <v:fill on="f" focussize="0,0"/>
              <v:stroke on="f"/>
              <v:imagedata o:title=""/>
              <o:lock v:ext="edit" aspectratio="f"/>
              <v:textbox inset="0mm,0mm,0mm,0mm" style="mso-fit-shape-to-text:t;">
                <w:txbxContent>
                  <w:p w14:paraId="78319613">
                    <w:pPr>
                      <w:pStyle w:val="8"/>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FDE00">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4DAE0F">
                          <w:pPr>
                            <w:pStyle w:val="8"/>
                          </w:pPr>
                          <w:r>
                            <w:fldChar w:fldCharType="begin"/>
                          </w:r>
                          <w:r>
                            <w:instrText xml:space="preserve"> PAGE  \* MERGEFORMAT </w:instrText>
                          </w:r>
                          <w:r>
                            <w:fldChar w:fldCharType="separate"/>
                          </w:r>
                          <w:r>
                            <w:t>79</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oqY8kBAACb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vKHHc4sTPP3+cfz2eH74T&#10;9KFAfYAa8+4CZqbhvR8wefYDOjPvQUWbv8iIYBzlPV3klUMiIj9aLVerCkMCY/MF8dnT8xAhfZDe&#10;kmw0NOL8iqz8+AnSmDqn5GrO32pjygyN+8uBmNnDcu9jj9lKw26YCO18e0I+PY6+oQ43nRLz0aGy&#10;eUtmI87GbjYOIep9V9Yo14Pw7pCwidJbrjDCToVxZoXdtF95Kf68l6ynf2rz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1mipjyQEAAJsDAAAOAAAAAAAAAAEAIAAAAB4BAABkcnMvZTJvRG9j&#10;LnhtbFBLBQYAAAAABgAGAFkBAABZBQAAAAA=&#10;">
              <v:fill on="f" focussize="0,0"/>
              <v:stroke on="f"/>
              <v:imagedata o:title=""/>
              <o:lock v:ext="edit" aspectratio="f"/>
              <v:textbox inset="0mm,0mm,0mm,0mm" style="mso-fit-shape-to-text:t;">
                <w:txbxContent>
                  <w:p w14:paraId="214DAE0F">
                    <w:pPr>
                      <w:pStyle w:val="8"/>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3E01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9567FB9">
                          <w:pPr>
                            <w:pStyle w:val="8"/>
                          </w:pPr>
                          <w:r>
                            <w:fldChar w:fldCharType="begin"/>
                          </w:r>
                          <w:r>
                            <w:instrText xml:space="preserve"> PAGE  \* MERGEFORMAT </w:instrText>
                          </w:r>
                          <w:r>
                            <w:fldChar w:fldCharType="separate"/>
                          </w:r>
                          <w:r>
                            <w:t>80</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W9EbyQEAAJsDAAAOAAAAAAAAAAEAIAAAAB4BAABkcnMvZTJvRG9j&#10;LnhtbFBLBQYAAAAABgAGAFkBAABZBQAAAAA=&#10;">
              <v:fill on="f" focussize="0,0"/>
              <v:stroke on="f"/>
              <v:imagedata o:title=""/>
              <o:lock v:ext="edit" aspectratio="f"/>
              <v:textbox inset="0mm,0mm,0mm,0mm" style="mso-fit-shape-to-text:t;">
                <w:txbxContent>
                  <w:p w14:paraId="29567FB9">
                    <w:pPr>
                      <w:pStyle w:val="8"/>
                    </w:pPr>
                    <w:r>
                      <w:fldChar w:fldCharType="begin"/>
                    </w:r>
                    <w:r>
                      <w:instrText xml:space="preserve"> PAGE  \* MERGEFORMAT </w:instrText>
                    </w:r>
                    <w:r>
                      <w:fldChar w:fldCharType="separate"/>
                    </w:r>
                    <w:r>
                      <w:t>80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BD73E">
    <w:pPr>
      <w:pStyle w:val="5"/>
      <w:spacing w:line="5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60057">
    <w:pPr>
      <w:pStyle w:val="5"/>
      <w:spacing w:line="50"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1CC2">
    <w:pPr>
      <w:pStyle w:val="5"/>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8046">
    <w:pPr>
      <w:pStyle w:val="5"/>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CDAD53"/>
    <w:multiLevelType w:val="singleLevel"/>
    <w:tmpl w:val="D0CDAD53"/>
    <w:lvl w:ilvl="0" w:tentative="0">
      <w:start w:val="1"/>
      <w:numFmt w:val="decimal"/>
      <w:suff w:val="nothing"/>
      <w:lvlText w:val="%1．"/>
      <w:lvlJc w:val="left"/>
    </w:lvl>
  </w:abstractNum>
  <w:abstractNum w:abstractNumId="1">
    <w:nsid w:val="E6C9BDCA"/>
    <w:multiLevelType w:val="singleLevel"/>
    <w:tmpl w:val="E6C9BDCA"/>
    <w:lvl w:ilvl="0" w:tentative="0">
      <w:start w:val="1"/>
      <w:numFmt w:val="decimal"/>
      <w:suff w:val="nothing"/>
      <w:lvlText w:val="（%1）"/>
      <w:lvlJc w:val="left"/>
    </w:lvl>
  </w:abstractNum>
  <w:abstractNum w:abstractNumId="2">
    <w:nsid w:val="00000003"/>
    <w:multiLevelType w:val="singleLevel"/>
    <w:tmpl w:val="00000003"/>
    <w:lvl w:ilvl="0" w:tentative="0">
      <w:start w:val="1"/>
      <w:numFmt w:val="decimal"/>
      <w:suff w:val="nothing"/>
      <w:lvlText w:val="（%1）"/>
      <w:lvlJc w:val="left"/>
    </w:lvl>
  </w:abstractNum>
  <w:abstractNum w:abstractNumId="3">
    <w:nsid w:val="55CABC77"/>
    <w:multiLevelType w:val="singleLevel"/>
    <w:tmpl w:val="55CABC77"/>
    <w:lvl w:ilvl="0" w:tentative="0">
      <w:start w:val="1"/>
      <w:numFmt w:val="decimal"/>
      <w:lvlText w:val="%1."/>
      <w:lvlJc w:val="left"/>
      <w:pPr>
        <w:tabs>
          <w:tab w:val="left" w:pos="312"/>
        </w:tabs>
      </w:pPr>
    </w:lvl>
  </w:abstractNum>
  <w:abstractNum w:abstractNumId="4">
    <w:nsid w:val="609EB8A8"/>
    <w:multiLevelType w:val="singleLevel"/>
    <w:tmpl w:val="609EB8A8"/>
    <w:lvl w:ilvl="0" w:tentative="0">
      <w:start w:val="1"/>
      <w:numFmt w:val="decimal"/>
      <w:lvlText w:val="%1."/>
      <w:lvlJc w:val="left"/>
      <w:pPr>
        <w:tabs>
          <w:tab w:val="left" w:pos="312"/>
        </w:tabs>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ZmUxYzUwZTk0YWQ4OWIxZDY5YjRhZmIwMjUzNzMifQ=="/>
  </w:docVars>
  <w:rsids>
    <w:rsidRoot w:val="4F582EF7"/>
    <w:rsid w:val="00072C34"/>
    <w:rsid w:val="00473031"/>
    <w:rsid w:val="00824069"/>
    <w:rsid w:val="00C766A9"/>
    <w:rsid w:val="00D61DC8"/>
    <w:rsid w:val="01276505"/>
    <w:rsid w:val="013F232E"/>
    <w:rsid w:val="014C6B51"/>
    <w:rsid w:val="018B7D8A"/>
    <w:rsid w:val="01B6213A"/>
    <w:rsid w:val="01BE1198"/>
    <w:rsid w:val="01E25ABE"/>
    <w:rsid w:val="01EE7C08"/>
    <w:rsid w:val="01FD63CC"/>
    <w:rsid w:val="02337D11"/>
    <w:rsid w:val="023B3D55"/>
    <w:rsid w:val="024F6BF1"/>
    <w:rsid w:val="02BF0C55"/>
    <w:rsid w:val="02F13018"/>
    <w:rsid w:val="031418F0"/>
    <w:rsid w:val="0358304C"/>
    <w:rsid w:val="03661A20"/>
    <w:rsid w:val="038A3960"/>
    <w:rsid w:val="039E06FB"/>
    <w:rsid w:val="04021749"/>
    <w:rsid w:val="04B67F25"/>
    <w:rsid w:val="04BF763A"/>
    <w:rsid w:val="04E2157A"/>
    <w:rsid w:val="04EF43C3"/>
    <w:rsid w:val="050B1B91"/>
    <w:rsid w:val="055E6E53"/>
    <w:rsid w:val="056C5F91"/>
    <w:rsid w:val="05D4768F"/>
    <w:rsid w:val="05E67124"/>
    <w:rsid w:val="05E732EC"/>
    <w:rsid w:val="05EC614B"/>
    <w:rsid w:val="062235DD"/>
    <w:rsid w:val="06304C93"/>
    <w:rsid w:val="063C112F"/>
    <w:rsid w:val="06856661"/>
    <w:rsid w:val="069B537E"/>
    <w:rsid w:val="06C70A28"/>
    <w:rsid w:val="06C929F2"/>
    <w:rsid w:val="06CA23DC"/>
    <w:rsid w:val="06D05B2E"/>
    <w:rsid w:val="06DD024B"/>
    <w:rsid w:val="07001B9F"/>
    <w:rsid w:val="07133987"/>
    <w:rsid w:val="07520C39"/>
    <w:rsid w:val="07A1396F"/>
    <w:rsid w:val="07A71DAB"/>
    <w:rsid w:val="07B92A66"/>
    <w:rsid w:val="07DE24CD"/>
    <w:rsid w:val="086230FE"/>
    <w:rsid w:val="088C763C"/>
    <w:rsid w:val="08CD7283"/>
    <w:rsid w:val="08E41D65"/>
    <w:rsid w:val="08EB6C4F"/>
    <w:rsid w:val="092D5890"/>
    <w:rsid w:val="09377CD6"/>
    <w:rsid w:val="0963211F"/>
    <w:rsid w:val="09724BB7"/>
    <w:rsid w:val="09C807D3"/>
    <w:rsid w:val="09F06AB0"/>
    <w:rsid w:val="09FA34EB"/>
    <w:rsid w:val="09FF4A68"/>
    <w:rsid w:val="0A62467A"/>
    <w:rsid w:val="0A7D4664"/>
    <w:rsid w:val="0A87732E"/>
    <w:rsid w:val="0AD33307"/>
    <w:rsid w:val="0AE05E8C"/>
    <w:rsid w:val="0AF3628F"/>
    <w:rsid w:val="0B3866B7"/>
    <w:rsid w:val="0B70642C"/>
    <w:rsid w:val="0B9E41C6"/>
    <w:rsid w:val="0BC6217A"/>
    <w:rsid w:val="0BD240F7"/>
    <w:rsid w:val="0C120997"/>
    <w:rsid w:val="0C2A7A8F"/>
    <w:rsid w:val="0C2B1A59"/>
    <w:rsid w:val="0C4153D2"/>
    <w:rsid w:val="0C49746F"/>
    <w:rsid w:val="0C597D15"/>
    <w:rsid w:val="0CA07D76"/>
    <w:rsid w:val="0CA27F6D"/>
    <w:rsid w:val="0CF14A50"/>
    <w:rsid w:val="0D03679A"/>
    <w:rsid w:val="0D3B3F1D"/>
    <w:rsid w:val="0D4F62D4"/>
    <w:rsid w:val="0DCB0DFD"/>
    <w:rsid w:val="0DCE22AF"/>
    <w:rsid w:val="0DF525DE"/>
    <w:rsid w:val="0DF61CE0"/>
    <w:rsid w:val="0DF86616"/>
    <w:rsid w:val="0E1E1875"/>
    <w:rsid w:val="0E460DCC"/>
    <w:rsid w:val="0E684952"/>
    <w:rsid w:val="0E86353F"/>
    <w:rsid w:val="0E8E37ED"/>
    <w:rsid w:val="0EAF2E14"/>
    <w:rsid w:val="0EDB59B8"/>
    <w:rsid w:val="0F06693D"/>
    <w:rsid w:val="0F1C2D99"/>
    <w:rsid w:val="0F6F04DC"/>
    <w:rsid w:val="105858FC"/>
    <w:rsid w:val="106C3AC2"/>
    <w:rsid w:val="108403E2"/>
    <w:rsid w:val="109275A9"/>
    <w:rsid w:val="10C15734"/>
    <w:rsid w:val="10C44237"/>
    <w:rsid w:val="10C761F4"/>
    <w:rsid w:val="11164A85"/>
    <w:rsid w:val="1122342A"/>
    <w:rsid w:val="11533574"/>
    <w:rsid w:val="11785740"/>
    <w:rsid w:val="117A3266"/>
    <w:rsid w:val="11862732"/>
    <w:rsid w:val="118F278E"/>
    <w:rsid w:val="119D4F21"/>
    <w:rsid w:val="11A47985"/>
    <w:rsid w:val="11AC40AD"/>
    <w:rsid w:val="11C67A56"/>
    <w:rsid w:val="11D80D88"/>
    <w:rsid w:val="12474DCB"/>
    <w:rsid w:val="12527641"/>
    <w:rsid w:val="126805E3"/>
    <w:rsid w:val="12E7492B"/>
    <w:rsid w:val="12E74FC1"/>
    <w:rsid w:val="12F27F6E"/>
    <w:rsid w:val="13405DEA"/>
    <w:rsid w:val="14141B79"/>
    <w:rsid w:val="1457788F"/>
    <w:rsid w:val="145C4EA5"/>
    <w:rsid w:val="14760C96"/>
    <w:rsid w:val="14882C02"/>
    <w:rsid w:val="14D013EF"/>
    <w:rsid w:val="150A2744"/>
    <w:rsid w:val="150D2643"/>
    <w:rsid w:val="15115C90"/>
    <w:rsid w:val="155A4F75"/>
    <w:rsid w:val="15763D45"/>
    <w:rsid w:val="15853F88"/>
    <w:rsid w:val="15A45AE5"/>
    <w:rsid w:val="15D97B34"/>
    <w:rsid w:val="15DC13FE"/>
    <w:rsid w:val="15E038B4"/>
    <w:rsid w:val="16005D04"/>
    <w:rsid w:val="160E0085"/>
    <w:rsid w:val="162E6E4D"/>
    <w:rsid w:val="16443E43"/>
    <w:rsid w:val="16737FC1"/>
    <w:rsid w:val="16C17241"/>
    <w:rsid w:val="16CB00C0"/>
    <w:rsid w:val="16CB4A2F"/>
    <w:rsid w:val="1722468F"/>
    <w:rsid w:val="173C4B1A"/>
    <w:rsid w:val="17726DD2"/>
    <w:rsid w:val="17C50FB3"/>
    <w:rsid w:val="18226406"/>
    <w:rsid w:val="182A472E"/>
    <w:rsid w:val="18602A8A"/>
    <w:rsid w:val="18BF7F3A"/>
    <w:rsid w:val="190B3062"/>
    <w:rsid w:val="1963464B"/>
    <w:rsid w:val="197764F6"/>
    <w:rsid w:val="1981143D"/>
    <w:rsid w:val="19BC1F42"/>
    <w:rsid w:val="1A3A6836"/>
    <w:rsid w:val="1A584D7E"/>
    <w:rsid w:val="1A5B5BFF"/>
    <w:rsid w:val="1A5D1977"/>
    <w:rsid w:val="1AC50DC4"/>
    <w:rsid w:val="1AE57555"/>
    <w:rsid w:val="1B0A266C"/>
    <w:rsid w:val="1B656D35"/>
    <w:rsid w:val="1B6A170F"/>
    <w:rsid w:val="1B745FC1"/>
    <w:rsid w:val="1B8D003A"/>
    <w:rsid w:val="1BEC4D61"/>
    <w:rsid w:val="1C0F0A4F"/>
    <w:rsid w:val="1C2A3ADB"/>
    <w:rsid w:val="1C324211"/>
    <w:rsid w:val="1C512E14"/>
    <w:rsid w:val="1C5632C7"/>
    <w:rsid w:val="1C7F3E27"/>
    <w:rsid w:val="1CFB0616"/>
    <w:rsid w:val="1D880AB9"/>
    <w:rsid w:val="1DA27862"/>
    <w:rsid w:val="1DD16375"/>
    <w:rsid w:val="1DE11B57"/>
    <w:rsid w:val="1E206F43"/>
    <w:rsid w:val="1E3B5B2B"/>
    <w:rsid w:val="1E491296"/>
    <w:rsid w:val="1E4F7829"/>
    <w:rsid w:val="1E5D49E3"/>
    <w:rsid w:val="1E994221"/>
    <w:rsid w:val="1EDA5344"/>
    <w:rsid w:val="1EE13915"/>
    <w:rsid w:val="1EE461C3"/>
    <w:rsid w:val="1F077682"/>
    <w:rsid w:val="1F487665"/>
    <w:rsid w:val="1F683A66"/>
    <w:rsid w:val="1F875754"/>
    <w:rsid w:val="1FFE32B4"/>
    <w:rsid w:val="2020237A"/>
    <w:rsid w:val="20515ADA"/>
    <w:rsid w:val="20801F1B"/>
    <w:rsid w:val="208A4B48"/>
    <w:rsid w:val="209669C5"/>
    <w:rsid w:val="20B16579"/>
    <w:rsid w:val="20C37337"/>
    <w:rsid w:val="20CB1F07"/>
    <w:rsid w:val="20F6072B"/>
    <w:rsid w:val="21090925"/>
    <w:rsid w:val="21244F9D"/>
    <w:rsid w:val="213D3171"/>
    <w:rsid w:val="222C2B90"/>
    <w:rsid w:val="22457E73"/>
    <w:rsid w:val="22837AA1"/>
    <w:rsid w:val="22884FD6"/>
    <w:rsid w:val="22CD439A"/>
    <w:rsid w:val="22F866E1"/>
    <w:rsid w:val="23213C5D"/>
    <w:rsid w:val="232C2DD6"/>
    <w:rsid w:val="2331574F"/>
    <w:rsid w:val="233953DA"/>
    <w:rsid w:val="235B72E4"/>
    <w:rsid w:val="23931F66"/>
    <w:rsid w:val="23C465C3"/>
    <w:rsid w:val="24262DDA"/>
    <w:rsid w:val="2446643F"/>
    <w:rsid w:val="24521E21"/>
    <w:rsid w:val="246102B6"/>
    <w:rsid w:val="24782AD4"/>
    <w:rsid w:val="248726E0"/>
    <w:rsid w:val="249C3951"/>
    <w:rsid w:val="24DB3BC4"/>
    <w:rsid w:val="24FA6740"/>
    <w:rsid w:val="25004979"/>
    <w:rsid w:val="25243F0A"/>
    <w:rsid w:val="2535226A"/>
    <w:rsid w:val="253A7C36"/>
    <w:rsid w:val="254C2D14"/>
    <w:rsid w:val="256D06AE"/>
    <w:rsid w:val="2582242A"/>
    <w:rsid w:val="259D2ECD"/>
    <w:rsid w:val="25A55F80"/>
    <w:rsid w:val="25B20381"/>
    <w:rsid w:val="25E62821"/>
    <w:rsid w:val="25F25669"/>
    <w:rsid w:val="260B04D9"/>
    <w:rsid w:val="264763B7"/>
    <w:rsid w:val="2672726E"/>
    <w:rsid w:val="26734FA1"/>
    <w:rsid w:val="26881A92"/>
    <w:rsid w:val="268B2A3A"/>
    <w:rsid w:val="268B3DAD"/>
    <w:rsid w:val="26962499"/>
    <w:rsid w:val="26A61FB0"/>
    <w:rsid w:val="27035E88"/>
    <w:rsid w:val="27415C62"/>
    <w:rsid w:val="27B65EBB"/>
    <w:rsid w:val="27CA47C6"/>
    <w:rsid w:val="282B4E63"/>
    <w:rsid w:val="28884FF7"/>
    <w:rsid w:val="289A5B44"/>
    <w:rsid w:val="289F315B"/>
    <w:rsid w:val="28D472A8"/>
    <w:rsid w:val="29017971"/>
    <w:rsid w:val="290F389D"/>
    <w:rsid w:val="294247D5"/>
    <w:rsid w:val="29437A2E"/>
    <w:rsid w:val="2962542C"/>
    <w:rsid w:val="298F4526"/>
    <w:rsid w:val="299E36C0"/>
    <w:rsid w:val="29CC6CA4"/>
    <w:rsid w:val="2A655F72"/>
    <w:rsid w:val="2B367172"/>
    <w:rsid w:val="2B7314CC"/>
    <w:rsid w:val="2B784A6E"/>
    <w:rsid w:val="2B9A7B07"/>
    <w:rsid w:val="2BA07916"/>
    <w:rsid w:val="2BAE2033"/>
    <w:rsid w:val="2BB37649"/>
    <w:rsid w:val="2BC9037C"/>
    <w:rsid w:val="2BFD3113"/>
    <w:rsid w:val="2C0003B4"/>
    <w:rsid w:val="2C1005F7"/>
    <w:rsid w:val="2C15160E"/>
    <w:rsid w:val="2C44430E"/>
    <w:rsid w:val="2C4F172C"/>
    <w:rsid w:val="2C9C00DD"/>
    <w:rsid w:val="2CA156F3"/>
    <w:rsid w:val="2D0C6C82"/>
    <w:rsid w:val="2D906B09"/>
    <w:rsid w:val="2D9C5EBB"/>
    <w:rsid w:val="2DD973AC"/>
    <w:rsid w:val="2DFB1659"/>
    <w:rsid w:val="2E0221C2"/>
    <w:rsid w:val="2E611B70"/>
    <w:rsid w:val="2E9A689E"/>
    <w:rsid w:val="2ECB6A58"/>
    <w:rsid w:val="2EDD4BB1"/>
    <w:rsid w:val="2EE93382"/>
    <w:rsid w:val="2F01185F"/>
    <w:rsid w:val="2F2729AC"/>
    <w:rsid w:val="2F3C0F4C"/>
    <w:rsid w:val="2FB82F9F"/>
    <w:rsid w:val="2FE418AC"/>
    <w:rsid w:val="2FE5383E"/>
    <w:rsid w:val="2FEA4C7F"/>
    <w:rsid w:val="30330D58"/>
    <w:rsid w:val="3037089D"/>
    <w:rsid w:val="30EA3353"/>
    <w:rsid w:val="30F63FC7"/>
    <w:rsid w:val="31013C49"/>
    <w:rsid w:val="312319EF"/>
    <w:rsid w:val="313C778B"/>
    <w:rsid w:val="317259F8"/>
    <w:rsid w:val="318F6462"/>
    <w:rsid w:val="31E3230A"/>
    <w:rsid w:val="321A2D0F"/>
    <w:rsid w:val="32382656"/>
    <w:rsid w:val="324D664C"/>
    <w:rsid w:val="3267118D"/>
    <w:rsid w:val="32870EE7"/>
    <w:rsid w:val="32BE6EB2"/>
    <w:rsid w:val="32C7154E"/>
    <w:rsid w:val="33156D5E"/>
    <w:rsid w:val="3317207A"/>
    <w:rsid w:val="331A6B7B"/>
    <w:rsid w:val="331F2052"/>
    <w:rsid w:val="333554DB"/>
    <w:rsid w:val="33396D39"/>
    <w:rsid w:val="33643EF5"/>
    <w:rsid w:val="33D80BF4"/>
    <w:rsid w:val="33D939C5"/>
    <w:rsid w:val="33F77F81"/>
    <w:rsid w:val="34254482"/>
    <w:rsid w:val="346F257B"/>
    <w:rsid w:val="348C4EDB"/>
    <w:rsid w:val="348E1204"/>
    <w:rsid w:val="348F605A"/>
    <w:rsid w:val="34E716B6"/>
    <w:rsid w:val="3505113E"/>
    <w:rsid w:val="35233259"/>
    <w:rsid w:val="35357321"/>
    <w:rsid w:val="355115AF"/>
    <w:rsid w:val="359F2BE0"/>
    <w:rsid w:val="35AE6CC5"/>
    <w:rsid w:val="35FC399A"/>
    <w:rsid w:val="362A675A"/>
    <w:rsid w:val="36B60605"/>
    <w:rsid w:val="36DB3EF8"/>
    <w:rsid w:val="36DB7A54"/>
    <w:rsid w:val="36EC39E0"/>
    <w:rsid w:val="37484E0B"/>
    <w:rsid w:val="37647A49"/>
    <w:rsid w:val="37704640"/>
    <w:rsid w:val="37704A11"/>
    <w:rsid w:val="37C45ACE"/>
    <w:rsid w:val="37DF2D89"/>
    <w:rsid w:val="37E335F2"/>
    <w:rsid w:val="3835053A"/>
    <w:rsid w:val="38477753"/>
    <w:rsid w:val="3851299E"/>
    <w:rsid w:val="386B727B"/>
    <w:rsid w:val="38BE1535"/>
    <w:rsid w:val="39194863"/>
    <w:rsid w:val="391D7376"/>
    <w:rsid w:val="39403E21"/>
    <w:rsid w:val="397A7B42"/>
    <w:rsid w:val="399A1E48"/>
    <w:rsid w:val="39B4157B"/>
    <w:rsid w:val="39D55A01"/>
    <w:rsid w:val="39DA2245"/>
    <w:rsid w:val="3A104D75"/>
    <w:rsid w:val="3A344D97"/>
    <w:rsid w:val="3A4C2C68"/>
    <w:rsid w:val="3A4D1A2B"/>
    <w:rsid w:val="3A5244D1"/>
    <w:rsid w:val="3A5E69D2"/>
    <w:rsid w:val="3B2C2F74"/>
    <w:rsid w:val="3B3415C4"/>
    <w:rsid w:val="3B345984"/>
    <w:rsid w:val="3B351E28"/>
    <w:rsid w:val="3B4F53C1"/>
    <w:rsid w:val="3B626996"/>
    <w:rsid w:val="3B6C6BA3"/>
    <w:rsid w:val="3B78218B"/>
    <w:rsid w:val="3BAE3989"/>
    <w:rsid w:val="3BB15227"/>
    <w:rsid w:val="3BF02721"/>
    <w:rsid w:val="3BFA0A8A"/>
    <w:rsid w:val="3C242530"/>
    <w:rsid w:val="3C4165AB"/>
    <w:rsid w:val="3CCA02B2"/>
    <w:rsid w:val="3CD613E9"/>
    <w:rsid w:val="3CE62383"/>
    <w:rsid w:val="3CEC7A2A"/>
    <w:rsid w:val="3D0433A8"/>
    <w:rsid w:val="3D0F69B6"/>
    <w:rsid w:val="3D2959BD"/>
    <w:rsid w:val="3D3219D3"/>
    <w:rsid w:val="3D3474F8"/>
    <w:rsid w:val="3DBB432A"/>
    <w:rsid w:val="3DCE35B6"/>
    <w:rsid w:val="3DD136B5"/>
    <w:rsid w:val="3DD5344F"/>
    <w:rsid w:val="3E0F3EB7"/>
    <w:rsid w:val="3E2609B2"/>
    <w:rsid w:val="3E76426F"/>
    <w:rsid w:val="3E7F6463"/>
    <w:rsid w:val="3E962D65"/>
    <w:rsid w:val="3ECB4852"/>
    <w:rsid w:val="3EEB0292"/>
    <w:rsid w:val="3F281B00"/>
    <w:rsid w:val="3F6A7BC7"/>
    <w:rsid w:val="3F930BE9"/>
    <w:rsid w:val="3F952DC8"/>
    <w:rsid w:val="3FE15005"/>
    <w:rsid w:val="3FE77469"/>
    <w:rsid w:val="400E2C48"/>
    <w:rsid w:val="407E19EB"/>
    <w:rsid w:val="40ED6D01"/>
    <w:rsid w:val="41216845"/>
    <w:rsid w:val="413A36FE"/>
    <w:rsid w:val="4176014F"/>
    <w:rsid w:val="4213220D"/>
    <w:rsid w:val="4235270E"/>
    <w:rsid w:val="42360D90"/>
    <w:rsid w:val="423F17DF"/>
    <w:rsid w:val="42461BF0"/>
    <w:rsid w:val="424C7A58"/>
    <w:rsid w:val="427179B7"/>
    <w:rsid w:val="428D039F"/>
    <w:rsid w:val="429E2362"/>
    <w:rsid w:val="42E01C4D"/>
    <w:rsid w:val="42FC0E58"/>
    <w:rsid w:val="43077F25"/>
    <w:rsid w:val="4310792B"/>
    <w:rsid w:val="43621354"/>
    <w:rsid w:val="436D5ED7"/>
    <w:rsid w:val="437454B8"/>
    <w:rsid w:val="43947908"/>
    <w:rsid w:val="43AA0EDA"/>
    <w:rsid w:val="43D25E53"/>
    <w:rsid w:val="43E25FC1"/>
    <w:rsid w:val="440138A0"/>
    <w:rsid w:val="44246EDE"/>
    <w:rsid w:val="44692B43"/>
    <w:rsid w:val="447C65C0"/>
    <w:rsid w:val="448742A8"/>
    <w:rsid w:val="44875C56"/>
    <w:rsid w:val="44983428"/>
    <w:rsid w:val="44C47D79"/>
    <w:rsid w:val="451A208F"/>
    <w:rsid w:val="45433394"/>
    <w:rsid w:val="45877724"/>
    <w:rsid w:val="458A0FC3"/>
    <w:rsid w:val="458D2861"/>
    <w:rsid w:val="45BB3260"/>
    <w:rsid w:val="46092999"/>
    <w:rsid w:val="4612476D"/>
    <w:rsid w:val="468F5CB4"/>
    <w:rsid w:val="46957C1F"/>
    <w:rsid w:val="46C027C2"/>
    <w:rsid w:val="4743767B"/>
    <w:rsid w:val="474820C5"/>
    <w:rsid w:val="474855C4"/>
    <w:rsid w:val="475B13E7"/>
    <w:rsid w:val="47777325"/>
    <w:rsid w:val="47DD7AD0"/>
    <w:rsid w:val="47E70FBB"/>
    <w:rsid w:val="47F02414"/>
    <w:rsid w:val="48021647"/>
    <w:rsid w:val="48175C93"/>
    <w:rsid w:val="481D611E"/>
    <w:rsid w:val="48221986"/>
    <w:rsid w:val="48B545A9"/>
    <w:rsid w:val="48D10CB7"/>
    <w:rsid w:val="48D34790"/>
    <w:rsid w:val="48ED18F0"/>
    <w:rsid w:val="48F826E7"/>
    <w:rsid w:val="4929464F"/>
    <w:rsid w:val="494C6C0E"/>
    <w:rsid w:val="4955379A"/>
    <w:rsid w:val="498C348F"/>
    <w:rsid w:val="49C34AA3"/>
    <w:rsid w:val="49DA3B9B"/>
    <w:rsid w:val="49DA528B"/>
    <w:rsid w:val="49FA4012"/>
    <w:rsid w:val="49FA5FEB"/>
    <w:rsid w:val="4A4F4589"/>
    <w:rsid w:val="4A5573E4"/>
    <w:rsid w:val="4A62606A"/>
    <w:rsid w:val="4A712751"/>
    <w:rsid w:val="4AF87271"/>
    <w:rsid w:val="4B036BFD"/>
    <w:rsid w:val="4B380D6F"/>
    <w:rsid w:val="4B3A1029"/>
    <w:rsid w:val="4B555BCF"/>
    <w:rsid w:val="4B5A3EB8"/>
    <w:rsid w:val="4B6E0A3F"/>
    <w:rsid w:val="4B771FE9"/>
    <w:rsid w:val="4BBC29D4"/>
    <w:rsid w:val="4BD304AC"/>
    <w:rsid w:val="4C3C0B3D"/>
    <w:rsid w:val="4C443C2D"/>
    <w:rsid w:val="4C560DCF"/>
    <w:rsid w:val="4C723258"/>
    <w:rsid w:val="4CB608EF"/>
    <w:rsid w:val="4D0E072B"/>
    <w:rsid w:val="4D0F1621"/>
    <w:rsid w:val="4D24354A"/>
    <w:rsid w:val="4D4E6D7A"/>
    <w:rsid w:val="4D9A1FBF"/>
    <w:rsid w:val="4DCE1F8B"/>
    <w:rsid w:val="4DF94F37"/>
    <w:rsid w:val="4E0D2791"/>
    <w:rsid w:val="4E2A6045"/>
    <w:rsid w:val="4E4242CC"/>
    <w:rsid w:val="4E437F61"/>
    <w:rsid w:val="4E4E19C6"/>
    <w:rsid w:val="4EB40E5E"/>
    <w:rsid w:val="4EEE59F5"/>
    <w:rsid w:val="4F1A33B7"/>
    <w:rsid w:val="4F411EB6"/>
    <w:rsid w:val="4F582EF7"/>
    <w:rsid w:val="4FB64D53"/>
    <w:rsid w:val="4FBA24A4"/>
    <w:rsid w:val="4FBB7FCB"/>
    <w:rsid w:val="50100316"/>
    <w:rsid w:val="502A41CA"/>
    <w:rsid w:val="50377300"/>
    <w:rsid w:val="50983373"/>
    <w:rsid w:val="50AB5953"/>
    <w:rsid w:val="50D60C20"/>
    <w:rsid w:val="51183927"/>
    <w:rsid w:val="5135755A"/>
    <w:rsid w:val="51574F11"/>
    <w:rsid w:val="517B73AD"/>
    <w:rsid w:val="518A5306"/>
    <w:rsid w:val="51983548"/>
    <w:rsid w:val="51AB3D3B"/>
    <w:rsid w:val="51BD3D23"/>
    <w:rsid w:val="51D04201"/>
    <w:rsid w:val="51DA0BDC"/>
    <w:rsid w:val="51DC4954"/>
    <w:rsid w:val="521A27DD"/>
    <w:rsid w:val="52534816"/>
    <w:rsid w:val="52634928"/>
    <w:rsid w:val="52A0414F"/>
    <w:rsid w:val="53277999"/>
    <w:rsid w:val="53987EBC"/>
    <w:rsid w:val="53A35FB7"/>
    <w:rsid w:val="53A95638"/>
    <w:rsid w:val="53E24E44"/>
    <w:rsid w:val="53F94527"/>
    <w:rsid w:val="54014B46"/>
    <w:rsid w:val="54297BF9"/>
    <w:rsid w:val="5472334E"/>
    <w:rsid w:val="54DB5397"/>
    <w:rsid w:val="550348EE"/>
    <w:rsid w:val="552879DC"/>
    <w:rsid w:val="555D5DAC"/>
    <w:rsid w:val="5563097D"/>
    <w:rsid w:val="556F4EE2"/>
    <w:rsid w:val="55D21BD3"/>
    <w:rsid w:val="56312D95"/>
    <w:rsid w:val="564725B8"/>
    <w:rsid w:val="56652099"/>
    <w:rsid w:val="56680EAC"/>
    <w:rsid w:val="56843C9F"/>
    <w:rsid w:val="5692607B"/>
    <w:rsid w:val="569B3338"/>
    <w:rsid w:val="56A40209"/>
    <w:rsid w:val="56F5281F"/>
    <w:rsid w:val="573E766F"/>
    <w:rsid w:val="5765355C"/>
    <w:rsid w:val="57690BD0"/>
    <w:rsid w:val="576F0018"/>
    <w:rsid w:val="57C15E41"/>
    <w:rsid w:val="57CA1153"/>
    <w:rsid w:val="57E46E53"/>
    <w:rsid w:val="580118E9"/>
    <w:rsid w:val="580E253F"/>
    <w:rsid w:val="58254B7B"/>
    <w:rsid w:val="584A495B"/>
    <w:rsid w:val="584B22BE"/>
    <w:rsid w:val="5892758E"/>
    <w:rsid w:val="58947716"/>
    <w:rsid w:val="58A65CBC"/>
    <w:rsid w:val="58AB1524"/>
    <w:rsid w:val="58AF69BF"/>
    <w:rsid w:val="58B66C06"/>
    <w:rsid w:val="58C779E0"/>
    <w:rsid w:val="58E71B6A"/>
    <w:rsid w:val="5909228A"/>
    <w:rsid w:val="59154BEF"/>
    <w:rsid w:val="593A16EF"/>
    <w:rsid w:val="59CA7788"/>
    <w:rsid w:val="5A1B6236"/>
    <w:rsid w:val="5A2E712E"/>
    <w:rsid w:val="5A2F2D66"/>
    <w:rsid w:val="5A6D6164"/>
    <w:rsid w:val="5A86004F"/>
    <w:rsid w:val="5A8938AD"/>
    <w:rsid w:val="5AAE69DB"/>
    <w:rsid w:val="5AF0582F"/>
    <w:rsid w:val="5AF947C9"/>
    <w:rsid w:val="5B1B6AA6"/>
    <w:rsid w:val="5B224E28"/>
    <w:rsid w:val="5B7D7A78"/>
    <w:rsid w:val="5BA65FD3"/>
    <w:rsid w:val="5BAF7B56"/>
    <w:rsid w:val="5BD91F04"/>
    <w:rsid w:val="5BDB5C7C"/>
    <w:rsid w:val="5BF611E3"/>
    <w:rsid w:val="5C0E6052"/>
    <w:rsid w:val="5C313AEE"/>
    <w:rsid w:val="5C86208C"/>
    <w:rsid w:val="5C974299"/>
    <w:rsid w:val="5CAC7619"/>
    <w:rsid w:val="5D131446"/>
    <w:rsid w:val="5D656145"/>
    <w:rsid w:val="5D7C18C6"/>
    <w:rsid w:val="5DA14CA4"/>
    <w:rsid w:val="5DA779D9"/>
    <w:rsid w:val="5DC84953"/>
    <w:rsid w:val="5DD24E5D"/>
    <w:rsid w:val="5DDC3F2E"/>
    <w:rsid w:val="5E9D3A08"/>
    <w:rsid w:val="5E9E23A9"/>
    <w:rsid w:val="5EAC56AE"/>
    <w:rsid w:val="5EDA0A8B"/>
    <w:rsid w:val="5F0537AA"/>
    <w:rsid w:val="5F162912"/>
    <w:rsid w:val="5F20072A"/>
    <w:rsid w:val="5F2117F1"/>
    <w:rsid w:val="5F27754A"/>
    <w:rsid w:val="5F2B3E04"/>
    <w:rsid w:val="5F760F40"/>
    <w:rsid w:val="5FE21584"/>
    <w:rsid w:val="5FE82E26"/>
    <w:rsid w:val="5FF3691B"/>
    <w:rsid w:val="5FFF5CB2"/>
    <w:rsid w:val="60161979"/>
    <w:rsid w:val="60673F83"/>
    <w:rsid w:val="606E1F64"/>
    <w:rsid w:val="609E5FA7"/>
    <w:rsid w:val="60C253E7"/>
    <w:rsid w:val="60CE0912"/>
    <w:rsid w:val="60CE0B25"/>
    <w:rsid w:val="611A43B1"/>
    <w:rsid w:val="61555832"/>
    <w:rsid w:val="618F343D"/>
    <w:rsid w:val="61A30FEA"/>
    <w:rsid w:val="61D5316E"/>
    <w:rsid w:val="61D67CE4"/>
    <w:rsid w:val="61DB6D9C"/>
    <w:rsid w:val="61EF4230"/>
    <w:rsid w:val="6200643D"/>
    <w:rsid w:val="623C3CCB"/>
    <w:rsid w:val="6277131B"/>
    <w:rsid w:val="62894736"/>
    <w:rsid w:val="62EC69C1"/>
    <w:rsid w:val="63520F1A"/>
    <w:rsid w:val="636E0BBA"/>
    <w:rsid w:val="63964B41"/>
    <w:rsid w:val="63994A58"/>
    <w:rsid w:val="646C600B"/>
    <w:rsid w:val="647C3D75"/>
    <w:rsid w:val="64B27796"/>
    <w:rsid w:val="64CC5E52"/>
    <w:rsid w:val="64DA0DFC"/>
    <w:rsid w:val="64FD5E87"/>
    <w:rsid w:val="65785BCE"/>
    <w:rsid w:val="65802894"/>
    <w:rsid w:val="658C3A08"/>
    <w:rsid w:val="658D4138"/>
    <w:rsid w:val="65A319AD"/>
    <w:rsid w:val="65B768E4"/>
    <w:rsid w:val="66043DF1"/>
    <w:rsid w:val="660B7840"/>
    <w:rsid w:val="661D46CA"/>
    <w:rsid w:val="66887A48"/>
    <w:rsid w:val="66B94E0C"/>
    <w:rsid w:val="66BB1AFB"/>
    <w:rsid w:val="66CF7EED"/>
    <w:rsid w:val="66E83943"/>
    <w:rsid w:val="670F317A"/>
    <w:rsid w:val="673745EF"/>
    <w:rsid w:val="673D6A15"/>
    <w:rsid w:val="67523AC3"/>
    <w:rsid w:val="67960780"/>
    <w:rsid w:val="67DA14DE"/>
    <w:rsid w:val="682E5386"/>
    <w:rsid w:val="683726A5"/>
    <w:rsid w:val="684B23DC"/>
    <w:rsid w:val="68576EF7"/>
    <w:rsid w:val="686B0388"/>
    <w:rsid w:val="6874548F"/>
    <w:rsid w:val="68817FE2"/>
    <w:rsid w:val="688D47A2"/>
    <w:rsid w:val="689043A1"/>
    <w:rsid w:val="68CD623B"/>
    <w:rsid w:val="68DB72BC"/>
    <w:rsid w:val="68FD36D6"/>
    <w:rsid w:val="69540D8B"/>
    <w:rsid w:val="69562DE6"/>
    <w:rsid w:val="695E105C"/>
    <w:rsid w:val="696012B6"/>
    <w:rsid w:val="69642093"/>
    <w:rsid w:val="69793390"/>
    <w:rsid w:val="69C02956"/>
    <w:rsid w:val="69CA6B08"/>
    <w:rsid w:val="69F97B76"/>
    <w:rsid w:val="6A042666"/>
    <w:rsid w:val="6A086F97"/>
    <w:rsid w:val="6A9736F0"/>
    <w:rsid w:val="6AC00E5F"/>
    <w:rsid w:val="6AF830B1"/>
    <w:rsid w:val="6B1715B7"/>
    <w:rsid w:val="6B2C2051"/>
    <w:rsid w:val="6B3233DF"/>
    <w:rsid w:val="6B680BAF"/>
    <w:rsid w:val="6B6C68F1"/>
    <w:rsid w:val="6B6D624F"/>
    <w:rsid w:val="6BA17D14"/>
    <w:rsid w:val="6BBB33D4"/>
    <w:rsid w:val="6BCC55E2"/>
    <w:rsid w:val="6BD44D33"/>
    <w:rsid w:val="6BEA8026"/>
    <w:rsid w:val="6C0C5BDB"/>
    <w:rsid w:val="6C3D08A3"/>
    <w:rsid w:val="6C660A88"/>
    <w:rsid w:val="6C6770B8"/>
    <w:rsid w:val="6C845EBC"/>
    <w:rsid w:val="6CA41CC8"/>
    <w:rsid w:val="6CC20E82"/>
    <w:rsid w:val="6CD26C28"/>
    <w:rsid w:val="6CF3436B"/>
    <w:rsid w:val="6CF7293C"/>
    <w:rsid w:val="6D056FFD"/>
    <w:rsid w:val="6D286B5F"/>
    <w:rsid w:val="6D443964"/>
    <w:rsid w:val="6D5B6316"/>
    <w:rsid w:val="6D9143ED"/>
    <w:rsid w:val="6DC74A88"/>
    <w:rsid w:val="6DD724DA"/>
    <w:rsid w:val="6DDC0B81"/>
    <w:rsid w:val="6DEA2117"/>
    <w:rsid w:val="6E041063"/>
    <w:rsid w:val="6E0C6BA8"/>
    <w:rsid w:val="6E4C538F"/>
    <w:rsid w:val="6E8C1058"/>
    <w:rsid w:val="6EBF142E"/>
    <w:rsid w:val="6ED722D3"/>
    <w:rsid w:val="6EE175F6"/>
    <w:rsid w:val="6F24190C"/>
    <w:rsid w:val="6F7C2E7B"/>
    <w:rsid w:val="6FBC73AA"/>
    <w:rsid w:val="6FC36D9E"/>
    <w:rsid w:val="6FE70C3C"/>
    <w:rsid w:val="70076BE8"/>
    <w:rsid w:val="70852D97"/>
    <w:rsid w:val="70A47AAD"/>
    <w:rsid w:val="70AE40C7"/>
    <w:rsid w:val="70C25205"/>
    <w:rsid w:val="70C60851"/>
    <w:rsid w:val="70DA254F"/>
    <w:rsid w:val="70E51DA8"/>
    <w:rsid w:val="70F20FE3"/>
    <w:rsid w:val="71174B27"/>
    <w:rsid w:val="71946BA2"/>
    <w:rsid w:val="71A843FB"/>
    <w:rsid w:val="71C97895"/>
    <w:rsid w:val="721E450C"/>
    <w:rsid w:val="7256750B"/>
    <w:rsid w:val="7262278F"/>
    <w:rsid w:val="72D73D3D"/>
    <w:rsid w:val="72EC6569"/>
    <w:rsid w:val="73394BB6"/>
    <w:rsid w:val="73397A01"/>
    <w:rsid w:val="736A253A"/>
    <w:rsid w:val="73A429A0"/>
    <w:rsid w:val="73AC2D59"/>
    <w:rsid w:val="73BE1CB4"/>
    <w:rsid w:val="73EC5B91"/>
    <w:rsid w:val="73FC458A"/>
    <w:rsid w:val="742E7E7F"/>
    <w:rsid w:val="747B5DF7"/>
    <w:rsid w:val="74C002E8"/>
    <w:rsid w:val="74CF1255"/>
    <w:rsid w:val="74E7523A"/>
    <w:rsid w:val="74FB54A4"/>
    <w:rsid w:val="75170083"/>
    <w:rsid w:val="751A7B05"/>
    <w:rsid w:val="75220020"/>
    <w:rsid w:val="753A3BEB"/>
    <w:rsid w:val="755522F8"/>
    <w:rsid w:val="755E2DEF"/>
    <w:rsid w:val="75611CC1"/>
    <w:rsid w:val="75A03D67"/>
    <w:rsid w:val="75DD731F"/>
    <w:rsid w:val="7621652A"/>
    <w:rsid w:val="76265AC6"/>
    <w:rsid w:val="763A2EF5"/>
    <w:rsid w:val="76642085"/>
    <w:rsid w:val="768014A2"/>
    <w:rsid w:val="7682438C"/>
    <w:rsid w:val="768857E3"/>
    <w:rsid w:val="768D4B1F"/>
    <w:rsid w:val="769D2054"/>
    <w:rsid w:val="76C31EDD"/>
    <w:rsid w:val="76EC2FDC"/>
    <w:rsid w:val="77060EB2"/>
    <w:rsid w:val="77120FDD"/>
    <w:rsid w:val="775C2950"/>
    <w:rsid w:val="77610F13"/>
    <w:rsid w:val="778C37F8"/>
    <w:rsid w:val="779C230C"/>
    <w:rsid w:val="779D7E32"/>
    <w:rsid w:val="77A92C7B"/>
    <w:rsid w:val="77B12E34"/>
    <w:rsid w:val="77D46CD2"/>
    <w:rsid w:val="77D83D50"/>
    <w:rsid w:val="781D0CC1"/>
    <w:rsid w:val="7823193A"/>
    <w:rsid w:val="782E61C7"/>
    <w:rsid w:val="783B33E4"/>
    <w:rsid w:val="7844130F"/>
    <w:rsid w:val="78534B66"/>
    <w:rsid w:val="785B3F75"/>
    <w:rsid w:val="787B0197"/>
    <w:rsid w:val="787E1A12"/>
    <w:rsid w:val="78BE10F6"/>
    <w:rsid w:val="78CA4C57"/>
    <w:rsid w:val="78D43D28"/>
    <w:rsid w:val="78DD2BDC"/>
    <w:rsid w:val="792E5466"/>
    <w:rsid w:val="79435553"/>
    <w:rsid w:val="794672BF"/>
    <w:rsid w:val="79E263BE"/>
    <w:rsid w:val="7A064282"/>
    <w:rsid w:val="7A3C1D44"/>
    <w:rsid w:val="7A9E283F"/>
    <w:rsid w:val="7AC77F2D"/>
    <w:rsid w:val="7ACB4CB6"/>
    <w:rsid w:val="7ADD5362"/>
    <w:rsid w:val="7B036E36"/>
    <w:rsid w:val="7B0E1D12"/>
    <w:rsid w:val="7B0E3521"/>
    <w:rsid w:val="7B1A0118"/>
    <w:rsid w:val="7B31160A"/>
    <w:rsid w:val="7B62386D"/>
    <w:rsid w:val="7B6E2211"/>
    <w:rsid w:val="7BAD0A4E"/>
    <w:rsid w:val="7BB00E61"/>
    <w:rsid w:val="7BD227A0"/>
    <w:rsid w:val="7BF12E1F"/>
    <w:rsid w:val="7C1822AA"/>
    <w:rsid w:val="7C7C731A"/>
    <w:rsid w:val="7C85264B"/>
    <w:rsid w:val="7CA06753"/>
    <w:rsid w:val="7CB43242"/>
    <w:rsid w:val="7CB61824"/>
    <w:rsid w:val="7CBD69D7"/>
    <w:rsid w:val="7CC76395"/>
    <w:rsid w:val="7CEF2EDE"/>
    <w:rsid w:val="7D1961AD"/>
    <w:rsid w:val="7D4F7E21"/>
    <w:rsid w:val="7D7A30EF"/>
    <w:rsid w:val="7D8F3E6E"/>
    <w:rsid w:val="7D9D293A"/>
    <w:rsid w:val="7DA51A4B"/>
    <w:rsid w:val="7E0B01EB"/>
    <w:rsid w:val="7E1E7F1F"/>
    <w:rsid w:val="7E321E60"/>
    <w:rsid w:val="7E390B0F"/>
    <w:rsid w:val="7E3C584F"/>
    <w:rsid w:val="7E493D4F"/>
    <w:rsid w:val="7E5356EF"/>
    <w:rsid w:val="7E881DA7"/>
    <w:rsid w:val="7E894498"/>
    <w:rsid w:val="7E9B65C0"/>
    <w:rsid w:val="7F060C17"/>
    <w:rsid w:val="7F0C421B"/>
    <w:rsid w:val="7F2F766E"/>
    <w:rsid w:val="7F3D58B7"/>
    <w:rsid w:val="7F6B3277"/>
    <w:rsid w:val="7F7C3A97"/>
    <w:rsid w:val="7F9051D5"/>
    <w:rsid w:val="7F9C372F"/>
    <w:rsid w:val="7F9F508F"/>
    <w:rsid w:val="7FE01204"/>
    <w:rsid w:val="7FFA67D9"/>
    <w:rsid w:val="7FFB9374"/>
    <w:rsid w:val="7FFC4290"/>
    <w:rsid w:val="DFBBF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3">
    <w:name w:val="heading 2"/>
    <w:basedOn w:val="1"/>
    <w:next w:val="1"/>
    <w:link w:val="43"/>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paragraph" w:styleId="2">
    <w:name w:val="heading 4"/>
    <w:basedOn w:val="1"/>
    <w:next w:val="1"/>
    <w:qFormat/>
    <w:uiPriority w:val="0"/>
    <w:pPr>
      <w:keepNext/>
      <w:keepLines/>
      <w:spacing w:line="374" w:lineRule="auto"/>
      <w:outlineLvl w:val="3"/>
    </w:pPr>
    <w:rPr>
      <w:rFonts w:ascii="Arial" w:hAnsi="Arial"/>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annotation text"/>
    <w:basedOn w:val="1"/>
    <w:next w:val="1"/>
    <w:qFormat/>
    <w:uiPriority w:val="0"/>
    <w:pPr>
      <w:adjustRightInd w:val="0"/>
      <w:spacing w:line="360" w:lineRule="atLeast"/>
      <w:jc w:val="left"/>
      <w:textAlignment w:val="baseline"/>
    </w:pPr>
    <w:rPr>
      <w:kern w:val="0"/>
    </w:rPr>
  </w:style>
  <w:style w:type="paragraph" w:styleId="5">
    <w:name w:val="Body Text"/>
    <w:basedOn w:val="1"/>
    <w:semiHidden/>
    <w:qFormat/>
    <w:uiPriority w:val="0"/>
    <w:rPr>
      <w:rFonts w:ascii="Arial" w:hAnsi="Arial" w:eastAsia="Arial" w:cs="Arial"/>
      <w:sz w:val="21"/>
      <w:szCs w:val="21"/>
      <w:lang w:val="en-US" w:eastAsia="en-US" w:bidi="ar-SA"/>
    </w:rPr>
  </w:style>
  <w:style w:type="paragraph" w:styleId="6">
    <w:name w:val="toc 3"/>
    <w:basedOn w:val="1"/>
    <w:next w:val="1"/>
    <w:qFormat/>
    <w:uiPriority w:val="0"/>
    <w:pPr>
      <w:ind w:left="840" w:leftChars="40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qFormat/>
    <w:uiPriority w:val="0"/>
  </w:style>
  <w:style w:type="paragraph" w:styleId="10">
    <w:name w:val="toc 2"/>
    <w:basedOn w:val="1"/>
    <w:next w:val="1"/>
    <w:qFormat/>
    <w:uiPriority w:val="0"/>
    <w:pPr>
      <w:ind w:left="420" w:leftChars="200"/>
    </w:pPr>
  </w:style>
  <w:style w:type="paragraph" w:styleId="11">
    <w:name w:val="Body Text 2"/>
    <w:basedOn w:val="1"/>
    <w:qFormat/>
    <w:uiPriority w:val="0"/>
    <w:pPr>
      <w:spacing w:line="500" w:lineRule="exact"/>
    </w:pPr>
    <w:rPr>
      <w:rFonts w:ascii="宋体" w:hAnsi="Times New Roman" w:eastAsia="宋体" w:cs="Times New Roman"/>
      <w:sz w:val="24"/>
    </w:rPr>
  </w:style>
  <w:style w:type="paragraph" w:styleId="12">
    <w:name w:val="Normal (Web)"/>
    <w:basedOn w:val="1"/>
    <w:qFormat/>
    <w:uiPriority w:val="0"/>
    <w:pPr>
      <w:spacing w:beforeAutospacing="1" w:afterAutospacing="1"/>
      <w:jc w:val="left"/>
    </w:pPr>
    <w:rPr>
      <w:rFonts w:cs="Times New Roman"/>
      <w:kern w:val="0"/>
      <w:sz w:val="24"/>
    </w:rPr>
  </w:style>
  <w:style w:type="paragraph" w:styleId="13">
    <w:name w:val="Body Text First Indent"/>
    <w:basedOn w:val="5"/>
    <w:qFormat/>
    <w:uiPriority w:val="99"/>
    <w:pPr>
      <w:spacing w:line="240" w:lineRule="auto"/>
      <w:ind w:firstLine="420" w:firstLineChars="100"/>
    </w:pPr>
    <w:rPr>
      <w:rFonts w:ascii="Times New Roman" w:cs="Times New Roman"/>
      <w:sz w:val="20"/>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Emphasis"/>
    <w:basedOn w:val="16"/>
    <w:qFormat/>
    <w:uiPriority w:val="0"/>
    <w:rPr>
      <w:i/>
    </w:rPr>
  </w:style>
  <w:style w:type="paragraph" w:customStyle="1" w:styleId="18">
    <w:name w:val="Default"/>
    <w:unhideWhenUsed/>
    <w:qFormat/>
    <w:uiPriority w:val="99"/>
    <w:pPr>
      <w:widowControl w:val="0"/>
      <w:autoSpaceDE w:val="0"/>
      <w:autoSpaceDN w:val="0"/>
      <w:adjustRightInd w:val="0"/>
    </w:pPr>
    <w:rPr>
      <w:rFonts w:hint="eastAsia" w:ascii="Arial Unicode MS" w:hAnsi="Arial Unicode MS" w:eastAsia="Arial Unicode MS" w:cs="Times New Roman"/>
      <w:color w:val="000000"/>
      <w:sz w:val="24"/>
      <w:lang w:val="en-US" w:eastAsia="zh-CN" w:bidi="ar-SA"/>
    </w:rPr>
  </w:style>
  <w:style w:type="paragraph" w:customStyle="1" w:styleId="19">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character" w:customStyle="1" w:styleId="20">
    <w:name w:val="NormalCharacter"/>
    <w:qFormat/>
    <w:uiPriority w:val="99"/>
  </w:style>
  <w:style w:type="paragraph" w:customStyle="1" w:styleId="21">
    <w:name w:val="Table Text"/>
    <w:basedOn w:val="1"/>
    <w:semiHidden/>
    <w:qFormat/>
    <w:uiPriority w:val="0"/>
    <w:rPr>
      <w:rFonts w:ascii="Arial" w:hAnsi="Arial" w:eastAsia="Arial" w:cs="Arial"/>
      <w:sz w:val="21"/>
      <w:szCs w:val="21"/>
      <w:lang w:val="en-US" w:eastAsia="en-US" w:bidi="ar-SA"/>
    </w:rPr>
  </w:style>
  <w:style w:type="paragraph" w:customStyle="1" w:styleId="22">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
    <w:name w:val="正文缩进1"/>
    <w:basedOn w:val="1"/>
    <w:qFormat/>
    <w:uiPriority w:val="0"/>
    <w:pPr>
      <w:widowControl/>
      <w:ind w:firstLine="420"/>
      <w:jc w:val="left"/>
    </w:pPr>
    <w:rPr>
      <w:kern w:val="0"/>
    </w:rPr>
  </w:style>
  <w:style w:type="paragraph" w:customStyle="1" w:styleId="24">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5">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6">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7">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8">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29">
    <w:name w:val="Heading2"/>
    <w:basedOn w:val="1"/>
    <w:next w:val="1"/>
    <w:qFormat/>
    <w:uiPriority w:val="99"/>
    <w:pPr>
      <w:jc w:val="left"/>
    </w:pPr>
    <w:rPr>
      <w:kern w:val="0"/>
    </w:rPr>
  </w:style>
  <w:style w:type="paragraph" w:customStyle="1" w:styleId="30">
    <w:name w:val="AnnotationText"/>
    <w:basedOn w:val="1"/>
    <w:qFormat/>
    <w:uiPriority w:val="99"/>
    <w:pPr>
      <w:spacing w:line="360" w:lineRule="atLeast"/>
      <w:jc w:val="left"/>
    </w:pPr>
    <w:rPr>
      <w:kern w:val="0"/>
    </w:rPr>
  </w:style>
  <w:style w:type="paragraph" w:customStyle="1" w:styleId="31">
    <w:name w:val="UserStyle_44"/>
    <w:basedOn w:val="32"/>
    <w:qFormat/>
    <w:uiPriority w:val="99"/>
    <w:rPr>
      <w:sz w:val="24"/>
      <w:szCs w:val="24"/>
    </w:rPr>
  </w:style>
  <w:style w:type="paragraph" w:customStyle="1" w:styleId="32">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3">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34">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35">
    <w:name w:val="文一"/>
    <w:basedOn w:val="1"/>
    <w:qFormat/>
    <w:uiPriority w:val="0"/>
    <w:pPr>
      <w:topLinePunct/>
      <w:adjustRightInd w:val="0"/>
      <w:snapToGrid w:val="0"/>
      <w:ind w:firstLine="200" w:firstLineChars="200"/>
    </w:pPr>
    <w:rPr>
      <w:rFonts w:ascii="Calibri" w:hAnsi="Calibri"/>
      <w:snapToGrid w:val="0"/>
      <w:spacing w:val="4"/>
      <w:kern w:val="0"/>
      <w:szCs w:val="22"/>
    </w:rPr>
  </w:style>
  <w:style w:type="paragraph" w:customStyle="1" w:styleId="36">
    <w:name w:val="BodyText"/>
    <w:basedOn w:val="1"/>
    <w:next w:val="37"/>
    <w:qFormat/>
    <w:uiPriority w:val="99"/>
    <w:pPr>
      <w:spacing w:after="120"/>
    </w:pPr>
  </w:style>
  <w:style w:type="paragraph" w:customStyle="1" w:styleId="37">
    <w:name w:val="BodyText2"/>
    <w:basedOn w:val="1"/>
    <w:qFormat/>
    <w:uiPriority w:val="99"/>
    <w:pPr>
      <w:spacing w:line="500" w:lineRule="exact"/>
    </w:pPr>
  </w:style>
  <w:style w:type="paragraph" w:customStyle="1" w:styleId="38">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缩进 New"/>
    <w:basedOn w:val="40"/>
    <w:qFormat/>
    <w:uiPriority w:val="0"/>
    <w:pPr>
      <w:widowControl/>
      <w:ind w:firstLine="420"/>
      <w:jc w:val="left"/>
    </w:pPr>
    <w:rPr>
      <w:kern w:val="0"/>
      <w:sz w:val="20"/>
    </w:rPr>
  </w:style>
  <w:style w:type="paragraph" w:customStyle="1" w:styleId="40">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1">
    <w:name w:val="正文文本 New"/>
    <w:basedOn w:val="1"/>
    <w:qFormat/>
    <w:uiPriority w:val="0"/>
    <w:pPr>
      <w:spacing w:after="120" w:line="360" w:lineRule="auto"/>
    </w:pPr>
    <w:rPr>
      <w:rFonts w:ascii="宋体" w:hAnsi="Times New Roman" w:eastAsia="宋体" w:cs="Times New Roman"/>
      <w:sz w:val="24"/>
      <w:szCs w:val="20"/>
    </w:rPr>
  </w:style>
  <w:style w:type="character" w:customStyle="1" w:styleId="42">
    <w:name w:val="正文文本 (2) + 间距 0 pt3"/>
    <w:basedOn w:val="16"/>
    <w:qFormat/>
    <w:uiPriority w:val="0"/>
    <w:rPr>
      <w:rFonts w:ascii="MingLiU" w:hAnsi="Times New Roman" w:eastAsia="MingLiU" w:cs="MingLiU"/>
      <w:spacing w:val="0"/>
      <w:sz w:val="22"/>
      <w:szCs w:val="22"/>
      <w:u w:val="none"/>
    </w:rPr>
  </w:style>
  <w:style w:type="character" w:customStyle="1" w:styleId="43">
    <w:name w:val="标题 2 字符"/>
    <w:link w:val="3"/>
    <w:qFormat/>
    <w:uiPriority w:val="0"/>
    <w:rPr>
      <w:rFonts w:hint="eastAsia" w:ascii="宋体" w:hAnsi="宋体" w:eastAsia="宋体" w:cs="宋体"/>
      <w:b/>
      <w:bCs/>
      <w:kern w:val="0"/>
      <w:sz w:val="36"/>
      <w:szCs w:val="36"/>
      <w:lang w:val="en-US" w:eastAsia="zh-CN" w:bidi="ar"/>
    </w:rPr>
  </w:style>
  <w:style w:type="paragraph" w:customStyle="1" w:styleId="44">
    <w:name w:val="标题 3 New New"/>
    <w:basedOn w:val="39"/>
    <w:next w:val="39"/>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5">
    <w:name w:val="UserStyle_76"/>
    <w:basedOn w:val="46"/>
    <w:qFormat/>
    <w:uiPriority w:val="99"/>
    <w:pPr>
      <w:ind w:firstLine="420"/>
      <w:jc w:val="left"/>
    </w:pPr>
    <w:rPr>
      <w:kern w:val="0"/>
      <w:sz w:val="20"/>
      <w:szCs w:val="20"/>
    </w:rPr>
  </w:style>
  <w:style w:type="paragraph" w:customStyle="1" w:styleId="46">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7">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8">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9" Type="http://schemas.openxmlformats.org/officeDocument/2006/relationships/fontTable" Target="fontTable.xml"/><Relationship Id="rId58" Type="http://schemas.openxmlformats.org/officeDocument/2006/relationships/numbering" Target="numbering.xml"/><Relationship Id="rId57" Type="http://schemas.openxmlformats.org/officeDocument/2006/relationships/customXml" Target="../customXml/item1.xml"/><Relationship Id="rId56" Type="http://schemas.openxmlformats.org/officeDocument/2006/relationships/image" Target="media/image17.png"/><Relationship Id="rId55" Type="http://schemas.openxmlformats.org/officeDocument/2006/relationships/image" Target="media/image16.jpeg"/><Relationship Id="rId54" Type="http://schemas.openxmlformats.org/officeDocument/2006/relationships/image" Target="media/image15.png"/><Relationship Id="rId53" Type="http://schemas.openxmlformats.org/officeDocument/2006/relationships/image" Target="media/image14.png"/><Relationship Id="rId52" Type="http://schemas.openxmlformats.org/officeDocument/2006/relationships/image" Target="media/image13.wmf"/><Relationship Id="rId51" Type="http://schemas.openxmlformats.org/officeDocument/2006/relationships/oleObject" Target="embeddings/oleObject12.bin"/><Relationship Id="rId50" Type="http://schemas.openxmlformats.org/officeDocument/2006/relationships/image" Target="media/image12.wmf"/><Relationship Id="rId5" Type="http://schemas.openxmlformats.org/officeDocument/2006/relationships/footer" Target="footer1.xml"/><Relationship Id="rId49" Type="http://schemas.openxmlformats.org/officeDocument/2006/relationships/oleObject" Target="embeddings/oleObject11.bin"/><Relationship Id="rId48" Type="http://schemas.openxmlformats.org/officeDocument/2006/relationships/image" Target="media/image11.wmf"/><Relationship Id="rId47" Type="http://schemas.openxmlformats.org/officeDocument/2006/relationships/oleObject" Target="embeddings/oleObject10.bin"/><Relationship Id="rId46" Type="http://schemas.openxmlformats.org/officeDocument/2006/relationships/image" Target="media/image10.wmf"/><Relationship Id="rId45" Type="http://schemas.openxmlformats.org/officeDocument/2006/relationships/oleObject" Target="embeddings/oleObject9.bin"/><Relationship Id="rId44" Type="http://schemas.openxmlformats.org/officeDocument/2006/relationships/image" Target="media/image9.wmf"/><Relationship Id="rId43" Type="http://schemas.openxmlformats.org/officeDocument/2006/relationships/oleObject" Target="embeddings/oleObject8.bin"/><Relationship Id="rId42" Type="http://schemas.openxmlformats.org/officeDocument/2006/relationships/image" Target="media/image8.wmf"/><Relationship Id="rId41" Type="http://schemas.openxmlformats.org/officeDocument/2006/relationships/oleObject" Target="embeddings/oleObject7.bin"/><Relationship Id="rId40" Type="http://schemas.openxmlformats.org/officeDocument/2006/relationships/image" Target="media/image7.wmf"/><Relationship Id="rId4" Type="http://schemas.openxmlformats.org/officeDocument/2006/relationships/header" Target="header2.xml"/><Relationship Id="rId39" Type="http://schemas.openxmlformats.org/officeDocument/2006/relationships/oleObject" Target="embeddings/oleObject6.bin"/><Relationship Id="rId38" Type="http://schemas.openxmlformats.org/officeDocument/2006/relationships/image" Target="media/image6.wmf"/><Relationship Id="rId37" Type="http://schemas.openxmlformats.org/officeDocument/2006/relationships/oleObject" Target="embeddings/oleObject5.bin"/><Relationship Id="rId36" Type="http://schemas.openxmlformats.org/officeDocument/2006/relationships/image" Target="media/image5.wmf"/><Relationship Id="rId35" Type="http://schemas.openxmlformats.org/officeDocument/2006/relationships/oleObject" Target="embeddings/oleObject4.bin"/><Relationship Id="rId34" Type="http://schemas.openxmlformats.org/officeDocument/2006/relationships/image" Target="media/image4.wmf"/><Relationship Id="rId33" Type="http://schemas.openxmlformats.org/officeDocument/2006/relationships/oleObject" Target="embeddings/oleObject3.bin"/><Relationship Id="rId32" Type="http://schemas.openxmlformats.org/officeDocument/2006/relationships/image" Target="media/image3.wmf"/><Relationship Id="rId31" Type="http://schemas.openxmlformats.org/officeDocument/2006/relationships/oleObject" Target="embeddings/oleObject2.bin"/><Relationship Id="rId30" Type="http://schemas.openxmlformats.org/officeDocument/2006/relationships/image" Target="media/image2.wmf"/><Relationship Id="rId3" Type="http://schemas.openxmlformats.org/officeDocument/2006/relationships/header" Target="header1.xml"/><Relationship Id="rId29" Type="http://schemas.openxmlformats.org/officeDocument/2006/relationships/oleObject" Target="embeddings/oleObject1.bin"/><Relationship Id="rId28" Type="http://schemas.openxmlformats.org/officeDocument/2006/relationships/image" Target="media/image1.png"/><Relationship Id="rId27" Type="http://schemas.openxmlformats.org/officeDocument/2006/relationships/theme" Target="theme/theme1.xml"/><Relationship Id="rId26" Type="http://schemas.openxmlformats.org/officeDocument/2006/relationships/footer" Target="footer20.xml"/><Relationship Id="rId25" Type="http://schemas.openxmlformats.org/officeDocument/2006/relationships/footer" Target="footer19.xml"/><Relationship Id="rId24" Type="http://schemas.openxmlformats.org/officeDocument/2006/relationships/footer" Target="footer18.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93</Pages>
  <Words>7670</Words>
  <Characters>8307</Characters>
  <Lines>0</Lines>
  <Paragraphs>0</Paragraphs>
  <TotalTime>1</TotalTime>
  <ScaleCrop>false</ScaleCrop>
  <LinksUpToDate>false</LinksUpToDate>
  <CharactersWithSpaces>8770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2024-09-28T20:36:00Z</dcterms:created>
  <dc:creator>Administrator</dc:creator>
  <cp:lastModifiedBy>陈百度</cp:lastModifiedBy>
  <cp:lastPrinted>2026-05-07T07:51:00Z</cp:lastPrinted>
  <dcterms:modified xsi:type="dcterms:W3CDTF">2026-07-14T08:57:09Z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B9160F6F50014F5584EB161387666375_13</vt:lpwstr>
  </property>
  <property fmtid="{D5CDD505-2E9C-101B-9397-08002B2CF9AE}" pid="4" name="KSOTemplateDocerSaveRecord">
    <vt:lpwstr>eyJoZGlkIjoiODRkMzMxYWU5MzQzMDhhMzI2NWE0YTdhMjBiNDI2ZGYiLCJ1c2VySWQiOiI2Njc1MzA3ODkifQ==</vt:lpwstr>
  </property>
</Properties>
</file>